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4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640"/>
      </w:tblGrid>
      <w:tr w:rsidR="00643CAB" w:rsidTr="00643CAB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95"/>
              <w:gridCol w:w="11445"/>
            </w:tblGrid>
            <w:tr w:rsidR="00643CAB">
              <w:trPr>
                <w:tblCellSpacing w:w="0" w:type="dxa"/>
              </w:trPr>
              <w:tc>
                <w:tcPr>
                  <w:tcW w:w="150" w:type="dxa"/>
                  <w:vAlign w:val="center"/>
                  <w:hideMark/>
                </w:tcPr>
                <w:p w:rsidR="00643CAB" w:rsidRDefault="00643CA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noProof/>
                      <w:lang w:val="it-IT" w:eastAsia="it-IT"/>
                    </w:rPr>
                    <w:drawing>
                      <wp:inline distT="0" distB="0" distL="0" distR="0">
                        <wp:extent cx="123825" cy="9525"/>
                        <wp:effectExtent l="0" t="0" r="0" b="0"/>
                        <wp:docPr id="16" name="Immagine 16" descr="http://image.jllemail.com/lib/ffcf14/m/1/spacer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image.jllemail.com/lib/ffcf14/m/1/spacer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r:link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250"/>
                    <w:gridCol w:w="195"/>
                  </w:tblGrid>
                  <w:tr w:rsidR="00643CAB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1250"/>
                        </w:tblGrid>
                        <w:tr w:rsidR="00643CAB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43CAB" w:rsidRDefault="00643CAB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</w:tbl>
                      <w:p w:rsidR="00643CAB" w:rsidRDefault="00643CAB">
                        <w:pPr>
                          <w:rPr>
                            <w:rFonts w:asciiTheme="minorHAnsi" w:eastAsiaTheme="minorEastAsia" w:hAnsiTheme="minorHAnsi" w:cstheme="minorBidi"/>
                          </w:rPr>
                        </w:pPr>
                      </w:p>
                    </w:tc>
                    <w:tc>
                      <w:tcPr>
                        <w:tcW w:w="151" w:type="dxa"/>
                        <w:vAlign w:val="center"/>
                        <w:hideMark/>
                      </w:tcPr>
                      <w:p w:rsidR="00643CAB" w:rsidRDefault="00643CAB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t> </w:t>
                        </w:r>
                      </w:p>
                    </w:tc>
                  </w:tr>
                  <w:tr w:rsidR="00643CAB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4805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907"/>
                        </w:tblGrid>
                        <w:tr w:rsidR="00643CAB" w:rsidTr="00C102F8">
                          <w:trPr>
                            <w:trHeight w:val="96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0907"/>
                              </w:tblGrid>
                              <w:tr w:rsidR="00643CAB" w:rsidTr="00C102F8">
                                <w:trPr>
                                  <w:trHeight w:val="96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9985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053"/>
                                    </w:tblGrid>
                                    <w:tr w:rsidR="00643CAB" w:rsidTr="00C102F8">
                                      <w:trPr>
                                        <w:trHeight w:val="96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0053"/>
                                          </w:tblGrid>
                                          <w:tr w:rsidR="00643CAB" w:rsidTr="00C102F8">
                                            <w:trPr>
                                              <w:trHeight w:val="96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6D7174"/>
                                                <w:tcMar>
                                                  <w:top w:w="300" w:type="dxa"/>
                                                  <w:left w:w="300" w:type="dxa"/>
                                                  <w:bottom w:w="300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9453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348"/>
                                                  <w:gridCol w:w="5105"/>
                                                </w:tblGrid>
                                                <w:tr w:rsidR="00643CAB" w:rsidTr="00C102F8">
                                                  <w:trPr>
                                                    <w:trHeight w:val="96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2300" w:type="pct"/>
                                                      <w:tcMar>
                                                        <w:top w:w="0" w:type="dxa"/>
                                                        <w:left w:w="15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43CAB" w:rsidRDefault="00643CAB">
                                                      <w:pPr>
                                                        <w:rPr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2700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10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643CAB" w:rsidRDefault="00643CAB">
                                                      <w:pPr>
                                                        <w:jc w:val="right"/>
                                                        <w:rPr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43CAB" w:rsidRDefault="00643CA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43CAB" w:rsidTr="00C102F8">
                                            <w:trPr>
                                              <w:trHeight w:val="96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270" w:type="dxa"/>
                                                  <w:left w:w="0" w:type="dxa"/>
                                                  <w:bottom w:w="270" w:type="dxa"/>
                                                  <w:right w:w="375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900" w:type="pct"/>
                                                  <w:jc w:val="right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349"/>
                                                  <w:gridCol w:w="349"/>
                                                  <w:gridCol w:w="348"/>
                                                  <w:gridCol w:w="348"/>
                                                  <w:gridCol w:w="348"/>
                                                </w:tblGrid>
                                                <w:tr w:rsidR="00643CAB" w:rsidTr="00C102F8">
                                                  <w:trPr>
                                                    <w:trHeight w:val="96"/>
                                                    <w:tblCellSpacing w:w="0" w:type="dxa"/>
                                                    <w:jc w:val="right"/>
                                                  </w:trPr>
                                                  <w:tc>
                                                    <w:tcPr>
                                                      <w:tcW w:w="1000" w:type="pct"/>
                                                      <w:hideMark/>
                                                    </w:tcPr>
                                                    <w:p w:rsidR="00643CAB" w:rsidRDefault="00643CAB">
                                                      <w:pPr>
                                                        <w:jc w:val="right"/>
                                                        <w:rPr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00" w:type="pct"/>
                                                      <w:hideMark/>
                                                    </w:tcPr>
                                                    <w:p w:rsidR="00643CAB" w:rsidRDefault="00643CAB">
                                                      <w:pPr>
                                                        <w:jc w:val="right"/>
                                                        <w:rPr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00" w:type="pct"/>
                                                      <w:hideMark/>
                                                    </w:tcPr>
                                                    <w:p w:rsidR="00643CAB" w:rsidRDefault="00643CAB">
                                                      <w:pPr>
                                                        <w:jc w:val="right"/>
                                                        <w:rPr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00" w:type="pct"/>
                                                      <w:hideMark/>
                                                    </w:tcPr>
                                                    <w:p w:rsidR="00643CAB" w:rsidRDefault="00643CAB">
                                                      <w:pPr>
                                                        <w:jc w:val="right"/>
                                                        <w:rPr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1000" w:type="pct"/>
                                                      <w:hideMark/>
                                                    </w:tcPr>
                                                    <w:p w:rsidR="00643CAB" w:rsidRDefault="00643CAB">
                                                      <w:pPr>
                                                        <w:jc w:val="right"/>
                                                        <w:rPr>
                                                          <w:color w:val="000000"/>
                                                          <w:sz w:val="24"/>
                                                          <w:szCs w:val="24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43CAB" w:rsidRDefault="00643CAB">
                                                <w:pPr>
                                                  <w:jc w:val="right"/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43CAB" w:rsidRDefault="00643CAB">
                                          <w:pPr>
                                            <w:rPr>
                                              <w:rFonts w:asciiTheme="minorHAnsi" w:eastAsiaTheme="minorEastAsia" w:hAnsiTheme="minorHAnsi" w:cstheme="minorBidi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43CAB" w:rsidRDefault="00643CAB">
                                    <w:pPr>
                                      <w:jc w:val="center"/>
                                      <w:rPr>
                                        <w:rFonts w:asciiTheme="minorHAnsi" w:eastAsiaTheme="minorEastAsia" w:hAnsiTheme="minorHAnsi" w:cstheme="minorBidi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3CAB" w:rsidRDefault="00643CAB">
                              <w:pPr>
                                <w:rPr>
                                  <w:rFonts w:asciiTheme="minorHAnsi" w:eastAsiaTheme="minorEastAsia" w:hAnsiTheme="minorHAnsi" w:cstheme="minorBidi"/>
                                </w:rPr>
                              </w:pPr>
                            </w:p>
                          </w:tc>
                        </w:tr>
                        <w:tr w:rsidR="00643CAB" w:rsidRPr="00CF044E" w:rsidTr="00C102F8">
                          <w:trPr>
                            <w:trHeight w:val="96"/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5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0907"/>
                              </w:tblGrid>
                              <w:tr w:rsidR="00643CAB" w:rsidRPr="00CF044E" w:rsidTr="00C102F8">
                                <w:trPr>
                                  <w:trHeight w:val="96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10907"/>
                                    </w:tblGrid>
                                    <w:tr w:rsidR="00643CAB" w:rsidRPr="00CF044E" w:rsidTr="00C102F8">
                                      <w:trPr>
                                        <w:trHeight w:val="96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10195" w:type="dxa"/>
                                            <w:jc w:val="center"/>
                                            <w:tblCellSpacing w:w="0" w:type="dxa"/>
                                            <w:tblInd w:w="712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10195"/>
                                          </w:tblGrid>
                                          <w:tr w:rsidR="00643CAB" w:rsidRPr="00C102F8" w:rsidTr="00C102F8">
                                            <w:trPr>
                                              <w:trHeight w:val="5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450" w:type="dxa"/>
                                                  <w:bottom w:w="270" w:type="dxa"/>
                                                  <w:right w:w="450" w:type="dxa"/>
                                                </w:tcMar>
                                              </w:tcPr>
                                              <w:p w:rsidR="00777F15" w:rsidRPr="00180591" w:rsidRDefault="00823880" w:rsidP="00777F15">
                                                <w:pPr>
                                                  <w:rPr>
                                                    <w:rFonts w:ascii="Arial Narrow" w:hAnsi="Arial Narrow"/>
                                                    <w:b/>
                                                    <w:bCs/>
                                                    <w:sz w:val="28"/>
                                                    <w:szCs w:val="28"/>
                                                    <w:lang w:val="it-I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/>
                                                    <w:b/>
                                                    <w:bCs/>
                                                    <w:sz w:val="28"/>
                                                    <w:szCs w:val="28"/>
                                                    <w:lang w:val="it-IT"/>
                                                  </w:rPr>
                                                  <w:t>Volumi</w:t>
                                                </w:r>
                                                <w:r w:rsidR="002C42B1">
                                                  <w:rPr>
                                                    <w:rFonts w:ascii="Arial Narrow" w:hAnsi="Arial Narrow"/>
                                                    <w:b/>
                                                    <w:bCs/>
                                                    <w:sz w:val="28"/>
                                                    <w:szCs w:val="28"/>
                                                    <w:lang w:val="it-IT"/>
                                                  </w:rPr>
                                                  <w:t xml:space="preserve"> globali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b/>
                                                    <w:bCs/>
                                                    <w:sz w:val="28"/>
                                                    <w:szCs w:val="28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/>
                                                    <w:b/>
                                                    <w:bCs/>
                                                    <w:sz w:val="28"/>
                                                    <w:szCs w:val="28"/>
                                                    <w:lang w:val="it-IT"/>
                                                  </w:rPr>
                                                  <w:t xml:space="preserve">immobiliari in calo </w:t>
                                                </w:r>
                                                <w:r w:rsidR="00636868">
                                                  <w:rPr>
                                                    <w:rFonts w:ascii="Arial Narrow" w:hAnsi="Arial Narrow"/>
                                                    <w:b/>
                                                    <w:bCs/>
                                                    <w:sz w:val="28"/>
                                                    <w:szCs w:val="28"/>
                                                    <w:lang w:val="it-IT"/>
                                                  </w:rPr>
                                                  <w:t xml:space="preserve">a causa di una </w:t>
                                                </w:r>
                                                <w:r w:rsidR="00636868" w:rsidRPr="00180591">
                                                  <w:rPr>
                                                    <w:rFonts w:ascii="Arial Narrow" w:hAnsi="Arial Narrow"/>
                                                    <w:b/>
                                                    <w:bCs/>
                                                    <w:sz w:val="28"/>
                                                    <w:szCs w:val="28"/>
                                                    <w:lang w:val="it-IT"/>
                                                  </w:rPr>
                                                  <w:t xml:space="preserve">globale 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b/>
                                                    <w:bCs/>
                                                    <w:sz w:val="28"/>
                                                    <w:szCs w:val="28"/>
                                                    <w:lang w:val="it-IT"/>
                                                  </w:rPr>
                                                  <w:t>volatilità, dice JLL</w:t>
                                                </w:r>
                                              </w:p>
                                              <w:p w:rsidR="00CF044E" w:rsidRDefault="00CF044E" w:rsidP="00777F15">
                                                <w:pPr>
                                                  <w:spacing w:after="140" w:line="320" w:lineRule="exact"/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/>
                                                    <w:b/>
                                                    <w:bCs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(</w:t>
                                                </w:r>
                                                <w:r w:rsidR="008D560C">
                                                  <w:rPr>
                                                    <w:rFonts w:ascii="Arial Narrow" w:hAnsi="Arial Narrow"/>
                                                    <w:b/>
                                                    <w:bCs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21 a</w:t>
                                                </w:r>
                                                <w:r w:rsidR="00777F15" w:rsidRPr="00180591">
                                                  <w:rPr>
                                                    <w:rFonts w:ascii="Arial Narrow" w:hAnsi="Arial Narrow"/>
                                                    <w:b/>
                                                    <w:bCs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pril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b/>
                                                    <w:bCs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e</w:t>
                                                </w:r>
                                                <w:r w:rsidR="00777F15" w:rsidRPr="00180591">
                                                  <w:rPr>
                                                    <w:rFonts w:ascii="Arial Narrow" w:hAnsi="Arial Narrow"/>
                                                    <w:b/>
                                                    <w:bCs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, 2016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)</w:t>
                                                </w:r>
                                              </w:p>
                                              <w:p w:rsidR="00CF044E" w:rsidRDefault="00CF044E" w:rsidP="00777F15">
                                                <w:pPr>
                                                  <w:spacing w:after="140" w:line="320" w:lineRule="exact"/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</w:pPr>
                                              </w:p>
                                              <w:p w:rsidR="00CF044E" w:rsidRDefault="00CF044E" w:rsidP="00777F15">
                                                <w:pPr>
                                                  <w:spacing w:after="140" w:line="320" w:lineRule="exact"/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</w:pPr>
                                              </w:p>
                                              <w:p w:rsidR="00777F15" w:rsidRPr="00180591" w:rsidRDefault="00777F15" w:rsidP="00777F15">
                                                <w:pPr>
                                                  <w:spacing w:after="140" w:line="320" w:lineRule="exact"/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</w:pPr>
                                                <w:r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426ED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Secondo </w:t>
                                                </w:r>
                                                <w:hyperlink r:id="rId8" w:history="1">
                                                  <w:r w:rsidR="00426ED1" w:rsidRPr="00CF044E">
                                                    <w:rPr>
                                                      <w:rStyle w:val="Collegamentoipertestuale"/>
                                                      <w:rFonts w:ascii="Arial Narrow" w:hAnsi="Arial Narrow"/>
                                                      <w:color w:val="auto"/>
                                                      <w:sz w:val="23"/>
                                                      <w:szCs w:val="23"/>
                                                      <w:u w:val="none"/>
                                                      <w:lang w:val="it-IT"/>
                                                    </w:rPr>
                                                    <w:t>i dati preliminari di JLL relativi ai flussi globali di capitale</w:t>
                                                  </w:r>
                                                </w:hyperlink>
                                                <w:r w:rsidR="00426ED1" w:rsidRPr="00CF044E">
                                                  <w:rPr>
                                                    <w:rStyle w:val="Collegamentoipertestuale"/>
                                                    <w:rFonts w:ascii="Arial Narrow" w:hAnsi="Arial Narrow"/>
                                                    <w:color w:val="auto"/>
                                                    <w:sz w:val="23"/>
                                                    <w:szCs w:val="23"/>
                                                    <w:u w:val="none"/>
                                                    <w:lang w:val="it-IT"/>
                                                  </w:rPr>
                                                  <w:t>,</w:t>
                                                </w:r>
                                                <w:r w:rsidR="00C53877">
                                                  <w:rPr>
                                                    <w:rStyle w:val="Collegamentoipertestuale"/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426ED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i </w:t>
                                                </w:r>
                                                <w:r w:rsidR="002C42B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volumi 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globali </w:t>
                                                </w:r>
                                                <w:r w:rsidR="002C42B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delle</w:t>
                                                </w:r>
                                                <w:r w:rsidR="002C42B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transazioni immobiliari </w:t>
                                                </w:r>
                                                <w:r w:rsidR="00426ED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nel primo trimestre di quest'anno</w:t>
                                                </w:r>
                                                <w:r w:rsidR="00426ED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2C42B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sono calati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in linea con </w:t>
                                                </w:r>
                                                <w:r w:rsidR="002C42B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un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="00636868">
                                                  <w:rPr>
                                                    <w:rFonts w:ascii="Arial Narrow" w:hAnsi="Arial Narrow"/>
                                                    <w:i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sentiment</w:t>
                                                </w:r>
                                                <w:proofErr w:type="spellEnd"/>
                                                <w:r w:rsidR="00636868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2C42B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di mercato </w:t>
                                                </w:r>
                                                <w:r w:rsid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più debole</w:t>
                                                </w:r>
                                                <w:r w:rsidR="002C42B1" w:rsidRPr="002C42B1">
                                                  <w:rPr>
                                                    <w:rFonts w:ascii="Arial Narrow" w:hAnsi="Arial Narrow"/>
                                                    <w:color w:val="0000FF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.</w:t>
                                                </w:r>
                                                <w:r w:rsidR="002C42B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Tuttavia, </w:t>
                                                </w:r>
                                                <w:r w:rsidR="002C42B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aree di crescita sono state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regis</w:t>
                                                </w:r>
                                                <w:r w:rsidR="002C42B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trate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in alcune regioni con </w:t>
                                                </w:r>
                                                <w:r w:rsidR="00823880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l’aspettativa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2C42B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che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2C42B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l’attività nel 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2016 riman</w:t>
                                                </w:r>
                                                <w:r w:rsidR="002C42B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ga 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sostanzialmente in linea con il 2015. </w:t>
                                                </w:r>
                                                <w:r w:rsidR="002C42B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I volumi 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EMEA </w:t>
                                                </w:r>
                                                <w:r w:rsidR="00426ED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sono </w:t>
                                                </w:r>
                                                <w:r w:rsidR="002C42B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calati del 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20% anno-su-anno</w:t>
                                                </w:r>
                                                <w:r w:rsidR="00426ED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,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ma è stata registrata </w:t>
                                                </w:r>
                                                <w:r w:rsidR="002C42B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una </w:t>
                                                </w:r>
                                                <w:r w:rsidR="002C42B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crescita 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nei paesi </w:t>
                                                </w:r>
                                                <w:r w:rsidR="002C42B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N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ordici, </w:t>
                                                </w:r>
                                                <w:r w:rsidR="00E0012C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nel 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Benelux e </w:t>
                                                </w:r>
                                                <w:r w:rsidR="00E0012C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nell’area 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CEE.</w:t>
                                                </w:r>
                                              </w:p>
                                              <w:p w:rsidR="00777F15" w:rsidRPr="00180591" w:rsidRDefault="00426ED1" w:rsidP="00777F15">
                                                <w:pPr>
                                                  <w:spacing w:after="140" w:line="320" w:lineRule="exact"/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</w:pPr>
                                                <w:r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N</w:t>
                                                </w:r>
                                                <w:r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el primo trimestre del 2016 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i</w:t>
                                                </w:r>
                                                <w:r w:rsidR="002C42B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v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olumi </w:t>
                                                </w:r>
                                                <w:r w:rsidR="00823880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globali</w:t>
                                                </w:r>
                                                <w:r w:rsidR="00823880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riferiti agli</w:t>
                                                </w:r>
                                                <w:r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investimenti immobiliari </w:t>
                                                </w:r>
                                                <w:r w:rsidR="002C42B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si sono 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ridotti </w:t>
                                                </w:r>
                                                <w:r w:rsidR="002C42B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del </w:t>
                                                </w:r>
                                                <w:r w:rsidR="00823880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17% anno-su-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anno</w:t>
                                                </w:r>
                                                <w:r w:rsidR="002C42B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823880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raggiungendo</w:t>
                                                </w:r>
                                                <w:r w:rsidR="002C42B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US$ 128 miliardi (€ 112 miliardi)</w:t>
                                                </w:r>
                                                <w:r w:rsidR="002C42B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rispetto </w:t>
                                                </w:r>
                                                <w:r w:rsidR="002C42B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a 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US$ 154 mili</w:t>
                                                </w:r>
                                                <w:r w:rsidR="002C42B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ardi (€ 135 miliardi) registrati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nei pr</w:t>
                                                </w:r>
                                                <w:r w:rsidR="00E0012C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imi tre mesi dello scorso anno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777F15" w:rsidRPr="00180591" w:rsidRDefault="002C42B1" w:rsidP="00777F15">
                                                <w:pPr>
                                                  <w:spacing w:after="140" w:line="320" w:lineRule="exact"/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“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L'e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levato livello di volatilità e 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avversione al rischio che abbiamo </w:t>
                                                </w:r>
                                                <w:r w:rsidR="0052624E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registrato 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nelle prime quattro o cinque settimane del 2016</w:t>
                                                </w:r>
                                                <w:r w:rsidR="0052624E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,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52624E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sommat</w:t>
                                                </w:r>
                                                <w:r w:rsidR="00E0012C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i</w:t>
                                                </w:r>
                                                <w:r w:rsidR="0052624E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al fatto che </w:t>
                                                </w:r>
                                                <w:r w:rsidR="00E0012C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il primo è</w:t>
                                                </w:r>
                                                <w:r w:rsidR="0052624E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sempre stato 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il 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trimestre 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più tranquillo dell'anno</w:t>
                                                </w:r>
                                                <w:r w:rsidR="0052624E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,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52624E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hanno fatto apparire 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i risultati per il Q1 2016 </w:t>
                                                </w:r>
                                                <w:r w:rsidR="00823880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abbastanza deboli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,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”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ha detto </w:t>
                                                </w:r>
                                                <w:r w:rsidR="00E0012C" w:rsidRPr="00E0012C">
                                                  <w:rPr>
                                                    <w:rFonts w:ascii="Arial Narrow" w:hAnsi="Arial Narrow"/>
                                                    <w:b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David </w:t>
                                                </w:r>
                                                <w:proofErr w:type="spellStart"/>
                                                <w:r w:rsidR="00E0012C" w:rsidRPr="00E0012C">
                                                  <w:rPr>
                                                    <w:rFonts w:ascii="Arial Narrow" w:hAnsi="Arial Narrow"/>
                                                    <w:b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Green-Morgan</w:t>
                                                </w:r>
                                                <w:proofErr w:type="spellEnd"/>
                                                <w:r w:rsidR="00E0012C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, 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C1556C" w:rsidRPr="00E0012C">
                                                  <w:rPr>
                                                    <w:rFonts w:ascii="Arial Narrow" w:hAnsi="Arial Narrow"/>
                                                    <w:i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Global Ca</w:t>
                                                </w:r>
                                                <w:r w:rsidR="00E0012C" w:rsidRPr="00E0012C">
                                                  <w:rPr>
                                                    <w:rFonts w:ascii="Arial Narrow" w:hAnsi="Arial Narrow"/>
                                                    <w:i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pital </w:t>
                                                </w:r>
                                                <w:proofErr w:type="spellStart"/>
                                                <w:r w:rsidR="00E0012C" w:rsidRPr="00E0012C">
                                                  <w:rPr>
                                                    <w:rFonts w:ascii="Arial Narrow" w:hAnsi="Arial Narrow"/>
                                                    <w:i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Markets</w:t>
                                                </w:r>
                                                <w:proofErr w:type="spellEnd"/>
                                                <w:r w:rsidR="00E0012C" w:rsidRPr="00E0012C">
                                                  <w:rPr>
                                                    <w:rFonts w:ascii="Arial Narrow" w:hAnsi="Arial Narrow"/>
                                                    <w:i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="00E0012C" w:rsidRPr="00E0012C">
                                                  <w:rPr>
                                                    <w:rFonts w:ascii="Arial Narrow" w:hAnsi="Arial Narrow"/>
                                                    <w:i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Research</w:t>
                                                </w:r>
                                                <w:proofErr w:type="spellEnd"/>
                                                <w:r w:rsidR="00E0012C" w:rsidRPr="00E0012C">
                                                  <w:rPr>
                                                    <w:rFonts w:ascii="Arial Narrow" w:hAnsi="Arial Narrow"/>
                                                    <w:i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="00E0012C" w:rsidRPr="00E0012C">
                                                  <w:rPr>
                                                    <w:rFonts w:ascii="Arial Narrow" w:hAnsi="Arial Narrow"/>
                                                    <w:i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Director</w:t>
                                                </w:r>
                                                <w:proofErr w:type="spellEnd"/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. </w:t>
                                                </w:r>
                                              </w:p>
                                              <w:p w:rsidR="00777F15" w:rsidRPr="00180591" w:rsidRDefault="00777F15" w:rsidP="00777F15">
                                                <w:pPr>
                                                  <w:spacing w:after="140" w:line="320" w:lineRule="exact"/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</w:pPr>
                                                <w:r w:rsidRPr="00823880">
                                                  <w:rPr>
                                                    <w:rFonts w:ascii="Arial Narrow" w:hAnsi="Arial Narrow"/>
                                                    <w:color w:val="0000FF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C1556C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“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Tuttavia,</w:t>
                                                </w:r>
                                                <w:r w:rsidR="00C1556C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C1556C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la ripresa è stata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particolarmente veloce, i mercati azionari sono tornati a</w:t>
                                                </w:r>
                                                <w:r w:rsidR="00823880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i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livelli </w:t>
                                                </w:r>
                                                <w:r w:rsidR="00C1556C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di inizio 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gennaio e </w:t>
                                                </w:r>
                                                <w:r w:rsidR="00C1556C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gli </w:t>
                                                </w:r>
                                                <w:r w:rsidR="00180591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spread di credito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C1556C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si sono </w:t>
                                                </w:r>
                                                <w:r w:rsidR="0052624E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nuovamente ridotti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. </w:t>
                                                </w:r>
                                                <w:r w:rsidR="0052624E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Il c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apitale </w:t>
                                                </w:r>
                                                <w:r w:rsidR="00823880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non </w:t>
                                                </w:r>
                                                <w:r w:rsidR="0052624E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utilizzato </w:t>
                                                </w:r>
                                                <w:r w:rsidR="00C1556C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è probabile che venga </w:t>
                                                </w:r>
                                                <w:r w:rsidR="0052624E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investito</w:t>
                                                </w:r>
                                                <w:r w:rsidR="0052624E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C1556C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nel corso del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l'anno, </w:t>
                                                </w:r>
                                                <w:r w:rsidR="00C7296D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facendoci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823880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ritenere 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che </w:t>
                                                </w:r>
                                                <w:r w:rsidR="00C1556C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nel 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2016 </w:t>
                                                </w:r>
                                                <w:r w:rsidR="00C1556C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l’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attività sarà sostanzialmente in linea con </w:t>
                                                </w:r>
                                                <w:r w:rsidR="00C1556C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il 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2015</w:t>
                                                </w:r>
                                                <w:r w:rsidR="00C1556C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,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E0012C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quindi arrivando a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circa US$</w:t>
                                                </w:r>
                                                <w:r w:rsidR="00C1556C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700 miliardi (€ 615 miliardi),” </w:t>
                                                </w:r>
                                                <w:r w:rsidR="00C1556C" w:rsidRPr="00E0012C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ha </w:t>
                                                </w:r>
                                                <w:r w:rsidR="00180591" w:rsidRPr="00E0012C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aggiunto</w:t>
                                                </w:r>
                                                <w:r w:rsidR="00180591" w:rsidRPr="00C1556C">
                                                  <w:rPr>
                                                    <w:rFonts w:ascii="Arial Narrow" w:hAnsi="Arial Narrow"/>
                                                    <w:b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C1556C" w:rsidRPr="00C1556C">
                                                  <w:rPr>
                                                    <w:rFonts w:ascii="Arial Narrow" w:hAnsi="Arial Narrow"/>
                                                    <w:b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Green</w:t>
                                                </w:r>
                                                <w:r w:rsidR="00180591" w:rsidRPr="00C1556C">
                                                  <w:rPr>
                                                    <w:rFonts w:ascii="Arial Narrow" w:hAnsi="Arial Narrow"/>
                                                    <w:b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-Morgan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777F15" w:rsidRPr="00CF044E" w:rsidRDefault="00777F15">
                                                <w:pPr>
                                                  <w:spacing w:after="140" w:line="320" w:lineRule="exact"/>
                                                  <w:rPr>
                                                    <w:rFonts w:ascii="Arial Narrow" w:hAnsi="Arial Narrow"/>
                                                    <w:b/>
                                                    <w:bCs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</w:pPr>
                                              </w:p>
                                              <w:p w:rsidR="00777F15" w:rsidRPr="00C53877" w:rsidRDefault="00C1556C" w:rsidP="00777F15">
                                                <w:pPr>
                                                  <w:spacing w:after="140" w:line="320" w:lineRule="exact"/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</w:pPr>
                                                <w:proofErr w:type="spellStart"/>
                                                <w:r w:rsidRPr="00C53877">
                                                  <w:rPr>
                                                    <w:rFonts w:ascii="Arial Narrow" w:hAnsi="Arial Narrow"/>
                                                    <w:b/>
                                                    <w:bCs/>
                                                    <w:i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H</w:t>
                                                </w:r>
                                                <w:r w:rsidR="00777F15" w:rsidRPr="00C53877">
                                                  <w:rPr>
                                                    <w:rFonts w:ascii="Arial Narrow" w:hAnsi="Arial Narrow"/>
                                                    <w:b/>
                                                    <w:bCs/>
                                                    <w:i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ighlight</w:t>
                                                </w:r>
                                                <w:r w:rsidR="00823880" w:rsidRPr="00C53877">
                                                  <w:rPr>
                                                    <w:rFonts w:ascii="Arial Narrow" w:hAnsi="Arial Narrow"/>
                                                    <w:b/>
                                                    <w:bCs/>
                                                    <w:i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s</w:t>
                                                </w:r>
                                                <w:proofErr w:type="spellEnd"/>
                                                <w:r w:rsidRPr="00C53877">
                                                  <w:rPr>
                                                    <w:rFonts w:ascii="Arial Narrow" w:hAnsi="Arial Narrow"/>
                                                    <w:b/>
                                                    <w:bCs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regionali</w:t>
                                                </w:r>
                                              </w:p>
                                              <w:p w:rsidR="00777F15" w:rsidRPr="00C53877" w:rsidRDefault="00C1556C" w:rsidP="00777F15">
                                                <w:pPr>
                                                  <w:spacing w:after="140" w:line="320" w:lineRule="exact"/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</w:pPr>
                                                <w:r w:rsidRPr="00C53877">
                                                  <w:rPr>
                                                    <w:rFonts w:ascii="Arial Narrow" w:hAnsi="Arial Narrow"/>
                                                    <w:i/>
                                                    <w:iCs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Le Americhe</w:t>
                                                </w:r>
                                                <w:r w:rsidR="00777F15" w:rsidRPr="00C53877">
                                                  <w:rPr>
                                                    <w:rFonts w:ascii="Arial Narrow" w:hAnsi="Arial Narrow"/>
                                                    <w:i/>
                                                    <w:iCs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: </w:t>
                                                </w:r>
                                                <w:r w:rsidR="00823880" w:rsidRPr="00C53877">
                                                  <w:rPr>
                                                    <w:rFonts w:ascii="Arial Narrow" w:hAnsi="Arial Narrow"/>
                                                    <w:i/>
                                                    <w:iCs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il m</w:t>
                                                </w:r>
                                                <w:r w:rsidRPr="00C53877">
                                                  <w:rPr>
                                                    <w:rFonts w:ascii="Arial Narrow" w:hAnsi="Arial Narrow"/>
                                                    <w:i/>
                                                    <w:iCs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ercato </w:t>
                                                </w:r>
                                                <w:r w:rsidR="00E0012C">
                                                  <w:rPr>
                                                    <w:rFonts w:ascii="Arial Narrow" w:hAnsi="Arial Narrow"/>
                                                    <w:i/>
                                                    <w:iCs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c</w:t>
                                                </w:r>
                                                <w:r w:rsidRPr="00C53877">
                                                  <w:rPr>
                                                    <w:rFonts w:ascii="Arial Narrow" w:hAnsi="Arial Narrow"/>
                                                    <w:i/>
                                                    <w:iCs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anadese </w:t>
                                                </w:r>
                                                <w:r w:rsidR="00C7296D" w:rsidRPr="00C53877">
                                                  <w:rPr>
                                                    <w:rFonts w:ascii="Arial Narrow" w:hAnsi="Arial Narrow"/>
                                                    <w:i/>
                                                    <w:iCs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si è </w:t>
                                                </w:r>
                                                <w:r w:rsidRPr="00C53877">
                                                  <w:rPr>
                                                    <w:rFonts w:ascii="Arial Narrow" w:hAnsi="Arial Narrow"/>
                                                    <w:i/>
                                                    <w:iCs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dimostrato </w:t>
                                                </w:r>
                                                <w:r w:rsidR="00C7296D" w:rsidRPr="00C53877">
                                                  <w:rPr>
                                                    <w:rFonts w:ascii="Arial Narrow" w:hAnsi="Arial Narrow"/>
                                                    <w:i/>
                                                    <w:iCs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resistente</w:t>
                                                </w:r>
                                              </w:p>
                                              <w:p w:rsidR="00777F15" w:rsidRPr="00C53877" w:rsidRDefault="00C7296D" w:rsidP="00777F15">
                                                <w:pPr>
                                                  <w:spacing w:after="140" w:line="320" w:lineRule="exact"/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</w:pPr>
                                                <w:r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Nelle Americhe i v</w:t>
                                                </w:r>
                                                <w:r w:rsidR="00180591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olumi sono </w:t>
                                                </w:r>
                                                <w:r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stati </w:t>
                                                </w:r>
                                                <w:r w:rsidR="00180591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inferiori </w:t>
                                                </w:r>
                                                <w:r w:rsidR="00C1556C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del 16% rispetto </w:t>
                                                </w:r>
                                                <w:r w:rsidR="00180591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a</w:t>
                                                </w:r>
                                                <w:r w:rsidR="00C1556C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d</w:t>
                                                </w:r>
                                                <w:r w:rsidR="00180591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un anno fa</w:t>
                                                </w:r>
                                                <w:r w:rsidR="00C1556C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,</w:t>
                                                </w:r>
                                                <w:r w:rsidR="00180591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attestandosi </w:t>
                                                </w:r>
                                                <w:r w:rsidR="00E0012C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su</w:t>
                                                </w:r>
                                                <w:r w:rsidR="00180591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US$ 61 miliardi (€ 53,5 miliardi). </w:t>
                                                </w:r>
                                                <w:r w:rsidR="00C1556C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G</w:t>
                                                </w:r>
                                                <w:r w:rsidR="00180591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li Stati Uniti </w:t>
                                                </w:r>
                                                <w:r w:rsidR="00C1556C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hanno </w:t>
                                                </w:r>
                                                <w:r w:rsidR="00E0012C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mostrato</w:t>
                                                </w:r>
                                                <w:r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C1556C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il declino </w:t>
                                                </w:r>
                                                <w:r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più ampio a livello </w:t>
                                                </w:r>
                                                <w:r w:rsidR="00C1556C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regionale</w:t>
                                                </w:r>
                                                <w:r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,</w:t>
                                                </w:r>
                                                <w:r w:rsidR="00C1556C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180591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con un calo del 16%, ma il mercato </w:t>
                                                </w:r>
                                                <w:r w:rsidR="00E0012C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c</w:t>
                                                </w:r>
                                                <w:r w:rsidR="00180591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anadese </w:t>
                                                </w:r>
                                                <w:r w:rsidR="00DB792D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si è mosso </w:t>
                                                </w:r>
                                                <w:r w:rsidR="00180591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leggermente </w:t>
                                                </w:r>
                                                <w:r w:rsidR="00DB792D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in controtendenza </w:t>
                                                </w:r>
                                                <w:r w:rsidR="00180591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con un calo </w:t>
                                                </w:r>
                                                <w:r w:rsidR="00DB792D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più moderato </w:t>
                                                </w:r>
                                                <w:r w:rsidR="00180591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del 3%. I mercati dell'America Latina </w:t>
                                                </w:r>
                                                <w:r w:rsidR="00DB792D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hanno </w:t>
                                                </w:r>
                                                <w:r w:rsidR="00180591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sofferto</w:t>
                                                </w:r>
                                                <w:r w:rsidR="00DB792D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di più,</w:t>
                                                </w:r>
                                                <w:r w:rsidR="00180591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con </w:t>
                                                </w:r>
                                                <w:r w:rsidR="00DB792D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cali del</w:t>
                                                </w:r>
                                                <w:r w:rsidR="00180591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81% in Brasile e 57% in Messico.</w:t>
                                                </w:r>
                                              </w:p>
                                              <w:p w:rsidR="003F04EC" w:rsidRDefault="003F04EC" w:rsidP="00777F15">
                                                <w:pPr>
                                                  <w:spacing w:after="140" w:line="320" w:lineRule="exact"/>
                                                  <w:rPr>
                                                    <w:rFonts w:ascii="Arial Narrow" w:hAnsi="Arial Narrow"/>
                                                    <w:i/>
                                                    <w:iCs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</w:pPr>
                                              </w:p>
                                              <w:p w:rsidR="00777F15" w:rsidRPr="00DB792D" w:rsidRDefault="00777F15" w:rsidP="00777F15">
                                                <w:pPr>
                                                  <w:spacing w:after="140" w:line="320" w:lineRule="exact"/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</w:pPr>
                                                <w:r w:rsidRPr="00DB792D">
                                                  <w:rPr>
                                                    <w:rFonts w:ascii="Arial Narrow" w:hAnsi="Arial Narrow"/>
                                                    <w:i/>
                                                    <w:iCs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EMEA: </w:t>
                                                </w:r>
                                                <w:r w:rsidR="00823880">
                                                  <w:rPr>
                                                    <w:rFonts w:ascii="Arial Narrow" w:hAnsi="Arial Narrow"/>
                                                    <w:i/>
                                                    <w:iCs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flessioni </w:t>
                                                </w:r>
                                                <w:r w:rsidR="00C7296D">
                                                  <w:rPr>
                                                    <w:rFonts w:ascii="Arial Narrow" w:hAnsi="Arial Narrow"/>
                                                    <w:i/>
                                                    <w:iCs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in</w:t>
                                                </w:r>
                                                <w:r w:rsidR="00C53877">
                                                  <w:rPr>
                                                    <w:rFonts w:ascii="Arial Narrow" w:hAnsi="Arial Narrow"/>
                                                    <w:i/>
                                                    <w:iCs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Pr="00DB792D">
                                                  <w:rPr>
                                                    <w:rFonts w:ascii="Arial Narrow" w:hAnsi="Arial Narrow"/>
                                                    <w:i/>
                                                    <w:iCs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UK </w:t>
                                                </w:r>
                                                <w:r w:rsidR="00DB792D" w:rsidRPr="00DB792D">
                                                  <w:rPr>
                                                    <w:rFonts w:ascii="Arial Narrow" w:hAnsi="Arial Narrow"/>
                                                    <w:i/>
                                                    <w:iCs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ma miglioramenti nei pa</w:t>
                                                </w:r>
                                                <w:r w:rsidR="00DB792D">
                                                  <w:rPr>
                                                    <w:rFonts w:ascii="Arial Narrow" w:hAnsi="Arial Narrow"/>
                                                    <w:i/>
                                                    <w:iCs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esi Nordici</w:t>
                                                </w:r>
                                              </w:p>
                                              <w:p w:rsidR="00777F15" w:rsidRPr="00180591" w:rsidRDefault="00823880" w:rsidP="00777F15">
                                                <w:pPr>
                                                  <w:spacing w:after="140" w:line="320" w:lineRule="exact"/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I v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olumi </w:t>
                                                </w:r>
                                                <w:r w:rsidR="003F04EC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e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uropei sono </w:t>
                                                </w:r>
                                                <w:r w:rsidR="00C7296D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inferior</w:t>
                                                </w:r>
                                                <w:r w:rsidR="00C7296D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i</w:t>
                                                </w:r>
                                                <w:r w:rsidR="00C7296D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DB792D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del 20%,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a US$ 46 miliardi (€ 40 miliardi)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. Fra </w:t>
                                                </w:r>
                                                <w:r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i </w:t>
                                                </w:r>
                                                <w:r w:rsidR="00C7296D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mercati </w:t>
                                                </w:r>
                                                <w:r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principali 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i </w:t>
                                                </w:r>
                                                <w:r w:rsidR="00DB792D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cali 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più </w:t>
                                                </w:r>
                                                <w:r w:rsidR="00DB792D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marcati 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sono stati </w:t>
                                                </w:r>
                                                <w:r w:rsidR="00DB792D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registrati in </w:t>
                                                </w:r>
                                                <w:r w:rsidR="00DB792D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Francia e </w:t>
                                                </w:r>
                                                <w:r w:rsidR="00DB792D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nel </w:t>
                                                </w:r>
                                                <w:r w:rsidR="00DB792D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Regno Unito</w:t>
                                                </w:r>
                                                <w:r w:rsidR="00DB792D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, con flessioni del 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30% e </w:t>
                                                </w:r>
                                                <w:r w:rsidR="00DB792D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del 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37% rispettivamente</w:t>
                                                </w:r>
                                                <w:r w:rsidR="00DB792D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.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DB792D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La 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Germania </w:t>
                                                </w:r>
                                                <w:r w:rsidR="00DB792D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ha </w:t>
                                                </w:r>
                                                <w:r w:rsidR="003F04EC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mostrato una performance 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leggermente </w:t>
                                                </w:r>
                                                <w:r w:rsidR="003F04EC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migliore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con un calo del 7%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,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mentre ci sono stati aumenti </w:t>
                                                </w:r>
                                                <w:r w:rsidR="00DB792D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lastRenderedPageBreak/>
                                                  <w:t xml:space="preserve">nei 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paesi </w:t>
                                                </w:r>
                                                <w:r w:rsidR="00DB792D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N</w:t>
                                                </w:r>
                                                <w:r w:rsidR="00180591" w:rsidRPr="00180591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ordici, Benelux e CEE.</w:t>
                                                </w:r>
                                              </w:p>
                                              <w:p w:rsidR="003F04EC" w:rsidRDefault="003F04EC" w:rsidP="00777F15">
                                                <w:pPr>
                                                  <w:spacing w:after="140" w:line="320" w:lineRule="exact"/>
                                                  <w:rPr>
                                                    <w:rFonts w:ascii="Arial Narrow" w:hAnsi="Arial Narrow"/>
                                                    <w:i/>
                                                    <w:iCs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</w:pPr>
                                              </w:p>
                                              <w:p w:rsidR="00777F15" w:rsidRPr="00DB792D" w:rsidRDefault="00777F15" w:rsidP="00777F15">
                                                <w:pPr>
                                                  <w:spacing w:after="140" w:line="320" w:lineRule="exact"/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</w:pPr>
                                                <w:r w:rsidRPr="00DB792D">
                                                  <w:rPr>
                                                    <w:rFonts w:ascii="Arial Narrow" w:hAnsi="Arial Narrow"/>
                                                    <w:i/>
                                                    <w:iCs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Asia Pacific</w:t>
                                                </w:r>
                                                <w:r w:rsidR="00DB792D" w:rsidRPr="00DB792D">
                                                  <w:rPr>
                                                    <w:rFonts w:ascii="Arial Narrow" w:hAnsi="Arial Narrow"/>
                                                    <w:i/>
                                                    <w:iCs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o</w:t>
                                                </w:r>
                                                <w:r w:rsidRPr="00DB792D">
                                                  <w:rPr>
                                                    <w:rFonts w:ascii="Arial Narrow" w:hAnsi="Arial Narrow"/>
                                                    <w:i/>
                                                    <w:iCs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: </w:t>
                                                </w:r>
                                                <w:r w:rsidR="00C7296D">
                                                  <w:rPr>
                                                    <w:rFonts w:ascii="Arial Narrow" w:hAnsi="Arial Narrow"/>
                                                    <w:i/>
                                                    <w:iCs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aumenti in </w:t>
                                                </w:r>
                                                <w:r w:rsidRPr="00DB792D">
                                                  <w:rPr>
                                                    <w:rFonts w:ascii="Arial Narrow" w:hAnsi="Arial Narrow"/>
                                                    <w:i/>
                                                    <w:iCs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Australia, Hong Kong, South Korea</w:t>
                                                </w:r>
                                              </w:p>
                                              <w:p w:rsidR="00777F15" w:rsidRPr="00C53877" w:rsidRDefault="00C7296D" w:rsidP="00777F15">
                                                <w:pPr>
                                                  <w:spacing w:after="140" w:line="320" w:lineRule="exact"/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</w:pPr>
                                                <w:r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Con </w:t>
                                                </w:r>
                                                <w:r w:rsidR="00823880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US$ 21 miliardi (€ 18 miliardi), i</w:t>
                                                </w:r>
                                                <w:r w:rsidR="00DB792D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volumi per </w:t>
                                                </w:r>
                                                <w:r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la regione </w:t>
                                                </w:r>
                                                <w:r w:rsidR="00180591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Asia Pacific</w:t>
                                                </w:r>
                                                <w:r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o</w:t>
                                                </w:r>
                                                <w:r w:rsidR="00180591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hanno subito un calo del 16%, </w:t>
                                                </w:r>
                                                <w:r w:rsidR="00180591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con attività </w:t>
                                                </w:r>
                                                <w:r w:rsidR="00DB792D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abbastanza </w:t>
                                                </w:r>
                                                <w:r w:rsidR="00180591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divergent</w:t>
                                                </w:r>
                                                <w:r w:rsidR="00DB792D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e</w:t>
                                                </w:r>
                                                <w:r w:rsidR="00180591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1D432C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nella</w:t>
                                                </w:r>
                                                <w:r w:rsidR="00180591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regione. Australia e Hong Kong </w:t>
                                                </w:r>
                                                <w:r w:rsidR="00DB792D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sono </w:t>
                                                </w:r>
                                                <w:r w:rsidR="001D432C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cresciuti</w:t>
                                                </w:r>
                                                <w:r w:rsidR="00DB792D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rispett</w:t>
                                                </w:r>
                                                <w:r w:rsidR="00ED3A38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o</w:t>
                                                </w:r>
                                                <w:r w:rsidR="00DB792D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ad </w:t>
                                                </w:r>
                                                <w:r w:rsidR="00180591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un anno fa</w:t>
                                                </w:r>
                                                <w:r w:rsidR="00ED3A38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e </w:t>
                                                </w:r>
                                                <w:r w:rsidR="00DB792D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anche l’attività </w:t>
                                                </w:r>
                                                <w:r w:rsidR="001D432C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in </w:t>
                                                </w:r>
                                                <w:r w:rsidR="00180591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Corea del </w:t>
                                                </w:r>
                                                <w:r w:rsidR="00DB792D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S</w:t>
                                                </w:r>
                                                <w:r w:rsidR="00180591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ud </w:t>
                                                </w:r>
                                                <w:r w:rsidR="00DB792D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si è </w:t>
                                                </w:r>
                                                <w:r w:rsidR="001D432C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ripresa </w:t>
                                                </w:r>
                                                <w:r w:rsidR="00180591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dal primo trimestre del 2015. Sia in Cina che in Giappone </w:t>
                                                </w:r>
                                                <w:r w:rsidR="00ED3A38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sono stati registrati cali</w:t>
                                                </w:r>
                                                <w:r w:rsidR="001D432C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e,</w:t>
                                                </w:r>
                                                <w:r w:rsidR="00ED3A38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="001D432C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nella </w:t>
                                                </w:r>
                                                <w:r w:rsidR="00180591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maggior parte dei mercati </w:t>
                                                </w:r>
                                                <w:r w:rsidR="001D432C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emergenti, l’attività </w:t>
                                                </w:r>
                                                <w:r w:rsidR="00ED3A38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è stata </w:t>
                                                </w:r>
                                                <w:r w:rsidR="00180591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inferiore </w:t>
                                                </w:r>
                                                <w:r w:rsidR="001D432C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rispetto </w:t>
                                                </w:r>
                                                <w:r w:rsidR="00180591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a</w:t>
                                                </w:r>
                                                <w:r w:rsidR="00ED3A38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l</w:t>
                                                </w:r>
                                                <w:r w:rsidR="00180591" w:rsidRPr="00C53877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Q1 2015.</w:t>
                                                </w:r>
                                              </w:p>
                                              <w:p w:rsidR="007777B8" w:rsidRDefault="007777B8" w:rsidP="007777B8">
                                                <w:pPr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</w:pPr>
                                              </w:p>
                                              <w:p w:rsidR="007777B8" w:rsidRPr="007777B8" w:rsidRDefault="007777B8" w:rsidP="007777B8">
                                                <w:pPr>
                                                  <w:spacing w:after="140" w:line="320" w:lineRule="exact"/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</w:pPr>
                                                <w:r w:rsidRPr="007777B8">
                                                  <w:rPr>
                                                    <w:rFonts w:ascii="Arial Narrow" w:hAnsi="Arial Narrow"/>
                                                    <w:b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Davide Dalmiglio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, </w:t>
                                                </w:r>
                                                <w:r w:rsidRPr="007777B8">
                                                  <w:rPr>
                                                    <w:rFonts w:ascii="Arial Narrow" w:hAnsi="Arial Narrow"/>
                                                    <w:i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Head </w:t>
                                                </w:r>
                                                <w:proofErr w:type="spellStart"/>
                                                <w:r w:rsidRPr="007777B8">
                                                  <w:rPr>
                                                    <w:rFonts w:ascii="Arial Narrow" w:hAnsi="Arial Narrow"/>
                                                    <w:i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of</w:t>
                                                </w:r>
                                                <w:proofErr w:type="spellEnd"/>
                                                <w:r w:rsidRPr="007777B8">
                                                  <w:rPr>
                                                    <w:rFonts w:ascii="Arial Narrow" w:hAnsi="Arial Narrow"/>
                                                    <w:i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Capital </w:t>
                                                </w:r>
                                                <w:proofErr w:type="spellStart"/>
                                                <w:r w:rsidRPr="007777B8">
                                                  <w:rPr>
                                                    <w:rFonts w:ascii="Arial Narrow" w:hAnsi="Arial Narrow"/>
                                                    <w:i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Markets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di JLL Italia, commenta la situazione del nostro mercato: </w:t>
                                                </w:r>
                                                <w:r w:rsidRPr="007777B8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“Il mercato Italiano degli investimenti non è stato toccato d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al calo avvenuto in altri paesi. I</w:t>
                                                </w:r>
                                                <w:r w:rsidRPr="007777B8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n 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totale </w:t>
                                                </w:r>
                                                <w:r w:rsidRPr="007777B8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controtendenza nel Q1  ha visto un a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umento in quasi tutti i settori, </w:t>
                                                </w:r>
                                                <w:r w:rsidRPr="007777B8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in particolare nel settore office Milano, 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nel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retail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 w:rsidRPr="007777B8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High 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S</w:t>
                                                </w:r>
                                                <w:r w:rsidRPr="007777B8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treet e 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nel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r</w:t>
                                                </w:r>
                                                <w:r w:rsidRPr="007777B8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etail</w:t>
                                                </w:r>
                                                <w:proofErr w:type="spellEnd"/>
                                                <w:r w:rsidRPr="007777B8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moderno. Il numero ed il profilo di fonti di capitale, nuovi interessati al mercato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,</w:t>
                                                </w:r>
                                                <w:r w:rsidRPr="007777B8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è in aumento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,</w:t>
                                                </w:r>
                                                <w:r w:rsidRPr="007777B8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>anche per permane la solita difficoltà nel</w:t>
                                                </w:r>
                                                <w:r w:rsidRPr="007777B8"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  <w:t xml:space="preserve"> reperire opportunità in linea con i requisiti e le strategie d’investimento.”</w:t>
                                                </w:r>
                                              </w:p>
                                              <w:p w:rsidR="00777F15" w:rsidRPr="007777B8" w:rsidRDefault="00777F15">
                                                <w:pPr>
                                                  <w:spacing w:after="140" w:line="320" w:lineRule="exact"/>
                                                  <w:jc w:val="center"/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</w:pPr>
                                              </w:p>
                                              <w:p w:rsidR="00777F15" w:rsidRPr="00C53877" w:rsidRDefault="00777F15">
                                                <w:pPr>
                                                  <w:spacing w:after="140" w:line="320" w:lineRule="exact"/>
                                                  <w:jc w:val="center"/>
                                                  <w:rPr>
                                                    <w:rFonts w:ascii="Arial Narrow" w:hAnsi="Arial Narrow"/>
                                                    <w:sz w:val="23"/>
                                                    <w:szCs w:val="23"/>
                                                    <w:lang w:val="it-IT"/>
                                                  </w:rPr>
                                                </w:pPr>
                                              </w:p>
                                              <w:p w:rsidR="00643CAB" w:rsidRPr="00C102F8" w:rsidRDefault="00643CAB">
                                                <w:pPr>
                                                  <w:jc w:val="both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lang w:val="it-IT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43CAB" w:rsidRPr="00C102F8" w:rsidTr="00C102F8">
                                            <w:trPr>
                                              <w:trHeight w:val="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450" w:type="dxa"/>
                                                  <w:bottom w:w="270" w:type="dxa"/>
                                                  <w:right w:w="450" w:type="dxa"/>
                                                </w:tcMar>
                                                <w:hideMark/>
                                              </w:tcPr>
                                              <w:p w:rsidR="00643CAB" w:rsidRPr="00C102F8" w:rsidRDefault="00643CA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  <w:lang w:val="it-IT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643CAB" w:rsidRPr="00CF044E" w:rsidTr="00C102F8">
                                            <w:trPr>
                                              <w:trHeight w:val="61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450" w:type="dxa"/>
                                                  <w:bottom w:w="600" w:type="dxa"/>
                                                  <w:right w:w="45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pPr w:leftFromText="180" w:rightFromText="180" w:vertAnchor="text" w:horzAnchor="margin" w:tblpY="92"/>
                                                  <w:tblOverlap w:val="never"/>
                                                  <w:tblW w:w="9287" w:type="dxa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1666"/>
                                                  <w:gridCol w:w="7621"/>
                                                </w:tblGrid>
                                                <w:tr w:rsidR="00C102F8" w:rsidRPr="00C102F8" w:rsidTr="00C102F8">
                                                  <w:trPr>
                                                    <w:trHeight w:val="245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897" w:type="pct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150" w:type="dxa"/>
                                                        <w:right w:w="45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C102F8" w:rsidRPr="00C102F8" w:rsidRDefault="00C102F8" w:rsidP="001D4885">
                                                      <w:pPr>
                                                        <w:rPr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  <w:lang w:val="it-IT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4103" w:type="pct"/>
                                                      <w:tcBorders>
                                                        <w:top w:val="nil"/>
                                                        <w:left w:val="single" w:sz="8" w:space="0" w:color="000000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450" w:type="dxa"/>
                                                        <w:bottom w:w="15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C102F8" w:rsidRPr="00C102F8" w:rsidRDefault="00C102F8" w:rsidP="001D4885">
                                                      <w:pPr>
                                                        <w:rPr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  <w:lang w:val="it-IT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  <w:tr w:rsidR="00C102F8" w:rsidRPr="00CF044E" w:rsidTr="00C102F8">
                                                  <w:trPr>
                                                    <w:trHeight w:val="677"/>
                                                    <w:tblCellSpacing w:w="0" w:type="dxa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0" w:type="dxa"/>
                                                        <w:left w:w="0" w:type="dxa"/>
                                                        <w:bottom w:w="0" w:type="dxa"/>
                                                        <w:right w:w="45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C102F8" w:rsidRPr="00C102F8" w:rsidRDefault="00C102F8" w:rsidP="001D4885">
                                                      <w:pPr>
                                                        <w:rPr>
                                                          <w:rFonts w:asciiTheme="minorHAnsi" w:eastAsiaTheme="minorEastAsia" w:hAnsiTheme="minorHAnsi" w:cstheme="minorBidi"/>
                                                          <w:lang w:val="it-IT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  <w:tc>
                                                    <w:tcPr>
                                                      <w:tcW w:w="0" w:type="auto"/>
                                                      <w:tcBorders>
                                                        <w:top w:val="nil"/>
                                                        <w:left w:val="single" w:sz="8" w:space="0" w:color="000000"/>
                                                        <w:bottom w:val="nil"/>
                                                        <w:right w:val="nil"/>
                                                      </w:tcBorders>
                                                      <w:tcMar>
                                                        <w:top w:w="0" w:type="dxa"/>
                                                        <w:left w:w="450" w:type="dxa"/>
                                                        <w:bottom w:w="0" w:type="dxa"/>
                                                        <w:right w:w="0" w:type="dxa"/>
                                                      </w:tcMar>
                                                      <w:hideMark/>
                                                    </w:tcPr>
                                                    <w:p w:rsidR="00C102F8" w:rsidRPr="00CF044E" w:rsidRDefault="00C102F8" w:rsidP="001D4885">
                                                      <w:pPr>
                                                        <w:rPr>
                                                          <w:color w:val="0000FF"/>
                                                          <w:sz w:val="24"/>
                                                          <w:szCs w:val="24"/>
                                                          <w:lang w:val="it-IT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643CAB" w:rsidRPr="00CF044E" w:rsidRDefault="00643CAB">
                                                <w:pPr>
                                                  <w:rPr>
                                                    <w:rFonts w:asciiTheme="minorHAnsi" w:eastAsiaTheme="minorEastAsia" w:hAnsiTheme="minorHAnsi" w:cstheme="minorBidi"/>
                                                    <w:lang w:val="it-IT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643CAB" w:rsidRPr="00CF044E" w:rsidRDefault="00643CAB">
                                          <w:pPr>
                                            <w:jc w:val="center"/>
                                            <w:rPr>
                                              <w:rFonts w:asciiTheme="minorHAnsi" w:eastAsiaTheme="minorEastAsia" w:hAnsiTheme="minorHAnsi" w:cstheme="minorBidi"/>
                                              <w:lang w:val="it-IT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643CAB" w:rsidRPr="00CF044E" w:rsidRDefault="00643CAB">
                                    <w:pPr>
                                      <w:rPr>
                                        <w:rFonts w:asciiTheme="minorHAnsi" w:eastAsiaTheme="minorEastAsia" w:hAnsiTheme="minorHAnsi" w:cstheme="minorBidi"/>
                                        <w:lang w:val="it-IT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43CAB" w:rsidRPr="00CF044E" w:rsidRDefault="00643CAB">
                              <w:pPr>
                                <w:rPr>
                                  <w:rFonts w:asciiTheme="minorHAnsi" w:eastAsiaTheme="minorEastAsia" w:hAnsiTheme="minorHAnsi" w:cstheme="minorBidi"/>
                                  <w:lang w:val="it-IT"/>
                                </w:rPr>
                              </w:pPr>
                            </w:p>
                          </w:tc>
                        </w:tr>
                      </w:tbl>
                      <w:p w:rsidR="00643CAB" w:rsidRPr="00CF044E" w:rsidRDefault="00643CAB">
                        <w:pPr>
                          <w:rPr>
                            <w:rFonts w:asciiTheme="minorHAnsi" w:eastAsiaTheme="minorEastAsia" w:hAnsiTheme="minorHAnsi" w:cstheme="minorBidi"/>
                            <w:lang w:val="it-IT"/>
                          </w:rPr>
                        </w:pPr>
                      </w:p>
                    </w:tc>
                    <w:tc>
                      <w:tcPr>
                        <w:tcW w:w="151" w:type="dxa"/>
                        <w:vAlign w:val="center"/>
                        <w:hideMark/>
                      </w:tcPr>
                      <w:p w:rsidR="00643CAB" w:rsidRDefault="00643CAB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lang w:val="it-IT" w:eastAsia="it-IT"/>
                          </w:rPr>
                          <w:lastRenderedPageBreak/>
                          <w:drawing>
                            <wp:inline distT="0" distB="0" distL="0" distR="0">
                              <wp:extent cx="123825" cy="9525"/>
                              <wp:effectExtent l="0" t="0" r="0" b="0"/>
                              <wp:docPr id="2" name="Immagine 2" descr="http://image.jllemail.com/lib/ffcf14/m/1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image.jllemail.com/lib/ffcf14/m/1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r:link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38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643CAB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643CAB" w:rsidRDefault="00643CAB">
                        <w:pPr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51" w:type="dxa"/>
                        <w:vAlign w:val="center"/>
                      </w:tcPr>
                      <w:p w:rsidR="00643CAB" w:rsidRDefault="00643CAB">
                        <w:pPr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43CAB" w:rsidRDefault="00643CAB">
                  <w:pPr>
                    <w:rPr>
                      <w:rFonts w:asciiTheme="minorHAnsi" w:eastAsiaTheme="minorEastAsia" w:hAnsiTheme="minorHAnsi" w:cstheme="minorBidi"/>
                    </w:rPr>
                  </w:pPr>
                </w:p>
              </w:tc>
            </w:tr>
          </w:tbl>
          <w:p w:rsidR="00643CAB" w:rsidRDefault="00643CAB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lang w:val="it-IT" w:eastAsia="it-IT"/>
              </w:rPr>
              <w:lastRenderedPageBreak/>
              <w:drawing>
                <wp:inline distT="0" distB="0" distL="0" distR="0">
                  <wp:extent cx="9525" cy="9525"/>
                  <wp:effectExtent l="0" t="0" r="0" b="0"/>
                  <wp:docPr id="1" name="Immagine 1" descr="http://click.jllinfo.eu/open.aspx?ffcb10-fe4f177876620c7a701c-%25%25ex2;listsubid%25%25-fef21379706206-%25%25ex2;listid%25%25-%25%25ex2;SubscriberID%25%25-%25%25ex2;_JobSubscriberBatchID%25%25&amp;d=%25%25_linkdbid%25%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click.jllinfo.eu/open.aspx?ffcb10-fe4f177876620c7a701c-%25%25ex2;listsubid%25%25-fef21379706206-%25%25ex2;listid%25%25-%25%25ex2;SubscriberID%25%25-%25%25ex2;_JobSubscriberBatchID%25%25&amp;d=%25%25_linkdbid%25%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43CAB" w:rsidRDefault="00643CAB" w:rsidP="00C102F8">
      <w:pPr>
        <w:rPr>
          <w:rFonts w:ascii="Times New Roman" w:hAnsi="Times New Roman"/>
          <w:sz w:val="24"/>
          <w:szCs w:val="24"/>
        </w:rPr>
      </w:pPr>
    </w:p>
    <w:sectPr w:rsidR="00643CAB" w:rsidSect="000005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55C" w:rsidRDefault="00B6055C" w:rsidP="00180591">
      <w:r>
        <w:separator/>
      </w:r>
    </w:p>
  </w:endnote>
  <w:endnote w:type="continuationSeparator" w:id="0">
    <w:p w:rsidR="00B6055C" w:rsidRDefault="00B6055C" w:rsidP="001805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55C" w:rsidRDefault="00B6055C" w:rsidP="00180591">
      <w:r>
        <w:separator/>
      </w:r>
    </w:p>
  </w:footnote>
  <w:footnote w:type="continuationSeparator" w:id="0">
    <w:p w:rsidR="00B6055C" w:rsidRDefault="00B6055C" w:rsidP="0018059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ssimo Bestazza">
    <w15:presenceInfo w15:providerId="Windows Live" w15:userId="e1175b584a5aaaf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643CAB"/>
    <w:rsid w:val="00000538"/>
    <w:rsid w:val="00012526"/>
    <w:rsid w:val="000A08A5"/>
    <w:rsid w:val="00180591"/>
    <w:rsid w:val="001D432C"/>
    <w:rsid w:val="001F2952"/>
    <w:rsid w:val="002418EE"/>
    <w:rsid w:val="002C42B1"/>
    <w:rsid w:val="003750C1"/>
    <w:rsid w:val="003F04EC"/>
    <w:rsid w:val="00426ED1"/>
    <w:rsid w:val="0052624E"/>
    <w:rsid w:val="006102D2"/>
    <w:rsid w:val="00636868"/>
    <w:rsid w:val="00643CAB"/>
    <w:rsid w:val="007777B8"/>
    <w:rsid w:val="00777F15"/>
    <w:rsid w:val="00823880"/>
    <w:rsid w:val="008D4943"/>
    <w:rsid w:val="008D560C"/>
    <w:rsid w:val="009C2762"/>
    <w:rsid w:val="00B6055C"/>
    <w:rsid w:val="00BD2524"/>
    <w:rsid w:val="00C102F8"/>
    <w:rsid w:val="00C1556C"/>
    <w:rsid w:val="00C53877"/>
    <w:rsid w:val="00C7296D"/>
    <w:rsid w:val="00CD705F"/>
    <w:rsid w:val="00CF044E"/>
    <w:rsid w:val="00DB792D"/>
    <w:rsid w:val="00E0012C"/>
    <w:rsid w:val="00E250DF"/>
    <w:rsid w:val="00E324DE"/>
    <w:rsid w:val="00EB45EE"/>
    <w:rsid w:val="00ED3A38"/>
    <w:rsid w:val="00FE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3CAB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43CAB"/>
    <w:rPr>
      <w:color w:val="0000FF"/>
      <w:u w:val="single"/>
    </w:rPr>
  </w:style>
  <w:style w:type="paragraph" w:customStyle="1" w:styleId="JLLPRrowcontent">
    <w:name w:val="JLL_PR row content"/>
    <w:basedOn w:val="Normale"/>
    <w:uiPriority w:val="99"/>
    <w:rsid w:val="00643CAB"/>
    <w:pPr>
      <w:spacing w:line="280" w:lineRule="exact"/>
    </w:pPr>
    <w:rPr>
      <w:rFonts w:ascii="Times New Roman" w:hAnsi="Times New Roman"/>
      <w:sz w:val="23"/>
      <w:szCs w:val="23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CA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CAB"/>
    <w:rPr>
      <w:rFonts w:ascii="Tahoma" w:hAnsi="Tahoma" w:cs="Tahoma"/>
      <w:sz w:val="16"/>
      <w:szCs w:val="16"/>
      <w:lang w:eastAsia="en-GB"/>
    </w:rPr>
  </w:style>
  <w:style w:type="paragraph" w:styleId="Intestazione">
    <w:name w:val="header"/>
    <w:basedOn w:val="Normale"/>
    <w:link w:val="IntestazioneCarattere"/>
    <w:uiPriority w:val="99"/>
    <w:unhideWhenUsed/>
    <w:rsid w:val="0018059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80591"/>
    <w:rPr>
      <w:rFonts w:ascii="Calibri" w:hAnsi="Calibri" w:cs="Times New Roman"/>
      <w:lang w:eastAsia="en-GB"/>
    </w:rPr>
  </w:style>
  <w:style w:type="paragraph" w:styleId="Pidipagina">
    <w:name w:val="footer"/>
    <w:basedOn w:val="Normale"/>
    <w:link w:val="PidipaginaCarattere"/>
    <w:uiPriority w:val="99"/>
    <w:unhideWhenUsed/>
    <w:rsid w:val="0018059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80591"/>
    <w:rPr>
      <w:rFonts w:ascii="Calibri" w:hAnsi="Calibri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CAB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3CAB"/>
    <w:rPr>
      <w:color w:val="0000FF"/>
      <w:u w:val="single"/>
    </w:rPr>
  </w:style>
  <w:style w:type="paragraph" w:customStyle="1" w:styleId="JLLPRrowcontent">
    <w:name w:val="JLL_PR row content"/>
    <w:basedOn w:val="Normal"/>
    <w:uiPriority w:val="99"/>
    <w:rsid w:val="00643CAB"/>
    <w:pPr>
      <w:spacing w:line="280" w:lineRule="exact"/>
    </w:pPr>
    <w:rPr>
      <w:rFonts w:ascii="Times New Roman" w:hAnsi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C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CAB"/>
    <w:rPr>
      <w:rFonts w:ascii="Tahom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8059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591"/>
    <w:rPr>
      <w:rFonts w:ascii="Calibri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8059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591"/>
    <w:rPr>
      <w:rFonts w:ascii="Calibri" w:hAnsi="Calibri" w:cs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investor.jll/news/world/00/global-real-estate-volumes-fall-global-volatility-market-flattens/?category=content&amp;type=content&amp;utm_source=pr&amp;utm_medium=press-release&amp;utm_campaign=Q1%202016%20GCF%20prelims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cid:image001.png@01D19194.5058CFC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3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image" Target="cid:image017.gif@01D19194.5058CFC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2452</TotalTime>
  <Pages>2</Pages>
  <Words>587</Words>
  <Characters>3351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Trevor-Briscoe</dc:creator>
  <cp:lastModifiedBy>paola g lunghini</cp:lastModifiedBy>
  <cp:revision>6</cp:revision>
  <dcterms:created xsi:type="dcterms:W3CDTF">2016-04-20T15:56:00Z</dcterms:created>
  <dcterms:modified xsi:type="dcterms:W3CDTF">2016-04-22T11:15:00Z</dcterms:modified>
</cp:coreProperties>
</file>