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F92" w:rsidRDefault="009E3B8E" w:rsidP="00944325">
      <w:pPr>
        <w:pStyle w:val="Standard"/>
        <w:tabs>
          <w:tab w:val="left" w:pos="5700"/>
        </w:tabs>
        <w:rPr>
          <w:rFonts w:eastAsia="Times New Roman" w:cs="Times New Roman"/>
          <w:b/>
          <w:i/>
          <w:sz w:val="28"/>
          <w:szCs w:val="25"/>
          <w:lang w:eastAsia="it-IT"/>
        </w:rPr>
      </w:pPr>
      <w:r>
        <w:rPr>
          <w:noProof/>
          <w:lang w:eastAsia="it-IT" w:bidi="ar-SA"/>
        </w:rPr>
        <w:drawing>
          <wp:anchor distT="0" distB="0" distL="114300" distR="114300" simplePos="0" relativeHeight="251657728" behindDoc="0" locked="0" layoutInCell="1" allowOverlap="1">
            <wp:simplePos x="0" y="0"/>
            <wp:positionH relativeFrom="column">
              <wp:posOffset>144145</wp:posOffset>
            </wp:positionH>
            <wp:positionV relativeFrom="paragraph">
              <wp:posOffset>78105</wp:posOffset>
            </wp:positionV>
            <wp:extent cx="6115050" cy="1600200"/>
            <wp:effectExtent l="0" t="0" r="0" b="0"/>
            <wp:wrapSquare wrapText="bothSides"/>
            <wp:docPr id="2"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4F92" w:rsidRDefault="000E6E01">
      <w:pPr>
        <w:pStyle w:val="Standard"/>
        <w:jc w:val="center"/>
      </w:pPr>
      <w:r>
        <w:rPr>
          <w:rFonts w:eastAsia="Times New Roman" w:cs="Times New Roman"/>
          <w:b/>
          <w:i/>
          <w:sz w:val="28"/>
          <w:szCs w:val="25"/>
          <w:lang w:eastAsia="it-IT"/>
        </w:rPr>
        <w:t>Oggi in Villa Reale la presentazione della ricerca</w:t>
      </w:r>
    </w:p>
    <w:p w:rsidR="00EC4F92" w:rsidRDefault="000E6E01">
      <w:pPr>
        <w:pStyle w:val="Standard"/>
        <w:jc w:val="center"/>
      </w:pPr>
      <w:r>
        <w:rPr>
          <w:rFonts w:eastAsia="Times New Roman" w:cs="Times New Roman"/>
          <w:b/>
          <w:i/>
          <w:sz w:val="28"/>
          <w:szCs w:val="25"/>
          <w:lang w:eastAsia="it-IT"/>
        </w:rPr>
        <w:t>“Dalla Brianza all’Europa: come nasce e si evolve l’agente immobiliare 3.0”</w:t>
      </w:r>
    </w:p>
    <w:p w:rsidR="00EC4F92" w:rsidRDefault="00EC4F92">
      <w:pPr>
        <w:pStyle w:val="Corpodeltesto3"/>
        <w:rPr>
          <w:sz w:val="32"/>
          <w:szCs w:val="52"/>
        </w:rPr>
      </w:pPr>
    </w:p>
    <w:p w:rsidR="00EC4F92" w:rsidRPr="007D6437" w:rsidRDefault="000E6E01">
      <w:pPr>
        <w:pStyle w:val="Corpodeltesto3"/>
        <w:rPr>
          <w:sz w:val="40"/>
        </w:rPr>
      </w:pPr>
      <w:r w:rsidRPr="007D6437">
        <w:rPr>
          <w:sz w:val="40"/>
          <w:szCs w:val="52"/>
        </w:rPr>
        <w:t>IN EUROPA SONO OLTRE 4,1 MILIONI LE CASE COMPRAVENDUTE IN UN ANNO</w:t>
      </w:r>
    </w:p>
    <w:p w:rsidR="00EC4F92" w:rsidRPr="007D6437" w:rsidRDefault="000E6E01">
      <w:pPr>
        <w:pStyle w:val="Corpodeltesto3"/>
        <w:rPr>
          <w:sz w:val="40"/>
          <w:szCs w:val="52"/>
        </w:rPr>
      </w:pPr>
      <w:r w:rsidRPr="007D6437">
        <w:rPr>
          <w:sz w:val="40"/>
          <w:szCs w:val="52"/>
        </w:rPr>
        <w:t>PER OGNI AGENTE IN MEDIA 10 IMMOBILI</w:t>
      </w:r>
    </w:p>
    <w:p w:rsidR="007D6437" w:rsidRPr="007D6437" w:rsidRDefault="00E51E5B">
      <w:pPr>
        <w:pStyle w:val="Corpodeltesto3"/>
        <w:rPr>
          <w:sz w:val="40"/>
        </w:rPr>
      </w:pPr>
      <w:r>
        <w:rPr>
          <w:sz w:val="40"/>
          <w:szCs w:val="52"/>
        </w:rPr>
        <w:t>ITALIA</w:t>
      </w:r>
      <w:r w:rsidR="007D6437" w:rsidRPr="007D6437">
        <w:rPr>
          <w:sz w:val="40"/>
          <w:szCs w:val="52"/>
        </w:rPr>
        <w:t xml:space="preserve"> AL 5° POSTO PER GIRO D’AFFARI</w:t>
      </w:r>
    </w:p>
    <w:p w:rsidR="00EC4F92" w:rsidRDefault="00EC4F92">
      <w:pPr>
        <w:pStyle w:val="Standard"/>
        <w:jc w:val="both"/>
        <w:rPr>
          <w:rFonts w:eastAsia="Calibri" w:cs="Times New Roman"/>
          <w:sz w:val="14"/>
          <w:szCs w:val="52"/>
        </w:rPr>
      </w:pPr>
    </w:p>
    <w:p w:rsidR="00EC4F92" w:rsidRDefault="000E6E01">
      <w:pPr>
        <w:pStyle w:val="Standard"/>
        <w:jc w:val="both"/>
      </w:pPr>
      <w:r>
        <w:rPr>
          <w:rFonts w:eastAsia="Times New Roman" w:cs="Times New Roman"/>
          <w:b/>
          <w:szCs w:val="28"/>
          <w:lang w:eastAsia="it-IT"/>
        </w:rPr>
        <w:t xml:space="preserve">Il business delle agenzie immobiliari in Europa ammonta a quasi 35 miliardi di Euro. In testa Regno Unito, seguito da Francia e Germania. Successo del “web </w:t>
      </w:r>
      <w:proofErr w:type="spellStart"/>
      <w:r>
        <w:rPr>
          <w:rFonts w:eastAsia="Times New Roman" w:cs="Times New Roman"/>
          <w:b/>
          <w:szCs w:val="28"/>
          <w:lang w:eastAsia="it-IT"/>
        </w:rPr>
        <w:t>real</w:t>
      </w:r>
      <w:proofErr w:type="spellEnd"/>
      <w:r>
        <w:rPr>
          <w:rFonts w:eastAsia="Times New Roman" w:cs="Times New Roman"/>
          <w:b/>
          <w:szCs w:val="28"/>
          <w:lang w:eastAsia="it-IT"/>
        </w:rPr>
        <w:t xml:space="preserve"> estate”: il 69% delle compravendite in Europa, e il 54% in Italia, è legato a pubblicità e annunci online.</w:t>
      </w:r>
    </w:p>
    <w:p w:rsidR="00EC4F92" w:rsidRDefault="00EC4F92">
      <w:pPr>
        <w:pStyle w:val="Standard"/>
        <w:jc w:val="both"/>
        <w:rPr>
          <w:rFonts w:eastAsia="Times New Roman" w:cs="Times New Roman"/>
          <w:b/>
          <w:lang w:eastAsia="it-IT"/>
        </w:rPr>
      </w:pPr>
    </w:p>
    <w:p w:rsidR="00EC4F92" w:rsidRDefault="000E6E01">
      <w:pPr>
        <w:pStyle w:val="Standard"/>
        <w:jc w:val="both"/>
      </w:pPr>
      <w:r>
        <w:rPr>
          <w:rFonts w:cs="Times New Roman"/>
          <w:i/>
        </w:rPr>
        <w:t>Monza, 23 maggio 2016.</w:t>
      </w:r>
      <w:r>
        <w:rPr>
          <w:rFonts w:cs="Times New Roman"/>
        </w:rPr>
        <w:t xml:space="preserve"> Ammontano a oltre 4,1 milioni le case compravendute in Europa nel 2014. Un giro d’affari di quasi 35 miliardi di euro per le agenzie immobiliari. L’Italia  è al 5° posto in Europa con poco più di 2 miliardi di euro di fatturato. In Europa si contano 175mila agenzie e un network fatto da 275mila agenti immobiliari (+62,4% rispetto al 2008) che vendono in media 10 abitazioni in un anno e che, oggi, utilizzano sempre di più portali e canali di informazione digitale, tanto che il 69% delle compravendite in Europa, e il 54% di quelle in Italia, deriva da pubblicità e annunci sul web. Sono alcuni dei numeri dell’indagine </w:t>
      </w:r>
      <w:r>
        <w:rPr>
          <w:rFonts w:cs="Times New Roman"/>
          <w:b/>
          <w:i/>
        </w:rPr>
        <w:t xml:space="preserve">“Dalla Brianza all’Europa: come nasce e si evolve l’agente immobiliare 3.0” </w:t>
      </w:r>
      <w:r>
        <w:rPr>
          <w:rFonts w:cs="Times New Roman"/>
        </w:rPr>
        <w:t>realizzata dalla Camera di commercio di Monza e Brianza, attraverso l’Osservatorio immobiliare, che ha analizzato il ruolo dell’agente immobiliare e la sua evoluzione in 13 Paesi europei (Austria, Belgio, Germania, Danimarca, Spagna, Finlandia, Francia, Irlanda, Italia, Lussemburgo, Olanda, Svezia e Regno Unito). Tutta l’i</w:t>
      </w:r>
      <w:r w:rsidR="00BF278D">
        <w:rPr>
          <w:rFonts w:cs="Times New Roman"/>
        </w:rPr>
        <w:t>ndagine è disponibile da oggi sul</w:t>
      </w:r>
      <w:r>
        <w:rPr>
          <w:rFonts w:cs="Times New Roman"/>
        </w:rPr>
        <w:t xml:space="preserve"> sito www.mb.camcom.it</w:t>
      </w:r>
    </w:p>
    <w:p w:rsidR="00EC4F92" w:rsidRDefault="000E6E01">
      <w:pPr>
        <w:pStyle w:val="Standard"/>
        <w:jc w:val="both"/>
      </w:pPr>
      <w:r>
        <w:rPr>
          <w:rFonts w:cs="Times New Roman"/>
          <w:b/>
          <w:i/>
        </w:rPr>
        <w:t>Le compravendite della casa in Europa</w:t>
      </w:r>
      <w:r>
        <w:rPr>
          <w:rFonts w:cs="Times New Roman"/>
        </w:rPr>
        <w:t xml:space="preserve">  Nei 13 Paesi analizzati nel 2014 sono state compravendute oltre 4,1 milioni di case. Dal 2008 il numero di compravendite ha rallentato la corsa del 2,8% (recupera però dal 2012 +7,4%), mentre i prezzi sono incrementati in media dal 2008 del 4,4% subendo solo lievi aggiustamenti. Quello immobiliare è un settore che conta nell’Europa a 13 circa 175 mila agenzie, le più grandi si concentrano nel Regno Unito e in Irlanda, al lato opposto Belgio, Germania e Svezia. Complessivamente, gravitano attorno a questo network 275 mila agenti immobiliari, in crescita rispetto al 2008 del +62,4%. Nei 13 Paesi considerati il fatturato globale delle agenzie immobiliari è di quasi 35 miliardi di Euro. La graduatoria dei Primi 5 Paesi per livelli di fatturato vede in testa saldamente Regno Unito, seguito da Francia e Germania. L’</w:t>
      </w:r>
      <w:r>
        <w:rPr>
          <w:rFonts w:cs="Times New Roman"/>
          <w:b/>
        </w:rPr>
        <w:t xml:space="preserve">Italia è al 5° posto </w:t>
      </w:r>
      <w:r>
        <w:rPr>
          <w:rFonts w:cs="Times New Roman"/>
        </w:rPr>
        <w:t xml:space="preserve">con 2,1 miliardi di Euro. La maggior parte del fatturato delle agenzie europee proviene da attività di compravendita, seguita da quella dell’affitto (insieme raggiungono il 57%), il 30% dei ricavi proviene da attività di valutazione e di </w:t>
      </w:r>
      <w:proofErr w:type="spellStart"/>
      <w:r>
        <w:rPr>
          <w:rFonts w:cs="Times New Roman"/>
          <w:i/>
        </w:rPr>
        <w:t>advisoring</w:t>
      </w:r>
      <w:proofErr w:type="spellEnd"/>
      <w:r w:rsidR="00432E66">
        <w:rPr>
          <w:rFonts w:cs="Times New Roman"/>
          <w:i/>
        </w:rPr>
        <w:t>,</w:t>
      </w:r>
      <w:bookmarkStart w:id="0" w:name="_GoBack"/>
      <w:bookmarkEnd w:id="0"/>
      <w:r w:rsidR="00E51E5B">
        <w:rPr>
          <w:rFonts w:cs="Times New Roman"/>
        </w:rPr>
        <w:t xml:space="preserve"> ed il 13% da altre attività, fra cui  consulenza ed intermediazione del credito. </w:t>
      </w:r>
    </w:p>
    <w:p w:rsidR="00EC4F92" w:rsidRDefault="000E6E01">
      <w:pPr>
        <w:pStyle w:val="Standard"/>
        <w:jc w:val="both"/>
      </w:pPr>
      <w:r>
        <w:rPr>
          <w:rFonts w:cs="Times New Roman"/>
          <w:b/>
          <w:i/>
        </w:rPr>
        <w:t>I numeri degli agenti immobiliari in Europa</w:t>
      </w:r>
      <w:r>
        <w:t xml:space="preserve"> </w:t>
      </w:r>
      <w:r>
        <w:rPr>
          <w:rFonts w:cs="Times New Roman"/>
        </w:rPr>
        <w:t xml:space="preserve"> In media, un agente dell’Europa intermedia circa 10 case in un anno. Si compravendono più case in Svezia (22,5), Germania (19.3) e Regno Unito (14,0), di meno in Irlanda (3,4), Lussemburgo (4,1) e Italia (4,3). Considerando la percentuale di penetrazione residenziale degli agenti ed il livello medio di commissioni emerge che ad alte </w:t>
      </w:r>
      <w:r>
        <w:rPr>
          <w:rFonts w:cs="Times New Roman"/>
        </w:rPr>
        <w:lastRenderedPageBreak/>
        <w:t>commissioni residenziali corrisponde una percentuale di mercato intermediato non superiore al 50% (come, ad esempio, accade in Francia), mentre per bassi livelli di commissioni, con l’unica eccezione dell’Irlanda, la percentuale di intermediato risulta elevata.</w:t>
      </w:r>
    </w:p>
    <w:p w:rsidR="00EC4F92" w:rsidRDefault="000E6E01">
      <w:pPr>
        <w:pStyle w:val="Standard"/>
        <w:jc w:val="both"/>
      </w:pPr>
      <w:r>
        <w:rPr>
          <w:rFonts w:cs="Times New Roman"/>
          <w:b/>
          <w:i/>
        </w:rPr>
        <w:t>Il futuro dell’agente immobiliare</w:t>
      </w:r>
      <w:r>
        <w:rPr>
          <w:rFonts w:cs="Times New Roman"/>
        </w:rPr>
        <w:t xml:space="preserve">  Il 69% delle compravendite in Europa, e il 54% di quelle in Italia, deriva da pubblicità e annunci online. Rapportando il </w:t>
      </w:r>
      <w:proofErr w:type="spellStart"/>
      <w:r>
        <w:rPr>
          <w:rFonts w:cs="Times New Roman"/>
          <w:i/>
        </w:rPr>
        <w:t>sentiment</w:t>
      </w:r>
      <w:proofErr w:type="spellEnd"/>
      <w:r>
        <w:rPr>
          <w:rFonts w:cs="Times New Roman"/>
        </w:rPr>
        <w:t xml:space="preserve"> europeo a quello nazionale sul tema del “web </w:t>
      </w:r>
      <w:proofErr w:type="spellStart"/>
      <w:r>
        <w:rPr>
          <w:rFonts w:cs="Times New Roman"/>
        </w:rPr>
        <w:t>real</w:t>
      </w:r>
      <w:proofErr w:type="spellEnd"/>
      <w:r>
        <w:rPr>
          <w:rFonts w:cs="Times New Roman"/>
        </w:rPr>
        <w:t xml:space="preserve"> estate”, emerge che in Italia la modalità prevalente di vendita è la pubblicità online (61% contro il 59% europeo). Anche sull’utilizzo della piattaforma MLS, Multiple Listing Service, una piattaforma utilizzata dagli operatori immobiliari per condividere affari tramite l’associazione la quota nazionale è del 17% contro il dato europeo che si attesta al 22%.</w:t>
      </w:r>
    </w:p>
    <w:p w:rsidR="00EC4F92" w:rsidRPr="00150839" w:rsidRDefault="00EC4F92">
      <w:pPr>
        <w:pStyle w:val="Standard"/>
        <w:jc w:val="both"/>
        <w:rPr>
          <w:rFonts w:cs="Times New Roman"/>
          <w:i/>
          <w:sz w:val="10"/>
        </w:rPr>
      </w:pPr>
    </w:p>
    <w:p w:rsidR="00EC4F92" w:rsidRDefault="000E6E01">
      <w:pPr>
        <w:pStyle w:val="Standard"/>
        <w:jc w:val="both"/>
      </w:pPr>
      <w:r>
        <w:rPr>
          <w:rFonts w:cs="Times New Roman"/>
          <w:i/>
        </w:rPr>
        <w:t xml:space="preserve">“Il marketing immobiliare è strettamente connesso al marketing territoriale – ha dichiarato </w:t>
      </w:r>
      <w:r>
        <w:rPr>
          <w:rFonts w:cs="Times New Roman"/>
          <w:b/>
          <w:i/>
        </w:rPr>
        <w:t>Carlo Edoardo Valli</w:t>
      </w:r>
      <w:r>
        <w:rPr>
          <w:rFonts w:cs="Times New Roman"/>
          <w:i/>
        </w:rPr>
        <w:t xml:space="preserve">  Presidente della Camera di commercio di Monza e Brianza - Il professionista immobiliare lavora direttamente sui territori, possiamo giustamente dire che opera come promoter, perché vendendo gli immobili vende indirettamente quel territorio.”</w:t>
      </w:r>
    </w:p>
    <w:p w:rsidR="00EC4F92" w:rsidRPr="00150839" w:rsidRDefault="00EC4F92">
      <w:pPr>
        <w:pStyle w:val="Standard"/>
        <w:jc w:val="both"/>
        <w:rPr>
          <w:rFonts w:cs="Times New Roman"/>
          <w:sz w:val="8"/>
          <w:shd w:val="clear" w:color="auto" w:fill="FFFF00"/>
        </w:rPr>
      </w:pPr>
    </w:p>
    <w:p w:rsidR="00EC4F92" w:rsidRDefault="00B80F2D">
      <w:pPr>
        <w:pStyle w:val="Standard"/>
        <w:jc w:val="both"/>
      </w:pPr>
      <w:r>
        <w:rPr>
          <w:rFonts w:cs="Times New Roman"/>
          <w:i/>
        </w:rPr>
        <w:t xml:space="preserve"> </w:t>
      </w:r>
      <w:r w:rsidR="000E6E01">
        <w:rPr>
          <w:rFonts w:cs="Times New Roman"/>
          <w:i/>
        </w:rPr>
        <w:t xml:space="preserve">“Oggi l’agente immobiliare è un vero e proprio consulente che non può più solo occuparsi dell’andamento dei prezzi, della valutazione immobiliare e di promuovere il suo portafoglio prodotti, ma ha il compito di proteggere il cliente, facendo percepire il valore dei propri servizi, che sono di natura legale, edile, urbanistica ed ambientale. Per questo rivestono un ruolo rilevante le politiche associative e soprattutto la capacità di fare formazione.- </w:t>
      </w:r>
      <w:r w:rsidR="000E6E01">
        <w:rPr>
          <w:rFonts w:cs="Times New Roman"/>
        </w:rPr>
        <w:t xml:space="preserve">ha dichiarato </w:t>
      </w:r>
      <w:r w:rsidR="000E6E01">
        <w:rPr>
          <w:rFonts w:cs="Times New Roman"/>
          <w:b/>
        </w:rPr>
        <w:t xml:space="preserve">Mauro </w:t>
      </w:r>
      <w:proofErr w:type="spellStart"/>
      <w:r w:rsidR="000E6E01">
        <w:rPr>
          <w:rFonts w:cs="Times New Roman"/>
          <w:b/>
        </w:rPr>
        <w:t>Danielli</w:t>
      </w:r>
      <w:proofErr w:type="spellEnd"/>
      <w:r w:rsidR="000E6E01">
        <w:rPr>
          <w:rFonts w:cs="Times New Roman"/>
          <w:b/>
        </w:rPr>
        <w:t xml:space="preserve">  </w:t>
      </w:r>
      <w:r w:rsidR="000E6E01">
        <w:rPr>
          <w:rFonts w:cs="Times New Roman"/>
        </w:rPr>
        <w:t>Presidente dell’Osservatorio del Territorio e degli Immobili della Brianza della Camera di commercio di Monza e Brianza</w:t>
      </w:r>
      <w:r w:rsidR="000E6E01">
        <w:rPr>
          <w:rFonts w:cs="Times New Roman"/>
          <w:b/>
        </w:rPr>
        <w:t xml:space="preserve"> </w:t>
      </w:r>
      <w:r w:rsidR="000E6E01">
        <w:rPr>
          <w:rFonts w:cs="Times New Roman"/>
          <w:i/>
        </w:rPr>
        <w:t>–</w:t>
      </w:r>
      <w:r w:rsidR="000E6E01">
        <w:rPr>
          <w:rFonts w:cs="Times New Roman"/>
          <w:i/>
          <w:iCs/>
        </w:rPr>
        <w:t xml:space="preserve"> Da osservare a tal riguardo che la tanto auspicata liberalizzazione dell’attività professionale è stata giudicata nei giudizi raccolti dalle associazioni europee, anche nei Paesi più liberisti che hanno intrapreso azioni in tal senso, rischiosa in quanto capace di creare un vuoto normativo che potrebbe danneggiare sia i professionisti sia i consumatori.</w:t>
      </w:r>
      <w:r w:rsidR="000E6E01">
        <w:rPr>
          <w:rFonts w:cs="Times New Roman"/>
          <w:i/>
        </w:rPr>
        <w:t xml:space="preserve">” </w:t>
      </w:r>
    </w:p>
    <w:p w:rsidR="00EC4F92" w:rsidRDefault="00EC4F92">
      <w:pPr>
        <w:pStyle w:val="Standard"/>
        <w:jc w:val="both"/>
        <w:rPr>
          <w:rFonts w:cs="Times New Roman"/>
          <w:i/>
        </w:rPr>
      </w:pPr>
    </w:p>
    <w:p w:rsidR="00B80F2D" w:rsidRDefault="009E3B8E" w:rsidP="00B80F2D">
      <w:pPr>
        <w:pStyle w:val="Standard"/>
        <w:jc w:val="center"/>
        <w:rPr>
          <w:rFonts w:cs="Times New Roman"/>
          <w:i/>
        </w:rPr>
      </w:pPr>
      <w:r>
        <w:rPr>
          <w:noProof/>
          <w:lang w:eastAsia="it-IT" w:bidi="ar-SA"/>
        </w:rPr>
        <w:drawing>
          <wp:inline distT="0" distB="0" distL="0" distR="0">
            <wp:extent cx="4105275" cy="206692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2066925"/>
                    </a:xfrm>
                    <a:prstGeom prst="rect">
                      <a:avLst/>
                    </a:prstGeom>
                    <a:noFill/>
                    <a:ln>
                      <a:noFill/>
                    </a:ln>
                  </pic:spPr>
                </pic:pic>
              </a:graphicData>
            </a:graphic>
          </wp:inline>
        </w:drawing>
      </w:r>
    </w:p>
    <w:p w:rsidR="00B80F2D" w:rsidRDefault="00B80F2D">
      <w:pPr>
        <w:pStyle w:val="Standard"/>
        <w:jc w:val="both"/>
        <w:rPr>
          <w:rFonts w:cs="Times New Roman"/>
          <w:i/>
        </w:rPr>
      </w:pPr>
    </w:p>
    <w:p w:rsidR="00EC4F92" w:rsidRDefault="000E6E01">
      <w:pPr>
        <w:pStyle w:val="Standard"/>
        <w:jc w:val="both"/>
        <w:rPr>
          <w:rFonts w:cs="Times New Roman"/>
          <w:b/>
          <w:color w:val="000000"/>
          <w:lang w:eastAsia="it-IT"/>
        </w:rPr>
      </w:pPr>
      <w:r>
        <w:rPr>
          <w:rFonts w:cs="Times New Roman"/>
          <w:b/>
          <w:color w:val="000000"/>
          <w:lang w:eastAsia="it-IT"/>
        </w:rPr>
        <w:t xml:space="preserve">Differenze predominanti “web </w:t>
      </w:r>
      <w:proofErr w:type="spellStart"/>
      <w:r>
        <w:rPr>
          <w:rFonts w:cs="Times New Roman"/>
          <w:b/>
          <w:color w:val="000000"/>
          <w:lang w:eastAsia="it-IT"/>
        </w:rPr>
        <w:t>real</w:t>
      </w:r>
      <w:proofErr w:type="spellEnd"/>
      <w:r>
        <w:rPr>
          <w:rFonts w:cs="Times New Roman"/>
          <w:b/>
          <w:color w:val="000000"/>
          <w:lang w:eastAsia="it-IT"/>
        </w:rPr>
        <w:t xml:space="preserve"> estate” Europa – Italia (% di risposte “positive”)</w:t>
      </w:r>
    </w:p>
    <w:tbl>
      <w:tblPr>
        <w:tblW w:w="9778" w:type="dxa"/>
        <w:tblInd w:w="-108" w:type="dxa"/>
        <w:tblLayout w:type="fixed"/>
        <w:tblCellMar>
          <w:left w:w="10" w:type="dxa"/>
          <w:right w:w="10" w:type="dxa"/>
        </w:tblCellMar>
        <w:tblLook w:val="0000" w:firstRow="0" w:lastRow="0" w:firstColumn="0" w:lastColumn="0" w:noHBand="0" w:noVBand="0"/>
      </w:tblPr>
      <w:tblGrid>
        <w:gridCol w:w="3259"/>
        <w:gridCol w:w="3259"/>
        <w:gridCol w:w="3260"/>
      </w:tblGrid>
      <w:tr w:rsidR="00B80F2D" w:rsidTr="000E6E01">
        <w:trPr>
          <w:trHeight w:val="74"/>
        </w:trPr>
        <w:tc>
          <w:tcPr>
            <w:tcW w:w="3259" w:type="dxa"/>
            <w:tcBorders>
              <w:top w:val="single" w:sz="8" w:space="0" w:color="000001"/>
            </w:tcBorders>
            <w:shd w:val="clear" w:color="auto" w:fill="C0C0C0"/>
            <w:tcMar>
              <w:top w:w="0" w:type="dxa"/>
              <w:left w:w="108" w:type="dxa"/>
              <w:bottom w:w="0" w:type="dxa"/>
              <w:right w:w="108" w:type="dxa"/>
            </w:tcMar>
          </w:tcPr>
          <w:p w:rsidR="00B80F2D" w:rsidRDefault="00B80F2D" w:rsidP="000E6E01">
            <w:pPr>
              <w:pStyle w:val="Paragrafoelenco"/>
              <w:tabs>
                <w:tab w:val="left" w:pos="567"/>
              </w:tabs>
              <w:ind w:left="0"/>
              <w:rPr>
                <w:rFonts w:cs="F"/>
                <w:b/>
                <w:bCs/>
                <w:color w:val="000000"/>
                <w:sz w:val="20"/>
                <w:szCs w:val="20"/>
                <w:lang w:eastAsia="it-IT"/>
              </w:rPr>
            </w:pPr>
          </w:p>
        </w:tc>
        <w:tc>
          <w:tcPr>
            <w:tcW w:w="3259" w:type="dxa"/>
            <w:tcBorders>
              <w:top w:val="single" w:sz="8" w:space="0" w:color="000001"/>
            </w:tcBorders>
            <w:shd w:val="clear" w:color="auto" w:fill="C0C0C0"/>
            <w:tcMar>
              <w:top w:w="0" w:type="dxa"/>
              <w:left w:w="108" w:type="dxa"/>
              <w:bottom w:w="0" w:type="dxa"/>
              <w:right w:w="108" w:type="dxa"/>
            </w:tcMar>
          </w:tcPr>
          <w:p w:rsidR="00B80F2D" w:rsidRDefault="00B80F2D" w:rsidP="000E6E01">
            <w:pPr>
              <w:pStyle w:val="Paragrafoelenco"/>
              <w:tabs>
                <w:tab w:val="left" w:pos="567"/>
              </w:tabs>
              <w:ind w:left="0"/>
              <w:jc w:val="center"/>
              <w:rPr>
                <w:rFonts w:cs="F"/>
                <w:color w:val="000000"/>
                <w:lang w:eastAsia="it-IT"/>
              </w:rPr>
            </w:pPr>
            <w:r>
              <w:rPr>
                <w:rFonts w:cs="F"/>
                <w:color w:val="000000"/>
                <w:sz w:val="20"/>
                <w:szCs w:val="20"/>
                <w:lang w:eastAsia="it-IT"/>
              </w:rPr>
              <w:t>Europa</w:t>
            </w:r>
          </w:p>
        </w:tc>
        <w:tc>
          <w:tcPr>
            <w:tcW w:w="3260" w:type="dxa"/>
            <w:tcBorders>
              <w:top w:val="single" w:sz="8" w:space="0" w:color="000001"/>
            </w:tcBorders>
            <w:shd w:val="clear" w:color="auto" w:fill="C0C0C0"/>
            <w:tcMar>
              <w:top w:w="0" w:type="dxa"/>
              <w:left w:w="108" w:type="dxa"/>
              <w:bottom w:w="0" w:type="dxa"/>
              <w:right w:w="108" w:type="dxa"/>
            </w:tcMar>
          </w:tcPr>
          <w:p w:rsidR="00B80F2D" w:rsidRDefault="00B80F2D" w:rsidP="000E6E01">
            <w:pPr>
              <w:pStyle w:val="Paragrafoelenco"/>
              <w:tabs>
                <w:tab w:val="left" w:pos="567"/>
              </w:tabs>
              <w:ind w:left="0"/>
              <w:jc w:val="center"/>
              <w:rPr>
                <w:rFonts w:cs="F"/>
                <w:color w:val="000000"/>
                <w:lang w:eastAsia="it-IT"/>
              </w:rPr>
            </w:pPr>
            <w:r>
              <w:rPr>
                <w:rFonts w:cs="F"/>
                <w:color w:val="000000"/>
                <w:sz w:val="20"/>
                <w:szCs w:val="20"/>
                <w:lang w:eastAsia="it-IT"/>
              </w:rPr>
              <w:t>Italia</w:t>
            </w:r>
          </w:p>
        </w:tc>
      </w:tr>
      <w:tr w:rsidR="00B80F2D" w:rsidTr="000E6E01">
        <w:trPr>
          <w:trHeight w:val="74"/>
        </w:trPr>
        <w:tc>
          <w:tcPr>
            <w:tcW w:w="3259" w:type="dxa"/>
            <w:tcMar>
              <w:top w:w="0" w:type="dxa"/>
              <w:left w:w="108" w:type="dxa"/>
              <w:bottom w:w="0" w:type="dxa"/>
              <w:right w:w="108" w:type="dxa"/>
            </w:tcMar>
            <w:vAlign w:val="center"/>
          </w:tcPr>
          <w:p w:rsidR="00B80F2D" w:rsidRDefault="00B80F2D" w:rsidP="000E6E01">
            <w:pPr>
              <w:pStyle w:val="Standard"/>
              <w:tabs>
                <w:tab w:val="left" w:pos="567"/>
              </w:tabs>
              <w:rPr>
                <w:rFonts w:cs="F"/>
                <w:b/>
                <w:bCs/>
                <w:color w:val="000000"/>
                <w:lang w:eastAsia="it-IT"/>
              </w:rPr>
            </w:pPr>
            <w:r>
              <w:rPr>
                <w:rFonts w:cs="F"/>
                <w:b/>
                <w:bCs/>
                <w:color w:val="000000"/>
                <w:sz w:val="20"/>
                <w:szCs w:val="20"/>
                <w:lang w:eastAsia="it-IT"/>
              </w:rPr>
              <w:t>Sito per vendere immobili dell’Associazione</w:t>
            </w:r>
          </w:p>
        </w:tc>
        <w:tc>
          <w:tcPr>
            <w:tcW w:w="3259" w:type="dxa"/>
            <w:tcMar>
              <w:top w:w="0" w:type="dxa"/>
              <w:left w:w="108" w:type="dxa"/>
              <w:bottom w:w="0" w:type="dxa"/>
              <w:right w:w="108" w:type="dxa"/>
            </w:tcMar>
            <w:vAlign w:val="center"/>
          </w:tcPr>
          <w:p w:rsidR="00B80F2D" w:rsidRDefault="00B80F2D" w:rsidP="000E6E01">
            <w:pPr>
              <w:pStyle w:val="Paragrafoelenco"/>
              <w:tabs>
                <w:tab w:val="left" w:pos="567"/>
              </w:tabs>
              <w:ind w:left="0"/>
              <w:jc w:val="center"/>
              <w:rPr>
                <w:rFonts w:cs="F"/>
                <w:color w:val="000000"/>
                <w:lang w:eastAsia="it-IT"/>
              </w:rPr>
            </w:pPr>
            <w:r>
              <w:rPr>
                <w:rFonts w:cs="F"/>
                <w:b/>
                <w:color w:val="000000"/>
                <w:sz w:val="20"/>
                <w:szCs w:val="20"/>
                <w:lang w:eastAsia="it-IT"/>
              </w:rPr>
              <w:t>56%</w:t>
            </w:r>
          </w:p>
        </w:tc>
        <w:tc>
          <w:tcPr>
            <w:tcW w:w="3260" w:type="dxa"/>
            <w:tcMar>
              <w:top w:w="0" w:type="dxa"/>
              <w:left w:w="108" w:type="dxa"/>
              <w:bottom w:w="0" w:type="dxa"/>
              <w:right w:w="108" w:type="dxa"/>
            </w:tcMar>
            <w:vAlign w:val="center"/>
          </w:tcPr>
          <w:p w:rsidR="00B80F2D" w:rsidRDefault="00B80F2D" w:rsidP="000E6E01">
            <w:pPr>
              <w:pStyle w:val="Paragrafoelenco"/>
              <w:tabs>
                <w:tab w:val="left" w:pos="567"/>
              </w:tabs>
              <w:ind w:left="0"/>
              <w:jc w:val="center"/>
              <w:rPr>
                <w:rFonts w:cs="F"/>
                <w:color w:val="000000"/>
                <w:lang w:eastAsia="it-IT"/>
              </w:rPr>
            </w:pPr>
            <w:r>
              <w:rPr>
                <w:rFonts w:cs="F"/>
                <w:b/>
                <w:color w:val="000000"/>
                <w:sz w:val="20"/>
                <w:szCs w:val="20"/>
                <w:lang w:eastAsia="it-IT"/>
              </w:rPr>
              <w:t>60%</w:t>
            </w:r>
          </w:p>
        </w:tc>
      </w:tr>
      <w:tr w:rsidR="00B80F2D" w:rsidTr="000E6E01">
        <w:trPr>
          <w:trHeight w:val="74"/>
        </w:trPr>
        <w:tc>
          <w:tcPr>
            <w:tcW w:w="3259" w:type="dxa"/>
            <w:tcMar>
              <w:top w:w="0" w:type="dxa"/>
              <w:left w:w="108" w:type="dxa"/>
              <w:bottom w:w="0" w:type="dxa"/>
              <w:right w:w="108" w:type="dxa"/>
            </w:tcMar>
            <w:vAlign w:val="center"/>
          </w:tcPr>
          <w:p w:rsidR="00B80F2D" w:rsidRDefault="00B80F2D" w:rsidP="000E6E01">
            <w:pPr>
              <w:pStyle w:val="Paragrafoelenco"/>
              <w:tabs>
                <w:tab w:val="left" w:pos="567"/>
              </w:tabs>
              <w:ind w:left="0"/>
              <w:rPr>
                <w:rFonts w:cs="F"/>
                <w:b/>
                <w:bCs/>
                <w:color w:val="000000"/>
                <w:sz w:val="20"/>
                <w:szCs w:val="20"/>
                <w:lang w:eastAsia="it-IT"/>
              </w:rPr>
            </w:pPr>
          </w:p>
        </w:tc>
        <w:tc>
          <w:tcPr>
            <w:tcW w:w="3259" w:type="dxa"/>
            <w:tcMar>
              <w:top w:w="0" w:type="dxa"/>
              <w:left w:w="108" w:type="dxa"/>
              <w:bottom w:w="0" w:type="dxa"/>
              <w:right w:w="108" w:type="dxa"/>
            </w:tcMar>
            <w:vAlign w:val="center"/>
          </w:tcPr>
          <w:p w:rsidR="00B80F2D" w:rsidRDefault="00B80F2D" w:rsidP="000E6E01">
            <w:pPr>
              <w:pStyle w:val="Paragrafoelenco"/>
              <w:tabs>
                <w:tab w:val="left" w:pos="567"/>
              </w:tabs>
              <w:ind w:left="0"/>
              <w:jc w:val="center"/>
              <w:rPr>
                <w:rFonts w:cs="F"/>
                <w:b/>
                <w:color w:val="000000"/>
                <w:sz w:val="20"/>
                <w:szCs w:val="20"/>
                <w:lang w:eastAsia="it-IT"/>
              </w:rPr>
            </w:pPr>
          </w:p>
        </w:tc>
        <w:tc>
          <w:tcPr>
            <w:tcW w:w="3260" w:type="dxa"/>
            <w:tcMar>
              <w:top w:w="0" w:type="dxa"/>
              <w:left w:w="108" w:type="dxa"/>
              <w:bottom w:w="0" w:type="dxa"/>
              <w:right w:w="108" w:type="dxa"/>
            </w:tcMar>
            <w:vAlign w:val="center"/>
          </w:tcPr>
          <w:p w:rsidR="00B80F2D" w:rsidRDefault="00B80F2D" w:rsidP="000E6E01">
            <w:pPr>
              <w:pStyle w:val="Paragrafoelenco"/>
              <w:tabs>
                <w:tab w:val="left" w:pos="567"/>
              </w:tabs>
              <w:ind w:left="0"/>
              <w:jc w:val="center"/>
              <w:rPr>
                <w:rFonts w:cs="F"/>
                <w:b/>
                <w:color w:val="000000"/>
                <w:sz w:val="20"/>
                <w:szCs w:val="20"/>
                <w:lang w:eastAsia="it-IT"/>
              </w:rPr>
            </w:pPr>
          </w:p>
        </w:tc>
      </w:tr>
      <w:tr w:rsidR="00B80F2D" w:rsidTr="000E6E01">
        <w:trPr>
          <w:trHeight w:val="74"/>
        </w:trPr>
        <w:tc>
          <w:tcPr>
            <w:tcW w:w="3259" w:type="dxa"/>
            <w:tcMar>
              <w:top w:w="0" w:type="dxa"/>
              <w:left w:w="108" w:type="dxa"/>
              <w:bottom w:w="0" w:type="dxa"/>
              <w:right w:w="108" w:type="dxa"/>
            </w:tcMar>
            <w:vAlign w:val="center"/>
          </w:tcPr>
          <w:p w:rsidR="00B80F2D" w:rsidRDefault="00B80F2D" w:rsidP="000E6E01">
            <w:pPr>
              <w:pStyle w:val="Paragrafoelenco"/>
              <w:tabs>
                <w:tab w:val="left" w:pos="567"/>
              </w:tabs>
              <w:ind w:left="0"/>
              <w:rPr>
                <w:rFonts w:cs="F"/>
                <w:b/>
                <w:bCs/>
                <w:color w:val="000000"/>
                <w:lang w:eastAsia="it-IT"/>
              </w:rPr>
            </w:pPr>
            <w:r>
              <w:rPr>
                <w:rFonts w:cs="F"/>
                <w:b/>
                <w:bCs/>
                <w:color w:val="000000"/>
                <w:sz w:val="20"/>
                <w:szCs w:val="20"/>
                <w:lang w:eastAsia="it-IT"/>
              </w:rPr>
              <w:t>Quota compravendite in seguito a pubblicità su web</w:t>
            </w:r>
          </w:p>
        </w:tc>
        <w:tc>
          <w:tcPr>
            <w:tcW w:w="3259" w:type="dxa"/>
            <w:tcMar>
              <w:top w:w="0" w:type="dxa"/>
              <w:left w:w="108" w:type="dxa"/>
              <w:bottom w:w="0" w:type="dxa"/>
              <w:right w:w="108" w:type="dxa"/>
            </w:tcMar>
            <w:vAlign w:val="center"/>
          </w:tcPr>
          <w:p w:rsidR="00B80F2D" w:rsidRDefault="00B80F2D" w:rsidP="000E6E01">
            <w:pPr>
              <w:pStyle w:val="Paragrafoelenco"/>
              <w:tabs>
                <w:tab w:val="left" w:pos="567"/>
              </w:tabs>
              <w:ind w:left="0"/>
              <w:jc w:val="center"/>
              <w:rPr>
                <w:rFonts w:cs="F"/>
                <w:color w:val="000000"/>
                <w:lang w:eastAsia="it-IT"/>
              </w:rPr>
            </w:pPr>
            <w:r>
              <w:rPr>
                <w:rFonts w:cs="F"/>
                <w:b/>
                <w:color w:val="000000"/>
                <w:sz w:val="20"/>
                <w:szCs w:val="20"/>
                <w:lang w:eastAsia="it-IT"/>
              </w:rPr>
              <w:t>69%</w:t>
            </w:r>
          </w:p>
        </w:tc>
        <w:tc>
          <w:tcPr>
            <w:tcW w:w="3260" w:type="dxa"/>
            <w:tcMar>
              <w:top w:w="0" w:type="dxa"/>
              <w:left w:w="108" w:type="dxa"/>
              <w:bottom w:w="0" w:type="dxa"/>
              <w:right w:w="108" w:type="dxa"/>
            </w:tcMar>
            <w:vAlign w:val="center"/>
          </w:tcPr>
          <w:p w:rsidR="00B80F2D" w:rsidRDefault="00B80F2D" w:rsidP="000E6E01">
            <w:pPr>
              <w:pStyle w:val="Paragrafoelenco"/>
              <w:tabs>
                <w:tab w:val="left" w:pos="567"/>
              </w:tabs>
              <w:ind w:left="0"/>
              <w:jc w:val="center"/>
              <w:rPr>
                <w:rFonts w:cs="F"/>
                <w:color w:val="000000"/>
                <w:lang w:eastAsia="it-IT"/>
              </w:rPr>
            </w:pPr>
            <w:r>
              <w:rPr>
                <w:rFonts w:cs="F"/>
                <w:b/>
                <w:color w:val="000000"/>
                <w:sz w:val="20"/>
                <w:szCs w:val="20"/>
                <w:lang w:eastAsia="it-IT"/>
              </w:rPr>
              <w:t>54%</w:t>
            </w:r>
          </w:p>
        </w:tc>
      </w:tr>
      <w:tr w:rsidR="00B80F2D" w:rsidTr="000E6E01">
        <w:trPr>
          <w:trHeight w:val="74"/>
        </w:trPr>
        <w:tc>
          <w:tcPr>
            <w:tcW w:w="3259" w:type="dxa"/>
            <w:tcMar>
              <w:top w:w="0" w:type="dxa"/>
              <w:left w:w="108" w:type="dxa"/>
              <w:bottom w:w="0" w:type="dxa"/>
              <w:right w:w="108" w:type="dxa"/>
            </w:tcMar>
            <w:vAlign w:val="center"/>
          </w:tcPr>
          <w:p w:rsidR="00B80F2D" w:rsidRDefault="00B80F2D" w:rsidP="000E6E01">
            <w:pPr>
              <w:pStyle w:val="Paragrafoelenco"/>
              <w:tabs>
                <w:tab w:val="left" w:pos="567"/>
              </w:tabs>
              <w:ind w:left="0"/>
              <w:rPr>
                <w:rFonts w:cs="F"/>
                <w:b/>
                <w:bCs/>
                <w:color w:val="000000"/>
                <w:sz w:val="20"/>
                <w:szCs w:val="20"/>
                <w:lang w:eastAsia="it-IT"/>
              </w:rPr>
            </w:pPr>
          </w:p>
        </w:tc>
        <w:tc>
          <w:tcPr>
            <w:tcW w:w="3259" w:type="dxa"/>
            <w:tcMar>
              <w:top w:w="0" w:type="dxa"/>
              <w:left w:w="108" w:type="dxa"/>
              <w:bottom w:w="0" w:type="dxa"/>
              <w:right w:w="108" w:type="dxa"/>
            </w:tcMar>
            <w:vAlign w:val="center"/>
          </w:tcPr>
          <w:p w:rsidR="00B80F2D" w:rsidRDefault="00B80F2D" w:rsidP="000E6E01">
            <w:pPr>
              <w:pStyle w:val="Paragrafoelenco"/>
              <w:tabs>
                <w:tab w:val="left" w:pos="567"/>
              </w:tabs>
              <w:ind w:left="0"/>
              <w:jc w:val="center"/>
              <w:rPr>
                <w:rFonts w:cs="F"/>
                <w:b/>
                <w:color w:val="000000"/>
                <w:sz w:val="20"/>
                <w:szCs w:val="20"/>
                <w:lang w:eastAsia="it-IT"/>
              </w:rPr>
            </w:pPr>
          </w:p>
        </w:tc>
        <w:tc>
          <w:tcPr>
            <w:tcW w:w="3260" w:type="dxa"/>
            <w:tcMar>
              <w:top w:w="0" w:type="dxa"/>
              <w:left w:w="108" w:type="dxa"/>
              <w:bottom w:w="0" w:type="dxa"/>
              <w:right w:w="108" w:type="dxa"/>
            </w:tcMar>
            <w:vAlign w:val="center"/>
          </w:tcPr>
          <w:p w:rsidR="00B80F2D" w:rsidRDefault="00B80F2D" w:rsidP="000E6E01">
            <w:pPr>
              <w:pStyle w:val="Paragrafoelenco"/>
              <w:tabs>
                <w:tab w:val="left" w:pos="567"/>
              </w:tabs>
              <w:ind w:left="0"/>
              <w:jc w:val="center"/>
              <w:rPr>
                <w:rFonts w:cs="F"/>
                <w:b/>
                <w:color w:val="000000"/>
                <w:sz w:val="20"/>
                <w:szCs w:val="20"/>
                <w:lang w:eastAsia="it-IT"/>
              </w:rPr>
            </w:pPr>
          </w:p>
        </w:tc>
      </w:tr>
      <w:tr w:rsidR="00B80F2D" w:rsidTr="000E6E01">
        <w:trPr>
          <w:trHeight w:val="74"/>
        </w:trPr>
        <w:tc>
          <w:tcPr>
            <w:tcW w:w="3259" w:type="dxa"/>
            <w:tcMar>
              <w:top w:w="0" w:type="dxa"/>
              <w:left w:w="108" w:type="dxa"/>
              <w:bottom w:w="0" w:type="dxa"/>
              <w:right w:w="108" w:type="dxa"/>
            </w:tcMar>
            <w:vAlign w:val="center"/>
          </w:tcPr>
          <w:p w:rsidR="00B80F2D" w:rsidRDefault="00B80F2D" w:rsidP="000E6E01">
            <w:pPr>
              <w:pStyle w:val="Paragrafoelenco"/>
              <w:tabs>
                <w:tab w:val="left" w:pos="567"/>
              </w:tabs>
              <w:ind w:left="0"/>
              <w:rPr>
                <w:rFonts w:cs="F"/>
                <w:b/>
                <w:bCs/>
                <w:color w:val="000000"/>
                <w:lang w:eastAsia="it-IT"/>
              </w:rPr>
            </w:pPr>
            <w:r>
              <w:rPr>
                <w:rFonts w:cs="F"/>
                <w:b/>
                <w:bCs/>
                <w:color w:val="000000"/>
                <w:sz w:val="20"/>
                <w:szCs w:val="20"/>
                <w:lang w:eastAsia="it-IT"/>
              </w:rPr>
              <w:t>Modalità prevalente pubblicità web</w:t>
            </w:r>
          </w:p>
        </w:tc>
        <w:tc>
          <w:tcPr>
            <w:tcW w:w="3259" w:type="dxa"/>
            <w:tcMar>
              <w:top w:w="0" w:type="dxa"/>
              <w:left w:w="108" w:type="dxa"/>
              <w:bottom w:w="0" w:type="dxa"/>
              <w:right w:w="108" w:type="dxa"/>
            </w:tcMar>
            <w:vAlign w:val="center"/>
          </w:tcPr>
          <w:p w:rsidR="00B80F2D" w:rsidRDefault="00B80F2D" w:rsidP="000E6E01">
            <w:pPr>
              <w:pStyle w:val="Paragrafoelenco"/>
              <w:tabs>
                <w:tab w:val="left" w:pos="567"/>
              </w:tabs>
              <w:ind w:left="0"/>
              <w:jc w:val="center"/>
              <w:rPr>
                <w:rFonts w:cs="F"/>
                <w:color w:val="000000"/>
                <w:lang w:eastAsia="it-IT"/>
              </w:rPr>
            </w:pPr>
            <w:r>
              <w:rPr>
                <w:rFonts w:cs="F"/>
                <w:b/>
                <w:color w:val="000000"/>
                <w:sz w:val="20"/>
                <w:szCs w:val="20"/>
                <w:lang w:eastAsia="it-IT"/>
              </w:rPr>
              <w:t>59%</w:t>
            </w:r>
          </w:p>
        </w:tc>
        <w:tc>
          <w:tcPr>
            <w:tcW w:w="3260" w:type="dxa"/>
            <w:tcMar>
              <w:top w:w="0" w:type="dxa"/>
              <w:left w:w="108" w:type="dxa"/>
              <w:bottom w:w="0" w:type="dxa"/>
              <w:right w:w="108" w:type="dxa"/>
            </w:tcMar>
            <w:vAlign w:val="center"/>
          </w:tcPr>
          <w:p w:rsidR="00B80F2D" w:rsidRDefault="00B80F2D" w:rsidP="000E6E01">
            <w:pPr>
              <w:pStyle w:val="Paragrafoelenco"/>
              <w:tabs>
                <w:tab w:val="left" w:pos="567"/>
              </w:tabs>
              <w:ind w:left="0"/>
              <w:jc w:val="center"/>
              <w:rPr>
                <w:rFonts w:cs="F"/>
                <w:color w:val="000000"/>
                <w:lang w:eastAsia="it-IT"/>
              </w:rPr>
            </w:pPr>
            <w:r>
              <w:rPr>
                <w:rFonts w:cs="F"/>
                <w:b/>
                <w:color w:val="000000"/>
                <w:sz w:val="20"/>
                <w:szCs w:val="20"/>
                <w:lang w:eastAsia="it-IT"/>
              </w:rPr>
              <w:t>61%</w:t>
            </w:r>
          </w:p>
        </w:tc>
      </w:tr>
      <w:tr w:rsidR="00B80F2D" w:rsidTr="000E6E01">
        <w:trPr>
          <w:trHeight w:val="74"/>
        </w:trPr>
        <w:tc>
          <w:tcPr>
            <w:tcW w:w="3259" w:type="dxa"/>
            <w:tcMar>
              <w:top w:w="0" w:type="dxa"/>
              <w:left w:w="108" w:type="dxa"/>
              <w:bottom w:w="0" w:type="dxa"/>
              <w:right w:w="108" w:type="dxa"/>
            </w:tcMar>
            <w:vAlign w:val="center"/>
          </w:tcPr>
          <w:p w:rsidR="00B80F2D" w:rsidRDefault="00B80F2D" w:rsidP="000E6E01">
            <w:pPr>
              <w:pStyle w:val="Paragrafoelenco"/>
              <w:tabs>
                <w:tab w:val="left" w:pos="567"/>
              </w:tabs>
              <w:ind w:left="0"/>
              <w:rPr>
                <w:rFonts w:cs="F"/>
                <w:b/>
                <w:bCs/>
                <w:color w:val="000000"/>
                <w:sz w:val="20"/>
                <w:szCs w:val="20"/>
                <w:lang w:eastAsia="it-IT"/>
              </w:rPr>
            </w:pPr>
          </w:p>
        </w:tc>
        <w:tc>
          <w:tcPr>
            <w:tcW w:w="3259" w:type="dxa"/>
            <w:tcMar>
              <w:top w:w="0" w:type="dxa"/>
              <w:left w:w="108" w:type="dxa"/>
              <w:bottom w:w="0" w:type="dxa"/>
              <w:right w:w="108" w:type="dxa"/>
            </w:tcMar>
            <w:vAlign w:val="center"/>
          </w:tcPr>
          <w:p w:rsidR="00B80F2D" w:rsidRDefault="00B80F2D" w:rsidP="000E6E01">
            <w:pPr>
              <w:pStyle w:val="Paragrafoelenco"/>
              <w:tabs>
                <w:tab w:val="left" w:pos="567"/>
              </w:tabs>
              <w:ind w:left="0"/>
              <w:jc w:val="center"/>
              <w:rPr>
                <w:rFonts w:cs="F"/>
                <w:b/>
                <w:color w:val="000000"/>
                <w:sz w:val="20"/>
                <w:szCs w:val="20"/>
                <w:lang w:eastAsia="it-IT"/>
              </w:rPr>
            </w:pPr>
          </w:p>
        </w:tc>
        <w:tc>
          <w:tcPr>
            <w:tcW w:w="3260" w:type="dxa"/>
            <w:tcMar>
              <w:top w:w="0" w:type="dxa"/>
              <w:left w:w="108" w:type="dxa"/>
              <w:bottom w:w="0" w:type="dxa"/>
              <w:right w:w="108" w:type="dxa"/>
            </w:tcMar>
            <w:vAlign w:val="center"/>
          </w:tcPr>
          <w:p w:rsidR="00B80F2D" w:rsidRDefault="00B80F2D" w:rsidP="000E6E01">
            <w:pPr>
              <w:pStyle w:val="Paragrafoelenco"/>
              <w:tabs>
                <w:tab w:val="left" w:pos="567"/>
              </w:tabs>
              <w:ind w:left="0"/>
              <w:jc w:val="center"/>
              <w:rPr>
                <w:rFonts w:cs="F"/>
                <w:b/>
                <w:color w:val="000000"/>
                <w:sz w:val="20"/>
                <w:szCs w:val="20"/>
                <w:lang w:eastAsia="it-IT"/>
              </w:rPr>
            </w:pPr>
          </w:p>
        </w:tc>
      </w:tr>
      <w:tr w:rsidR="00B80F2D" w:rsidTr="000E6E01">
        <w:trPr>
          <w:trHeight w:val="74"/>
        </w:trPr>
        <w:tc>
          <w:tcPr>
            <w:tcW w:w="3259" w:type="dxa"/>
            <w:tcMar>
              <w:top w:w="0" w:type="dxa"/>
              <w:left w:w="108" w:type="dxa"/>
              <w:bottom w:w="0" w:type="dxa"/>
              <w:right w:w="108" w:type="dxa"/>
            </w:tcMar>
            <w:vAlign w:val="center"/>
          </w:tcPr>
          <w:p w:rsidR="00B80F2D" w:rsidRDefault="00B80F2D" w:rsidP="000E6E01">
            <w:pPr>
              <w:pStyle w:val="NormaleWeb"/>
              <w:spacing w:after="0"/>
              <w:rPr>
                <w:rFonts w:cs="F"/>
                <w:b/>
                <w:bCs/>
                <w:color w:val="000000"/>
              </w:rPr>
            </w:pPr>
            <w:r>
              <w:rPr>
                <w:rFonts w:ascii="Calibri" w:hAnsi="Calibri" w:cs="F"/>
                <w:b/>
                <w:bCs/>
                <w:color w:val="000000"/>
                <w:sz w:val="20"/>
                <w:szCs w:val="20"/>
              </w:rPr>
              <w:t>Condivisione di affari con colleghi</w:t>
            </w:r>
          </w:p>
        </w:tc>
        <w:tc>
          <w:tcPr>
            <w:tcW w:w="3259" w:type="dxa"/>
            <w:tcMar>
              <w:top w:w="0" w:type="dxa"/>
              <w:left w:w="108" w:type="dxa"/>
              <w:bottom w:w="0" w:type="dxa"/>
              <w:right w:w="108" w:type="dxa"/>
            </w:tcMar>
            <w:vAlign w:val="center"/>
          </w:tcPr>
          <w:p w:rsidR="00B80F2D" w:rsidRDefault="00B80F2D" w:rsidP="000E6E01">
            <w:pPr>
              <w:pStyle w:val="NormaleWeb"/>
              <w:spacing w:after="0"/>
              <w:jc w:val="center"/>
              <w:rPr>
                <w:rFonts w:cs="F"/>
                <w:color w:val="000000"/>
              </w:rPr>
            </w:pPr>
            <w:r>
              <w:rPr>
                <w:rFonts w:ascii="Calibri" w:hAnsi="Calibri" w:cs="F"/>
                <w:b/>
                <w:bCs/>
                <w:color w:val="000000"/>
                <w:sz w:val="20"/>
                <w:szCs w:val="20"/>
              </w:rPr>
              <w:t>22%</w:t>
            </w:r>
          </w:p>
        </w:tc>
        <w:tc>
          <w:tcPr>
            <w:tcW w:w="3260" w:type="dxa"/>
            <w:tcMar>
              <w:top w:w="0" w:type="dxa"/>
              <w:left w:w="108" w:type="dxa"/>
              <w:bottom w:w="0" w:type="dxa"/>
              <w:right w:w="108" w:type="dxa"/>
            </w:tcMar>
            <w:vAlign w:val="center"/>
          </w:tcPr>
          <w:p w:rsidR="00B80F2D" w:rsidRDefault="00B80F2D" w:rsidP="000E6E01">
            <w:pPr>
              <w:pStyle w:val="NormaleWeb"/>
              <w:spacing w:after="0"/>
              <w:jc w:val="center"/>
              <w:rPr>
                <w:rFonts w:cs="F"/>
                <w:color w:val="000000"/>
              </w:rPr>
            </w:pPr>
            <w:r>
              <w:rPr>
                <w:rFonts w:ascii="Calibri" w:hAnsi="Calibri" w:cs="F"/>
                <w:b/>
                <w:bCs/>
                <w:color w:val="000000"/>
                <w:sz w:val="20"/>
                <w:szCs w:val="20"/>
              </w:rPr>
              <w:t>17%</w:t>
            </w:r>
          </w:p>
        </w:tc>
      </w:tr>
      <w:tr w:rsidR="00B80F2D" w:rsidTr="000E6E01">
        <w:trPr>
          <w:trHeight w:val="74"/>
        </w:trPr>
        <w:tc>
          <w:tcPr>
            <w:tcW w:w="3259" w:type="dxa"/>
            <w:tcMar>
              <w:top w:w="0" w:type="dxa"/>
              <w:left w:w="108" w:type="dxa"/>
              <w:bottom w:w="0" w:type="dxa"/>
              <w:right w:w="108" w:type="dxa"/>
            </w:tcMar>
            <w:vAlign w:val="center"/>
          </w:tcPr>
          <w:p w:rsidR="00B80F2D" w:rsidRDefault="00B80F2D" w:rsidP="000E6E01">
            <w:pPr>
              <w:pStyle w:val="Standard"/>
              <w:tabs>
                <w:tab w:val="left" w:pos="567"/>
              </w:tabs>
              <w:rPr>
                <w:rFonts w:cs="F"/>
                <w:b/>
                <w:bCs/>
                <w:color w:val="000000"/>
                <w:sz w:val="20"/>
                <w:szCs w:val="20"/>
                <w:lang w:eastAsia="it-IT"/>
              </w:rPr>
            </w:pPr>
          </w:p>
        </w:tc>
        <w:tc>
          <w:tcPr>
            <w:tcW w:w="3259" w:type="dxa"/>
            <w:tcMar>
              <w:top w:w="0" w:type="dxa"/>
              <w:left w:w="108" w:type="dxa"/>
              <w:bottom w:w="0" w:type="dxa"/>
              <w:right w:w="108" w:type="dxa"/>
            </w:tcMar>
            <w:vAlign w:val="center"/>
          </w:tcPr>
          <w:p w:rsidR="00B80F2D" w:rsidRDefault="00B80F2D" w:rsidP="000E6E01">
            <w:pPr>
              <w:pStyle w:val="Paragrafoelenco"/>
              <w:tabs>
                <w:tab w:val="left" w:pos="567"/>
              </w:tabs>
              <w:ind w:left="0"/>
              <w:jc w:val="center"/>
              <w:rPr>
                <w:rFonts w:cs="F"/>
                <w:b/>
                <w:color w:val="000000"/>
                <w:sz w:val="20"/>
                <w:szCs w:val="20"/>
                <w:lang w:eastAsia="it-IT"/>
              </w:rPr>
            </w:pPr>
          </w:p>
        </w:tc>
        <w:tc>
          <w:tcPr>
            <w:tcW w:w="3260" w:type="dxa"/>
            <w:tcMar>
              <w:top w:w="0" w:type="dxa"/>
              <w:left w:w="108" w:type="dxa"/>
              <w:bottom w:w="0" w:type="dxa"/>
              <w:right w:w="108" w:type="dxa"/>
            </w:tcMar>
            <w:vAlign w:val="center"/>
          </w:tcPr>
          <w:p w:rsidR="00B80F2D" w:rsidRDefault="00B80F2D" w:rsidP="000E6E01">
            <w:pPr>
              <w:pStyle w:val="Paragrafoelenco"/>
              <w:tabs>
                <w:tab w:val="left" w:pos="567"/>
              </w:tabs>
              <w:ind w:left="0"/>
              <w:jc w:val="center"/>
              <w:rPr>
                <w:rFonts w:cs="F"/>
                <w:b/>
                <w:color w:val="000000"/>
                <w:sz w:val="20"/>
                <w:szCs w:val="20"/>
                <w:lang w:eastAsia="it-IT"/>
              </w:rPr>
            </w:pPr>
          </w:p>
        </w:tc>
      </w:tr>
      <w:tr w:rsidR="00B80F2D" w:rsidTr="000E6E01">
        <w:trPr>
          <w:trHeight w:val="74"/>
        </w:trPr>
        <w:tc>
          <w:tcPr>
            <w:tcW w:w="3259" w:type="dxa"/>
            <w:tcBorders>
              <w:bottom w:val="single" w:sz="8" w:space="0" w:color="000001"/>
            </w:tcBorders>
            <w:tcMar>
              <w:top w:w="0" w:type="dxa"/>
              <w:left w:w="108" w:type="dxa"/>
              <w:bottom w:w="0" w:type="dxa"/>
              <w:right w:w="108" w:type="dxa"/>
            </w:tcMar>
          </w:tcPr>
          <w:p w:rsidR="00B80F2D" w:rsidRDefault="00B80F2D" w:rsidP="000E6E01">
            <w:pPr>
              <w:pStyle w:val="Standard"/>
              <w:tabs>
                <w:tab w:val="left" w:pos="567"/>
              </w:tabs>
              <w:rPr>
                <w:rFonts w:cs="F"/>
                <w:b/>
                <w:bCs/>
                <w:color w:val="000000"/>
                <w:sz w:val="20"/>
                <w:szCs w:val="20"/>
                <w:lang w:eastAsia="it-IT"/>
              </w:rPr>
            </w:pPr>
          </w:p>
        </w:tc>
        <w:tc>
          <w:tcPr>
            <w:tcW w:w="3259" w:type="dxa"/>
            <w:tcBorders>
              <w:bottom w:val="single" w:sz="8" w:space="0" w:color="000001"/>
            </w:tcBorders>
            <w:tcMar>
              <w:top w:w="0" w:type="dxa"/>
              <w:left w:w="108" w:type="dxa"/>
              <w:bottom w:w="0" w:type="dxa"/>
              <w:right w:w="108" w:type="dxa"/>
            </w:tcMar>
          </w:tcPr>
          <w:p w:rsidR="00B80F2D" w:rsidRDefault="00B80F2D" w:rsidP="000E6E01">
            <w:pPr>
              <w:pStyle w:val="Paragrafoelenco"/>
              <w:tabs>
                <w:tab w:val="left" w:pos="567"/>
              </w:tabs>
              <w:ind w:left="0"/>
              <w:jc w:val="both"/>
              <w:rPr>
                <w:rFonts w:cs="F"/>
                <w:color w:val="000000"/>
                <w:sz w:val="20"/>
                <w:szCs w:val="20"/>
                <w:lang w:eastAsia="it-IT"/>
              </w:rPr>
            </w:pPr>
          </w:p>
        </w:tc>
        <w:tc>
          <w:tcPr>
            <w:tcW w:w="3260" w:type="dxa"/>
            <w:tcBorders>
              <w:bottom w:val="single" w:sz="8" w:space="0" w:color="000001"/>
            </w:tcBorders>
            <w:tcMar>
              <w:top w:w="0" w:type="dxa"/>
              <w:left w:w="108" w:type="dxa"/>
              <w:bottom w:w="0" w:type="dxa"/>
              <w:right w:w="108" w:type="dxa"/>
            </w:tcMar>
          </w:tcPr>
          <w:p w:rsidR="00B80F2D" w:rsidRDefault="00B80F2D" w:rsidP="000E6E01">
            <w:pPr>
              <w:pStyle w:val="Paragrafoelenco"/>
              <w:tabs>
                <w:tab w:val="left" w:pos="567"/>
              </w:tabs>
              <w:ind w:left="0"/>
              <w:jc w:val="both"/>
              <w:rPr>
                <w:rFonts w:cs="F"/>
                <w:color w:val="000000"/>
                <w:sz w:val="20"/>
                <w:szCs w:val="20"/>
                <w:lang w:eastAsia="it-IT"/>
              </w:rPr>
            </w:pPr>
          </w:p>
        </w:tc>
      </w:tr>
    </w:tbl>
    <w:p w:rsidR="00EC4F92" w:rsidRDefault="000E6E01">
      <w:pPr>
        <w:pStyle w:val="Standard"/>
        <w:jc w:val="both"/>
      </w:pPr>
      <w:r>
        <w:rPr>
          <w:rFonts w:cs="Times New Roman"/>
          <w:b/>
        </w:rPr>
        <w:t>Fonte: Indagine “Dalla Brianza all’Europa: come nasce e si evolve l’agente immobiliare 3.0” realizzata dalla Camera di commercio di Monza e Brianza attraverso l’Osservatorio immobiliare</w:t>
      </w:r>
    </w:p>
    <w:sectPr w:rsidR="00EC4F92">
      <w:pgSz w:w="11906" w:h="16838"/>
      <w:pgMar w:top="56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1BE" w:rsidRDefault="002F01BE">
      <w:r>
        <w:separator/>
      </w:r>
    </w:p>
  </w:endnote>
  <w:endnote w:type="continuationSeparator" w:id="0">
    <w:p w:rsidR="002F01BE" w:rsidRDefault="002F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charset w:val="00"/>
    <w:family w:val="auto"/>
    <w:pitch w:val="variable"/>
  </w:font>
  <w:font w:name="Tahoma">
    <w:panose1 w:val="020B0604030504040204"/>
    <w:charset w:val="00"/>
    <w:family w:val="swiss"/>
    <w:pitch w:val="variable"/>
    <w:sig w:usb0="E1002EFF" w:usb1="C000605B" w:usb2="00000029" w:usb3="00000000" w:csb0="000101FF" w:csb1="00000000"/>
  </w:font>
  <w:font w:name="F">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1BE" w:rsidRDefault="002F01BE">
      <w:r>
        <w:rPr>
          <w:color w:val="000000"/>
        </w:rPr>
        <w:separator/>
      </w:r>
    </w:p>
  </w:footnote>
  <w:footnote w:type="continuationSeparator" w:id="0">
    <w:p w:rsidR="002F01BE" w:rsidRDefault="002F01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3421D8"/>
    <w:multiLevelType w:val="multilevel"/>
    <w:tmpl w:val="47365858"/>
    <w:styleLink w:val="WWNum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B8E"/>
    <w:rsid w:val="000968EF"/>
    <w:rsid w:val="000E6E01"/>
    <w:rsid w:val="00150839"/>
    <w:rsid w:val="002F01BE"/>
    <w:rsid w:val="00411B68"/>
    <w:rsid w:val="00432E66"/>
    <w:rsid w:val="007D6437"/>
    <w:rsid w:val="00944325"/>
    <w:rsid w:val="009A4BAD"/>
    <w:rsid w:val="009E3B8E"/>
    <w:rsid w:val="00B80F2D"/>
    <w:rsid w:val="00BF278D"/>
    <w:rsid w:val="00E51E5B"/>
    <w:rsid w:val="00EC4F92"/>
    <w:rsid w:val="00F4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Lucida Sans"/>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autoSpaceDN w:val="0"/>
      <w:textAlignment w:val="baseline"/>
    </w:pPr>
    <w:rPr>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foelenco">
    <w:name w:val="List Paragraph"/>
    <w:basedOn w:val="Standard"/>
    <w:pPr>
      <w:ind w:left="720"/>
    </w:pPr>
  </w:style>
  <w:style w:type="paragraph" w:styleId="NormaleWeb">
    <w:name w:val="Normal (Web)"/>
    <w:basedOn w:val="Standard"/>
    <w:pPr>
      <w:spacing w:before="28" w:after="28"/>
    </w:pPr>
    <w:rPr>
      <w:rFonts w:eastAsia="Times New Roman" w:cs="Times New Roman"/>
      <w:lang w:eastAsia="it-IT"/>
    </w:rPr>
  </w:style>
  <w:style w:type="paragraph" w:styleId="Corpodeltesto3">
    <w:name w:val="Body Text 3"/>
    <w:basedOn w:val="Standard"/>
    <w:pPr>
      <w:jc w:val="center"/>
    </w:pPr>
    <w:rPr>
      <w:rFonts w:eastAsia="Calibri" w:cs="Times New Roman"/>
      <w:b/>
      <w:sz w:val="44"/>
      <w:szCs w:val="44"/>
    </w:rPr>
  </w:style>
  <w:style w:type="paragraph" w:customStyle="1" w:styleId="Normale1">
    <w:name w:val="Normale1"/>
    <w:pPr>
      <w:suppressAutoHyphens/>
      <w:autoSpaceDN w:val="0"/>
      <w:textAlignment w:val="baseline"/>
    </w:pPr>
    <w:rPr>
      <w:rFonts w:eastAsia="ヒラギノ角ゴ Pro W3" w:cs="Times New Roman"/>
      <w:color w:val="000000"/>
      <w:kern w:val="3"/>
      <w:sz w:val="24"/>
      <w:lang w:bidi="hi-IN"/>
    </w:rPr>
  </w:style>
  <w:style w:type="paragraph" w:styleId="Testofumetto">
    <w:name w:val="Balloon Text"/>
    <w:basedOn w:val="Standard"/>
    <w:rPr>
      <w:rFonts w:ascii="Tahoma" w:hAnsi="Tahoma" w:cs="Tahoma"/>
      <w:sz w:val="16"/>
      <w:szCs w:val="16"/>
    </w:rPr>
  </w:style>
  <w:style w:type="character" w:customStyle="1" w:styleId="Corpodeltesto3Carattere">
    <w:name w:val="Corpo del testo 3 Carattere"/>
    <w:rPr>
      <w:rFonts w:ascii="Times New Roman" w:eastAsia="Calibri" w:hAnsi="Times New Roman" w:cs="Times New Roman"/>
      <w:b/>
      <w:sz w:val="44"/>
      <w:szCs w:val="44"/>
    </w:rPr>
  </w:style>
  <w:style w:type="character" w:customStyle="1" w:styleId="StrongEmphasis">
    <w:name w:val="Strong Emphasis"/>
    <w:rPr>
      <w:b/>
      <w:bCs/>
    </w:rPr>
  </w:style>
  <w:style w:type="character" w:customStyle="1" w:styleId="journal-content-article">
    <w:name w:val="journal-content-article"/>
    <w:basedOn w:val="Carpredefinitoparagrafo"/>
  </w:style>
  <w:style w:type="character" w:styleId="Enfasicorsivo">
    <w:name w:val="Emphasis"/>
    <w:rPr>
      <w:i/>
      <w:iCs/>
    </w:rPr>
  </w:style>
  <w:style w:type="character" w:customStyle="1" w:styleId="TestofumettoCarattere">
    <w:name w:val="Testo fumetto Carattere"/>
    <w:rPr>
      <w:rFonts w:ascii="Tahoma" w:hAnsi="Tahoma" w:cs="Tahoma"/>
      <w:sz w:val="16"/>
      <w:szCs w:val="16"/>
    </w:rPr>
  </w:style>
  <w:style w:type="character" w:customStyle="1" w:styleId="ListLabel1">
    <w:name w:val="ListLabel 1"/>
    <w:rPr>
      <w:rFonts w:cs="Courier New"/>
    </w:rPr>
  </w:style>
  <w:style w:type="numbering" w:customStyle="1" w:styleId="WWNum1">
    <w:name w:val="WWNum1"/>
    <w:basedOn w:val="Nessunelenco"/>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Lucida Sans"/>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autoSpaceDN w:val="0"/>
      <w:textAlignment w:val="baseline"/>
    </w:pPr>
    <w:rPr>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foelenco">
    <w:name w:val="List Paragraph"/>
    <w:basedOn w:val="Standard"/>
    <w:pPr>
      <w:ind w:left="720"/>
    </w:pPr>
  </w:style>
  <w:style w:type="paragraph" w:styleId="NormaleWeb">
    <w:name w:val="Normal (Web)"/>
    <w:basedOn w:val="Standard"/>
    <w:pPr>
      <w:spacing w:before="28" w:after="28"/>
    </w:pPr>
    <w:rPr>
      <w:rFonts w:eastAsia="Times New Roman" w:cs="Times New Roman"/>
      <w:lang w:eastAsia="it-IT"/>
    </w:rPr>
  </w:style>
  <w:style w:type="paragraph" w:styleId="Corpodeltesto3">
    <w:name w:val="Body Text 3"/>
    <w:basedOn w:val="Standard"/>
    <w:pPr>
      <w:jc w:val="center"/>
    </w:pPr>
    <w:rPr>
      <w:rFonts w:eastAsia="Calibri" w:cs="Times New Roman"/>
      <w:b/>
      <w:sz w:val="44"/>
      <w:szCs w:val="44"/>
    </w:rPr>
  </w:style>
  <w:style w:type="paragraph" w:customStyle="1" w:styleId="Normale1">
    <w:name w:val="Normale1"/>
    <w:pPr>
      <w:suppressAutoHyphens/>
      <w:autoSpaceDN w:val="0"/>
      <w:textAlignment w:val="baseline"/>
    </w:pPr>
    <w:rPr>
      <w:rFonts w:eastAsia="ヒラギノ角ゴ Pro W3" w:cs="Times New Roman"/>
      <w:color w:val="000000"/>
      <w:kern w:val="3"/>
      <w:sz w:val="24"/>
      <w:lang w:bidi="hi-IN"/>
    </w:rPr>
  </w:style>
  <w:style w:type="paragraph" w:styleId="Testofumetto">
    <w:name w:val="Balloon Text"/>
    <w:basedOn w:val="Standard"/>
    <w:rPr>
      <w:rFonts w:ascii="Tahoma" w:hAnsi="Tahoma" w:cs="Tahoma"/>
      <w:sz w:val="16"/>
      <w:szCs w:val="16"/>
    </w:rPr>
  </w:style>
  <w:style w:type="character" w:customStyle="1" w:styleId="Corpodeltesto3Carattere">
    <w:name w:val="Corpo del testo 3 Carattere"/>
    <w:rPr>
      <w:rFonts w:ascii="Times New Roman" w:eastAsia="Calibri" w:hAnsi="Times New Roman" w:cs="Times New Roman"/>
      <w:b/>
      <w:sz w:val="44"/>
      <w:szCs w:val="44"/>
    </w:rPr>
  </w:style>
  <w:style w:type="character" w:customStyle="1" w:styleId="StrongEmphasis">
    <w:name w:val="Strong Emphasis"/>
    <w:rPr>
      <w:b/>
      <w:bCs/>
    </w:rPr>
  </w:style>
  <w:style w:type="character" w:customStyle="1" w:styleId="journal-content-article">
    <w:name w:val="journal-content-article"/>
    <w:basedOn w:val="Carpredefinitoparagrafo"/>
  </w:style>
  <w:style w:type="character" w:styleId="Enfasicorsivo">
    <w:name w:val="Emphasis"/>
    <w:rPr>
      <w:i/>
      <w:iCs/>
    </w:rPr>
  </w:style>
  <w:style w:type="character" w:customStyle="1" w:styleId="TestofumettoCarattere">
    <w:name w:val="Testo fumetto Carattere"/>
    <w:rPr>
      <w:rFonts w:ascii="Tahoma" w:hAnsi="Tahoma" w:cs="Tahoma"/>
      <w:sz w:val="16"/>
      <w:szCs w:val="16"/>
    </w:rPr>
  </w:style>
  <w:style w:type="character" w:customStyle="1" w:styleId="ListLabel1">
    <w:name w:val="ListLabel 1"/>
    <w:rPr>
      <w:rFonts w:cs="Courier New"/>
    </w:rPr>
  </w:style>
  <w:style w:type="numbering" w:customStyle="1" w:styleId="WWNum1">
    <w:name w:val="WWNum1"/>
    <w:basedOn w:val="Nessunelenco"/>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IAAMB\Desktop\agente%203.0.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agente 3.0</Template>
  <TotalTime>8</TotalTime>
  <Pages>1</Pages>
  <Words>882</Words>
  <Characters>5029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CCIAAMB</dc:creator>
  <cp:lastModifiedBy>CCIAAMB</cp:lastModifiedBy>
  <cp:revision>7</cp:revision>
  <cp:lastPrinted>2016-05-23T10:28:00Z</cp:lastPrinted>
  <dcterms:created xsi:type="dcterms:W3CDTF">2016-05-23T09:50:00Z</dcterms:created>
  <dcterms:modified xsi:type="dcterms:W3CDTF">2016-05-23T10:31:00Z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 S.p.A.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