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32" w:rsidRPr="00572032" w:rsidRDefault="00572032" w:rsidP="001A450E">
      <w:pPr>
        <w:pStyle w:val="NormaleWeb"/>
        <w:spacing w:before="0" w:beforeAutospacing="0" w:after="0" w:afterAutospacing="0"/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</w:pPr>
      <w:r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P</w:t>
      </w:r>
      <w:r w:rsidR="001A450E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r</w:t>
      </w:r>
      <w:r w:rsidR="00433F27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o</w:t>
      </w:r>
      <w:r w:rsidR="001A450E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spe</w:t>
      </w:r>
      <w:r w:rsidR="00433F27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t</w:t>
      </w:r>
      <w:r w:rsidR="001A450E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tive</w:t>
      </w:r>
      <w:r w:rsidR="00976197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 xml:space="preserve"> de</w:t>
      </w:r>
      <w:r w:rsidR="00433F27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 xml:space="preserve">l </w:t>
      </w:r>
      <w:proofErr w:type="spellStart"/>
      <w:r w:rsidR="001A450E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real</w:t>
      </w:r>
      <w:proofErr w:type="spellEnd"/>
      <w:r w:rsidR="001A450E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 xml:space="preserve"> estate</w:t>
      </w:r>
    </w:p>
    <w:p w:rsidR="001A450E" w:rsidRPr="00572032" w:rsidRDefault="00572032" w:rsidP="001A450E">
      <w:pPr>
        <w:pStyle w:val="NormaleWeb"/>
        <w:spacing w:before="0" w:beforeAutospacing="0" w:after="0" w:afterAutospacing="0"/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</w:pPr>
      <w:r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>globale</w:t>
      </w:r>
      <w:r w:rsidR="00684E14" w:rsidRPr="00572032">
        <w:rPr>
          <w:rFonts w:ascii="Georgia" w:eastAsiaTheme="majorEastAsia" w:hAnsi="Georgia" w:cstheme="majorBidi"/>
          <w:b/>
          <w:bCs/>
          <w:color w:val="008FBE"/>
          <w:kern w:val="24"/>
          <w:position w:val="1"/>
          <w:sz w:val="68"/>
          <w:szCs w:val="68"/>
        </w:rPr>
        <w:t xml:space="preserve"> </w:t>
      </w:r>
    </w:p>
    <w:p w:rsidR="00572032" w:rsidRDefault="00572032" w:rsidP="00014BF4">
      <w:pPr>
        <w:spacing w:after="0" w:line="240" w:lineRule="auto"/>
        <w:rPr>
          <w:rFonts w:ascii="Georgia" w:eastAsia="+mn-ea" w:hAnsi="Georgia" w:cs="+mn-cs"/>
          <w:color w:val="263746"/>
          <w:kern w:val="24"/>
          <w:sz w:val="28"/>
          <w:szCs w:val="28"/>
          <w:lang w:eastAsia="it-IT"/>
        </w:rPr>
      </w:pPr>
    </w:p>
    <w:p w:rsidR="00014BF4" w:rsidRPr="00572032" w:rsidRDefault="00433F27" w:rsidP="00014BF4">
      <w:pPr>
        <w:spacing w:after="0" w:line="240" w:lineRule="auto"/>
        <w:rPr>
          <w:rFonts w:ascii="Georgia" w:eastAsia="+mn-ea" w:hAnsi="Georgia" w:cs="+mn-cs"/>
          <w:color w:val="263746"/>
          <w:kern w:val="24"/>
          <w:sz w:val="28"/>
          <w:szCs w:val="28"/>
          <w:lang w:eastAsia="it-IT"/>
        </w:rPr>
      </w:pPr>
      <w:r w:rsidRPr="00572032">
        <w:rPr>
          <w:rFonts w:ascii="Georgia" w:eastAsia="+mn-ea" w:hAnsi="Georgia" w:cs="+mn-cs"/>
          <w:color w:val="263746"/>
          <w:kern w:val="24"/>
          <w:sz w:val="28"/>
          <w:szCs w:val="28"/>
          <w:lang w:eastAsia="it-IT"/>
        </w:rPr>
        <w:t>Ago</w:t>
      </w:r>
      <w:r w:rsidR="00014BF4" w:rsidRPr="00572032">
        <w:rPr>
          <w:rFonts w:ascii="Georgia" w:eastAsia="+mn-ea" w:hAnsi="Georgia" w:cs="+mn-cs"/>
          <w:color w:val="263746"/>
          <w:kern w:val="24"/>
          <w:sz w:val="28"/>
          <w:szCs w:val="28"/>
          <w:lang w:eastAsia="it-IT"/>
        </w:rPr>
        <w:t>st</w:t>
      </w:r>
      <w:r w:rsidRPr="00572032">
        <w:rPr>
          <w:rFonts w:ascii="Georgia" w:eastAsia="+mn-ea" w:hAnsi="Georgia" w:cs="+mn-cs"/>
          <w:color w:val="263746"/>
          <w:kern w:val="24"/>
          <w:sz w:val="28"/>
          <w:szCs w:val="28"/>
          <w:lang w:eastAsia="it-IT"/>
        </w:rPr>
        <w:t>o</w:t>
      </w:r>
      <w:r w:rsidR="00014BF4" w:rsidRPr="00572032">
        <w:rPr>
          <w:rFonts w:ascii="Georgia" w:eastAsia="+mn-ea" w:hAnsi="Georgia" w:cs="+mn-cs"/>
          <w:color w:val="263746"/>
          <w:kern w:val="24"/>
          <w:sz w:val="28"/>
          <w:szCs w:val="28"/>
          <w:lang w:eastAsia="it-IT"/>
        </w:rPr>
        <w:t xml:space="preserve"> 2020</w:t>
      </w:r>
    </w:p>
    <w:p w:rsidR="001A450E" w:rsidRPr="00572032" w:rsidRDefault="001A450E" w:rsidP="001A450E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253746"/>
          <w:sz w:val="27"/>
          <w:szCs w:val="27"/>
          <w:lang w:eastAsia="it-IT"/>
        </w:rPr>
      </w:pPr>
    </w:p>
    <w:p w:rsidR="001A450E" w:rsidRDefault="001A450E" w:rsidP="001A450E">
      <w:pPr>
        <w:pStyle w:val="NormaleWeb"/>
        <w:spacing w:before="20" w:beforeAutospacing="0" w:after="0" w:afterAutospacing="0"/>
        <w:ind w:left="14"/>
        <w:rPr>
          <w:rFonts w:ascii="Georgia" w:eastAsiaTheme="minorEastAsia" w:hAnsi="Georgia" w:cs="Georgia"/>
          <w:b/>
          <w:bCs/>
          <w:color w:val="00AD97"/>
          <w:spacing w:val="1"/>
          <w:kern w:val="24"/>
          <w:sz w:val="21"/>
          <w:szCs w:val="21"/>
          <w:lang w:val="en-US"/>
        </w:rPr>
      </w:pPr>
      <w:r>
        <w:rPr>
          <w:rFonts w:ascii="Georgia" w:eastAsiaTheme="minorEastAsia" w:hAnsi="Georgia" w:cs="Georgia"/>
          <w:b/>
          <w:bCs/>
          <w:color w:val="00AD97"/>
          <w:spacing w:val="1"/>
          <w:kern w:val="24"/>
          <w:sz w:val="21"/>
          <w:szCs w:val="21"/>
          <w:lang w:val="en-US"/>
        </w:rPr>
        <w:t>Nuveen Real Estate Global Research</w:t>
      </w:r>
    </w:p>
    <w:p w:rsidR="004D5C4E" w:rsidRDefault="004D5C4E" w:rsidP="001A450E">
      <w:pPr>
        <w:pStyle w:val="NormaleWeb"/>
        <w:spacing w:before="20" w:beforeAutospacing="0" w:after="0" w:afterAutospacing="0"/>
        <w:ind w:left="14"/>
        <w:rPr>
          <w:rFonts w:ascii="Georgia" w:eastAsiaTheme="minorEastAsia" w:hAnsi="Georgia" w:cs="Georgia"/>
          <w:b/>
          <w:bCs/>
          <w:color w:val="00AD97"/>
          <w:spacing w:val="1"/>
          <w:kern w:val="24"/>
          <w:sz w:val="21"/>
          <w:szCs w:val="21"/>
          <w:lang w:val="en-US"/>
        </w:rPr>
      </w:pPr>
    </w:p>
    <w:p w:rsidR="00014BF4" w:rsidRPr="00AF0AAE" w:rsidRDefault="00014BF4" w:rsidP="001A450E">
      <w:pPr>
        <w:pStyle w:val="NormaleWeb"/>
        <w:spacing w:before="20" w:beforeAutospacing="0" w:after="0" w:afterAutospacing="0"/>
        <w:ind w:left="14"/>
        <w:rPr>
          <w:rFonts w:ascii="Georgia" w:eastAsiaTheme="minorEastAsia" w:hAnsi="Georgia" w:cs="Georgia"/>
          <w:b/>
          <w:bCs/>
          <w:color w:val="00AD97"/>
          <w:spacing w:val="1"/>
          <w:kern w:val="24"/>
          <w:sz w:val="8"/>
          <w:szCs w:val="8"/>
          <w:lang w:val="en-US"/>
        </w:rPr>
      </w:pPr>
    </w:p>
    <w:p w:rsidR="008A10F2" w:rsidRPr="00572032" w:rsidRDefault="008A10F2" w:rsidP="008A10F2">
      <w:pPr>
        <w:spacing w:after="0" w:line="240" w:lineRule="auto"/>
        <w:textAlignment w:val="baseline"/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64"/>
          <w:szCs w:val="64"/>
        </w:rPr>
      </w:pPr>
      <w:r w:rsidRPr="00572032"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64"/>
          <w:szCs w:val="64"/>
        </w:rPr>
        <w:t>Europa</w:t>
      </w:r>
    </w:p>
    <w:p w:rsidR="008A10F2" w:rsidRPr="007D3646" w:rsidRDefault="008A10F2" w:rsidP="008A10F2">
      <w:pPr>
        <w:pStyle w:val="NormaleWeb"/>
        <w:spacing w:before="0" w:beforeAutospacing="0" w:after="0" w:afterAutospacing="0"/>
        <w:rPr>
          <w:rFonts w:ascii="Georgia" w:eastAsia="+mn-ea" w:hAnsi="Georgia" w:cs="+mn-cs"/>
          <w:b/>
          <w:bCs/>
          <w:color w:val="008FBE"/>
          <w:kern w:val="24"/>
          <w:sz w:val="32"/>
          <w:szCs w:val="32"/>
        </w:rPr>
      </w:pPr>
    </w:p>
    <w:p w:rsidR="008A10F2" w:rsidRPr="003E67D5" w:rsidRDefault="008A10F2" w:rsidP="008A10F2">
      <w:pPr>
        <w:pStyle w:val="NormaleWeb"/>
        <w:spacing w:before="0" w:beforeAutospacing="0" w:after="0" w:afterAutospacing="0"/>
      </w:pPr>
      <w:r w:rsidRPr="004D5C4E">
        <w:rPr>
          <w:rFonts w:ascii="Georgia" w:eastAsia="+mn-ea" w:hAnsi="Georgia" w:cs="+mn-cs"/>
          <w:b/>
          <w:bCs/>
          <w:color w:val="008FBE"/>
          <w:kern w:val="24"/>
        </w:rPr>
        <w:t xml:space="preserve">Regione: </w:t>
      </w:r>
      <w:r w:rsidRPr="007D3646">
        <w:rPr>
          <w:rFonts w:ascii="Georgia" w:eastAsia="+mn-ea" w:hAnsi="Georgia" w:cs="+mn-cs"/>
          <w:color w:val="263746"/>
          <w:kern w:val="24"/>
        </w:rPr>
        <w:t>I dati mostrano una ripresa disomogenea da</w:t>
      </w:r>
      <w:r>
        <w:rPr>
          <w:rFonts w:ascii="Georgia" w:eastAsia="+mn-ea" w:hAnsi="Georgia" w:cs="+mn-cs"/>
          <w:color w:val="263746"/>
          <w:kern w:val="24"/>
        </w:rPr>
        <w:t>l</w:t>
      </w:r>
      <w:r w:rsidRPr="007D3646">
        <w:rPr>
          <w:rFonts w:ascii="Georgia" w:eastAsia="+mn-ea" w:hAnsi="Georgia" w:cs="+mn-cs"/>
          <w:color w:val="263746"/>
          <w:kern w:val="24"/>
        </w:rPr>
        <w:t xml:space="preserve"> </w:t>
      </w:r>
      <w:proofErr w:type="spellStart"/>
      <w:r w:rsidRPr="007D3646">
        <w:rPr>
          <w:rFonts w:ascii="Georgia" w:eastAsia="+mn-ea" w:hAnsi="Georgia" w:cs="+mn-cs"/>
          <w:color w:val="263746"/>
          <w:kern w:val="24"/>
        </w:rPr>
        <w:t>lockdown</w:t>
      </w:r>
      <w:proofErr w:type="spellEnd"/>
      <w:r w:rsidRPr="007D3646">
        <w:rPr>
          <w:rFonts w:ascii="Georgia" w:eastAsia="+mn-ea" w:hAnsi="Georgia" w:cs="+mn-cs"/>
          <w:color w:val="263746"/>
          <w:kern w:val="24"/>
        </w:rPr>
        <w:t xml:space="preserve">. </w:t>
      </w:r>
      <w:r w:rsidRPr="003E67D5">
        <w:rPr>
          <w:rFonts w:ascii="Georgia" w:eastAsia="+mn-ea" w:hAnsi="Georgia" w:cs="+mn-cs"/>
          <w:color w:val="263746"/>
          <w:kern w:val="24"/>
        </w:rPr>
        <w:t>In Germania, Austria, Danimarca, Svezia e Paesi Bassi la vita socio-economica è tornata quasi alla norm</w:t>
      </w:r>
      <w:r>
        <w:rPr>
          <w:rFonts w:ascii="Georgia" w:eastAsia="+mn-ea" w:hAnsi="Georgia" w:cs="+mn-cs"/>
          <w:color w:val="263746"/>
          <w:kern w:val="24"/>
        </w:rPr>
        <w:t>alità: le prenotazioni nei</w:t>
      </w:r>
      <w:r w:rsidRPr="003E67D5">
        <w:rPr>
          <w:rFonts w:ascii="Georgia" w:eastAsia="+mn-ea" w:hAnsi="Georgia" w:cs="+mn-cs"/>
          <w:color w:val="263746"/>
          <w:kern w:val="24"/>
        </w:rPr>
        <w:t xml:space="preserve"> r</w:t>
      </w:r>
      <w:r>
        <w:rPr>
          <w:rFonts w:ascii="Georgia" w:eastAsia="+mn-ea" w:hAnsi="Georgia" w:cs="+mn-cs"/>
          <w:color w:val="263746"/>
          <w:kern w:val="24"/>
        </w:rPr>
        <w:t>i</w:t>
      </w:r>
      <w:r w:rsidRPr="003E67D5">
        <w:rPr>
          <w:rFonts w:ascii="Georgia" w:eastAsia="+mn-ea" w:hAnsi="Georgia" w:cs="+mn-cs"/>
          <w:color w:val="263746"/>
          <w:kern w:val="24"/>
        </w:rPr>
        <w:t>st</w:t>
      </w:r>
      <w:r>
        <w:rPr>
          <w:rFonts w:ascii="Georgia" w:eastAsia="+mn-ea" w:hAnsi="Georgia" w:cs="+mn-cs"/>
          <w:color w:val="263746"/>
          <w:kern w:val="24"/>
        </w:rPr>
        <w:t>o</w:t>
      </w:r>
      <w:r w:rsidRPr="003E67D5">
        <w:rPr>
          <w:rFonts w:ascii="Georgia" w:eastAsia="+mn-ea" w:hAnsi="Georgia" w:cs="+mn-cs"/>
          <w:color w:val="263746"/>
          <w:kern w:val="24"/>
        </w:rPr>
        <w:t>rant</w:t>
      </w:r>
      <w:r>
        <w:rPr>
          <w:rFonts w:ascii="Georgia" w:eastAsia="+mn-ea" w:hAnsi="Georgia" w:cs="+mn-cs"/>
          <w:color w:val="263746"/>
          <w:kern w:val="24"/>
        </w:rPr>
        <w:t>i</w:t>
      </w:r>
      <w:r w:rsidRPr="003E67D5">
        <w:rPr>
          <w:rFonts w:ascii="Georgia" w:eastAsia="+mn-ea" w:hAnsi="Georgia" w:cs="+mn-cs"/>
          <w:color w:val="263746"/>
          <w:kern w:val="24"/>
        </w:rPr>
        <w:t xml:space="preserve"> </w:t>
      </w:r>
      <w:r>
        <w:rPr>
          <w:rFonts w:ascii="Georgia" w:eastAsia="+mn-ea" w:hAnsi="Georgia" w:cs="+mn-cs"/>
          <w:color w:val="263746"/>
          <w:kern w:val="24"/>
        </w:rPr>
        <w:t xml:space="preserve">e l’afflusso di clienti nelle strutture </w:t>
      </w:r>
      <w:proofErr w:type="spellStart"/>
      <w:r>
        <w:rPr>
          <w:rFonts w:ascii="Georgia" w:eastAsia="+mn-ea" w:hAnsi="Georgia" w:cs="+mn-cs"/>
          <w:color w:val="263746"/>
          <w:kern w:val="24"/>
        </w:rPr>
        <w:t>retail</w:t>
      </w:r>
      <w:proofErr w:type="spellEnd"/>
      <w:r>
        <w:rPr>
          <w:rFonts w:ascii="Georgia" w:eastAsia="+mn-ea" w:hAnsi="Georgia" w:cs="+mn-cs"/>
          <w:color w:val="263746"/>
          <w:kern w:val="24"/>
        </w:rPr>
        <w:t xml:space="preserve"> sono inferiori del</w:t>
      </w:r>
      <w:r w:rsidRPr="003E67D5">
        <w:rPr>
          <w:rFonts w:ascii="Georgia" w:eastAsia="+mn-ea" w:hAnsi="Georgia" w:cs="+mn-cs"/>
          <w:color w:val="263746"/>
          <w:kern w:val="24"/>
        </w:rPr>
        <w:t xml:space="preserve"> 20% </w:t>
      </w:r>
      <w:r>
        <w:rPr>
          <w:rFonts w:ascii="Georgia" w:eastAsia="+mn-ea" w:hAnsi="Georgia" w:cs="+mn-cs"/>
          <w:color w:val="263746"/>
          <w:kern w:val="24"/>
        </w:rPr>
        <w:t>rispetto alla</w:t>
      </w:r>
      <w:r w:rsidRPr="003E67D5">
        <w:rPr>
          <w:rFonts w:ascii="Georgia" w:eastAsia="+mn-ea" w:hAnsi="Georgia" w:cs="+mn-cs"/>
          <w:color w:val="263746"/>
          <w:kern w:val="24"/>
        </w:rPr>
        <w:t xml:space="preserve"> norma, </w:t>
      </w:r>
      <w:r>
        <w:rPr>
          <w:rFonts w:ascii="Georgia" w:eastAsia="+mn-ea" w:hAnsi="Georgia" w:cs="+mn-cs"/>
          <w:color w:val="263746"/>
          <w:kern w:val="24"/>
        </w:rPr>
        <w:t>mentre altri P</w:t>
      </w:r>
      <w:r>
        <w:rPr>
          <w:rFonts w:ascii="Georgia" w:eastAsia="+mn-ea" w:hAnsi="Georgia" w:cs="+mn-cs"/>
          <w:color w:val="263746"/>
          <w:kern w:val="24"/>
        </w:rPr>
        <w:t>aesi, in particolare il Regno Unito, stanno accusando una ripresa finora più fiacca</w:t>
      </w:r>
      <w:r w:rsidRPr="003E67D5">
        <w:rPr>
          <w:rFonts w:ascii="Georgia" w:eastAsia="+mn-ea" w:hAnsi="Georgia" w:cs="+mn-cs"/>
          <w:color w:val="263746"/>
          <w:kern w:val="24"/>
        </w:rPr>
        <w:t xml:space="preserve">. </w:t>
      </w:r>
    </w:p>
    <w:p w:rsidR="008A10F2" w:rsidRPr="00424021" w:rsidRDefault="008A10F2" w:rsidP="008A10F2">
      <w:pPr>
        <w:pStyle w:val="NormaleWeb"/>
        <w:spacing w:before="0" w:beforeAutospacing="0" w:after="0" w:afterAutospacing="0"/>
      </w:pPr>
      <w:r w:rsidRPr="00424021">
        <w:rPr>
          <w:rFonts w:ascii="Georgia" w:eastAsia="+mn-ea" w:hAnsi="Georgia" w:cs="+mn-cs"/>
          <w:color w:val="263746"/>
          <w:kern w:val="24"/>
        </w:rPr>
        <w:t>L’Europa meridionale risente negativamente della mancanza di turisti,</w:t>
      </w:r>
      <w:r>
        <w:rPr>
          <w:rFonts w:ascii="Georgia" w:eastAsia="+mn-ea" w:hAnsi="Georgia" w:cs="+mn-cs"/>
          <w:color w:val="263746"/>
          <w:kern w:val="24"/>
        </w:rPr>
        <w:t xml:space="preserve"> ma l’aspetto positivo è che il numero di accessi al</w:t>
      </w:r>
      <w:r>
        <w:rPr>
          <w:rFonts w:ascii="Georgia" w:eastAsia="+mn-ea" w:hAnsi="Georgia" w:cs="+mn-cs"/>
          <w:color w:val="263746"/>
          <w:kern w:val="24"/>
        </w:rPr>
        <w:t>le strutture</w:t>
      </w:r>
      <w:r w:rsidRPr="00424021">
        <w:rPr>
          <w:rFonts w:ascii="Georgia" w:eastAsia="+mn-ea" w:hAnsi="Georgia" w:cs="+mn-cs"/>
          <w:color w:val="263746"/>
          <w:kern w:val="24"/>
        </w:rPr>
        <w:t xml:space="preserve"> </w:t>
      </w:r>
      <w:proofErr w:type="spellStart"/>
      <w:r w:rsidRPr="00424021">
        <w:rPr>
          <w:rFonts w:ascii="Georgia" w:eastAsia="+mn-ea" w:hAnsi="Georgia" w:cs="+mn-cs"/>
          <w:color w:val="263746"/>
          <w:kern w:val="24"/>
        </w:rPr>
        <w:t>retail</w:t>
      </w:r>
      <w:proofErr w:type="spellEnd"/>
      <w:r w:rsidRPr="00424021">
        <w:rPr>
          <w:rFonts w:ascii="Georgia" w:eastAsia="+mn-ea" w:hAnsi="Georgia" w:cs="+mn-cs"/>
          <w:color w:val="263746"/>
          <w:kern w:val="24"/>
        </w:rPr>
        <w:t xml:space="preserve"> </w:t>
      </w:r>
      <w:r>
        <w:rPr>
          <w:rFonts w:ascii="Georgia" w:eastAsia="+mn-ea" w:hAnsi="Georgia" w:cs="+mn-cs"/>
          <w:color w:val="263746"/>
          <w:kern w:val="24"/>
        </w:rPr>
        <w:t xml:space="preserve">sembra essere </w:t>
      </w:r>
      <w:r w:rsidRPr="00424021">
        <w:rPr>
          <w:rFonts w:ascii="Georgia" w:eastAsia="+mn-ea" w:hAnsi="Georgia" w:cs="+mn-cs"/>
          <w:color w:val="263746"/>
          <w:kern w:val="24"/>
        </w:rPr>
        <w:t>to</w:t>
      </w:r>
      <w:r>
        <w:rPr>
          <w:rFonts w:ascii="Georgia" w:eastAsia="+mn-ea" w:hAnsi="Georgia" w:cs="+mn-cs"/>
          <w:color w:val="263746"/>
          <w:kern w:val="24"/>
        </w:rPr>
        <w:t xml:space="preserve">rnato vicino a una situazione di </w:t>
      </w:r>
      <w:r w:rsidRPr="00424021">
        <w:rPr>
          <w:rFonts w:ascii="Georgia" w:eastAsia="+mn-ea" w:hAnsi="Georgia" w:cs="+mn-cs"/>
          <w:color w:val="263746"/>
          <w:kern w:val="24"/>
        </w:rPr>
        <w:t>norma</w:t>
      </w:r>
      <w:r>
        <w:rPr>
          <w:rFonts w:ascii="Georgia" w:eastAsia="+mn-ea" w:hAnsi="Georgia" w:cs="+mn-cs"/>
          <w:color w:val="263746"/>
          <w:kern w:val="24"/>
        </w:rPr>
        <w:t>lità</w:t>
      </w:r>
      <w:r w:rsidRPr="00424021">
        <w:rPr>
          <w:rFonts w:ascii="Georgia" w:eastAsia="+mn-ea" w:hAnsi="Georgia" w:cs="+mn-cs"/>
          <w:color w:val="263746"/>
          <w:kern w:val="24"/>
        </w:rPr>
        <w:t>.</w:t>
      </w:r>
    </w:p>
    <w:p w:rsidR="008A10F2" w:rsidRPr="008B6259" w:rsidRDefault="008A10F2" w:rsidP="008A10F2">
      <w:pPr>
        <w:pStyle w:val="NormaleWeb"/>
        <w:spacing w:before="0" w:beforeAutospacing="0" w:after="0" w:afterAutospacing="0"/>
      </w:pPr>
      <w:r w:rsidRPr="00832D1A">
        <w:rPr>
          <w:rFonts w:ascii="Georgia" w:eastAsia="+mn-ea" w:hAnsi="Georgia" w:cs="+mn-cs"/>
          <w:color w:val="263746"/>
          <w:kern w:val="24"/>
        </w:rPr>
        <w:t xml:space="preserve">Secondo il report </w:t>
      </w:r>
      <w:proofErr w:type="spellStart"/>
      <w:r w:rsidRPr="00832D1A">
        <w:rPr>
          <w:rFonts w:ascii="Georgia" w:eastAsia="+mn-ea" w:hAnsi="Georgia" w:cs="+mn-cs"/>
          <w:color w:val="263746"/>
          <w:kern w:val="24"/>
        </w:rPr>
        <w:t>European</w:t>
      </w:r>
      <w:proofErr w:type="spellEnd"/>
      <w:r w:rsidRPr="00832D1A">
        <w:rPr>
          <w:rFonts w:ascii="Georgia" w:eastAsia="+mn-ea" w:hAnsi="Georgia" w:cs="+mn-cs"/>
          <w:color w:val="263746"/>
          <w:kern w:val="24"/>
        </w:rPr>
        <w:t xml:space="preserve"> Capital Trends Q2 2020 di Real Capital Analytics</w:t>
      </w:r>
      <w:r>
        <w:rPr>
          <w:rFonts w:ascii="Georgia" w:eastAsia="+mn-ea" w:hAnsi="Georgia" w:cs="+mn-cs"/>
          <w:color w:val="263746"/>
          <w:kern w:val="24"/>
        </w:rPr>
        <w:t>,</w:t>
      </w:r>
      <w:r w:rsidRPr="00832D1A">
        <w:rPr>
          <w:rFonts w:ascii="Georgia" w:eastAsia="+mn-ea" w:hAnsi="Georgia" w:cs="+mn-cs"/>
          <w:color w:val="263746"/>
          <w:kern w:val="24"/>
        </w:rPr>
        <w:t xml:space="preserve"> il volume degli investimen</w:t>
      </w:r>
      <w:r>
        <w:rPr>
          <w:rFonts w:ascii="Georgia" w:eastAsia="+mn-ea" w:hAnsi="Georgia" w:cs="+mn-cs"/>
          <w:color w:val="263746"/>
          <w:kern w:val="24"/>
        </w:rPr>
        <w:t>ti n</w:t>
      </w:r>
      <w:r w:rsidRPr="00832D1A">
        <w:rPr>
          <w:rFonts w:ascii="Georgia" w:eastAsia="+mn-ea" w:hAnsi="Georgia" w:cs="+mn-cs"/>
          <w:color w:val="263746"/>
          <w:kern w:val="24"/>
        </w:rPr>
        <w:t xml:space="preserve">elle transazioni nel </w:t>
      </w:r>
      <w:proofErr w:type="spellStart"/>
      <w:r w:rsidRPr="00832D1A">
        <w:rPr>
          <w:rFonts w:ascii="Georgia" w:eastAsia="+mn-ea" w:hAnsi="Georgia" w:cs="+mn-cs"/>
          <w:color w:val="263746"/>
          <w:kern w:val="24"/>
        </w:rPr>
        <w:t>real</w:t>
      </w:r>
      <w:proofErr w:type="spellEnd"/>
      <w:r w:rsidRPr="00832D1A">
        <w:rPr>
          <w:rFonts w:ascii="Georgia" w:eastAsia="+mn-ea" w:hAnsi="Georgia" w:cs="+mn-cs"/>
          <w:color w:val="263746"/>
          <w:kern w:val="24"/>
        </w:rPr>
        <w:t xml:space="preserve"> estate commerciale in Europa è sceso </w:t>
      </w:r>
      <w:r>
        <w:rPr>
          <w:rFonts w:ascii="Georgia" w:eastAsia="+mn-ea" w:hAnsi="Georgia" w:cs="+mn-cs"/>
          <w:color w:val="263746"/>
          <w:kern w:val="24"/>
        </w:rPr>
        <w:t xml:space="preserve">nel secondo trimestre del 2020 </w:t>
      </w:r>
      <w:r w:rsidRPr="00832D1A">
        <w:rPr>
          <w:rFonts w:ascii="Georgia" w:eastAsia="+mn-ea" w:hAnsi="Georgia" w:cs="+mn-cs"/>
          <w:color w:val="263746"/>
          <w:kern w:val="24"/>
        </w:rPr>
        <w:t xml:space="preserve">al livello più basso, </w:t>
      </w:r>
      <w:r>
        <w:rPr>
          <w:rFonts w:ascii="Georgia" w:eastAsia="+mn-ea" w:hAnsi="Georgia" w:cs="+mn-cs"/>
          <w:color w:val="263746"/>
          <w:kern w:val="24"/>
        </w:rPr>
        <w:t>in un trimestre</w:t>
      </w:r>
      <w:r w:rsidRPr="00832D1A">
        <w:rPr>
          <w:rFonts w:ascii="Georgia" w:eastAsia="+mn-ea" w:hAnsi="Georgia" w:cs="+mn-cs"/>
          <w:color w:val="263746"/>
          <w:kern w:val="24"/>
        </w:rPr>
        <w:t xml:space="preserve">, </w:t>
      </w:r>
      <w:r>
        <w:rPr>
          <w:rFonts w:ascii="Georgia" w:eastAsia="+mn-ea" w:hAnsi="Georgia" w:cs="+mn-cs"/>
          <w:color w:val="263746"/>
          <w:kern w:val="24"/>
        </w:rPr>
        <w:t>dal</w:t>
      </w:r>
      <w:r w:rsidRPr="00832D1A">
        <w:rPr>
          <w:rFonts w:ascii="Georgia" w:eastAsia="+mn-ea" w:hAnsi="Georgia" w:cs="+mn-cs"/>
          <w:color w:val="263746"/>
          <w:kern w:val="24"/>
        </w:rPr>
        <w:t xml:space="preserve"> 2014</w:t>
      </w:r>
      <w:r>
        <w:rPr>
          <w:rFonts w:ascii="Georgia" w:eastAsia="+mn-ea" w:hAnsi="Georgia" w:cs="+mn-cs"/>
          <w:color w:val="263746"/>
          <w:kern w:val="24"/>
        </w:rPr>
        <w:t xml:space="preserve">. </w:t>
      </w:r>
      <w:r w:rsidRPr="002B2EFE">
        <w:rPr>
          <w:rFonts w:ascii="Georgia" w:eastAsia="+mn-ea" w:hAnsi="Georgia" w:cs="+mn-cs"/>
          <w:color w:val="263746"/>
          <w:kern w:val="24"/>
        </w:rPr>
        <w:t>I</w:t>
      </w:r>
      <w:r>
        <w:rPr>
          <w:rFonts w:ascii="Georgia" w:eastAsia="+mn-ea" w:hAnsi="Georgia" w:cs="+mn-cs"/>
          <w:color w:val="263746"/>
          <w:kern w:val="24"/>
        </w:rPr>
        <w:t xml:space="preserve"> </w:t>
      </w:r>
      <w:r w:rsidRPr="002B2EFE">
        <w:rPr>
          <w:rFonts w:ascii="Georgia" w:eastAsia="+mn-ea" w:hAnsi="Georgia" w:cs="+mn-cs"/>
          <w:color w:val="263746"/>
          <w:kern w:val="24"/>
        </w:rPr>
        <w:t xml:space="preserve">50,1 miliardi </w:t>
      </w:r>
      <w:r>
        <w:rPr>
          <w:rFonts w:ascii="Georgia" w:eastAsia="+mn-ea" w:hAnsi="Georgia" w:cs="+mn-cs"/>
          <w:color w:val="263746"/>
          <w:kern w:val="24"/>
        </w:rPr>
        <w:t xml:space="preserve">di euro </w:t>
      </w:r>
      <w:r w:rsidRPr="002B2EFE">
        <w:rPr>
          <w:rFonts w:ascii="Georgia" w:eastAsia="+mn-ea" w:hAnsi="Georgia" w:cs="+mn-cs"/>
          <w:color w:val="263746"/>
          <w:kern w:val="24"/>
        </w:rPr>
        <w:t>investiti rappresentano un calo del 32% rispetto al secondo trimestr</w:t>
      </w:r>
      <w:r>
        <w:rPr>
          <w:rFonts w:ascii="Georgia" w:eastAsia="+mn-ea" w:hAnsi="Georgia" w:cs="+mn-cs"/>
          <w:color w:val="263746"/>
          <w:kern w:val="24"/>
        </w:rPr>
        <w:t>e</w:t>
      </w:r>
      <w:r w:rsidRPr="002B2EFE">
        <w:rPr>
          <w:rFonts w:ascii="Georgia" w:eastAsia="+mn-ea" w:hAnsi="Georgia" w:cs="+mn-cs"/>
          <w:color w:val="263746"/>
          <w:kern w:val="24"/>
        </w:rPr>
        <w:t xml:space="preserve"> del 2019. </w:t>
      </w:r>
      <w:r w:rsidRPr="008B6259">
        <w:rPr>
          <w:rFonts w:ascii="Georgia" w:eastAsia="+mn-ea" w:hAnsi="Georgia" w:cs="+mn-cs"/>
          <w:color w:val="263746"/>
          <w:kern w:val="24"/>
        </w:rPr>
        <w:t>Tuttavia, la finalizzazione di alcune importanti operazioni nel periodo,</w:t>
      </w:r>
      <w:r>
        <w:rPr>
          <w:rFonts w:ascii="Georgia" w:eastAsia="+mn-ea" w:hAnsi="Georgia" w:cs="+mn-cs"/>
          <w:color w:val="263746"/>
          <w:kern w:val="24"/>
        </w:rPr>
        <w:t xml:space="preserve"> in particolare </w:t>
      </w:r>
      <w:r w:rsidRPr="008B6259">
        <w:rPr>
          <w:rFonts w:ascii="Georgia" w:eastAsia="+mn-ea" w:hAnsi="Georgia" w:cs="+mn-cs"/>
          <w:color w:val="263746"/>
          <w:kern w:val="24"/>
        </w:rPr>
        <w:t>in German</w:t>
      </w:r>
      <w:r>
        <w:rPr>
          <w:rFonts w:ascii="Georgia" w:eastAsia="+mn-ea" w:hAnsi="Georgia" w:cs="+mn-cs"/>
          <w:color w:val="263746"/>
          <w:kern w:val="24"/>
        </w:rPr>
        <w:t>ia</w:t>
      </w:r>
      <w:r w:rsidRPr="008B6259">
        <w:rPr>
          <w:rFonts w:ascii="Georgia" w:eastAsia="+mn-ea" w:hAnsi="Georgia" w:cs="+mn-cs"/>
          <w:color w:val="263746"/>
          <w:kern w:val="24"/>
        </w:rPr>
        <w:t xml:space="preserve">, </w:t>
      </w:r>
      <w:r>
        <w:rPr>
          <w:rFonts w:ascii="Georgia" w:eastAsia="+mn-ea" w:hAnsi="Georgia" w:cs="+mn-cs"/>
          <w:color w:val="263746"/>
          <w:kern w:val="24"/>
        </w:rPr>
        <w:t>ha contribuito a sostenere l’</w:t>
      </w:r>
      <w:r w:rsidRPr="008B6259">
        <w:rPr>
          <w:rFonts w:ascii="Georgia" w:eastAsia="+mn-ea" w:hAnsi="Georgia" w:cs="+mn-cs"/>
          <w:color w:val="263746"/>
          <w:kern w:val="24"/>
        </w:rPr>
        <w:t>a</w:t>
      </w:r>
      <w:r>
        <w:rPr>
          <w:rFonts w:ascii="Georgia" w:eastAsia="+mn-ea" w:hAnsi="Georgia" w:cs="+mn-cs"/>
          <w:color w:val="263746"/>
          <w:kern w:val="24"/>
        </w:rPr>
        <w:t>t</w:t>
      </w:r>
      <w:r w:rsidRPr="008B6259">
        <w:rPr>
          <w:rFonts w:ascii="Georgia" w:eastAsia="+mn-ea" w:hAnsi="Georgia" w:cs="+mn-cs"/>
          <w:color w:val="263746"/>
          <w:kern w:val="24"/>
        </w:rPr>
        <w:t>tivit</w:t>
      </w:r>
      <w:r>
        <w:rPr>
          <w:rFonts w:ascii="Georgia" w:eastAsia="+mn-ea" w:hAnsi="Georgia" w:cs="+mn-cs"/>
          <w:color w:val="263746"/>
          <w:kern w:val="24"/>
        </w:rPr>
        <w:t>à</w:t>
      </w:r>
      <w:r>
        <w:rPr>
          <w:rFonts w:ascii="Georgia" w:eastAsia="+mn-ea" w:hAnsi="Georgia" w:cs="+mn-cs"/>
          <w:color w:val="263746"/>
          <w:kern w:val="24"/>
        </w:rPr>
        <w:t>,</w:t>
      </w:r>
      <w:r>
        <w:rPr>
          <w:rFonts w:ascii="Georgia" w:eastAsia="+mn-ea" w:hAnsi="Georgia" w:cs="+mn-cs"/>
          <w:color w:val="263746"/>
          <w:kern w:val="24"/>
        </w:rPr>
        <w:t xml:space="preserve"> diversamente da quanto accaduto in altre</w:t>
      </w:r>
      <w:r w:rsidRPr="008B6259">
        <w:rPr>
          <w:rFonts w:ascii="Georgia" w:eastAsia="+mn-ea" w:hAnsi="Georgia" w:cs="+mn-cs"/>
          <w:color w:val="263746"/>
          <w:kern w:val="24"/>
        </w:rPr>
        <w:t xml:space="preserve"> region</w:t>
      </w:r>
      <w:r>
        <w:rPr>
          <w:rFonts w:ascii="Georgia" w:eastAsia="+mn-ea" w:hAnsi="Georgia" w:cs="+mn-cs"/>
          <w:color w:val="263746"/>
          <w:kern w:val="24"/>
        </w:rPr>
        <w:t>i del globo</w:t>
      </w:r>
      <w:r w:rsidRPr="008B6259">
        <w:rPr>
          <w:rFonts w:ascii="Georgia" w:eastAsia="+mn-ea" w:hAnsi="Georgia" w:cs="+mn-cs"/>
          <w:color w:val="263746"/>
          <w:kern w:val="24"/>
        </w:rPr>
        <w:t>. I volum</w:t>
      </w:r>
      <w:r>
        <w:rPr>
          <w:rFonts w:ascii="Georgia" w:eastAsia="+mn-ea" w:hAnsi="Georgia" w:cs="+mn-cs"/>
          <w:color w:val="263746"/>
          <w:kern w:val="24"/>
        </w:rPr>
        <w:t>i</w:t>
      </w:r>
      <w:r w:rsidRPr="008B6259">
        <w:rPr>
          <w:rFonts w:ascii="Georgia" w:eastAsia="+mn-ea" w:hAnsi="Georgia" w:cs="+mn-cs"/>
          <w:color w:val="263746"/>
          <w:kern w:val="24"/>
        </w:rPr>
        <w:t xml:space="preserve"> in Europ</w:t>
      </w:r>
      <w:r>
        <w:rPr>
          <w:rFonts w:ascii="Georgia" w:eastAsia="+mn-ea" w:hAnsi="Georgia" w:cs="+mn-cs"/>
          <w:color w:val="263746"/>
          <w:kern w:val="24"/>
        </w:rPr>
        <w:t>a hanno ret</w:t>
      </w:r>
      <w:r w:rsidRPr="008B6259">
        <w:rPr>
          <w:rFonts w:ascii="Georgia" w:eastAsia="+mn-ea" w:hAnsi="Georgia" w:cs="+mn-cs"/>
          <w:color w:val="263746"/>
          <w:kern w:val="24"/>
        </w:rPr>
        <w:t>to meglio rispetto ad altri m</w:t>
      </w:r>
      <w:r>
        <w:rPr>
          <w:rFonts w:ascii="Georgia" w:eastAsia="+mn-ea" w:hAnsi="Georgia" w:cs="+mn-cs"/>
          <w:color w:val="263746"/>
          <w:kern w:val="24"/>
        </w:rPr>
        <w:t>e</w:t>
      </w:r>
      <w:r w:rsidRPr="008B6259">
        <w:rPr>
          <w:rFonts w:ascii="Georgia" w:eastAsia="+mn-ea" w:hAnsi="Georgia" w:cs="+mn-cs"/>
          <w:color w:val="263746"/>
          <w:kern w:val="24"/>
        </w:rPr>
        <w:t>r</w:t>
      </w:r>
      <w:r>
        <w:rPr>
          <w:rFonts w:ascii="Georgia" w:eastAsia="+mn-ea" w:hAnsi="Georgia" w:cs="+mn-cs"/>
          <w:color w:val="263746"/>
          <w:kern w:val="24"/>
        </w:rPr>
        <w:t>cati del</w:t>
      </w:r>
      <w:r w:rsidRPr="008B6259">
        <w:rPr>
          <w:rFonts w:ascii="Georgia" w:eastAsia="+mn-ea" w:hAnsi="Georgia" w:cs="+mn-cs"/>
          <w:color w:val="263746"/>
          <w:kern w:val="24"/>
        </w:rPr>
        <w:t xml:space="preserve"> Nor</w:t>
      </w:r>
      <w:r>
        <w:rPr>
          <w:rFonts w:ascii="Georgia" w:eastAsia="+mn-ea" w:hAnsi="Georgia" w:cs="+mn-cs"/>
          <w:color w:val="263746"/>
          <w:kern w:val="24"/>
        </w:rPr>
        <w:t>d</w:t>
      </w:r>
      <w:r w:rsidRPr="008B6259">
        <w:rPr>
          <w:rFonts w:ascii="Georgia" w:eastAsia="+mn-ea" w:hAnsi="Georgia" w:cs="+mn-cs"/>
          <w:color w:val="263746"/>
          <w:kern w:val="24"/>
        </w:rPr>
        <w:t xml:space="preserve"> America </w:t>
      </w:r>
      <w:r>
        <w:rPr>
          <w:rFonts w:ascii="Georgia" w:eastAsia="+mn-ea" w:hAnsi="Georgia" w:cs="+mn-cs"/>
          <w:color w:val="263746"/>
          <w:kern w:val="24"/>
        </w:rPr>
        <w:t xml:space="preserve">e </w:t>
      </w:r>
      <w:r w:rsidRPr="008B6259">
        <w:rPr>
          <w:rFonts w:ascii="Georgia" w:eastAsia="+mn-ea" w:hAnsi="Georgia" w:cs="+mn-cs"/>
          <w:color w:val="263746"/>
          <w:kern w:val="24"/>
        </w:rPr>
        <w:t>d</w:t>
      </w:r>
      <w:r>
        <w:rPr>
          <w:rFonts w:ascii="Georgia" w:eastAsia="+mn-ea" w:hAnsi="Georgia" w:cs="+mn-cs"/>
          <w:color w:val="263746"/>
          <w:kern w:val="24"/>
        </w:rPr>
        <w:t>ell’</w:t>
      </w:r>
      <w:r w:rsidRPr="008B6259">
        <w:rPr>
          <w:rFonts w:ascii="Georgia" w:eastAsia="+mn-ea" w:hAnsi="Georgia" w:cs="+mn-cs"/>
          <w:color w:val="263746"/>
          <w:kern w:val="24"/>
        </w:rPr>
        <w:t>Asia Pacific</w:t>
      </w:r>
      <w:r>
        <w:rPr>
          <w:rFonts w:ascii="Georgia" w:eastAsia="+mn-ea" w:hAnsi="Georgia" w:cs="+mn-cs"/>
          <w:color w:val="263746"/>
          <w:kern w:val="24"/>
        </w:rPr>
        <w:t>o</w:t>
      </w:r>
      <w:r w:rsidRPr="008B6259">
        <w:rPr>
          <w:rFonts w:ascii="Georgia" w:eastAsia="+mn-ea" w:hAnsi="Georgia" w:cs="+mn-cs"/>
          <w:color w:val="263746"/>
          <w:kern w:val="24"/>
        </w:rPr>
        <w:t>.</w:t>
      </w:r>
    </w:p>
    <w:p w:rsidR="008A10F2" w:rsidRDefault="008A10F2" w:rsidP="00AF0AAE">
      <w:pPr>
        <w:spacing w:after="0" w:line="240" w:lineRule="auto"/>
        <w:textAlignment w:val="baseline"/>
        <w:rPr>
          <w:rFonts w:ascii="Georgia" w:eastAsia="+mn-ea" w:hAnsi="Georgia" w:cs="+mn-cs"/>
          <w:color w:val="008FBE"/>
          <w:kern w:val="24"/>
          <w:sz w:val="28"/>
          <w:szCs w:val="28"/>
        </w:rPr>
      </w:pPr>
      <w:r w:rsidRPr="008B6259"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72"/>
          <w:szCs w:val="72"/>
        </w:rPr>
        <w:t xml:space="preserve"> </w:t>
      </w:r>
      <w:r w:rsidRPr="008C5DFB">
        <w:rPr>
          <w:rFonts w:ascii="Georgia" w:eastAsia="+mn-ea" w:hAnsi="Georgia" w:cs="+mn-cs"/>
          <w:b/>
          <w:bCs/>
          <w:color w:val="FF0000"/>
          <w:kern w:val="24"/>
          <w:position w:val="1"/>
          <w:sz w:val="28"/>
          <w:szCs w:val="28"/>
        </w:rPr>
        <w:br/>
      </w:r>
      <w:r w:rsidRPr="008C5DFB">
        <w:rPr>
          <w:rFonts w:ascii="Georgia" w:eastAsia="+mn-ea" w:hAnsi="Georgia" w:cs="+mn-cs"/>
          <w:color w:val="008FBE"/>
          <w:kern w:val="24"/>
          <w:sz w:val="28"/>
          <w:szCs w:val="28"/>
        </w:rPr>
        <w:t>Il controllo del virus, la solidità fi</w:t>
      </w:r>
      <w:r w:rsidR="00AF0AAE">
        <w:rPr>
          <w:rFonts w:ascii="Georgia" w:eastAsia="+mn-ea" w:hAnsi="Georgia" w:cs="+mn-cs"/>
          <w:color w:val="008FBE"/>
          <w:kern w:val="24"/>
          <w:sz w:val="28"/>
          <w:szCs w:val="28"/>
        </w:rPr>
        <w:t>scale</w:t>
      </w:r>
      <w:r w:rsidRPr="008C5DFB">
        <w:rPr>
          <w:rFonts w:ascii="Georgia" w:eastAsia="+mn-ea" w:hAnsi="Georgia" w:cs="+mn-cs"/>
          <w:color w:val="008FBE"/>
          <w:kern w:val="24"/>
          <w:sz w:val="28"/>
          <w:szCs w:val="28"/>
        </w:rPr>
        <w:t xml:space="preserve"> e l</w:t>
      </w:r>
      <w:r w:rsidR="00AF0AAE">
        <w:rPr>
          <w:rFonts w:ascii="Georgia" w:eastAsia="+mn-ea" w:hAnsi="Georgia" w:cs="+mn-cs"/>
          <w:color w:val="008FBE"/>
          <w:kern w:val="24"/>
          <w:sz w:val="28"/>
          <w:szCs w:val="28"/>
        </w:rPr>
        <w:t>a dipendenza da</w:t>
      </w:r>
      <w:r w:rsidRPr="008C5DFB">
        <w:rPr>
          <w:rFonts w:ascii="Georgia" w:eastAsia="+mn-ea" w:hAnsi="Georgia" w:cs="+mn-cs"/>
          <w:color w:val="008FBE"/>
          <w:kern w:val="24"/>
          <w:sz w:val="28"/>
          <w:szCs w:val="28"/>
        </w:rPr>
        <w:t xml:space="preserve">ll’industria dei servizi saranno cruciali per </w:t>
      </w:r>
      <w:r w:rsidR="00AF0AAE">
        <w:rPr>
          <w:rFonts w:ascii="Georgia" w:eastAsia="+mn-ea" w:hAnsi="Georgia" w:cs="+mn-cs"/>
          <w:color w:val="008FBE"/>
          <w:kern w:val="24"/>
          <w:sz w:val="28"/>
          <w:szCs w:val="28"/>
        </w:rPr>
        <w:t>le performance n</w:t>
      </w:r>
      <w:r w:rsidRPr="008C5DFB">
        <w:rPr>
          <w:rFonts w:ascii="Georgia" w:eastAsia="+mn-ea" w:hAnsi="Georgia" w:cs="+mn-cs"/>
          <w:color w:val="008FBE"/>
          <w:kern w:val="24"/>
          <w:sz w:val="28"/>
          <w:szCs w:val="28"/>
        </w:rPr>
        <w:t xml:space="preserve">el 2020 </w:t>
      </w:r>
    </w:p>
    <w:p w:rsidR="00AF0AAE" w:rsidRDefault="00AF0AAE" w:rsidP="00AF0AAE">
      <w:pPr>
        <w:spacing w:after="0" w:line="240" w:lineRule="auto"/>
        <w:textAlignment w:val="baseline"/>
        <w:rPr>
          <w:rFonts w:ascii="Georgia" w:eastAsia="+mn-ea" w:hAnsi="Georgia" w:cs="+mn-cs"/>
          <w:color w:val="008FBE"/>
          <w:kern w:val="24"/>
          <w:sz w:val="28"/>
          <w:szCs w:val="28"/>
        </w:rPr>
      </w:pPr>
    </w:p>
    <w:p w:rsidR="00AF0AAE" w:rsidRPr="00AF0AAE" w:rsidRDefault="00AF0AAE" w:rsidP="00AF0AAE">
      <w:pPr>
        <w:spacing w:after="0" w:line="240" w:lineRule="auto"/>
        <w:textAlignment w:val="baseline"/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52"/>
          <w:szCs w:val="52"/>
        </w:rPr>
      </w:pPr>
      <w:r w:rsidRPr="007D48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5DB9F" wp14:editId="710760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52361" cy="309245"/>
                <wp:effectExtent l="0" t="0" r="0" b="0"/>
                <wp:wrapNone/>
                <wp:docPr id="3" name="Tex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52361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0AAE" w:rsidRPr="00AF0AAE" w:rsidRDefault="00AF0AAE" w:rsidP="00AF0AAE">
                            <w:pPr>
                              <w:pStyle w:val="NormaleWeb"/>
                              <w:spacing w:before="53" w:beforeAutospacing="0" w:after="53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C</w:t>
                            </w:r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rescita</w:t>
                            </w:r>
                            <w:proofErr w:type="spellEnd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del </w:t>
                            </w:r>
                            <w:proofErr w:type="gramStart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PIL </w:t>
                            </w:r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%</w:t>
                            </w:r>
                            <w:proofErr w:type="gramEnd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p.a., 2019 </w:t>
                            </w:r>
                            <w:proofErr w:type="spellStart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vs</w:t>
                            </w:r>
                            <w:proofErr w:type="spellEnd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2020 </w:t>
                            </w:r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fonte</w:t>
                            </w:r>
                            <w:proofErr w:type="spellEnd"/>
                            <w:r w:rsidRPr="00AF0AAE">
                              <w:rPr>
                                <w:rFonts w:ascii="Georgia" w:eastAsia="+mn-ea" w:hAnsi="Georgia" w:cs="+mn-cs"/>
                                <w:b/>
                                <w:bCs/>
                                <w:color w:val="263746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: Oxford Economics)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45DB9F" id="Text Placeholder 2" o:spid="_x0000_s1026" style="position:absolute;margin-left:0;margin-top:0;width:618.3pt;height:24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" filled="f" stroked="f">
                <v:path arrowok="t"/>
                <o:lock v:ext="edit" grouping="t"/>
                <v:textbox inset="0,0,0,0">
                  <w:txbxContent>
                    <w:p w:rsidR="00AF0AAE" w:rsidRPr="00AF0AAE" w:rsidRDefault="00AF0AAE" w:rsidP="00AF0AAE">
                      <w:pPr>
                        <w:pStyle w:val="NormaleWeb"/>
                        <w:spacing w:before="53" w:beforeAutospacing="0" w:after="53" w:afterAutospacing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>C</w:t>
                      </w:r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>rescita</w:t>
                      </w:r>
                      <w:proofErr w:type="spellEnd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 xml:space="preserve"> del </w:t>
                      </w:r>
                      <w:proofErr w:type="gramStart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 xml:space="preserve">PIL </w:t>
                      </w:r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 xml:space="preserve"> %</w:t>
                      </w:r>
                      <w:proofErr w:type="gramEnd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 xml:space="preserve"> p.a., 2019 </w:t>
                      </w:r>
                      <w:proofErr w:type="spellStart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>vs</w:t>
                      </w:r>
                      <w:proofErr w:type="spellEnd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22"/>
                          <w:szCs w:val="22"/>
                          <w:lang w:val="de-DE"/>
                        </w:rPr>
                        <w:t xml:space="preserve">2020 </w:t>
                      </w:r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18"/>
                          <w:szCs w:val="18"/>
                          <w:lang w:val="de-DE"/>
                        </w:rPr>
                        <w:t>fonte</w:t>
                      </w:r>
                      <w:proofErr w:type="spellEnd"/>
                      <w:r w:rsidRPr="00AF0AAE">
                        <w:rPr>
                          <w:rFonts w:ascii="Georgia" w:eastAsia="+mn-ea" w:hAnsi="Georgia" w:cs="+mn-cs"/>
                          <w:b/>
                          <w:bCs/>
                          <w:color w:val="263746"/>
                          <w:kern w:val="24"/>
                          <w:sz w:val="18"/>
                          <w:szCs w:val="18"/>
                          <w:lang w:val="de-DE"/>
                        </w:rPr>
                        <w:t>: Oxford Economics)</w:t>
                      </w:r>
                    </w:p>
                  </w:txbxContent>
                </v:textbox>
              </v:rect>
            </w:pict>
          </mc:Fallback>
        </mc:AlternateContent>
      </w:r>
    </w:p>
    <w:p w:rsidR="008A10F2" w:rsidRDefault="00AF0AAE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72"/>
          <w:szCs w:val="72"/>
        </w:rPr>
      </w:pPr>
      <w:r>
        <w:rPr>
          <w:noProof/>
        </w:rPr>
        <w:drawing>
          <wp:inline distT="0" distB="0" distL="0" distR="0" wp14:anchorId="57F5C7A1" wp14:editId="0AF8531E">
            <wp:extent cx="5681070" cy="236006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080" cy="2362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AAE" w:rsidRPr="00572032" w:rsidRDefault="00AF0AAE" w:rsidP="00AF0AAE">
      <w:pPr>
        <w:spacing w:after="0" w:line="240" w:lineRule="auto"/>
        <w:textAlignment w:val="baseline"/>
        <w:rPr>
          <w:rFonts w:ascii="Georgia" w:eastAsia="+mn-ea" w:hAnsi="Georgia" w:cs="+mn-cs"/>
          <w:b/>
          <w:bCs/>
          <w:color w:val="008FBE"/>
          <w:kern w:val="24"/>
          <w:sz w:val="64"/>
          <w:szCs w:val="64"/>
        </w:rPr>
      </w:pPr>
      <w:bookmarkStart w:id="0" w:name="_GoBack"/>
      <w:bookmarkEnd w:id="0"/>
      <w:r w:rsidRPr="00572032"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64"/>
          <w:szCs w:val="64"/>
        </w:rPr>
        <w:lastRenderedPageBreak/>
        <w:t>Stati Uniti</w:t>
      </w:r>
    </w:p>
    <w:p w:rsidR="00AF0AAE" w:rsidRPr="008A10F2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b/>
          <w:bCs/>
          <w:color w:val="008FBE"/>
          <w:kern w:val="24"/>
          <w:sz w:val="22"/>
          <w:szCs w:val="22"/>
        </w:rPr>
      </w:pPr>
    </w:p>
    <w:p w:rsidR="00AF0AAE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263746"/>
          <w:kern w:val="24"/>
          <w:sz w:val="22"/>
          <w:szCs w:val="22"/>
        </w:rPr>
      </w:pPr>
      <w:r w:rsidRPr="008C5DFB">
        <w:rPr>
          <w:rFonts w:ascii="Georgia" w:eastAsia="+mn-ea" w:hAnsi="Georgia" w:cs="+mn-cs"/>
          <w:b/>
          <w:bCs/>
          <w:color w:val="008FBE"/>
          <w:kern w:val="24"/>
          <w:sz w:val="22"/>
          <w:szCs w:val="22"/>
        </w:rPr>
        <w:t xml:space="preserve">Regione: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L’andamento 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del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corona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virus determinerà la traiettoria della ripresa negli Stati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Uniti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–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per entrambi alla metà di agosto 2020 la situazione si presenta come estremamente i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>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stabile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Il numero dei casi di coronavirus è ancora elevato negli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Stati Uniti, dove gli </w:t>
      </w:r>
      <w:proofErr w:type="spellStart"/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infetti</w:t>
      </w:r>
      <w:proofErr w:type="spellEnd"/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sono più di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5 milion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,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il 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25%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del totale dei 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>cas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 in tutto il mondo</w:t>
      </w:r>
      <w:r w:rsidRPr="008C5DF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 dati di Apple </w:t>
      </w:r>
      <w:proofErr w:type="spellStart"/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Mobility</w:t>
      </w:r>
      <w:proofErr w:type="spellEnd"/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indicano che non ci sono stat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i cambiamenti significativi nel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la mobilit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à negli Stati Uniti dalla metà di gi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u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g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o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.</w:t>
      </w:r>
    </w:p>
    <w:p w:rsidR="00AF0AAE" w:rsidRPr="00D318EB" w:rsidRDefault="00AF0AAE" w:rsidP="00AF0AAE">
      <w:pPr>
        <w:pStyle w:val="NormaleWeb"/>
        <w:spacing w:before="0" w:beforeAutospacing="0" w:after="0" w:afterAutospacing="0"/>
      </w:pP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I dati sull’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occupazione de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l mese di lug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l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io sono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positivi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perché l’economia degli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Stati Uniti ha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registr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ato un incremento di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1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,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8 milion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 di posti di lavoro 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e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il tasso di disoccupazione è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sceso di un intero punto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percent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u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a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l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>e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al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10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,</w:t>
      </w:r>
      <w:r w:rsidRPr="00910B7A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2%. 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Gli spazi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proofErr w:type="spellStart"/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>retail</w:t>
      </w:r>
      <w:proofErr w:type="spellEnd"/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e 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ristoranti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copron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o metà dei nuovi posti di lavoro 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el mese 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di luglio. Anche se le aziende hanno riassunto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circa la 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>metà dei lavoratori che avevano perso il posto a causa della pandemia,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il mercato del lavoro degli Stati Uniti conta ancora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13 milion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 di posti di lavoro in meno rispetto a f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>eb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br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>a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io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2020</w:t>
      </w:r>
      <w:r w:rsidRPr="00D208CD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La forza lavoro è calata a luglio 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in tutti i segmenti</w:t>
      </w:r>
      <w:r w:rsidRPr="00D208CD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d</w:t>
      </w:r>
      <w:r w:rsidRPr="00D208CD">
        <w:rPr>
          <w:rFonts w:ascii="Georgia" w:eastAsia="+mn-ea" w:hAnsi="Georgia" w:cs="+mn-cs"/>
          <w:color w:val="263746"/>
          <w:kern w:val="24"/>
          <w:sz w:val="22"/>
          <w:szCs w:val="22"/>
        </w:rPr>
        <w:t>el gruppo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principale</w:t>
      </w:r>
      <w:r w:rsidRPr="00D208CD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di lavoratori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per fascia di età</w:t>
      </w:r>
      <w:r w:rsidRPr="00866A95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Il St. Louis Fed Financial Stress Index, che misura la volatilità dei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titoli a rendimento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fiss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o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e del mercato azionario, nella settimana che si è conclusa il 31 luglio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è risultato al di sotto della media di lungo termine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. La volatilità dei mercati finanziari è aumentata a marzo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,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e di nuovo a giu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g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o e all’inizio di l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u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g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l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io, con picchi nella maggior parte degli stati degli S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tat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 Uniti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All’inizio di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a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gosto il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residente Trump ha annunciato quattro nuovi ordini esecutivi di sostegno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economico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,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tra cui il rafforzamento dei sussidi di disoccupazione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,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una sospensione 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tempora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ne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a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delle impost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e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>s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ui salari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,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tutele contro gli sfratti e proroghe per il pagamento dei prestiti agli </w:t>
      </w:r>
      <w:r w:rsidRPr="00D00B09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studenti. 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È opinione diffusa che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nei prossimi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m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e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s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 sarà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raggiun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to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un accordo per un ulteriore pacchetto di stimoli fiscal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.</w:t>
      </w:r>
    </w:p>
    <w:p w:rsidR="00AF0AAE" w:rsidRPr="00D318EB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263746"/>
          <w:kern w:val="24"/>
          <w:sz w:val="22"/>
          <w:szCs w:val="22"/>
        </w:rPr>
      </w:pP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Secondo il Green </w:t>
      </w:r>
      <w:proofErr w:type="spellStart"/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Street’s</w:t>
      </w:r>
      <w:proofErr w:type="spellEnd"/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Commercial </w:t>
      </w:r>
      <w:proofErr w:type="spellStart"/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Property</w:t>
      </w:r>
      <w:proofErr w:type="spellEnd"/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Price Index, i valori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aggregati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del </w:t>
      </w:r>
      <w:proofErr w:type="spellStart"/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real</w:t>
      </w:r>
      <w:proofErr w:type="spellEnd"/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estate statunitense sono scesi </w:t>
      </w:r>
      <w:proofErr w:type="gramStart"/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del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l’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11</w:t>
      </w:r>
      <w:proofErr w:type="gramEnd"/>
      <w:r>
        <w:rPr>
          <w:rFonts w:ascii="Georgia" w:eastAsia="+mn-ea" w:hAnsi="Georgia" w:cs="+mn-cs"/>
          <w:color w:val="263746"/>
          <w:kern w:val="24"/>
          <w:sz w:val="22"/>
          <w:szCs w:val="22"/>
        </w:rPr>
        <w:t>,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2%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dall’inizio della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pandemi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a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I valori immobiliari sono scesi ad aprile e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m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aggio, ma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si s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ono mantenuti stabili a giugno e luglio. I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valori dei 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centri commerciali e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de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gli </w:t>
      </w:r>
      <w:r w:rsidRPr="00F91858">
        <w:rPr>
          <w:rFonts w:ascii="Georgia" w:eastAsia="+mn-ea" w:hAnsi="Georgia" w:cs="+mn-cs"/>
          <w:color w:val="263746"/>
          <w:kern w:val="24"/>
          <w:sz w:val="22"/>
          <w:szCs w:val="22"/>
        </w:rPr>
        <w:t>alloggi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sono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sce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si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del 25%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negli ultimi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s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e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i m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e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s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>I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valori degli immobili industriali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,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delle case prefabbricate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,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degli studi 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medici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e d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ei centri di biotecnologia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hanno perso </w:t>
      </w:r>
      <w:r w:rsidR="00D208CD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invece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meno del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5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,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0% dur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a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nte 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la 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>pandemi</w:t>
      </w:r>
      <w:r>
        <w:rPr>
          <w:rFonts w:ascii="Georgia" w:eastAsia="+mn-ea" w:hAnsi="Georgia" w:cs="+mn-cs"/>
          <w:color w:val="263746"/>
          <w:kern w:val="24"/>
          <w:sz w:val="22"/>
          <w:szCs w:val="22"/>
        </w:rPr>
        <w:t>a</w:t>
      </w:r>
      <w:r w:rsidRPr="00D318EB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.  </w:t>
      </w:r>
    </w:p>
    <w:p w:rsidR="00AF0AAE" w:rsidRPr="00D318EB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263746"/>
          <w:kern w:val="24"/>
          <w:sz w:val="22"/>
          <w:szCs w:val="22"/>
        </w:rPr>
      </w:pPr>
    </w:p>
    <w:p w:rsidR="00AF0AAE" w:rsidRPr="00D318EB" w:rsidRDefault="00552855" w:rsidP="00AF0AAE">
      <w:pPr>
        <w:pStyle w:val="Normale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A4E29A" wp14:editId="7195D9C7">
            <wp:simplePos x="0" y="0"/>
            <wp:positionH relativeFrom="column">
              <wp:posOffset>3175</wp:posOffset>
            </wp:positionH>
            <wp:positionV relativeFrom="paragraph">
              <wp:posOffset>64770</wp:posOffset>
            </wp:positionV>
            <wp:extent cx="2546985" cy="1471930"/>
            <wp:effectExtent l="0" t="0" r="571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D318EB" w:rsidRDefault="00AF0AAE" w:rsidP="00AF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AAE" w:rsidRPr="00FF1A6C" w:rsidRDefault="00AF0AAE" w:rsidP="00AF0AAE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740AC3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  <w:t xml:space="preserve">Uffici: 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>Secondo CBRE-EA il numero di uffici vuoti negli S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tati Uniti nel secondo trimestre è salito al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13%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dal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12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,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3%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del primo trimestre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.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Nel trimestre c’è sta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to un </w:t>
      </w:r>
      <w:r w:rsidRPr="00F91858">
        <w:rPr>
          <w:rFonts w:ascii="Georgia" w:eastAsia="+mn-ea" w:hAnsi="Georgia" w:cs="+mn-cs"/>
          <w:color w:val="263746"/>
          <w:kern w:val="24"/>
          <w:sz w:val="20"/>
          <w:szCs w:val="20"/>
        </w:rPr>
        <w:t>assorbimento netto negativo di 21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,4 </w:t>
      </w:r>
      <w:r w:rsidRPr="00F91858">
        <w:rPr>
          <w:rFonts w:ascii="Georgia" w:eastAsia="+mn-ea" w:hAnsi="Georgia" w:cs="+mn-cs"/>
          <w:color w:val="263746"/>
          <w:kern w:val="24"/>
          <w:sz w:val="20"/>
          <w:szCs w:val="20"/>
        </w:rPr>
        <w:t>m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igliaia di</w:t>
      </w:r>
      <w:r w:rsidRPr="00F91858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piedi quadrati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(</w:t>
      </w:r>
      <w:proofErr w:type="spellStart"/>
      <w:r>
        <w:rPr>
          <w:rFonts w:ascii="Georgia" w:eastAsia="+mn-ea" w:hAnsi="Georgia" w:cs="+mn-cs"/>
          <w:color w:val="263746"/>
          <w:kern w:val="24"/>
          <w:sz w:val="20"/>
          <w:szCs w:val="20"/>
        </w:rPr>
        <w:t>msf</w:t>
      </w:r>
      <w:proofErr w:type="spellEnd"/>
      <w:r>
        <w:rPr>
          <w:rFonts w:ascii="Georgia" w:eastAsia="+mn-ea" w:hAnsi="Georgia" w:cs="+mn-cs"/>
          <w:color w:val="263746"/>
          <w:kern w:val="24"/>
          <w:sz w:val="20"/>
          <w:szCs w:val="20"/>
        </w:rPr>
        <w:t>)</w:t>
      </w:r>
      <w:r w:rsidRPr="00740AC3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. 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Il numero di uffici vuoti nel centro delle città è s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alito di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80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punti base nel secondo trimestre all’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11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,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4%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e nelle periferie è salito di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60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punti base al 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13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,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8%.</w:t>
      </w:r>
    </w:p>
    <w:p w:rsidR="00AF0AAE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</w:pPr>
    </w:p>
    <w:p w:rsidR="00AF0AAE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263746"/>
          <w:kern w:val="24"/>
          <w:sz w:val="20"/>
          <w:szCs w:val="20"/>
        </w:rPr>
      </w:pPr>
      <w:r w:rsidRPr="00FF1A6C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  <w:t xml:space="preserve">Retail: 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Venti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contrari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potrebbero accelerare le procedure di f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allimento dei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retailer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. Tra i principali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retailer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che finora hanno presentato istanza di fallimento ci sono: Lord &amp; Taylor,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Ascena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Retail (Lane Bryant,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Ann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Taylor), Brooks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Brothers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, J.C.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Penney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, J.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Crew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,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Neiman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Marcus, True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Religion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, 24 Hour Fitness and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Modell’s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Sporting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</w:t>
      </w:r>
      <w:proofErr w:type="spellStart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Goods</w:t>
      </w:r>
      <w:proofErr w:type="spellEnd"/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. </w:t>
      </w:r>
    </w:p>
    <w:p w:rsidR="00D208CD" w:rsidRPr="00FF1A6C" w:rsidRDefault="00D208CD" w:rsidP="00AF0AAE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AF0AAE" w:rsidRPr="00FF1A6C" w:rsidRDefault="00AF0AAE" w:rsidP="00AF0AAE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FF1A6C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  <w:t>Industriale:</w:t>
      </w:r>
      <w:r w:rsidRPr="00FF1A6C">
        <w:rPr>
          <w:rFonts w:ascii="Georgia" w:eastAsia="+mn-ea" w:hAnsi="Georgia" w:cs="+mn-cs"/>
          <w:b/>
          <w:bCs/>
          <w:color w:val="000000"/>
          <w:kern w:val="24"/>
          <w:sz w:val="20"/>
          <w:szCs w:val="20"/>
        </w:rPr>
        <w:t xml:space="preserve"> 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Nel secondo trimestre, la disponibilità di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strutture per lo stoccaggio negli 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S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tati Uniti è aumentata di 10 punti base al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7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,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9%,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secondo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CBRE-EA. Nel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trimest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>r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e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c’è stato un assorbimento netto di 18,8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migliaia di piedi quadrati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(</w:t>
      </w:r>
      <w:proofErr w:type="spellStart"/>
      <w:r w:rsidRPr="00216FA8">
        <w:rPr>
          <w:rFonts w:ascii="Georgia" w:eastAsia="+mn-ea" w:hAnsi="Georgia" w:cs="+mn-cs"/>
          <w:color w:val="263746"/>
          <w:kern w:val="24"/>
          <w:sz w:val="20"/>
          <w:szCs w:val="20"/>
        </w:rPr>
        <w:t>msf</w:t>
      </w:r>
      <w:proofErr w:type="spellEnd"/>
      <w:r w:rsidRPr="00216FA8">
        <w:rPr>
          <w:rFonts w:ascii="Georgia" w:eastAsia="+mn-ea" w:hAnsi="Georgia" w:cs="+mn-cs"/>
          <w:color w:val="263746"/>
          <w:kern w:val="24"/>
          <w:sz w:val="20"/>
          <w:szCs w:val="20"/>
        </w:rPr>
        <w:t>),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il livello più basso dal terzo trimestre</w:t>
      </w:r>
      <w:r w:rsidRPr="00FF1A6C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2010.</w:t>
      </w:r>
    </w:p>
    <w:p w:rsidR="00AF0AAE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</w:pPr>
    </w:p>
    <w:p w:rsidR="00AF0AAE" w:rsidRPr="00091DA5" w:rsidRDefault="00AF0AAE" w:rsidP="00AF0AAE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091DA5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  <w:t xml:space="preserve">Residenziale: 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Secondo il </w:t>
      </w:r>
      <w:proofErr w:type="spellStart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rent</w:t>
      </w:r>
      <w:proofErr w:type="spellEnd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</w:t>
      </w:r>
      <w:proofErr w:type="spellStart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tracker</w:t>
      </w:r>
      <w:proofErr w:type="spellEnd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del National </w:t>
      </w:r>
      <w:proofErr w:type="spellStart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Multifamily</w:t>
      </w:r>
      <w:proofErr w:type="spellEnd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</w:t>
      </w:r>
      <w:proofErr w:type="spellStart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Housing</w:t>
      </w:r>
      <w:proofErr w:type="spellEnd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</w:t>
      </w:r>
      <w:proofErr w:type="spellStart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Council</w:t>
      </w:r>
      <w:proofErr w:type="spellEnd"/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, il 79,3% delle famiglie ha pagato il canone d’affitto entro il 6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a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g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o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st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o, rispetto al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77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,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4% 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>di luglio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. </w:t>
      </w:r>
    </w:p>
    <w:p w:rsidR="00AF0AAE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</w:pPr>
    </w:p>
    <w:p w:rsidR="00AF0AAE" w:rsidRPr="00091DA5" w:rsidRDefault="00AF0AAE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263746"/>
          <w:kern w:val="24"/>
          <w:sz w:val="20"/>
          <w:szCs w:val="20"/>
        </w:rPr>
      </w:pPr>
      <w:r w:rsidRPr="00091DA5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</w:rPr>
        <w:t xml:space="preserve">Debito: 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Difficoltà di finanziamento per gli immobili </w:t>
      </w:r>
      <w:r w:rsidR="00D208CD">
        <w:rPr>
          <w:rFonts w:ascii="Georgia" w:eastAsia="+mn-ea" w:hAnsi="Georgia" w:cs="+mn-cs"/>
          <w:color w:val="263746"/>
          <w:kern w:val="24"/>
          <w:sz w:val="20"/>
          <w:szCs w:val="20"/>
        </w:rPr>
        <w:t>transitori</w:t>
      </w:r>
      <w:r>
        <w:rPr>
          <w:rFonts w:ascii="Georgia" w:eastAsia="+mn-ea" w:hAnsi="Georgia" w:cs="+mn-cs"/>
          <w:color w:val="263746"/>
          <w:kern w:val="24"/>
          <w:sz w:val="20"/>
          <w:szCs w:val="20"/>
        </w:rPr>
        <w:t xml:space="preserve"> in quanto pochi creditori sono disposti ad assumersi questo tipo di rischio</w:t>
      </w:r>
      <w:r w:rsidRPr="00091DA5">
        <w:rPr>
          <w:rFonts w:ascii="Georgia" w:eastAsia="+mn-ea" w:hAnsi="Georgia" w:cs="+mn-cs"/>
          <w:color w:val="263746"/>
          <w:kern w:val="24"/>
          <w:sz w:val="20"/>
          <w:szCs w:val="20"/>
        </w:rPr>
        <w:t>.</w:t>
      </w:r>
    </w:p>
    <w:p w:rsidR="00AF0AAE" w:rsidRPr="00091DA5" w:rsidRDefault="00AF0AAE" w:rsidP="00AF0AAE">
      <w:pPr>
        <w:pStyle w:val="NormaleWeb"/>
        <w:spacing w:before="0" w:beforeAutospacing="0" w:after="0" w:afterAutospacing="0"/>
      </w:pPr>
    </w:p>
    <w:p w:rsidR="00AF0AAE" w:rsidRPr="00091DA5" w:rsidRDefault="00AF0AAE" w:rsidP="00AF0AAE">
      <w:pPr>
        <w:pStyle w:val="NormaleWeb"/>
        <w:spacing w:before="0" w:beforeAutospacing="0" w:after="0" w:afterAutospacing="0"/>
      </w:pPr>
    </w:p>
    <w:p w:rsidR="00AF0AAE" w:rsidRPr="00091DA5" w:rsidRDefault="00AF0AAE" w:rsidP="00AF0AAE">
      <w:pPr>
        <w:pStyle w:val="NormaleWeb"/>
        <w:spacing w:before="0" w:beforeAutospacing="0" w:after="0" w:afterAutospacing="0"/>
      </w:pPr>
    </w:p>
    <w:p w:rsidR="00AF0AAE" w:rsidRDefault="00AF0AAE" w:rsidP="00D208CD">
      <w:pPr>
        <w:spacing w:after="0" w:line="240" w:lineRule="auto"/>
        <w:textAlignment w:val="baseline"/>
        <w:rPr>
          <w:rFonts w:ascii="Georgia" w:eastAsia="+mn-ea" w:hAnsi="Georgia" w:cs="+mn-cs"/>
          <w:color w:val="008FBE"/>
          <w:kern w:val="24"/>
          <w:sz w:val="28"/>
          <w:szCs w:val="28"/>
        </w:rPr>
      </w:pPr>
      <w:r w:rsidRPr="00D208CD">
        <w:rPr>
          <w:rFonts w:ascii="Georgia" w:eastAsia="+mn-ea" w:hAnsi="Georgia" w:cs="+mn-cs"/>
          <w:color w:val="008FBE"/>
          <w:kern w:val="24"/>
          <w:sz w:val="28"/>
          <w:szCs w:val="28"/>
        </w:rPr>
        <w:t xml:space="preserve">I valori aggregati dell’immobiliare negli Stati Uniti rimangono inferiori dell’11,2% rispetto ai </w:t>
      </w:r>
      <w:r w:rsidR="00D208CD" w:rsidRPr="00D208CD">
        <w:rPr>
          <w:rFonts w:ascii="Georgia" w:eastAsia="+mn-ea" w:hAnsi="Georgia" w:cs="+mn-cs"/>
          <w:color w:val="008FBE"/>
          <w:kern w:val="24"/>
          <w:sz w:val="28"/>
          <w:szCs w:val="28"/>
        </w:rPr>
        <w:t xml:space="preserve">valori </w:t>
      </w:r>
      <w:proofErr w:type="spellStart"/>
      <w:r w:rsidRPr="00D208CD">
        <w:rPr>
          <w:rFonts w:ascii="Georgia" w:eastAsia="+mn-ea" w:hAnsi="Georgia" w:cs="+mn-cs"/>
          <w:color w:val="008FBE"/>
          <w:kern w:val="24"/>
          <w:sz w:val="28"/>
          <w:szCs w:val="28"/>
        </w:rPr>
        <w:t>pre</w:t>
      </w:r>
      <w:proofErr w:type="spellEnd"/>
      <w:r w:rsidRPr="00D208CD">
        <w:rPr>
          <w:rFonts w:ascii="Georgia" w:eastAsia="+mn-ea" w:hAnsi="Georgia" w:cs="+mn-cs"/>
          <w:color w:val="008FBE"/>
          <w:kern w:val="24"/>
          <w:sz w:val="28"/>
          <w:szCs w:val="28"/>
        </w:rPr>
        <w:t>-pandemia e inferiori del 10% rispetto allo scorso anno. I valori immobiliari sono rimasti immutati a luglio 2020 rispetto a giugno 2020</w:t>
      </w:r>
    </w:p>
    <w:p w:rsidR="00D208CD" w:rsidRPr="00552855" w:rsidRDefault="00D208CD" w:rsidP="00D208CD">
      <w:pPr>
        <w:spacing w:after="0" w:line="240" w:lineRule="auto"/>
        <w:textAlignment w:val="baseline"/>
        <w:rPr>
          <w:rFonts w:ascii="Georgia" w:eastAsia="+mn-ea" w:hAnsi="Georgia" w:cs="+mn-cs"/>
          <w:color w:val="008FBE"/>
          <w:kern w:val="24"/>
          <w:sz w:val="28"/>
          <w:szCs w:val="28"/>
          <w:lang w:val="en-US"/>
        </w:rPr>
      </w:pPr>
    </w:p>
    <w:p w:rsidR="00D208CD" w:rsidRPr="00091DA5" w:rsidRDefault="00D208CD" w:rsidP="00AF0AAE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008FBE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197D02E5" wp14:editId="6BE4BAC5">
            <wp:extent cx="5967046" cy="2848964"/>
            <wp:effectExtent l="0" t="0" r="0" b="889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285" cy="2850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AAE" w:rsidRDefault="00AF0AAE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72"/>
          <w:szCs w:val="72"/>
        </w:rPr>
      </w:pPr>
    </w:p>
    <w:p w:rsidR="00552855" w:rsidRPr="00552855" w:rsidRDefault="00552855" w:rsidP="00552855">
      <w:pPr>
        <w:spacing w:after="0" w:line="240" w:lineRule="auto"/>
        <w:textAlignment w:val="baseline"/>
        <w:rPr>
          <w:rFonts w:ascii="Georgia" w:eastAsia="+mn-ea" w:hAnsi="Georgia" w:cs="+mn-cs"/>
          <w:color w:val="008FBE"/>
          <w:kern w:val="24"/>
          <w:sz w:val="18"/>
          <w:szCs w:val="18"/>
          <w:lang w:val="en-US"/>
        </w:rPr>
      </w:pPr>
      <w:r w:rsidRPr="00552855">
        <w:rPr>
          <w:rFonts w:ascii="Georgia" w:eastAsia="+mn-ea" w:hAnsi="Georgia" w:cs="+mn-cs"/>
          <w:kern w:val="24"/>
          <w:sz w:val="18"/>
          <w:szCs w:val="18"/>
          <w:lang w:val="en-US"/>
        </w:rPr>
        <w:t xml:space="preserve">(Fonte: </w:t>
      </w:r>
      <w:r w:rsidRPr="00552855">
        <w:rPr>
          <w:rFonts w:ascii="Georgia" w:eastAsia="+mn-ea" w:hAnsi="Georgia" w:cs="+mn-cs"/>
          <w:kern w:val="24"/>
          <w:sz w:val="18"/>
          <w:szCs w:val="18"/>
          <w:lang w:val="en-US"/>
        </w:rPr>
        <w:t>G</w:t>
      </w:r>
      <w:r w:rsidRPr="00552855">
        <w:rPr>
          <w:rFonts w:ascii="Georgia" w:eastAsia="+mn-ea" w:hAnsi="Georgia" w:cs="+mn-cs"/>
          <w:kern w:val="24"/>
          <w:sz w:val="18"/>
          <w:szCs w:val="18"/>
          <w:lang w:val="en-US"/>
        </w:rPr>
        <w:t xml:space="preserve">reen Street Advisors, </w:t>
      </w:r>
      <w:r>
        <w:rPr>
          <w:rFonts w:ascii="Georgia" w:eastAsia="+mn-ea" w:hAnsi="Georgia" w:cs="+mn-cs"/>
          <w:kern w:val="24"/>
          <w:sz w:val="18"/>
          <w:szCs w:val="18"/>
          <w:lang w:val="en-US"/>
        </w:rPr>
        <w:t>Nuveen Real E</w:t>
      </w:r>
      <w:r w:rsidRPr="00552855">
        <w:rPr>
          <w:rFonts w:ascii="Georgia" w:eastAsia="+mn-ea" w:hAnsi="Georgia" w:cs="+mn-cs"/>
          <w:kern w:val="24"/>
          <w:sz w:val="18"/>
          <w:szCs w:val="18"/>
          <w:lang w:val="en-US"/>
        </w:rPr>
        <w:t>state)</w:t>
      </w:r>
    </w:p>
    <w:p w:rsidR="00552855" w:rsidRPr="00552855" w:rsidRDefault="00552855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18"/>
          <w:szCs w:val="18"/>
          <w:lang w:val="en-US"/>
        </w:rPr>
      </w:pPr>
    </w:p>
    <w:p w:rsidR="00552855" w:rsidRPr="00552855" w:rsidRDefault="00552855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72"/>
          <w:szCs w:val="72"/>
          <w:lang w:val="en-US"/>
        </w:rPr>
      </w:pPr>
    </w:p>
    <w:p w:rsidR="00552855" w:rsidRPr="00552855" w:rsidRDefault="00552855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72"/>
          <w:szCs w:val="72"/>
          <w:lang w:val="en-US"/>
        </w:rPr>
      </w:pPr>
    </w:p>
    <w:p w:rsidR="00552855" w:rsidRPr="00552855" w:rsidRDefault="00552855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72"/>
          <w:szCs w:val="72"/>
          <w:lang w:val="en-US"/>
        </w:rPr>
      </w:pPr>
    </w:p>
    <w:p w:rsidR="00552855" w:rsidRPr="00552855" w:rsidRDefault="00552855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72"/>
          <w:szCs w:val="72"/>
          <w:lang w:val="en-US"/>
        </w:rPr>
      </w:pPr>
    </w:p>
    <w:p w:rsidR="00552855" w:rsidRDefault="00552855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72"/>
          <w:szCs w:val="72"/>
        </w:rPr>
      </w:pPr>
    </w:p>
    <w:p w:rsidR="00572032" w:rsidRDefault="00572032" w:rsidP="001A450E">
      <w:pPr>
        <w:pStyle w:val="NormaleWeb"/>
        <w:spacing w:before="20" w:beforeAutospacing="0" w:after="0" w:afterAutospacing="0"/>
        <w:ind w:left="14"/>
        <w:rPr>
          <w:rFonts w:ascii="Georgia" w:eastAsia="+mj-ea" w:hAnsi="Georgia" w:cs="+mj-cs"/>
          <w:b/>
          <w:bCs/>
          <w:color w:val="008FBE"/>
          <w:kern w:val="24"/>
          <w:sz w:val="64"/>
          <w:szCs w:val="64"/>
        </w:rPr>
      </w:pPr>
    </w:p>
    <w:p w:rsidR="00014BF4" w:rsidRPr="00572032" w:rsidRDefault="00014BF4" w:rsidP="001A450E">
      <w:pPr>
        <w:pStyle w:val="NormaleWeb"/>
        <w:spacing w:before="20" w:beforeAutospacing="0" w:after="0" w:afterAutospacing="0"/>
        <w:ind w:left="14"/>
        <w:rPr>
          <w:sz w:val="64"/>
          <w:szCs w:val="64"/>
        </w:rPr>
      </w:pPr>
      <w:r w:rsidRPr="00572032">
        <w:rPr>
          <w:rFonts w:ascii="Georgia" w:eastAsia="+mj-ea" w:hAnsi="Georgia" w:cs="+mj-cs"/>
          <w:b/>
          <w:bCs/>
          <w:color w:val="008FBE"/>
          <w:kern w:val="24"/>
          <w:sz w:val="64"/>
          <w:szCs w:val="64"/>
        </w:rPr>
        <w:t>Asia Pacific</w:t>
      </w:r>
      <w:r w:rsidR="00433F27" w:rsidRPr="00572032">
        <w:rPr>
          <w:rFonts w:ascii="Georgia" w:eastAsia="+mj-ea" w:hAnsi="Georgia" w:cs="+mj-cs"/>
          <w:b/>
          <w:bCs/>
          <w:color w:val="008FBE"/>
          <w:kern w:val="24"/>
          <w:sz w:val="64"/>
          <w:szCs w:val="64"/>
        </w:rPr>
        <w:t>o</w:t>
      </w:r>
    </w:p>
    <w:p w:rsidR="001A450E" w:rsidRPr="00F84479" w:rsidRDefault="001A450E" w:rsidP="001A450E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253746"/>
          <w:sz w:val="27"/>
          <w:szCs w:val="27"/>
          <w:lang w:eastAsia="it-IT"/>
        </w:rPr>
      </w:pPr>
    </w:p>
    <w:p w:rsidR="00014BF4" w:rsidRPr="00014BF4" w:rsidRDefault="00F84479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R</w:t>
      </w:r>
      <w:r w:rsidR="00433F27" w:rsidRPr="00433F27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egione</w:t>
      </w:r>
      <w:r w:rsidR="00014BF4" w:rsidRPr="00014BF4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 xml:space="preserve">: 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 xml:space="preserve">Il </w:t>
      </w:r>
      <w:r w:rsidR="00AB2ABD">
        <w:rPr>
          <w:rFonts w:ascii="Georgia" w:eastAsia="+mn-ea" w:hAnsi="Georgia" w:cs="+mn-cs"/>
          <w:color w:val="263746"/>
          <w:kern w:val="24"/>
          <w:lang w:eastAsia="it-IT"/>
        </w:rPr>
        <w:t>numero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 xml:space="preserve"> delle</w:t>
      </w:r>
      <w:r w:rsidR="00433F27" w:rsidRPr="00433F27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 xml:space="preserve">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infe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>z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ion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>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>ha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 xml:space="preserve"> iniziato a 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>diminuire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="00444232">
        <w:rPr>
          <w:rFonts w:ascii="Georgia" w:eastAsia="+mn-ea" w:hAnsi="Georgia" w:cs="+mn-cs"/>
          <w:color w:val="263746"/>
          <w:kern w:val="24"/>
          <w:lang w:eastAsia="it-IT"/>
        </w:rPr>
        <w:t>a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Hong Kong 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>e nello stato di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Victoria, 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>ma il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 xml:space="preserve"> num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er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>o dei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cas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>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continu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>a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>a salire in Gi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ap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>po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n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>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, 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 xml:space="preserve">dove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Tokyo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 xml:space="preserve"> 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Osaka re</w:t>
      </w:r>
      <w:r w:rsidR="00433F27">
        <w:rPr>
          <w:rFonts w:ascii="Georgia" w:eastAsia="+mn-ea" w:hAnsi="Georgia" w:cs="+mn-cs"/>
          <w:color w:val="263746"/>
          <w:kern w:val="24"/>
          <w:lang w:eastAsia="it-IT"/>
        </w:rPr>
        <w:t>gistrano record</w:t>
      </w:r>
      <w:r w:rsidR="00444232">
        <w:rPr>
          <w:rFonts w:ascii="Georgia" w:eastAsia="+mn-ea" w:hAnsi="Georgia" w:cs="+mn-cs"/>
          <w:color w:val="263746"/>
          <w:kern w:val="24"/>
          <w:lang w:eastAsia="it-IT"/>
        </w:rPr>
        <w:t xml:space="preserve"> in aumento</w:t>
      </w:r>
      <w:r w:rsidR="00AB2ABD">
        <w:rPr>
          <w:rFonts w:ascii="Georgia" w:eastAsia="+mn-ea" w:hAnsi="Georgia" w:cs="+mn-cs"/>
          <w:color w:val="263746"/>
          <w:kern w:val="24"/>
          <w:lang w:eastAsia="it-IT"/>
        </w:rPr>
        <w:t xml:space="preserve"> quasi quotidiani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. 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 xml:space="preserve">Singapore 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 xml:space="preserve">ha </w:t>
      </w:r>
      <w:r w:rsidR="00E90674" w:rsidRPr="00433F27">
        <w:rPr>
          <w:rFonts w:ascii="Georgia" w:eastAsia="+mn-ea" w:hAnsi="Georgia" w:cs="+mn-cs"/>
          <w:color w:val="263746"/>
          <w:kern w:val="24"/>
          <w:lang w:eastAsia="it-IT"/>
        </w:rPr>
        <w:t>quasi ultimat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>o</w:t>
      </w:r>
      <w:r w:rsidR="00E90674" w:rsidRPr="00433F27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>i test sui lavoratori dei dormitori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e </w:t>
      </w:r>
      <w:r w:rsidRPr="00433F27">
        <w:rPr>
          <w:rFonts w:ascii="Georgia" w:eastAsia="+mn-ea" w:hAnsi="Georgia" w:cs="+mn-cs"/>
          <w:color w:val="263746"/>
          <w:kern w:val="24"/>
          <w:lang w:eastAsia="it-IT"/>
        </w:rPr>
        <w:t>nelle prossime settimane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si prevede un sensibile calo del numero d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>i casi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>,</w:t>
      </w:r>
      <w:r w:rsidR="00433F27" w:rsidRPr="00433F27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>
        <w:rPr>
          <w:rFonts w:ascii="Georgia" w:eastAsia="+mn-ea" w:hAnsi="Georgia" w:cs="+mn-cs"/>
          <w:color w:val="263746"/>
          <w:kern w:val="24"/>
          <w:lang w:eastAsia="it-IT"/>
        </w:rPr>
        <w:t>visto che</w:t>
      </w:r>
      <w:r w:rsidR="00444232">
        <w:rPr>
          <w:rFonts w:ascii="Georgia" w:eastAsia="+mn-ea" w:hAnsi="Georgia" w:cs="+mn-cs"/>
          <w:color w:val="263746"/>
          <w:kern w:val="24"/>
          <w:lang w:eastAsia="it-IT"/>
        </w:rPr>
        <w:t xml:space="preserve"> le infezioni all’interno della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comunit</w:t>
      </w:r>
      <w:r w:rsidR="00444232">
        <w:rPr>
          <w:rFonts w:ascii="Georgia" w:eastAsia="+mn-ea" w:hAnsi="Georgia" w:cs="+mn-cs"/>
          <w:color w:val="263746"/>
          <w:kern w:val="24"/>
          <w:lang w:eastAsia="it-IT"/>
        </w:rPr>
        <w:t>à nelle ultime settimane si sono ridotte a una manciata di casi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.</w:t>
      </w:r>
    </w:p>
    <w:p w:rsidR="00014BF4" w:rsidRPr="00433F27" w:rsidRDefault="00014BF4" w:rsidP="00014BF4">
      <w:pPr>
        <w:spacing w:after="0" w:line="240" w:lineRule="auto"/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</w:pPr>
    </w:p>
    <w:p w:rsidR="00014BF4" w:rsidRPr="00F84479" w:rsidRDefault="00014BF4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Australia:</w:t>
      </w:r>
    </w:p>
    <w:p w:rsidR="00014BF4" w:rsidRPr="00444232" w:rsidRDefault="00444232" w:rsidP="00014BF4">
      <w:pPr>
        <w:spacing w:after="0" w:line="240" w:lineRule="auto"/>
        <w:rPr>
          <w:rFonts w:ascii="Georgia" w:eastAsia="+mn-ea" w:hAnsi="Georgia" w:cs="+mn-cs"/>
          <w:color w:val="263746"/>
          <w:kern w:val="24"/>
          <w:lang w:eastAsia="it-IT"/>
        </w:rPr>
      </w:pPr>
      <w:r w:rsidRPr="00444232">
        <w:rPr>
          <w:rFonts w:ascii="Georgia" w:eastAsia="+mn-ea" w:hAnsi="Georgia" w:cs="+mn-cs"/>
          <w:color w:val="263746"/>
          <w:kern w:val="24"/>
          <w:lang w:eastAsia="it-IT"/>
        </w:rPr>
        <w:t>Il governo f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ederal</w:t>
      </w:r>
      <w:r>
        <w:rPr>
          <w:rFonts w:ascii="Georgia" w:eastAsia="+mn-ea" w:hAnsi="Georgia" w:cs="+mn-cs"/>
          <w:color w:val="263746"/>
          <w:kern w:val="24"/>
          <w:lang w:eastAsia="it-IT"/>
        </w:rPr>
        <w:t>e ha avanzato la proposta di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e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>s</w:t>
      </w:r>
      <w:r>
        <w:rPr>
          <w:rFonts w:ascii="Georgia" w:eastAsia="+mn-ea" w:hAnsi="Georgia" w:cs="+mn-cs"/>
          <w:color w:val="263746"/>
          <w:kern w:val="24"/>
          <w:lang w:eastAsia="it-IT"/>
        </w:rPr>
        <w:t>tend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>e</w:t>
      </w:r>
      <w:r>
        <w:rPr>
          <w:rFonts w:ascii="Georgia" w:eastAsia="+mn-ea" w:hAnsi="Georgia" w:cs="+mn-cs"/>
          <w:color w:val="263746"/>
          <w:kern w:val="24"/>
          <w:lang w:eastAsia="it-IT"/>
        </w:rPr>
        <w:t>re ulteriormente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>
        <w:rPr>
          <w:rFonts w:ascii="Georgia" w:eastAsia="+mn-ea" w:hAnsi="Georgia" w:cs="+mn-cs"/>
          <w:color w:val="263746"/>
          <w:kern w:val="24"/>
          <w:lang w:eastAsia="it-IT"/>
        </w:rPr>
        <w:t>i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>l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>
        <w:rPr>
          <w:rFonts w:ascii="Georgia" w:eastAsia="+mn-ea" w:hAnsi="Georgia" w:cs="+mn-cs"/>
          <w:color w:val="263746"/>
          <w:kern w:val="24"/>
          <w:lang w:eastAsia="it-IT"/>
        </w:rPr>
        <w:t>sussidio di disoccupazione (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Job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proofErr w:type="spellStart"/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Seeker</w:t>
      </w:r>
      <w:proofErr w:type="spellEnd"/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proofErr w:type="spellStart"/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Supplement</w:t>
      </w:r>
      <w:proofErr w:type="spellEnd"/>
      <w:r>
        <w:rPr>
          <w:rFonts w:ascii="Georgia" w:eastAsia="+mn-ea" w:hAnsi="Georgia" w:cs="+mn-cs"/>
          <w:color w:val="263746"/>
          <w:kern w:val="24"/>
          <w:lang w:eastAsia="it-IT"/>
        </w:rPr>
        <w:t>)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>
        <w:rPr>
          <w:rFonts w:ascii="Georgia" w:eastAsia="+mn-ea" w:hAnsi="Georgia" w:cs="+mn-cs"/>
          <w:color w:val="263746"/>
          <w:kern w:val="24"/>
          <w:lang w:eastAsia="it-IT"/>
        </w:rPr>
        <w:t>oltre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>
        <w:rPr>
          <w:rFonts w:ascii="Georgia" w:eastAsia="+mn-ea" w:hAnsi="Georgia" w:cs="+mn-cs"/>
          <w:color w:val="263746"/>
          <w:kern w:val="24"/>
          <w:lang w:eastAsia="it-IT"/>
        </w:rPr>
        <w:t>dic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embr</w:t>
      </w:r>
      <w:r>
        <w:rPr>
          <w:rFonts w:ascii="Georgia" w:eastAsia="+mn-ea" w:hAnsi="Georgia" w:cs="+mn-cs"/>
          <w:color w:val="263746"/>
          <w:kern w:val="24"/>
          <w:lang w:eastAsia="it-IT"/>
        </w:rPr>
        <w:t>e</w:t>
      </w:r>
      <w:r w:rsidR="00AB2ABD">
        <w:rPr>
          <w:rFonts w:ascii="Georgia" w:eastAsia="+mn-ea" w:hAnsi="Georgia" w:cs="+mn-cs"/>
          <w:color w:val="263746"/>
          <w:kern w:val="24"/>
          <w:lang w:eastAsia="it-IT"/>
        </w:rPr>
        <w:t>,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per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s</w:t>
      </w:r>
      <w:r>
        <w:rPr>
          <w:rFonts w:ascii="Georgia" w:eastAsia="+mn-ea" w:hAnsi="Georgia" w:cs="+mn-cs"/>
          <w:color w:val="263746"/>
          <w:kern w:val="24"/>
          <w:lang w:eastAsia="it-IT"/>
        </w:rPr>
        <w:t>ostenere l’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econom</w:t>
      </w:r>
      <w:r>
        <w:rPr>
          <w:rFonts w:ascii="Georgia" w:eastAsia="+mn-ea" w:hAnsi="Georgia" w:cs="+mn-cs"/>
          <w:color w:val="263746"/>
          <w:kern w:val="24"/>
          <w:lang w:eastAsia="it-IT"/>
        </w:rPr>
        <w:t>ia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. 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 xml:space="preserve">I singoli 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>s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tat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>i stanno inoltre valutando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>un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a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 xml:space="preserve"> proroga delle misure di sostegno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>d’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emergen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 xml:space="preserve">za per gli 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inquilini del</w:t>
      </w:r>
      <w:r w:rsidRPr="00444232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proofErr w:type="spellStart"/>
      <w:r w:rsidR="00AB2ABD">
        <w:rPr>
          <w:rFonts w:ascii="Georgia" w:eastAsia="+mn-ea" w:hAnsi="Georgia" w:cs="+mn-cs"/>
          <w:color w:val="263746"/>
          <w:kern w:val="24"/>
          <w:lang w:eastAsia="it-IT"/>
        </w:rPr>
        <w:t>retail</w:t>
      </w:r>
      <w:proofErr w:type="spellEnd"/>
      <w:r w:rsidR="00B67670">
        <w:rPr>
          <w:rFonts w:ascii="Georgia" w:eastAsia="+mn-ea" w:hAnsi="Georgia" w:cs="+mn-cs"/>
          <w:color w:val="263746"/>
          <w:kern w:val="24"/>
          <w:lang w:eastAsia="it-IT"/>
        </w:rPr>
        <w:t xml:space="preserve"> e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d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el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residen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z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ial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, 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prima delle scadenze di fine s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e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t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tembr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e/ot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tobr</w:t>
      </w:r>
      <w:r w:rsidR="00B67670">
        <w:rPr>
          <w:rFonts w:ascii="Georgia" w:eastAsia="+mn-ea" w:hAnsi="Georgia" w:cs="+mn-cs"/>
          <w:color w:val="263746"/>
          <w:kern w:val="24"/>
          <w:lang w:eastAsia="it-IT"/>
        </w:rPr>
        <w:t>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. </w:t>
      </w:r>
    </w:p>
    <w:p w:rsidR="00014BF4" w:rsidRPr="00444232" w:rsidRDefault="00014BF4" w:rsidP="00014BF4">
      <w:pPr>
        <w:spacing w:after="0" w:line="240" w:lineRule="auto"/>
        <w:rPr>
          <w:rFonts w:ascii="Georgia" w:eastAsia="+mn-ea" w:hAnsi="Georgia" w:cs="+mn-cs"/>
          <w:color w:val="263746"/>
          <w:kern w:val="24"/>
          <w:lang w:eastAsia="it-IT"/>
        </w:rPr>
      </w:pPr>
    </w:p>
    <w:p w:rsidR="00014BF4" w:rsidRPr="00F84479" w:rsidRDefault="00B67670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C</w:t>
      </w:r>
      <w:r w:rsidR="00014BF4"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ina/Hong Kong:</w:t>
      </w:r>
    </w:p>
    <w:p w:rsidR="00014BF4" w:rsidRPr="00014BF4" w:rsidRDefault="00B67670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670">
        <w:rPr>
          <w:rFonts w:ascii="Georgia" w:eastAsia="+mn-ea" w:hAnsi="Georgia" w:cs="+mn-cs"/>
          <w:color w:val="263746"/>
          <w:kern w:val="24"/>
          <w:lang w:eastAsia="it-IT"/>
        </w:rPr>
        <w:t>La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 xml:space="preserve">decisa 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 xml:space="preserve">ripresa della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Cina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>
        <w:rPr>
          <w:rFonts w:ascii="Georgia" w:eastAsia="+mn-ea" w:hAnsi="Georgia" w:cs="+mn-cs"/>
          <w:color w:val="263746"/>
          <w:kern w:val="24"/>
          <w:lang w:eastAsia="it-IT"/>
        </w:rPr>
        <w:t>sembra reggere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>e l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e 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>e</w:t>
      </w:r>
      <w:r>
        <w:rPr>
          <w:rFonts w:ascii="Georgia" w:eastAsia="+mn-ea" w:hAnsi="Georgia" w:cs="+mn-cs"/>
          <w:color w:val="263746"/>
          <w:kern w:val="24"/>
          <w:lang w:eastAsia="it-IT"/>
        </w:rPr>
        <w:t>s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>port</w:t>
      </w:r>
      <w:r>
        <w:rPr>
          <w:rFonts w:ascii="Georgia" w:eastAsia="+mn-ea" w:hAnsi="Georgia" w:cs="+mn-cs"/>
          <w:color w:val="263746"/>
          <w:kern w:val="24"/>
          <w:lang w:eastAsia="it-IT"/>
        </w:rPr>
        <w:t>azioni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 xml:space="preserve"> del mese di luglio ha</w:t>
      </w:r>
      <w:r>
        <w:rPr>
          <w:rFonts w:ascii="Georgia" w:eastAsia="+mn-ea" w:hAnsi="Georgia" w:cs="+mn-cs"/>
          <w:color w:val="263746"/>
          <w:kern w:val="24"/>
          <w:lang w:eastAsia="it-IT"/>
        </w:rPr>
        <w:t>nno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 xml:space="preserve"> registrato un forte rialzo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,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 xml:space="preserve"> anche se 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 xml:space="preserve">probabilmente </w:t>
      </w:r>
      <w:r>
        <w:rPr>
          <w:rFonts w:ascii="Georgia" w:eastAsia="+mn-ea" w:hAnsi="Georgia" w:cs="+mn-cs"/>
          <w:color w:val="263746"/>
          <w:kern w:val="24"/>
          <w:lang w:eastAsia="it-IT"/>
        </w:rPr>
        <w:t>persisterà un clima di</w:t>
      </w:r>
      <w:r w:rsidRPr="00B67670">
        <w:rPr>
          <w:rFonts w:ascii="Georgia" w:eastAsia="+mn-ea" w:hAnsi="Georgia" w:cs="+mn-cs"/>
          <w:color w:val="263746"/>
          <w:kern w:val="24"/>
          <w:lang w:eastAsia="it-IT"/>
        </w:rPr>
        <w:t xml:space="preserve"> incertezz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a 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>per gli scambi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commercial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>i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,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legato al</w:t>
      </w:r>
      <w:r w:rsidR="00E90674">
        <w:rPr>
          <w:rFonts w:ascii="Georgia" w:eastAsia="+mn-ea" w:hAnsi="Georgia" w:cs="+mn-cs"/>
          <w:color w:val="263746"/>
          <w:kern w:val="24"/>
          <w:lang w:eastAsia="it-IT"/>
        </w:rPr>
        <w:t xml:space="preserve">l’inasprirsi </w:t>
      </w:r>
      <w:r>
        <w:rPr>
          <w:rFonts w:ascii="Georgia" w:eastAsia="+mn-ea" w:hAnsi="Georgia" w:cs="+mn-cs"/>
          <w:color w:val="263746"/>
          <w:kern w:val="24"/>
          <w:lang w:eastAsia="it-IT"/>
        </w:rPr>
        <w:t>delle tensioni geopolitiche tra Stati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U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niti e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Cina</w:t>
      </w:r>
      <w:r>
        <w:rPr>
          <w:rFonts w:ascii="Georgia" w:eastAsia="+mn-ea" w:hAnsi="Georgia" w:cs="+mn-cs"/>
          <w:color w:val="263746"/>
          <w:kern w:val="24"/>
          <w:lang w:eastAsia="it-IT"/>
        </w:rPr>
        <w:t>.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Pr="005006FF">
        <w:rPr>
          <w:rFonts w:ascii="Georgia" w:eastAsia="+mn-ea" w:hAnsi="Georgia" w:cs="+mn-cs"/>
          <w:color w:val="263746"/>
          <w:kern w:val="24"/>
          <w:lang w:eastAsia="it-IT"/>
        </w:rPr>
        <w:t xml:space="preserve">La </w:t>
      </w:r>
      <w:r w:rsidR="005006FF" w:rsidRPr="005006FF">
        <w:rPr>
          <w:rFonts w:ascii="Georgia" w:eastAsia="+mn-ea" w:hAnsi="Georgia" w:cs="+mn-cs"/>
          <w:color w:val="263746"/>
          <w:kern w:val="24"/>
          <w:lang w:eastAsia="it-IT"/>
        </w:rPr>
        <w:t>forte</w:t>
      </w:r>
      <w:r w:rsidRPr="005006FF">
        <w:rPr>
          <w:rFonts w:ascii="Georgia" w:eastAsia="+mn-ea" w:hAnsi="Georgia" w:cs="+mn-cs"/>
          <w:color w:val="263746"/>
          <w:kern w:val="24"/>
          <w:lang w:eastAsia="it-IT"/>
        </w:rPr>
        <w:t xml:space="preserve"> contrazione della crescita del PIL </w:t>
      </w:r>
      <w:r w:rsidR="005006FF" w:rsidRPr="005006FF">
        <w:rPr>
          <w:rFonts w:ascii="Georgia" w:eastAsia="+mn-ea" w:hAnsi="Georgia" w:cs="+mn-cs"/>
          <w:color w:val="263746"/>
          <w:kern w:val="24"/>
          <w:lang w:eastAsia="it-IT"/>
        </w:rPr>
        <w:t xml:space="preserve">reale </w:t>
      </w:r>
      <w:r w:rsidRPr="005006FF">
        <w:rPr>
          <w:rFonts w:ascii="Georgia" w:eastAsia="+mn-ea" w:hAnsi="Georgia" w:cs="+mn-cs"/>
          <w:color w:val="263746"/>
          <w:kern w:val="24"/>
          <w:lang w:eastAsia="it-IT"/>
        </w:rPr>
        <w:t xml:space="preserve">di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Hong Kong</w:t>
      </w:r>
      <w:r w:rsidRPr="005006FF">
        <w:rPr>
          <w:rFonts w:ascii="Georgia" w:eastAsia="+mn-ea" w:hAnsi="Georgia" w:cs="+mn-cs"/>
          <w:color w:val="263746"/>
          <w:kern w:val="24"/>
          <w:lang w:eastAsia="it-IT"/>
        </w:rPr>
        <w:t>,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-9%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 xml:space="preserve"> nel secondo trimestre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, 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 xml:space="preserve">dopo un </w:t>
      </w:r>
      <w:r w:rsidR="005B1A0C">
        <w:rPr>
          <w:rFonts w:ascii="Georgia" w:eastAsia="+mn-ea" w:hAnsi="Georgia" w:cs="+mn-cs"/>
          <w:color w:val="263746"/>
          <w:kern w:val="24"/>
          <w:lang w:eastAsia="it-IT"/>
        </w:rPr>
        <w:t xml:space="preserve">analogo 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calo registrato nel primo trimestre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, 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 xml:space="preserve">rispecchia il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trend 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osservato in altre aree della regione dell’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Asia Pacific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o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. </w:t>
      </w:r>
      <w:r w:rsidR="005B1A0C">
        <w:rPr>
          <w:rFonts w:ascii="Georgia" w:eastAsia="+mn-ea" w:hAnsi="Georgia" w:cs="+mn-cs"/>
          <w:color w:val="263746"/>
          <w:kern w:val="24"/>
          <w:lang w:eastAsia="it-IT"/>
        </w:rPr>
        <w:t>L</w:t>
      </w:r>
      <w:r w:rsidR="005B1A0C" w:rsidRPr="005006FF">
        <w:rPr>
          <w:rFonts w:ascii="Georgia" w:eastAsia="+mn-ea" w:hAnsi="Georgia" w:cs="+mn-cs"/>
          <w:color w:val="263746"/>
          <w:kern w:val="24"/>
          <w:lang w:eastAsia="it-IT"/>
        </w:rPr>
        <w:t xml:space="preserve">a ripresa è prevista </w:t>
      </w:r>
      <w:r w:rsidR="005B1A0C">
        <w:rPr>
          <w:rFonts w:ascii="Georgia" w:eastAsia="+mn-ea" w:hAnsi="Georgia" w:cs="+mn-cs"/>
          <w:color w:val="263746"/>
          <w:kern w:val="24"/>
          <w:lang w:eastAsia="it-IT"/>
        </w:rPr>
        <w:t>n</w:t>
      </w:r>
      <w:r w:rsidR="005006FF" w:rsidRPr="005006FF">
        <w:rPr>
          <w:rFonts w:ascii="Georgia" w:eastAsia="+mn-ea" w:hAnsi="Georgia" w:cs="+mn-cs"/>
          <w:color w:val="263746"/>
          <w:kern w:val="24"/>
          <w:lang w:eastAsia="it-IT"/>
        </w:rPr>
        <w:t>el terzo trimestre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, </w:t>
      </w:r>
      <w:r w:rsidR="005006FF" w:rsidRPr="005006FF">
        <w:rPr>
          <w:rFonts w:ascii="Georgia" w:eastAsia="+mn-ea" w:hAnsi="Georgia" w:cs="+mn-cs"/>
          <w:color w:val="263746"/>
          <w:kern w:val="24"/>
          <w:lang w:eastAsia="it-IT"/>
        </w:rPr>
        <w:t>ma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 xml:space="preserve"> le</w:t>
      </w:r>
      <w:r w:rsidR="005006FF" w:rsidRPr="005006FF">
        <w:rPr>
          <w:rFonts w:ascii="Georgia" w:eastAsia="+mn-ea" w:hAnsi="Georgia" w:cs="+mn-cs"/>
          <w:color w:val="263746"/>
          <w:kern w:val="24"/>
          <w:lang w:eastAsia="it-IT"/>
        </w:rPr>
        <w:t xml:space="preserve"> misure più stringenti </w:t>
      </w:r>
      <w:r w:rsidR="005B1A0C">
        <w:rPr>
          <w:rFonts w:ascii="Georgia" w:eastAsia="+mn-ea" w:hAnsi="Georgia" w:cs="+mn-cs"/>
          <w:color w:val="263746"/>
          <w:kern w:val="24"/>
          <w:lang w:eastAsia="it-IT"/>
        </w:rPr>
        <w:t>di</w:t>
      </w:r>
      <w:r w:rsidR="005006FF" w:rsidRPr="005006FF">
        <w:rPr>
          <w:rFonts w:ascii="Georgia" w:eastAsia="+mn-ea" w:hAnsi="Georgia" w:cs="+mn-cs"/>
          <w:color w:val="263746"/>
          <w:kern w:val="24"/>
          <w:lang w:eastAsia="it-IT"/>
        </w:rPr>
        <w:t xml:space="preserve"> distanziamento 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fisico messe in campo ad ago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st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o a causa delle nuove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 infe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z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ion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i potrebbero rallentar</w:t>
      </w:r>
      <w:r w:rsidR="005B1A0C">
        <w:rPr>
          <w:rFonts w:ascii="Georgia" w:eastAsia="+mn-ea" w:hAnsi="Georgia" w:cs="+mn-cs"/>
          <w:color w:val="263746"/>
          <w:kern w:val="24"/>
          <w:lang w:eastAsia="it-IT"/>
        </w:rPr>
        <w:t>n</w:t>
      </w:r>
      <w:r w:rsidR="005006FF">
        <w:rPr>
          <w:rFonts w:ascii="Georgia" w:eastAsia="+mn-ea" w:hAnsi="Georgia" w:cs="+mn-cs"/>
          <w:color w:val="263746"/>
          <w:kern w:val="24"/>
          <w:lang w:eastAsia="it-IT"/>
        </w:rPr>
        <w:t>e il ritmo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. </w:t>
      </w:r>
    </w:p>
    <w:p w:rsidR="00014BF4" w:rsidRPr="005006FF" w:rsidRDefault="00014BF4" w:rsidP="00014BF4">
      <w:pPr>
        <w:spacing w:after="0" w:line="240" w:lineRule="auto"/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</w:pPr>
    </w:p>
    <w:p w:rsidR="00014BF4" w:rsidRPr="00F84479" w:rsidRDefault="00440780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Gi</w:t>
      </w:r>
      <w:r w:rsidR="00014BF4"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ap</w:t>
      </w:r>
      <w:r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po</w:t>
      </w:r>
      <w:r w:rsidR="00014BF4"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n</w:t>
      </w:r>
      <w:r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>e</w:t>
      </w:r>
      <w:r w:rsidR="00014BF4" w:rsidRPr="00F84479">
        <w:rPr>
          <w:rFonts w:ascii="Georgia" w:eastAsia="+mn-ea" w:hAnsi="Georgia" w:cs="+mn-cs"/>
          <w:b/>
          <w:bCs/>
          <w:color w:val="008FBE"/>
          <w:kern w:val="24"/>
          <w:sz w:val="24"/>
          <w:szCs w:val="24"/>
          <w:lang w:eastAsia="it-IT"/>
        </w:rPr>
        <w:t xml:space="preserve">: </w:t>
      </w:r>
    </w:p>
    <w:p w:rsidR="00014BF4" w:rsidRPr="00014BF4" w:rsidRDefault="005B1A0C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eorgia" w:eastAsia="+mn-ea" w:hAnsi="Georgia" w:cs="+mn-cs"/>
          <w:color w:val="263746"/>
          <w:kern w:val="24"/>
          <w:lang w:eastAsia="it-IT"/>
        </w:rPr>
        <w:t>L’andamento de</w:t>
      </w:r>
      <w:r w:rsidRPr="00440780">
        <w:rPr>
          <w:rFonts w:ascii="Georgia" w:eastAsia="+mn-ea" w:hAnsi="Georgia" w:cs="+mn-cs"/>
          <w:color w:val="263746"/>
          <w:kern w:val="24"/>
          <w:lang w:eastAsia="it-IT"/>
        </w:rPr>
        <w:t xml:space="preserve">i consumi in generale </w:t>
      </w:r>
      <w:r>
        <w:rPr>
          <w:rFonts w:ascii="Georgia" w:eastAsia="+mn-ea" w:hAnsi="Georgia" w:cs="+mn-cs"/>
          <w:color w:val="263746"/>
          <w:kern w:val="24"/>
          <w:lang w:eastAsia="it-IT"/>
        </w:rPr>
        <w:t>è</w:t>
      </w:r>
      <w:r w:rsidRPr="00440780">
        <w:rPr>
          <w:rFonts w:ascii="Georgia" w:eastAsia="+mn-ea" w:hAnsi="Georgia" w:cs="+mn-cs"/>
          <w:color w:val="263746"/>
          <w:kern w:val="24"/>
          <w:lang w:eastAsia="it-IT"/>
        </w:rPr>
        <w:t xml:space="preserve"> in ripresa</w:t>
      </w:r>
      <w:r w:rsidR="00552855">
        <w:rPr>
          <w:rFonts w:ascii="Georgia" w:eastAsia="+mn-ea" w:hAnsi="Georgia" w:cs="+mn-cs"/>
          <w:color w:val="263746"/>
          <w:kern w:val="24"/>
          <w:lang w:eastAsia="it-IT"/>
        </w:rPr>
        <w:t>,</w:t>
      </w:r>
      <w:r w:rsidRPr="00440780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>
        <w:rPr>
          <w:rFonts w:ascii="Georgia" w:eastAsia="+mn-ea" w:hAnsi="Georgia" w:cs="+mn-cs"/>
          <w:color w:val="263746"/>
          <w:kern w:val="24"/>
          <w:lang w:eastAsia="it-IT"/>
        </w:rPr>
        <w:t>in</w:t>
      </w:r>
      <w:r w:rsidR="00440780" w:rsidRPr="00440780">
        <w:rPr>
          <w:rFonts w:ascii="Georgia" w:eastAsia="+mn-ea" w:hAnsi="Georgia" w:cs="+mn-cs"/>
          <w:color w:val="263746"/>
          <w:kern w:val="24"/>
          <w:lang w:eastAsia="it-IT"/>
        </w:rPr>
        <w:t xml:space="preserve"> seguito all’abol</w:t>
      </w:r>
      <w:r w:rsidR="00552855">
        <w:rPr>
          <w:rFonts w:ascii="Georgia" w:eastAsia="+mn-ea" w:hAnsi="Georgia" w:cs="+mn-cs"/>
          <w:color w:val="263746"/>
          <w:kern w:val="24"/>
          <w:lang w:eastAsia="it-IT"/>
        </w:rPr>
        <w:t>izione dello stato di emergenza,</w:t>
      </w:r>
      <w:r w:rsidR="00440780" w:rsidRPr="00440780">
        <w:rPr>
          <w:rFonts w:ascii="Georgia" w:eastAsia="+mn-ea" w:hAnsi="Georgia" w:cs="+mn-cs"/>
          <w:color w:val="263746"/>
          <w:kern w:val="24"/>
          <w:lang w:eastAsia="it-IT"/>
        </w:rPr>
        <w:t xml:space="preserve"> in particolare il consum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>o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di beni, sostenu</w:t>
      </w:r>
      <w:r w:rsidR="00440780" w:rsidRPr="00440780">
        <w:rPr>
          <w:rFonts w:ascii="Georgia" w:eastAsia="+mn-ea" w:hAnsi="Georgia" w:cs="+mn-cs"/>
          <w:color w:val="263746"/>
          <w:kern w:val="24"/>
          <w:lang w:eastAsia="it-IT"/>
        </w:rPr>
        <w:t>t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>o</w:t>
      </w:r>
      <w:r>
        <w:rPr>
          <w:rFonts w:ascii="Georgia" w:eastAsia="+mn-ea" w:hAnsi="Georgia" w:cs="+mn-cs"/>
          <w:color w:val="263746"/>
          <w:kern w:val="24"/>
          <w:lang w:eastAsia="it-IT"/>
        </w:rPr>
        <w:t xml:space="preserve"> dalla domanda repressa e dall’erogazione di contant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>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 xml:space="preserve">, 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 xml:space="preserve">mentre la richiesta di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servi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 xml:space="preserve">zi </w:t>
      </w:r>
      <w:r>
        <w:rPr>
          <w:rFonts w:ascii="Georgia" w:eastAsia="+mn-ea" w:hAnsi="Georgia" w:cs="+mn-cs"/>
          <w:color w:val="263746"/>
          <w:kern w:val="24"/>
          <w:lang w:eastAsia="it-IT"/>
        </w:rPr>
        <w:t>sembra destinata a rimanere</w:t>
      </w:r>
      <w:r w:rsidR="002A3B16">
        <w:rPr>
          <w:rFonts w:ascii="Georgia" w:eastAsia="+mn-ea" w:hAnsi="Georgia" w:cs="+mn-cs"/>
          <w:color w:val="263746"/>
          <w:kern w:val="24"/>
          <w:lang w:eastAsia="it-IT"/>
        </w:rPr>
        <w:t xml:space="preserve"> debole a causa delle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 xml:space="preserve">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recent</w:t>
      </w:r>
      <w:r w:rsidR="002A3B16">
        <w:rPr>
          <w:rFonts w:ascii="Georgia" w:eastAsia="+mn-ea" w:hAnsi="Georgia" w:cs="+mn-cs"/>
          <w:color w:val="263746"/>
          <w:kern w:val="24"/>
          <w:lang w:eastAsia="it-IT"/>
        </w:rPr>
        <w:t>i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 xml:space="preserve"> ondat</w:t>
      </w:r>
      <w:r w:rsidR="002A3B16">
        <w:rPr>
          <w:rFonts w:ascii="Georgia" w:eastAsia="+mn-ea" w:hAnsi="Georgia" w:cs="+mn-cs"/>
          <w:color w:val="263746"/>
          <w:kern w:val="24"/>
          <w:lang w:eastAsia="it-IT"/>
        </w:rPr>
        <w:t>e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 xml:space="preserve"> di nuove 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infe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>z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ion</w:t>
      </w:r>
      <w:r w:rsidR="00440780">
        <w:rPr>
          <w:rFonts w:ascii="Georgia" w:eastAsia="+mn-ea" w:hAnsi="Georgia" w:cs="+mn-cs"/>
          <w:color w:val="263746"/>
          <w:kern w:val="24"/>
          <w:lang w:eastAsia="it-IT"/>
        </w:rPr>
        <w:t>i</w:t>
      </w:r>
      <w:r w:rsidR="00014BF4" w:rsidRPr="00014BF4">
        <w:rPr>
          <w:rFonts w:ascii="Georgia" w:eastAsia="+mn-ea" w:hAnsi="Georgia" w:cs="+mn-cs"/>
          <w:color w:val="263746"/>
          <w:kern w:val="24"/>
          <w:lang w:eastAsia="it-IT"/>
        </w:rPr>
        <w:t>.</w:t>
      </w:r>
    </w:p>
    <w:p w:rsidR="00014BF4" w:rsidRPr="00440780" w:rsidRDefault="00552855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67F1DEA" wp14:editId="05AB9A97">
            <wp:simplePos x="0" y="0"/>
            <wp:positionH relativeFrom="column">
              <wp:posOffset>1934998</wp:posOffset>
            </wp:positionH>
            <wp:positionV relativeFrom="paragraph">
              <wp:posOffset>135180</wp:posOffset>
            </wp:positionV>
            <wp:extent cx="1841500" cy="1175385"/>
            <wp:effectExtent l="0" t="0" r="6350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3563AA5" wp14:editId="3E1490BA">
            <wp:simplePos x="0" y="0"/>
            <wp:positionH relativeFrom="column">
              <wp:posOffset>8363</wp:posOffset>
            </wp:positionH>
            <wp:positionV relativeFrom="paragraph">
              <wp:posOffset>131296</wp:posOffset>
            </wp:positionV>
            <wp:extent cx="1699260" cy="1787525"/>
            <wp:effectExtent l="0" t="0" r="0" b="317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78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BF4" w:rsidRPr="00014BF4" w:rsidRDefault="00014BF4" w:rsidP="0001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7CF1" w:rsidRPr="00440780" w:rsidRDefault="003A7CF1" w:rsidP="003A7CF1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40780" w:rsidRDefault="003A7CF1" w:rsidP="003A7CF1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40780" w:rsidRDefault="003A7CF1" w:rsidP="003A7CF1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40780" w:rsidRDefault="003A7CF1" w:rsidP="003A7CF1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40780" w:rsidRDefault="003A7CF1" w:rsidP="003A7CF1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40780" w:rsidRDefault="003A7CF1" w:rsidP="003A7CF1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9D5AEB" w:rsidRDefault="009D5AEB" w:rsidP="003A7CF1">
      <w:pPr>
        <w:pStyle w:val="NormaleWeb"/>
        <w:spacing w:before="0" w:beforeAutospacing="0" w:after="0" w:afterAutospacing="0"/>
        <w:ind w:left="354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9D5AEB" w:rsidRDefault="009D5AEB" w:rsidP="003A7CF1">
      <w:pPr>
        <w:pStyle w:val="NormaleWeb"/>
        <w:spacing w:before="0" w:beforeAutospacing="0" w:after="0" w:afterAutospacing="0"/>
        <w:ind w:left="354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9D5AEB" w:rsidRDefault="009D5AEB" w:rsidP="003A7CF1">
      <w:pPr>
        <w:pStyle w:val="NormaleWeb"/>
        <w:spacing w:before="0" w:beforeAutospacing="0" w:after="0" w:afterAutospacing="0"/>
        <w:ind w:left="354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9D5AEB" w:rsidRDefault="009D5AEB" w:rsidP="003A7CF1">
      <w:pPr>
        <w:pStyle w:val="NormaleWeb"/>
        <w:spacing w:before="0" w:beforeAutospacing="0" w:after="0" w:afterAutospacing="0"/>
        <w:ind w:left="354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552855" w:rsidRDefault="00552855" w:rsidP="004D5C4E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552855" w:rsidRDefault="00552855" w:rsidP="004D5C4E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D5C4E" w:rsidRDefault="003A7CF1" w:rsidP="004D5C4E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4D5C4E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>Prime</w:t>
      </w:r>
      <w:r w:rsidRPr="004D5C4E">
        <w:rPr>
          <w:rFonts w:ascii="Georgia" w:eastAsiaTheme="minorEastAsia" w:hAnsi="Georgia" w:cstheme="minorBidi"/>
          <w:color w:val="008FBE"/>
          <w:kern w:val="24"/>
          <w:sz w:val="22"/>
          <w:szCs w:val="22"/>
        </w:rPr>
        <w:t>:</w:t>
      </w:r>
      <w:r w:rsidRPr="004D5C4E">
        <w:rPr>
          <w:rFonts w:ascii="Georgia" w:eastAsiaTheme="minorEastAsia" w:hAnsi="Georgia" w:cstheme="minorBidi"/>
          <w:color w:val="263746"/>
          <w:kern w:val="24"/>
          <w:sz w:val="22"/>
          <w:szCs w:val="22"/>
        </w:rPr>
        <w:t xml:space="preserve"> </w:t>
      </w:r>
      <w:r w:rsidR="001025B0" w:rsidRPr="004D5C4E">
        <w:rPr>
          <w:rFonts w:ascii="Georgia" w:eastAsiaTheme="minorEastAsia" w:hAnsi="Georgia" w:cstheme="minorBidi"/>
          <w:color w:val="263746"/>
          <w:kern w:val="24"/>
          <w:sz w:val="22"/>
          <w:szCs w:val="22"/>
        </w:rPr>
        <w:t xml:space="preserve">Mercati e </w:t>
      </w:r>
      <w:proofErr w:type="spellStart"/>
      <w:r w:rsidR="001025B0" w:rsidRPr="004D5C4E">
        <w:rPr>
          <w:rFonts w:ascii="Georgia" w:eastAsiaTheme="minorEastAsia" w:hAnsi="Georgia" w:cstheme="minorBidi"/>
          <w:color w:val="263746"/>
          <w:kern w:val="24"/>
          <w:sz w:val="22"/>
          <w:szCs w:val="22"/>
        </w:rPr>
        <w:t>asset</w:t>
      </w:r>
      <w:proofErr w:type="spellEnd"/>
      <w:r w:rsidR="001025B0" w:rsidRPr="004D5C4E">
        <w:rPr>
          <w:rFonts w:ascii="Georgia" w:eastAsiaTheme="minorEastAsia" w:hAnsi="Georgia" w:cstheme="minorBidi"/>
          <w:color w:val="263746"/>
          <w:kern w:val="24"/>
          <w:sz w:val="22"/>
          <w:szCs w:val="22"/>
        </w:rPr>
        <w:t xml:space="preserve"> r</w:t>
      </w:r>
      <w:r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esilient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 e con solidi</w:t>
      </w:r>
      <w:r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f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o</w:t>
      </w:r>
      <w:r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ndamental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 in grado di garantire rendimenti interessanti sul lungo termine</w:t>
      </w:r>
    </w:p>
    <w:p w:rsidR="004D5C4E" w:rsidRPr="004D5C4E" w:rsidRDefault="004D5C4E" w:rsidP="004D5C4E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D5C4E" w:rsidRDefault="0019699F" w:rsidP="004D5C4E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4D5C4E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>Secondari</w:t>
      </w:r>
      <w:r w:rsidR="003A7CF1" w:rsidRPr="004D5C4E">
        <w:rPr>
          <w:rFonts w:ascii="Georgia" w:eastAsiaTheme="minorEastAsia" w:hAnsi="Georgia" w:cstheme="minorBidi"/>
          <w:color w:val="008FBE"/>
          <w:kern w:val="24"/>
          <w:sz w:val="22"/>
          <w:szCs w:val="22"/>
        </w:rPr>
        <w:t xml:space="preserve">: 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Pr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ezzi e rendimenti sicuri sotto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press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ion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e</w:t>
      </w:r>
      <w:r w:rsidR="00327D02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, perché </w:t>
      </w:r>
      <w:r w:rsidR="004D5C4E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nella situazione attuale </w:t>
      </w:r>
      <w:r w:rsidR="00327D02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proofErr w:type="spellStart"/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tenant</w:t>
      </w:r>
      <w:proofErr w:type="spellEnd"/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finan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z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ia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riamente deboli sono più 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vulnerab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l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 </w:t>
      </w:r>
    </w:p>
    <w:p w:rsidR="004D5C4E" w:rsidRPr="004D5C4E" w:rsidRDefault="004D5C4E" w:rsidP="004D5C4E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4D5C4E" w:rsidRDefault="0019699F" w:rsidP="004D5C4E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4D5C4E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>Sviluppi</w:t>
      </w:r>
      <w:r w:rsidR="003A7CF1" w:rsidRPr="004D5C4E">
        <w:rPr>
          <w:rFonts w:ascii="Georgia" w:eastAsiaTheme="minorEastAsia" w:hAnsi="Georgia" w:cstheme="minorBidi"/>
          <w:color w:val="008FBE"/>
          <w:kern w:val="24"/>
          <w:sz w:val="22"/>
          <w:szCs w:val="22"/>
        </w:rPr>
        <w:t>:</w:t>
      </w:r>
      <w:r w:rsidR="003A7CF1" w:rsidRPr="004D5C4E">
        <w:rPr>
          <w:rFonts w:ascii="Georgia" w:eastAsiaTheme="minorEastAsia" w:hAnsi="Georgia" w:cstheme="minorBidi"/>
          <w:color w:val="263746"/>
          <w:kern w:val="24"/>
          <w:sz w:val="22"/>
          <w:szCs w:val="22"/>
        </w:rPr>
        <w:t xml:space="preserve"> </w:t>
      </w:r>
      <w:r w:rsidR="001025B0" w:rsidRPr="004D5C4E">
        <w:rPr>
          <w:rFonts w:ascii="Georgia" w:eastAsiaTheme="minorEastAsia" w:hAnsi="Georgia" w:cstheme="minorBidi"/>
          <w:color w:val="263746"/>
          <w:kern w:val="24"/>
          <w:sz w:val="22"/>
          <w:szCs w:val="22"/>
        </w:rPr>
        <w:t xml:space="preserve">Maggiori 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ncert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ezze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in term</w:t>
      </w:r>
      <w:r w:rsidR="001025B0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>ini di tempi di esecuzione e definizione dei contratti di</w:t>
      </w:r>
      <w:r w:rsidR="003A7CF1" w:rsidRPr="004D5C4E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l</w:t>
      </w:r>
      <w:r w:rsidR="004D5C4E">
        <w:rPr>
          <w:rFonts w:ascii="Georgia" w:eastAsia="+mn-ea" w:hAnsi="Georgia" w:cs="+mn-cs"/>
          <w:color w:val="263746"/>
          <w:kern w:val="24"/>
          <w:sz w:val="22"/>
          <w:szCs w:val="22"/>
        </w:rPr>
        <w:t>ocazione</w:t>
      </w:r>
    </w:p>
    <w:p w:rsidR="004D5C4E" w:rsidRDefault="004D5C4E" w:rsidP="004D5C4E">
      <w:pPr>
        <w:pStyle w:val="NormaleWeb"/>
        <w:spacing w:before="0" w:beforeAutospacing="0" w:after="0" w:afterAutospacing="0"/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</w:pPr>
    </w:p>
    <w:p w:rsidR="003A7CF1" w:rsidRPr="001025B0" w:rsidRDefault="003A7CF1" w:rsidP="004D5C4E">
      <w:pPr>
        <w:pStyle w:val="NormaleWeb"/>
        <w:spacing w:before="0" w:beforeAutospacing="0" w:after="0" w:afterAutospacing="0"/>
      </w:pPr>
      <w:r w:rsidRPr="001025B0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>Deb</w:t>
      </w:r>
      <w:r w:rsidR="001025B0" w:rsidRPr="001025B0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>i</w:t>
      </w:r>
      <w:r w:rsidRPr="001025B0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>t</w:t>
      </w:r>
      <w:r w:rsidR="001025B0" w:rsidRPr="001025B0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>o</w:t>
      </w:r>
      <w:r w:rsidRPr="001025B0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 xml:space="preserve">: </w:t>
      </w:r>
      <w:r w:rsidR="001025B0"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>La fuga</w:t>
      </w:r>
      <w:r w:rsidR="001025B0" w:rsidRPr="001025B0">
        <w:rPr>
          <w:rFonts w:ascii="Georgia" w:eastAsiaTheme="minorEastAsia" w:hAnsi="Georgia" w:cstheme="minorBidi"/>
          <w:b/>
          <w:bCs/>
          <w:color w:val="008FBE"/>
          <w:kern w:val="24"/>
          <w:sz w:val="22"/>
          <w:szCs w:val="22"/>
        </w:rPr>
        <w:t xml:space="preserve"> </w:t>
      </w:r>
      <w:r w:rsidR="001025B0"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verso </w:t>
      </w:r>
      <w:proofErr w:type="spellStart"/>
      <w:r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>asset</w:t>
      </w:r>
      <w:proofErr w:type="spellEnd"/>
      <w:r w:rsidR="001025B0"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>s</w:t>
      </w:r>
      <w:r w:rsidR="001025B0"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icuri e l’aumento dello </w:t>
      </w:r>
      <w:r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stress </w:t>
      </w:r>
      <w:r w:rsidR="001025B0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bancario offrono </w:t>
      </w:r>
      <w:r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>opportunit</w:t>
      </w:r>
      <w:r w:rsidR="001025B0">
        <w:rPr>
          <w:rFonts w:ascii="Georgia" w:eastAsia="+mn-ea" w:hAnsi="Georgia" w:cs="+mn-cs"/>
          <w:color w:val="263746"/>
          <w:kern w:val="24"/>
          <w:sz w:val="22"/>
          <w:szCs w:val="22"/>
        </w:rPr>
        <w:t>à ai</w:t>
      </w:r>
      <w:r w:rsidRPr="001025B0">
        <w:rPr>
          <w:rFonts w:ascii="Georgia" w:eastAsia="+mn-ea" w:hAnsi="Georgia" w:cs="+mn-cs"/>
          <w:color w:val="263746"/>
          <w:kern w:val="24"/>
          <w:sz w:val="22"/>
          <w:szCs w:val="22"/>
        </w:rPr>
        <w:t xml:space="preserve"> </w:t>
      </w:r>
      <w:r w:rsidR="009D5AEB">
        <w:rPr>
          <w:rFonts w:ascii="Georgia" w:eastAsia="+mn-ea" w:hAnsi="Georgia" w:cs="+mn-cs"/>
          <w:color w:val="263746"/>
          <w:kern w:val="24"/>
          <w:sz w:val="22"/>
          <w:szCs w:val="22"/>
        </w:rPr>
        <w:t>finanziatori</w:t>
      </w:r>
    </w:p>
    <w:p w:rsidR="00813A16" w:rsidRPr="001025B0" w:rsidRDefault="00813A16" w:rsidP="0081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7CF1" w:rsidRPr="001025B0" w:rsidRDefault="003A7CF1" w:rsidP="0081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7CF1" w:rsidRDefault="00552855" w:rsidP="00813A16">
      <w:pPr>
        <w:spacing w:after="0" w:line="240" w:lineRule="auto"/>
        <w:textAlignment w:val="baseline"/>
        <w:rPr>
          <w:rFonts w:ascii="Georgia" w:eastAsia="+mj-ea" w:hAnsi="Georgia" w:cs="+mj-cs"/>
          <w:color w:val="008FBE"/>
          <w:kern w:val="24"/>
          <w:sz w:val="32"/>
          <w:szCs w:val="32"/>
        </w:rPr>
      </w:pPr>
      <w:r>
        <w:rPr>
          <w:rFonts w:ascii="Georgia" w:eastAsia="+mj-ea" w:hAnsi="Georgia" w:cs="+mj-cs"/>
          <w:color w:val="008FBE"/>
          <w:kern w:val="24"/>
          <w:sz w:val="32"/>
          <w:szCs w:val="32"/>
        </w:rPr>
        <w:t>I</w:t>
      </w:r>
      <w:r w:rsidR="004D5C4E" w:rsidRPr="004D5C4E">
        <w:rPr>
          <w:rFonts w:ascii="Georgia" w:eastAsia="+mj-ea" w:hAnsi="Georgia" w:cs="+mj-cs"/>
          <w:color w:val="008FBE"/>
          <w:kern w:val="24"/>
          <w:sz w:val="32"/>
          <w:szCs w:val="32"/>
        </w:rPr>
        <w:t xml:space="preserve"> </w:t>
      </w:r>
      <w:r w:rsidR="007D3646" w:rsidRPr="004D5C4E">
        <w:rPr>
          <w:rFonts w:ascii="Georgia" w:eastAsia="+mj-ea" w:hAnsi="Georgia" w:cs="+mj-cs"/>
          <w:color w:val="008FBE"/>
          <w:kern w:val="24"/>
          <w:sz w:val="32"/>
          <w:szCs w:val="32"/>
        </w:rPr>
        <w:t xml:space="preserve">rendimenti medi </w:t>
      </w:r>
      <w:r>
        <w:rPr>
          <w:rFonts w:ascii="Georgia" w:eastAsia="+mj-ea" w:hAnsi="Georgia" w:cs="+mj-cs"/>
          <w:color w:val="008FBE"/>
          <w:kern w:val="24"/>
          <w:sz w:val="32"/>
          <w:szCs w:val="32"/>
        </w:rPr>
        <w:t>a</w:t>
      </w:r>
      <w:r w:rsidR="007D3646" w:rsidRPr="004D5C4E">
        <w:rPr>
          <w:rFonts w:ascii="Georgia" w:eastAsia="+mj-ea" w:hAnsi="Georgia" w:cs="+mj-cs"/>
          <w:color w:val="008FBE"/>
          <w:kern w:val="24"/>
          <w:sz w:val="32"/>
          <w:szCs w:val="32"/>
        </w:rPr>
        <w:t xml:space="preserve"> 5 anni </w:t>
      </w:r>
      <w:r w:rsidR="004D5C4E" w:rsidRPr="004D5C4E">
        <w:rPr>
          <w:rFonts w:ascii="Georgia" w:eastAsia="+mj-ea" w:hAnsi="Georgia" w:cs="+mj-cs"/>
          <w:color w:val="008FBE"/>
          <w:kern w:val="24"/>
          <w:sz w:val="32"/>
          <w:szCs w:val="32"/>
        </w:rPr>
        <w:t>de</w:t>
      </w:r>
      <w:r w:rsidR="007D3646" w:rsidRPr="004D5C4E">
        <w:rPr>
          <w:rFonts w:ascii="Georgia" w:eastAsia="+mj-ea" w:hAnsi="Georgia" w:cs="+mj-cs"/>
          <w:color w:val="008FBE"/>
          <w:kern w:val="24"/>
          <w:sz w:val="32"/>
          <w:szCs w:val="32"/>
        </w:rPr>
        <w:t>l segmento uffici</w:t>
      </w:r>
    </w:p>
    <w:p w:rsidR="003A7CF1" w:rsidRPr="007D3646" w:rsidRDefault="003A7CF1" w:rsidP="00813A16">
      <w:pPr>
        <w:spacing w:after="0" w:line="240" w:lineRule="auto"/>
        <w:textAlignment w:val="baseline"/>
        <w:rPr>
          <w:rFonts w:ascii="Georgia" w:eastAsia="+mj-ea" w:hAnsi="Georgia" w:cs="+mj-cs"/>
          <w:color w:val="008FBE"/>
          <w:kern w:val="24"/>
          <w:sz w:val="32"/>
          <w:szCs w:val="32"/>
        </w:rPr>
      </w:pPr>
    </w:p>
    <w:p w:rsidR="003A7CF1" w:rsidRDefault="003A7CF1" w:rsidP="0081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5C44732">
            <wp:extent cx="6165379" cy="294793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71" cy="2951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855" w:rsidRPr="00552855" w:rsidRDefault="00552855" w:rsidP="00552855">
      <w:pPr>
        <w:spacing w:after="0" w:line="240" w:lineRule="auto"/>
        <w:textAlignment w:val="baseline"/>
        <w:rPr>
          <w:rFonts w:ascii="Georgia" w:eastAsia="+mn-ea" w:hAnsi="Georgia" w:cs="+mn-cs"/>
          <w:kern w:val="24"/>
          <w:sz w:val="18"/>
          <w:szCs w:val="18"/>
          <w:lang w:val="en-US"/>
        </w:rPr>
      </w:pPr>
      <w:r>
        <w:rPr>
          <w:rFonts w:ascii="Georgia" w:eastAsia="+mn-ea" w:hAnsi="Georgia" w:cs="+mn-cs"/>
          <w:kern w:val="24"/>
          <w:sz w:val="18"/>
          <w:szCs w:val="18"/>
          <w:lang w:val="en-US"/>
        </w:rPr>
        <w:t>(</w:t>
      </w:r>
      <w:proofErr w:type="spellStart"/>
      <w:proofErr w:type="gramStart"/>
      <w:r>
        <w:rPr>
          <w:rFonts w:ascii="Georgia" w:eastAsia="+mn-ea" w:hAnsi="Georgia" w:cs="+mn-cs"/>
          <w:kern w:val="24"/>
          <w:sz w:val="18"/>
          <w:szCs w:val="18"/>
          <w:lang w:val="en-US"/>
        </w:rPr>
        <w:t>fonte</w:t>
      </w:r>
      <w:proofErr w:type="spellEnd"/>
      <w:proofErr w:type="gramEnd"/>
      <w:r>
        <w:rPr>
          <w:rFonts w:ascii="Georgia" w:eastAsia="+mn-ea" w:hAnsi="Georgia" w:cs="+mn-cs"/>
          <w:kern w:val="24"/>
          <w:sz w:val="18"/>
          <w:szCs w:val="18"/>
          <w:lang w:val="en-US"/>
        </w:rPr>
        <w:t>: Nuveen Real Estate; n</w:t>
      </w:r>
      <w:r w:rsidRPr="00552855">
        <w:rPr>
          <w:rFonts w:ascii="Georgia" w:eastAsia="+mn-ea" w:hAnsi="Georgia" w:cs="+mn-cs"/>
          <w:kern w:val="24"/>
          <w:sz w:val="18"/>
          <w:szCs w:val="18"/>
          <w:lang w:val="en-US"/>
        </w:rPr>
        <w:t>ota: O= office, R=retail</w:t>
      </w:r>
      <w:r>
        <w:rPr>
          <w:rFonts w:ascii="Georgia" w:eastAsia="+mn-ea" w:hAnsi="Georgia" w:cs="+mn-cs"/>
          <w:kern w:val="24"/>
          <w:sz w:val="18"/>
          <w:szCs w:val="18"/>
          <w:lang w:val="en-US"/>
        </w:rPr>
        <w:t>)</w:t>
      </w:r>
    </w:p>
    <w:p w:rsidR="007D483A" w:rsidRDefault="007D483A" w:rsidP="00813A16">
      <w:pPr>
        <w:spacing w:after="0" w:line="240" w:lineRule="auto"/>
        <w:textAlignment w:val="baseline"/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72"/>
          <w:szCs w:val="72"/>
          <w:lang w:val="en-US"/>
        </w:rPr>
      </w:pPr>
    </w:p>
    <w:p w:rsidR="007D483A" w:rsidRDefault="007D483A" w:rsidP="00813A16">
      <w:pPr>
        <w:spacing w:after="0" w:line="240" w:lineRule="auto"/>
        <w:textAlignment w:val="baseline"/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72"/>
          <w:szCs w:val="72"/>
          <w:lang w:val="en-US"/>
        </w:rPr>
      </w:pPr>
    </w:p>
    <w:p w:rsidR="007D483A" w:rsidRDefault="007D483A" w:rsidP="00813A16">
      <w:pPr>
        <w:spacing w:after="0" w:line="240" w:lineRule="auto"/>
        <w:textAlignment w:val="baseline"/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72"/>
          <w:szCs w:val="72"/>
          <w:lang w:val="en-US"/>
        </w:rPr>
      </w:pPr>
    </w:p>
    <w:p w:rsidR="007D483A" w:rsidRDefault="007D483A" w:rsidP="00813A16">
      <w:pPr>
        <w:spacing w:after="0" w:line="240" w:lineRule="auto"/>
        <w:textAlignment w:val="baseline"/>
        <w:rPr>
          <w:rFonts w:ascii="Georgia" w:eastAsia="+mj-ea" w:hAnsi="Georgia" w:cs="Georgia"/>
          <w:b/>
          <w:bCs/>
          <w:color w:val="008FBE"/>
          <w:spacing w:val="-2"/>
          <w:kern w:val="24"/>
          <w:position w:val="1"/>
          <w:sz w:val="72"/>
          <w:szCs w:val="72"/>
          <w:lang w:val="en-US"/>
        </w:rPr>
      </w:pPr>
    </w:p>
    <w:p w:rsidR="007D483A" w:rsidRPr="008C5DFB" w:rsidRDefault="007D483A" w:rsidP="007D483A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008FBE"/>
          <w:kern w:val="24"/>
          <w:sz w:val="32"/>
          <w:szCs w:val="32"/>
        </w:rPr>
      </w:pPr>
    </w:p>
    <w:p w:rsidR="007D483A" w:rsidRPr="008C5DFB" w:rsidRDefault="007D483A" w:rsidP="007D483A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008FBE"/>
          <w:kern w:val="24"/>
          <w:sz w:val="32"/>
          <w:szCs w:val="32"/>
        </w:rPr>
      </w:pPr>
    </w:p>
    <w:p w:rsidR="007D483A" w:rsidRPr="008C5DFB" w:rsidRDefault="007D483A" w:rsidP="007D483A">
      <w:pPr>
        <w:pStyle w:val="NormaleWeb"/>
        <w:spacing w:before="0" w:beforeAutospacing="0" w:after="0" w:afterAutospacing="0"/>
        <w:rPr>
          <w:rFonts w:ascii="Georgia" w:eastAsia="+mn-ea" w:hAnsi="Georgia" w:cs="+mn-cs"/>
          <w:color w:val="008FBE"/>
          <w:kern w:val="24"/>
          <w:sz w:val="32"/>
          <w:szCs w:val="32"/>
        </w:rPr>
      </w:pPr>
    </w:p>
    <w:p w:rsidR="007D483A" w:rsidRPr="008C5DFB" w:rsidRDefault="007D483A" w:rsidP="007D483A">
      <w:pPr>
        <w:pStyle w:val="NormaleWeb"/>
        <w:spacing w:before="0" w:beforeAutospacing="0" w:after="0" w:afterAutospacing="0"/>
      </w:pPr>
    </w:p>
    <w:p w:rsidR="003A7CF1" w:rsidRDefault="003A7CF1" w:rsidP="0081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5A1188" w:rsidRPr="00091DA5" w:rsidRDefault="005A1188" w:rsidP="005A1188">
      <w:pPr>
        <w:pStyle w:val="NormaleWeb"/>
        <w:spacing w:before="0" w:beforeAutospacing="0" w:after="0" w:afterAutospacing="0"/>
      </w:pPr>
    </w:p>
    <w:p w:rsidR="00357F7E" w:rsidRPr="00091DA5" w:rsidRDefault="00357F7E" w:rsidP="0081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188" w:rsidRPr="00813A16" w:rsidRDefault="005A1188" w:rsidP="0081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sectPr w:rsidR="005A1188" w:rsidRPr="00813A16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D9" w:rsidRDefault="00C817D9" w:rsidP="00D13A22">
      <w:pPr>
        <w:spacing w:after="0" w:line="240" w:lineRule="auto"/>
      </w:pPr>
      <w:r>
        <w:separator/>
      </w:r>
    </w:p>
  </w:endnote>
  <w:endnote w:type="continuationSeparator" w:id="0">
    <w:p w:rsidR="00C817D9" w:rsidRDefault="00C817D9" w:rsidP="00D1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D9" w:rsidRDefault="00C817D9" w:rsidP="00D13A22">
      <w:pPr>
        <w:spacing w:after="0" w:line="240" w:lineRule="auto"/>
      </w:pPr>
      <w:r>
        <w:separator/>
      </w:r>
    </w:p>
  </w:footnote>
  <w:footnote w:type="continuationSeparator" w:id="0">
    <w:p w:rsidR="00C817D9" w:rsidRDefault="00C817D9" w:rsidP="00D1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22" w:rsidRDefault="00D13A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D2EB9B" wp14:editId="02A55DA6">
          <wp:simplePos x="0" y="0"/>
          <wp:positionH relativeFrom="column">
            <wp:posOffset>-554990</wp:posOffset>
          </wp:positionH>
          <wp:positionV relativeFrom="paragraph">
            <wp:posOffset>-417830</wp:posOffset>
          </wp:positionV>
          <wp:extent cx="1733550" cy="843915"/>
          <wp:effectExtent l="0" t="0" r="0" b="0"/>
          <wp:wrapSquare wrapText="bothSides"/>
          <wp:docPr id="10" name="Picture 2" descr="G:\Marketing\Rebrand to Nuveen\1 logos\Nuveen Real Estate\rgb_Nuveen_RealEsta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Rebrand to Nuveen\1 logos\Nuveen Real Estate\rgb_Nuveen_RealEstat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313"/>
    <w:multiLevelType w:val="hybridMultilevel"/>
    <w:tmpl w:val="EE607510"/>
    <w:lvl w:ilvl="0" w:tplc="83FCC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B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AA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85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C9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AE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41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27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C5411A"/>
    <w:multiLevelType w:val="multilevel"/>
    <w:tmpl w:val="A81E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A1871"/>
    <w:multiLevelType w:val="multilevel"/>
    <w:tmpl w:val="A5A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1551D"/>
    <w:multiLevelType w:val="hybridMultilevel"/>
    <w:tmpl w:val="01A80A26"/>
    <w:lvl w:ilvl="0" w:tplc="BF98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2B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6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2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C3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8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1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04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4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507FED"/>
    <w:multiLevelType w:val="hybridMultilevel"/>
    <w:tmpl w:val="DD267E2C"/>
    <w:lvl w:ilvl="0" w:tplc="D79C1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2E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45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0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60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0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6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C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694D20"/>
    <w:multiLevelType w:val="multilevel"/>
    <w:tmpl w:val="0A1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D7FD3"/>
    <w:multiLevelType w:val="hybridMultilevel"/>
    <w:tmpl w:val="374853FA"/>
    <w:lvl w:ilvl="0" w:tplc="0DE2E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A7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0A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0B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0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68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5D6AC6"/>
    <w:multiLevelType w:val="multilevel"/>
    <w:tmpl w:val="FA5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273A4"/>
    <w:multiLevelType w:val="multilevel"/>
    <w:tmpl w:val="75E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028D8"/>
    <w:multiLevelType w:val="hybridMultilevel"/>
    <w:tmpl w:val="5C468668"/>
    <w:lvl w:ilvl="0" w:tplc="EB6C2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2C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C2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E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A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A3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48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2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5D19F0"/>
    <w:multiLevelType w:val="hybridMultilevel"/>
    <w:tmpl w:val="A9F6B4CA"/>
    <w:lvl w:ilvl="0" w:tplc="5A48F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01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C9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EF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E1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29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8D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84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AB1CBC"/>
    <w:multiLevelType w:val="multilevel"/>
    <w:tmpl w:val="0D4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8F5EFD"/>
    <w:multiLevelType w:val="hybridMultilevel"/>
    <w:tmpl w:val="AA40E6B6"/>
    <w:lvl w:ilvl="0" w:tplc="6A6E8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A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8F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E5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47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4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4E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00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6"/>
    <w:rsid w:val="00014BF4"/>
    <w:rsid w:val="00091DA5"/>
    <w:rsid w:val="001025B0"/>
    <w:rsid w:val="00180FF6"/>
    <w:rsid w:val="001869DA"/>
    <w:rsid w:val="0019699F"/>
    <w:rsid w:val="001A450E"/>
    <w:rsid w:val="00216FA8"/>
    <w:rsid w:val="0028567C"/>
    <w:rsid w:val="002A3B16"/>
    <w:rsid w:val="002B2EFE"/>
    <w:rsid w:val="00327D02"/>
    <w:rsid w:val="00357F7E"/>
    <w:rsid w:val="003A7CF1"/>
    <w:rsid w:val="003E67D5"/>
    <w:rsid w:val="00424021"/>
    <w:rsid w:val="00433F27"/>
    <w:rsid w:val="00440780"/>
    <w:rsid w:val="00444232"/>
    <w:rsid w:val="004D5C4E"/>
    <w:rsid w:val="005006FF"/>
    <w:rsid w:val="00501A7A"/>
    <w:rsid w:val="00527FB7"/>
    <w:rsid w:val="00552855"/>
    <w:rsid w:val="00572032"/>
    <w:rsid w:val="005A1188"/>
    <w:rsid w:val="005B1A0C"/>
    <w:rsid w:val="00684E14"/>
    <w:rsid w:val="006C482A"/>
    <w:rsid w:val="00740AC3"/>
    <w:rsid w:val="00796DA9"/>
    <w:rsid w:val="007D3646"/>
    <w:rsid w:val="007D483A"/>
    <w:rsid w:val="007D686F"/>
    <w:rsid w:val="00813A16"/>
    <w:rsid w:val="00832D1A"/>
    <w:rsid w:val="008459C0"/>
    <w:rsid w:val="00866A95"/>
    <w:rsid w:val="008A10F2"/>
    <w:rsid w:val="008B6259"/>
    <w:rsid w:val="008C4124"/>
    <w:rsid w:val="008C5DFB"/>
    <w:rsid w:val="00910B7A"/>
    <w:rsid w:val="00976197"/>
    <w:rsid w:val="009D5AEB"/>
    <w:rsid w:val="00AB2ABD"/>
    <w:rsid w:val="00AF0AAE"/>
    <w:rsid w:val="00B43BEF"/>
    <w:rsid w:val="00B66E88"/>
    <w:rsid w:val="00B67670"/>
    <w:rsid w:val="00B85084"/>
    <w:rsid w:val="00BD12D6"/>
    <w:rsid w:val="00C817D9"/>
    <w:rsid w:val="00C8666F"/>
    <w:rsid w:val="00C96F36"/>
    <w:rsid w:val="00CF7F93"/>
    <w:rsid w:val="00D00B09"/>
    <w:rsid w:val="00D13A22"/>
    <w:rsid w:val="00D208CD"/>
    <w:rsid w:val="00D318EB"/>
    <w:rsid w:val="00E90674"/>
    <w:rsid w:val="00F04F0E"/>
    <w:rsid w:val="00F2568F"/>
    <w:rsid w:val="00F562CA"/>
    <w:rsid w:val="00F84479"/>
    <w:rsid w:val="00F91858"/>
    <w:rsid w:val="00FA1A56"/>
    <w:rsid w:val="00FC33AC"/>
    <w:rsid w:val="00FC7772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2F27"/>
  <w15:docId w15:val="{0E1F1693-2793-4FBA-8C43-6C2BB15F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13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13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13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13A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13A1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3A1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13A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13A1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13A16"/>
    <w:rPr>
      <w:color w:val="0000FF"/>
      <w:u w:val="single"/>
    </w:rPr>
  </w:style>
  <w:style w:type="character" w:customStyle="1" w:styleId="nuv-content-feedfeatured-eyebrow">
    <w:name w:val="nuv-content-feed__featured-eyebrow"/>
    <w:basedOn w:val="Carpredefinitoparagrafo"/>
    <w:rsid w:val="00813A16"/>
  </w:style>
  <w:style w:type="character" w:customStyle="1" w:styleId="nuv-content-feedfeatured-sub-title">
    <w:name w:val="nuv-content-feed__featured-sub-title"/>
    <w:basedOn w:val="Carpredefinitoparagrafo"/>
    <w:rsid w:val="00813A16"/>
  </w:style>
  <w:style w:type="character" w:customStyle="1" w:styleId="nuv-content-feedfeed-eyebrow">
    <w:name w:val="nuv-content-feed__feed-eyebrow"/>
    <w:basedOn w:val="Carpredefinitoparagrafo"/>
    <w:rsid w:val="00813A16"/>
  </w:style>
  <w:style w:type="character" w:styleId="Enfasicorsivo">
    <w:name w:val="Emphasis"/>
    <w:basedOn w:val="Carpredefinitoparagrafo"/>
    <w:uiPriority w:val="20"/>
    <w:qFormat/>
    <w:rsid w:val="00813A16"/>
    <w:rPr>
      <w:i/>
      <w:iCs/>
    </w:rPr>
  </w:style>
  <w:style w:type="character" w:customStyle="1" w:styleId="nuv-content-feedfeed-sub-title">
    <w:name w:val="nuv-content-feed__feed-sub-title"/>
    <w:basedOn w:val="Carpredefinitoparagrafo"/>
    <w:rsid w:val="00813A16"/>
  </w:style>
  <w:style w:type="paragraph" w:styleId="NormaleWeb">
    <w:name w:val="Normal (Web)"/>
    <w:basedOn w:val="Normale"/>
    <w:uiPriority w:val="99"/>
    <w:unhideWhenUsed/>
    <w:rsid w:val="001A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50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3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3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A22"/>
  </w:style>
  <w:style w:type="paragraph" w:styleId="Pidipagina">
    <w:name w:val="footer"/>
    <w:basedOn w:val="Normale"/>
    <w:link w:val="PidipaginaCarattere"/>
    <w:uiPriority w:val="99"/>
    <w:unhideWhenUsed/>
    <w:rsid w:val="00D13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1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8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5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8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9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6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6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67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6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3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7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0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5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0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8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4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404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3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225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38370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4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17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79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1914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974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21338">
                                          <w:marLeft w:val="0"/>
                                          <w:marRight w:val="0"/>
                                          <w:marTop w:val="0"/>
                                          <w:marBottom w:val="7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28606">
                                              <w:marLeft w:val="0"/>
                                              <w:marRight w:val="7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8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0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24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3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31" w:color="253746"/>
                <w:right w:val="none" w:sz="0" w:space="0" w:color="auto"/>
              </w:divBdr>
              <w:divsChild>
                <w:div w:id="2702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41339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253746"/>
                <w:right w:val="none" w:sz="0" w:space="0" w:color="auto"/>
              </w:divBdr>
              <w:divsChild>
                <w:div w:id="1109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6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7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>Publicis Groupe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Bolognese</dc:creator>
  <cp:lastModifiedBy>Claudia Bolognese</cp:lastModifiedBy>
  <cp:revision>3</cp:revision>
  <dcterms:created xsi:type="dcterms:W3CDTF">2020-08-23T11:01:00Z</dcterms:created>
  <dcterms:modified xsi:type="dcterms:W3CDTF">2020-08-23T11:03:00Z</dcterms:modified>
</cp:coreProperties>
</file>