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69" w:rsidRDefault="000C2969" w:rsidP="00E431E0">
      <w:pPr>
        <w:spacing w:after="0" w:line="240" w:lineRule="auto"/>
        <w:jc w:val="center"/>
        <w:rPr>
          <w:b/>
          <w:color w:val="003B79"/>
          <w:lang w:val="it-IT"/>
        </w:rPr>
      </w:pPr>
      <w:bookmarkStart w:id="0" w:name="_Toc433368662"/>
    </w:p>
    <w:p w:rsidR="00B51F0F" w:rsidRDefault="00E431E0" w:rsidP="00E431E0">
      <w:pPr>
        <w:spacing w:after="0" w:line="240" w:lineRule="auto"/>
        <w:jc w:val="center"/>
        <w:rPr>
          <w:b/>
          <w:color w:val="003B79"/>
          <w:lang w:val="it-IT"/>
        </w:rPr>
      </w:pPr>
      <w:r>
        <w:rPr>
          <w:b/>
          <w:color w:val="003B79"/>
          <w:lang w:val="it-IT"/>
        </w:rPr>
        <w:t xml:space="preserve">NEL I TRIMESTRE 2017 RIMANE </w:t>
      </w:r>
      <w:r w:rsidR="00A6361B">
        <w:rPr>
          <w:b/>
          <w:color w:val="003B79"/>
          <w:lang w:val="it-IT"/>
        </w:rPr>
        <w:t>STABILE</w:t>
      </w:r>
      <w:r w:rsidR="00E66C25">
        <w:rPr>
          <w:b/>
          <w:color w:val="003B79"/>
          <w:lang w:val="it-IT"/>
        </w:rPr>
        <w:t xml:space="preserve"> </w:t>
      </w:r>
      <w:r w:rsidR="00FB2C95">
        <w:rPr>
          <w:b/>
          <w:color w:val="003B79"/>
          <w:lang w:val="it-IT"/>
        </w:rPr>
        <w:t xml:space="preserve">IL NUMERO DI INTERROGAZIONI </w:t>
      </w:r>
      <w:r w:rsidR="00E66C25">
        <w:rPr>
          <w:b/>
          <w:color w:val="003B79"/>
          <w:lang w:val="it-IT"/>
        </w:rPr>
        <w:t>RELATIVE ALLA RICHIESTA DI NUOVI MUTUI E SURROGHE DA PARTE DELLE FAMIGLIE</w:t>
      </w:r>
      <w:r>
        <w:rPr>
          <w:b/>
          <w:color w:val="003B79"/>
          <w:lang w:val="it-IT"/>
        </w:rPr>
        <w:t xml:space="preserve"> (</w:t>
      </w:r>
      <w:r w:rsidR="00B51F0F">
        <w:rPr>
          <w:b/>
          <w:color w:val="003B79"/>
          <w:lang w:val="it-IT"/>
        </w:rPr>
        <w:t>+0,4%</w:t>
      </w:r>
      <w:r>
        <w:rPr>
          <w:b/>
          <w:color w:val="003B79"/>
          <w:lang w:val="it-IT"/>
        </w:rPr>
        <w:t>).</w:t>
      </w:r>
    </w:p>
    <w:p w:rsidR="00D177EF" w:rsidRDefault="00D177EF" w:rsidP="00B51F0F">
      <w:pPr>
        <w:spacing w:after="0"/>
        <w:rPr>
          <w:b/>
          <w:color w:val="003B79"/>
          <w:sz w:val="20"/>
          <w:lang w:val="it-IT"/>
        </w:rPr>
      </w:pPr>
    </w:p>
    <w:p w:rsidR="008D494D" w:rsidRPr="0052595A" w:rsidRDefault="002D5AD7" w:rsidP="009162F4">
      <w:pPr>
        <w:spacing w:after="0" w:line="240" w:lineRule="auto"/>
        <w:jc w:val="center"/>
        <w:rPr>
          <w:b/>
          <w:color w:val="003B79"/>
          <w:sz w:val="20"/>
          <w:lang w:val="it-IT"/>
        </w:rPr>
      </w:pPr>
      <w:r w:rsidRPr="0052595A">
        <w:rPr>
          <w:b/>
          <w:color w:val="003B79"/>
          <w:sz w:val="20"/>
          <w:lang w:val="it-IT"/>
        </w:rPr>
        <w:t>Prosegue</w:t>
      </w:r>
      <w:r w:rsidR="003B47E5">
        <w:rPr>
          <w:b/>
          <w:color w:val="003B79"/>
          <w:sz w:val="20"/>
          <w:lang w:val="it-IT"/>
        </w:rPr>
        <w:t xml:space="preserve"> </w:t>
      </w:r>
      <w:r w:rsidRPr="0052595A">
        <w:rPr>
          <w:b/>
          <w:color w:val="003B79"/>
          <w:sz w:val="20"/>
          <w:lang w:val="it-IT"/>
        </w:rPr>
        <w:t xml:space="preserve">la ripresa </w:t>
      </w:r>
      <w:r w:rsidR="008D494D" w:rsidRPr="0052595A">
        <w:rPr>
          <w:b/>
          <w:color w:val="003B79"/>
          <w:sz w:val="20"/>
          <w:lang w:val="it-IT"/>
        </w:rPr>
        <w:t>dell’importo medio</w:t>
      </w:r>
      <w:r w:rsidR="00E431E0">
        <w:rPr>
          <w:b/>
          <w:color w:val="003B79"/>
          <w:sz w:val="20"/>
          <w:lang w:val="it-IT"/>
        </w:rPr>
        <w:t xml:space="preserve"> richiesto</w:t>
      </w:r>
      <w:r w:rsidR="00450F9F">
        <w:rPr>
          <w:b/>
          <w:color w:val="003B79"/>
          <w:sz w:val="20"/>
          <w:lang w:val="it-IT"/>
        </w:rPr>
        <w:t>,</w:t>
      </w:r>
      <w:r w:rsidR="009A6E7E">
        <w:rPr>
          <w:b/>
          <w:color w:val="003B79"/>
          <w:sz w:val="20"/>
          <w:lang w:val="it-IT"/>
        </w:rPr>
        <w:t xml:space="preserve"> che </w:t>
      </w:r>
      <w:r w:rsidRPr="0052595A">
        <w:rPr>
          <w:b/>
          <w:color w:val="003B79"/>
          <w:sz w:val="20"/>
          <w:lang w:val="it-IT"/>
        </w:rPr>
        <w:t xml:space="preserve">a marzo </w:t>
      </w:r>
      <w:r w:rsidR="00D618BC" w:rsidRPr="0052595A">
        <w:rPr>
          <w:b/>
          <w:color w:val="003B79"/>
          <w:sz w:val="20"/>
          <w:lang w:val="it-IT"/>
        </w:rPr>
        <w:t>si è attestato</w:t>
      </w:r>
      <w:r w:rsidR="008D494D" w:rsidRPr="0052595A">
        <w:rPr>
          <w:b/>
          <w:color w:val="003B79"/>
          <w:sz w:val="20"/>
          <w:lang w:val="it-IT"/>
        </w:rPr>
        <w:t xml:space="preserve"> a 12</w:t>
      </w:r>
      <w:r w:rsidRPr="0052595A">
        <w:rPr>
          <w:b/>
          <w:color w:val="003B79"/>
          <w:sz w:val="20"/>
          <w:lang w:val="it-IT"/>
        </w:rPr>
        <w:t>5.576 E</w:t>
      </w:r>
      <w:r w:rsidR="008D494D" w:rsidRPr="0052595A">
        <w:rPr>
          <w:b/>
          <w:color w:val="003B79"/>
          <w:sz w:val="20"/>
          <w:lang w:val="it-IT"/>
        </w:rPr>
        <w:t>uro</w:t>
      </w:r>
    </w:p>
    <w:p w:rsidR="005569B5" w:rsidRDefault="008D494D" w:rsidP="00D275C2">
      <w:pPr>
        <w:spacing w:after="0" w:line="240" w:lineRule="auto"/>
        <w:jc w:val="center"/>
        <w:rPr>
          <w:b/>
          <w:bCs/>
          <w:iCs/>
          <w:color w:val="003B79"/>
          <w:sz w:val="20"/>
          <w:lang w:val="it-IT"/>
        </w:rPr>
      </w:pPr>
      <w:r w:rsidRPr="0052595A">
        <w:rPr>
          <w:b/>
          <w:bCs/>
          <w:iCs/>
          <w:color w:val="003B79"/>
          <w:sz w:val="20"/>
          <w:lang w:val="it-IT"/>
        </w:rPr>
        <w:t xml:space="preserve">Le </w:t>
      </w:r>
      <w:r w:rsidR="00027D8F" w:rsidRPr="0052595A">
        <w:rPr>
          <w:b/>
          <w:bCs/>
          <w:iCs/>
          <w:color w:val="003B79"/>
          <w:sz w:val="20"/>
          <w:lang w:val="it-IT"/>
        </w:rPr>
        <w:t>evidenze dell’analisi del patrimonio informativo di EURISC – Il Sistema di Informazioni Creditizie di CRIF</w:t>
      </w:r>
    </w:p>
    <w:p w:rsidR="0019483E" w:rsidRDefault="0019483E" w:rsidP="00D275C2">
      <w:pPr>
        <w:spacing w:after="0" w:line="240" w:lineRule="auto"/>
        <w:jc w:val="center"/>
        <w:rPr>
          <w:b/>
          <w:bCs/>
          <w:iCs/>
          <w:color w:val="003B79"/>
          <w:sz w:val="20"/>
          <w:lang w:val="it-IT"/>
        </w:rPr>
      </w:pPr>
    </w:p>
    <w:p w:rsidR="00D275C2" w:rsidRPr="00D275C2" w:rsidRDefault="00D275C2" w:rsidP="0019483E">
      <w:pPr>
        <w:spacing w:after="0" w:line="240" w:lineRule="auto"/>
        <w:rPr>
          <w:b/>
          <w:bCs/>
          <w:iCs/>
          <w:color w:val="003B79"/>
          <w:sz w:val="20"/>
          <w:lang w:val="it-IT"/>
        </w:rPr>
      </w:pPr>
    </w:p>
    <w:p w:rsidR="00E66C25" w:rsidRDefault="00160603" w:rsidP="00F04542">
      <w:pPr>
        <w:pStyle w:val="CRIFBodyText"/>
        <w:spacing w:after="0"/>
        <w:rPr>
          <w:szCs w:val="20"/>
          <w:lang w:val="it-IT"/>
        </w:rPr>
      </w:pPr>
      <w:r w:rsidRPr="00881CD9">
        <w:rPr>
          <w:i/>
          <w:lang w:val="it-IT"/>
        </w:rPr>
        <w:t xml:space="preserve">Bologna, </w:t>
      </w:r>
      <w:r w:rsidR="00E431E0">
        <w:rPr>
          <w:i/>
          <w:lang w:val="it-IT"/>
        </w:rPr>
        <w:t xml:space="preserve">7 </w:t>
      </w:r>
      <w:r w:rsidR="001216ED">
        <w:rPr>
          <w:i/>
          <w:lang w:val="it-IT"/>
        </w:rPr>
        <w:t>aprile</w:t>
      </w:r>
      <w:r w:rsidRPr="00881CD9">
        <w:rPr>
          <w:i/>
          <w:lang w:val="it-IT"/>
        </w:rPr>
        <w:t xml:space="preserve"> 201</w:t>
      </w:r>
      <w:r w:rsidR="00AC72E0" w:rsidRPr="00881CD9">
        <w:rPr>
          <w:i/>
          <w:lang w:val="it-IT"/>
        </w:rPr>
        <w:t>7</w:t>
      </w:r>
      <w:r w:rsidRPr="00160603">
        <w:rPr>
          <w:lang w:val="it-IT"/>
        </w:rPr>
        <w:t xml:space="preserve"> –</w:t>
      </w:r>
      <w:r w:rsidR="006938C8">
        <w:rPr>
          <w:lang w:val="it-IT"/>
        </w:rPr>
        <w:t xml:space="preserve"> </w:t>
      </w:r>
      <w:r w:rsidR="001216ED">
        <w:rPr>
          <w:lang w:val="it-IT"/>
        </w:rPr>
        <w:t>Il primo trimestre 2017</w:t>
      </w:r>
      <w:r w:rsidR="00937238">
        <w:rPr>
          <w:lang w:val="it-IT"/>
        </w:rPr>
        <w:t xml:space="preserve"> si chiude </w:t>
      </w:r>
      <w:r w:rsidR="00E66C25">
        <w:rPr>
          <w:lang w:val="it-IT"/>
        </w:rPr>
        <w:t>con una crescita pressoché piatta delle interrogazioni</w:t>
      </w:r>
      <w:r w:rsidR="00E66C25" w:rsidDel="00E66C25">
        <w:rPr>
          <w:lang w:val="it-IT"/>
        </w:rPr>
        <w:t xml:space="preserve"> </w:t>
      </w:r>
      <w:r w:rsidR="006938C8">
        <w:rPr>
          <w:lang w:val="it-IT"/>
        </w:rPr>
        <w:t>sul Sistema di Informazioni Creditizie di CRIF relative a</w:t>
      </w:r>
      <w:r w:rsidR="00E66C25">
        <w:rPr>
          <w:lang w:val="it-IT"/>
        </w:rPr>
        <w:t>lla</w:t>
      </w:r>
      <w:r w:rsidR="006938C8">
        <w:rPr>
          <w:lang w:val="it-IT"/>
        </w:rPr>
        <w:t xml:space="preserve"> richiest</w:t>
      </w:r>
      <w:r w:rsidR="00E66C25">
        <w:rPr>
          <w:lang w:val="it-IT"/>
        </w:rPr>
        <w:t>a</w:t>
      </w:r>
      <w:r w:rsidR="006938C8">
        <w:rPr>
          <w:lang w:val="it-IT"/>
        </w:rPr>
        <w:t xml:space="preserve"> di nuovi mutui e surroghe </w:t>
      </w:r>
      <w:r w:rsidR="00C67459">
        <w:rPr>
          <w:szCs w:val="20"/>
          <w:lang w:val="it-IT"/>
        </w:rPr>
        <w:t>(</w:t>
      </w:r>
      <w:r w:rsidR="006938C8" w:rsidRPr="00E07F8C">
        <w:rPr>
          <w:szCs w:val="20"/>
          <w:lang w:val="it-IT"/>
        </w:rPr>
        <w:t xml:space="preserve">vere </w:t>
      </w:r>
      <w:r w:rsidR="00C67459">
        <w:rPr>
          <w:szCs w:val="20"/>
          <w:lang w:val="it-IT"/>
        </w:rPr>
        <w:t xml:space="preserve">e proprie istruttorie </w:t>
      </w:r>
      <w:r w:rsidR="006938C8" w:rsidRPr="005569B5">
        <w:rPr>
          <w:szCs w:val="20"/>
          <w:lang w:val="it-IT"/>
        </w:rPr>
        <w:t>for</w:t>
      </w:r>
      <w:r w:rsidR="00E604FC">
        <w:rPr>
          <w:szCs w:val="20"/>
          <w:lang w:val="it-IT"/>
        </w:rPr>
        <w:t>m</w:t>
      </w:r>
      <w:r w:rsidR="006938C8" w:rsidRPr="005569B5">
        <w:rPr>
          <w:szCs w:val="20"/>
          <w:lang w:val="it-IT"/>
        </w:rPr>
        <w:t>ali, non semplici richieste di informazioni o preventivi online</w:t>
      </w:r>
      <w:r w:rsidR="00C67459">
        <w:rPr>
          <w:szCs w:val="20"/>
          <w:lang w:val="it-IT"/>
        </w:rPr>
        <w:t>)</w:t>
      </w:r>
      <w:r w:rsidR="006938C8" w:rsidRPr="005569B5">
        <w:rPr>
          <w:szCs w:val="20"/>
          <w:lang w:val="it-IT"/>
        </w:rPr>
        <w:t xml:space="preserve"> da parte d</w:t>
      </w:r>
      <w:r w:rsidR="00A86E85">
        <w:rPr>
          <w:szCs w:val="20"/>
          <w:lang w:val="it-IT"/>
        </w:rPr>
        <w:t>elle</w:t>
      </w:r>
      <w:r w:rsidR="006938C8" w:rsidRPr="005569B5">
        <w:rPr>
          <w:szCs w:val="20"/>
          <w:lang w:val="it-IT"/>
        </w:rPr>
        <w:t xml:space="preserve"> famiglie italiane</w:t>
      </w:r>
      <w:r w:rsidR="00E66C25">
        <w:rPr>
          <w:szCs w:val="20"/>
          <w:lang w:val="it-IT"/>
        </w:rPr>
        <w:t>. Nello specifico</w:t>
      </w:r>
      <w:r w:rsidR="00E604FC">
        <w:rPr>
          <w:szCs w:val="20"/>
          <w:lang w:val="it-IT"/>
        </w:rPr>
        <w:t>,</w:t>
      </w:r>
      <w:r w:rsidR="00E66C25">
        <w:rPr>
          <w:szCs w:val="20"/>
          <w:lang w:val="it-IT"/>
        </w:rPr>
        <w:t xml:space="preserve"> i primi tre mesi del 2017 hanno fatto </w:t>
      </w:r>
      <w:r w:rsidR="004F04EA">
        <w:rPr>
          <w:szCs w:val="20"/>
          <w:lang w:val="it-IT"/>
        </w:rPr>
        <w:t>registrare</w:t>
      </w:r>
      <w:r w:rsidR="00E66C25">
        <w:rPr>
          <w:szCs w:val="20"/>
          <w:lang w:val="it-IT"/>
        </w:rPr>
        <w:t xml:space="preserve"> un</w:t>
      </w:r>
      <w:r w:rsidR="004F04EA">
        <w:rPr>
          <w:szCs w:val="20"/>
          <w:lang w:val="it-IT"/>
        </w:rPr>
        <w:t xml:space="preserve"> incremento del</w:t>
      </w:r>
      <w:r w:rsidR="00E66C25">
        <w:rPr>
          <w:szCs w:val="20"/>
          <w:lang w:val="it-IT"/>
        </w:rPr>
        <w:t xml:space="preserve"> </w:t>
      </w:r>
      <w:r w:rsidR="00937238" w:rsidRPr="00206FD9">
        <w:rPr>
          <w:b/>
          <w:szCs w:val="20"/>
          <w:lang w:val="it-IT"/>
        </w:rPr>
        <w:t>+0,4</w:t>
      </w:r>
      <w:r w:rsidR="00E33AAE" w:rsidRPr="00206FD9">
        <w:rPr>
          <w:b/>
          <w:szCs w:val="20"/>
          <w:lang w:val="it-IT"/>
        </w:rPr>
        <w:t xml:space="preserve">% </w:t>
      </w:r>
      <w:r w:rsidR="00E33AAE" w:rsidRPr="00206FD9">
        <w:rPr>
          <w:szCs w:val="20"/>
          <w:lang w:val="it-IT"/>
        </w:rPr>
        <w:t xml:space="preserve">rispetto </w:t>
      </w:r>
      <w:r w:rsidR="00E66C25" w:rsidRPr="00206FD9">
        <w:rPr>
          <w:szCs w:val="20"/>
          <w:lang w:val="it-IT"/>
        </w:rPr>
        <w:t>al pari periodo del</w:t>
      </w:r>
      <w:r w:rsidR="00280575" w:rsidRPr="00206FD9">
        <w:rPr>
          <w:szCs w:val="20"/>
          <w:lang w:val="it-IT"/>
        </w:rPr>
        <w:t xml:space="preserve"> 2016</w:t>
      </w:r>
      <w:r w:rsidR="00E33AAE" w:rsidRPr="00A079C9">
        <w:rPr>
          <w:szCs w:val="20"/>
          <w:lang w:val="it-IT"/>
        </w:rPr>
        <w:t xml:space="preserve">. </w:t>
      </w:r>
    </w:p>
    <w:p w:rsidR="0019483E" w:rsidRDefault="00873B97" w:rsidP="00F04542">
      <w:pPr>
        <w:pStyle w:val="CRIFBodyText"/>
        <w:spacing w:after="0"/>
        <w:rPr>
          <w:szCs w:val="20"/>
          <w:lang w:val="it-IT"/>
        </w:rPr>
      </w:pPr>
      <w:r>
        <w:rPr>
          <w:szCs w:val="20"/>
          <w:lang w:val="it-IT"/>
        </w:rPr>
        <w:t xml:space="preserve">Relativamente al mese di marzo appena concluso, </w:t>
      </w:r>
      <w:r w:rsidRPr="00A079C9">
        <w:rPr>
          <w:szCs w:val="20"/>
          <w:lang w:val="it-IT"/>
        </w:rPr>
        <w:t xml:space="preserve">dopo </w:t>
      </w:r>
      <w:r w:rsidR="00937238">
        <w:rPr>
          <w:szCs w:val="20"/>
          <w:lang w:val="it-IT"/>
        </w:rPr>
        <w:t xml:space="preserve">il </w:t>
      </w:r>
      <w:r w:rsidR="00754373">
        <w:rPr>
          <w:szCs w:val="20"/>
          <w:lang w:val="it-IT"/>
        </w:rPr>
        <w:t xml:space="preserve">momentaneo </w:t>
      </w:r>
      <w:r w:rsidR="00937238">
        <w:rPr>
          <w:szCs w:val="20"/>
          <w:lang w:val="it-IT"/>
        </w:rPr>
        <w:t>calo di febbraio</w:t>
      </w:r>
      <w:r w:rsidR="00E604FC">
        <w:rPr>
          <w:szCs w:val="20"/>
          <w:lang w:val="it-IT"/>
        </w:rPr>
        <w:t>,</w:t>
      </w:r>
      <w:r w:rsidR="00937238">
        <w:rPr>
          <w:szCs w:val="20"/>
          <w:lang w:val="it-IT"/>
        </w:rPr>
        <w:t xml:space="preserve"> </w:t>
      </w:r>
      <w:r w:rsidR="00E66C25">
        <w:rPr>
          <w:szCs w:val="20"/>
          <w:lang w:val="it-IT"/>
        </w:rPr>
        <w:t>ri</w:t>
      </w:r>
      <w:r w:rsidR="00206FD9">
        <w:rPr>
          <w:szCs w:val="20"/>
          <w:lang w:val="it-IT"/>
        </w:rPr>
        <w:t xml:space="preserve">prende </w:t>
      </w:r>
      <w:r w:rsidR="00937238">
        <w:rPr>
          <w:szCs w:val="20"/>
          <w:lang w:val="it-IT"/>
        </w:rPr>
        <w:t>il trend di crescita del comparto</w:t>
      </w:r>
      <w:r w:rsidR="006A01B5">
        <w:rPr>
          <w:szCs w:val="20"/>
          <w:lang w:val="it-IT"/>
        </w:rPr>
        <w:t xml:space="preserve"> con un incremento del</w:t>
      </w:r>
      <w:r w:rsidR="00E431E0">
        <w:rPr>
          <w:szCs w:val="20"/>
          <w:lang w:val="it-IT"/>
        </w:rPr>
        <w:t xml:space="preserve"> </w:t>
      </w:r>
      <w:r w:rsidR="006A01B5">
        <w:rPr>
          <w:szCs w:val="20"/>
          <w:lang w:val="it-IT"/>
        </w:rPr>
        <w:t>+</w:t>
      </w:r>
      <w:r w:rsidR="006A01B5" w:rsidRPr="006A01B5">
        <w:rPr>
          <w:szCs w:val="20"/>
          <w:lang w:val="it-IT"/>
        </w:rPr>
        <w:t>1,</w:t>
      </w:r>
      <w:r w:rsidR="00E431E0">
        <w:rPr>
          <w:szCs w:val="20"/>
          <w:lang w:val="it-IT"/>
        </w:rPr>
        <w:t>7</w:t>
      </w:r>
      <w:r w:rsidR="00533957">
        <w:rPr>
          <w:szCs w:val="20"/>
          <w:lang w:val="it-IT"/>
        </w:rPr>
        <w:t>%</w:t>
      </w:r>
      <w:bookmarkStart w:id="1" w:name="_GoBack"/>
      <w:bookmarkEnd w:id="1"/>
      <w:r w:rsidR="006A01B5">
        <w:rPr>
          <w:szCs w:val="20"/>
          <w:lang w:val="it-IT"/>
        </w:rPr>
        <w:t xml:space="preserve">: </w:t>
      </w:r>
      <w:r w:rsidR="001A6B73" w:rsidRPr="00A079C9">
        <w:rPr>
          <w:szCs w:val="20"/>
          <w:lang w:val="it-IT"/>
        </w:rPr>
        <w:t>in valori assoluti la</w:t>
      </w:r>
      <w:r w:rsidR="00754373">
        <w:rPr>
          <w:szCs w:val="20"/>
          <w:lang w:val="it-IT"/>
        </w:rPr>
        <w:t xml:space="preserve"> performance </w:t>
      </w:r>
      <w:r>
        <w:rPr>
          <w:szCs w:val="20"/>
          <w:lang w:val="it-IT"/>
        </w:rPr>
        <w:t>ritorna ad assestarsi su</w:t>
      </w:r>
      <w:r w:rsidR="00754373">
        <w:rPr>
          <w:szCs w:val="20"/>
          <w:lang w:val="it-IT"/>
        </w:rPr>
        <w:t>i volumi del 2010</w:t>
      </w:r>
      <w:r w:rsidR="00F04542">
        <w:rPr>
          <w:szCs w:val="20"/>
          <w:lang w:val="it-IT"/>
        </w:rPr>
        <w:t xml:space="preserve">, prima del </w:t>
      </w:r>
      <w:r w:rsidR="008E0FB1">
        <w:rPr>
          <w:szCs w:val="20"/>
          <w:lang w:val="it-IT"/>
        </w:rPr>
        <w:t>crollo verificatosi</w:t>
      </w:r>
      <w:r w:rsidR="00F04542">
        <w:rPr>
          <w:szCs w:val="20"/>
          <w:lang w:val="it-IT"/>
        </w:rPr>
        <w:t xml:space="preserve"> negli anni successivi</w:t>
      </w:r>
      <w:r w:rsidR="00BF79FC" w:rsidRPr="00A079C9">
        <w:rPr>
          <w:szCs w:val="20"/>
          <w:lang w:val="it-IT"/>
        </w:rPr>
        <w:t>.</w:t>
      </w:r>
    </w:p>
    <w:p w:rsidR="001D5789" w:rsidRPr="00C67459" w:rsidRDefault="005569B5" w:rsidP="008E0F22">
      <w:pPr>
        <w:pStyle w:val="CRIFBodyText"/>
        <w:rPr>
          <w:szCs w:val="20"/>
          <w:lang w:val="it-IT"/>
        </w:rPr>
      </w:pPr>
      <w:r w:rsidRPr="005569B5">
        <w:rPr>
          <w:szCs w:val="20"/>
          <w:lang w:val="it-IT"/>
        </w:rPr>
        <w:t>Di seguito sono riportate in tabella</w:t>
      </w:r>
      <w:r>
        <w:rPr>
          <w:szCs w:val="20"/>
          <w:lang w:val="it-IT"/>
        </w:rPr>
        <w:t xml:space="preserve"> e</w:t>
      </w:r>
      <w:r w:rsidRPr="005569B5">
        <w:rPr>
          <w:szCs w:val="20"/>
          <w:lang w:val="it-IT"/>
        </w:rPr>
        <w:t xml:space="preserve"> in forma grafica le variazioni percentuali mensil</w:t>
      </w:r>
      <w:r w:rsidR="00E864D8">
        <w:rPr>
          <w:szCs w:val="20"/>
          <w:lang w:val="it-IT"/>
        </w:rPr>
        <w:t xml:space="preserve">i </w:t>
      </w:r>
      <w:r w:rsidRPr="005569B5">
        <w:rPr>
          <w:szCs w:val="20"/>
          <w:lang w:val="it-IT"/>
        </w:rPr>
        <w:t>in valori ponderati</w:t>
      </w:r>
      <w:r w:rsidRPr="00411645">
        <w:rPr>
          <w:szCs w:val="20"/>
          <w:lang w:val="it-IT"/>
        </w:rPr>
        <w:t>, cioè al netto dell’effetto prodotto dal differente nu</w:t>
      </w:r>
      <w:r w:rsidR="000C2969">
        <w:rPr>
          <w:szCs w:val="20"/>
          <w:lang w:val="it-IT"/>
        </w:rPr>
        <w:t>mero di giorni lavorativi, su EURISC, il sistema di informazioni creditizie</w:t>
      </w:r>
      <w:r w:rsidRPr="00411645">
        <w:rPr>
          <w:szCs w:val="20"/>
          <w:lang w:val="it-IT"/>
        </w:rPr>
        <w:t xml:space="preserve"> </w:t>
      </w:r>
      <w:r w:rsidR="000C2969">
        <w:rPr>
          <w:szCs w:val="20"/>
          <w:lang w:val="it-IT"/>
        </w:rPr>
        <w:t>gestito da CRIF</w:t>
      </w:r>
      <w:r w:rsidRPr="00411645">
        <w:rPr>
          <w:szCs w:val="20"/>
          <w:lang w:val="it-IT"/>
        </w:rPr>
        <w:t>,</w:t>
      </w:r>
      <w:r w:rsidRPr="005569B5">
        <w:rPr>
          <w:szCs w:val="20"/>
          <w:lang w:val="it-IT"/>
        </w:rPr>
        <w:t xml:space="preserve"> che raccoglie i dati relativi ad oltre </w:t>
      </w:r>
      <w:r w:rsidR="0060319F" w:rsidRPr="005569B5">
        <w:rPr>
          <w:szCs w:val="20"/>
          <w:lang w:val="it-IT"/>
        </w:rPr>
        <w:t>8</w:t>
      </w:r>
      <w:r w:rsidR="0060319F">
        <w:rPr>
          <w:szCs w:val="20"/>
          <w:lang w:val="it-IT"/>
        </w:rPr>
        <w:t>1</w:t>
      </w:r>
      <w:r w:rsidR="0060319F" w:rsidRPr="005569B5">
        <w:rPr>
          <w:szCs w:val="20"/>
          <w:lang w:val="it-IT"/>
        </w:rPr>
        <w:t xml:space="preserve"> </w:t>
      </w:r>
      <w:r w:rsidRPr="005569B5">
        <w:rPr>
          <w:szCs w:val="20"/>
          <w:lang w:val="it-IT"/>
        </w:rPr>
        <w:t xml:space="preserve">milioni di posizioni creditizie. </w:t>
      </w:r>
    </w:p>
    <w:p w:rsidR="00295339" w:rsidRDefault="00295339" w:rsidP="000C2969">
      <w:pPr>
        <w:pStyle w:val="CRIFTitle2"/>
        <w:spacing w:after="0" w:line="276" w:lineRule="auto"/>
        <w:jc w:val="center"/>
      </w:pPr>
      <w:r>
        <w:t>Variazione del numero di interrogazioni relative all</w:t>
      </w:r>
      <w:r w:rsidR="00165585">
        <w:t>e richieste di nuovi mutui</w:t>
      </w:r>
      <w:r>
        <w:t xml:space="preserve"> sul mese/anno corrispondente (a parità di giorni lavorativi)</w:t>
      </w:r>
    </w:p>
    <w:tbl>
      <w:tblPr>
        <w:tblStyle w:val="Tabellagriglia5scura-colore21"/>
        <w:tblW w:w="0" w:type="auto"/>
        <w:jc w:val="center"/>
        <w:tblLook w:val="0420"/>
      </w:tblPr>
      <w:tblGrid>
        <w:gridCol w:w="2191"/>
        <w:gridCol w:w="2995"/>
      </w:tblGrid>
      <w:tr w:rsidR="008473B7" w:rsidRPr="0010164A" w:rsidTr="00EB3462">
        <w:trPr>
          <w:cnfStyle w:val="100000000000"/>
          <w:trHeight w:val="261"/>
          <w:jc w:val="center"/>
        </w:trPr>
        <w:tc>
          <w:tcPr>
            <w:tcW w:w="2191" w:type="dxa"/>
            <w:vAlign w:val="center"/>
          </w:tcPr>
          <w:p w:rsidR="008473B7" w:rsidRPr="00E53241" w:rsidRDefault="00D005E2" w:rsidP="00EB3462">
            <w:pPr>
              <w:spacing w:line="276" w:lineRule="auto"/>
              <w:rPr>
                <w:rFonts w:ascii="Verdana" w:eastAsia="Times New Roman" w:hAnsi="Verdana" w:cs="Times New Roman"/>
                <w:b w:val="0"/>
                <w:sz w:val="20"/>
                <w:lang w:val="it-IT"/>
              </w:rPr>
            </w:pPr>
            <w:r w:rsidRPr="00FF39A8">
              <w:rPr>
                <w:sz w:val="18"/>
                <w:szCs w:val="18"/>
                <w:lang w:val="it-IT"/>
              </w:rPr>
              <w:t>MUTUI E SURROGHE</w:t>
            </w:r>
          </w:p>
        </w:tc>
        <w:tc>
          <w:tcPr>
            <w:tcW w:w="2995" w:type="dxa"/>
            <w:vAlign w:val="center"/>
          </w:tcPr>
          <w:p w:rsidR="00D005E2" w:rsidRPr="00D005E2" w:rsidRDefault="00D005E2" w:rsidP="00C02CC7">
            <w:pPr>
              <w:jc w:val="center"/>
              <w:rPr>
                <w:sz w:val="18"/>
                <w:szCs w:val="18"/>
                <w:lang w:val="it-IT"/>
              </w:rPr>
            </w:pPr>
            <w:r w:rsidRPr="00D005E2">
              <w:rPr>
                <w:sz w:val="18"/>
                <w:szCs w:val="18"/>
                <w:lang w:val="it-IT"/>
              </w:rPr>
              <w:t>Variazione % sul mese/anno corrispondente</w:t>
            </w:r>
          </w:p>
          <w:p w:rsidR="008473B7" w:rsidRPr="00E53241" w:rsidRDefault="00D005E2" w:rsidP="00C02CC7">
            <w:pPr>
              <w:spacing w:line="276" w:lineRule="auto"/>
              <w:jc w:val="center"/>
              <w:rPr>
                <w:rFonts w:ascii="Verdana" w:eastAsia="Times New Roman" w:hAnsi="Verdana" w:cs="Times New Roman"/>
                <w:b w:val="0"/>
                <w:sz w:val="20"/>
                <w:lang w:val="it-IT"/>
              </w:rPr>
            </w:pPr>
            <w:r w:rsidRPr="00D005E2">
              <w:rPr>
                <w:sz w:val="18"/>
                <w:szCs w:val="18"/>
                <w:lang w:val="it-IT"/>
              </w:rPr>
              <w:t>(</w:t>
            </w:r>
            <w:r w:rsidR="00C02CC7" w:rsidRPr="00D005E2">
              <w:rPr>
                <w:sz w:val="18"/>
                <w:szCs w:val="18"/>
                <w:lang w:val="it-IT"/>
              </w:rPr>
              <w:t>A</w:t>
            </w:r>
            <w:r w:rsidRPr="00D005E2">
              <w:rPr>
                <w:sz w:val="18"/>
                <w:szCs w:val="18"/>
                <w:lang w:val="it-IT"/>
              </w:rPr>
              <w:t xml:space="preserve"> parità di gg. lavorativi)</w:t>
            </w:r>
          </w:p>
        </w:tc>
      </w:tr>
      <w:tr w:rsidR="008473B7" w:rsidRPr="00631333" w:rsidTr="00EB3462">
        <w:trPr>
          <w:cnfStyle w:val="000000100000"/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2011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b/>
                <w:bCs/>
                <w:sz w:val="18"/>
                <w:szCs w:val="18"/>
              </w:rPr>
              <w:t>-19,4%</w:t>
            </w:r>
          </w:p>
        </w:tc>
      </w:tr>
      <w:tr w:rsidR="008473B7" w:rsidRPr="00631333" w:rsidTr="00EB3462">
        <w:trPr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2012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b/>
                <w:bCs/>
                <w:sz w:val="18"/>
                <w:szCs w:val="18"/>
              </w:rPr>
              <w:t>-41,8%</w:t>
            </w:r>
          </w:p>
        </w:tc>
      </w:tr>
      <w:tr w:rsidR="008473B7" w:rsidRPr="00631333" w:rsidTr="00EB3462">
        <w:trPr>
          <w:cnfStyle w:val="000000100000"/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2013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b/>
                <w:bCs/>
                <w:sz w:val="18"/>
                <w:szCs w:val="18"/>
              </w:rPr>
              <w:t>-3,6%</w:t>
            </w:r>
          </w:p>
        </w:tc>
      </w:tr>
      <w:tr w:rsidR="008473B7" w:rsidRPr="00631333" w:rsidTr="00EB3462">
        <w:trPr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2014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b/>
                <w:sz w:val="18"/>
                <w:szCs w:val="18"/>
              </w:rPr>
              <w:t>+15,0%</w:t>
            </w:r>
          </w:p>
        </w:tc>
      </w:tr>
      <w:tr w:rsidR="008473B7" w:rsidRPr="00631333" w:rsidTr="00EB3462">
        <w:trPr>
          <w:cnfStyle w:val="000000100000"/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2015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b/>
                <w:sz w:val="18"/>
                <w:szCs w:val="18"/>
              </w:rPr>
              <w:t>+53,3%</w:t>
            </w:r>
          </w:p>
        </w:tc>
      </w:tr>
      <w:tr w:rsidR="008473B7" w:rsidRPr="00631333" w:rsidTr="00EB3462">
        <w:trPr>
          <w:trHeight w:val="261"/>
          <w:jc w:val="center"/>
        </w:trPr>
        <w:tc>
          <w:tcPr>
            <w:tcW w:w="2191" w:type="dxa"/>
          </w:tcPr>
          <w:p w:rsidR="008473B7" w:rsidRPr="00C02CC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C02CC7">
              <w:rPr>
                <w:b/>
                <w:sz w:val="18"/>
                <w:szCs w:val="18"/>
              </w:rPr>
              <w:t>Totale  2016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rFonts w:ascii="Verdana" w:hAnsi="Verdana" w:cs="Times New Roman"/>
                <w:b/>
                <w:sz w:val="18"/>
                <w:szCs w:val="18"/>
              </w:rPr>
              <w:t>+13,3%</w:t>
            </w:r>
          </w:p>
        </w:tc>
      </w:tr>
      <w:tr w:rsidR="008473B7" w:rsidRPr="00631333" w:rsidTr="00EB3462">
        <w:trPr>
          <w:cnfStyle w:val="000000100000"/>
          <w:trHeight w:val="261"/>
          <w:jc w:val="center"/>
        </w:trPr>
        <w:tc>
          <w:tcPr>
            <w:tcW w:w="2191" w:type="dxa"/>
          </w:tcPr>
          <w:p w:rsidR="008473B7" w:rsidRPr="008473B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8473B7">
              <w:rPr>
                <w:sz w:val="18"/>
                <w:szCs w:val="18"/>
                <w:lang w:val="it-IT"/>
              </w:rPr>
              <w:t>Gennaio</w:t>
            </w:r>
            <w:r w:rsidRPr="008473B7">
              <w:rPr>
                <w:sz w:val="18"/>
                <w:szCs w:val="18"/>
              </w:rPr>
              <w:t xml:space="preserve"> 2017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FF39A8">
              <w:rPr>
                <w:sz w:val="18"/>
                <w:szCs w:val="18"/>
              </w:rPr>
              <w:t>+1,8%</w:t>
            </w:r>
          </w:p>
        </w:tc>
      </w:tr>
      <w:tr w:rsidR="008473B7" w:rsidRPr="00631333" w:rsidTr="00EB3462">
        <w:trPr>
          <w:trHeight w:val="261"/>
          <w:jc w:val="center"/>
        </w:trPr>
        <w:tc>
          <w:tcPr>
            <w:tcW w:w="2191" w:type="dxa"/>
          </w:tcPr>
          <w:p w:rsidR="008473B7" w:rsidRPr="008473B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8473B7">
              <w:rPr>
                <w:sz w:val="18"/>
                <w:szCs w:val="18"/>
              </w:rPr>
              <w:t>Febbraio 2017</w:t>
            </w:r>
          </w:p>
        </w:tc>
        <w:tc>
          <w:tcPr>
            <w:tcW w:w="2995" w:type="dxa"/>
          </w:tcPr>
          <w:p w:rsidR="008473B7" w:rsidRPr="00E53241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lang w:val="it-IT"/>
              </w:rPr>
            </w:pPr>
            <w:r w:rsidRPr="00FF39A8">
              <w:rPr>
                <w:sz w:val="18"/>
                <w:szCs w:val="18"/>
              </w:rPr>
              <w:t>-1,6%</w:t>
            </w:r>
          </w:p>
        </w:tc>
      </w:tr>
      <w:tr w:rsidR="008473B7" w:rsidRPr="00631333" w:rsidTr="00EB3462">
        <w:trPr>
          <w:cnfStyle w:val="000000100000"/>
          <w:trHeight w:val="261"/>
          <w:jc w:val="center"/>
        </w:trPr>
        <w:tc>
          <w:tcPr>
            <w:tcW w:w="2191" w:type="dxa"/>
          </w:tcPr>
          <w:p w:rsidR="008473B7" w:rsidRPr="008473B7" w:rsidRDefault="008473B7" w:rsidP="0084325B">
            <w:pPr>
              <w:spacing w:line="276" w:lineRule="auto"/>
              <w:rPr>
                <w:rFonts w:ascii="Verdana" w:eastAsia="Times New Roman" w:hAnsi="Verdana" w:cs="Times New Roman"/>
                <w:b/>
                <w:sz w:val="20"/>
                <w:lang w:val="it-IT"/>
              </w:rPr>
            </w:pPr>
            <w:r w:rsidRPr="008473B7">
              <w:rPr>
                <w:sz w:val="18"/>
                <w:szCs w:val="18"/>
              </w:rPr>
              <w:t>Marzo 2017</w:t>
            </w:r>
          </w:p>
        </w:tc>
        <w:tc>
          <w:tcPr>
            <w:tcW w:w="2995" w:type="dxa"/>
          </w:tcPr>
          <w:p w:rsidR="008473B7" w:rsidRPr="008473B7" w:rsidRDefault="008473B7" w:rsidP="0084325B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lang w:val="it-IT"/>
              </w:rPr>
            </w:pPr>
            <w:r w:rsidRPr="008473B7">
              <w:rPr>
                <w:bCs/>
                <w:sz w:val="18"/>
                <w:szCs w:val="18"/>
              </w:rPr>
              <w:t>+</w:t>
            </w:r>
            <w:r>
              <w:rPr>
                <w:bCs/>
                <w:sz w:val="18"/>
                <w:szCs w:val="18"/>
              </w:rPr>
              <w:t>1,7</w:t>
            </w:r>
            <w:r w:rsidRPr="008473B7">
              <w:rPr>
                <w:bCs/>
                <w:sz w:val="18"/>
                <w:szCs w:val="18"/>
              </w:rPr>
              <w:t>%</w:t>
            </w:r>
          </w:p>
        </w:tc>
      </w:tr>
    </w:tbl>
    <w:p w:rsidR="00E604FC" w:rsidRDefault="00E604FC" w:rsidP="009162F4">
      <w:pPr>
        <w:pStyle w:val="CRIFCaption"/>
        <w:spacing w:after="0" w:line="276" w:lineRule="auto"/>
        <w:rPr>
          <w:lang w:val="it-IT"/>
        </w:rPr>
      </w:pPr>
    </w:p>
    <w:p w:rsidR="00BD0129" w:rsidRPr="00586938" w:rsidRDefault="00295339" w:rsidP="00C02CC7">
      <w:pPr>
        <w:pStyle w:val="CRIFCaption"/>
        <w:spacing w:after="0" w:line="276" w:lineRule="auto"/>
        <w:jc w:val="center"/>
        <w:rPr>
          <w:lang w:val="it-IT"/>
        </w:rPr>
      </w:pPr>
      <w:r w:rsidRPr="0019483E">
        <w:rPr>
          <w:lang w:val="it-IT"/>
        </w:rPr>
        <w:lastRenderedPageBreak/>
        <w:t>Fonte: EURISC – Il Sistema CRIF di Informazioni Creditizie</w:t>
      </w:r>
    </w:p>
    <w:p w:rsidR="004D2419" w:rsidRDefault="004D2419" w:rsidP="004E4D76">
      <w:pPr>
        <w:pStyle w:val="CRIFTitle2"/>
        <w:spacing w:after="0" w:line="240" w:lineRule="auto"/>
        <w:jc w:val="center"/>
      </w:pPr>
    </w:p>
    <w:p w:rsidR="00160603" w:rsidRDefault="004E1B24" w:rsidP="004E4D76">
      <w:pPr>
        <w:pStyle w:val="CRIFTitle2"/>
        <w:spacing w:after="0" w:line="240" w:lineRule="auto"/>
        <w:jc w:val="center"/>
        <w:rPr>
          <w:b w:val="0"/>
          <w:bCs/>
          <w:sz w:val="16"/>
          <w:szCs w:val="16"/>
        </w:rPr>
      </w:pPr>
      <w:r>
        <w:t xml:space="preserve">Andamento del numero di interrogazioni relative </w:t>
      </w:r>
      <w:r w:rsidR="00BD0129">
        <w:t xml:space="preserve">alle richieste di nuovi mutui e </w:t>
      </w:r>
      <w:r>
        <w:t>surroghe ponderato a parità di giorni lavorativi</w:t>
      </w:r>
    </w:p>
    <w:p w:rsidR="004E1B24" w:rsidRPr="00160603" w:rsidRDefault="004E1B24" w:rsidP="004E4D76">
      <w:pPr>
        <w:spacing w:after="0" w:line="240" w:lineRule="auto"/>
        <w:jc w:val="center"/>
        <w:rPr>
          <w:b/>
          <w:bCs/>
          <w:sz w:val="16"/>
          <w:szCs w:val="16"/>
          <w:lang w:val="it-IT"/>
        </w:rPr>
      </w:pPr>
    </w:p>
    <w:p w:rsidR="00160603" w:rsidRPr="004E1B24" w:rsidRDefault="00BD0129" w:rsidP="004E1B24">
      <w:pPr>
        <w:spacing w:after="0" w:line="240" w:lineRule="auto"/>
        <w:rPr>
          <w:b/>
          <w:bCs/>
          <w:sz w:val="16"/>
          <w:szCs w:val="16"/>
          <w:lang w:val="it-IT"/>
        </w:rPr>
      </w:pPr>
      <w:r w:rsidRPr="00BD0129">
        <w:rPr>
          <w:noProof/>
          <w:lang w:val="it-IT" w:eastAsia="it-IT"/>
        </w:rPr>
        <w:drawing>
          <wp:inline distT="0" distB="0" distL="0" distR="0">
            <wp:extent cx="5943600" cy="222504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03" w:rsidRPr="00160603" w:rsidRDefault="00160603" w:rsidP="00C56BDE">
      <w:pPr>
        <w:pStyle w:val="CRIFCaption"/>
        <w:spacing w:after="0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4E1B24" w:rsidRDefault="004E1B24" w:rsidP="007B511D">
      <w:pPr>
        <w:pStyle w:val="CRIFBodyText"/>
        <w:rPr>
          <w:lang w:val="it-IT"/>
        </w:rPr>
      </w:pPr>
    </w:p>
    <w:p w:rsidR="00676486" w:rsidRPr="00D618BC" w:rsidRDefault="00D618BC" w:rsidP="00D618BC">
      <w:pPr>
        <w:pStyle w:val="CRIFCaption"/>
        <w:spacing w:line="360" w:lineRule="auto"/>
        <w:jc w:val="both"/>
        <w:rPr>
          <w:i w:val="0"/>
          <w:color w:val="auto"/>
          <w:sz w:val="20"/>
          <w:szCs w:val="20"/>
          <w:lang w:val="it-IT"/>
        </w:rPr>
      </w:pPr>
      <w:r>
        <w:rPr>
          <w:i w:val="0"/>
          <w:color w:val="auto"/>
          <w:sz w:val="20"/>
          <w:szCs w:val="20"/>
          <w:lang w:val="it-IT"/>
        </w:rPr>
        <w:t>La</w:t>
      </w:r>
      <w:r w:rsidR="00497A8A">
        <w:rPr>
          <w:i w:val="0"/>
          <w:color w:val="auto"/>
          <w:sz w:val="20"/>
          <w:szCs w:val="20"/>
          <w:lang w:val="it-IT"/>
        </w:rPr>
        <w:t xml:space="preserve"> tabella</w:t>
      </w:r>
      <w:r>
        <w:rPr>
          <w:i w:val="0"/>
          <w:color w:val="auto"/>
          <w:sz w:val="20"/>
          <w:szCs w:val="20"/>
          <w:lang w:val="it-IT"/>
        </w:rPr>
        <w:t xml:space="preserve"> seguente mostra </w:t>
      </w:r>
      <w:r w:rsidR="004420E0">
        <w:rPr>
          <w:i w:val="0"/>
          <w:color w:val="auto"/>
          <w:sz w:val="20"/>
          <w:szCs w:val="20"/>
          <w:lang w:val="it-IT"/>
        </w:rPr>
        <w:t>la performance de</w:t>
      </w:r>
      <w:r>
        <w:rPr>
          <w:i w:val="0"/>
          <w:color w:val="auto"/>
          <w:sz w:val="20"/>
          <w:szCs w:val="20"/>
          <w:lang w:val="it-IT"/>
        </w:rPr>
        <w:t>ll’aggregato de</w:t>
      </w:r>
      <w:r w:rsidR="004420E0">
        <w:rPr>
          <w:i w:val="0"/>
          <w:color w:val="auto"/>
          <w:sz w:val="20"/>
          <w:szCs w:val="20"/>
          <w:lang w:val="it-IT"/>
        </w:rPr>
        <w:t xml:space="preserve">i primi </w:t>
      </w:r>
      <w:r w:rsidR="004D2419">
        <w:rPr>
          <w:i w:val="0"/>
          <w:color w:val="auto"/>
          <w:sz w:val="20"/>
          <w:szCs w:val="20"/>
          <w:lang w:val="it-IT"/>
        </w:rPr>
        <w:t xml:space="preserve">tre </w:t>
      </w:r>
      <w:r w:rsidR="004420E0">
        <w:rPr>
          <w:i w:val="0"/>
          <w:color w:val="auto"/>
          <w:sz w:val="20"/>
          <w:szCs w:val="20"/>
          <w:lang w:val="it-IT"/>
        </w:rPr>
        <w:t xml:space="preserve">mesi del 2017 </w:t>
      </w:r>
      <w:r>
        <w:rPr>
          <w:i w:val="0"/>
          <w:color w:val="auto"/>
          <w:sz w:val="20"/>
          <w:szCs w:val="20"/>
          <w:lang w:val="it-IT"/>
        </w:rPr>
        <w:t>rispetto a</w:t>
      </w:r>
      <w:r w:rsidR="004420E0">
        <w:rPr>
          <w:i w:val="0"/>
          <w:color w:val="auto"/>
          <w:sz w:val="20"/>
          <w:szCs w:val="20"/>
          <w:lang w:val="it-IT"/>
        </w:rPr>
        <w:t>gli anni precedenti</w:t>
      </w:r>
      <w:r w:rsidR="00BD0129">
        <w:rPr>
          <w:i w:val="0"/>
          <w:color w:val="auto"/>
          <w:sz w:val="20"/>
          <w:szCs w:val="20"/>
          <w:lang w:val="it-IT"/>
        </w:rPr>
        <w:t xml:space="preserve"> e dimostra come il comparto sia </w:t>
      </w:r>
      <w:r w:rsidR="00032387">
        <w:rPr>
          <w:i w:val="0"/>
          <w:color w:val="auto"/>
          <w:sz w:val="20"/>
          <w:szCs w:val="20"/>
          <w:lang w:val="it-IT"/>
        </w:rPr>
        <w:t xml:space="preserve">cresciuto negli ultimi anni e ora si </w:t>
      </w:r>
      <w:r w:rsidR="00E431E0">
        <w:rPr>
          <w:i w:val="0"/>
          <w:color w:val="auto"/>
          <w:sz w:val="20"/>
          <w:szCs w:val="20"/>
          <w:lang w:val="it-IT"/>
        </w:rPr>
        <w:t xml:space="preserve">sia </w:t>
      </w:r>
      <w:r w:rsidR="00032387">
        <w:rPr>
          <w:i w:val="0"/>
          <w:color w:val="auto"/>
          <w:sz w:val="20"/>
          <w:szCs w:val="20"/>
          <w:lang w:val="it-IT"/>
        </w:rPr>
        <w:t>stabilizzato</w:t>
      </w:r>
      <w:r w:rsidR="004420E0">
        <w:rPr>
          <w:i w:val="0"/>
          <w:color w:val="auto"/>
          <w:sz w:val="20"/>
          <w:szCs w:val="20"/>
          <w:lang w:val="it-IT"/>
        </w:rPr>
        <w:t>.</w:t>
      </w:r>
    </w:p>
    <w:p w:rsidR="001759EE" w:rsidRDefault="00717A41" w:rsidP="001759EE">
      <w:pPr>
        <w:pStyle w:val="CRIFTitle2"/>
        <w:spacing w:after="0" w:line="240" w:lineRule="auto"/>
        <w:jc w:val="center"/>
      </w:pPr>
      <w:r>
        <w:t>Variazione del numero di interrogazioni relative ai nuovi mutui e surroghe</w:t>
      </w:r>
      <w:r w:rsidR="003919E5">
        <w:t xml:space="preserve"> </w:t>
      </w:r>
      <w:r w:rsidR="004D2419">
        <w:t xml:space="preserve">nel </w:t>
      </w:r>
      <w:r w:rsidR="00206FD9">
        <w:t>I trimestre</w:t>
      </w:r>
      <w:r w:rsidR="0073656D">
        <w:t xml:space="preserve"> </w:t>
      </w:r>
      <w:r w:rsidR="003919E5">
        <w:t xml:space="preserve">2017 </w:t>
      </w:r>
      <w:r>
        <w:t>(</w:t>
      </w:r>
      <w:r w:rsidR="001759EE">
        <w:t xml:space="preserve">dato ponderato </w:t>
      </w:r>
      <w:r>
        <w:t>a parità di giorni lavorativi)</w:t>
      </w:r>
    </w:p>
    <w:p w:rsidR="001759EE" w:rsidRDefault="001759EE" w:rsidP="00717A41">
      <w:pPr>
        <w:pStyle w:val="CRIFTitle2"/>
        <w:spacing w:after="0" w:line="240" w:lineRule="auto"/>
      </w:pPr>
    </w:p>
    <w:tbl>
      <w:tblPr>
        <w:tblStyle w:val="Grigliamedia1-Colore2"/>
        <w:tblW w:w="0" w:type="auto"/>
        <w:jc w:val="center"/>
        <w:tblLook w:val="04A0"/>
      </w:tblPr>
      <w:tblGrid>
        <w:gridCol w:w="4952"/>
        <w:gridCol w:w="2551"/>
      </w:tblGrid>
      <w:tr w:rsidR="001759EE" w:rsidRPr="00F52EE0" w:rsidTr="001759EE">
        <w:trPr>
          <w:cnfStyle w:val="100000000000"/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2016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10000000000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+0,6</w:t>
            </w:r>
            <w:r w:rsidR="001759EE" w:rsidRPr="00F52EE0">
              <w:rPr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cnfStyle w:val="000000100000"/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2015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1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+31,8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2014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0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+81,1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cnfStyle w:val="000000100000"/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2013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1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+98,6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2012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0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+77,2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cnfStyle w:val="000000100000"/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2011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1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-4,1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  <w:tr w:rsidR="001759EE" w:rsidRPr="00F52EE0" w:rsidTr="001759EE">
        <w:trPr>
          <w:jc w:val="center"/>
        </w:trPr>
        <w:tc>
          <w:tcPr>
            <w:cnfStyle w:val="001000000000"/>
            <w:tcW w:w="4952" w:type="dxa"/>
          </w:tcPr>
          <w:p w:rsidR="001759EE" w:rsidRPr="00F52EE0" w:rsidRDefault="001759EE" w:rsidP="008E0FB1">
            <w:pPr>
              <w:pStyle w:val="CRIFBodyText"/>
              <w:spacing w:line="276" w:lineRule="auto"/>
              <w:jc w:val="left"/>
              <w:rPr>
                <w:b w:val="0"/>
                <w:szCs w:val="20"/>
                <w:lang w:val="it-IT"/>
              </w:rPr>
            </w:pPr>
            <w:r w:rsidRPr="00F52EE0">
              <w:rPr>
                <w:b w:val="0"/>
                <w:szCs w:val="20"/>
                <w:lang w:val="it-IT"/>
              </w:rPr>
              <w:t xml:space="preserve">Variazione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</w:t>
            </w:r>
            <w:r w:rsidRPr="00F52EE0">
              <w:rPr>
                <w:b w:val="0"/>
                <w:szCs w:val="20"/>
                <w:lang w:val="it-IT"/>
              </w:rPr>
              <w:t xml:space="preserve"> 2017 su </w:t>
            </w:r>
            <w:r w:rsidR="008E0FB1">
              <w:rPr>
                <w:b w:val="0"/>
                <w:szCs w:val="20"/>
                <w:lang w:val="it-IT"/>
              </w:rPr>
              <w:t>I</w:t>
            </w:r>
            <w:r>
              <w:rPr>
                <w:b w:val="0"/>
                <w:szCs w:val="20"/>
                <w:lang w:val="it-IT"/>
              </w:rPr>
              <w:t xml:space="preserve"> trim 2010</w:t>
            </w:r>
          </w:p>
        </w:tc>
        <w:tc>
          <w:tcPr>
            <w:tcW w:w="2551" w:type="dxa"/>
          </w:tcPr>
          <w:p w:rsidR="001759EE" w:rsidRPr="00F52EE0" w:rsidRDefault="00A917FE" w:rsidP="009A6E7E">
            <w:pPr>
              <w:pStyle w:val="CRIFTitle2"/>
              <w:spacing w:after="0" w:line="276" w:lineRule="auto"/>
              <w:jc w:val="center"/>
              <w:cnfStyle w:val="000000000000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>-7,4</w:t>
            </w:r>
            <w:r w:rsidR="001759EE" w:rsidRPr="00F52EE0">
              <w:rPr>
                <w:b w:val="0"/>
                <w:bCs/>
                <w:color w:val="auto"/>
                <w:szCs w:val="20"/>
              </w:rPr>
              <w:t>%</w:t>
            </w:r>
          </w:p>
        </w:tc>
      </w:tr>
    </w:tbl>
    <w:p w:rsidR="00717A41" w:rsidRPr="00DF0301" w:rsidRDefault="00717A41" w:rsidP="00EB3462">
      <w:pPr>
        <w:pStyle w:val="CRIFTitle2"/>
        <w:spacing w:after="0" w:line="240" w:lineRule="auto"/>
        <w:jc w:val="center"/>
        <w:rPr>
          <w:b w:val="0"/>
          <w:i/>
          <w:color w:val="EC7D11" w:themeColor="text2"/>
        </w:rPr>
      </w:pPr>
      <w:r w:rsidRPr="00DF0301">
        <w:rPr>
          <w:b w:val="0"/>
          <w:i/>
          <w:color w:val="EC7D11" w:themeColor="text2"/>
          <w:sz w:val="18"/>
        </w:rPr>
        <w:t>Fonte: EURISC – Il Sistema CRIF di Informazioni Creditizie</w:t>
      </w:r>
    </w:p>
    <w:p w:rsidR="00AD0741" w:rsidRDefault="00AD0741" w:rsidP="008E0F22">
      <w:pPr>
        <w:pStyle w:val="CRIFTitle2"/>
      </w:pPr>
    </w:p>
    <w:p w:rsidR="00160603" w:rsidRPr="00160603" w:rsidRDefault="00160603" w:rsidP="008E0F22">
      <w:pPr>
        <w:pStyle w:val="CRIFTitle2"/>
      </w:pPr>
      <w:r w:rsidRPr="00160603">
        <w:t>L’IMPORTO MEDIO DEI MUTUI RICHIESTI</w:t>
      </w:r>
    </w:p>
    <w:p w:rsidR="00E604FC" w:rsidRDefault="00A116E5" w:rsidP="00A4473C">
      <w:pPr>
        <w:pStyle w:val="CRIFBodyText"/>
        <w:rPr>
          <w:rFonts w:eastAsia="Calibri"/>
          <w:szCs w:val="20"/>
          <w:lang w:val="it-IT"/>
        </w:rPr>
      </w:pPr>
      <w:r>
        <w:rPr>
          <w:szCs w:val="20"/>
          <w:lang w:val="it-IT"/>
        </w:rPr>
        <w:t>L</w:t>
      </w:r>
      <w:r w:rsidR="00E07F8C" w:rsidRPr="007B511D">
        <w:rPr>
          <w:szCs w:val="20"/>
          <w:lang w:val="it-IT"/>
        </w:rPr>
        <w:t>’</w:t>
      </w:r>
      <w:r w:rsidR="00E07F8C" w:rsidRPr="007B511D">
        <w:rPr>
          <w:b/>
          <w:szCs w:val="20"/>
          <w:lang w:val="it-IT"/>
        </w:rPr>
        <w:t xml:space="preserve">importo medio </w:t>
      </w:r>
      <w:r w:rsidR="00C67459" w:rsidRPr="00206FD9">
        <w:rPr>
          <w:szCs w:val="20"/>
          <w:lang w:val="it-IT"/>
        </w:rPr>
        <w:t>de</w:t>
      </w:r>
      <w:r w:rsidR="00A4473C" w:rsidRPr="00206FD9">
        <w:rPr>
          <w:szCs w:val="20"/>
          <w:lang w:val="it-IT"/>
        </w:rPr>
        <w:t>lle</w:t>
      </w:r>
      <w:r w:rsidR="00E07F8C" w:rsidRPr="00206FD9">
        <w:rPr>
          <w:szCs w:val="20"/>
          <w:lang w:val="it-IT"/>
        </w:rPr>
        <w:t xml:space="preserve"> richieste di nuovi mutui e surroghe</w:t>
      </w:r>
      <w:r w:rsidR="00E07F8C" w:rsidRPr="007B511D">
        <w:rPr>
          <w:szCs w:val="20"/>
          <w:lang w:val="it-IT"/>
        </w:rPr>
        <w:t xml:space="preserve"> interrogat</w:t>
      </w:r>
      <w:r w:rsidR="006818C4" w:rsidRPr="007B511D">
        <w:rPr>
          <w:szCs w:val="20"/>
          <w:lang w:val="it-IT"/>
        </w:rPr>
        <w:t xml:space="preserve">e </w:t>
      </w:r>
      <w:r w:rsidR="00E07F8C" w:rsidRPr="007B511D">
        <w:rPr>
          <w:szCs w:val="20"/>
          <w:lang w:val="it-IT"/>
        </w:rPr>
        <w:t xml:space="preserve">sul SIC di CRIF </w:t>
      </w:r>
      <w:r w:rsidR="006F407D" w:rsidRPr="007B511D">
        <w:rPr>
          <w:szCs w:val="20"/>
          <w:lang w:val="it-IT"/>
        </w:rPr>
        <w:t>nel mese di</w:t>
      </w:r>
      <w:r w:rsidR="00E07F8C" w:rsidRPr="007B511D">
        <w:rPr>
          <w:szCs w:val="20"/>
          <w:lang w:val="it-IT"/>
        </w:rPr>
        <w:t xml:space="preserve"> </w:t>
      </w:r>
      <w:r w:rsidR="00DD5128" w:rsidRPr="008E0FB1">
        <w:rPr>
          <w:b/>
          <w:szCs w:val="20"/>
          <w:lang w:val="it-IT"/>
        </w:rPr>
        <w:t xml:space="preserve">marzo </w:t>
      </w:r>
      <w:r w:rsidR="00A4473C" w:rsidRPr="007B511D">
        <w:rPr>
          <w:szCs w:val="20"/>
          <w:lang w:val="it-IT"/>
        </w:rPr>
        <w:t xml:space="preserve">è </w:t>
      </w:r>
      <w:r w:rsidR="00C67459" w:rsidRPr="00A116E5">
        <w:rPr>
          <w:szCs w:val="20"/>
          <w:lang w:val="it-IT"/>
        </w:rPr>
        <w:t>risultato</w:t>
      </w:r>
      <w:r w:rsidR="00A4473C" w:rsidRPr="00A116E5">
        <w:rPr>
          <w:szCs w:val="20"/>
          <w:lang w:val="it-IT"/>
        </w:rPr>
        <w:t xml:space="preserve"> pari</w:t>
      </w:r>
      <w:r w:rsidR="00E07F8C" w:rsidRPr="00A116E5">
        <w:rPr>
          <w:szCs w:val="20"/>
          <w:lang w:val="it-IT"/>
        </w:rPr>
        <w:t xml:space="preserve"> a </w:t>
      </w:r>
      <w:r w:rsidR="00586F29" w:rsidRPr="00A116E5">
        <w:rPr>
          <w:b/>
          <w:lang w:val="it-IT"/>
        </w:rPr>
        <w:t>12</w:t>
      </w:r>
      <w:r w:rsidR="00DD5128">
        <w:rPr>
          <w:b/>
          <w:lang w:val="it-IT"/>
        </w:rPr>
        <w:t>5</w:t>
      </w:r>
      <w:r w:rsidR="00586F29" w:rsidRPr="00A116E5">
        <w:rPr>
          <w:b/>
          <w:lang w:val="it-IT"/>
        </w:rPr>
        <w:t>.</w:t>
      </w:r>
      <w:r w:rsidR="00DD5128">
        <w:rPr>
          <w:b/>
          <w:lang w:val="it-IT"/>
        </w:rPr>
        <w:t>576</w:t>
      </w:r>
      <w:r w:rsidR="00586F29" w:rsidRPr="00A116E5">
        <w:rPr>
          <w:b/>
          <w:lang w:val="it-IT"/>
        </w:rPr>
        <w:t xml:space="preserve"> </w:t>
      </w:r>
      <w:r w:rsidR="00215980" w:rsidRPr="00A116E5">
        <w:rPr>
          <w:b/>
          <w:lang w:val="it-IT"/>
        </w:rPr>
        <w:t>Euro</w:t>
      </w:r>
      <w:r w:rsidR="004D2419">
        <w:rPr>
          <w:rFonts w:eastAsia="Calibri"/>
          <w:szCs w:val="20"/>
          <w:lang w:val="it-IT"/>
        </w:rPr>
        <w:t xml:space="preserve"> in crescita del +2,2% rispetto al </w:t>
      </w:r>
      <w:r w:rsidR="004D2419">
        <w:rPr>
          <w:rFonts w:eastAsia="Calibri"/>
          <w:szCs w:val="20"/>
          <w:lang w:val="it-IT"/>
        </w:rPr>
        <w:lastRenderedPageBreak/>
        <w:t>corrispondente mese del 2016</w:t>
      </w:r>
      <w:r w:rsidR="00E604FC">
        <w:rPr>
          <w:rFonts w:eastAsia="Calibri"/>
          <w:szCs w:val="20"/>
          <w:lang w:val="it-IT"/>
        </w:rPr>
        <w:t>. Dopo il momentaneo calo di gennaio, il dato risulta essere</w:t>
      </w:r>
      <w:r w:rsidR="00A82FC2">
        <w:rPr>
          <w:rFonts w:eastAsia="Calibri"/>
          <w:szCs w:val="20"/>
          <w:lang w:val="it-IT"/>
        </w:rPr>
        <w:t xml:space="preserve"> </w:t>
      </w:r>
      <w:r w:rsidR="009521A2">
        <w:rPr>
          <w:rFonts w:eastAsia="Calibri"/>
          <w:szCs w:val="20"/>
          <w:lang w:val="it-IT"/>
        </w:rPr>
        <w:t xml:space="preserve">in linea con </w:t>
      </w:r>
      <w:r>
        <w:rPr>
          <w:rFonts w:eastAsia="Calibri"/>
          <w:szCs w:val="20"/>
          <w:lang w:val="it-IT"/>
        </w:rPr>
        <w:t xml:space="preserve">i valori </w:t>
      </w:r>
      <w:r w:rsidR="00676486">
        <w:rPr>
          <w:rFonts w:eastAsia="Calibri"/>
          <w:szCs w:val="20"/>
          <w:lang w:val="it-IT"/>
        </w:rPr>
        <w:t>osservati</w:t>
      </w:r>
      <w:r w:rsidR="00215980">
        <w:rPr>
          <w:rFonts w:eastAsia="Calibri"/>
          <w:szCs w:val="20"/>
          <w:lang w:val="it-IT"/>
        </w:rPr>
        <w:t xml:space="preserve"> </w:t>
      </w:r>
      <w:r>
        <w:rPr>
          <w:rFonts w:eastAsia="Calibri"/>
          <w:szCs w:val="20"/>
          <w:lang w:val="it-IT"/>
        </w:rPr>
        <w:t xml:space="preserve">negli ultimi mesi </w:t>
      </w:r>
      <w:r w:rsidR="00676486">
        <w:rPr>
          <w:rFonts w:eastAsia="Calibri"/>
          <w:szCs w:val="20"/>
          <w:lang w:val="it-IT"/>
        </w:rPr>
        <w:t>dello scorso anno</w:t>
      </w:r>
      <w:r w:rsidR="00E604FC">
        <w:rPr>
          <w:rFonts w:eastAsia="Calibri"/>
          <w:szCs w:val="20"/>
          <w:lang w:val="it-IT"/>
        </w:rPr>
        <w:t>.</w:t>
      </w:r>
    </w:p>
    <w:p w:rsidR="007B511D" w:rsidRDefault="007B511D" w:rsidP="007B511D">
      <w:pPr>
        <w:pStyle w:val="CRIFTitle2"/>
        <w:jc w:val="center"/>
      </w:pPr>
      <w:r>
        <w:t>Andamento dell'importo medio dei Mutui Ipotecari richiesti</w:t>
      </w:r>
    </w:p>
    <w:p w:rsidR="00160603" w:rsidRPr="007B511D" w:rsidRDefault="00B86DBF" w:rsidP="00160603">
      <w:pPr>
        <w:spacing w:after="24"/>
        <w:rPr>
          <w:lang w:val="it-IT"/>
        </w:rPr>
      </w:pPr>
      <w:r w:rsidRPr="00B86DBF">
        <w:rPr>
          <w:noProof/>
          <w:lang w:val="it-IT" w:eastAsia="it-IT"/>
        </w:rPr>
        <w:drawing>
          <wp:inline distT="0" distB="0" distL="0" distR="0">
            <wp:extent cx="5943600" cy="1979930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03" w:rsidRPr="00160603" w:rsidRDefault="00160603" w:rsidP="008E0FB1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D618BC" w:rsidRDefault="00D618BC" w:rsidP="00526F78">
      <w:pPr>
        <w:jc w:val="both"/>
        <w:rPr>
          <w:sz w:val="20"/>
          <w:szCs w:val="20"/>
          <w:lang w:val="it-IT"/>
        </w:rPr>
      </w:pPr>
    </w:p>
    <w:p w:rsidR="00E604FC" w:rsidRPr="00E604FC" w:rsidRDefault="00E604FC" w:rsidP="00E604FC">
      <w:pPr>
        <w:pStyle w:val="CRIFTitle2"/>
      </w:pPr>
      <w:r w:rsidRPr="00E604FC">
        <w:t>LA DISTRIBUZIONE PER FASCE DI IMPORTO</w:t>
      </w:r>
    </w:p>
    <w:p w:rsidR="00A7496F" w:rsidRDefault="00A16E4B" w:rsidP="000C2969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Relativamente alla distribuzione delle </w:t>
      </w:r>
      <w:r w:rsidR="00526F78">
        <w:rPr>
          <w:sz w:val="20"/>
          <w:szCs w:val="20"/>
          <w:lang w:val="it-IT"/>
        </w:rPr>
        <w:t>richieste</w:t>
      </w:r>
      <w:r>
        <w:rPr>
          <w:sz w:val="20"/>
          <w:szCs w:val="20"/>
          <w:lang w:val="it-IT"/>
        </w:rPr>
        <w:t xml:space="preserve"> </w:t>
      </w:r>
      <w:r w:rsidRPr="000C2969">
        <w:rPr>
          <w:sz w:val="20"/>
          <w:szCs w:val="20"/>
          <w:lang w:val="it-IT"/>
        </w:rPr>
        <w:t>per fasce di importo,</w:t>
      </w:r>
      <w:r>
        <w:rPr>
          <w:sz w:val="20"/>
          <w:szCs w:val="20"/>
          <w:lang w:val="it-IT"/>
        </w:rPr>
        <w:t xml:space="preserve"> </w:t>
      </w:r>
      <w:r w:rsidR="00E604FC">
        <w:rPr>
          <w:sz w:val="20"/>
          <w:szCs w:val="20"/>
          <w:lang w:val="it-IT"/>
        </w:rPr>
        <w:t xml:space="preserve">nel I trimestre dell’anno </w:t>
      </w:r>
      <w:r w:rsidRPr="003E3375">
        <w:rPr>
          <w:sz w:val="20"/>
          <w:szCs w:val="20"/>
          <w:lang w:val="it-IT"/>
        </w:rPr>
        <w:t xml:space="preserve">le preferenze degli italiani si </w:t>
      </w:r>
      <w:r w:rsidR="00580289">
        <w:rPr>
          <w:sz w:val="20"/>
          <w:szCs w:val="20"/>
          <w:lang w:val="it-IT"/>
        </w:rPr>
        <w:t>sono concentrate</w:t>
      </w:r>
      <w:r w:rsidR="005651ED">
        <w:rPr>
          <w:sz w:val="20"/>
          <w:szCs w:val="20"/>
          <w:lang w:val="it-IT"/>
        </w:rPr>
        <w:t xml:space="preserve"> </w:t>
      </w:r>
      <w:r w:rsidRPr="003E3375">
        <w:rPr>
          <w:sz w:val="20"/>
          <w:szCs w:val="20"/>
          <w:lang w:val="it-IT"/>
        </w:rPr>
        <w:t xml:space="preserve">nella </w:t>
      </w:r>
      <w:r w:rsidRPr="00026B17">
        <w:rPr>
          <w:b/>
          <w:sz w:val="20"/>
          <w:szCs w:val="20"/>
          <w:lang w:val="it-IT"/>
        </w:rPr>
        <w:t>classe compresa tra 100.00</w:t>
      </w:r>
      <w:r>
        <w:rPr>
          <w:b/>
          <w:sz w:val="20"/>
          <w:szCs w:val="20"/>
          <w:lang w:val="it-IT"/>
        </w:rPr>
        <w:t>1</w:t>
      </w:r>
      <w:r w:rsidR="005651ED">
        <w:rPr>
          <w:b/>
          <w:sz w:val="20"/>
          <w:szCs w:val="20"/>
          <w:lang w:val="it-IT"/>
        </w:rPr>
        <w:t xml:space="preserve"> e 150.000 e</w:t>
      </w:r>
      <w:r w:rsidRPr="00026B17">
        <w:rPr>
          <w:b/>
          <w:sz w:val="20"/>
          <w:szCs w:val="20"/>
          <w:lang w:val="it-IT"/>
        </w:rPr>
        <w:t>uro</w:t>
      </w:r>
      <w:r w:rsidRPr="003E3375">
        <w:rPr>
          <w:sz w:val="20"/>
          <w:szCs w:val="20"/>
          <w:lang w:val="it-IT"/>
        </w:rPr>
        <w:t xml:space="preserve">, con una </w:t>
      </w:r>
      <w:r w:rsidRPr="00026B17">
        <w:rPr>
          <w:b/>
          <w:sz w:val="20"/>
          <w:szCs w:val="20"/>
          <w:lang w:val="it-IT"/>
        </w:rPr>
        <w:t xml:space="preserve">quota pari al </w:t>
      </w:r>
      <w:r w:rsidR="00E95127">
        <w:rPr>
          <w:b/>
          <w:sz w:val="20"/>
          <w:szCs w:val="20"/>
          <w:lang w:val="it-IT"/>
        </w:rPr>
        <w:t>29,5</w:t>
      </w:r>
      <w:r w:rsidRPr="00026B17">
        <w:rPr>
          <w:b/>
          <w:sz w:val="20"/>
          <w:szCs w:val="20"/>
          <w:lang w:val="it-IT"/>
        </w:rPr>
        <w:t>%</w:t>
      </w:r>
      <w:r>
        <w:rPr>
          <w:sz w:val="20"/>
          <w:szCs w:val="20"/>
          <w:lang w:val="it-IT"/>
        </w:rPr>
        <w:t xml:space="preserve"> de</w:t>
      </w:r>
      <w:r w:rsidRPr="003E3375">
        <w:rPr>
          <w:sz w:val="20"/>
          <w:szCs w:val="20"/>
          <w:lang w:val="it-IT"/>
        </w:rPr>
        <w:t xml:space="preserve">l totale. </w:t>
      </w:r>
    </w:p>
    <w:p w:rsidR="005651ED" w:rsidRDefault="005651ED" w:rsidP="000C2969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Rispetto ai dati </w:t>
      </w:r>
      <w:r w:rsidR="00E95127">
        <w:rPr>
          <w:sz w:val="20"/>
          <w:szCs w:val="20"/>
          <w:lang w:val="it-IT"/>
        </w:rPr>
        <w:t xml:space="preserve">rilevati </w:t>
      </w:r>
      <w:r w:rsidR="00206FD9">
        <w:rPr>
          <w:sz w:val="20"/>
          <w:szCs w:val="20"/>
          <w:lang w:val="it-IT"/>
        </w:rPr>
        <w:t>nel</w:t>
      </w:r>
      <w:r w:rsidR="00E604FC">
        <w:rPr>
          <w:sz w:val="20"/>
          <w:szCs w:val="20"/>
          <w:lang w:val="it-IT"/>
        </w:rPr>
        <w:t>lo stesso periodo del</w:t>
      </w:r>
      <w:r w:rsidR="00206FD9">
        <w:rPr>
          <w:sz w:val="20"/>
          <w:szCs w:val="20"/>
          <w:lang w:val="it-IT"/>
        </w:rPr>
        <w:t xml:space="preserve"> </w:t>
      </w:r>
      <w:r w:rsidR="00A7496F">
        <w:rPr>
          <w:sz w:val="20"/>
          <w:szCs w:val="20"/>
          <w:lang w:val="it-IT"/>
        </w:rPr>
        <w:t>2016</w:t>
      </w:r>
      <w:r>
        <w:rPr>
          <w:sz w:val="20"/>
          <w:szCs w:val="20"/>
          <w:lang w:val="it-IT"/>
        </w:rPr>
        <w:t xml:space="preserve">, </w:t>
      </w:r>
      <w:r w:rsidR="00215980">
        <w:rPr>
          <w:sz w:val="20"/>
          <w:szCs w:val="20"/>
          <w:lang w:val="it-IT"/>
        </w:rPr>
        <w:t xml:space="preserve">si registra </w:t>
      </w:r>
      <w:r>
        <w:rPr>
          <w:sz w:val="20"/>
          <w:szCs w:val="20"/>
          <w:lang w:val="it-IT"/>
        </w:rPr>
        <w:t>una diminuzione</w:t>
      </w:r>
      <w:r w:rsidR="00215980">
        <w:rPr>
          <w:sz w:val="20"/>
          <w:szCs w:val="20"/>
          <w:lang w:val="it-IT"/>
        </w:rPr>
        <w:t xml:space="preserve"> di </w:t>
      </w:r>
      <w:r w:rsidR="00E75315">
        <w:rPr>
          <w:sz w:val="20"/>
          <w:szCs w:val="20"/>
          <w:lang w:val="it-IT"/>
        </w:rPr>
        <w:t>-1,2</w:t>
      </w:r>
      <w:r w:rsidR="00DF1F79">
        <w:rPr>
          <w:sz w:val="20"/>
          <w:szCs w:val="20"/>
          <w:lang w:val="it-IT"/>
        </w:rPr>
        <w:t xml:space="preserve"> punti percentuali</w:t>
      </w:r>
      <w:r>
        <w:rPr>
          <w:sz w:val="20"/>
          <w:szCs w:val="20"/>
          <w:lang w:val="it-IT"/>
        </w:rPr>
        <w:t xml:space="preserve"> dell</w:t>
      </w:r>
      <w:r w:rsidR="00D618BC">
        <w:rPr>
          <w:sz w:val="20"/>
          <w:szCs w:val="20"/>
          <w:lang w:val="it-IT"/>
        </w:rPr>
        <w:t>’incidenza dell</w:t>
      </w:r>
      <w:r w:rsidR="00A7496F">
        <w:rPr>
          <w:sz w:val="20"/>
          <w:szCs w:val="20"/>
          <w:lang w:val="it-IT"/>
        </w:rPr>
        <w:t>e richieste di</w:t>
      </w:r>
      <w:r>
        <w:rPr>
          <w:sz w:val="20"/>
          <w:szCs w:val="20"/>
          <w:lang w:val="it-IT"/>
        </w:rPr>
        <w:t xml:space="preserve"> import</w:t>
      </w:r>
      <w:r w:rsidR="00A7496F">
        <w:rPr>
          <w:sz w:val="20"/>
          <w:szCs w:val="20"/>
          <w:lang w:val="it-IT"/>
        </w:rPr>
        <w:t xml:space="preserve">o inferiore a 100.000 </w:t>
      </w:r>
      <w:r w:rsidR="00206FD9">
        <w:rPr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uro (</w:t>
      </w:r>
      <w:r w:rsidR="00E431E0">
        <w:rPr>
          <w:sz w:val="20"/>
          <w:szCs w:val="20"/>
          <w:lang w:val="it-IT"/>
        </w:rPr>
        <w:t xml:space="preserve">complessivamente </w:t>
      </w:r>
      <w:r>
        <w:rPr>
          <w:sz w:val="20"/>
          <w:szCs w:val="20"/>
          <w:lang w:val="it-IT"/>
        </w:rPr>
        <w:t xml:space="preserve">pari al </w:t>
      </w:r>
      <w:r w:rsidR="00E75315">
        <w:rPr>
          <w:sz w:val="20"/>
          <w:szCs w:val="20"/>
          <w:lang w:val="it-IT"/>
        </w:rPr>
        <w:t>47,5</w:t>
      </w:r>
      <w:r>
        <w:rPr>
          <w:sz w:val="20"/>
          <w:szCs w:val="20"/>
          <w:lang w:val="it-IT"/>
        </w:rPr>
        <w:t>%</w:t>
      </w:r>
      <w:r w:rsidR="00A7496F">
        <w:rPr>
          <w:sz w:val="20"/>
          <w:szCs w:val="20"/>
          <w:lang w:val="it-IT"/>
        </w:rPr>
        <w:t xml:space="preserve"> del totale</w:t>
      </w:r>
      <w:r>
        <w:rPr>
          <w:sz w:val="20"/>
          <w:szCs w:val="20"/>
          <w:lang w:val="it-IT"/>
        </w:rPr>
        <w:t>)</w:t>
      </w:r>
      <w:r w:rsidR="00A7496F">
        <w:rPr>
          <w:sz w:val="20"/>
          <w:szCs w:val="20"/>
          <w:lang w:val="it-IT"/>
        </w:rPr>
        <w:t xml:space="preserve"> a vantaggio di una</w:t>
      </w:r>
      <w:r>
        <w:rPr>
          <w:sz w:val="20"/>
          <w:szCs w:val="20"/>
          <w:lang w:val="it-IT"/>
        </w:rPr>
        <w:t xml:space="preserve"> crescita delle classi oltre </w:t>
      </w:r>
      <w:r w:rsidR="00D100D6">
        <w:rPr>
          <w:sz w:val="20"/>
          <w:szCs w:val="20"/>
          <w:lang w:val="it-IT"/>
        </w:rPr>
        <w:t xml:space="preserve">i </w:t>
      </w:r>
      <w:r>
        <w:rPr>
          <w:sz w:val="20"/>
          <w:szCs w:val="20"/>
          <w:lang w:val="it-IT"/>
        </w:rPr>
        <w:t xml:space="preserve">150.000 </w:t>
      </w:r>
      <w:r w:rsidR="00206FD9">
        <w:rPr>
          <w:sz w:val="20"/>
          <w:szCs w:val="20"/>
          <w:lang w:val="it-IT"/>
        </w:rPr>
        <w:t>E</w:t>
      </w:r>
      <w:r>
        <w:rPr>
          <w:sz w:val="20"/>
          <w:szCs w:val="20"/>
          <w:lang w:val="it-IT"/>
        </w:rPr>
        <w:t>uro</w:t>
      </w:r>
      <w:r w:rsidR="00D100D6">
        <w:rPr>
          <w:sz w:val="20"/>
          <w:szCs w:val="20"/>
          <w:lang w:val="it-IT"/>
        </w:rPr>
        <w:t>,</w:t>
      </w:r>
      <w:r>
        <w:rPr>
          <w:sz w:val="20"/>
          <w:szCs w:val="20"/>
          <w:lang w:val="it-IT"/>
        </w:rPr>
        <w:t xml:space="preserve"> che ora </w:t>
      </w:r>
      <w:r w:rsidR="00D618BC">
        <w:rPr>
          <w:sz w:val="20"/>
          <w:szCs w:val="20"/>
          <w:lang w:val="it-IT"/>
        </w:rPr>
        <w:t>spiegano</w:t>
      </w:r>
      <w:r>
        <w:rPr>
          <w:sz w:val="20"/>
          <w:szCs w:val="20"/>
          <w:lang w:val="it-IT"/>
        </w:rPr>
        <w:t xml:space="preserve"> il 2</w:t>
      </w:r>
      <w:r w:rsidR="00E75315">
        <w:rPr>
          <w:sz w:val="20"/>
          <w:szCs w:val="20"/>
          <w:lang w:val="it-IT"/>
        </w:rPr>
        <w:t>3,0</w:t>
      </w:r>
      <w:r>
        <w:rPr>
          <w:sz w:val="20"/>
          <w:szCs w:val="20"/>
          <w:lang w:val="it-IT"/>
        </w:rPr>
        <w:t xml:space="preserve">% delle richieste, contro </w:t>
      </w:r>
      <w:r w:rsidR="00900F23">
        <w:rPr>
          <w:sz w:val="20"/>
          <w:szCs w:val="20"/>
          <w:lang w:val="it-IT"/>
        </w:rPr>
        <w:t>il</w:t>
      </w:r>
      <w:r>
        <w:rPr>
          <w:sz w:val="20"/>
          <w:szCs w:val="20"/>
          <w:lang w:val="it-IT"/>
        </w:rPr>
        <w:t xml:space="preserve"> 2</w:t>
      </w:r>
      <w:r w:rsidR="00A7496F">
        <w:rPr>
          <w:sz w:val="20"/>
          <w:szCs w:val="20"/>
          <w:lang w:val="it-IT"/>
        </w:rPr>
        <w:t>1</w:t>
      </w:r>
      <w:r>
        <w:rPr>
          <w:sz w:val="20"/>
          <w:szCs w:val="20"/>
          <w:lang w:val="it-IT"/>
        </w:rPr>
        <w:t>,</w:t>
      </w:r>
      <w:r w:rsidR="00E75315">
        <w:rPr>
          <w:sz w:val="20"/>
          <w:szCs w:val="20"/>
          <w:lang w:val="it-IT"/>
        </w:rPr>
        <w:t>7</w:t>
      </w:r>
      <w:r>
        <w:rPr>
          <w:sz w:val="20"/>
          <w:szCs w:val="20"/>
          <w:lang w:val="it-IT"/>
        </w:rPr>
        <w:t xml:space="preserve">% </w:t>
      </w:r>
      <w:r w:rsidR="00E604FC">
        <w:rPr>
          <w:sz w:val="20"/>
          <w:szCs w:val="20"/>
          <w:lang w:val="it-IT"/>
        </w:rPr>
        <w:t xml:space="preserve">del </w:t>
      </w:r>
      <w:r w:rsidR="00A7496F">
        <w:rPr>
          <w:sz w:val="20"/>
          <w:szCs w:val="20"/>
          <w:lang w:val="it-IT"/>
        </w:rPr>
        <w:t>2016</w:t>
      </w:r>
      <w:r>
        <w:rPr>
          <w:sz w:val="20"/>
          <w:szCs w:val="20"/>
          <w:lang w:val="it-IT"/>
        </w:rPr>
        <w:t>.</w:t>
      </w:r>
      <w:r w:rsidR="00E75315">
        <w:rPr>
          <w:sz w:val="20"/>
          <w:szCs w:val="20"/>
          <w:lang w:val="it-IT"/>
        </w:rPr>
        <w:t xml:space="preserve"> </w:t>
      </w:r>
    </w:p>
    <w:tbl>
      <w:tblPr>
        <w:tblW w:w="45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860"/>
        <w:gridCol w:w="1660"/>
      </w:tblGrid>
      <w:tr w:rsidR="00A16E4B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EE7D11"/>
            <w:noWrap/>
            <w:vAlign w:val="center"/>
            <w:hideMark/>
          </w:tcPr>
          <w:p w:rsidR="00A16E4B" w:rsidRPr="004428C0" w:rsidRDefault="00A16E4B" w:rsidP="00074524">
            <w:pPr>
              <w:rPr>
                <w:rFonts w:cs="Tahoma"/>
                <w:b/>
                <w:color w:val="FFFFFF" w:themeColor="background1"/>
                <w:sz w:val="18"/>
                <w:szCs w:val="20"/>
                <w:lang w:val="it-IT"/>
              </w:rPr>
            </w:pPr>
            <w:r w:rsidRPr="004428C0">
              <w:rPr>
                <w:rFonts w:cs="Tahoma"/>
                <w:b/>
                <w:color w:val="FFFFFF" w:themeColor="background1"/>
                <w:sz w:val="18"/>
                <w:szCs w:val="20"/>
                <w:lang w:val="it-IT"/>
              </w:rPr>
              <w:t>Classe di importo</w:t>
            </w:r>
          </w:p>
        </w:tc>
        <w:tc>
          <w:tcPr>
            <w:tcW w:w="1660" w:type="dxa"/>
            <w:shd w:val="clear" w:color="auto" w:fill="EE7D11"/>
            <w:noWrap/>
            <w:vAlign w:val="center"/>
            <w:hideMark/>
          </w:tcPr>
          <w:p w:rsidR="00A16E4B" w:rsidRPr="004428C0" w:rsidRDefault="00A16E4B" w:rsidP="00E95127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18"/>
                <w:szCs w:val="20"/>
                <w:lang w:val="it-IT"/>
              </w:rPr>
            </w:pPr>
            <w:r w:rsidRPr="004428C0">
              <w:rPr>
                <w:rFonts w:cs="Tahoma"/>
                <w:b/>
                <w:color w:val="FFFFFF" w:themeColor="background1"/>
                <w:sz w:val="18"/>
                <w:szCs w:val="20"/>
                <w:lang w:val="it-IT"/>
              </w:rPr>
              <w:t>% Dati Anno Corrente</w:t>
            </w:r>
          </w:p>
        </w:tc>
      </w:tr>
      <w:tr w:rsidR="00E95127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hideMark/>
          </w:tcPr>
          <w:p w:rsidR="00E95127" w:rsidRPr="00E95127" w:rsidRDefault="00E95127" w:rsidP="00E95127">
            <w:pPr>
              <w:spacing w:after="0"/>
              <w:rPr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Fino a 75.000 €</w:t>
            </w:r>
          </w:p>
        </w:tc>
        <w:tc>
          <w:tcPr>
            <w:tcW w:w="1660" w:type="dxa"/>
            <w:shd w:val="clear" w:color="auto" w:fill="F8CA9E" w:themeFill="text2" w:themeFillTint="66"/>
            <w:noWrap/>
          </w:tcPr>
          <w:p w:rsidR="00E95127" w:rsidRPr="00E95127" w:rsidRDefault="00E95127" w:rsidP="00E95127">
            <w:pPr>
              <w:spacing w:after="0"/>
              <w:jc w:val="center"/>
              <w:rPr>
                <w:rFonts w:cs="Tahoma"/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27,1%</w:t>
            </w:r>
          </w:p>
        </w:tc>
      </w:tr>
      <w:tr w:rsidR="00E95127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hideMark/>
          </w:tcPr>
          <w:p w:rsidR="00E95127" w:rsidRPr="00E95127" w:rsidRDefault="00E95127" w:rsidP="00E95127">
            <w:pPr>
              <w:spacing w:after="0"/>
              <w:rPr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75.001-100.000 €</w:t>
            </w:r>
          </w:p>
        </w:tc>
        <w:tc>
          <w:tcPr>
            <w:tcW w:w="1660" w:type="dxa"/>
            <w:shd w:val="clear" w:color="auto" w:fill="FBE4CE" w:themeFill="text2" w:themeFillTint="33"/>
            <w:noWrap/>
          </w:tcPr>
          <w:p w:rsidR="00E95127" w:rsidRPr="00E95127" w:rsidRDefault="00E95127" w:rsidP="00E9512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20,4%</w:t>
            </w:r>
          </w:p>
        </w:tc>
      </w:tr>
      <w:tr w:rsidR="00E95127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hideMark/>
          </w:tcPr>
          <w:p w:rsidR="00E95127" w:rsidRPr="00E95127" w:rsidRDefault="00E95127" w:rsidP="00E95127">
            <w:pPr>
              <w:spacing w:after="0"/>
              <w:rPr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100.001-150.000 €</w:t>
            </w:r>
          </w:p>
        </w:tc>
        <w:tc>
          <w:tcPr>
            <w:tcW w:w="1660" w:type="dxa"/>
            <w:shd w:val="clear" w:color="auto" w:fill="F8CA9E" w:themeFill="text2" w:themeFillTint="66"/>
            <w:noWrap/>
          </w:tcPr>
          <w:p w:rsidR="00E95127" w:rsidRPr="00E95127" w:rsidRDefault="00E95127" w:rsidP="00E9512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29,5%</w:t>
            </w:r>
          </w:p>
        </w:tc>
      </w:tr>
      <w:tr w:rsidR="00E95127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hideMark/>
          </w:tcPr>
          <w:p w:rsidR="00E95127" w:rsidRPr="00E95127" w:rsidRDefault="00E95127" w:rsidP="00E95127">
            <w:pPr>
              <w:spacing w:after="0"/>
              <w:rPr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150.001-300.000 €</w:t>
            </w:r>
          </w:p>
        </w:tc>
        <w:tc>
          <w:tcPr>
            <w:tcW w:w="1660" w:type="dxa"/>
            <w:shd w:val="clear" w:color="auto" w:fill="FBE4CE" w:themeFill="text2" w:themeFillTint="33"/>
            <w:noWrap/>
          </w:tcPr>
          <w:p w:rsidR="00E95127" w:rsidRPr="00E95127" w:rsidRDefault="00E95127" w:rsidP="00E9512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20,1%</w:t>
            </w:r>
          </w:p>
        </w:tc>
      </w:tr>
      <w:tr w:rsidR="00E95127" w:rsidRPr="004428C0" w:rsidTr="00E95127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hideMark/>
          </w:tcPr>
          <w:p w:rsidR="00E95127" w:rsidRPr="00E95127" w:rsidRDefault="00E95127" w:rsidP="00E95127">
            <w:pPr>
              <w:spacing w:after="0"/>
              <w:rPr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Oltre 300.000 €</w:t>
            </w:r>
          </w:p>
        </w:tc>
        <w:tc>
          <w:tcPr>
            <w:tcW w:w="1660" w:type="dxa"/>
            <w:shd w:val="clear" w:color="auto" w:fill="F8CA9E" w:themeFill="text2" w:themeFillTint="66"/>
            <w:noWrap/>
          </w:tcPr>
          <w:p w:rsidR="00E95127" w:rsidRPr="00E95127" w:rsidRDefault="00E95127" w:rsidP="00E95127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 w:rsidRPr="00E95127">
              <w:rPr>
                <w:sz w:val="18"/>
                <w:szCs w:val="18"/>
              </w:rPr>
              <w:t>2,9%</w:t>
            </w:r>
          </w:p>
        </w:tc>
      </w:tr>
    </w:tbl>
    <w:p w:rsidR="00E75315" w:rsidRPr="000C2969" w:rsidRDefault="00526F78" w:rsidP="000C2969">
      <w:pPr>
        <w:pStyle w:val="CRIFCaption"/>
        <w:jc w:val="center"/>
        <w:rPr>
          <w:lang w:val="it-IT"/>
        </w:rPr>
      </w:pPr>
      <w:r w:rsidRPr="00E604FC">
        <w:rPr>
          <w:lang w:val="it-IT"/>
        </w:rPr>
        <w:t>Fonte: EURISC – Il Sistema CRIF di Informazioni Creditizie</w:t>
      </w:r>
    </w:p>
    <w:p w:rsidR="00A16E4B" w:rsidRPr="00160603" w:rsidRDefault="00A16E4B" w:rsidP="00A16E4B">
      <w:pPr>
        <w:pStyle w:val="CRIFTitle2"/>
      </w:pPr>
      <w:r w:rsidRPr="00E24C17">
        <w:t>L</w:t>
      </w:r>
      <w:r w:rsidR="00D618BC">
        <w:t>A DISTRIBUZIONE PER</w:t>
      </w:r>
      <w:r w:rsidRPr="00E24C17">
        <w:t xml:space="preserve"> CLASSI DI DURATA DEI MUTUI RICHIESTI</w:t>
      </w:r>
    </w:p>
    <w:p w:rsidR="00802365" w:rsidRDefault="00BA79A5" w:rsidP="00170017">
      <w:pPr>
        <w:pStyle w:val="CRIFBodyText"/>
        <w:rPr>
          <w:lang w:val="it-IT"/>
        </w:rPr>
      </w:pPr>
      <w:r>
        <w:rPr>
          <w:lang w:val="it-IT"/>
        </w:rPr>
        <w:lastRenderedPageBreak/>
        <w:t>Nel primo trimestre</w:t>
      </w:r>
      <w:r w:rsidR="00E75315">
        <w:rPr>
          <w:lang w:val="it-IT"/>
        </w:rPr>
        <w:t xml:space="preserve"> </w:t>
      </w:r>
      <w:r>
        <w:rPr>
          <w:lang w:val="it-IT"/>
        </w:rPr>
        <w:t xml:space="preserve">2017 si </w:t>
      </w:r>
      <w:r w:rsidR="00E75315">
        <w:rPr>
          <w:lang w:val="it-IT"/>
        </w:rPr>
        <w:t>conferma l</w:t>
      </w:r>
      <w:r w:rsidR="00A16E4B" w:rsidRPr="001E079C">
        <w:rPr>
          <w:lang w:val="it-IT"/>
        </w:rPr>
        <w:t xml:space="preserve">a </w:t>
      </w:r>
      <w:r w:rsidR="006E51AA">
        <w:rPr>
          <w:lang w:val="it-IT"/>
        </w:rPr>
        <w:t xml:space="preserve">maggiore </w:t>
      </w:r>
      <w:r w:rsidR="00E75315">
        <w:rPr>
          <w:lang w:val="it-IT"/>
        </w:rPr>
        <w:t>concentrazione del</w:t>
      </w:r>
      <w:r w:rsidR="006E51AA">
        <w:rPr>
          <w:lang w:val="it-IT"/>
        </w:rPr>
        <w:t>le richieste di</w:t>
      </w:r>
      <w:r w:rsidR="00A16E4B" w:rsidRPr="001E079C">
        <w:rPr>
          <w:lang w:val="it-IT"/>
        </w:rPr>
        <w:t xml:space="preserve"> interrogazioni</w:t>
      </w:r>
      <w:r w:rsidR="00170017" w:rsidRPr="001E079C">
        <w:rPr>
          <w:lang w:val="it-IT"/>
        </w:rPr>
        <w:t xml:space="preserve"> al SIC</w:t>
      </w:r>
      <w:r w:rsidR="00A16E4B" w:rsidRPr="001E079C">
        <w:rPr>
          <w:lang w:val="it-IT"/>
        </w:rPr>
        <w:t xml:space="preserve"> di nuovi mutui e surroghe </w:t>
      </w:r>
      <w:r w:rsidR="006E51AA">
        <w:rPr>
          <w:lang w:val="it-IT"/>
        </w:rPr>
        <w:t>nella</w:t>
      </w:r>
      <w:r w:rsidR="00A16E4B" w:rsidRPr="001E079C">
        <w:rPr>
          <w:lang w:val="it-IT"/>
        </w:rPr>
        <w:t xml:space="preserve"> </w:t>
      </w:r>
      <w:r w:rsidR="00A16E4B" w:rsidRPr="001E079C">
        <w:rPr>
          <w:b/>
          <w:lang w:val="it-IT"/>
        </w:rPr>
        <w:t>classe di durata</w:t>
      </w:r>
      <w:r w:rsidR="00270AC2">
        <w:rPr>
          <w:lang w:val="it-IT"/>
        </w:rPr>
        <w:t xml:space="preserve"> </w:t>
      </w:r>
      <w:r w:rsidR="00A16E4B" w:rsidRPr="006E51AA">
        <w:rPr>
          <w:b/>
          <w:lang w:val="it-IT"/>
        </w:rPr>
        <w:t>compresa tra i</w:t>
      </w:r>
      <w:r w:rsidR="00A16E4B" w:rsidRPr="001E079C">
        <w:rPr>
          <w:lang w:val="it-IT"/>
        </w:rPr>
        <w:t xml:space="preserve"> </w:t>
      </w:r>
      <w:r w:rsidR="00A16E4B" w:rsidRPr="001E079C">
        <w:rPr>
          <w:b/>
          <w:lang w:val="it-IT"/>
        </w:rPr>
        <w:t>16 e i 20 anni</w:t>
      </w:r>
      <w:r w:rsidR="006E51AA" w:rsidRPr="006E51AA">
        <w:rPr>
          <w:lang w:val="it-IT"/>
        </w:rPr>
        <w:t>,</w:t>
      </w:r>
      <w:r w:rsidR="006E51AA">
        <w:rPr>
          <w:b/>
          <w:lang w:val="it-IT"/>
        </w:rPr>
        <w:t xml:space="preserve"> </w:t>
      </w:r>
      <w:r w:rsidR="00A16E4B" w:rsidRPr="001E079C">
        <w:rPr>
          <w:lang w:val="it-IT"/>
        </w:rPr>
        <w:t xml:space="preserve">con una quota pari al </w:t>
      </w:r>
      <w:r w:rsidR="00A16E4B" w:rsidRPr="001E079C">
        <w:rPr>
          <w:b/>
          <w:lang w:val="it-IT"/>
        </w:rPr>
        <w:t>2</w:t>
      </w:r>
      <w:r w:rsidR="00E75315">
        <w:rPr>
          <w:b/>
          <w:lang w:val="it-IT"/>
        </w:rPr>
        <w:t>4,2</w:t>
      </w:r>
      <w:r w:rsidR="00A16E4B" w:rsidRPr="001E079C">
        <w:rPr>
          <w:b/>
          <w:lang w:val="it-IT"/>
        </w:rPr>
        <w:t>%</w:t>
      </w:r>
      <w:r w:rsidR="00A16E4B" w:rsidRPr="001E079C">
        <w:rPr>
          <w:lang w:val="it-IT"/>
        </w:rPr>
        <w:t xml:space="preserve"> del totale</w:t>
      </w:r>
      <w:r w:rsidR="00D618BC">
        <w:rPr>
          <w:lang w:val="it-IT"/>
        </w:rPr>
        <w:t xml:space="preserve"> (</w:t>
      </w:r>
      <w:r w:rsidR="006E51AA">
        <w:rPr>
          <w:lang w:val="it-IT"/>
        </w:rPr>
        <w:t>+0,9</w:t>
      </w:r>
      <w:r w:rsidR="00816D64">
        <w:rPr>
          <w:lang w:val="it-IT"/>
        </w:rPr>
        <w:t xml:space="preserve"> punti </w:t>
      </w:r>
      <w:r w:rsidR="006E51AA">
        <w:rPr>
          <w:lang w:val="it-IT"/>
        </w:rPr>
        <w:t>percentuali rispetto a</w:t>
      </w:r>
      <w:r>
        <w:rPr>
          <w:lang w:val="it-IT"/>
        </w:rPr>
        <w:t>l primo trimestre</w:t>
      </w:r>
      <w:r w:rsidR="006E51AA">
        <w:rPr>
          <w:lang w:val="it-IT"/>
        </w:rPr>
        <w:t xml:space="preserve"> 2016</w:t>
      </w:r>
      <w:r w:rsidR="00D618BC">
        <w:rPr>
          <w:lang w:val="it-IT"/>
        </w:rPr>
        <w:t>)</w:t>
      </w:r>
      <w:r w:rsidR="00816D64">
        <w:rPr>
          <w:lang w:val="it-IT"/>
        </w:rPr>
        <w:t>.</w:t>
      </w:r>
      <w:r w:rsidR="00B224B8">
        <w:rPr>
          <w:lang w:val="it-IT"/>
        </w:rPr>
        <w:t xml:space="preserve"> A questa crescita si </w:t>
      </w:r>
      <w:r w:rsidR="006E51AA">
        <w:rPr>
          <w:lang w:val="it-IT"/>
        </w:rPr>
        <w:t>affianca una flessione pari a -1</w:t>
      </w:r>
      <w:r w:rsidR="00B224B8">
        <w:rPr>
          <w:lang w:val="it-IT"/>
        </w:rPr>
        <w:t xml:space="preserve">,8 punti percentuali sulla classe tra </w:t>
      </w:r>
      <w:r w:rsidR="006E51AA">
        <w:rPr>
          <w:lang w:val="it-IT"/>
        </w:rPr>
        <w:t>6 e 10</w:t>
      </w:r>
      <w:r w:rsidR="00B224B8">
        <w:rPr>
          <w:lang w:val="it-IT"/>
        </w:rPr>
        <w:t xml:space="preserve"> anni a favore </w:t>
      </w:r>
      <w:r w:rsidR="00D618BC">
        <w:rPr>
          <w:lang w:val="it-IT"/>
        </w:rPr>
        <w:t xml:space="preserve">di quelle tra </w:t>
      </w:r>
      <w:r w:rsidR="006E51AA">
        <w:rPr>
          <w:lang w:val="it-IT"/>
        </w:rPr>
        <w:t>0 e 5</w:t>
      </w:r>
      <w:r w:rsidR="00B224B8">
        <w:rPr>
          <w:lang w:val="it-IT"/>
        </w:rPr>
        <w:t xml:space="preserve"> a</w:t>
      </w:r>
      <w:r w:rsidR="006E51AA">
        <w:rPr>
          <w:lang w:val="it-IT"/>
        </w:rPr>
        <w:t>nni (+0,3</w:t>
      </w:r>
      <w:r w:rsidR="00D618BC">
        <w:rPr>
          <w:lang w:val="it-IT"/>
        </w:rPr>
        <w:t xml:space="preserve"> punti percentuali) e tra</w:t>
      </w:r>
      <w:r w:rsidR="00881CD9">
        <w:rPr>
          <w:lang w:val="it-IT"/>
        </w:rPr>
        <w:t xml:space="preserve"> 26 e 30 anni (+0,</w:t>
      </w:r>
      <w:r w:rsidR="006E51AA">
        <w:rPr>
          <w:lang w:val="it-IT"/>
        </w:rPr>
        <w:t>3</w:t>
      </w:r>
      <w:r w:rsidR="00881CD9">
        <w:rPr>
          <w:lang w:val="it-IT"/>
        </w:rPr>
        <w:t xml:space="preserve"> </w:t>
      </w:r>
      <w:r w:rsidR="00B224B8">
        <w:rPr>
          <w:lang w:val="it-IT"/>
        </w:rPr>
        <w:t>punti percentuali).</w:t>
      </w:r>
    </w:p>
    <w:tbl>
      <w:tblPr>
        <w:tblW w:w="452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860"/>
        <w:gridCol w:w="1660"/>
      </w:tblGrid>
      <w:tr w:rsidR="00170017" w:rsidRPr="00774AD3" w:rsidTr="00E75315">
        <w:trPr>
          <w:trHeight w:val="270"/>
          <w:jc w:val="center"/>
        </w:trPr>
        <w:tc>
          <w:tcPr>
            <w:tcW w:w="2860" w:type="dxa"/>
            <w:shd w:val="clear" w:color="auto" w:fill="EE7D11"/>
            <w:noWrap/>
            <w:vAlign w:val="center"/>
            <w:hideMark/>
          </w:tcPr>
          <w:p w:rsidR="00170017" w:rsidRPr="002243BF" w:rsidRDefault="00170017" w:rsidP="00E75315">
            <w:pP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 w:rsidRPr="002243BF"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Classe Durata </w:t>
            </w: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Mutuo</w:t>
            </w:r>
            <w:r w:rsidRPr="002243BF"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 (nr Anni)</w:t>
            </w:r>
          </w:p>
        </w:tc>
        <w:tc>
          <w:tcPr>
            <w:tcW w:w="1660" w:type="dxa"/>
            <w:shd w:val="clear" w:color="auto" w:fill="EE7D11"/>
            <w:noWrap/>
            <w:vAlign w:val="center"/>
            <w:hideMark/>
          </w:tcPr>
          <w:p w:rsidR="00170017" w:rsidRPr="008C75E6" w:rsidRDefault="00170017" w:rsidP="00E75315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% Dati Anno Corrente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 w:rsidRPr="008E0F22">
              <w:rPr>
                <w:sz w:val="20"/>
                <w:szCs w:val="20"/>
              </w:rPr>
              <w:t>Fino a 5 anni</w:t>
            </w:r>
          </w:p>
        </w:tc>
        <w:tc>
          <w:tcPr>
            <w:tcW w:w="1660" w:type="dxa"/>
            <w:shd w:val="clear" w:color="auto" w:fill="F8CA9E" w:themeFill="text2" w:themeFillTint="66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ahoma"/>
                <w:sz w:val="20"/>
                <w:szCs w:val="20"/>
              </w:rPr>
            </w:pPr>
            <w:r w:rsidRPr="00E75315">
              <w:rPr>
                <w:sz w:val="20"/>
              </w:rPr>
              <w:t>1,5%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E0F22">
              <w:rPr>
                <w:sz w:val="20"/>
                <w:szCs w:val="20"/>
              </w:rPr>
              <w:t xml:space="preserve"> – 10 anni</w:t>
            </w:r>
          </w:p>
        </w:tc>
        <w:tc>
          <w:tcPr>
            <w:tcW w:w="1660" w:type="dxa"/>
            <w:shd w:val="clear" w:color="auto" w:fill="FBE4CE" w:themeFill="text2" w:themeFillTint="33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10,6%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 w:rsidRPr="008E0F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E0F22">
              <w:rPr>
                <w:sz w:val="20"/>
                <w:szCs w:val="20"/>
              </w:rPr>
              <w:t xml:space="preserve"> – 15 anni</w:t>
            </w:r>
          </w:p>
        </w:tc>
        <w:tc>
          <w:tcPr>
            <w:tcW w:w="1660" w:type="dxa"/>
            <w:shd w:val="clear" w:color="auto" w:fill="F8CA9E" w:themeFill="text2" w:themeFillTint="66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19,4%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 w:rsidRPr="008E0F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8E0F22">
              <w:rPr>
                <w:sz w:val="20"/>
                <w:szCs w:val="20"/>
              </w:rPr>
              <w:t xml:space="preserve"> – 20 anni</w:t>
            </w:r>
          </w:p>
        </w:tc>
        <w:tc>
          <w:tcPr>
            <w:tcW w:w="1660" w:type="dxa"/>
            <w:shd w:val="clear" w:color="auto" w:fill="FBE4CE" w:themeFill="text2" w:themeFillTint="33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24,2%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 w:rsidRPr="008E0F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8E0F22">
              <w:rPr>
                <w:sz w:val="20"/>
                <w:szCs w:val="20"/>
              </w:rPr>
              <w:t xml:space="preserve"> – 25 anni</w:t>
            </w:r>
          </w:p>
        </w:tc>
        <w:tc>
          <w:tcPr>
            <w:tcW w:w="1660" w:type="dxa"/>
            <w:shd w:val="clear" w:color="auto" w:fill="F8CA9E" w:themeFill="text2" w:themeFillTint="66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21,4%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BE4CE" w:themeFill="text2" w:themeFillTint="33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 w:rsidRPr="008E0F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8E0F22">
              <w:rPr>
                <w:sz w:val="20"/>
                <w:szCs w:val="20"/>
              </w:rPr>
              <w:t xml:space="preserve"> – 30 anni</w:t>
            </w:r>
          </w:p>
        </w:tc>
        <w:tc>
          <w:tcPr>
            <w:tcW w:w="1660" w:type="dxa"/>
            <w:shd w:val="clear" w:color="auto" w:fill="FBE4CE" w:themeFill="text2" w:themeFillTint="33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20,9%</w:t>
            </w:r>
          </w:p>
        </w:tc>
      </w:tr>
      <w:tr w:rsidR="00E75315" w:rsidRPr="00F446D0" w:rsidTr="00E75315">
        <w:trPr>
          <w:trHeight w:val="270"/>
          <w:jc w:val="center"/>
        </w:trPr>
        <w:tc>
          <w:tcPr>
            <w:tcW w:w="2860" w:type="dxa"/>
            <w:shd w:val="clear" w:color="auto" w:fill="F8CA9E" w:themeFill="text2" w:themeFillTint="66"/>
            <w:noWrap/>
            <w:vAlign w:val="center"/>
            <w:hideMark/>
          </w:tcPr>
          <w:p w:rsidR="00E75315" w:rsidRPr="00BA1BDF" w:rsidRDefault="00E75315" w:rsidP="00E75315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Oltre 30</w:t>
            </w:r>
            <w:r w:rsidRPr="008E0F22">
              <w:rPr>
                <w:sz w:val="20"/>
                <w:szCs w:val="20"/>
              </w:rPr>
              <w:t xml:space="preserve"> anni</w:t>
            </w:r>
          </w:p>
        </w:tc>
        <w:tc>
          <w:tcPr>
            <w:tcW w:w="1660" w:type="dxa"/>
            <w:shd w:val="clear" w:color="auto" w:fill="F8CA9E" w:themeFill="text2" w:themeFillTint="66"/>
            <w:noWrap/>
            <w:vAlign w:val="center"/>
          </w:tcPr>
          <w:p w:rsidR="00E75315" w:rsidRPr="00E75315" w:rsidRDefault="00E75315" w:rsidP="00E75315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 w:rsidRPr="00E75315">
              <w:rPr>
                <w:sz w:val="20"/>
              </w:rPr>
              <w:t>2,0%</w:t>
            </w:r>
          </w:p>
        </w:tc>
      </w:tr>
    </w:tbl>
    <w:p w:rsidR="00C431C0" w:rsidRPr="000C2969" w:rsidRDefault="00170017" w:rsidP="000C2969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1E079C" w:rsidRPr="00160603" w:rsidRDefault="001E079C" w:rsidP="001E079C">
      <w:pPr>
        <w:pStyle w:val="CRIFTitle2"/>
      </w:pPr>
      <w:r w:rsidRPr="00160603">
        <w:t xml:space="preserve">LA DISTRIBUZIONE DELLE </w:t>
      </w:r>
      <w:r>
        <w:t>RICHIESTE</w:t>
      </w:r>
      <w:r w:rsidRPr="00160603">
        <w:t xml:space="preserve"> PER </w:t>
      </w:r>
      <w:r>
        <w:t>FASCE</w:t>
      </w:r>
      <w:r w:rsidRPr="00160603">
        <w:t xml:space="preserve"> DI ETÀ</w:t>
      </w:r>
      <w:r>
        <w:t xml:space="preserve"> </w:t>
      </w:r>
      <w:r w:rsidR="00526F78">
        <w:t>DEI RICHIEDENTI</w:t>
      </w:r>
    </w:p>
    <w:p w:rsidR="00DF1F79" w:rsidRDefault="001E079C" w:rsidP="0048584E">
      <w:pPr>
        <w:pStyle w:val="CRIFBodyText"/>
        <w:rPr>
          <w:lang w:val="it-IT"/>
        </w:rPr>
      </w:pPr>
      <w:r>
        <w:rPr>
          <w:lang w:val="it-IT"/>
        </w:rPr>
        <w:t>O</w:t>
      </w:r>
      <w:r w:rsidRPr="00160603">
        <w:rPr>
          <w:lang w:val="it-IT"/>
        </w:rPr>
        <w:t>sservando</w:t>
      </w:r>
      <w:r w:rsidR="00FA7348">
        <w:rPr>
          <w:lang w:val="it-IT"/>
        </w:rPr>
        <w:t>,</w:t>
      </w:r>
      <w:r w:rsidRPr="00160603">
        <w:rPr>
          <w:lang w:val="it-IT"/>
        </w:rPr>
        <w:t xml:space="preserve"> </w:t>
      </w:r>
      <w:r>
        <w:rPr>
          <w:lang w:val="it-IT"/>
        </w:rPr>
        <w:t>infine</w:t>
      </w:r>
      <w:r w:rsidR="00FA7348">
        <w:rPr>
          <w:lang w:val="it-IT"/>
        </w:rPr>
        <w:t>,</w:t>
      </w:r>
      <w:r>
        <w:rPr>
          <w:lang w:val="it-IT"/>
        </w:rPr>
        <w:t xml:space="preserve"> </w:t>
      </w:r>
      <w:r w:rsidRPr="00160603">
        <w:rPr>
          <w:lang w:val="it-IT"/>
        </w:rPr>
        <w:t xml:space="preserve">la </w:t>
      </w:r>
      <w:r>
        <w:rPr>
          <w:lang w:val="it-IT"/>
        </w:rPr>
        <w:t>distribuzione delle interrogazioni</w:t>
      </w:r>
      <w:r w:rsidRPr="00160603">
        <w:rPr>
          <w:lang w:val="it-IT"/>
        </w:rPr>
        <w:t xml:space="preserve"> in relazione all’età del richiedente, </w:t>
      </w:r>
      <w:r>
        <w:rPr>
          <w:lang w:val="it-IT"/>
        </w:rPr>
        <w:t xml:space="preserve">l’ultimo aggiornamento del Barometro CRIF </w:t>
      </w:r>
      <w:r w:rsidR="00EC632C">
        <w:rPr>
          <w:lang w:val="it-IT"/>
        </w:rPr>
        <w:t>conferma</w:t>
      </w:r>
      <w:r w:rsidR="00DF1F79">
        <w:rPr>
          <w:lang w:val="it-IT"/>
        </w:rPr>
        <w:t xml:space="preserve"> </w:t>
      </w:r>
      <w:r w:rsidR="00915E56">
        <w:rPr>
          <w:lang w:val="it-IT"/>
        </w:rPr>
        <w:t xml:space="preserve">la predominanza </w:t>
      </w:r>
      <w:r w:rsidR="00915E56" w:rsidRPr="00915E56">
        <w:rPr>
          <w:b/>
          <w:lang w:val="it-IT"/>
        </w:rPr>
        <w:t>del</w:t>
      </w:r>
      <w:r w:rsidRPr="00915E56">
        <w:rPr>
          <w:b/>
          <w:lang w:val="it-IT"/>
        </w:rPr>
        <w:t>la</w:t>
      </w:r>
      <w:r w:rsidRPr="008E0F22">
        <w:rPr>
          <w:b/>
          <w:lang w:val="it-IT"/>
        </w:rPr>
        <w:t xml:space="preserve"> </w:t>
      </w:r>
      <w:r>
        <w:rPr>
          <w:b/>
          <w:lang w:val="it-IT"/>
        </w:rPr>
        <w:t>fascia</w:t>
      </w:r>
      <w:r w:rsidRPr="008E0F22">
        <w:rPr>
          <w:b/>
          <w:lang w:val="it-IT"/>
        </w:rPr>
        <w:t xml:space="preserve"> compresa tra i 35 e i 44 anni</w:t>
      </w:r>
      <w:r>
        <w:rPr>
          <w:lang w:val="it-IT"/>
        </w:rPr>
        <w:t xml:space="preserve">, </w:t>
      </w:r>
      <w:r w:rsidR="00BA79A5">
        <w:rPr>
          <w:lang w:val="it-IT"/>
        </w:rPr>
        <w:t xml:space="preserve">con una quota pari al </w:t>
      </w:r>
      <w:r w:rsidR="00BA79A5" w:rsidRPr="001E079C">
        <w:rPr>
          <w:b/>
          <w:lang w:val="it-IT"/>
        </w:rPr>
        <w:t>35,7%</w:t>
      </w:r>
      <w:r w:rsidR="00BA79A5">
        <w:rPr>
          <w:lang w:val="it-IT"/>
        </w:rPr>
        <w:t xml:space="preserve"> del totale </w:t>
      </w:r>
      <w:r w:rsidR="001A38FB">
        <w:rPr>
          <w:lang w:val="it-IT"/>
        </w:rPr>
        <w:t>sebbene non si registri una netta predominanza</w:t>
      </w:r>
      <w:r w:rsidR="00BA79A5">
        <w:rPr>
          <w:lang w:val="it-IT"/>
        </w:rPr>
        <w:t xml:space="preserve"> rispetto al primo trimestre 2016</w:t>
      </w:r>
      <w:r w:rsidR="00762F53">
        <w:rPr>
          <w:lang w:val="it-IT"/>
        </w:rPr>
        <w:t xml:space="preserve"> quando il dato </w:t>
      </w:r>
      <w:r w:rsidR="0084098B">
        <w:rPr>
          <w:lang w:val="it-IT"/>
        </w:rPr>
        <w:t>si assestava a +</w:t>
      </w:r>
      <w:r w:rsidR="00762F53">
        <w:rPr>
          <w:lang w:val="it-IT"/>
        </w:rPr>
        <w:t>36,3%</w:t>
      </w:r>
      <w:r>
        <w:rPr>
          <w:lang w:val="it-IT"/>
        </w:rPr>
        <w:t xml:space="preserve">. </w:t>
      </w:r>
    </w:p>
    <w:p w:rsidR="00EC632C" w:rsidRDefault="00A109CE" w:rsidP="0048584E">
      <w:pPr>
        <w:pStyle w:val="CRIFBodyText"/>
        <w:rPr>
          <w:lang w:val="it-IT"/>
        </w:rPr>
      </w:pPr>
      <w:r>
        <w:rPr>
          <w:lang w:val="it-IT"/>
        </w:rPr>
        <w:t>N</w:t>
      </w:r>
      <w:r w:rsidR="001E079C">
        <w:rPr>
          <w:lang w:val="it-IT"/>
        </w:rPr>
        <w:t xml:space="preserve">el confronto con </w:t>
      </w:r>
      <w:r w:rsidR="00561DCD">
        <w:rPr>
          <w:lang w:val="it-IT"/>
        </w:rPr>
        <w:t>i dati de</w:t>
      </w:r>
      <w:r w:rsidR="00762F53">
        <w:rPr>
          <w:lang w:val="it-IT"/>
        </w:rPr>
        <w:t xml:space="preserve">l </w:t>
      </w:r>
      <w:r w:rsidR="00561DCD">
        <w:rPr>
          <w:lang w:val="it-IT"/>
        </w:rPr>
        <w:t xml:space="preserve">I </w:t>
      </w:r>
      <w:r w:rsidR="00762F53">
        <w:rPr>
          <w:lang w:val="it-IT"/>
        </w:rPr>
        <w:t>trimestre</w:t>
      </w:r>
      <w:r w:rsidR="00685441">
        <w:rPr>
          <w:lang w:val="it-IT"/>
        </w:rPr>
        <w:t xml:space="preserve"> 2016 </w:t>
      </w:r>
      <w:r w:rsidR="001E079C">
        <w:rPr>
          <w:lang w:val="it-IT"/>
        </w:rPr>
        <w:t>si segnala un incr</w:t>
      </w:r>
      <w:r w:rsidR="0048584E">
        <w:rPr>
          <w:lang w:val="it-IT"/>
        </w:rPr>
        <w:t xml:space="preserve">emento </w:t>
      </w:r>
      <w:r w:rsidR="00680E9A">
        <w:rPr>
          <w:lang w:val="it-IT"/>
        </w:rPr>
        <w:t>di +</w:t>
      </w:r>
      <w:r w:rsidR="00762F53">
        <w:rPr>
          <w:lang w:val="it-IT"/>
        </w:rPr>
        <w:t>1,4</w:t>
      </w:r>
      <w:r w:rsidR="00680E9A">
        <w:rPr>
          <w:lang w:val="it-IT"/>
        </w:rPr>
        <w:t xml:space="preserve"> punti percentuali </w:t>
      </w:r>
      <w:r w:rsidR="00EC632C">
        <w:rPr>
          <w:lang w:val="it-IT"/>
        </w:rPr>
        <w:t xml:space="preserve">delle fasce </w:t>
      </w:r>
      <w:r w:rsidR="00680E9A">
        <w:rPr>
          <w:lang w:val="it-IT"/>
        </w:rPr>
        <w:t xml:space="preserve">di età comprese tra i </w:t>
      </w:r>
      <w:r w:rsidR="00EC632C">
        <w:rPr>
          <w:lang w:val="it-IT"/>
        </w:rPr>
        <w:t>45</w:t>
      </w:r>
      <w:r w:rsidR="00680E9A">
        <w:rPr>
          <w:lang w:val="it-IT"/>
        </w:rPr>
        <w:t xml:space="preserve"> i </w:t>
      </w:r>
      <w:r w:rsidR="00EC632C">
        <w:rPr>
          <w:lang w:val="it-IT"/>
        </w:rPr>
        <w:t>64 anni</w:t>
      </w:r>
      <w:r w:rsidR="00680E9A">
        <w:rPr>
          <w:lang w:val="it-IT"/>
        </w:rPr>
        <w:t>,</w:t>
      </w:r>
      <w:r w:rsidR="00EC632C">
        <w:rPr>
          <w:lang w:val="it-IT"/>
        </w:rPr>
        <w:t xml:space="preserve"> a cui si contrappone una flessione </w:t>
      </w:r>
      <w:r w:rsidR="00680E9A">
        <w:rPr>
          <w:lang w:val="it-IT"/>
        </w:rPr>
        <w:t>di -</w:t>
      </w:r>
      <w:r w:rsidR="00762F53">
        <w:rPr>
          <w:lang w:val="it-IT"/>
        </w:rPr>
        <w:t>0,9</w:t>
      </w:r>
      <w:r w:rsidR="00680E9A">
        <w:rPr>
          <w:lang w:val="it-IT"/>
        </w:rPr>
        <w:t xml:space="preserve"> punti percentuali </w:t>
      </w:r>
      <w:r w:rsidR="008A22C9">
        <w:rPr>
          <w:lang w:val="it-IT"/>
        </w:rPr>
        <w:t xml:space="preserve">dell’incidenza </w:t>
      </w:r>
      <w:r w:rsidR="00EC632C">
        <w:rPr>
          <w:lang w:val="it-IT"/>
        </w:rPr>
        <w:t xml:space="preserve">delle richieste da parte di giovani </w:t>
      </w:r>
      <w:r w:rsidR="00680E9A">
        <w:rPr>
          <w:lang w:val="it-IT"/>
        </w:rPr>
        <w:t>al di sotto dei</w:t>
      </w:r>
      <w:r w:rsidR="00EC632C">
        <w:rPr>
          <w:lang w:val="it-IT"/>
        </w:rPr>
        <w:t xml:space="preserve"> 34 anni</w:t>
      </w:r>
      <w:r w:rsidR="00680E9A">
        <w:rPr>
          <w:lang w:val="it-IT"/>
        </w:rPr>
        <w:t>, fascia d’età che più di tutte</w:t>
      </w:r>
      <w:r w:rsidR="00EC632C">
        <w:rPr>
          <w:lang w:val="it-IT"/>
        </w:rPr>
        <w:t xml:space="preserve"> c</w:t>
      </w:r>
      <w:r w:rsidR="00800322">
        <w:rPr>
          <w:lang w:val="it-IT"/>
        </w:rPr>
        <w:t xml:space="preserve">ontinua a risentire dell’instabilità </w:t>
      </w:r>
      <w:r w:rsidR="00EC632C">
        <w:rPr>
          <w:lang w:val="it-IT"/>
        </w:rPr>
        <w:t>del mercato del lavoro.</w:t>
      </w:r>
    </w:p>
    <w:tbl>
      <w:tblPr>
        <w:tblW w:w="4248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BE4CE" w:themeFill="text2" w:themeFillTint="33"/>
        <w:tblCellMar>
          <w:left w:w="70" w:type="dxa"/>
          <w:right w:w="70" w:type="dxa"/>
        </w:tblCellMar>
        <w:tblLook w:val="04A0"/>
      </w:tblPr>
      <w:tblGrid>
        <w:gridCol w:w="1980"/>
        <w:gridCol w:w="2268"/>
      </w:tblGrid>
      <w:tr w:rsidR="001E079C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EE7D11"/>
            <w:noWrap/>
            <w:vAlign w:val="center"/>
            <w:hideMark/>
          </w:tcPr>
          <w:p w:rsidR="001E079C" w:rsidRPr="00AD3E4D" w:rsidRDefault="001E079C" w:rsidP="00074524">
            <w:pPr>
              <w:spacing w:after="0"/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 w:rsidRPr="00AD3E4D">
              <w:rPr>
                <w:rFonts w:cs="Tahoma"/>
                <w:b/>
                <w:color w:val="FFFFFF" w:themeColor="background1"/>
                <w:sz w:val="20"/>
                <w:szCs w:val="20"/>
              </w:rPr>
              <w:t>Classe Età</w:t>
            </w:r>
          </w:p>
        </w:tc>
        <w:tc>
          <w:tcPr>
            <w:tcW w:w="2268" w:type="dxa"/>
            <w:shd w:val="clear" w:color="auto" w:fill="EE7D11"/>
            <w:noWrap/>
            <w:vAlign w:val="center"/>
            <w:hideMark/>
          </w:tcPr>
          <w:p w:rsidR="001E079C" w:rsidRPr="00AD3E4D" w:rsidRDefault="001E079C" w:rsidP="00A82BB4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% Dati Anno Corrente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8CA9E" w:themeFill="text2" w:themeFillTint="66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18-24 anni</w:t>
            </w:r>
          </w:p>
        </w:tc>
        <w:tc>
          <w:tcPr>
            <w:tcW w:w="2268" w:type="dxa"/>
            <w:shd w:val="clear" w:color="auto" w:fill="F8CA9E" w:themeFill="text2" w:themeFillTint="66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2,1%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BE4CE" w:themeFill="text2" w:themeFillTint="33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25-34 anni</w:t>
            </w:r>
          </w:p>
        </w:tc>
        <w:tc>
          <w:tcPr>
            <w:tcW w:w="2268" w:type="dxa"/>
            <w:shd w:val="clear" w:color="auto" w:fill="FBE4CE" w:themeFill="text2" w:themeFillTint="33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24,3%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8CA9E" w:themeFill="text2" w:themeFillTint="66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35-44 anni</w:t>
            </w:r>
          </w:p>
        </w:tc>
        <w:tc>
          <w:tcPr>
            <w:tcW w:w="2268" w:type="dxa"/>
            <w:shd w:val="clear" w:color="auto" w:fill="F8CA9E" w:themeFill="text2" w:themeFillTint="66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35,7%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BE4CE" w:themeFill="text2" w:themeFillTint="33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45-54 anni</w:t>
            </w:r>
          </w:p>
        </w:tc>
        <w:tc>
          <w:tcPr>
            <w:tcW w:w="2268" w:type="dxa"/>
            <w:shd w:val="clear" w:color="auto" w:fill="FBE4CE" w:themeFill="text2" w:themeFillTint="33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24,1%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8CA9E" w:themeFill="text2" w:themeFillTint="66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55-64 anni</w:t>
            </w:r>
          </w:p>
        </w:tc>
        <w:tc>
          <w:tcPr>
            <w:tcW w:w="2268" w:type="dxa"/>
            <w:shd w:val="clear" w:color="auto" w:fill="F8CA9E" w:themeFill="text2" w:themeFillTint="66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10,7%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BE4CE" w:themeFill="text2" w:themeFillTint="33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t>65-74 anni</w:t>
            </w:r>
          </w:p>
        </w:tc>
        <w:tc>
          <w:tcPr>
            <w:tcW w:w="2268" w:type="dxa"/>
            <w:shd w:val="clear" w:color="auto" w:fill="FBE4CE" w:themeFill="text2" w:themeFillTint="33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2,8%</w:t>
            </w:r>
          </w:p>
        </w:tc>
      </w:tr>
      <w:tr w:rsidR="00F878A9" w:rsidRPr="00F446D0" w:rsidTr="00A82BB4">
        <w:trPr>
          <w:trHeight w:val="270"/>
          <w:jc w:val="center"/>
        </w:trPr>
        <w:tc>
          <w:tcPr>
            <w:tcW w:w="1980" w:type="dxa"/>
            <w:shd w:val="clear" w:color="auto" w:fill="F8CA9E" w:themeFill="text2" w:themeFillTint="66"/>
            <w:noWrap/>
            <w:hideMark/>
          </w:tcPr>
          <w:p w:rsidR="00F878A9" w:rsidRPr="00F446D0" w:rsidRDefault="00F878A9" w:rsidP="00F878A9">
            <w:pPr>
              <w:spacing w:after="0"/>
              <w:rPr>
                <w:rFonts w:cs="Tahoma"/>
                <w:sz w:val="20"/>
                <w:szCs w:val="20"/>
              </w:rPr>
            </w:pPr>
            <w:r w:rsidRPr="00F446D0">
              <w:rPr>
                <w:rFonts w:cs="Tahoma"/>
                <w:sz w:val="20"/>
                <w:szCs w:val="20"/>
              </w:rPr>
              <w:lastRenderedPageBreak/>
              <w:t>Oltre 74 anni</w:t>
            </w:r>
          </w:p>
        </w:tc>
        <w:tc>
          <w:tcPr>
            <w:tcW w:w="2268" w:type="dxa"/>
            <w:shd w:val="clear" w:color="auto" w:fill="F8CA9E" w:themeFill="text2" w:themeFillTint="66"/>
            <w:noWrap/>
          </w:tcPr>
          <w:p w:rsidR="00F878A9" w:rsidRPr="00F878A9" w:rsidRDefault="00F878A9" w:rsidP="00A82BB4">
            <w:pPr>
              <w:spacing w:after="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F878A9">
              <w:rPr>
                <w:sz w:val="20"/>
              </w:rPr>
              <w:t>0,3%</w:t>
            </w:r>
          </w:p>
        </w:tc>
      </w:tr>
    </w:tbl>
    <w:p w:rsidR="00A82BB4" w:rsidRPr="000C2969" w:rsidRDefault="001E079C" w:rsidP="000C2969">
      <w:pPr>
        <w:pStyle w:val="CRIFCaption"/>
        <w:jc w:val="center"/>
        <w:rPr>
          <w:lang w:val="it-IT"/>
        </w:rPr>
      </w:pPr>
      <w:r w:rsidRPr="00160603">
        <w:rPr>
          <w:lang w:val="it-IT"/>
        </w:rPr>
        <w:t>Fonte: EURISC – Il Sistema CRIF di Informazioni Creditizie</w:t>
      </w:r>
    </w:p>
    <w:p w:rsidR="00E431E0" w:rsidRDefault="00BD6647" w:rsidP="00BD6647">
      <w:pPr>
        <w:pStyle w:val="CRIFBodyText"/>
        <w:rPr>
          <w:rFonts w:ascii="Verdana" w:hAnsi="Verdana"/>
          <w:i/>
          <w:iCs/>
          <w:lang w:val="it-IT"/>
        </w:rPr>
      </w:pPr>
      <w:r w:rsidRPr="00BD6647">
        <w:rPr>
          <w:rFonts w:ascii="Verdana" w:hAnsi="Verdana"/>
          <w:i/>
          <w:iCs/>
          <w:lang w:val="it-IT"/>
        </w:rPr>
        <w:t xml:space="preserve">"Il I trimestre 2017 si </w:t>
      </w:r>
      <w:r w:rsidR="000C2969">
        <w:rPr>
          <w:rFonts w:ascii="Verdana" w:hAnsi="Verdana"/>
          <w:i/>
          <w:iCs/>
          <w:lang w:val="it-IT"/>
        </w:rPr>
        <w:t>è chiuso</w:t>
      </w:r>
      <w:r w:rsidRPr="00BD6647">
        <w:rPr>
          <w:rFonts w:ascii="Verdana" w:hAnsi="Verdana"/>
          <w:i/>
          <w:iCs/>
          <w:lang w:val="it-IT"/>
        </w:rPr>
        <w:t xml:space="preserve"> con un trend sostanzialmente piatto del numero di interrogazioni relative alle richieste di nuovi mutui e surroghe</w:t>
      </w:r>
      <w:r w:rsidR="000C2969">
        <w:rPr>
          <w:rFonts w:ascii="Verdana" w:hAnsi="Verdana"/>
          <w:i/>
          <w:iCs/>
          <w:lang w:val="it-IT"/>
        </w:rPr>
        <w:t>,</w:t>
      </w:r>
      <w:r w:rsidRPr="00BD6647">
        <w:rPr>
          <w:rFonts w:ascii="Verdana" w:hAnsi="Verdana"/>
          <w:i/>
          <w:iCs/>
          <w:lang w:val="it-IT"/>
        </w:rPr>
        <w:t xml:space="preserve"> a cui si associa peró la ripresa del valore dell’importo medio rispetto al corrispondente periodo del 2016</w:t>
      </w:r>
      <w:r w:rsidR="00E431E0">
        <w:rPr>
          <w:rFonts w:ascii="Verdana" w:hAnsi="Verdana"/>
          <w:i/>
          <w:iCs/>
          <w:lang w:val="it-IT"/>
        </w:rPr>
        <w:t xml:space="preserve"> </w:t>
      </w:r>
      <w:r w:rsidRPr="00BD6647">
        <w:rPr>
          <w:rFonts w:ascii="Verdana" w:hAnsi="Verdana"/>
          <w:i/>
          <w:iCs/>
          <w:lang w:val="it-IT"/>
        </w:rPr>
        <w:t xml:space="preserve">- commenta </w:t>
      </w:r>
      <w:r w:rsidRPr="00BD6647">
        <w:rPr>
          <w:rFonts w:ascii="Verdana" w:hAnsi="Verdana"/>
          <w:b/>
          <w:bCs/>
          <w:i/>
          <w:iCs/>
          <w:lang w:val="it-IT"/>
        </w:rPr>
        <w:t>Simone Capecchi, Executive Director di CRIF</w:t>
      </w:r>
      <w:r w:rsidRPr="00BD6647">
        <w:rPr>
          <w:rFonts w:ascii="Verdana" w:hAnsi="Verdana"/>
          <w:i/>
          <w:iCs/>
          <w:lang w:val="it-IT"/>
        </w:rPr>
        <w:t xml:space="preserve"> –. Parallelamente, prosegue anche la crescita della durata media dei mutui richiesti, probabilmente riconducibile ad una minore incidenza delle surroghe sul totale delle </w:t>
      </w:r>
      <w:r w:rsidR="00E431E0">
        <w:rPr>
          <w:rFonts w:ascii="Verdana" w:hAnsi="Verdana"/>
          <w:i/>
          <w:iCs/>
          <w:lang w:val="it-IT"/>
        </w:rPr>
        <w:t>richieste</w:t>
      </w:r>
      <w:r w:rsidRPr="00BD6647">
        <w:rPr>
          <w:rFonts w:ascii="Verdana" w:hAnsi="Verdana"/>
          <w:i/>
          <w:iCs/>
          <w:lang w:val="it-IT"/>
        </w:rPr>
        <w:t>. Con uno scenario immobiliare in ripresa sul fronte dei prezzi e delle compravendite, il mercato del credito sta quindi ben supportando questa rinascita, indice anche di una rinnovata fiducia da parte delle famiglie italiane.</w:t>
      </w:r>
      <w:r w:rsidR="00E431E0">
        <w:rPr>
          <w:rFonts w:ascii="Verdana" w:hAnsi="Verdana"/>
          <w:i/>
          <w:iCs/>
          <w:lang w:val="it-IT"/>
        </w:rPr>
        <w:t xml:space="preserve"> </w:t>
      </w:r>
      <w:r w:rsidRPr="00BD6647">
        <w:rPr>
          <w:rFonts w:ascii="Verdana" w:hAnsi="Verdana"/>
          <w:i/>
          <w:iCs/>
          <w:lang w:val="it-IT"/>
        </w:rPr>
        <w:t>Le aziende di credito potrebbero approfittare di questo contesto di mercato per sviluppare campagne commerciali più sofisticate, basate sulle peculiarità territoriali in termini di potenzialità e caratteristiche socio-demografiche. Allo stesso tempo, sono opportuni una corretta valutazione degli immobili e del rischio di credito associato alla richiesta del fiananziamento per garantire un sano e profittevole sviluppo del mercato immobiliare</w:t>
      </w:r>
      <w:r w:rsidR="00E431E0">
        <w:rPr>
          <w:rFonts w:ascii="Verdana" w:hAnsi="Verdana"/>
          <w:i/>
          <w:iCs/>
          <w:lang w:val="it-IT"/>
        </w:rPr>
        <w:t>,</w:t>
      </w:r>
      <w:r w:rsidRPr="00BD6647">
        <w:rPr>
          <w:rFonts w:ascii="Verdana" w:hAnsi="Verdana"/>
          <w:i/>
          <w:iCs/>
          <w:lang w:val="it-IT"/>
        </w:rPr>
        <w:t xml:space="preserve"> sia per le banche che per le famiglie</w:t>
      </w:r>
      <w:r w:rsidR="00E431E0">
        <w:rPr>
          <w:rFonts w:ascii="Verdana" w:hAnsi="Verdana"/>
          <w:i/>
          <w:iCs/>
          <w:lang w:val="it-IT"/>
        </w:rPr>
        <w:t>”.</w:t>
      </w:r>
    </w:p>
    <w:p w:rsidR="00874302" w:rsidRDefault="00874302" w:rsidP="00553A99">
      <w:pPr>
        <w:pStyle w:val="CRIFBodyText"/>
        <w:rPr>
          <w:i/>
          <w:lang w:val="it-IT"/>
        </w:rPr>
      </w:pPr>
    </w:p>
    <w:p w:rsidR="00874302" w:rsidRDefault="00874302" w:rsidP="00553A99">
      <w:pPr>
        <w:pStyle w:val="CRIFBodyText"/>
        <w:rPr>
          <w:i/>
          <w:lang w:val="it-IT"/>
        </w:rPr>
      </w:pPr>
    </w:p>
    <w:bookmarkEnd w:id="0"/>
    <w:p w:rsidR="00874302" w:rsidRDefault="00874302" w:rsidP="00553A99">
      <w:pPr>
        <w:pStyle w:val="CRIFBodyText"/>
        <w:rPr>
          <w:i/>
          <w:lang w:val="it-IT"/>
        </w:rPr>
      </w:pPr>
    </w:p>
    <w:sectPr w:rsidR="00874302" w:rsidSect="00D36FFA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0B2" w:rsidRDefault="009610B2" w:rsidP="002C53BF">
      <w:pPr>
        <w:spacing w:after="0" w:line="240" w:lineRule="auto"/>
      </w:pPr>
      <w:r>
        <w:separator/>
      </w:r>
    </w:p>
  </w:endnote>
  <w:endnote w:type="continuationSeparator" w:id="0">
    <w:p w:rsidR="009610B2" w:rsidRDefault="009610B2" w:rsidP="002C53BF">
      <w:pPr>
        <w:spacing w:after="0" w:line="240" w:lineRule="auto"/>
      </w:pPr>
      <w:r>
        <w:continuationSeparator/>
      </w:r>
    </w:p>
  </w:endnote>
  <w:endnote w:type="continuationNotice" w:id="1">
    <w:p w:rsidR="009610B2" w:rsidRDefault="009610B2" w:rsidP="002C53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ndersonBCGSerif-Regular">
    <w:altName w:val="Henderson 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ex New Book">
    <w:altName w:val="Tahoma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1" w:rsidRPr="00D36FFA" w:rsidRDefault="007554EB" w:rsidP="00D36FFA">
    <w:pPr>
      <w:spacing w:after="0" w:line="360" w:lineRule="auto"/>
      <w:jc w:val="both"/>
      <w:rPr>
        <w:sz w:val="20"/>
        <w:lang w:val="it-IT"/>
      </w:rPr>
    </w:pPr>
    <w:r w:rsidRPr="007554EB">
      <w:rPr>
        <w:noProof/>
        <w:color w:val="B0CFED" w:themeColor="accent3"/>
        <w:sz w:val="20"/>
        <w:lang w:val="it-IT" w:eastAsia="it-IT"/>
      </w:rPr>
      <w:pict>
        <v:rect id="Rectangle 5" o:spid="_x0000_s8194" style="position:absolute;left:0;text-align:left;margin-left:468.3pt;margin-top:-2.9pt;width:1in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" fillcolor="#003b79 [3204]" strokecolor="#001d3c [1604]" strokeweight="1pt">
          <v:path arrowok="t"/>
          <v:textbox>
            <w:txbxContent>
              <w:p w:rsidR="000350E1" w:rsidRPr="005849DB" w:rsidRDefault="007554EB" w:rsidP="005849DB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0350E1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AE0AD9">
                  <w:rPr>
                    <w:noProof/>
                    <w:sz w:val="20"/>
                  </w:rPr>
                  <w:t>5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0350E1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AE0AD9">
                    <w:rPr>
                      <w:noProof/>
                    </w:rPr>
                    <w:t>5</w:t>
                  </w:r>
                </w:fldSimple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1" w:rsidRDefault="007554EB">
    <w:pPr>
      <w:pStyle w:val="Pidipagina"/>
    </w:pPr>
    <w:r w:rsidRPr="007554EB">
      <w:rPr>
        <w:noProof/>
        <w:color w:val="B0CFED" w:themeColor="accent3"/>
        <w:sz w:val="20"/>
        <w:lang w:val="it-IT" w:eastAsia="it-IT"/>
      </w:rPr>
      <w:pict>
        <v:rect id="_x0000_s8193" style="position:absolute;margin-left:468.3pt;margin-top:-7.05pt;width:1in;height:21.6pt;z-index:2516582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" fillcolor="#003b79 [3204]" strokecolor="#001d3c [1604]" strokeweight="1pt">
          <v:path arrowok="t"/>
          <v:textbox>
            <w:txbxContent>
              <w:p w:rsidR="000350E1" w:rsidRPr="005849DB" w:rsidRDefault="007554EB" w:rsidP="00BA392E">
                <w:pPr>
                  <w:jc w:val="center"/>
                  <w:rPr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0350E1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AE0AD9">
                  <w:rPr>
                    <w:noProof/>
                    <w:sz w:val="20"/>
                  </w:rPr>
                  <w:t>1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0350E1">
                  <w:rPr>
                    <w:noProof/>
                    <w:sz w:val="20"/>
                  </w:rPr>
                  <w:t xml:space="preserve"> / </w:t>
                </w:r>
                <w:fldSimple w:instr=" NUMPAGES   \* MERGEFORMAT ">
                  <w:r w:rsidR="00AE0AD9">
                    <w:rPr>
                      <w:noProof/>
                    </w:rPr>
                    <w:t>3</w:t>
                  </w:r>
                </w:fldSimple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0B2" w:rsidRDefault="009610B2" w:rsidP="002C53BF">
      <w:pPr>
        <w:spacing w:after="0" w:line="240" w:lineRule="auto"/>
      </w:pPr>
      <w:r>
        <w:separator/>
      </w:r>
    </w:p>
  </w:footnote>
  <w:footnote w:type="continuationSeparator" w:id="0">
    <w:p w:rsidR="009610B2" w:rsidRDefault="009610B2" w:rsidP="002C53BF">
      <w:pPr>
        <w:spacing w:after="0" w:line="240" w:lineRule="auto"/>
      </w:pPr>
      <w:r>
        <w:continuationSeparator/>
      </w:r>
    </w:p>
  </w:footnote>
  <w:footnote w:type="continuationNotice" w:id="1">
    <w:p w:rsidR="009610B2" w:rsidRDefault="009610B2" w:rsidP="002C53B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1" w:rsidRDefault="000350E1">
    <w:pPr>
      <w:pStyle w:val="Intestazione"/>
    </w:pPr>
  </w:p>
  <w:p w:rsidR="000350E1" w:rsidRDefault="000350E1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0E1" w:rsidRDefault="000350E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0E1" w:rsidRDefault="000350E1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50E1" w:rsidRDefault="000350E1">
    <w:pPr>
      <w:pStyle w:val="Intestazione"/>
    </w:pPr>
  </w:p>
  <w:p w:rsidR="000350E1" w:rsidRDefault="000350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20FEC"/>
    <w:multiLevelType w:val="hybridMultilevel"/>
    <w:tmpl w:val="E1700616"/>
    <w:lvl w:ilvl="0" w:tplc="91E4842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>
    <w:nsid w:val="14D86901"/>
    <w:multiLevelType w:val="hybridMultilevel"/>
    <w:tmpl w:val="69AC48F0"/>
    <w:lvl w:ilvl="0" w:tplc="EEB66DC4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4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9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5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33"/>
  </w:num>
  <w:num w:numId="5">
    <w:abstractNumId w:val="32"/>
  </w:num>
  <w:num w:numId="6">
    <w:abstractNumId w:val="7"/>
  </w:num>
  <w:num w:numId="7">
    <w:abstractNumId w:val="20"/>
  </w:num>
  <w:num w:numId="8">
    <w:abstractNumId w:val="27"/>
  </w:num>
  <w:num w:numId="9">
    <w:abstractNumId w:val="26"/>
  </w:num>
  <w:num w:numId="10">
    <w:abstractNumId w:val="5"/>
  </w:num>
  <w:num w:numId="11">
    <w:abstractNumId w:val="13"/>
  </w:num>
  <w:num w:numId="12">
    <w:abstractNumId w:val="4"/>
  </w:num>
  <w:num w:numId="13">
    <w:abstractNumId w:val="35"/>
  </w:num>
  <w:num w:numId="14">
    <w:abstractNumId w:val="28"/>
  </w:num>
  <w:num w:numId="15">
    <w:abstractNumId w:val="23"/>
  </w:num>
  <w:num w:numId="16">
    <w:abstractNumId w:val="34"/>
  </w:num>
  <w:num w:numId="17">
    <w:abstractNumId w:val="31"/>
  </w:num>
  <w:num w:numId="18">
    <w:abstractNumId w:val="18"/>
  </w:num>
  <w:num w:numId="19">
    <w:abstractNumId w:val="1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29"/>
  </w:num>
  <w:num w:numId="22">
    <w:abstractNumId w:val="15"/>
  </w:num>
  <w:num w:numId="23">
    <w:abstractNumId w:val="10"/>
  </w:num>
  <w:num w:numId="24">
    <w:abstractNumId w:val="41"/>
  </w:num>
  <w:num w:numId="25">
    <w:abstractNumId w:val="6"/>
  </w:num>
  <w:num w:numId="26">
    <w:abstractNumId w:val="12"/>
  </w:num>
  <w:num w:numId="27">
    <w:abstractNumId w:val="39"/>
  </w:num>
  <w:num w:numId="28">
    <w:abstractNumId w:val="22"/>
  </w:num>
  <w:num w:numId="29">
    <w:abstractNumId w:val="40"/>
  </w:num>
  <w:num w:numId="30">
    <w:abstractNumId w:val="17"/>
  </w:num>
  <w:num w:numId="31">
    <w:abstractNumId w:val="8"/>
  </w:num>
  <w:num w:numId="32">
    <w:abstractNumId w:val="0"/>
  </w:num>
  <w:num w:numId="33">
    <w:abstractNumId w:val="21"/>
  </w:num>
  <w:num w:numId="34">
    <w:abstractNumId w:val="37"/>
  </w:num>
  <w:num w:numId="35">
    <w:abstractNumId w:val="38"/>
  </w:num>
  <w:num w:numId="36">
    <w:abstractNumId w:val="14"/>
  </w:num>
  <w:num w:numId="37">
    <w:abstractNumId w:val="42"/>
  </w:num>
  <w:num w:numId="38">
    <w:abstractNumId w:val="9"/>
  </w:num>
  <w:num w:numId="39">
    <w:abstractNumId w:val="24"/>
  </w:num>
  <w:num w:numId="40">
    <w:abstractNumId w:val="36"/>
  </w:num>
  <w:num w:numId="41">
    <w:abstractNumId w:val="30"/>
  </w:num>
  <w:num w:numId="42">
    <w:abstractNumId w:val="19"/>
  </w:num>
  <w:num w:numId="43">
    <w:abstractNumId w:val="11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/>
  <w:attachedTemplate r:id="rId1"/>
  <w:stylePaneFormatFilter w:val="1021"/>
  <w:stylePaneSortMethod w:val="0000"/>
  <w:defaultTabStop w:val="720"/>
  <w:hyphenationZone w:val="283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92E"/>
    <w:rsid w:val="00001471"/>
    <w:rsid w:val="0000197C"/>
    <w:rsid w:val="00002806"/>
    <w:rsid w:val="00004014"/>
    <w:rsid w:val="0000484F"/>
    <w:rsid w:val="00010FB3"/>
    <w:rsid w:val="0001382A"/>
    <w:rsid w:val="00014894"/>
    <w:rsid w:val="00015B75"/>
    <w:rsid w:val="00020245"/>
    <w:rsid w:val="00021C7A"/>
    <w:rsid w:val="0002535B"/>
    <w:rsid w:val="00026167"/>
    <w:rsid w:val="00026200"/>
    <w:rsid w:val="00027D8F"/>
    <w:rsid w:val="00032387"/>
    <w:rsid w:val="00032AAA"/>
    <w:rsid w:val="00032DF0"/>
    <w:rsid w:val="000350E1"/>
    <w:rsid w:val="00036643"/>
    <w:rsid w:val="00040F5F"/>
    <w:rsid w:val="00044B04"/>
    <w:rsid w:val="0004615F"/>
    <w:rsid w:val="000465B9"/>
    <w:rsid w:val="00046BE3"/>
    <w:rsid w:val="0004755D"/>
    <w:rsid w:val="00051A77"/>
    <w:rsid w:val="00053DFC"/>
    <w:rsid w:val="0005431A"/>
    <w:rsid w:val="00056315"/>
    <w:rsid w:val="00057649"/>
    <w:rsid w:val="00063A7E"/>
    <w:rsid w:val="0006563A"/>
    <w:rsid w:val="0007055E"/>
    <w:rsid w:val="000711E3"/>
    <w:rsid w:val="000725C5"/>
    <w:rsid w:val="000731DA"/>
    <w:rsid w:val="00073FD2"/>
    <w:rsid w:val="0007419E"/>
    <w:rsid w:val="00074524"/>
    <w:rsid w:val="00076251"/>
    <w:rsid w:val="00076D22"/>
    <w:rsid w:val="00082233"/>
    <w:rsid w:val="00082B3B"/>
    <w:rsid w:val="0008397D"/>
    <w:rsid w:val="00086E39"/>
    <w:rsid w:val="00087314"/>
    <w:rsid w:val="000877E3"/>
    <w:rsid w:val="00090233"/>
    <w:rsid w:val="00090692"/>
    <w:rsid w:val="000914DA"/>
    <w:rsid w:val="000958F4"/>
    <w:rsid w:val="000A0471"/>
    <w:rsid w:val="000A22D0"/>
    <w:rsid w:val="000A46D2"/>
    <w:rsid w:val="000A49BF"/>
    <w:rsid w:val="000A4A33"/>
    <w:rsid w:val="000B11F8"/>
    <w:rsid w:val="000B1462"/>
    <w:rsid w:val="000B15CE"/>
    <w:rsid w:val="000B18A5"/>
    <w:rsid w:val="000B2404"/>
    <w:rsid w:val="000B2D31"/>
    <w:rsid w:val="000B4997"/>
    <w:rsid w:val="000B6C5A"/>
    <w:rsid w:val="000C0CE1"/>
    <w:rsid w:val="000C1188"/>
    <w:rsid w:val="000C14CC"/>
    <w:rsid w:val="000C174E"/>
    <w:rsid w:val="000C257C"/>
    <w:rsid w:val="000C2969"/>
    <w:rsid w:val="000C456A"/>
    <w:rsid w:val="000C6099"/>
    <w:rsid w:val="000C614F"/>
    <w:rsid w:val="000C7C51"/>
    <w:rsid w:val="000D0B1B"/>
    <w:rsid w:val="000D1408"/>
    <w:rsid w:val="000D530A"/>
    <w:rsid w:val="000D73A7"/>
    <w:rsid w:val="000E1320"/>
    <w:rsid w:val="000E132E"/>
    <w:rsid w:val="000E2DE9"/>
    <w:rsid w:val="000E44F1"/>
    <w:rsid w:val="000E48C8"/>
    <w:rsid w:val="000E6C9A"/>
    <w:rsid w:val="000E7EB0"/>
    <w:rsid w:val="000F4F7B"/>
    <w:rsid w:val="000F524F"/>
    <w:rsid w:val="0010164A"/>
    <w:rsid w:val="001066F2"/>
    <w:rsid w:val="00117461"/>
    <w:rsid w:val="00120666"/>
    <w:rsid w:val="001216ED"/>
    <w:rsid w:val="00121FDF"/>
    <w:rsid w:val="00123314"/>
    <w:rsid w:val="001237F8"/>
    <w:rsid w:val="00130750"/>
    <w:rsid w:val="00130B26"/>
    <w:rsid w:val="00137B74"/>
    <w:rsid w:val="00141114"/>
    <w:rsid w:val="00143314"/>
    <w:rsid w:val="00146513"/>
    <w:rsid w:val="00146718"/>
    <w:rsid w:val="00147609"/>
    <w:rsid w:val="00151A2B"/>
    <w:rsid w:val="00153A7A"/>
    <w:rsid w:val="001570D8"/>
    <w:rsid w:val="00160603"/>
    <w:rsid w:val="0016147A"/>
    <w:rsid w:val="0016302E"/>
    <w:rsid w:val="00164C33"/>
    <w:rsid w:val="00165585"/>
    <w:rsid w:val="00170017"/>
    <w:rsid w:val="0017085D"/>
    <w:rsid w:val="001710D8"/>
    <w:rsid w:val="00171A16"/>
    <w:rsid w:val="00172D2A"/>
    <w:rsid w:val="00173E6D"/>
    <w:rsid w:val="00173FD8"/>
    <w:rsid w:val="001759E9"/>
    <w:rsid w:val="001759EE"/>
    <w:rsid w:val="00177359"/>
    <w:rsid w:val="0017759F"/>
    <w:rsid w:val="00177ADB"/>
    <w:rsid w:val="001824C6"/>
    <w:rsid w:val="00184641"/>
    <w:rsid w:val="00184E81"/>
    <w:rsid w:val="00187BDC"/>
    <w:rsid w:val="00191543"/>
    <w:rsid w:val="00193453"/>
    <w:rsid w:val="0019483E"/>
    <w:rsid w:val="00196901"/>
    <w:rsid w:val="00196F4B"/>
    <w:rsid w:val="001A25BE"/>
    <w:rsid w:val="001A2E55"/>
    <w:rsid w:val="001A38FB"/>
    <w:rsid w:val="001A3931"/>
    <w:rsid w:val="001A6492"/>
    <w:rsid w:val="001A6B73"/>
    <w:rsid w:val="001A79C2"/>
    <w:rsid w:val="001B239A"/>
    <w:rsid w:val="001B752E"/>
    <w:rsid w:val="001C0C03"/>
    <w:rsid w:val="001C6E76"/>
    <w:rsid w:val="001C7DCC"/>
    <w:rsid w:val="001D5789"/>
    <w:rsid w:val="001D79EE"/>
    <w:rsid w:val="001D7BD4"/>
    <w:rsid w:val="001D7E40"/>
    <w:rsid w:val="001E079C"/>
    <w:rsid w:val="001E421D"/>
    <w:rsid w:val="001E52B6"/>
    <w:rsid w:val="001E77D8"/>
    <w:rsid w:val="001E7C00"/>
    <w:rsid w:val="001F0042"/>
    <w:rsid w:val="001F01C2"/>
    <w:rsid w:val="001F169D"/>
    <w:rsid w:val="001F1720"/>
    <w:rsid w:val="001F1FAF"/>
    <w:rsid w:val="002004E1"/>
    <w:rsid w:val="002032A8"/>
    <w:rsid w:val="00205356"/>
    <w:rsid w:val="00205AEB"/>
    <w:rsid w:val="00206395"/>
    <w:rsid w:val="00206FD9"/>
    <w:rsid w:val="002144A5"/>
    <w:rsid w:val="002144C0"/>
    <w:rsid w:val="00214A45"/>
    <w:rsid w:val="00215980"/>
    <w:rsid w:val="002211D8"/>
    <w:rsid w:val="00221A33"/>
    <w:rsid w:val="00224156"/>
    <w:rsid w:val="002243BF"/>
    <w:rsid w:val="002244D6"/>
    <w:rsid w:val="00225C00"/>
    <w:rsid w:val="0022792E"/>
    <w:rsid w:val="00230216"/>
    <w:rsid w:val="002319AC"/>
    <w:rsid w:val="00231A0A"/>
    <w:rsid w:val="0023251A"/>
    <w:rsid w:val="00234A8E"/>
    <w:rsid w:val="00234DFB"/>
    <w:rsid w:val="00241146"/>
    <w:rsid w:val="0024157C"/>
    <w:rsid w:val="00241C7D"/>
    <w:rsid w:val="0024278C"/>
    <w:rsid w:val="0024341C"/>
    <w:rsid w:val="0024491C"/>
    <w:rsid w:val="00246197"/>
    <w:rsid w:val="002464D1"/>
    <w:rsid w:val="00251451"/>
    <w:rsid w:val="00254F5E"/>
    <w:rsid w:val="00255FCE"/>
    <w:rsid w:val="0025664F"/>
    <w:rsid w:val="002570E0"/>
    <w:rsid w:val="00260A2E"/>
    <w:rsid w:val="00260AFF"/>
    <w:rsid w:val="00261A9A"/>
    <w:rsid w:val="00262227"/>
    <w:rsid w:val="00263E5D"/>
    <w:rsid w:val="00264489"/>
    <w:rsid w:val="002665E8"/>
    <w:rsid w:val="00270AC2"/>
    <w:rsid w:val="0027175E"/>
    <w:rsid w:val="00271E0F"/>
    <w:rsid w:val="002736A6"/>
    <w:rsid w:val="002741F5"/>
    <w:rsid w:val="0027454D"/>
    <w:rsid w:val="00280575"/>
    <w:rsid w:val="00284DB7"/>
    <w:rsid w:val="0028547C"/>
    <w:rsid w:val="00286BB0"/>
    <w:rsid w:val="00290E4E"/>
    <w:rsid w:val="002912CE"/>
    <w:rsid w:val="00293C25"/>
    <w:rsid w:val="00295339"/>
    <w:rsid w:val="002968E5"/>
    <w:rsid w:val="00297367"/>
    <w:rsid w:val="00297C37"/>
    <w:rsid w:val="002A09F3"/>
    <w:rsid w:val="002A46D0"/>
    <w:rsid w:val="002A4F11"/>
    <w:rsid w:val="002A5D09"/>
    <w:rsid w:val="002B0006"/>
    <w:rsid w:val="002B1825"/>
    <w:rsid w:val="002B1E1C"/>
    <w:rsid w:val="002B389C"/>
    <w:rsid w:val="002B44BD"/>
    <w:rsid w:val="002C01E3"/>
    <w:rsid w:val="002C1598"/>
    <w:rsid w:val="002C26D0"/>
    <w:rsid w:val="002C2C13"/>
    <w:rsid w:val="002C4065"/>
    <w:rsid w:val="002C53BF"/>
    <w:rsid w:val="002C587D"/>
    <w:rsid w:val="002C6DFB"/>
    <w:rsid w:val="002C7091"/>
    <w:rsid w:val="002D51AB"/>
    <w:rsid w:val="002D5AD7"/>
    <w:rsid w:val="002D7D55"/>
    <w:rsid w:val="002E2008"/>
    <w:rsid w:val="002E39CB"/>
    <w:rsid w:val="002E65C8"/>
    <w:rsid w:val="002F191F"/>
    <w:rsid w:val="002F3897"/>
    <w:rsid w:val="002F3898"/>
    <w:rsid w:val="002F4473"/>
    <w:rsid w:val="002F54D1"/>
    <w:rsid w:val="002F628C"/>
    <w:rsid w:val="00302E62"/>
    <w:rsid w:val="003052F7"/>
    <w:rsid w:val="003053C1"/>
    <w:rsid w:val="003131E6"/>
    <w:rsid w:val="00320788"/>
    <w:rsid w:val="003211FF"/>
    <w:rsid w:val="00321914"/>
    <w:rsid w:val="003227A1"/>
    <w:rsid w:val="0032387A"/>
    <w:rsid w:val="00323DAF"/>
    <w:rsid w:val="00324F39"/>
    <w:rsid w:val="003257B5"/>
    <w:rsid w:val="003313CD"/>
    <w:rsid w:val="003329C5"/>
    <w:rsid w:val="00332D61"/>
    <w:rsid w:val="00333BD6"/>
    <w:rsid w:val="00333DCA"/>
    <w:rsid w:val="00334131"/>
    <w:rsid w:val="00335347"/>
    <w:rsid w:val="00335475"/>
    <w:rsid w:val="00335B09"/>
    <w:rsid w:val="003419D7"/>
    <w:rsid w:val="00342EE4"/>
    <w:rsid w:val="0034439B"/>
    <w:rsid w:val="003470CE"/>
    <w:rsid w:val="00347B1F"/>
    <w:rsid w:val="00347B8E"/>
    <w:rsid w:val="00347FC4"/>
    <w:rsid w:val="0035201D"/>
    <w:rsid w:val="00352320"/>
    <w:rsid w:val="00352872"/>
    <w:rsid w:val="00352D55"/>
    <w:rsid w:val="00356D7D"/>
    <w:rsid w:val="003646D7"/>
    <w:rsid w:val="00365064"/>
    <w:rsid w:val="0036788B"/>
    <w:rsid w:val="0037185C"/>
    <w:rsid w:val="003739D9"/>
    <w:rsid w:val="00375B95"/>
    <w:rsid w:val="00376D7D"/>
    <w:rsid w:val="003773BD"/>
    <w:rsid w:val="003778AC"/>
    <w:rsid w:val="003779B8"/>
    <w:rsid w:val="0038508E"/>
    <w:rsid w:val="00385697"/>
    <w:rsid w:val="003878D8"/>
    <w:rsid w:val="00387C33"/>
    <w:rsid w:val="003919E5"/>
    <w:rsid w:val="00391C91"/>
    <w:rsid w:val="003928FC"/>
    <w:rsid w:val="003935B5"/>
    <w:rsid w:val="003963D6"/>
    <w:rsid w:val="00396482"/>
    <w:rsid w:val="003A2711"/>
    <w:rsid w:val="003A4B46"/>
    <w:rsid w:val="003A57CE"/>
    <w:rsid w:val="003A7A98"/>
    <w:rsid w:val="003B2C26"/>
    <w:rsid w:val="003B3292"/>
    <w:rsid w:val="003B365C"/>
    <w:rsid w:val="003B47E5"/>
    <w:rsid w:val="003C0991"/>
    <w:rsid w:val="003C52FF"/>
    <w:rsid w:val="003C5605"/>
    <w:rsid w:val="003C7710"/>
    <w:rsid w:val="003C7BE0"/>
    <w:rsid w:val="003D191A"/>
    <w:rsid w:val="003D1AC9"/>
    <w:rsid w:val="003D34CE"/>
    <w:rsid w:val="003D37C7"/>
    <w:rsid w:val="003D3840"/>
    <w:rsid w:val="003D4D0D"/>
    <w:rsid w:val="003E0281"/>
    <w:rsid w:val="003E1D9F"/>
    <w:rsid w:val="003E367D"/>
    <w:rsid w:val="003F2542"/>
    <w:rsid w:val="003F3AD4"/>
    <w:rsid w:val="003F454E"/>
    <w:rsid w:val="003F4C4B"/>
    <w:rsid w:val="003F6235"/>
    <w:rsid w:val="004070B3"/>
    <w:rsid w:val="00411645"/>
    <w:rsid w:val="00412128"/>
    <w:rsid w:val="00421C7E"/>
    <w:rsid w:val="00422580"/>
    <w:rsid w:val="00425069"/>
    <w:rsid w:val="00427196"/>
    <w:rsid w:val="00431599"/>
    <w:rsid w:val="00433F49"/>
    <w:rsid w:val="004343AE"/>
    <w:rsid w:val="0043705C"/>
    <w:rsid w:val="004420E0"/>
    <w:rsid w:val="004428C0"/>
    <w:rsid w:val="00442F1C"/>
    <w:rsid w:val="004444AA"/>
    <w:rsid w:val="00445B85"/>
    <w:rsid w:val="00446596"/>
    <w:rsid w:val="0045015E"/>
    <w:rsid w:val="00450F9F"/>
    <w:rsid w:val="00451D4F"/>
    <w:rsid w:val="00452591"/>
    <w:rsid w:val="00452D91"/>
    <w:rsid w:val="00453722"/>
    <w:rsid w:val="0046393F"/>
    <w:rsid w:val="00465680"/>
    <w:rsid w:val="00466D82"/>
    <w:rsid w:val="00472540"/>
    <w:rsid w:val="0047375B"/>
    <w:rsid w:val="00475244"/>
    <w:rsid w:val="0047635F"/>
    <w:rsid w:val="004765EC"/>
    <w:rsid w:val="004766EF"/>
    <w:rsid w:val="00477C0E"/>
    <w:rsid w:val="0048024F"/>
    <w:rsid w:val="00480A1E"/>
    <w:rsid w:val="00482CC8"/>
    <w:rsid w:val="004831DA"/>
    <w:rsid w:val="00483C1A"/>
    <w:rsid w:val="00484026"/>
    <w:rsid w:val="00484D34"/>
    <w:rsid w:val="0048584E"/>
    <w:rsid w:val="004872FB"/>
    <w:rsid w:val="004908E6"/>
    <w:rsid w:val="00490E1A"/>
    <w:rsid w:val="00493F3B"/>
    <w:rsid w:val="004957FC"/>
    <w:rsid w:val="00495838"/>
    <w:rsid w:val="00496A1E"/>
    <w:rsid w:val="00497A8A"/>
    <w:rsid w:val="004A3064"/>
    <w:rsid w:val="004A3B8A"/>
    <w:rsid w:val="004A4877"/>
    <w:rsid w:val="004A4D3F"/>
    <w:rsid w:val="004A4F76"/>
    <w:rsid w:val="004A70F2"/>
    <w:rsid w:val="004B154E"/>
    <w:rsid w:val="004B2DB0"/>
    <w:rsid w:val="004B3537"/>
    <w:rsid w:val="004B5377"/>
    <w:rsid w:val="004B59C2"/>
    <w:rsid w:val="004B5D72"/>
    <w:rsid w:val="004B6751"/>
    <w:rsid w:val="004B7533"/>
    <w:rsid w:val="004C0464"/>
    <w:rsid w:val="004C0F7E"/>
    <w:rsid w:val="004C1465"/>
    <w:rsid w:val="004C38F1"/>
    <w:rsid w:val="004C5C05"/>
    <w:rsid w:val="004D16C3"/>
    <w:rsid w:val="004D2419"/>
    <w:rsid w:val="004D4355"/>
    <w:rsid w:val="004D52F7"/>
    <w:rsid w:val="004D5F6A"/>
    <w:rsid w:val="004D6331"/>
    <w:rsid w:val="004D7A2E"/>
    <w:rsid w:val="004E0121"/>
    <w:rsid w:val="004E1B24"/>
    <w:rsid w:val="004E22C9"/>
    <w:rsid w:val="004E3A0F"/>
    <w:rsid w:val="004E3F56"/>
    <w:rsid w:val="004E4D76"/>
    <w:rsid w:val="004E5E93"/>
    <w:rsid w:val="004E7137"/>
    <w:rsid w:val="004E7669"/>
    <w:rsid w:val="004F04EA"/>
    <w:rsid w:val="004F1684"/>
    <w:rsid w:val="004F2826"/>
    <w:rsid w:val="004F2A01"/>
    <w:rsid w:val="004F2BA7"/>
    <w:rsid w:val="004F4C9A"/>
    <w:rsid w:val="004F5381"/>
    <w:rsid w:val="004F6C35"/>
    <w:rsid w:val="00501782"/>
    <w:rsid w:val="00503E93"/>
    <w:rsid w:val="00504554"/>
    <w:rsid w:val="005049D8"/>
    <w:rsid w:val="005107CA"/>
    <w:rsid w:val="005134AC"/>
    <w:rsid w:val="00513B00"/>
    <w:rsid w:val="00514032"/>
    <w:rsid w:val="005146FD"/>
    <w:rsid w:val="00515351"/>
    <w:rsid w:val="00515627"/>
    <w:rsid w:val="00516BB7"/>
    <w:rsid w:val="00516FD0"/>
    <w:rsid w:val="00521C06"/>
    <w:rsid w:val="00523D23"/>
    <w:rsid w:val="00524569"/>
    <w:rsid w:val="0052595A"/>
    <w:rsid w:val="00526369"/>
    <w:rsid w:val="00526F78"/>
    <w:rsid w:val="005323CD"/>
    <w:rsid w:val="00533957"/>
    <w:rsid w:val="005343B3"/>
    <w:rsid w:val="00534915"/>
    <w:rsid w:val="0053511B"/>
    <w:rsid w:val="00541524"/>
    <w:rsid w:val="0054247C"/>
    <w:rsid w:val="005426F5"/>
    <w:rsid w:val="00542F21"/>
    <w:rsid w:val="005462DE"/>
    <w:rsid w:val="00547186"/>
    <w:rsid w:val="00547A17"/>
    <w:rsid w:val="00550095"/>
    <w:rsid w:val="00550A8B"/>
    <w:rsid w:val="005529DB"/>
    <w:rsid w:val="00553A99"/>
    <w:rsid w:val="005569B5"/>
    <w:rsid w:val="0055786B"/>
    <w:rsid w:val="00561DCD"/>
    <w:rsid w:val="005635CC"/>
    <w:rsid w:val="005651ED"/>
    <w:rsid w:val="005655BD"/>
    <w:rsid w:val="00567693"/>
    <w:rsid w:val="00567C6B"/>
    <w:rsid w:val="0057025D"/>
    <w:rsid w:val="005707AD"/>
    <w:rsid w:val="00575E7A"/>
    <w:rsid w:val="00580289"/>
    <w:rsid w:val="005811D8"/>
    <w:rsid w:val="00581616"/>
    <w:rsid w:val="00582CCD"/>
    <w:rsid w:val="0058472A"/>
    <w:rsid w:val="005849DB"/>
    <w:rsid w:val="00585FD3"/>
    <w:rsid w:val="00586938"/>
    <w:rsid w:val="00586F29"/>
    <w:rsid w:val="00587C54"/>
    <w:rsid w:val="00594053"/>
    <w:rsid w:val="005978D9"/>
    <w:rsid w:val="005A038B"/>
    <w:rsid w:val="005A2360"/>
    <w:rsid w:val="005B2831"/>
    <w:rsid w:val="005B408E"/>
    <w:rsid w:val="005C301B"/>
    <w:rsid w:val="005C3C80"/>
    <w:rsid w:val="005C4F93"/>
    <w:rsid w:val="005C508F"/>
    <w:rsid w:val="005C5A62"/>
    <w:rsid w:val="005C6034"/>
    <w:rsid w:val="005C6CBD"/>
    <w:rsid w:val="005C70BC"/>
    <w:rsid w:val="005D1CAD"/>
    <w:rsid w:val="005D368E"/>
    <w:rsid w:val="005D75F1"/>
    <w:rsid w:val="005E1779"/>
    <w:rsid w:val="005E1D4F"/>
    <w:rsid w:val="005E36CF"/>
    <w:rsid w:val="005E4145"/>
    <w:rsid w:val="005E5E40"/>
    <w:rsid w:val="005E71ED"/>
    <w:rsid w:val="005E7F68"/>
    <w:rsid w:val="005F3D0B"/>
    <w:rsid w:val="005F3D3E"/>
    <w:rsid w:val="005F5621"/>
    <w:rsid w:val="005F5791"/>
    <w:rsid w:val="005F6252"/>
    <w:rsid w:val="005F7C22"/>
    <w:rsid w:val="00600293"/>
    <w:rsid w:val="00601238"/>
    <w:rsid w:val="00602296"/>
    <w:rsid w:val="00602F06"/>
    <w:rsid w:val="0060319F"/>
    <w:rsid w:val="006077E2"/>
    <w:rsid w:val="006128DE"/>
    <w:rsid w:val="00613054"/>
    <w:rsid w:val="00613F82"/>
    <w:rsid w:val="006141AD"/>
    <w:rsid w:val="00614BBC"/>
    <w:rsid w:val="0061723C"/>
    <w:rsid w:val="00620B0F"/>
    <w:rsid w:val="006217D5"/>
    <w:rsid w:val="00625A36"/>
    <w:rsid w:val="00627F18"/>
    <w:rsid w:val="0063082B"/>
    <w:rsid w:val="006318ED"/>
    <w:rsid w:val="006327EA"/>
    <w:rsid w:val="006357F9"/>
    <w:rsid w:val="00642BB3"/>
    <w:rsid w:val="00647EED"/>
    <w:rsid w:val="006532D6"/>
    <w:rsid w:val="006641C2"/>
    <w:rsid w:val="0066589B"/>
    <w:rsid w:val="00666C72"/>
    <w:rsid w:val="00667720"/>
    <w:rsid w:val="00670977"/>
    <w:rsid w:val="006721B3"/>
    <w:rsid w:val="006723F2"/>
    <w:rsid w:val="00673B8A"/>
    <w:rsid w:val="00676486"/>
    <w:rsid w:val="00680E9A"/>
    <w:rsid w:val="006818C4"/>
    <w:rsid w:val="00685441"/>
    <w:rsid w:val="00693821"/>
    <w:rsid w:val="006938C8"/>
    <w:rsid w:val="0069601D"/>
    <w:rsid w:val="00697D50"/>
    <w:rsid w:val="006A01B5"/>
    <w:rsid w:val="006A036F"/>
    <w:rsid w:val="006A2283"/>
    <w:rsid w:val="006A32F0"/>
    <w:rsid w:val="006A4112"/>
    <w:rsid w:val="006A640F"/>
    <w:rsid w:val="006A6480"/>
    <w:rsid w:val="006B161F"/>
    <w:rsid w:val="006B1FCB"/>
    <w:rsid w:val="006B2373"/>
    <w:rsid w:val="006B47F3"/>
    <w:rsid w:val="006B60A1"/>
    <w:rsid w:val="006B71BF"/>
    <w:rsid w:val="006C4EF6"/>
    <w:rsid w:val="006C62D4"/>
    <w:rsid w:val="006C7FDF"/>
    <w:rsid w:val="006D2764"/>
    <w:rsid w:val="006D6BB3"/>
    <w:rsid w:val="006D72AF"/>
    <w:rsid w:val="006D775F"/>
    <w:rsid w:val="006E289F"/>
    <w:rsid w:val="006E4C86"/>
    <w:rsid w:val="006E51AA"/>
    <w:rsid w:val="006E5A55"/>
    <w:rsid w:val="006F407D"/>
    <w:rsid w:val="006F4E42"/>
    <w:rsid w:val="006F68B8"/>
    <w:rsid w:val="006F7679"/>
    <w:rsid w:val="007005E9"/>
    <w:rsid w:val="00701E36"/>
    <w:rsid w:val="00702042"/>
    <w:rsid w:val="00702D3D"/>
    <w:rsid w:val="00707E24"/>
    <w:rsid w:val="00712358"/>
    <w:rsid w:val="00712DD4"/>
    <w:rsid w:val="00713A3C"/>
    <w:rsid w:val="00715919"/>
    <w:rsid w:val="00717A41"/>
    <w:rsid w:val="0072026D"/>
    <w:rsid w:val="00723732"/>
    <w:rsid w:val="00726AA3"/>
    <w:rsid w:val="00727A95"/>
    <w:rsid w:val="0073072A"/>
    <w:rsid w:val="00731166"/>
    <w:rsid w:val="00731E32"/>
    <w:rsid w:val="007333E1"/>
    <w:rsid w:val="0073656D"/>
    <w:rsid w:val="00737122"/>
    <w:rsid w:val="00746FDC"/>
    <w:rsid w:val="0075042F"/>
    <w:rsid w:val="00751238"/>
    <w:rsid w:val="00754373"/>
    <w:rsid w:val="007554EB"/>
    <w:rsid w:val="00762F53"/>
    <w:rsid w:val="00765E1C"/>
    <w:rsid w:val="00772962"/>
    <w:rsid w:val="007751C3"/>
    <w:rsid w:val="0077714E"/>
    <w:rsid w:val="00780164"/>
    <w:rsid w:val="00781B0C"/>
    <w:rsid w:val="00782AAF"/>
    <w:rsid w:val="00785904"/>
    <w:rsid w:val="00786EDD"/>
    <w:rsid w:val="00787AD5"/>
    <w:rsid w:val="00790472"/>
    <w:rsid w:val="00793721"/>
    <w:rsid w:val="00793E52"/>
    <w:rsid w:val="007957E5"/>
    <w:rsid w:val="007A28DF"/>
    <w:rsid w:val="007A2D56"/>
    <w:rsid w:val="007A5322"/>
    <w:rsid w:val="007B06F3"/>
    <w:rsid w:val="007B0770"/>
    <w:rsid w:val="007B2140"/>
    <w:rsid w:val="007B29CB"/>
    <w:rsid w:val="007B316A"/>
    <w:rsid w:val="007B32CC"/>
    <w:rsid w:val="007B511D"/>
    <w:rsid w:val="007B5C10"/>
    <w:rsid w:val="007B5F6E"/>
    <w:rsid w:val="007C07D0"/>
    <w:rsid w:val="007C2E36"/>
    <w:rsid w:val="007C7774"/>
    <w:rsid w:val="007C7F87"/>
    <w:rsid w:val="007D0223"/>
    <w:rsid w:val="007D218B"/>
    <w:rsid w:val="007D4A1D"/>
    <w:rsid w:val="007D591A"/>
    <w:rsid w:val="007E32DC"/>
    <w:rsid w:val="007E3390"/>
    <w:rsid w:val="007E386D"/>
    <w:rsid w:val="007E3895"/>
    <w:rsid w:val="007F06FA"/>
    <w:rsid w:val="007F0D26"/>
    <w:rsid w:val="007F1A56"/>
    <w:rsid w:val="007F1CAC"/>
    <w:rsid w:val="007F516E"/>
    <w:rsid w:val="007F78CC"/>
    <w:rsid w:val="007F7D71"/>
    <w:rsid w:val="007F7EEF"/>
    <w:rsid w:val="00800322"/>
    <w:rsid w:val="00801AAE"/>
    <w:rsid w:val="00801B2B"/>
    <w:rsid w:val="00802365"/>
    <w:rsid w:val="00804426"/>
    <w:rsid w:val="008053ED"/>
    <w:rsid w:val="008058B8"/>
    <w:rsid w:val="00806314"/>
    <w:rsid w:val="00806FAA"/>
    <w:rsid w:val="00810651"/>
    <w:rsid w:val="00810D96"/>
    <w:rsid w:val="00816D64"/>
    <w:rsid w:val="00817E17"/>
    <w:rsid w:val="0082053D"/>
    <w:rsid w:val="00821686"/>
    <w:rsid w:val="00822FE3"/>
    <w:rsid w:val="0082354B"/>
    <w:rsid w:val="00823E4D"/>
    <w:rsid w:val="00824157"/>
    <w:rsid w:val="008274F4"/>
    <w:rsid w:val="00827B70"/>
    <w:rsid w:val="008301A7"/>
    <w:rsid w:val="008352D0"/>
    <w:rsid w:val="0084098B"/>
    <w:rsid w:val="0084325B"/>
    <w:rsid w:val="00844F4E"/>
    <w:rsid w:val="0084642B"/>
    <w:rsid w:val="008473B7"/>
    <w:rsid w:val="008507EB"/>
    <w:rsid w:val="00852C0C"/>
    <w:rsid w:val="0085368C"/>
    <w:rsid w:val="008558F7"/>
    <w:rsid w:val="00855F84"/>
    <w:rsid w:val="0086160C"/>
    <w:rsid w:val="00861DC3"/>
    <w:rsid w:val="00864A3E"/>
    <w:rsid w:val="00865DC9"/>
    <w:rsid w:val="00870C5C"/>
    <w:rsid w:val="008726C9"/>
    <w:rsid w:val="00873485"/>
    <w:rsid w:val="00873B97"/>
    <w:rsid w:val="00874302"/>
    <w:rsid w:val="00875D52"/>
    <w:rsid w:val="00877F49"/>
    <w:rsid w:val="00881CD9"/>
    <w:rsid w:val="00895D0E"/>
    <w:rsid w:val="00895FE6"/>
    <w:rsid w:val="00896288"/>
    <w:rsid w:val="00897956"/>
    <w:rsid w:val="008A22C9"/>
    <w:rsid w:val="008A401A"/>
    <w:rsid w:val="008A44B2"/>
    <w:rsid w:val="008A61FE"/>
    <w:rsid w:val="008B1841"/>
    <w:rsid w:val="008B2954"/>
    <w:rsid w:val="008B2E05"/>
    <w:rsid w:val="008B4E66"/>
    <w:rsid w:val="008B549A"/>
    <w:rsid w:val="008B57F6"/>
    <w:rsid w:val="008B6334"/>
    <w:rsid w:val="008B69C2"/>
    <w:rsid w:val="008B7159"/>
    <w:rsid w:val="008C0947"/>
    <w:rsid w:val="008C75E6"/>
    <w:rsid w:val="008C7DAF"/>
    <w:rsid w:val="008C7ED3"/>
    <w:rsid w:val="008D0D91"/>
    <w:rsid w:val="008D494D"/>
    <w:rsid w:val="008D6530"/>
    <w:rsid w:val="008D7678"/>
    <w:rsid w:val="008E0A10"/>
    <w:rsid w:val="008E0F22"/>
    <w:rsid w:val="008E0FB1"/>
    <w:rsid w:val="008E2ABE"/>
    <w:rsid w:val="008E482D"/>
    <w:rsid w:val="008E4A5D"/>
    <w:rsid w:val="008E4CA6"/>
    <w:rsid w:val="008E5965"/>
    <w:rsid w:val="008E69B0"/>
    <w:rsid w:val="008F504E"/>
    <w:rsid w:val="009005B2"/>
    <w:rsid w:val="00900972"/>
    <w:rsid w:val="00900F23"/>
    <w:rsid w:val="009017DA"/>
    <w:rsid w:val="00902503"/>
    <w:rsid w:val="0090305C"/>
    <w:rsid w:val="00904292"/>
    <w:rsid w:val="009058A2"/>
    <w:rsid w:val="00906D2C"/>
    <w:rsid w:val="00911077"/>
    <w:rsid w:val="00912C76"/>
    <w:rsid w:val="009130B4"/>
    <w:rsid w:val="00914821"/>
    <w:rsid w:val="00915A71"/>
    <w:rsid w:val="00915E56"/>
    <w:rsid w:val="009162F4"/>
    <w:rsid w:val="0091741A"/>
    <w:rsid w:val="00917CE7"/>
    <w:rsid w:val="00921361"/>
    <w:rsid w:val="00922BCB"/>
    <w:rsid w:val="00923161"/>
    <w:rsid w:val="00924303"/>
    <w:rsid w:val="009244FE"/>
    <w:rsid w:val="00926927"/>
    <w:rsid w:val="009271F5"/>
    <w:rsid w:val="009328AE"/>
    <w:rsid w:val="00935E1F"/>
    <w:rsid w:val="00937238"/>
    <w:rsid w:val="00941A29"/>
    <w:rsid w:val="00944C0D"/>
    <w:rsid w:val="00944C3D"/>
    <w:rsid w:val="009521A2"/>
    <w:rsid w:val="00952D0F"/>
    <w:rsid w:val="00955CA4"/>
    <w:rsid w:val="0095638A"/>
    <w:rsid w:val="009563B9"/>
    <w:rsid w:val="00957251"/>
    <w:rsid w:val="00957289"/>
    <w:rsid w:val="009575C6"/>
    <w:rsid w:val="009610B2"/>
    <w:rsid w:val="00964E03"/>
    <w:rsid w:val="009704AA"/>
    <w:rsid w:val="00972C01"/>
    <w:rsid w:val="0097362F"/>
    <w:rsid w:val="00975B99"/>
    <w:rsid w:val="00977D41"/>
    <w:rsid w:val="00980151"/>
    <w:rsid w:val="00980A76"/>
    <w:rsid w:val="00980B00"/>
    <w:rsid w:val="009816C5"/>
    <w:rsid w:val="00984DA8"/>
    <w:rsid w:val="0098628E"/>
    <w:rsid w:val="0098707A"/>
    <w:rsid w:val="00990A76"/>
    <w:rsid w:val="00990C1B"/>
    <w:rsid w:val="0099340C"/>
    <w:rsid w:val="00996579"/>
    <w:rsid w:val="00996C18"/>
    <w:rsid w:val="009A0F47"/>
    <w:rsid w:val="009A57F9"/>
    <w:rsid w:val="009A6006"/>
    <w:rsid w:val="009A668F"/>
    <w:rsid w:val="009A6842"/>
    <w:rsid w:val="009A6E7E"/>
    <w:rsid w:val="009A7555"/>
    <w:rsid w:val="009B0C9A"/>
    <w:rsid w:val="009B1DE3"/>
    <w:rsid w:val="009B29BC"/>
    <w:rsid w:val="009B4AFC"/>
    <w:rsid w:val="009B506B"/>
    <w:rsid w:val="009B55FD"/>
    <w:rsid w:val="009B5B79"/>
    <w:rsid w:val="009B5EE7"/>
    <w:rsid w:val="009B6121"/>
    <w:rsid w:val="009B7BAB"/>
    <w:rsid w:val="009C643C"/>
    <w:rsid w:val="009C7420"/>
    <w:rsid w:val="009C7951"/>
    <w:rsid w:val="009D0FFA"/>
    <w:rsid w:val="009D3C96"/>
    <w:rsid w:val="009E0EBE"/>
    <w:rsid w:val="009E1CE2"/>
    <w:rsid w:val="009E2AB9"/>
    <w:rsid w:val="009E56BC"/>
    <w:rsid w:val="009E57B8"/>
    <w:rsid w:val="009E6A9C"/>
    <w:rsid w:val="009F03AA"/>
    <w:rsid w:val="009F06C8"/>
    <w:rsid w:val="009F2978"/>
    <w:rsid w:val="009F59A9"/>
    <w:rsid w:val="009F673B"/>
    <w:rsid w:val="009F7794"/>
    <w:rsid w:val="00A004C6"/>
    <w:rsid w:val="00A009CF"/>
    <w:rsid w:val="00A0193C"/>
    <w:rsid w:val="00A079C9"/>
    <w:rsid w:val="00A10478"/>
    <w:rsid w:val="00A109CE"/>
    <w:rsid w:val="00A116E5"/>
    <w:rsid w:val="00A119AB"/>
    <w:rsid w:val="00A13CE3"/>
    <w:rsid w:val="00A16E4B"/>
    <w:rsid w:val="00A17E89"/>
    <w:rsid w:val="00A22EF5"/>
    <w:rsid w:val="00A25085"/>
    <w:rsid w:val="00A31E3E"/>
    <w:rsid w:val="00A33897"/>
    <w:rsid w:val="00A349B1"/>
    <w:rsid w:val="00A35F5E"/>
    <w:rsid w:val="00A403A5"/>
    <w:rsid w:val="00A412BB"/>
    <w:rsid w:val="00A42E90"/>
    <w:rsid w:val="00A431A1"/>
    <w:rsid w:val="00A43D2D"/>
    <w:rsid w:val="00A4473C"/>
    <w:rsid w:val="00A522B2"/>
    <w:rsid w:val="00A52769"/>
    <w:rsid w:val="00A53453"/>
    <w:rsid w:val="00A540C7"/>
    <w:rsid w:val="00A55581"/>
    <w:rsid w:val="00A55EEE"/>
    <w:rsid w:val="00A56AEE"/>
    <w:rsid w:val="00A57D12"/>
    <w:rsid w:val="00A6063A"/>
    <w:rsid w:val="00A6361B"/>
    <w:rsid w:val="00A638CF"/>
    <w:rsid w:val="00A64107"/>
    <w:rsid w:val="00A66108"/>
    <w:rsid w:val="00A7050F"/>
    <w:rsid w:val="00A724B6"/>
    <w:rsid w:val="00A74549"/>
    <w:rsid w:val="00A7496F"/>
    <w:rsid w:val="00A7651C"/>
    <w:rsid w:val="00A776E0"/>
    <w:rsid w:val="00A778BE"/>
    <w:rsid w:val="00A77E50"/>
    <w:rsid w:val="00A807AB"/>
    <w:rsid w:val="00A82BB4"/>
    <w:rsid w:val="00A82FC2"/>
    <w:rsid w:val="00A865CD"/>
    <w:rsid w:val="00A86E85"/>
    <w:rsid w:val="00A917FE"/>
    <w:rsid w:val="00A943BB"/>
    <w:rsid w:val="00A94AB4"/>
    <w:rsid w:val="00A95870"/>
    <w:rsid w:val="00A95FB7"/>
    <w:rsid w:val="00A967DF"/>
    <w:rsid w:val="00A96CF3"/>
    <w:rsid w:val="00AA0155"/>
    <w:rsid w:val="00AA1306"/>
    <w:rsid w:val="00AA18E9"/>
    <w:rsid w:val="00AA3DA5"/>
    <w:rsid w:val="00AA6709"/>
    <w:rsid w:val="00AA6AE8"/>
    <w:rsid w:val="00AA7BD3"/>
    <w:rsid w:val="00AB244F"/>
    <w:rsid w:val="00AB285E"/>
    <w:rsid w:val="00AB2AC6"/>
    <w:rsid w:val="00AB6930"/>
    <w:rsid w:val="00AC080D"/>
    <w:rsid w:val="00AC2178"/>
    <w:rsid w:val="00AC5066"/>
    <w:rsid w:val="00AC72E0"/>
    <w:rsid w:val="00AD0741"/>
    <w:rsid w:val="00AD22A1"/>
    <w:rsid w:val="00AD33CF"/>
    <w:rsid w:val="00AD3E4D"/>
    <w:rsid w:val="00AD4F9C"/>
    <w:rsid w:val="00AD6B6F"/>
    <w:rsid w:val="00AE0AD9"/>
    <w:rsid w:val="00AE0EE4"/>
    <w:rsid w:val="00AE153C"/>
    <w:rsid w:val="00AE3209"/>
    <w:rsid w:val="00AE3BCA"/>
    <w:rsid w:val="00AE4ECF"/>
    <w:rsid w:val="00AE5E2E"/>
    <w:rsid w:val="00AF1AD6"/>
    <w:rsid w:val="00AF6384"/>
    <w:rsid w:val="00AF7D98"/>
    <w:rsid w:val="00B011D8"/>
    <w:rsid w:val="00B0549C"/>
    <w:rsid w:val="00B06185"/>
    <w:rsid w:val="00B06869"/>
    <w:rsid w:val="00B0760E"/>
    <w:rsid w:val="00B07D4F"/>
    <w:rsid w:val="00B10061"/>
    <w:rsid w:val="00B123CB"/>
    <w:rsid w:val="00B137EB"/>
    <w:rsid w:val="00B143DA"/>
    <w:rsid w:val="00B15D0D"/>
    <w:rsid w:val="00B20BF4"/>
    <w:rsid w:val="00B224B8"/>
    <w:rsid w:val="00B2412E"/>
    <w:rsid w:val="00B24AC5"/>
    <w:rsid w:val="00B2519F"/>
    <w:rsid w:val="00B26296"/>
    <w:rsid w:val="00B27F47"/>
    <w:rsid w:val="00B32D73"/>
    <w:rsid w:val="00B34719"/>
    <w:rsid w:val="00B35618"/>
    <w:rsid w:val="00B35B66"/>
    <w:rsid w:val="00B41691"/>
    <w:rsid w:val="00B449B8"/>
    <w:rsid w:val="00B45F2F"/>
    <w:rsid w:val="00B46838"/>
    <w:rsid w:val="00B51F0F"/>
    <w:rsid w:val="00B5229F"/>
    <w:rsid w:val="00B54FF2"/>
    <w:rsid w:val="00B55B56"/>
    <w:rsid w:val="00B55C60"/>
    <w:rsid w:val="00B60708"/>
    <w:rsid w:val="00B64D0D"/>
    <w:rsid w:val="00B64DAA"/>
    <w:rsid w:val="00B65E06"/>
    <w:rsid w:val="00B678B5"/>
    <w:rsid w:val="00B7182F"/>
    <w:rsid w:val="00B719B4"/>
    <w:rsid w:val="00B74466"/>
    <w:rsid w:val="00B76266"/>
    <w:rsid w:val="00B769A8"/>
    <w:rsid w:val="00B83882"/>
    <w:rsid w:val="00B83CAB"/>
    <w:rsid w:val="00B86DBF"/>
    <w:rsid w:val="00B877E8"/>
    <w:rsid w:val="00B92F3C"/>
    <w:rsid w:val="00B956D5"/>
    <w:rsid w:val="00BA1BDF"/>
    <w:rsid w:val="00BA392E"/>
    <w:rsid w:val="00BA4852"/>
    <w:rsid w:val="00BA5CD1"/>
    <w:rsid w:val="00BA689F"/>
    <w:rsid w:val="00BA734C"/>
    <w:rsid w:val="00BA79A5"/>
    <w:rsid w:val="00BB0506"/>
    <w:rsid w:val="00BB399D"/>
    <w:rsid w:val="00BB401C"/>
    <w:rsid w:val="00BB58B7"/>
    <w:rsid w:val="00BB5A17"/>
    <w:rsid w:val="00BB6237"/>
    <w:rsid w:val="00BB69E7"/>
    <w:rsid w:val="00BC09ED"/>
    <w:rsid w:val="00BC0B05"/>
    <w:rsid w:val="00BC4742"/>
    <w:rsid w:val="00BC6168"/>
    <w:rsid w:val="00BC63B6"/>
    <w:rsid w:val="00BC7C04"/>
    <w:rsid w:val="00BD0129"/>
    <w:rsid w:val="00BD19CB"/>
    <w:rsid w:val="00BD244F"/>
    <w:rsid w:val="00BD4C6C"/>
    <w:rsid w:val="00BD5D8C"/>
    <w:rsid w:val="00BD6647"/>
    <w:rsid w:val="00BE0C63"/>
    <w:rsid w:val="00BE1568"/>
    <w:rsid w:val="00BE1A09"/>
    <w:rsid w:val="00BE1EDE"/>
    <w:rsid w:val="00BE6244"/>
    <w:rsid w:val="00BF1039"/>
    <w:rsid w:val="00BF14D3"/>
    <w:rsid w:val="00BF3D96"/>
    <w:rsid w:val="00BF5FF6"/>
    <w:rsid w:val="00BF607B"/>
    <w:rsid w:val="00BF79FC"/>
    <w:rsid w:val="00C00673"/>
    <w:rsid w:val="00C0240D"/>
    <w:rsid w:val="00C02CC7"/>
    <w:rsid w:val="00C07973"/>
    <w:rsid w:val="00C10C17"/>
    <w:rsid w:val="00C10DEB"/>
    <w:rsid w:val="00C11AE6"/>
    <w:rsid w:val="00C122F2"/>
    <w:rsid w:val="00C13243"/>
    <w:rsid w:val="00C1529B"/>
    <w:rsid w:val="00C16A71"/>
    <w:rsid w:val="00C22ED4"/>
    <w:rsid w:val="00C22FDA"/>
    <w:rsid w:val="00C23289"/>
    <w:rsid w:val="00C245C8"/>
    <w:rsid w:val="00C2783F"/>
    <w:rsid w:val="00C333FA"/>
    <w:rsid w:val="00C40246"/>
    <w:rsid w:val="00C415A1"/>
    <w:rsid w:val="00C431C0"/>
    <w:rsid w:val="00C431CE"/>
    <w:rsid w:val="00C4482B"/>
    <w:rsid w:val="00C461DB"/>
    <w:rsid w:val="00C521F2"/>
    <w:rsid w:val="00C549F5"/>
    <w:rsid w:val="00C54D92"/>
    <w:rsid w:val="00C559D4"/>
    <w:rsid w:val="00C56BDE"/>
    <w:rsid w:val="00C57B4C"/>
    <w:rsid w:val="00C653BF"/>
    <w:rsid w:val="00C67459"/>
    <w:rsid w:val="00C71105"/>
    <w:rsid w:val="00C75F14"/>
    <w:rsid w:val="00C766E1"/>
    <w:rsid w:val="00C81270"/>
    <w:rsid w:val="00C82BBC"/>
    <w:rsid w:val="00C82BBD"/>
    <w:rsid w:val="00C85BBB"/>
    <w:rsid w:val="00C93685"/>
    <w:rsid w:val="00C95E92"/>
    <w:rsid w:val="00CA0593"/>
    <w:rsid w:val="00CA13F4"/>
    <w:rsid w:val="00CA1BA5"/>
    <w:rsid w:val="00CA1E37"/>
    <w:rsid w:val="00CA24DF"/>
    <w:rsid w:val="00CA343A"/>
    <w:rsid w:val="00CB1EDE"/>
    <w:rsid w:val="00CB33C4"/>
    <w:rsid w:val="00CB3EDC"/>
    <w:rsid w:val="00CB4C2B"/>
    <w:rsid w:val="00CB79CB"/>
    <w:rsid w:val="00CB7E77"/>
    <w:rsid w:val="00CC180D"/>
    <w:rsid w:val="00CC3471"/>
    <w:rsid w:val="00CC43EB"/>
    <w:rsid w:val="00CC4FEF"/>
    <w:rsid w:val="00CC5AF9"/>
    <w:rsid w:val="00CC69A9"/>
    <w:rsid w:val="00CC7483"/>
    <w:rsid w:val="00CC7B18"/>
    <w:rsid w:val="00CD22D2"/>
    <w:rsid w:val="00CE0397"/>
    <w:rsid w:val="00CE1548"/>
    <w:rsid w:val="00CE1CF5"/>
    <w:rsid w:val="00CE274E"/>
    <w:rsid w:val="00CE2862"/>
    <w:rsid w:val="00CE3608"/>
    <w:rsid w:val="00CE66E6"/>
    <w:rsid w:val="00CF03A7"/>
    <w:rsid w:val="00CF0DED"/>
    <w:rsid w:val="00CF1902"/>
    <w:rsid w:val="00CF2024"/>
    <w:rsid w:val="00CF5C8C"/>
    <w:rsid w:val="00D005E2"/>
    <w:rsid w:val="00D04149"/>
    <w:rsid w:val="00D05587"/>
    <w:rsid w:val="00D100D6"/>
    <w:rsid w:val="00D15D48"/>
    <w:rsid w:val="00D161C8"/>
    <w:rsid w:val="00D16870"/>
    <w:rsid w:val="00D16A87"/>
    <w:rsid w:val="00D16E0C"/>
    <w:rsid w:val="00D177EF"/>
    <w:rsid w:val="00D204D2"/>
    <w:rsid w:val="00D241F6"/>
    <w:rsid w:val="00D275C2"/>
    <w:rsid w:val="00D30233"/>
    <w:rsid w:val="00D31E24"/>
    <w:rsid w:val="00D33DBD"/>
    <w:rsid w:val="00D3674A"/>
    <w:rsid w:val="00D36C72"/>
    <w:rsid w:val="00D36FFA"/>
    <w:rsid w:val="00D4068E"/>
    <w:rsid w:val="00D407C3"/>
    <w:rsid w:val="00D41592"/>
    <w:rsid w:val="00D41C60"/>
    <w:rsid w:val="00D420C3"/>
    <w:rsid w:val="00D43764"/>
    <w:rsid w:val="00D4589B"/>
    <w:rsid w:val="00D45ADF"/>
    <w:rsid w:val="00D471E3"/>
    <w:rsid w:val="00D47961"/>
    <w:rsid w:val="00D520AC"/>
    <w:rsid w:val="00D529E7"/>
    <w:rsid w:val="00D5306A"/>
    <w:rsid w:val="00D5503F"/>
    <w:rsid w:val="00D5745D"/>
    <w:rsid w:val="00D602BE"/>
    <w:rsid w:val="00D618BC"/>
    <w:rsid w:val="00D61B09"/>
    <w:rsid w:val="00D63498"/>
    <w:rsid w:val="00D645F7"/>
    <w:rsid w:val="00D653D6"/>
    <w:rsid w:val="00D70E58"/>
    <w:rsid w:val="00D720A4"/>
    <w:rsid w:val="00D7221B"/>
    <w:rsid w:val="00D7478F"/>
    <w:rsid w:val="00D76623"/>
    <w:rsid w:val="00D803E5"/>
    <w:rsid w:val="00D86667"/>
    <w:rsid w:val="00D93AAF"/>
    <w:rsid w:val="00D942BE"/>
    <w:rsid w:val="00D95D73"/>
    <w:rsid w:val="00D967A6"/>
    <w:rsid w:val="00D97078"/>
    <w:rsid w:val="00DA3C87"/>
    <w:rsid w:val="00DA4B3B"/>
    <w:rsid w:val="00DA7B3C"/>
    <w:rsid w:val="00DB2A5B"/>
    <w:rsid w:val="00DB536A"/>
    <w:rsid w:val="00DB5C3D"/>
    <w:rsid w:val="00DB6238"/>
    <w:rsid w:val="00DB7CA4"/>
    <w:rsid w:val="00DC1DD2"/>
    <w:rsid w:val="00DC25E8"/>
    <w:rsid w:val="00DC2D92"/>
    <w:rsid w:val="00DC6B17"/>
    <w:rsid w:val="00DD03B1"/>
    <w:rsid w:val="00DD3958"/>
    <w:rsid w:val="00DD4404"/>
    <w:rsid w:val="00DD4CF6"/>
    <w:rsid w:val="00DD5128"/>
    <w:rsid w:val="00DD5546"/>
    <w:rsid w:val="00DD5666"/>
    <w:rsid w:val="00DD613B"/>
    <w:rsid w:val="00DD6EB4"/>
    <w:rsid w:val="00DE178D"/>
    <w:rsid w:val="00DE2D80"/>
    <w:rsid w:val="00DE2E21"/>
    <w:rsid w:val="00DE2FD9"/>
    <w:rsid w:val="00DF0301"/>
    <w:rsid w:val="00DF1F79"/>
    <w:rsid w:val="00DF2DE8"/>
    <w:rsid w:val="00DF41C0"/>
    <w:rsid w:val="00E002DD"/>
    <w:rsid w:val="00E01A55"/>
    <w:rsid w:val="00E03CD1"/>
    <w:rsid w:val="00E054D4"/>
    <w:rsid w:val="00E07E28"/>
    <w:rsid w:val="00E07F8C"/>
    <w:rsid w:val="00E10AF9"/>
    <w:rsid w:val="00E134C3"/>
    <w:rsid w:val="00E1510D"/>
    <w:rsid w:val="00E1638D"/>
    <w:rsid w:val="00E17B0E"/>
    <w:rsid w:val="00E20193"/>
    <w:rsid w:val="00E20FBA"/>
    <w:rsid w:val="00E21920"/>
    <w:rsid w:val="00E21FFA"/>
    <w:rsid w:val="00E23EB1"/>
    <w:rsid w:val="00E2478C"/>
    <w:rsid w:val="00E24A14"/>
    <w:rsid w:val="00E302DF"/>
    <w:rsid w:val="00E310DF"/>
    <w:rsid w:val="00E32059"/>
    <w:rsid w:val="00E33AAE"/>
    <w:rsid w:val="00E33DE4"/>
    <w:rsid w:val="00E34339"/>
    <w:rsid w:val="00E3647C"/>
    <w:rsid w:val="00E431E0"/>
    <w:rsid w:val="00E45535"/>
    <w:rsid w:val="00E51657"/>
    <w:rsid w:val="00E52512"/>
    <w:rsid w:val="00E536F8"/>
    <w:rsid w:val="00E54CD9"/>
    <w:rsid w:val="00E6040C"/>
    <w:rsid w:val="00E604FC"/>
    <w:rsid w:val="00E607AC"/>
    <w:rsid w:val="00E60C38"/>
    <w:rsid w:val="00E62500"/>
    <w:rsid w:val="00E625C0"/>
    <w:rsid w:val="00E626C4"/>
    <w:rsid w:val="00E627B5"/>
    <w:rsid w:val="00E63BD1"/>
    <w:rsid w:val="00E658B9"/>
    <w:rsid w:val="00E663F0"/>
    <w:rsid w:val="00E66C25"/>
    <w:rsid w:val="00E671E4"/>
    <w:rsid w:val="00E724A9"/>
    <w:rsid w:val="00E75315"/>
    <w:rsid w:val="00E76811"/>
    <w:rsid w:val="00E76B0A"/>
    <w:rsid w:val="00E77BF1"/>
    <w:rsid w:val="00E80152"/>
    <w:rsid w:val="00E822DB"/>
    <w:rsid w:val="00E848DB"/>
    <w:rsid w:val="00E8541F"/>
    <w:rsid w:val="00E85517"/>
    <w:rsid w:val="00E85FBD"/>
    <w:rsid w:val="00E864D8"/>
    <w:rsid w:val="00E875EF"/>
    <w:rsid w:val="00E95127"/>
    <w:rsid w:val="00E95C42"/>
    <w:rsid w:val="00EA617C"/>
    <w:rsid w:val="00EA61A8"/>
    <w:rsid w:val="00EA675E"/>
    <w:rsid w:val="00EB15C2"/>
    <w:rsid w:val="00EB3462"/>
    <w:rsid w:val="00EB378C"/>
    <w:rsid w:val="00EB4765"/>
    <w:rsid w:val="00EB4FC1"/>
    <w:rsid w:val="00EB5AD5"/>
    <w:rsid w:val="00EC04C7"/>
    <w:rsid w:val="00EC0538"/>
    <w:rsid w:val="00EC1BDB"/>
    <w:rsid w:val="00EC4668"/>
    <w:rsid w:val="00EC632C"/>
    <w:rsid w:val="00EC6859"/>
    <w:rsid w:val="00ED0C60"/>
    <w:rsid w:val="00ED12CB"/>
    <w:rsid w:val="00ED2CFD"/>
    <w:rsid w:val="00ED5869"/>
    <w:rsid w:val="00EE0C34"/>
    <w:rsid w:val="00EE1395"/>
    <w:rsid w:val="00EE36AB"/>
    <w:rsid w:val="00EE5D42"/>
    <w:rsid w:val="00EE7F32"/>
    <w:rsid w:val="00EF0F58"/>
    <w:rsid w:val="00EF2402"/>
    <w:rsid w:val="00EF34EF"/>
    <w:rsid w:val="00EF3B71"/>
    <w:rsid w:val="00EF67C6"/>
    <w:rsid w:val="00EF6A2A"/>
    <w:rsid w:val="00F0289D"/>
    <w:rsid w:val="00F03007"/>
    <w:rsid w:val="00F04542"/>
    <w:rsid w:val="00F04BFB"/>
    <w:rsid w:val="00F070AE"/>
    <w:rsid w:val="00F118F7"/>
    <w:rsid w:val="00F11AEA"/>
    <w:rsid w:val="00F11DA5"/>
    <w:rsid w:val="00F14D40"/>
    <w:rsid w:val="00F1614A"/>
    <w:rsid w:val="00F16669"/>
    <w:rsid w:val="00F22D02"/>
    <w:rsid w:val="00F26392"/>
    <w:rsid w:val="00F265E2"/>
    <w:rsid w:val="00F270A6"/>
    <w:rsid w:val="00F32253"/>
    <w:rsid w:val="00F33B51"/>
    <w:rsid w:val="00F34A90"/>
    <w:rsid w:val="00F36838"/>
    <w:rsid w:val="00F36F5F"/>
    <w:rsid w:val="00F37357"/>
    <w:rsid w:val="00F412BE"/>
    <w:rsid w:val="00F41CEB"/>
    <w:rsid w:val="00F423C5"/>
    <w:rsid w:val="00F43ADC"/>
    <w:rsid w:val="00F446D0"/>
    <w:rsid w:val="00F45120"/>
    <w:rsid w:val="00F4761A"/>
    <w:rsid w:val="00F541DF"/>
    <w:rsid w:val="00F579BA"/>
    <w:rsid w:val="00F61B27"/>
    <w:rsid w:val="00F62C20"/>
    <w:rsid w:val="00F63632"/>
    <w:rsid w:val="00F63633"/>
    <w:rsid w:val="00F64565"/>
    <w:rsid w:val="00F65DEA"/>
    <w:rsid w:val="00F70556"/>
    <w:rsid w:val="00F73047"/>
    <w:rsid w:val="00F74C82"/>
    <w:rsid w:val="00F80A33"/>
    <w:rsid w:val="00F824C3"/>
    <w:rsid w:val="00F82E18"/>
    <w:rsid w:val="00F84D4A"/>
    <w:rsid w:val="00F868E5"/>
    <w:rsid w:val="00F878A9"/>
    <w:rsid w:val="00F935DE"/>
    <w:rsid w:val="00F944E1"/>
    <w:rsid w:val="00F94F1C"/>
    <w:rsid w:val="00F95A8C"/>
    <w:rsid w:val="00FA053F"/>
    <w:rsid w:val="00FA0781"/>
    <w:rsid w:val="00FA0C3A"/>
    <w:rsid w:val="00FA1FEE"/>
    <w:rsid w:val="00FA23E5"/>
    <w:rsid w:val="00FA46EB"/>
    <w:rsid w:val="00FA5173"/>
    <w:rsid w:val="00FA7348"/>
    <w:rsid w:val="00FB0F1F"/>
    <w:rsid w:val="00FB2C95"/>
    <w:rsid w:val="00FB32CF"/>
    <w:rsid w:val="00FB3569"/>
    <w:rsid w:val="00FB38D6"/>
    <w:rsid w:val="00FB4209"/>
    <w:rsid w:val="00FB6F1B"/>
    <w:rsid w:val="00FC03E8"/>
    <w:rsid w:val="00FC1D5B"/>
    <w:rsid w:val="00FC3091"/>
    <w:rsid w:val="00FC3411"/>
    <w:rsid w:val="00FC4FFE"/>
    <w:rsid w:val="00FC543B"/>
    <w:rsid w:val="00FD0A38"/>
    <w:rsid w:val="00FD531B"/>
    <w:rsid w:val="00FD5E4A"/>
    <w:rsid w:val="00FE45B5"/>
    <w:rsid w:val="00FE6041"/>
    <w:rsid w:val="00FE7157"/>
    <w:rsid w:val="00FF2122"/>
    <w:rsid w:val="00FF2DFD"/>
    <w:rsid w:val="00FF39A8"/>
    <w:rsid w:val="00FF4CF9"/>
    <w:rsid w:val="00FF701D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2C53BF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59"/>
    <w:rsid w:val="0024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customStyle="1" w:styleId="Elencochiaro-Colore11">
    <w:name w:val="Elenco chiaro - Colore 1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076251"/>
    <w:rPr>
      <w:i/>
      <w:iCs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C53BF"/>
    <w:rPr>
      <w:rFonts w:ascii="Verdana" w:eastAsia="Times New Roman" w:hAnsi="Verdana" w:cs="Times New Roman"/>
      <w:snapToGrid w:val="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2C53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character" w:customStyle="1" w:styleId="apple-converted-space">
    <w:name w:val="apple-converted-space"/>
    <w:basedOn w:val="Carpredefinitoparagrafo"/>
    <w:rsid w:val="00074524"/>
  </w:style>
  <w:style w:type="table" w:customStyle="1" w:styleId="Tabellagriglia5scura-colore21">
    <w:name w:val="Tabella griglia 5 scura - colore 21"/>
    <w:basedOn w:val="Tabellanormale"/>
    <w:uiPriority w:val="50"/>
    <w:rsid w:val="007365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band1Vert">
      <w:tblPr/>
      <w:tcPr>
        <w:shd w:val="clear" w:color="auto" w:fill="F8CA9F" w:themeFill="accent2" w:themeFillTint="66"/>
      </w:tcPr>
    </w:tblStylePr>
    <w:tblStylePr w:type="band1Horz">
      <w:tblPr/>
      <w:tcPr>
        <w:shd w:val="clear" w:color="auto" w:fill="F8CA9F" w:themeFill="accent2" w:themeFillTint="66"/>
      </w:tcPr>
    </w:tblStylePr>
  </w:style>
  <w:style w:type="table" w:customStyle="1" w:styleId="Tabellaelenco4-colore21">
    <w:name w:val="Tabella elenco 4 - colore 21"/>
    <w:basedOn w:val="Tabellanormale"/>
    <w:uiPriority w:val="49"/>
    <w:rsid w:val="00C02C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70" w:themeColor="accent2" w:themeTint="99"/>
        <w:left w:val="single" w:sz="4" w:space="0" w:color="F4B070" w:themeColor="accent2" w:themeTint="99"/>
        <w:bottom w:val="single" w:sz="4" w:space="0" w:color="F4B070" w:themeColor="accent2" w:themeTint="99"/>
        <w:right w:val="single" w:sz="4" w:space="0" w:color="F4B070" w:themeColor="accent2" w:themeTint="99"/>
        <w:insideH w:val="single" w:sz="4" w:space="0" w:color="F4B07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7D11" w:themeColor="accent2"/>
          <w:left w:val="single" w:sz="4" w:space="0" w:color="EE7D11" w:themeColor="accent2"/>
          <w:bottom w:val="single" w:sz="4" w:space="0" w:color="EE7D11" w:themeColor="accent2"/>
          <w:right w:val="single" w:sz="4" w:space="0" w:color="EE7D11" w:themeColor="accent2"/>
          <w:insideH w:val="nil"/>
        </w:tcBorders>
        <w:shd w:val="clear" w:color="auto" w:fill="EE7D1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CF" w:themeFill="accent2" w:themeFillTint="33"/>
      </w:tcPr>
    </w:tblStylePr>
    <w:tblStylePr w:type="band1Horz">
      <w:tblPr/>
      <w:tcPr>
        <w:shd w:val="clear" w:color="auto" w:fill="FBE4CF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51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7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3542">
                  <w:marLeft w:val="0"/>
                  <w:marRight w:val="0"/>
                  <w:marTop w:val="300"/>
                  <w:marBottom w:val="0"/>
                  <w:divBdr>
                    <w:top w:val="single" w:sz="6" w:space="8" w:color="BED1DC"/>
                    <w:left w:val="single" w:sz="6" w:space="8" w:color="BED1DC"/>
                    <w:bottom w:val="single" w:sz="6" w:space="8" w:color="BED1DC"/>
                    <w:right w:val="single" w:sz="6" w:space="8" w:color="BED1DC"/>
                  </w:divBdr>
                  <w:divsChild>
                    <w:div w:id="16103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9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8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71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68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7154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087">
                  <w:marLeft w:val="0"/>
                  <w:marRight w:val="0"/>
                  <w:marTop w:val="300"/>
                  <w:marBottom w:val="300"/>
                  <w:divBdr>
                    <w:top w:val="single" w:sz="6" w:space="0" w:color="CCCCCC"/>
                    <w:left w:val="single" w:sz="2" w:space="0" w:color="CCCCCC"/>
                    <w:bottom w:val="single" w:sz="6" w:space="0" w:color="CCCCCC"/>
                    <w:right w:val="single" w:sz="2" w:space="0" w:color="CCCCCC"/>
                  </w:divBdr>
                  <w:divsChild>
                    <w:div w:id="6664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2" w:space="4" w:color="CCCCCC"/>
                            <w:bottom w:val="single" w:sz="2" w:space="0" w:color="CCCCCC"/>
                            <w:right w:val="single" w:sz="6" w:space="4" w:color="CCCCCC"/>
                          </w:divBdr>
                        </w:div>
                      </w:divsChild>
                    </w:div>
                    <w:div w:id="16161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0841">
                  <w:marLeft w:val="0"/>
                  <w:marRight w:val="0"/>
                  <w:marTop w:val="300"/>
                  <w:marBottom w:val="0"/>
                  <w:divBdr>
                    <w:top w:val="single" w:sz="6" w:space="8" w:color="BED1DC"/>
                    <w:left w:val="single" w:sz="6" w:space="8" w:color="BED1DC"/>
                    <w:bottom w:val="single" w:sz="6" w:space="8" w:color="BED1DC"/>
                    <w:right w:val="single" w:sz="6" w:space="8" w:color="BED1DC"/>
                  </w:divBdr>
                </w:div>
              </w:divsChild>
            </w:div>
            <w:div w:id="980186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96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ED1DC"/>
                            <w:bottom w:val="none" w:sz="0" w:space="0" w:color="auto"/>
                            <w:right w:val="single" w:sz="6" w:space="0" w:color="BED1DC"/>
                          </w:divBdr>
                          <w:divsChild>
                            <w:div w:id="166061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72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0" ma:contentTypeDescription="Create a new document." ma:contentTypeScope="" ma:versionID="16d85d3b341e22537d9f94996db663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0" ma:contentTypeDescription="Create a new document." ma:contentTypeScope="" ma:versionID="16d85d3b341e22537d9f94996db663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8B0655-8FC2-4CE0-8CAE-FDBE07186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27ACE2D-507F-4321-BD28-AFC3B5B0C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2F221581-A8A7-4A13-908A-E5D5AD072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8.xml><?xml version="1.0" encoding="utf-8"?>
<ds:datastoreItem xmlns:ds="http://schemas.openxmlformats.org/officeDocument/2006/customXml" ds:itemID="{F38AD742-67E7-49C9-B3BE-21524C16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13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paola</cp:lastModifiedBy>
  <cp:revision>8</cp:revision>
  <dcterms:created xsi:type="dcterms:W3CDTF">2017-04-06T09:32:00Z</dcterms:created>
  <dcterms:modified xsi:type="dcterms:W3CDTF">2017-04-07T10:21:00Z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</Properties>
</file>