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80" w:rsidRPr="007D1A78" w:rsidRDefault="00601480" w:rsidP="00601480">
      <w:pPr>
        <w:tabs>
          <w:tab w:val="left" w:pos="223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u w:val="single"/>
          <w:lang w:eastAsia="it-IT"/>
        </w:rPr>
      </w:pPr>
      <w:r w:rsidRPr="007D1A78">
        <w:rPr>
          <w:rFonts w:ascii="Arial" w:eastAsia="Arial" w:hAnsi="Arial" w:cs="Arial"/>
          <w:b/>
          <w:color w:val="000000"/>
          <w:u w:val="single"/>
          <w:lang w:eastAsia="it-IT"/>
        </w:rPr>
        <w:t>COMUNICATO STAMPA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u w:val="single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it-IT"/>
        </w:rPr>
      </w:pPr>
      <w:r w:rsidRPr="007D1A78">
        <w:rPr>
          <w:rFonts w:ascii="Arial" w:eastAsia="Arial" w:hAnsi="Arial" w:cs="Arial"/>
          <w:b/>
          <w:color w:val="000000"/>
          <w:lang w:eastAsia="it-IT"/>
        </w:rPr>
        <w:t xml:space="preserve">Al via la normativa sugli affitti brevi, </w:t>
      </w:r>
      <w:proofErr w:type="spellStart"/>
      <w:r w:rsidRPr="007D1A78">
        <w:rPr>
          <w:rFonts w:ascii="Arial" w:eastAsia="Arial" w:hAnsi="Arial" w:cs="Arial"/>
          <w:b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b/>
          <w:color w:val="000000"/>
          <w:lang w:eastAsia="it-IT"/>
        </w:rPr>
        <w:t xml:space="preserve"> “Oltre 6 milioni di abitazioni possono essere messe a reddito”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7D1A78">
        <w:rPr>
          <w:rFonts w:ascii="Arial" w:eastAsia="Arial" w:hAnsi="Arial" w:cs="Arial"/>
          <w:i/>
          <w:color w:val="000000"/>
          <w:lang w:eastAsia="it-IT"/>
        </w:rPr>
        <w:t>Milano, 15/06/2017 –</w:t>
      </w:r>
      <w:r w:rsidRPr="007D1A78">
        <w:rPr>
          <w:rFonts w:ascii="Arial" w:eastAsia="Arial" w:hAnsi="Arial" w:cs="Arial"/>
          <w:color w:val="000000"/>
          <w:lang w:eastAsia="it-IT"/>
        </w:rPr>
        <w:t xml:space="preserve"> Con l’approvazione definitiva di questa mattina, giovedì 15/06/2017, al Senato del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ddl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 xml:space="preserve"> n° 2853 di conversione in legge del decreto-legge in materia finanziaria, nel testo identico a quello approvato alla Camera, la normativa sugli affitti brevi è legge. Due i fondamenti del provvedimento circa le locazioni brevi: gli operatori e i portali devono essere sostituti d’imposta e viene confermata la cedolare secca al 21%. Ne trarranno giovamento le finanze dello Stato, gli operatori e i proprietari che mettono a disposizione i loro immobili.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>, società italiana leader negli affitti temporanei e con più di 1.600 proprietà gestite in 25 località europee, ha realizzato uno studio sugli immobili che potrebbero essere messi sul mercato delle locazioni brevi in Italia.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7D1A78">
        <w:rPr>
          <w:rFonts w:ascii="Arial" w:eastAsia="Arial" w:hAnsi="Arial" w:cs="Arial"/>
          <w:color w:val="000000"/>
          <w:lang w:eastAsia="it-IT"/>
        </w:rPr>
        <w:t xml:space="preserve">In Italia si contano 34,4 milioni di abitazioni. Quelle principali sono 19,8 milioni, le seconde case 13, quelle già locate 2,8. Tolte quelle destinate a utilizzi altri o gratuiti, le abitazione a disposizione sono oltre 6 milioni (fonte: dati Agenzia delle Entrate e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Abi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 xml:space="preserve">, elaborati da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 xml:space="preserve">).  Il mercato degli affitti brevi in Italia riguarda 500.000 immobili. Il Governo prevede di incassare col Fisco 81,3 milioni di euro aggiuntivi quest’ anno, ma per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 xml:space="preserve">, utilizzando come benchmark quanto dichiarato da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Airbnb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 xml:space="preserve"> che indica una media di 2.000 euro di fatturato annui per appartamento, il gettito complessivo potrebbe essere di 2 miliardi (cui andrebbe sottratto quanto già incassato, dato non disponibile, cifra comunque maggiore degli 81,3 milioni previsti dal Governo per quest’anno e 139 per il prossimo). Ma quali possono essere i vantaggi per il proprietario che sceglie la gestione professionale per il proprio immobile? Secondo </w:t>
      </w:r>
      <w:proofErr w:type="spellStart"/>
      <w:r w:rsidRPr="007D1A78">
        <w:rPr>
          <w:rFonts w:ascii="Arial" w:eastAsia="Arial" w:hAnsi="Arial" w:cs="Arial"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>, mediamente in Italia il ricavo lordo potenziale per ogni proprietà messa a disposizione può ammontare a 16.000 euro annui. Al netto delle imposte e dei costi di gestione, l’introito medio è di circa 8.000 euro che coprono ampiamente i costi sostenuti per il mantenimento dell’abitazione. Nei centri delle grandi città (Milano, Torino, Venezia, Bologna, Firenze, Roma) questi valori possono raddoppiare o triplicare.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7D1A78">
        <w:rPr>
          <w:rFonts w:ascii="Arial" w:eastAsia="Arial" w:hAnsi="Arial" w:cs="Arial"/>
          <w:color w:val="000000"/>
          <w:lang w:eastAsia="it-IT"/>
        </w:rPr>
        <w:t xml:space="preserve">“Grazie alla nuova normativa, i proprietari – </w:t>
      </w:r>
      <w:r w:rsidRPr="007D1A78">
        <w:rPr>
          <w:rFonts w:ascii="Arial" w:eastAsia="Arial" w:hAnsi="Arial" w:cs="Arial"/>
          <w:b/>
          <w:color w:val="000000"/>
          <w:lang w:eastAsia="it-IT"/>
        </w:rPr>
        <w:t xml:space="preserve">afferma Vincenzo Cella, amministratore delegato di </w:t>
      </w:r>
      <w:proofErr w:type="spellStart"/>
      <w:r w:rsidRPr="007D1A78">
        <w:rPr>
          <w:rFonts w:ascii="Arial" w:eastAsia="Arial" w:hAnsi="Arial" w:cs="Arial"/>
          <w:b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b/>
          <w:color w:val="000000"/>
          <w:lang w:eastAsia="it-IT"/>
        </w:rPr>
        <w:t xml:space="preserve"> </w:t>
      </w:r>
      <w:r w:rsidRPr="007D1A78">
        <w:rPr>
          <w:rFonts w:ascii="Arial" w:eastAsia="Arial" w:hAnsi="Arial" w:cs="Arial"/>
          <w:color w:val="000000"/>
          <w:lang w:eastAsia="it-IT"/>
        </w:rPr>
        <w:t>- avranno vantaggi importanti. Non dovranno più fare nulla, eviteranno le incombenze fiscali (e molti godranno di un carico minore dell’attuale perché la cedolare secca è a prescindere dall’imponibile complessivo), eviteranno morosità e avranno la casa sempre manutenuta. Potranno mettere finalmente a reddito il loro immobile ma in modo flessibile, potranno cioè utilizzare le proprie unità per periodi determinati”.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7D1A78">
        <w:rPr>
          <w:rFonts w:ascii="Arial" w:eastAsia="Arial" w:hAnsi="Arial" w:cs="Arial"/>
          <w:color w:val="000000"/>
          <w:lang w:eastAsia="it-IT"/>
        </w:rPr>
        <w:lastRenderedPageBreak/>
        <w:t xml:space="preserve"> “La questione fiscale - </w:t>
      </w:r>
      <w:r w:rsidRPr="007D1A78">
        <w:rPr>
          <w:rFonts w:ascii="Arial" w:eastAsia="Arial" w:hAnsi="Arial" w:cs="Arial"/>
          <w:b/>
          <w:color w:val="000000"/>
          <w:lang w:eastAsia="it-IT"/>
        </w:rPr>
        <w:t xml:space="preserve">sostiene Alberto </w:t>
      </w:r>
      <w:proofErr w:type="spellStart"/>
      <w:r w:rsidRPr="007D1A78">
        <w:rPr>
          <w:rFonts w:ascii="Arial" w:eastAsia="Arial" w:hAnsi="Arial" w:cs="Arial"/>
          <w:b/>
          <w:color w:val="000000"/>
          <w:lang w:eastAsia="it-IT"/>
        </w:rPr>
        <w:t>Melgrati</w:t>
      </w:r>
      <w:proofErr w:type="spellEnd"/>
      <w:r w:rsidRPr="007D1A78">
        <w:rPr>
          <w:rFonts w:ascii="Arial" w:eastAsia="Arial" w:hAnsi="Arial" w:cs="Arial"/>
          <w:b/>
          <w:color w:val="000000"/>
          <w:lang w:eastAsia="it-IT"/>
        </w:rPr>
        <w:t xml:space="preserve">, presidente di </w:t>
      </w:r>
      <w:proofErr w:type="spellStart"/>
      <w:r w:rsidRPr="007D1A78">
        <w:rPr>
          <w:rFonts w:ascii="Arial" w:eastAsia="Arial" w:hAnsi="Arial" w:cs="Arial"/>
          <w:b/>
          <w:color w:val="000000"/>
          <w:lang w:eastAsia="it-IT"/>
        </w:rPr>
        <w:t>Halldis</w:t>
      </w:r>
      <w:proofErr w:type="spellEnd"/>
      <w:r w:rsidRPr="007D1A78">
        <w:rPr>
          <w:rFonts w:ascii="Arial" w:eastAsia="Arial" w:hAnsi="Arial" w:cs="Arial"/>
          <w:color w:val="000000"/>
          <w:lang w:eastAsia="it-IT"/>
        </w:rPr>
        <w:t xml:space="preserve"> - è decisiva, il provvedimento permetterà al settore di svilupparsi in trasparenza e con regole certe e sarà un importante volano per il turismo e quindi per l’economia del Paese.  Allo stesso tempo il sistema guadagnerà in efficienza, ci sarà meno burocrazia e una gestione più chiara. Il nostro obiettivo è arricchire l’offerta ricettiva, portando professionalità in una realtà frammentata come quella delle case vacanza”.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601480" w:rsidRPr="00B53EA7" w:rsidRDefault="00B53EA7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eastAsia="it-IT"/>
        </w:rPr>
      </w:pPr>
      <w:hyperlink r:id="rId4">
        <w:proofErr w:type="spellStart"/>
        <w:r w:rsidR="00601480" w:rsidRPr="00B53EA7">
          <w:rPr>
            <w:rFonts w:ascii="Arial" w:eastAsia="Arial" w:hAnsi="Arial" w:cs="Arial"/>
            <w:b/>
            <w:color w:val="0000FF"/>
            <w:sz w:val="18"/>
            <w:szCs w:val="18"/>
            <w:u w:val="single"/>
            <w:lang w:eastAsia="it-IT"/>
          </w:rPr>
          <w:t>Halldis</w:t>
        </w:r>
        <w:proofErr w:type="spellEnd"/>
      </w:hyperlink>
      <w:r w:rsidR="00601480" w:rsidRPr="00B53EA7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 xml:space="preserve">, società italiana leader nella locazione di immobili, gestiti per conto dei proprietari e </w:t>
      </w:r>
      <w:proofErr w:type="gramStart"/>
      <w:r w:rsidR="00601480" w:rsidRPr="00B53EA7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>affittati  per</w:t>
      </w:r>
      <w:proofErr w:type="gramEnd"/>
      <w:r w:rsidR="00601480" w:rsidRPr="00B53EA7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 xml:space="preserve"> uso turistico e per motivi di lavoro, fa parte del Gruppo Windows on Europe, fondato da Leonardo Ferragamo e Pietro Martani. Il Gruppo, oltre che da </w:t>
      </w:r>
      <w:proofErr w:type="spellStart"/>
      <w:r w:rsidR="00601480" w:rsidRPr="00B53EA7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>Halldis</w:t>
      </w:r>
      <w:proofErr w:type="spellEnd"/>
      <w:r w:rsidR="00601480" w:rsidRPr="00B53EA7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>, è costituito anche da</w:t>
      </w:r>
      <w:hyperlink r:id="rId5">
        <w:r w:rsidR="00601480" w:rsidRPr="00B53EA7">
          <w:rPr>
            <w:rFonts w:ascii="Arial" w:eastAsia="Arial" w:hAnsi="Arial" w:cs="Arial"/>
            <w:b/>
            <w:color w:val="1155CC"/>
            <w:sz w:val="18"/>
            <w:szCs w:val="18"/>
            <w:u w:val="single"/>
            <w:lang w:eastAsia="it-IT"/>
          </w:rPr>
          <w:t xml:space="preserve"> </w:t>
        </w:r>
      </w:hyperlink>
      <w:hyperlink r:id="rId6">
        <w:r w:rsidR="00601480" w:rsidRPr="00B53EA7">
          <w:rPr>
            <w:rFonts w:ascii="Arial" w:eastAsia="Arial" w:hAnsi="Arial" w:cs="Arial"/>
            <w:b/>
            <w:color w:val="0000FF"/>
            <w:sz w:val="18"/>
            <w:szCs w:val="18"/>
            <w:u w:val="single"/>
            <w:lang w:eastAsia="it-IT"/>
          </w:rPr>
          <w:t xml:space="preserve">Windows on </w:t>
        </w:r>
        <w:proofErr w:type="spellStart"/>
        <w:r w:rsidR="00601480" w:rsidRPr="00B53EA7">
          <w:rPr>
            <w:rFonts w:ascii="Arial" w:eastAsia="Arial" w:hAnsi="Arial" w:cs="Arial"/>
            <w:b/>
            <w:color w:val="0000FF"/>
            <w:sz w:val="18"/>
            <w:szCs w:val="18"/>
            <w:u w:val="single"/>
            <w:lang w:eastAsia="it-IT"/>
          </w:rPr>
          <w:t>Italy</w:t>
        </w:r>
        <w:proofErr w:type="spellEnd"/>
      </w:hyperlink>
      <w:r w:rsidR="00601480" w:rsidRPr="00B53EA7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>, che offre ville e appartamenti di lusso al mare o in campagna in particolare in Toscana e nelle principali città turistiche come Firenze, Roma e Venezia. Attualmente il Gruppo gestisce più di 1.600 proprietà in 25 località europee per un volume d’affari nel 2016 di 23 milioni di euro.</w:t>
      </w: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lang w:eastAsia="it-IT"/>
        </w:rPr>
      </w:pPr>
      <w:r w:rsidRPr="007D1A78">
        <w:rPr>
          <w:rFonts w:ascii="Arial" w:eastAsia="Arial" w:hAnsi="Arial" w:cs="Arial"/>
          <w:b/>
          <w:color w:val="000000"/>
          <w:lang w:eastAsia="it-IT"/>
        </w:rPr>
        <w:t>LE ABITAZIONI IN ITALIA</w:t>
      </w:r>
      <w:bookmarkStart w:id="0" w:name="_GoBack"/>
      <w:bookmarkEnd w:id="0"/>
    </w:p>
    <w:tbl>
      <w:tblPr>
        <w:tblW w:w="90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601480" w:rsidRPr="007D1A78" w:rsidTr="00027367"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34,4 milioni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Abitazioni</w:t>
            </w:r>
          </w:p>
        </w:tc>
      </w:tr>
      <w:tr w:rsidR="00601480" w:rsidRPr="007D1A78" w:rsidTr="00027367"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19,8 milioni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Abitazioni principali</w:t>
            </w:r>
          </w:p>
        </w:tc>
      </w:tr>
      <w:tr w:rsidR="00601480" w:rsidRPr="007D1A78" w:rsidTr="00027367"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13 milioni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Seconde case</w:t>
            </w:r>
          </w:p>
        </w:tc>
      </w:tr>
      <w:tr w:rsidR="00601480" w:rsidRPr="007D1A78" w:rsidTr="00027367"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2,8 milioni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Case già locate</w:t>
            </w:r>
          </w:p>
        </w:tc>
      </w:tr>
      <w:tr w:rsidR="00601480" w:rsidRPr="007D1A78" w:rsidTr="00027367"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6,3 milioni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Case disponibili sul mercato</w:t>
            </w:r>
          </w:p>
        </w:tc>
      </w:tr>
      <w:tr w:rsidR="00601480" w:rsidRPr="007D1A78" w:rsidTr="00027367"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500.000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480" w:rsidRPr="007D1A78" w:rsidRDefault="00601480" w:rsidP="00027367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it-IT"/>
              </w:rPr>
            </w:pPr>
            <w:r w:rsidRPr="007D1A78">
              <w:rPr>
                <w:rFonts w:ascii="Arial" w:eastAsia="Arial" w:hAnsi="Arial" w:cs="Arial"/>
                <w:color w:val="000000"/>
                <w:lang w:eastAsia="it-IT"/>
              </w:rPr>
              <w:t>Abitazioni sul mercato degli affitti brevi</w:t>
            </w:r>
          </w:p>
        </w:tc>
      </w:tr>
    </w:tbl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601480" w:rsidRPr="007D1A78" w:rsidRDefault="00601480" w:rsidP="00601480">
      <w:pPr>
        <w:tabs>
          <w:tab w:val="left" w:pos="2235"/>
        </w:tabs>
        <w:spacing w:after="0" w:line="360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7D1A78">
        <w:rPr>
          <w:rFonts w:ascii="Arial" w:eastAsia="Arial" w:hAnsi="Arial" w:cs="Arial"/>
          <w:i/>
          <w:color w:val="000000"/>
          <w:lang w:eastAsia="it-IT"/>
        </w:rPr>
        <w:t xml:space="preserve">Fonte: dati Agenzia delle Entrate/ </w:t>
      </w:r>
      <w:proofErr w:type="spellStart"/>
      <w:r w:rsidRPr="007D1A78">
        <w:rPr>
          <w:rFonts w:ascii="Arial" w:eastAsia="Arial" w:hAnsi="Arial" w:cs="Arial"/>
          <w:i/>
          <w:color w:val="000000"/>
          <w:lang w:eastAsia="it-IT"/>
        </w:rPr>
        <w:t>Abi</w:t>
      </w:r>
      <w:proofErr w:type="spellEnd"/>
      <w:r w:rsidRPr="007D1A78">
        <w:rPr>
          <w:rFonts w:ascii="Arial" w:eastAsia="Arial" w:hAnsi="Arial" w:cs="Arial"/>
          <w:i/>
          <w:color w:val="000000"/>
          <w:lang w:eastAsia="it-IT"/>
        </w:rPr>
        <w:t xml:space="preserve">/ </w:t>
      </w:r>
      <w:proofErr w:type="spellStart"/>
      <w:r w:rsidRPr="007D1A78">
        <w:rPr>
          <w:rFonts w:ascii="Arial" w:eastAsia="Arial" w:hAnsi="Arial" w:cs="Arial"/>
          <w:i/>
          <w:color w:val="000000"/>
          <w:lang w:eastAsia="it-IT"/>
        </w:rPr>
        <w:t>Halldis</w:t>
      </w:r>
      <w:proofErr w:type="spellEnd"/>
    </w:p>
    <w:p w:rsidR="00567EB4" w:rsidRDefault="00567EB4"/>
    <w:sectPr w:rsidR="00567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80"/>
    <w:rsid w:val="00567EB4"/>
    <w:rsid w:val="00601480"/>
    <w:rsid w:val="00B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37E1-E941-4A30-8E4D-ED9634D2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4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owsonitaly.com/" TargetMode="External"/><Relationship Id="rId5" Type="http://schemas.openxmlformats.org/officeDocument/2006/relationships/hyperlink" Target="http://www.windowsonitaly.com/" TargetMode="External"/><Relationship Id="rId4" Type="http://schemas.openxmlformats.org/officeDocument/2006/relationships/hyperlink" Target="http://www.halldi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Vergani</dc:creator>
  <cp:keywords/>
  <dc:description/>
  <cp:lastModifiedBy>Filippo Vergani</cp:lastModifiedBy>
  <cp:revision>2</cp:revision>
  <dcterms:created xsi:type="dcterms:W3CDTF">2017-06-15T11:50:00Z</dcterms:created>
  <dcterms:modified xsi:type="dcterms:W3CDTF">2017-06-15T11:51:00Z</dcterms:modified>
</cp:coreProperties>
</file>