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9D" w:rsidRDefault="00C9586D" w:rsidP="00A4069D">
      <w:pPr>
        <w:pStyle w:val="CRIFQuote"/>
        <w:rPr>
          <w:noProof/>
          <w:lang w:val="it-IT" w:eastAsia="it-IT"/>
        </w:rPr>
      </w:pPr>
      <w:bookmarkStart w:id="0" w:name="_Toc433368662"/>
      <w:r>
        <w:rPr>
          <w:noProof/>
          <w:lang w:val="it-IT" w:eastAsia="it-IT"/>
        </w:rPr>
        <w:t xml:space="preserve">COMUNICATO STAMPA </w:t>
      </w:r>
      <w:r w:rsidR="00A4069D">
        <w:rPr>
          <w:noProof/>
          <w:lang w:val="it-IT" w:eastAsia="it-IT"/>
        </w:rPr>
        <w:t xml:space="preserve">BAROMETRO CRIF </w:t>
      </w:r>
    </w:p>
    <w:p w:rsidR="00B5626A" w:rsidRPr="008B4E4B" w:rsidRDefault="006142C3" w:rsidP="00B5626A">
      <w:pPr>
        <w:spacing w:after="120"/>
        <w:jc w:val="center"/>
        <w:rPr>
          <w:b/>
          <w:color w:val="003B79"/>
          <w:lang w:val="it-IT"/>
        </w:rPr>
      </w:pPr>
      <w:r w:rsidRPr="008B4E4B">
        <w:rPr>
          <w:b/>
          <w:color w:val="003B79"/>
          <w:lang w:val="it-IT"/>
        </w:rPr>
        <w:t xml:space="preserve">LA PROGRESSIVA PERDITA DI INTERESSE VERSO LE SURROGHE FRENA L’ANDAMENTO DELLE RICHIESTE DI MUTUO (-8,2% NEI PRIMI 9 MESI </w:t>
      </w:r>
      <w:r w:rsidR="00B5626A" w:rsidRPr="008B4E4B">
        <w:rPr>
          <w:b/>
          <w:color w:val="003B79"/>
          <w:lang w:val="it-IT"/>
        </w:rPr>
        <w:t>DELL’ANNO</w:t>
      </w:r>
      <w:r w:rsidRPr="008B4E4B">
        <w:rPr>
          <w:b/>
          <w:color w:val="003B79"/>
          <w:lang w:val="it-IT"/>
        </w:rPr>
        <w:t>)</w:t>
      </w:r>
      <w:r w:rsidR="00B5626A" w:rsidRPr="008B4E4B">
        <w:rPr>
          <w:b/>
          <w:color w:val="003B79"/>
          <w:lang w:val="it-IT"/>
        </w:rPr>
        <w:t>.</w:t>
      </w:r>
    </w:p>
    <w:p w:rsidR="00B5626A" w:rsidRPr="006142C3" w:rsidRDefault="00B5626A" w:rsidP="00B5626A">
      <w:pPr>
        <w:spacing w:after="120"/>
        <w:jc w:val="center"/>
        <w:rPr>
          <w:b/>
          <w:color w:val="003B79"/>
          <w:sz w:val="16"/>
          <w:szCs w:val="16"/>
          <w:lang w:val="it-IT"/>
        </w:rPr>
      </w:pPr>
    </w:p>
    <w:p w:rsidR="00A77855" w:rsidRDefault="006142C3" w:rsidP="006142C3">
      <w:pPr>
        <w:spacing w:after="120"/>
        <w:jc w:val="center"/>
        <w:rPr>
          <w:b/>
          <w:color w:val="003B79"/>
          <w:lang w:val="it-IT"/>
        </w:rPr>
      </w:pPr>
      <w:r>
        <w:rPr>
          <w:b/>
          <w:color w:val="003B79"/>
          <w:lang w:val="it-IT"/>
        </w:rPr>
        <w:t>In lieve recupero</w:t>
      </w:r>
      <w:r w:rsidR="00B5626A">
        <w:rPr>
          <w:b/>
          <w:color w:val="003B79"/>
          <w:lang w:val="it-IT"/>
        </w:rPr>
        <w:t xml:space="preserve"> l’importo medio richiesto dalle famiglie</w:t>
      </w:r>
      <w:r>
        <w:rPr>
          <w:b/>
          <w:color w:val="003B79"/>
          <w:lang w:val="it-IT"/>
        </w:rPr>
        <w:t>, seppur su valori ancora lontani dai livelli pre crisi</w:t>
      </w:r>
      <w:r w:rsidR="00B5626A">
        <w:rPr>
          <w:b/>
          <w:color w:val="003B79"/>
          <w:lang w:val="it-IT"/>
        </w:rPr>
        <w:t>.</w:t>
      </w:r>
    </w:p>
    <w:p w:rsidR="00027D8F" w:rsidRDefault="00027D8F" w:rsidP="00096E5F">
      <w:pPr>
        <w:spacing w:after="0" w:line="360" w:lineRule="auto"/>
        <w:jc w:val="center"/>
        <w:rPr>
          <w:b/>
          <w:bCs/>
          <w:iCs/>
          <w:color w:val="003B79"/>
          <w:sz w:val="20"/>
          <w:szCs w:val="20"/>
          <w:lang w:val="it-IT"/>
        </w:rPr>
      </w:pPr>
      <w:r w:rsidRPr="008105F1">
        <w:rPr>
          <w:b/>
          <w:bCs/>
          <w:iCs/>
          <w:color w:val="003B79"/>
          <w:sz w:val="20"/>
          <w:szCs w:val="20"/>
          <w:lang w:val="it-IT"/>
        </w:rPr>
        <w:t>Le evidenze dell’analisi del patrimonio informativo di EURISC – Il Sistema di Informazioni Creditizie di CRIF</w:t>
      </w:r>
    </w:p>
    <w:p w:rsidR="00376CEF" w:rsidRPr="008105F1" w:rsidRDefault="00376CEF" w:rsidP="008A1866">
      <w:pPr>
        <w:spacing w:after="0" w:line="360" w:lineRule="auto"/>
        <w:jc w:val="center"/>
        <w:rPr>
          <w:b/>
          <w:bCs/>
          <w:iCs/>
          <w:color w:val="003B79"/>
          <w:sz w:val="20"/>
          <w:szCs w:val="20"/>
          <w:lang w:val="it-IT"/>
        </w:rPr>
      </w:pPr>
    </w:p>
    <w:p w:rsidR="00B5626A" w:rsidRDefault="004C1495" w:rsidP="00B5626A">
      <w:pPr>
        <w:spacing w:line="360" w:lineRule="auto"/>
        <w:jc w:val="both"/>
        <w:rPr>
          <w:sz w:val="20"/>
          <w:lang w:val="it-IT"/>
        </w:rPr>
      </w:pPr>
      <w:r w:rsidRPr="008B4E4B">
        <w:rPr>
          <w:sz w:val="20"/>
          <w:lang w:val="it-IT"/>
        </w:rPr>
        <w:t xml:space="preserve">Bologna, </w:t>
      </w:r>
      <w:r w:rsidR="008B4E4B" w:rsidRPr="008B4E4B">
        <w:rPr>
          <w:sz w:val="20"/>
          <w:lang w:val="it-IT"/>
        </w:rPr>
        <w:t>13</w:t>
      </w:r>
      <w:r w:rsidR="00250578" w:rsidRPr="008B4E4B">
        <w:rPr>
          <w:sz w:val="20"/>
          <w:lang w:val="it-IT"/>
        </w:rPr>
        <w:t xml:space="preserve"> ottobre </w:t>
      </w:r>
      <w:r w:rsidR="00CE0C3A" w:rsidRPr="008B4E4B">
        <w:rPr>
          <w:sz w:val="20"/>
          <w:lang w:val="it-IT"/>
        </w:rPr>
        <w:t>201</w:t>
      </w:r>
      <w:r w:rsidR="00975635" w:rsidRPr="008B4E4B">
        <w:rPr>
          <w:sz w:val="20"/>
          <w:lang w:val="it-IT"/>
        </w:rPr>
        <w:t>7</w:t>
      </w:r>
      <w:r w:rsidRPr="008B4E4B">
        <w:rPr>
          <w:sz w:val="20"/>
          <w:lang w:val="it-IT"/>
        </w:rPr>
        <w:t xml:space="preserve"> –</w:t>
      </w:r>
      <w:r w:rsidRPr="004C1495">
        <w:rPr>
          <w:sz w:val="20"/>
          <w:lang w:val="it-IT"/>
        </w:rPr>
        <w:t xml:space="preserve"> </w:t>
      </w:r>
      <w:r w:rsidR="00487B5E">
        <w:rPr>
          <w:sz w:val="20"/>
          <w:lang w:val="it-IT"/>
        </w:rPr>
        <w:t>Analizzando le</w:t>
      </w:r>
      <w:r w:rsidR="00487B5E" w:rsidRPr="00975635">
        <w:rPr>
          <w:sz w:val="20"/>
          <w:lang w:val="it-IT"/>
        </w:rPr>
        <w:t xml:space="preserve"> interrogazioni sul Sistema di Informazioni Creditizie </w:t>
      </w:r>
      <w:r w:rsidR="005F3B77">
        <w:rPr>
          <w:sz w:val="20"/>
          <w:lang w:val="it-IT"/>
        </w:rPr>
        <w:t xml:space="preserve">(SIC) </w:t>
      </w:r>
      <w:r w:rsidR="00487B5E" w:rsidRPr="00975635">
        <w:rPr>
          <w:sz w:val="20"/>
          <w:lang w:val="it-IT"/>
        </w:rPr>
        <w:t>di CRIF relative a</w:t>
      </w:r>
      <w:r w:rsidR="006142C3">
        <w:rPr>
          <w:sz w:val="20"/>
          <w:lang w:val="it-IT"/>
        </w:rPr>
        <w:t>lle</w:t>
      </w:r>
      <w:r w:rsidR="00487B5E" w:rsidRPr="00975635">
        <w:rPr>
          <w:sz w:val="20"/>
          <w:lang w:val="it-IT"/>
        </w:rPr>
        <w:t xml:space="preserve"> richieste di nuovi mutui e surroghe (vere e proprie istruttorie formali, non semplici richieste di informazioni o preventivi online)</w:t>
      </w:r>
      <w:r w:rsidR="00487B5E">
        <w:rPr>
          <w:sz w:val="20"/>
          <w:lang w:val="it-IT"/>
        </w:rPr>
        <w:t>,</w:t>
      </w:r>
      <w:r w:rsidR="00B5626A" w:rsidRPr="00B5626A">
        <w:rPr>
          <w:sz w:val="20"/>
          <w:lang w:val="it-IT"/>
        </w:rPr>
        <w:t xml:space="preserve"> </w:t>
      </w:r>
      <w:r w:rsidR="00B5626A">
        <w:rPr>
          <w:sz w:val="20"/>
          <w:lang w:val="it-IT"/>
        </w:rPr>
        <w:t xml:space="preserve">il mese di </w:t>
      </w:r>
      <w:r w:rsidR="00B5626A" w:rsidRPr="004238F0">
        <w:rPr>
          <w:b/>
          <w:sz w:val="20"/>
          <w:lang w:val="it-IT"/>
        </w:rPr>
        <w:t>settembre</w:t>
      </w:r>
      <w:r w:rsidR="00B5626A">
        <w:rPr>
          <w:sz w:val="20"/>
          <w:lang w:val="it-IT"/>
        </w:rPr>
        <w:t xml:space="preserve"> evidenzia una nuova forte contrazione rispetto al corrispondente periodo 2016, con una variazione del </w:t>
      </w:r>
      <w:r w:rsidR="00B5626A" w:rsidRPr="004238F0">
        <w:rPr>
          <w:b/>
          <w:sz w:val="20"/>
          <w:lang w:val="it-IT"/>
        </w:rPr>
        <w:t>-</w:t>
      </w:r>
      <w:r w:rsidR="00B5626A">
        <w:rPr>
          <w:b/>
          <w:sz w:val="20"/>
          <w:lang w:val="it-IT"/>
        </w:rPr>
        <w:t>13,8</w:t>
      </w:r>
      <w:r w:rsidR="00B5626A" w:rsidRPr="004238F0">
        <w:rPr>
          <w:b/>
          <w:sz w:val="20"/>
          <w:lang w:val="it-IT"/>
        </w:rPr>
        <w:t>%</w:t>
      </w:r>
      <w:r w:rsidR="00B5626A">
        <w:rPr>
          <w:b/>
          <w:sz w:val="20"/>
          <w:lang w:val="it-IT"/>
        </w:rPr>
        <w:t xml:space="preserve"> </w:t>
      </w:r>
      <w:r w:rsidR="00B5626A" w:rsidRPr="006142C3">
        <w:rPr>
          <w:sz w:val="20"/>
          <w:lang w:val="it-IT"/>
        </w:rPr>
        <w:t>riconducibile prevalentemente alla progressiva perdita di interesse da parte delle famiglie verso la rottamazione dei vecchi mutui.</w:t>
      </w:r>
      <w:r w:rsidR="00B5626A">
        <w:rPr>
          <w:b/>
          <w:sz w:val="20"/>
          <w:lang w:val="it-IT"/>
        </w:rPr>
        <w:t xml:space="preserve"> </w:t>
      </w:r>
      <w:r w:rsidR="00B5626A">
        <w:rPr>
          <w:sz w:val="20"/>
          <w:lang w:val="it-IT"/>
        </w:rPr>
        <w:t xml:space="preserve">Se consideriamo </w:t>
      </w:r>
      <w:r w:rsidR="00B5626A" w:rsidRPr="0061142B">
        <w:rPr>
          <w:sz w:val="20"/>
          <w:lang w:val="it-IT"/>
        </w:rPr>
        <w:t>i</w:t>
      </w:r>
      <w:r w:rsidR="00B5626A" w:rsidRPr="004238F0">
        <w:rPr>
          <w:b/>
          <w:sz w:val="20"/>
          <w:lang w:val="it-IT"/>
        </w:rPr>
        <w:t xml:space="preserve"> primi 9 mesi</w:t>
      </w:r>
      <w:r w:rsidR="00B5626A">
        <w:rPr>
          <w:sz w:val="20"/>
          <w:lang w:val="it-IT"/>
        </w:rPr>
        <w:t xml:space="preserve"> dell’anno nel loro complesso, la flessione risulta pari a </w:t>
      </w:r>
      <w:r w:rsidR="00B5626A" w:rsidRPr="004238F0">
        <w:rPr>
          <w:b/>
          <w:sz w:val="20"/>
          <w:lang w:val="it-IT"/>
        </w:rPr>
        <w:t>-8,2%</w:t>
      </w:r>
      <w:r w:rsidR="00B5626A">
        <w:rPr>
          <w:sz w:val="20"/>
          <w:lang w:val="it-IT"/>
        </w:rPr>
        <w:t xml:space="preserve">. </w:t>
      </w:r>
    </w:p>
    <w:p w:rsidR="00487B5E" w:rsidRDefault="00B5626A" w:rsidP="00487B5E">
      <w:pPr>
        <w:spacing w:line="360" w:lineRule="auto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Al contempo, però, </w:t>
      </w:r>
      <w:r w:rsidR="00487B5E" w:rsidRPr="008B4E4B">
        <w:rPr>
          <w:sz w:val="20"/>
          <w:lang w:val="it-IT"/>
        </w:rPr>
        <w:t>i</w:t>
      </w:r>
      <w:r w:rsidR="00390456" w:rsidRPr="008B4E4B">
        <w:rPr>
          <w:sz w:val="20"/>
          <w:lang w:val="it-IT"/>
        </w:rPr>
        <w:t xml:space="preserve">l III trimestre </w:t>
      </w:r>
      <w:r w:rsidR="00524B05" w:rsidRPr="008B4E4B">
        <w:rPr>
          <w:sz w:val="20"/>
          <w:lang w:val="it-IT"/>
        </w:rPr>
        <w:t xml:space="preserve">dell’anno </w:t>
      </w:r>
      <w:r w:rsidRPr="008B4E4B">
        <w:rPr>
          <w:sz w:val="20"/>
          <w:lang w:val="it-IT"/>
        </w:rPr>
        <w:t>mostra</w:t>
      </w:r>
      <w:r w:rsidR="00975635">
        <w:rPr>
          <w:sz w:val="20"/>
          <w:lang w:val="it-IT"/>
        </w:rPr>
        <w:t xml:space="preserve"> </w:t>
      </w:r>
      <w:r w:rsidR="00975635" w:rsidRPr="00390456">
        <w:rPr>
          <w:b/>
          <w:sz w:val="20"/>
          <w:lang w:val="it-IT"/>
        </w:rPr>
        <w:t>un</w:t>
      </w:r>
      <w:r w:rsidR="00AF4490">
        <w:rPr>
          <w:b/>
          <w:sz w:val="20"/>
          <w:lang w:val="it-IT"/>
        </w:rPr>
        <w:t xml:space="preserve">a crescita </w:t>
      </w:r>
      <w:r w:rsidR="006142C3">
        <w:rPr>
          <w:b/>
          <w:sz w:val="20"/>
          <w:lang w:val="it-IT"/>
        </w:rPr>
        <w:t xml:space="preserve">complessiva </w:t>
      </w:r>
      <w:r w:rsidR="00487B5E" w:rsidRPr="00487B5E">
        <w:rPr>
          <w:b/>
          <w:sz w:val="20"/>
          <w:lang w:val="it-IT"/>
        </w:rPr>
        <w:t>dell’importo medio richiesto</w:t>
      </w:r>
      <w:r w:rsidR="005F3B77">
        <w:rPr>
          <w:b/>
          <w:sz w:val="20"/>
          <w:lang w:val="it-IT"/>
        </w:rPr>
        <w:t>,</w:t>
      </w:r>
      <w:r w:rsidR="00390456">
        <w:rPr>
          <w:b/>
          <w:sz w:val="20"/>
          <w:lang w:val="it-IT"/>
        </w:rPr>
        <w:t xml:space="preserve"> </w:t>
      </w:r>
      <w:r>
        <w:rPr>
          <w:sz w:val="20"/>
          <w:lang w:val="it-IT"/>
        </w:rPr>
        <w:t>che si attesta</w:t>
      </w:r>
      <w:r w:rsidR="00390456">
        <w:rPr>
          <w:sz w:val="20"/>
          <w:lang w:val="it-IT"/>
        </w:rPr>
        <w:t xml:space="preserve"> a </w:t>
      </w:r>
      <w:r w:rsidR="00390456" w:rsidRPr="00390456">
        <w:rPr>
          <w:b/>
          <w:sz w:val="20"/>
          <w:lang w:val="it-IT"/>
        </w:rPr>
        <w:t>125.449 Euro</w:t>
      </w:r>
      <w:r w:rsidR="00487B5E">
        <w:rPr>
          <w:sz w:val="20"/>
          <w:lang w:val="it-IT"/>
        </w:rPr>
        <w:t xml:space="preserve"> </w:t>
      </w:r>
      <w:r w:rsidR="00390456" w:rsidRPr="006142C3">
        <w:rPr>
          <w:sz w:val="20"/>
          <w:lang w:val="it-IT"/>
        </w:rPr>
        <w:t>(+</w:t>
      </w:r>
      <w:r w:rsidR="004238F0" w:rsidRPr="006142C3">
        <w:rPr>
          <w:sz w:val="20"/>
          <w:lang w:val="it-IT"/>
        </w:rPr>
        <w:t>1,6</w:t>
      </w:r>
      <w:r w:rsidR="00487B5E" w:rsidRPr="006142C3">
        <w:rPr>
          <w:sz w:val="20"/>
          <w:lang w:val="it-IT"/>
        </w:rPr>
        <w:t>% rispetto</w:t>
      </w:r>
      <w:r w:rsidR="00487B5E" w:rsidRPr="00390456">
        <w:rPr>
          <w:sz w:val="20"/>
          <w:lang w:val="it-IT"/>
        </w:rPr>
        <w:t xml:space="preserve"> al </w:t>
      </w:r>
      <w:r w:rsidR="006142C3">
        <w:rPr>
          <w:sz w:val="20"/>
          <w:lang w:val="it-IT"/>
        </w:rPr>
        <w:t xml:space="preserve">medesimo periodo </w:t>
      </w:r>
      <w:r w:rsidR="00487B5E" w:rsidRPr="00390456">
        <w:rPr>
          <w:sz w:val="20"/>
          <w:lang w:val="it-IT"/>
        </w:rPr>
        <w:t>2016</w:t>
      </w:r>
      <w:r w:rsidR="00390456">
        <w:rPr>
          <w:sz w:val="20"/>
          <w:lang w:val="it-IT"/>
        </w:rPr>
        <w:t>)</w:t>
      </w:r>
      <w:r w:rsidR="00487B5E" w:rsidRPr="00390456">
        <w:rPr>
          <w:sz w:val="20"/>
          <w:lang w:val="it-IT"/>
        </w:rPr>
        <w:t>.</w:t>
      </w:r>
    </w:p>
    <w:p w:rsidR="004238F0" w:rsidRPr="00C67459" w:rsidRDefault="00C82CB4" w:rsidP="008A1866">
      <w:pPr>
        <w:pStyle w:val="CRIFBodyText"/>
        <w:rPr>
          <w:szCs w:val="20"/>
          <w:lang w:val="it-IT"/>
        </w:rPr>
      </w:pPr>
      <w:r w:rsidRPr="005569B5">
        <w:rPr>
          <w:szCs w:val="20"/>
          <w:lang w:val="it-IT"/>
        </w:rPr>
        <w:t>Di seguito sono riportate in tabella</w:t>
      </w:r>
      <w:r>
        <w:rPr>
          <w:szCs w:val="20"/>
          <w:lang w:val="it-IT"/>
        </w:rPr>
        <w:t xml:space="preserve"> e</w:t>
      </w:r>
      <w:r w:rsidRPr="005569B5">
        <w:rPr>
          <w:szCs w:val="20"/>
          <w:lang w:val="it-IT"/>
        </w:rPr>
        <w:t xml:space="preserve"> in forma grafica le </w:t>
      </w:r>
      <w:r w:rsidRPr="006142C3">
        <w:rPr>
          <w:b/>
          <w:szCs w:val="20"/>
          <w:lang w:val="it-IT"/>
        </w:rPr>
        <w:t>variazioni percentuali mensili</w:t>
      </w:r>
      <w:r>
        <w:rPr>
          <w:szCs w:val="20"/>
          <w:lang w:val="it-IT"/>
        </w:rPr>
        <w:t xml:space="preserve"> </w:t>
      </w:r>
      <w:r w:rsidRPr="005569B5">
        <w:rPr>
          <w:szCs w:val="20"/>
          <w:lang w:val="it-IT"/>
        </w:rPr>
        <w:t>in valori ponderati</w:t>
      </w:r>
      <w:r w:rsidRPr="00411645">
        <w:rPr>
          <w:szCs w:val="20"/>
          <w:lang w:val="it-IT"/>
        </w:rPr>
        <w:t xml:space="preserve">, cioè al netto dell’effetto prodotto dal differente numero di giorni lavorativi, </w:t>
      </w:r>
      <w:r w:rsidR="005F3B77">
        <w:rPr>
          <w:szCs w:val="20"/>
          <w:lang w:val="it-IT"/>
        </w:rPr>
        <w:t>in base ai dati del</w:t>
      </w:r>
      <w:r w:rsidR="005F3B77" w:rsidRPr="00411645">
        <w:rPr>
          <w:szCs w:val="20"/>
          <w:lang w:val="it-IT"/>
        </w:rPr>
        <w:t xml:space="preserve"> </w:t>
      </w:r>
      <w:r w:rsidRPr="00411645">
        <w:rPr>
          <w:szCs w:val="20"/>
          <w:lang w:val="it-IT"/>
        </w:rPr>
        <w:t xml:space="preserve">SIC </w:t>
      </w:r>
      <w:r w:rsidR="00B5626A" w:rsidRPr="00411645">
        <w:rPr>
          <w:szCs w:val="20"/>
          <w:lang w:val="it-IT"/>
        </w:rPr>
        <w:t>E</w:t>
      </w:r>
      <w:r w:rsidR="00B5626A">
        <w:rPr>
          <w:szCs w:val="20"/>
          <w:lang w:val="it-IT"/>
        </w:rPr>
        <w:t>urisc</w:t>
      </w:r>
      <w:r w:rsidRPr="00411645">
        <w:rPr>
          <w:szCs w:val="20"/>
          <w:lang w:val="it-IT"/>
        </w:rPr>
        <w:t>,</w:t>
      </w:r>
      <w:r w:rsidRPr="005569B5">
        <w:rPr>
          <w:szCs w:val="20"/>
          <w:lang w:val="it-IT"/>
        </w:rPr>
        <w:t xml:space="preserve"> </w:t>
      </w:r>
      <w:r w:rsidR="00BB183D">
        <w:rPr>
          <w:szCs w:val="20"/>
          <w:lang w:val="it-IT"/>
        </w:rPr>
        <w:t xml:space="preserve">che raccoglie </w:t>
      </w:r>
      <w:r w:rsidR="005F3B77">
        <w:rPr>
          <w:szCs w:val="20"/>
          <w:lang w:val="it-IT"/>
        </w:rPr>
        <w:t>le informazioni</w:t>
      </w:r>
      <w:r w:rsidR="00BB183D">
        <w:rPr>
          <w:szCs w:val="20"/>
          <w:lang w:val="it-IT"/>
        </w:rPr>
        <w:t xml:space="preserve"> </w:t>
      </w:r>
      <w:r w:rsidR="005F3B77">
        <w:rPr>
          <w:szCs w:val="20"/>
          <w:lang w:val="it-IT"/>
        </w:rPr>
        <w:t xml:space="preserve">relative </w:t>
      </w:r>
      <w:r w:rsidR="00BB183D">
        <w:rPr>
          <w:szCs w:val="20"/>
          <w:lang w:val="it-IT"/>
        </w:rPr>
        <w:t>a</w:t>
      </w:r>
      <w:r w:rsidRPr="005569B5">
        <w:rPr>
          <w:szCs w:val="20"/>
          <w:lang w:val="it-IT"/>
        </w:rPr>
        <w:t xml:space="preserve"> oltre 8</w:t>
      </w:r>
      <w:r w:rsidR="003E570B">
        <w:rPr>
          <w:szCs w:val="20"/>
          <w:lang w:val="it-IT"/>
        </w:rPr>
        <w:t>5</w:t>
      </w:r>
      <w:r w:rsidRPr="005569B5">
        <w:rPr>
          <w:szCs w:val="20"/>
          <w:lang w:val="it-IT"/>
        </w:rPr>
        <w:t xml:space="preserve"> milioni di posizioni creditizie. </w:t>
      </w:r>
    </w:p>
    <w:tbl>
      <w:tblPr>
        <w:tblStyle w:val="Tabellagriglia5scura-colore21"/>
        <w:tblW w:w="3181" w:type="pct"/>
        <w:jc w:val="center"/>
        <w:tblLook w:val="0420"/>
      </w:tblPr>
      <w:tblGrid>
        <w:gridCol w:w="2027"/>
        <w:gridCol w:w="4065"/>
      </w:tblGrid>
      <w:tr w:rsidR="00C82CB4" w:rsidRPr="0033266F" w:rsidTr="00C4386E">
        <w:trPr>
          <w:cnfStyle w:val="100000000000"/>
          <w:trHeight w:val="536"/>
          <w:jc w:val="center"/>
        </w:trPr>
        <w:tc>
          <w:tcPr>
            <w:tcW w:w="1664" w:type="pct"/>
            <w:vAlign w:val="center"/>
            <w:hideMark/>
          </w:tcPr>
          <w:p w:rsidR="00C82CB4" w:rsidRPr="00FF39A8" w:rsidRDefault="00C82CB4" w:rsidP="00C4386E">
            <w:pPr>
              <w:snapToGrid w:val="0"/>
              <w:rPr>
                <w:sz w:val="18"/>
                <w:szCs w:val="18"/>
              </w:rPr>
            </w:pPr>
            <w:r w:rsidRPr="00FF39A8">
              <w:rPr>
                <w:sz w:val="18"/>
                <w:szCs w:val="18"/>
                <w:lang w:val="it-IT"/>
              </w:rPr>
              <w:t>MUTUI E SURROGHE</w:t>
            </w:r>
          </w:p>
        </w:tc>
        <w:tc>
          <w:tcPr>
            <w:tcW w:w="3336" w:type="pct"/>
            <w:hideMark/>
          </w:tcPr>
          <w:p w:rsidR="00C82CB4" w:rsidRPr="00FF39A8" w:rsidRDefault="00C82CB4" w:rsidP="004238F0">
            <w:pPr>
              <w:snapToGrid w:val="0"/>
              <w:spacing w:before="100" w:beforeAutospacing="1" w:after="100" w:afterAutospacing="1"/>
              <w:jc w:val="center"/>
              <w:rPr>
                <w:b w:val="0"/>
                <w:sz w:val="18"/>
                <w:szCs w:val="18"/>
                <w:lang w:val="it-IT"/>
              </w:rPr>
            </w:pPr>
            <w:r w:rsidRPr="00FF39A8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val="it-IT"/>
              </w:rPr>
              <w:t xml:space="preserve">Variazione % sul mese/anno corrispondente </w:t>
            </w:r>
            <w:r w:rsidRPr="00FF39A8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val="it-IT"/>
              </w:rPr>
              <w:br/>
              <w:t>(a parità di gg. lavorativi)</w:t>
            </w:r>
          </w:p>
        </w:tc>
      </w:tr>
      <w:tr w:rsidR="00CF39E0" w:rsidRPr="00FF39A8" w:rsidTr="00C4386E">
        <w:trPr>
          <w:cnfStyle w:val="000000100000"/>
          <w:trHeight w:val="340"/>
          <w:jc w:val="center"/>
        </w:trPr>
        <w:tc>
          <w:tcPr>
            <w:tcW w:w="1664" w:type="pct"/>
            <w:vAlign w:val="center"/>
            <w:hideMark/>
          </w:tcPr>
          <w:p w:rsidR="00CF39E0" w:rsidRPr="00FF39A8" w:rsidRDefault="00CF39E0" w:rsidP="00BB183D">
            <w:pPr>
              <w:snapToGrid w:val="0"/>
              <w:rPr>
                <w:b/>
                <w:sz w:val="18"/>
                <w:szCs w:val="18"/>
              </w:rPr>
            </w:pPr>
            <w:r w:rsidRPr="00FF39A8">
              <w:rPr>
                <w:b/>
                <w:bCs/>
                <w:sz w:val="18"/>
                <w:szCs w:val="18"/>
              </w:rPr>
              <w:t>Totale 2010</w:t>
            </w:r>
          </w:p>
        </w:tc>
        <w:tc>
          <w:tcPr>
            <w:tcW w:w="3336" w:type="pct"/>
            <w:vAlign w:val="center"/>
            <w:hideMark/>
          </w:tcPr>
          <w:p w:rsidR="00CF39E0" w:rsidRPr="00FF39A8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F39A8">
              <w:rPr>
                <w:b/>
                <w:bCs/>
                <w:sz w:val="18"/>
                <w:szCs w:val="18"/>
              </w:rPr>
              <w:t>+0,5%</w:t>
            </w:r>
          </w:p>
        </w:tc>
      </w:tr>
      <w:tr w:rsidR="00CF39E0" w:rsidRPr="00FF39A8" w:rsidTr="00C4386E">
        <w:trPr>
          <w:trHeight w:val="340"/>
          <w:jc w:val="center"/>
        </w:trPr>
        <w:tc>
          <w:tcPr>
            <w:tcW w:w="1664" w:type="pct"/>
            <w:vAlign w:val="center"/>
            <w:hideMark/>
          </w:tcPr>
          <w:p w:rsidR="00CF39E0" w:rsidRPr="00FF39A8" w:rsidRDefault="00CF39E0" w:rsidP="00BB183D">
            <w:pPr>
              <w:snapToGrid w:val="0"/>
              <w:rPr>
                <w:b/>
                <w:sz w:val="18"/>
                <w:szCs w:val="18"/>
              </w:rPr>
            </w:pPr>
            <w:r w:rsidRPr="00FF39A8">
              <w:rPr>
                <w:b/>
                <w:bCs/>
                <w:sz w:val="18"/>
                <w:szCs w:val="18"/>
              </w:rPr>
              <w:t>Totale 2011</w:t>
            </w:r>
          </w:p>
        </w:tc>
        <w:tc>
          <w:tcPr>
            <w:tcW w:w="3336" w:type="pct"/>
            <w:vAlign w:val="center"/>
            <w:hideMark/>
          </w:tcPr>
          <w:p w:rsidR="00CF39E0" w:rsidRPr="00FF39A8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F39A8">
              <w:rPr>
                <w:b/>
                <w:bCs/>
                <w:sz w:val="18"/>
                <w:szCs w:val="18"/>
              </w:rPr>
              <w:t>-19,4%</w:t>
            </w:r>
          </w:p>
        </w:tc>
      </w:tr>
      <w:tr w:rsidR="00CF39E0" w:rsidRPr="00FF39A8" w:rsidTr="00C4386E">
        <w:trPr>
          <w:cnfStyle w:val="000000100000"/>
          <w:trHeight w:val="340"/>
          <w:jc w:val="center"/>
        </w:trPr>
        <w:tc>
          <w:tcPr>
            <w:tcW w:w="1664" w:type="pct"/>
            <w:vAlign w:val="center"/>
            <w:hideMark/>
          </w:tcPr>
          <w:p w:rsidR="00CF39E0" w:rsidRPr="00FF39A8" w:rsidRDefault="00CF39E0" w:rsidP="00BB183D">
            <w:pPr>
              <w:snapToGrid w:val="0"/>
              <w:rPr>
                <w:b/>
                <w:sz w:val="18"/>
                <w:szCs w:val="18"/>
              </w:rPr>
            </w:pPr>
            <w:r w:rsidRPr="00FF39A8">
              <w:rPr>
                <w:b/>
                <w:sz w:val="18"/>
                <w:szCs w:val="18"/>
              </w:rPr>
              <w:t>Totale 2012</w:t>
            </w:r>
          </w:p>
        </w:tc>
        <w:tc>
          <w:tcPr>
            <w:tcW w:w="3336" w:type="pct"/>
            <w:vAlign w:val="center"/>
            <w:hideMark/>
          </w:tcPr>
          <w:p w:rsidR="00CF39E0" w:rsidRPr="00FF39A8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F39A8">
              <w:rPr>
                <w:b/>
                <w:bCs/>
                <w:sz w:val="18"/>
                <w:szCs w:val="18"/>
              </w:rPr>
              <w:t>-41,8%</w:t>
            </w:r>
          </w:p>
        </w:tc>
      </w:tr>
      <w:tr w:rsidR="00CF39E0" w:rsidRPr="00FF39A8" w:rsidTr="00C4386E">
        <w:trPr>
          <w:trHeight w:val="340"/>
          <w:jc w:val="center"/>
        </w:trPr>
        <w:tc>
          <w:tcPr>
            <w:tcW w:w="1664" w:type="pct"/>
            <w:vAlign w:val="center"/>
          </w:tcPr>
          <w:p w:rsidR="00CF39E0" w:rsidRPr="00FF39A8" w:rsidRDefault="00CF39E0" w:rsidP="00BB183D">
            <w:pPr>
              <w:snapToGrid w:val="0"/>
              <w:rPr>
                <w:b/>
                <w:sz w:val="18"/>
                <w:szCs w:val="18"/>
              </w:rPr>
            </w:pPr>
            <w:r w:rsidRPr="00FF39A8">
              <w:rPr>
                <w:b/>
                <w:sz w:val="18"/>
                <w:szCs w:val="18"/>
              </w:rPr>
              <w:t>Totale 2013</w:t>
            </w:r>
          </w:p>
        </w:tc>
        <w:tc>
          <w:tcPr>
            <w:tcW w:w="3336" w:type="pct"/>
            <w:vAlign w:val="center"/>
          </w:tcPr>
          <w:p w:rsidR="00CF39E0" w:rsidRPr="00FF39A8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F39A8">
              <w:rPr>
                <w:b/>
                <w:bCs/>
                <w:sz w:val="18"/>
                <w:szCs w:val="18"/>
              </w:rPr>
              <w:t>-3,6%</w:t>
            </w:r>
          </w:p>
        </w:tc>
      </w:tr>
      <w:tr w:rsidR="00CF39E0" w:rsidRPr="00FF39A8" w:rsidTr="00C4386E">
        <w:trPr>
          <w:cnfStyle w:val="000000100000"/>
          <w:trHeight w:val="340"/>
          <w:jc w:val="center"/>
        </w:trPr>
        <w:tc>
          <w:tcPr>
            <w:tcW w:w="1664" w:type="pct"/>
            <w:vAlign w:val="center"/>
          </w:tcPr>
          <w:p w:rsidR="00CF39E0" w:rsidRPr="00FF39A8" w:rsidRDefault="00CF39E0" w:rsidP="00BB183D">
            <w:pPr>
              <w:snapToGrid w:val="0"/>
              <w:rPr>
                <w:b/>
                <w:sz w:val="18"/>
                <w:szCs w:val="18"/>
              </w:rPr>
            </w:pPr>
            <w:r w:rsidRPr="00FF39A8">
              <w:rPr>
                <w:b/>
                <w:sz w:val="18"/>
                <w:szCs w:val="18"/>
              </w:rPr>
              <w:lastRenderedPageBreak/>
              <w:t>Totale 2014</w:t>
            </w:r>
          </w:p>
        </w:tc>
        <w:tc>
          <w:tcPr>
            <w:tcW w:w="3336" w:type="pct"/>
            <w:vAlign w:val="center"/>
          </w:tcPr>
          <w:p w:rsidR="00CF39E0" w:rsidRPr="00FF39A8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F39A8">
              <w:rPr>
                <w:b/>
                <w:sz w:val="18"/>
                <w:szCs w:val="18"/>
              </w:rPr>
              <w:t>+15,0%</w:t>
            </w:r>
          </w:p>
        </w:tc>
      </w:tr>
      <w:tr w:rsidR="00CF39E0" w:rsidRPr="00FF39A8" w:rsidTr="00C4386E">
        <w:trPr>
          <w:trHeight w:val="340"/>
          <w:jc w:val="center"/>
        </w:trPr>
        <w:tc>
          <w:tcPr>
            <w:tcW w:w="1664" w:type="pct"/>
            <w:vAlign w:val="center"/>
          </w:tcPr>
          <w:p w:rsidR="00CF39E0" w:rsidRPr="00FF39A8" w:rsidRDefault="00CF39E0" w:rsidP="00BB183D">
            <w:pPr>
              <w:snapToGrid w:val="0"/>
              <w:rPr>
                <w:b/>
                <w:sz w:val="18"/>
                <w:szCs w:val="18"/>
              </w:rPr>
            </w:pPr>
            <w:r w:rsidRPr="00FF39A8">
              <w:rPr>
                <w:b/>
                <w:sz w:val="18"/>
                <w:szCs w:val="18"/>
              </w:rPr>
              <w:t>Totale 2015</w:t>
            </w:r>
          </w:p>
        </w:tc>
        <w:tc>
          <w:tcPr>
            <w:tcW w:w="3336" w:type="pct"/>
            <w:vAlign w:val="center"/>
          </w:tcPr>
          <w:p w:rsidR="00CF39E0" w:rsidRPr="00FF39A8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F39A8">
              <w:rPr>
                <w:b/>
                <w:sz w:val="18"/>
                <w:szCs w:val="18"/>
              </w:rPr>
              <w:t>+53,3%</w:t>
            </w:r>
          </w:p>
        </w:tc>
      </w:tr>
      <w:tr w:rsidR="00CF39E0" w:rsidRPr="00FF39A8" w:rsidTr="00C4386E">
        <w:trPr>
          <w:cnfStyle w:val="000000100000"/>
          <w:trHeight w:val="340"/>
          <w:jc w:val="center"/>
        </w:trPr>
        <w:tc>
          <w:tcPr>
            <w:tcW w:w="1664" w:type="pct"/>
            <w:vAlign w:val="center"/>
          </w:tcPr>
          <w:p w:rsidR="00CF39E0" w:rsidRPr="00FF39A8" w:rsidRDefault="00CF39E0" w:rsidP="00BB183D">
            <w:pPr>
              <w:snapToGrid w:val="0"/>
              <w:rPr>
                <w:b/>
                <w:sz w:val="18"/>
                <w:szCs w:val="18"/>
              </w:rPr>
            </w:pPr>
            <w:r w:rsidRPr="00FF39A8">
              <w:rPr>
                <w:b/>
                <w:sz w:val="18"/>
                <w:szCs w:val="18"/>
              </w:rPr>
              <w:t>Totale 2016</w:t>
            </w:r>
          </w:p>
        </w:tc>
        <w:tc>
          <w:tcPr>
            <w:tcW w:w="3336" w:type="pct"/>
            <w:vAlign w:val="center"/>
          </w:tcPr>
          <w:p w:rsidR="00CF39E0" w:rsidRPr="00FF39A8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F39A8">
              <w:rPr>
                <w:rFonts w:ascii="Verdana" w:hAnsi="Verdana" w:cs="Times New Roman"/>
                <w:b/>
                <w:sz w:val="18"/>
                <w:szCs w:val="18"/>
              </w:rPr>
              <w:t>+13,3%</w:t>
            </w:r>
          </w:p>
        </w:tc>
      </w:tr>
      <w:tr w:rsidR="00CF39E0" w:rsidRPr="00FF39A8" w:rsidTr="00C4386E">
        <w:trPr>
          <w:trHeight w:val="340"/>
          <w:jc w:val="center"/>
        </w:trPr>
        <w:tc>
          <w:tcPr>
            <w:tcW w:w="1664" w:type="pct"/>
            <w:vAlign w:val="center"/>
          </w:tcPr>
          <w:p w:rsidR="00CF39E0" w:rsidRPr="00FF39A8" w:rsidRDefault="00CF39E0" w:rsidP="00BB183D">
            <w:pPr>
              <w:snapToGrid w:val="0"/>
              <w:rPr>
                <w:sz w:val="18"/>
                <w:szCs w:val="18"/>
              </w:rPr>
            </w:pPr>
            <w:r w:rsidRPr="00FF39A8">
              <w:rPr>
                <w:sz w:val="18"/>
                <w:szCs w:val="18"/>
                <w:lang w:val="it-IT"/>
              </w:rPr>
              <w:t>Gennaio</w:t>
            </w:r>
            <w:r w:rsidRPr="00FF39A8"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3336" w:type="pct"/>
            <w:vAlign w:val="center"/>
          </w:tcPr>
          <w:p w:rsidR="00CF39E0" w:rsidRPr="00FF39A8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F39A8">
              <w:rPr>
                <w:sz w:val="18"/>
                <w:szCs w:val="18"/>
              </w:rPr>
              <w:t>+1,8%</w:t>
            </w:r>
          </w:p>
        </w:tc>
      </w:tr>
      <w:tr w:rsidR="00CF39E0" w:rsidRPr="00FF39A8" w:rsidTr="00C4386E">
        <w:trPr>
          <w:cnfStyle w:val="000000100000"/>
          <w:trHeight w:val="340"/>
          <w:jc w:val="center"/>
        </w:trPr>
        <w:tc>
          <w:tcPr>
            <w:tcW w:w="1664" w:type="pct"/>
            <w:vAlign w:val="center"/>
          </w:tcPr>
          <w:p w:rsidR="00CF39E0" w:rsidRPr="00FF39A8" w:rsidRDefault="00CF39E0" w:rsidP="00BB183D">
            <w:pPr>
              <w:snapToGrid w:val="0"/>
              <w:rPr>
                <w:sz w:val="18"/>
                <w:szCs w:val="18"/>
              </w:rPr>
            </w:pPr>
            <w:r w:rsidRPr="00FF39A8">
              <w:rPr>
                <w:sz w:val="18"/>
                <w:szCs w:val="18"/>
              </w:rPr>
              <w:t>Febbraio 2017</w:t>
            </w:r>
          </w:p>
        </w:tc>
        <w:tc>
          <w:tcPr>
            <w:tcW w:w="3336" w:type="pct"/>
            <w:vAlign w:val="center"/>
          </w:tcPr>
          <w:p w:rsidR="00CF39E0" w:rsidRPr="008B3706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B3706">
              <w:rPr>
                <w:sz w:val="18"/>
                <w:szCs w:val="18"/>
              </w:rPr>
              <w:t>-1,6%</w:t>
            </w:r>
          </w:p>
        </w:tc>
      </w:tr>
      <w:tr w:rsidR="00CF39E0" w:rsidRPr="00FF39A8" w:rsidTr="00C4386E">
        <w:trPr>
          <w:trHeight w:val="340"/>
          <w:jc w:val="center"/>
        </w:trPr>
        <w:tc>
          <w:tcPr>
            <w:tcW w:w="1664" w:type="pct"/>
            <w:vAlign w:val="center"/>
          </w:tcPr>
          <w:p w:rsidR="00CF39E0" w:rsidRPr="00FF39A8" w:rsidRDefault="00CF39E0" w:rsidP="00BB183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Marzo 2017</w:t>
            </w:r>
          </w:p>
        </w:tc>
        <w:tc>
          <w:tcPr>
            <w:tcW w:w="3336" w:type="pct"/>
            <w:vAlign w:val="center"/>
          </w:tcPr>
          <w:p w:rsidR="00CF39E0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+1,7%</w:t>
            </w:r>
          </w:p>
        </w:tc>
      </w:tr>
      <w:tr w:rsidR="00CF39E0" w:rsidRPr="00FF39A8" w:rsidTr="00C4386E">
        <w:trPr>
          <w:cnfStyle w:val="000000100000"/>
          <w:trHeight w:val="340"/>
          <w:jc w:val="center"/>
        </w:trPr>
        <w:tc>
          <w:tcPr>
            <w:tcW w:w="1664" w:type="pct"/>
            <w:vAlign w:val="center"/>
          </w:tcPr>
          <w:p w:rsidR="00CF39E0" w:rsidRDefault="00CF39E0" w:rsidP="00BB183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 2017</w:t>
            </w:r>
          </w:p>
        </w:tc>
        <w:tc>
          <w:tcPr>
            <w:tcW w:w="3336" w:type="pct"/>
            <w:vAlign w:val="center"/>
          </w:tcPr>
          <w:p w:rsidR="00CF39E0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-16,1%</w:t>
            </w:r>
          </w:p>
        </w:tc>
      </w:tr>
      <w:tr w:rsidR="00CF39E0" w:rsidRPr="00FF39A8" w:rsidTr="00C4386E">
        <w:trPr>
          <w:trHeight w:val="340"/>
          <w:jc w:val="center"/>
        </w:trPr>
        <w:tc>
          <w:tcPr>
            <w:tcW w:w="1664" w:type="pct"/>
            <w:vAlign w:val="center"/>
          </w:tcPr>
          <w:p w:rsidR="00CF39E0" w:rsidRDefault="00CF39E0" w:rsidP="00BB183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Maggio 2017</w:t>
            </w:r>
          </w:p>
        </w:tc>
        <w:tc>
          <w:tcPr>
            <w:tcW w:w="3336" w:type="pct"/>
            <w:vAlign w:val="center"/>
          </w:tcPr>
          <w:p w:rsidR="00CF39E0" w:rsidRDefault="00CF39E0" w:rsidP="00CF39E0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-11,4%</w:t>
            </w:r>
          </w:p>
        </w:tc>
      </w:tr>
      <w:tr w:rsidR="00C82CB4" w:rsidRPr="00FF39A8" w:rsidTr="00C4386E">
        <w:trPr>
          <w:cnfStyle w:val="000000100000"/>
          <w:trHeight w:val="340"/>
          <w:jc w:val="center"/>
        </w:trPr>
        <w:tc>
          <w:tcPr>
            <w:tcW w:w="1664" w:type="pct"/>
            <w:vAlign w:val="center"/>
          </w:tcPr>
          <w:p w:rsidR="00C82CB4" w:rsidRDefault="00C82CB4" w:rsidP="00BB183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Giugno 2017</w:t>
            </w:r>
          </w:p>
        </w:tc>
        <w:tc>
          <w:tcPr>
            <w:tcW w:w="3336" w:type="pct"/>
            <w:vAlign w:val="center"/>
          </w:tcPr>
          <w:p w:rsidR="00C82CB4" w:rsidRDefault="00023A29" w:rsidP="00C4386E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-8,5</w:t>
            </w:r>
            <w:r w:rsidR="00CF39E0">
              <w:rPr>
                <w:sz w:val="18"/>
                <w:szCs w:val="18"/>
              </w:rPr>
              <w:t>%</w:t>
            </w:r>
          </w:p>
        </w:tc>
      </w:tr>
      <w:tr w:rsidR="00023A29" w:rsidRPr="00FF39A8" w:rsidTr="00C4386E">
        <w:trPr>
          <w:trHeight w:val="340"/>
          <w:jc w:val="center"/>
        </w:trPr>
        <w:tc>
          <w:tcPr>
            <w:tcW w:w="1664" w:type="pct"/>
            <w:vAlign w:val="center"/>
          </w:tcPr>
          <w:p w:rsidR="00023A29" w:rsidRDefault="00023A29" w:rsidP="00BB183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Luglio 2017</w:t>
            </w:r>
          </w:p>
        </w:tc>
        <w:tc>
          <w:tcPr>
            <w:tcW w:w="3336" w:type="pct"/>
            <w:vAlign w:val="center"/>
          </w:tcPr>
          <w:p w:rsidR="00023A29" w:rsidRDefault="00023A29" w:rsidP="00C4386E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-14,8%</w:t>
            </w:r>
          </w:p>
        </w:tc>
      </w:tr>
      <w:tr w:rsidR="00023A29" w:rsidRPr="00FF39A8" w:rsidTr="00C4386E">
        <w:trPr>
          <w:cnfStyle w:val="000000100000"/>
          <w:trHeight w:val="340"/>
          <w:jc w:val="center"/>
        </w:trPr>
        <w:tc>
          <w:tcPr>
            <w:tcW w:w="1664" w:type="pct"/>
            <w:vAlign w:val="center"/>
          </w:tcPr>
          <w:p w:rsidR="00023A29" w:rsidRDefault="00023A29" w:rsidP="00BB183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Agosto 2017</w:t>
            </w:r>
          </w:p>
        </w:tc>
        <w:tc>
          <w:tcPr>
            <w:tcW w:w="3336" w:type="pct"/>
            <w:vAlign w:val="center"/>
          </w:tcPr>
          <w:p w:rsidR="00023A29" w:rsidRDefault="00023A29" w:rsidP="00C4386E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-14,6%</w:t>
            </w:r>
          </w:p>
        </w:tc>
      </w:tr>
      <w:tr w:rsidR="00023A29" w:rsidRPr="00FF39A8" w:rsidTr="00C4386E">
        <w:trPr>
          <w:trHeight w:val="340"/>
          <w:jc w:val="center"/>
        </w:trPr>
        <w:tc>
          <w:tcPr>
            <w:tcW w:w="1664" w:type="pct"/>
            <w:vAlign w:val="center"/>
          </w:tcPr>
          <w:p w:rsidR="00023A29" w:rsidRDefault="00023A29" w:rsidP="00BB183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Settembre 2017</w:t>
            </w:r>
          </w:p>
        </w:tc>
        <w:tc>
          <w:tcPr>
            <w:tcW w:w="3336" w:type="pct"/>
            <w:vAlign w:val="center"/>
          </w:tcPr>
          <w:p w:rsidR="00023A29" w:rsidRDefault="00023A29" w:rsidP="00C4386E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-13,8%</w:t>
            </w:r>
          </w:p>
        </w:tc>
      </w:tr>
    </w:tbl>
    <w:p w:rsidR="00C82CB4" w:rsidRPr="00FF39A8" w:rsidRDefault="00C82CB4" w:rsidP="004D7C1F">
      <w:pPr>
        <w:pStyle w:val="CRIFCaption"/>
        <w:jc w:val="center"/>
        <w:rPr>
          <w:lang w:val="it-IT"/>
        </w:rPr>
      </w:pPr>
      <w:r w:rsidRPr="00FF39A8">
        <w:rPr>
          <w:lang w:val="it-IT"/>
        </w:rPr>
        <w:t>Fonte: EURISC – Il Sistema CRIF di Informazioni Creditizie</w:t>
      </w:r>
    </w:p>
    <w:p w:rsidR="00C82CB4" w:rsidRDefault="00C82CB4" w:rsidP="004D7C1F">
      <w:pPr>
        <w:pStyle w:val="CRIFTitle2"/>
        <w:spacing w:after="0" w:line="240" w:lineRule="auto"/>
      </w:pPr>
    </w:p>
    <w:p w:rsidR="00C82CB4" w:rsidRDefault="00C82CB4" w:rsidP="00C82CB4">
      <w:pPr>
        <w:pStyle w:val="CRIFTitle2"/>
        <w:spacing w:after="0" w:line="240" w:lineRule="auto"/>
        <w:jc w:val="center"/>
        <w:rPr>
          <w:b w:val="0"/>
          <w:bCs/>
          <w:sz w:val="16"/>
          <w:szCs w:val="16"/>
        </w:rPr>
      </w:pPr>
      <w:r>
        <w:t>Andamento del numero di richieste di nuovi mutui e surroghe ponderato a parità di giorni lavorativi</w:t>
      </w:r>
    </w:p>
    <w:p w:rsidR="00C82CB4" w:rsidRPr="00160603" w:rsidRDefault="00C82CB4" w:rsidP="00C82CB4">
      <w:pPr>
        <w:spacing w:after="0" w:line="240" w:lineRule="auto"/>
        <w:jc w:val="center"/>
        <w:rPr>
          <w:b/>
          <w:bCs/>
          <w:sz w:val="16"/>
          <w:szCs w:val="16"/>
          <w:lang w:val="it-IT"/>
        </w:rPr>
      </w:pPr>
    </w:p>
    <w:p w:rsidR="00C82CB4" w:rsidRPr="004E1B24" w:rsidRDefault="00E47BC9" w:rsidP="00C82CB4">
      <w:pPr>
        <w:spacing w:after="0" w:line="240" w:lineRule="auto"/>
        <w:rPr>
          <w:b/>
          <w:bCs/>
          <w:sz w:val="16"/>
          <w:szCs w:val="16"/>
          <w:lang w:val="it-IT"/>
        </w:rPr>
      </w:pPr>
      <w:r w:rsidRPr="00E47BC9">
        <w:rPr>
          <w:noProof/>
          <w:lang w:val="it-IT" w:eastAsia="it-IT"/>
        </w:rPr>
        <w:drawing>
          <wp:inline distT="0" distB="0" distL="0" distR="0">
            <wp:extent cx="6083566" cy="1343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18" r="2555"/>
                    <a:stretch/>
                  </pic:blipFill>
                  <pic:spPr bwMode="auto">
                    <a:xfrm>
                      <a:off x="0" y="0"/>
                      <a:ext cx="6087736" cy="134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82CB4" w:rsidRPr="00160603" w:rsidRDefault="00C82CB4" w:rsidP="00C82CB4">
      <w:pPr>
        <w:pStyle w:val="CRIFCaption"/>
        <w:spacing w:after="0"/>
        <w:jc w:val="center"/>
        <w:rPr>
          <w:lang w:val="it-IT"/>
        </w:rPr>
      </w:pPr>
      <w:r w:rsidRPr="00160603">
        <w:rPr>
          <w:lang w:val="it-IT"/>
        </w:rPr>
        <w:t>Fonte: EURISC – Il Sistema CRIF di Informazioni Creditizie</w:t>
      </w:r>
    </w:p>
    <w:p w:rsidR="00C82CB4" w:rsidRDefault="00C82CB4" w:rsidP="008A1866">
      <w:pPr>
        <w:pStyle w:val="CRIFBodyText"/>
        <w:rPr>
          <w:lang w:val="it-IT"/>
        </w:rPr>
      </w:pPr>
    </w:p>
    <w:p w:rsidR="00C82CB4" w:rsidRPr="00D618BC" w:rsidRDefault="00C82CB4" w:rsidP="008A1866">
      <w:pPr>
        <w:pStyle w:val="CRIFCaption"/>
        <w:spacing w:line="360" w:lineRule="auto"/>
        <w:jc w:val="both"/>
        <w:rPr>
          <w:i w:val="0"/>
          <w:color w:val="auto"/>
          <w:sz w:val="20"/>
          <w:szCs w:val="20"/>
          <w:lang w:val="it-IT"/>
        </w:rPr>
      </w:pPr>
      <w:r>
        <w:rPr>
          <w:i w:val="0"/>
          <w:color w:val="auto"/>
          <w:sz w:val="20"/>
          <w:szCs w:val="20"/>
          <w:lang w:val="it-IT"/>
        </w:rPr>
        <w:t xml:space="preserve">La tabella seguente mostra la performance dei </w:t>
      </w:r>
      <w:r w:rsidRPr="003A51F4">
        <w:rPr>
          <w:i w:val="0"/>
          <w:color w:val="auto"/>
          <w:sz w:val="20"/>
          <w:szCs w:val="20"/>
          <w:lang w:val="it-IT"/>
        </w:rPr>
        <w:t xml:space="preserve">primi </w:t>
      </w:r>
      <w:r w:rsidR="003A51F4" w:rsidRPr="003A51F4">
        <w:rPr>
          <w:i w:val="0"/>
          <w:color w:val="auto"/>
          <w:sz w:val="20"/>
          <w:szCs w:val="20"/>
          <w:lang w:val="it-IT"/>
        </w:rPr>
        <w:t>nove</w:t>
      </w:r>
      <w:r w:rsidRPr="003A51F4">
        <w:rPr>
          <w:i w:val="0"/>
          <w:color w:val="auto"/>
          <w:sz w:val="20"/>
          <w:szCs w:val="20"/>
          <w:lang w:val="it-IT"/>
        </w:rPr>
        <w:t xml:space="preserve"> mesi del 2017 rispetto allo stesso periodo degli anni precedenti</w:t>
      </w:r>
      <w:r w:rsidR="004D7C1F">
        <w:rPr>
          <w:i w:val="0"/>
          <w:color w:val="auto"/>
          <w:sz w:val="20"/>
          <w:szCs w:val="20"/>
          <w:lang w:val="it-IT"/>
        </w:rPr>
        <w:t>: s</w:t>
      </w:r>
      <w:r w:rsidR="0021309B">
        <w:rPr>
          <w:i w:val="0"/>
          <w:color w:val="auto"/>
          <w:sz w:val="20"/>
          <w:szCs w:val="20"/>
          <w:lang w:val="it-IT"/>
        </w:rPr>
        <w:t xml:space="preserve">i registra un calo del numero di richieste </w:t>
      </w:r>
      <w:r w:rsidR="00825938">
        <w:rPr>
          <w:i w:val="0"/>
          <w:color w:val="auto"/>
          <w:sz w:val="20"/>
          <w:szCs w:val="20"/>
          <w:lang w:val="it-IT"/>
        </w:rPr>
        <w:t xml:space="preserve">rispetto ai primi 9 mesi del </w:t>
      </w:r>
      <w:r w:rsidR="0021309B">
        <w:rPr>
          <w:i w:val="0"/>
          <w:color w:val="auto"/>
          <w:sz w:val="20"/>
          <w:szCs w:val="20"/>
          <w:lang w:val="it-IT"/>
        </w:rPr>
        <w:t xml:space="preserve">2016, che </w:t>
      </w:r>
      <w:r w:rsidR="004D7C1F">
        <w:rPr>
          <w:i w:val="0"/>
          <w:color w:val="auto"/>
          <w:sz w:val="20"/>
          <w:szCs w:val="20"/>
          <w:lang w:val="it-IT"/>
        </w:rPr>
        <w:t xml:space="preserve">si era </w:t>
      </w:r>
      <w:r w:rsidR="00825938">
        <w:rPr>
          <w:i w:val="0"/>
          <w:color w:val="auto"/>
          <w:sz w:val="20"/>
          <w:szCs w:val="20"/>
          <w:lang w:val="it-IT"/>
        </w:rPr>
        <w:t>dimostrato particolarmente vivace</w:t>
      </w:r>
      <w:r w:rsidR="0021309B">
        <w:rPr>
          <w:i w:val="0"/>
          <w:color w:val="auto"/>
          <w:sz w:val="20"/>
          <w:szCs w:val="20"/>
          <w:lang w:val="it-IT"/>
        </w:rPr>
        <w:t>, ma</w:t>
      </w:r>
      <w:r w:rsidR="004D7C1F">
        <w:rPr>
          <w:i w:val="0"/>
          <w:color w:val="auto"/>
          <w:sz w:val="20"/>
          <w:szCs w:val="20"/>
          <w:lang w:val="it-IT"/>
        </w:rPr>
        <w:t xml:space="preserve"> </w:t>
      </w:r>
      <w:r w:rsidR="0021309B">
        <w:rPr>
          <w:i w:val="0"/>
          <w:color w:val="auto"/>
          <w:sz w:val="20"/>
          <w:szCs w:val="20"/>
          <w:lang w:val="it-IT"/>
        </w:rPr>
        <w:t>a</w:t>
      </w:r>
      <w:r w:rsidR="004D7C1F">
        <w:rPr>
          <w:i w:val="0"/>
          <w:color w:val="auto"/>
          <w:sz w:val="20"/>
          <w:szCs w:val="20"/>
          <w:lang w:val="it-IT"/>
        </w:rPr>
        <w:t xml:space="preserve">llargando il raggio di analisi </w:t>
      </w:r>
      <w:r w:rsidR="00825938">
        <w:rPr>
          <w:i w:val="0"/>
          <w:color w:val="auto"/>
          <w:sz w:val="20"/>
          <w:szCs w:val="20"/>
          <w:lang w:val="it-IT"/>
        </w:rPr>
        <w:t xml:space="preserve">agli anni precedenti </w:t>
      </w:r>
      <w:r w:rsidR="0021309B">
        <w:rPr>
          <w:i w:val="0"/>
          <w:color w:val="auto"/>
          <w:sz w:val="20"/>
          <w:szCs w:val="20"/>
          <w:lang w:val="it-IT"/>
        </w:rPr>
        <w:t xml:space="preserve">si osserva </w:t>
      </w:r>
      <w:r w:rsidR="006142C3">
        <w:rPr>
          <w:i w:val="0"/>
          <w:color w:val="auto"/>
          <w:sz w:val="20"/>
          <w:szCs w:val="20"/>
          <w:lang w:val="it-IT"/>
        </w:rPr>
        <w:t>il costante recupero dopo il crollo registrato nel biennio 2010/2011</w:t>
      </w:r>
      <w:r w:rsidR="004238F0">
        <w:rPr>
          <w:i w:val="0"/>
          <w:color w:val="auto"/>
          <w:sz w:val="20"/>
          <w:szCs w:val="20"/>
          <w:lang w:val="it-IT"/>
        </w:rPr>
        <w:t>.</w:t>
      </w:r>
    </w:p>
    <w:p w:rsidR="00C82CB4" w:rsidRDefault="00C82CB4" w:rsidP="00E47BC9">
      <w:pPr>
        <w:pStyle w:val="CRIFTitle2"/>
        <w:spacing w:after="0" w:line="240" w:lineRule="auto"/>
        <w:jc w:val="center"/>
      </w:pPr>
      <w:r>
        <w:t xml:space="preserve">Variazione del numero di </w:t>
      </w:r>
      <w:r w:rsidR="004D7C1F">
        <w:t>richieste di</w:t>
      </w:r>
      <w:r>
        <w:t xml:space="preserve"> nuovi mutui e surroghe </w:t>
      </w:r>
      <w:r w:rsidR="00E47BC9">
        <w:br/>
      </w:r>
      <w:r>
        <w:t>(a parità di giorni lavorativi)</w:t>
      </w:r>
    </w:p>
    <w:p w:rsidR="00C82CB4" w:rsidRDefault="00C82CB4" w:rsidP="00C82CB4">
      <w:pPr>
        <w:pStyle w:val="CRIFTitle2"/>
        <w:spacing w:after="0" w:line="240" w:lineRule="auto"/>
      </w:pPr>
    </w:p>
    <w:tbl>
      <w:tblPr>
        <w:tblStyle w:val="Grigliamedia1-Colore2"/>
        <w:tblW w:w="0" w:type="auto"/>
        <w:jc w:val="center"/>
        <w:tblLook w:val="04A0"/>
      </w:tblPr>
      <w:tblGrid>
        <w:gridCol w:w="6855"/>
        <w:gridCol w:w="1952"/>
      </w:tblGrid>
      <w:tr w:rsidR="00C82CB4" w:rsidRPr="0064210D" w:rsidTr="0064210D">
        <w:trPr>
          <w:cnfStyle w:val="100000000000"/>
          <w:trHeight w:val="340"/>
          <w:jc w:val="center"/>
        </w:trPr>
        <w:tc>
          <w:tcPr>
            <w:cnfStyle w:val="001000000000"/>
            <w:tcW w:w="6855" w:type="dxa"/>
          </w:tcPr>
          <w:p w:rsidR="00C82CB4" w:rsidRPr="00F52EE0" w:rsidRDefault="00C82CB4" w:rsidP="0064210D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t xml:space="preserve">Variazione </w:t>
            </w:r>
            <w:r w:rsidR="0064210D">
              <w:rPr>
                <w:b w:val="0"/>
                <w:szCs w:val="20"/>
                <w:lang w:val="it-IT"/>
              </w:rPr>
              <w:t>gennaio-settembre</w:t>
            </w:r>
            <w:r w:rsidRPr="00F52EE0">
              <w:rPr>
                <w:b w:val="0"/>
                <w:szCs w:val="20"/>
                <w:lang w:val="it-IT"/>
              </w:rPr>
              <w:t xml:space="preserve"> 2017 su </w:t>
            </w:r>
            <w:r w:rsidR="0064210D">
              <w:rPr>
                <w:b w:val="0"/>
                <w:szCs w:val="20"/>
                <w:lang w:val="it-IT"/>
              </w:rPr>
              <w:t>gennaio-settembre</w:t>
            </w:r>
            <w:r>
              <w:rPr>
                <w:b w:val="0"/>
                <w:szCs w:val="20"/>
                <w:lang w:val="it-IT"/>
              </w:rPr>
              <w:t xml:space="preserve"> 2016</w:t>
            </w:r>
          </w:p>
        </w:tc>
        <w:tc>
          <w:tcPr>
            <w:tcW w:w="1952" w:type="dxa"/>
          </w:tcPr>
          <w:p w:rsidR="00C82CB4" w:rsidRPr="0064210D" w:rsidRDefault="0064210D" w:rsidP="0064210D">
            <w:pPr>
              <w:jc w:val="center"/>
              <w:cnfStyle w:val="100000000000"/>
              <w:rPr>
                <w:b w:val="0"/>
                <w:sz w:val="20"/>
                <w:szCs w:val="20"/>
                <w:lang w:val="it-IT"/>
              </w:rPr>
            </w:pPr>
            <w:r w:rsidRPr="0064210D">
              <w:rPr>
                <w:b w:val="0"/>
                <w:sz w:val="20"/>
                <w:szCs w:val="20"/>
                <w:lang w:val="it-IT"/>
              </w:rPr>
              <w:t>-8,2%</w:t>
            </w:r>
          </w:p>
        </w:tc>
      </w:tr>
      <w:tr w:rsidR="00C82CB4" w:rsidRPr="00F52EE0" w:rsidTr="0064210D">
        <w:trPr>
          <w:cnfStyle w:val="000000100000"/>
          <w:trHeight w:val="340"/>
          <w:jc w:val="center"/>
        </w:trPr>
        <w:tc>
          <w:tcPr>
            <w:cnfStyle w:val="001000000000"/>
            <w:tcW w:w="6855" w:type="dxa"/>
          </w:tcPr>
          <w:p w:rsidR="00C82CB4" w:rsidRPr="00F52EE0" w:rsidRDefault="00C34BC2" w:rsidP="00C4386E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t xml:space="preserve">Variazione </w:t>
            </w:r>
            <w:r w:rsidR="0064210D">
              <w:rPr>
                <w:b w:val="0"/>
                <w:szCs w:val="20"/>
                <w:lang w:val="it-IT"/>
              </w:rPr>
              <w:t>gennaio-settembre</w:t>
            </w:r>
            <w:r w:rsidR="0064210D" w:rsidRPr="00F52EE0">
              <w:rPr>
                <w:b w:val="0"/>
                <w:szCs w:val="20"/>
                <w:lang w:val="it-IT"/>
              </w:rPr>
              <w:t xml:space="preserve"> </w:t>
            </w:r>
            <w:r w:rsidRPr="00F52EE0">
              <w:rPr>
                <w:b w:val="0"/>
                <w:szCs w:val="20"/>
                <w:lang w:val="it-IT"/>
              </w:rPr>
              <w:t xml:space="preserve">2017 su </w:t>
            </w:r>
            <w:r w:rsidR="0064210D">
              <w:rPr>
                <w:b w:val="0"/>
                <w:szCs w:val="20"/>
                <w:lang w:val="it-IT"/>
              </w:rPr>
              <w:t xml:space="preserve">gennaio-settembre </w:t>
            </w:r>
            <w:r w:rsidR="00C82CB4">
              <w:rPr>
                <w:b w:val="0"/>
                <w:szCs w:val="20"/>
                <w:lang w:val="it-IT"/>
              </w:rPr>
              <w:t>2015</w:t>
            </w:r>
          </w:p>
        </w:tc>
        <w:tc>
          <w:tcPr>
            <w:tcW w:w="1952" w:type="dxa"/>
          </w:tcPr>
          <w:p w:rsidR="00C82CB4" w:rsidRPr="0064210D" w:rsidRDefault="0064210D" w:rsidP="0064210D">
            <w:pPr>
              <w:jc w:val="center"/>
              <w:cnfStyle w:val="000000100000"/>
              <w:rPr>
                <w:bCs/>
                <w:sz w:val="20"/>
                <w:szCs w:val="20"/>
                <w:lang w:val="it-IT"/>
              </w:rPr>
            </w:pPr>
            <w:r w:rsidRPr="0064210D">
              <w:rPr>
                <w:bCs/>
                <w:sz w:val="20"/>
                <w:szCs w:val="20"/>
                <w:lang w:val="it-IT"/>
              </w:rPr>
              <w:t>+2,2%</w:t>
            </w:r>
          </w:p>
        </w:tc>
      </w:tr>
      <w:tr w:rsidR="00C82CB4" w:rsidRPr="00F52EE0" w:rsidTr="0064210D">
        <w:trPr>
          <w:trHeight w:val="340"/>
          <w:jc w:val="center"/>
        </w:trPr>
        <w:tc>
          <w:tcPr>
            <w:cnfStyle w:val="001000000000"/>
            <w:tcW w:w="6855" w:type="dxa"/>
          </w:tcPr>
          <w:p w:rsidR="00C82CB4" w:rsidRPr="00F52EE0" w:rsidRDefault="00C34BC2" w:rsidP="00C4386E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lastRenderedPageBreak/>
              <w:t xml:space="preserve">Variazione </w:t>
            </w:r>
            <w:r w:rsidR="0064210D">
              <w:rPr>
                <w:b w:val="0"/>
                <w:szCs w:val="20"/>
                <w:lang w:val="it-IT"/>
              </w:rPr>
              <w:t>gennaio-settembre</w:t>
            </w:r>
            <w:r w:rsidR="0064210D" w:rsidRPr="00F52EE0">
              <w:rPr>
                <w:b w:val="0"/>
                <w:szCs w:val="20"/>
                <w:lang w:val="it-IT"/>
              </w:rPr>
              <w:t xml:space="preserve"> </w:t>
            </w:r>
            <w:r w:rsidRPr="00F52EE0">
              <w:rPr>
                <w:b w:val="0"/>
                <w:szCs w:val="20"/>
                <w:lang w:val="it-IT"/>
              </w:rPr>
              <w:t xml:space="preserve">2017 su </w:t>
            </w:r>
            <w:r w:rsidR="0064210D">
              <w:rPr>
                <w:b w:val="0"/>
                <w:szCs w:val="20"/>
                <w:lang w:val="it-IT"/>
              </w:rPr>
              <w:t xml:space="preserve">gennaio-settembre </w:t>
            </w:r>
            <w:r w:rsidR="00C82CB4">
              <w:rPr>
                <w:b w:val="0"/>
                <w:szCs w:val="20"/>
                <w:lang w:val="it-IT"/>
              </w:rPr>
              <w:t>2014</w:t>
            </w:r>
          </w:p>
        </w:tc>
        <w:tc>
          <w:tcPr>
            <w:tcW w:w="1952" w:type="dxa"/>
          </w:tcPr>
          <w:p w:rsidR="00C82CB4" w:rsidRPr="0064210D" w:rsidRDefault="0064210D" w:rsidP="0064210D">
            <w:pPr>
              <w:jc w:val="center"/>
              <w:cnfStyle w:val="000000000000"/>
              <w:rPr>
                <w:bCs/>
                <w:sz w:val="20"/>
                <w:szCs w:val="20"/>
                <w:lang w:val="it-IT"/>
              </w:rPr>
            </w:pPr>
            <w:r w:rsidRPr="0064210D">
              <w:rPr>
                <w:bCs/>
                <w:sz w:val="20"/>
                <w:szCs w:val="20"/>
                <w:lang w:val="it-IT"/>
              </w:rPr>
              <w:t>+62,1%</w:t>
            </w:r>
          </w:p>
        </w:tc>
      </w:tr>
      <w:tr w:rsidR="00C34BC2" w:rsidRPr="00F52EE0" w:rsidTr="0064210D">
        <w:trPr>
          <w:cnfStyle w:val="000000100000"/>
          <w:trHeight w:val="340"/>
          <w:jc w:val="center"/>
        </w:trPr>
        <w:tc>
          <w:tcPr>
            <w:cnfStyle w:val="001000000000"/>
            <w:tcW w:w="6855" w:type="dxa"/>
          </w:tcPr>
          <w:p w:rsidR="00C34BC2" w:rsidRPr="00F52EE0" w:rsidRDefault="00C34BC2" w:rsidP="00C34BC2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AA554E">
              <w:rPr>
                <w:b w:val="0"/>
                <w:szCs w:val="20"/>
                <w:lang w:val="it-IT"/>
              </w:rPr>
              <w:t xml:space="preserve">Variazione </w:t>
            </w:r>
            <w:r w:rsidR="0064210D">
              <w:rPr>
                <w:b w:val="0"/>
                <w:szCs w:val="20"/>
                <w:lang w:val="it-IT"/>
              </w:rPr>
              <w:t>gennaio-settembre</w:t>
            </w:r>
            <w:r w:rsidR="0064210D" w:rsidRPr="00AA554E">
              <w:rPr>
                <w:b w:val="0"/>
                <w:szCs w:val="20"/>
                <w:lang w:val="it-IT"/>
              </w:rPr>
              <w:t xml:space="preserve"> </w:t>
            </w:r>
            <w:r w:rsidRPr="00AA554E">
              <w:rPr>
                <w:b w:val="0"/>
                <w:szCs w:val="20"/>
                <w:lang w:val="it-IT"/>
              </w:rPr>
              <w:t xml:space="preserve">2017 su </w:t>
            </w:r>
            <w:r w:rsidR="0064210D">
              <w:rPr>
                <w:b w:val="0"/>
                <w:szCs w:val="20"/>
                <w:lang w:val="it-IT"/>
              </w:rPr>
              <w:t xml:space="preserve">gennaio-settembre </w:t>
            </w:r>
            <w:r>
              <w:rPr>
                <w:b w:val="0"/>
                <w:szCs w:val="20"/>
                <w:lang w:val="it-IT"/>
              </w:rPr>
              <w:t>2013</w:t>
            </w:r>
          </w:p>
        </w:tc>
        <w:tc>
          <w:tcPr>
            <w:tcW w:w="1952" w:type="dxa"/>
          </w:tcPr>
          <w:p w:rsidR="00C34BC2" w:rsidRPr="0064210D" w:rsidRDefault="0064210D" w:rsidP="0064210D">
            <w:pPr>
              <w:jc w:val="center"/>
              <w:cnfStyle w:val="000000100000"/>
              <w:rPr>
                <w:bCs/>
                <w:sz w:val="20"/>
                <w:szCs w:val="20"/>
                <w:lang w:val="it-IT"/>
              </w:rPr>
            </w:pPr>
            <w:r w:rsidRPr="0064210D">
              <w:rPr>
                <w:bCs/>
                <w:sz w:val="20"/>
                <w:szCs w:val="20"/>
                <w:lang w:val="it-IT"/>
              </w:rPr>
              <w:t>+81,7%</w:t>
            </w:r>
          </w:p>
        </w:tc>
      </w:tr>
      <w:tr w:rsidR="00C34BC2" w:rsidRPr="00F52EE0" w:rsidTr="0064210D">
        <w:trPr>
          <w:trHeight w:val="340"/>
          <w:jc w:val="center"/>
        </w:trPr>
        <w:tc>
          <w:tcPr>
            <w:cnfStyle w:val="001000000000"/>
            <w:tcW w:w="6855" w:type="dxa"/>
          </w:tcPr>
          <w:p w:rsidR="00C34BC2" w:rsidRPr="00F52EE0" w:rsidRDefault="00C34BC2" w:rsidP="00C34BC2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AA554E">
              <w:rPr>
                <w:b w:val="0"/>
                <w:szCs w:val="20"/>
                <w:lang w:val="it-IT"/>
              </w:rPr>
              <w:t xml:space="preserve">Variazione </w:t>
            </w:r>
            <w:r w:rsidR="0064210D">
              <w:rPr>
                <w:b w:val="0"/>
                <w:szCs w:val="20"/>
                <w:lang w:val="it-IT"/>
              </w:rPr>
              <w:t>gennaio-settembre</w:t>
            </w:r>
            <w:r w:rsidR="0064210D" w:rsidRPr="00AA554E">
              <w:rPr>
                <w:b w:val="0"/>
                <w:szCs w:val="20"/>
                <w:lang w:val="it-IT"/>
              </w:rPr>
              <w:t xml:space="preserve"> </w:t>
            </w:r>
            <w:r w:rsidRPr="00AA554E">
              <w:rPr>
                <w:b w:val="0"/>
                <w:szCs w:val="20"/>
                <w:lang w:val="it-IT"/>
              </w:rPr>
              <w:t xml:space="preserve">2017 su </w:t>
            </w:r>
            <w:r w:rsidR="0064210D">
              <w:rPr>
                <w:b w:val="0"/>
                <w:szCs w:val="20"/>
                <w:lang w:val="it-IT"/>
              </w:rPr>
              <w:t xml:space="preserve">gennaio-settembre </w:t>
            </w:r>
            <w:r>
              <w:rPr>
                <w:b w:val="0"/>
                <w:szCs w:val="20"/>
                <w:lang w:val="it-IT"/>
              </w:rPr>
              <w:t>2012</w:t>
            </w:r>
          </w:p>
        </w:tc>
        <w:tc>
          <w:tcPr>
            <w:tcW w:w="1952" w:type="dxa"/>
          </w:tcPr>
          <w:p w:rsidR="00C34BC2" w:rsidRPr="0064210D" w:rsidRDefault="0064210D" w:rsidP="0064210D">
            <w:pPr>
              <w:jc w:val="center"/>
              <w:cnfStyle w:val="000000000000"/>
              <w:rPr>
                <w:bCs/>
                <w:sz w:val="20"/>
                <w:szCs w:val="20"/>
                <w:lang w:val="it-IT"/>
              </w:rPr>
            </w:pPr>
            <w:r w:rsidRPr="0064210D">
              <w:rPr>
                <w:bCs/>
                <w:sz w:val="20"/>
                <w:szCs w:val="20"/>
                <w:lang w:val="it-IT"/>
              </w:rPr>
              <w:t>+70,3%</w:t>
            </w:r>
          </w:p>
        </w:tc>
      </w:tr>
      <w:tr w:rsidR="00C82CB4" w:rsidRPr="00F52EE0" w:rsidTr="0064210D">
        <w:trPr>
          <w:cnfStyle w:val="000000100000"/>
          <w:trHeight w:val="340"/>
          <w:jc w:val="center"/>
        </w:trPr>
        <w:tc>
          <w:tcPr>
            <w:cnfStyle w:val="001000000000"/>
            <w:tcW w:w="6855" w:type="dxa"/>
          </w:tcPr>
          <w:p w:rsidR="00C82CB4" w:rsidRPr="00F52EE0" w:rsidRDefault="00C34BC2" w:rsidP="00C4386E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t xml:space="preserve">Variazione </w:t>
            </w:r>
            <w:r w:rsidR="0064210D">
              <w:rPr>
                <w:b w:val="0"/>
                <w:szCs w:val="20"/>
                <w:lang w:val="it-IT"/>
              </w:rPr>
              <w:t>gennaio-settembre</w:t>
            </w:r>
            <w:r w:rsidR="0064210D" w:rsidRPr="00F52EE0">
              <w:rPr>
                <w:b w:val="0"/>
                <w:szCs w:val="20"/>
                <w:lang w:val="it-IT"/>
              </w:rPr>
              <w:t xml:space="preserve"> </w:t>
            </w:r>
            <w:r w:rsidRPr="00F52EE0">
              <w:rPr>
                <w:b w:val="0"/>
                <w:szCs w:val="20"/>
                <w:lang w:val="it-IT"/>
              </w:rPr>
              <w:t xml:space="preserve">2017 su </w:t>
            </w:r>
            <w:r w:rsidR="0064210D">
              <w:rPr>
                <w:b w:val="0"/>
                <w:szCs w:val="20"/>
                <w:lang w:val="it-IT"/>
              </w:rPr>
              <w:t xml:space="preserve">gennaio-settembre </w:t>
            </w:r>
            <w:r>
              <w:rPr>
                <w:b w:val="0"/>
                <w:szCs w:val="20"/>
                <w:lang w:val="it-IT"/>
              </w:rPr>
              <w:t>2011</w:t>
            </w:r>
          </w:p>
        </w:tc>
        <w:tc>
          <w:tcPr>
            <w:tcW w:w="1952" w:type="dxa"/>
          </w:tcPr>
          <w:p w:rsidR="00C82CB4" w:rsidRPr="0064210D" w:rsidRDefault="0064210D" w:rsidP="0064210D">
            <w:pPr>
              <w:jc w:val="center"/>
              <w:cnfStyle w:val="000000100000"/>
              <w:rPr>
                <w:bCs/>
                <w:sz w:val="20"/>
                <w:szCs w:val="20"/>
                <w:lang w:val="it-IT"/>
              </w:rPr>
            </w:pPr>
            <w:r w:rsidRPr="0064210D">
              <w:rPr>
                <w:bCs/>
                <w:sz w:val="20"/>
                <w:szCs w:val="20"/>
                <w:lang w:val="it-IT"/>
              </w:rPr>
              <w:t>-3,8%</w:t>
            </w:r>
          </w:p>
        </w:tc>
      </w:tr>
      <w:tr w:rsidR="00C82CB4" w:rsidRPr="00F52EE0" w:rsidTr="0064210D">
        <w:trPr>
          <w:trHeight w:val="340"/>
          <w:jc w:val="center"/>
        </w:trPr>
        <w:tc>
          <w:tcPr>
            <w:cnfStyle w:val="001000000000"/>
            <w:tcW w:w="6855" w:type="dxa"/>
          </w:tcPr>
          <w:p w:rsidR="00C82CB4" w:rsidRPr="00F52EE0" w:rsidRDefault="00C34BC2" w:rsidP="00C4386E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t xml:space="preserve">Variazione </w:t>
            </w:r>
            <w:r w:rsidR="0064210D">
              <w:rPr>
                <w:b w:val="0"/>
                <w:szCs w:val="20"/>
                <w:lang w:val="it-IT"/>
              </w:rPr>
              <w:t>gennaio-settembre</w:t>
            </w:r>
            <w:r w:rsidR="0064210D" w:rsidRPr="00F52EE0">
              <w:rPr>
                <w:b w:val="0"/>
                <w:szCs w:val="20"/>
                <w:lang w:val="it-IT"/>
              </w:rPr>
              <w:t xml:space="preserve"> </w:t>
            </w:r>
            <w:r w:rsidRPr="00F52EE0">
              <w:rPr>
                <w:b w:val="0"/>
                <w:szCs w:val="20"/>
                <w:lang w:val="it-IT"/>
              </w:rPr>
              <w:t xml:space="preserve">2017 su </w:t>
            </w:r>
            <w:r w:rsidR="0064210D">
              <w:rPr>
                <w:b w:val="0"/>
                <w:szCs w:val="20"/>
                <w:lang w:val="it-IT"/>
              </w:rPr>
              <w:t xml:space="preserve">gennaio-settembre </w:t>
            </w:r>
            <w:r>
              <w:rPr>
                <w:b w:val="0"/>
                <w:szCs w:val="20"/>
                <w:lang w:val="it-IT"/>
              </w:rPr>
              <w:t>2010</w:t>
            </w:r>
          </w:p>
        </w:tc>
        <w:tc>
          <w:tcPr>
            <w:tcW w:w="1952" w:type="dxa"/>
          </w:tcPr>
          <w:p w:rsidR="00C82CB4" w:rsidRPr="0064210D" w:rsidRDefault="0064210D" w:rsidP="0064210D">
            <w:pPr>
              <w:jc w:val="center"/>
              <w:cnfStyle w:val="000000000000"/>
              <w:rPr>
                <w:bCs/>
                <w:sz w:val="20"/>
                <w:szCs w:val="20"/>
                <w:lang w:val="it-IT"/>
              </w:rPr>
            </w:pPr>
            <w:r w:rsidRPr="0064210D">
              <w:rPr>
                <w:bCs/>
                <w:sz w:val="20"/>
                <w:szCs w:val="20"/>
                <w:lang w:val="it-IT"/>
              </w:rPr>
              <w:t>-14,7%</w:t>
            </w:r>
          </w:p>
        </w:tc>
      </w:tr>
    </w:tbl>
    <w:p w:rsidR="00C82CB4" w:rsidRDefault="00C82CB4" w:rsidP="00C82CB4">
      <w:pPr>
        <w:pStyle w:val="CRIFTitle2"/>
        <w:spacing w:after="0" w:line="240" w:lineRule="auto"/>
        <w:jc w:val="center"/>
        <w:rPr>
          <w:b w:val="0"/>
          <w:i/>
          <w:color w:val="EC7D11" w:themeColor="text2"/>
          <w:sz w:val="18"/>
        </w:rPr>
      </w:pPr>
    </w:p>
    <w:p w:rsidR="00C82CB4" w:rsidRPr="00DF0301" w:rsidRDefault="00C82CB4" w:rsidP="00C82CB4">
      <w:pPr>
        <w:pStyle w:val="CRIFTitle2"/>
        <w:spacing w:after="0" w:line="240" w:lineRule="auto"/>
        <w:jc w:val="center"/>
        <w:rPr>
          <w:b w:val="0"/>
          <w:i/>
          <w:color w:val="EC7D11" w:themeColor="text2"/>
        </w:rPr>
      </w:pPr>
      <w:r w:rsidRPr="00DF0301">
        <w:rPr>
          <w:b w:val="0"/>
          <w:i/>
          <w:color w:val="EC7D11" w:themeColor="text2"/>
          <w:sz w:val="18"/>
        </w:rPr>
        <w:t>Fonte: EURISC – Il Sistema CRIF di Informazioni Creditizie</w:t>
      </w:r>
    </w:p>
    <w:p w:rsidR="00595F9A" w:rsidRPr="003A7B05" w:rsidRDefault="00595F9A" w:rsidP="003A7B05">
      <w:pPr>
        <w:jc w:val="both"/>
        <w:rPr>
          <w:rFonts w:eastAsiaTheme="minorHAnsi"/>
          <w:sz w:val="20"/>
          <w:szCs w:val="20"/>
          <w:lang w:val="it-IT"/>
        </w:rPr>
      </w:pPr>
    </w:p>
    <w:p w:rsidR="00160603" w:rsidRDefault="00E6582A" w:rsidP="008A1866">
      <w:pPr>
        <w:pStyle w:val="CRIFTitle2"/>
      </w:pPr>
      <w:r w:rsidRPr="007270FB">
        <w:t>L’IMPORTO MEDIO DEI MUTUI RICHIESTI</w:t>
      </w:r>
    </w:p>
    <w:p w:rsidR="00573D5D" w:rsidRDefault="007D19A4" w:rsidP="008A1866">
      <w:pPr>
        <w:spacing w:line="36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Dopo le crescite registrate </w:t>
      </w:r>
      <w:r w:rsidR="004D7C1F">
        <w:rPr>
          <w:sz w:val="20"/>
          <w:szCs w:val="20"/>
          <w:lang w:val="it-IT"/>
        </w:rPr>
        <w:t>nei primi mesi dell’</w:t>
      </w:r>
      <w:r>
        <w:rPr>
          <w:sz w:val="20"/>
          <w:szCs w:val="20"/>
          <w:lang w:val="it-IT"/>
        </w:rPr>
        <w:t xml:space="preserve">anno, </w:t>
      </w:r>
      <w:r w:rsidRPr="007D38D1">
        <w:rPr>
          <w:b/>
          <w:sz w:val="20"/>
          <w:szCs w:val="20"/>
          <w:lang w:val="it-IT"/>
        </w:rPr>
        <w:t>a settembre</w:t>
      </w:r>
      <w:r>
        <w:rPr>
          <w:sz w:val="20"/>
          <w:szCs w:val="20"/>
          <w:lang w:val="it-IT"/>
        </w:rPr>
        <w:t xml:space="preserve"> </w:t>
      </w:r>
      <w:r w:rsidRPr="007D38D1">
        <w:rPr>
          <w:sz w:val="20"/>
          <w:szCs w:val="20"/>
          <w:lang w:val="it-IT"/>
        </w:rPr>
        <w:t xml:space="preserve">il valore medio </w:t>
      </w:r>
      <w:r w:rsidR="004D7C1F">
        <w:rPr>
          <w:sz w:val="20"/>
          <w:szCs w:val="20"/>
          <w:lang w:val="it-IT"/>
        </w:rPr>
        <w:t>dei mutui richiesti dalle famiglie</w:t>
      </w:r>
      <w:r w:rsidRPr="007D38D1">
        <w:rPr>
          <w:sz w:val="20"/>
          <w:szCs w:val="20"/>
          <w:lang w:val="it-IT"/>
        </w:rPr>
        <w:t xml:space="preserve"> risulta</w:t>
      </w:r>
      <w:r w:rsidR="00E671A8">
        <w:rPr>
          <w:sz w:val="20"/>
          <w:szCs w:val="20"/>
          <w:lang w:val="it-IT"/>
        </w:rPr>
        <w:t xml:space="preserve"> pari a </w:t>
      </w:r>
      <w:r w:rsidR="00E671A8" w:rsidRPr="00E671A8">
        <w:rPr>
          <w:b/>
          <w:sz w:val="20"/>
          <w:szCs w:val="20"/>
          <w:lang w:val="it-IT"/>
        </w:rPr>
        <w:t>123.567 Euro</w:t>
      </w:r>
      <w:r w:rsidR="00E671A8">
        <w:rPr>
          <w:sz w:val="20"/>
          <w:szCs w:val="20"/>
          <w:lang w:val="it-IT"/>
        </w:rPr>
        <w:t>,</w:t>
      </w:r>
      <w:r w:rsidRPr="007D38D1">
        <w:rPr>
          <w:sz w:val="20"/>
          <w:szCs w:val="20"/>
          <w:lang w:val="it-IT"/>
        </w:rPr>
        <w:t xml:space="preserve"> in</w:t>
      </w:r>
      <w:r w:rsidRPr="007D19A4">
        <w:rPr>
          <w:b/>
          <w:sz w:val="20"/>
          <w:szCs w:val="20"/>
          <w:lang w:val="it-IT"/>
        </w:rPr>
        <w:t xml:space="preserve"> </w:t>
      </w:r>
      <w:r w:rsidR="007D38D1" w:rsidRPr="004D7C1F">
        <w:rPr>
          <w:sz w:val="20"/>
          <w:szCs w:val="20"/>
          <w:lang w:val="it-IT"/>
        </w:rPr>
        <w:t>leggera crescita (+0,5%)</w:t>
      </w:r>
      <w:r w:rsidR="007D38D1">
        <w:rPr>
          <w:b/>
          <w:sz w:val="20"/>
          <w:szCs w:val="20"/>
          <w:lang w:val="it-IT"/>
        </w:rPr>
        <w:t xml:space="preserve"> </w:t>
      </w:r>
      <w:r w:rsidR="007D38D1" w:rsidRPr="00E671A8">
        <w:rPr>
          <w:sz w:val="20"/>
          <w:szCs w:val="20"/>
          <w:lang w:val="it-IT"/>
        </w:rPr>
        <w:t>rispetto all</w:t>
      </w:r>
      <w:r w:rsidR="00E671A8" w:rsidRPr="00E671A8">
        <w:rPr>
          <w:sz w:val="20"/>
          <w:szCs w:val="20"/>
          <w:lang w:val="it-IT"/>
        </w:rPr>
        <w:t xml:space="preserve">o stesso </w:t>
      </w:r>
      <w:r w:rsidR="005F3B77" w:rsidRPr="00E671A8">
        <w:rPr>
          <w:sz w:val="20"/>
          <w:szCs w:val="20"/>
          <w:lang w:val="it-IT"/>
        </w:rPr>
        <w:t>me</w:t>
      </w:r>
      <w:r w:rsidR="005F3B77">
        <w:rPr>
          <w:sz w:val="20"/>
          <w:szCs w:val="20"/>
          <w:lang w:val="it-IT"/>
        </w:rPr>
        <w:t>s</w:t>
      </w:r>
      <w:r w:rsidR="005F3B77" w:rsidRPr="00E671A8">
        <w:rPr>
          <w:sz w:val="20"/>
          <w:szCs w:val="20"/>
          <w:lang w:val="it-IT"/>
        </w:rPr>
        <w:t xml:space="preserve">e </w:t>
      </w:r>
      <w:r w:rsidR="00E671A8" w:rsidRPr="00E671A8">
        <w:rPr>
          <w:sz w:val="20"/>
          <w:szCs w:val="20"/>
          <w:lang w:val="it-IT"/>
        </w:rPr>
        <w:t>dell</w:t>
      </w:r>
      <w:r w:rsidR="007D38D1" w:rsidRPr="00E671A8">
        <w:rPr>
          <w:sz w:val="20"/>
          <w:szCs w:val="20"/>
          <w:lang w:val="it-IT"/>
        </w:rPr>
        <w:t>’anno precedente</w:t>
      </w:r>
      <w:r>
        <w:rPr>
          <w:sz w:val="20"/>
          <w:szCs w:val="20"/>
          <w:lang w:val="it-IT"/>
        </w:rPr>
        <w:t xml:space="preserve">. </w:t>
      </w:r>
      <w:r w:rsidR="00E671A8">
        <w:rPr>
          <w:sz w:val="20"/>
          <w:szCs w:val="20"/>
          <w:lang w:val="it-IT"/>
        </w:rPr>
        <w:t>Va evidenziato, però, che rispetto a</w:t>
      </w:r>
      <w:r w:rsidR="005556F5">
        <w:rPr>
          <w:sz w:val="20"/>
          <w:szCs w:val="20"/>
          <w:lang w:val="it-IT"/>
        </w:rPr>
        <w:t>gli</w:t>
      </w:r>
      <w:r w:rsidR="00E671A8">
        <w:rPr>
          <w:sz w:val="20"/>
          <w:szCs w:val="20"/>
          <w:lang w:val="it-IT"/>
        </w:rPr>
        <w:t xml:space="preserve"> </w:t>
      </w:r>
      <w:r w:rsidR="005556F5">
        <w:rPr>
          <w:sz w:val="20"/>
          <w:szCs w:val="20"/>
          <w:lang w:val="it-IT"/>
        </w:rPr>
        <w:t xml:space="preserve">altri </w:t>
      </w:r>
      <w:r w:rsidR="00E671A8">
        <w:rPr>
          <w:sz w:val="20"/>
          <w:szCs w:val="20"/>
          <w:lang w:val="it-IT"/>
        </w:rPr>
        <w:t>mesi dell’anno</w:t>
      </w:r>
      <w:r w:rsidR="005556F5">
        <w:rPr>
          <w:sz w:val="20"/>
          <w:szCs w:val="20"/>
          <w:lang w:val="it-IT"/>
        </w:rPr>
        <w:t xml:space="preserve"> in corso</w:t>
      </w:r>
      <w:r w:rsidR="00E671A8">
        <w:rPr>
          <w:sz w:val="20"/>
          <w:szCs w:val="20"/>
          <w:lang w:val="it-IT"/>
        </w:rPr>
        <w:t>, tra agosto e settembre si è assistito a una riduzione del valore</w:t>
      </w:r>
      <w:r>
        <w:rPr>
          <w:sz w:val="20"/>
          <w:szCs w:val="20"/>
          <w:lang w:val="it-IT"/>
        </w:rPr>
        <w:t xml:space="preserve"> </w:t>
      </w:r>
      <w:r w:rsidR="006142C3">
        <w:rPr>
          <w:sz w:val="20"/>
          <w:szCs w:val="20"/>
          <w:lang w:val="it-IT"/>
        </w:rPr>
        <w:t xml:space="preserve">medio </w:t>
      </w:r>
      <w:r w:rsidR="00E671A8">
        <w:rPr>
          <w:sz w:val="20"/>
          <w:szCs w:val="20"/>
          <w:lang w:val="it-IT"/>
        </w:rPr>
        <w:t>che</w:t>
      </w:r>
      <w:r>
        <w:rPr>
          <w:sz w:val="20"/>
          <w:szCs w:val="20"/>
          <w:lang w:val="it-IT"/>
        </w:rPr>
        <w:t xml:space="preserve"> ha</w:t>
      </w:r>
      <w:r w:rsidR="00E671A8">
        <w:rPr>
          <w:sz w:val="20"/>
          <w:szCs w:val="20"/>
          <w:lang w:val="it-IT"/>
        </w:rPr>
        <w:t xml:space="preserve"> </w:t>
      </w:r>
      <w:r w:rsidR="001A7C10">
        <w:rPr>
          <w:sz w:val="20"/>
          <w:szCs w:val="20"/>
          <w:lang w:val="it-IT"/>
        </w:rPr>
        <w:t>assorbito</w:t>
      </w:r>
      <w:r w:rsidR="00E671A8">
        <w:rPr>
          <w:sz w:val="20"/>
          <w:szCs w:val="20"/>
          <w:lang w:val="it-IT"/>
        </w:rPr>
        <w:t xml:space="preserve"> </w:t>
      </w:r>
      <w:r w:rsidR="005556F5">
        <w:rPr>
          <w:sz w:val="20"/>
          <w:szCs w:val="20"/>
          <w:lang w:val="it-IT"/>
        </w:rPr>
        <w:t xml:space="preserve">parte </w:t>
      </w:r>
      <w:r w:rsidR="004D7C1F">
        <w:rPr>
          <w:sz w:val="20"/>
          <w:szCs w:val="20"/>
          <w:lang w:val="it-IT"/>
        </w:rPr>
        <w:t>degli aumenti</w:t>
      </w:r>
      <w:r w:rsidR="00E671A8">
        <w:rPr>
          <w:sz w:val="20"/>
          <w:szCs w:val="20"/>
          <w:lang w:val="it-IT"/>
        </w:rPr>
        <w:t xml:space="preserve"> </w:t>
      </w:r>
      <w:r w:rsidR="00825938">
        <w:rPr>
          <w:sz w:val="20"/>
          <w:szCs w:val="20"/>
          <w:lang w:val="it-IT"/>
        </w:rPr>
        <w:t>registrati</w:t>
      </w:r>
      <w:r w:rsidR="005556F5">
        <w:rPr>
          <w:sz w:val="20"/>
          <w:szCs w:val="20"/>
          <w:lang w:val="it-IT"/>
        </w:rPr>
        <w:t xml:space="preserve"> nei primi 7</w:t>
      </w:r>
      <w:r w:rsidR="00E671A8">
        <w:rPr>
          <w:sz w:val="20"/>
          <w:szCs w:val="20"/>
          <w:lang w:val="it-IT"/>
        </w:rPr>
        <w:t xml:space="preserve"> mesi</w:t>
      </w:r>
      <w:r w:rsidR="00A96C8E">
        <w:rPr>
          <w:sz w:val="20"/>
          <w:szCs w:val="20"/>
          <w:lang w:val="it-IT"/>
        </w:rPr>
        <w:t>.</w:t>
      </w:r>
    </w:p>
    <w:p w:rsidR="001C0F94" w:rsidRDefault="00E671A8" w:rsidP="008A1866">
      <w:pPr>
        <w:spacing w:line="36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</w:t>
      </w:r>
      <w:r w:rsidR="007D19A4">
        <w:rPr>
          <w:sz w:val="20"/>
          <w:szCs w:val="20"/>
          <w:lang w:val="it-IT"/>
        </w:rPr>
        <w:t>omplessivamente</w:t>
      </w:r>
      <w:r w:rsidR="00AD0BA2" w:rsidRPr="00A96C8E">
        <w:rPr>
          <w:sz w:val="20"/>
          <w:szCs w:val="20"/>
          <w:lang w:val="it-IT"/>
        </w:rPr>
        <w:t xml:space="preserve"> </w:t>
      </w:r>
      <w:r w:rsidR="00371A99">
        <w:rPr>
          <w:b/>
          <w:sz w:val="20"/>
          <w:szCs w:val="20"/>
          <w:lang w:val="it-IT"/>
        </w:rPr>
        <w:t>nel III trimestre</w:t>
      </w:r>
      <w:r w:rsidR="00FD6F1F" w:rsidRPr="00573D5D">
        <w:rPr>
          <w:b/>
          <w:sz w:val="20"/>
          <w:szCs w:val="20"/>
          <w:lang w:val="it-IT"/>
        </w:rPr>
        <w:t xml:space="preserve"> </w:t>
      </w:r>
      <w:r w:rsidR="00573D5D" w:rsidRPr="00E671A8">
        <w:rPr>
          <w:sz w:val="20"/>
          <w:szCs w:val="20"/>
          <w:lang w:val="it-IT"/>
        </w:rPr>
        <w:t>dell’anno</w:t>
      </w:r>
      <w:r w:rsidR="00FD6F1F" w:rsidRPr="00573D5D">
        <w:rPr>
          <w:b/>
          <w:sz w:val="20"/>
          <w:szCs w:val="20"/>
          <w:lang w:val="it-IT"/>
        </w:rPr>
        <w:t xml:space="preserve"> </w:t>
      </w:r>
      <w:r w:rsidR="00573D5D">
        <w:rPr>
          <w:sz w:val="20"/>
          <w:szCs w:val="20"/>
          <w:lang w:val="it-IT"/>
        </w:rPr>
        <w:t>in corso</w:t>
      </w:r>
      <w:r>
        <w:rPr>
          <w:sz w:val="20"/>
          <w:szCs w:val="20"/>
          <w:lang w:val="it-IT"/>
        </w:rPr>
        <w:t xml:space="preserve"> la performance risulta </w:t>
      </w:r>
      <w:r w:rsidR="004D7C1F">
        <w:rPr>
          <w:sz w:val="20"/>
          <w:szCs w:val="20"/>
          <w:lang w:val="it-IT"/>
        </w:rPr>
        <w:t xml:space="preserve">comunque </w:t>
      </w:r>
      <w:r>
        <w:rPr>
          <w:sz w:val="20"/>
          <w:szCs w:val="20"/>
          <w:lang w:val="it-IT"/>
        </w:rPr>
        <w:t>positiva</w:t>
      </w:r>
      <w:r w:rsidR="00A96C8E">
        <w:rPr>
          <w:sz w:val="20"/>
          <w:szCs w:val="20"/>
          <w:lang w:val="it-IT"/>
        </w:rPr>
        <w:t>,</w:t>
      </w:r>
      <w:r>
        <w:rPr>
          <w:sz w:val="20"/>
          <w:szCs w:val="20"/>
          <w:lang w:val="it-IT"/>
        </w:rPr>
        <w:t xml:space="preserve"> con</w:t>
      </w:r>
      <w:r w:rsidR="00AD0BA2">
        <w:rPr>
          <w:sz w:val="20"/>
          <w:szCs w:val="20"/>
          <w:lang w:val="it-IT"/>
        </w:rPr>
        <w:t xml:space="preserve"> l’importo medio richiesto </w:t>
      </w:r>
      <w:r w:rsidR="004D7C1F">
        <w:rPr>
          <w:sz w:val="20"/>
          <w:szCs w:val="20"/>
          <w:lang w:val="it-IT"/>
        </w:rPr>
        <w:t>che si attesta</w:t>
      </w:r>
      <w:r w:rsidR="00573D5D">
        <w:rPr>
          <w:sz w:val="20"/>
          <w:szCs w:val="20"/>
          <w:lang w:val="it-IT"/>
        </w:rPr>
        <w:t xml:space="preserve"> </w:t>
      </w:r>
      <w:r w:rsidR="00573D5D" w:rsidRPr="00A96C8E">
        <w:rPr>
          <w:sz w:val="20"/>
          <w:szCs w:val="20"/>
          <w:lang w:val="it-IT"/>
        </w:rPr>
        <w:t>a</w:t>
      </w:r>
      <w:r w:rsidR="00AD0BA2" w:rsidRPr="00A96C8E">
        <w:rPr>
          <w:sz w:val="20"/>
          <w:szCs w:val="20"/>
          <w:lang w:val="it-IT"/>
        </w:rPr>
        <w:t xml:space="preserve"> </w:t>
      </w:r>
      <w:r w:rsidR="00FD6F1F" w:rsidRPr="00A96C8E">
        <w:rPr>
          <w:b/>
          <w:sz w:val="20"/>
          <w:szCs w:val="20"/>
          <w:lang w:val="it-IT"/>
        </w:rPr>
        <w:t>12</w:t>
      </w:r>
      <w:r w:rsidR="00A96C8E" w:rsidRPr="00A96C8E">
        <w:rPr>
          <w:b/>
          <w:sz w:val="20"/>
          <w:szCs w:val="20"/>
          <w:lang w:val="it-IT"/>
        </w:rPr>
        <w:t>5</w:t>
      </w:r>
      <w:r w:rsidR="00FD6F1F" w:rsidRPr="00A96C8E">
        <w:rPr>
          <w:b/>
          <w:sz w:val="20"/>
          <w:szCs w:val="20"/>
          <w:lang w:val="it-IT"/>
        </w:rPr>
        <w:t>.</w:t>
      </w:r>
      <w:r w:rsidR="00371A99">
        <w:rPr>
          <w:b/>
          <w:sz w:val="20"/>
          <w:szCs w:val="20"/>
          <w:lang w:val="it-IT"/>
        </w:rPr>
        <w:t>449</w:t>
      </w:r>
      <w:r w:rsidR="004C1C04" w:rsidRPr="00A96C8E">
        <w:rPr>
          <w:b/>
          <w:sz w:val="20"/>
          <w:szCs w:val="20"/>
          <w:lang w:val="it-IT"/>
        </w:rPr>
        <w:t xml:space="preserve"> </w:t>
      </w:r>
      <w:r w:rsidR="00FD6F1F" w:rsidRPr="00A96C8E">
        <w:rPr>
          <w:b/>
          <w:sz w:val="20"/>
          <w:szCs w:val="20"/>
          <w:lang w:val="it-IT"/>
        </w:rPr>
        <w:t>Euro</w:t>
      </w:r>
      <w:r w:rsidR="004D7C1F">
        <w:rPr>
          <w:b/>
          <w:sz w:val="20"/>
          <w:szCs w:val="20"/>
          <w:lang w:val="it-IT"/>
        </w:rPr>
        <w:t xml:space="preserve"> </w:t>
      </w:r>
      <w:r w:rsidR="004D7C1F" w:rsidRPr="004D7C1F">
        <w:rPr>
          <w:sz w:val="20"/>
          <w:szCs w:val="20"/>
          <w:lang w:val="it-IT"/>
        </w:rPr>
        <w:t>(</w:t>
      </w:r>
      <w:r w:rsidR="00A96C8E" w:rsidRPr="004D7C1F">
        <w:rPr>
          <w:sz w:val="20"/>
          <w:szCs w:val="20"/>
          <w:lang w:val="it-IT"/>
        </w:rPr>
        <w:t>+1,</w:t>
      </w:r>
      <w:r w:rsidR="00371A99" w:rsidRPr="004D7C1F">
        <w:rPr>
          <w:sz w:val="20"/>
          <w:szCs w:val="20"/>
          <w:lang w:val="it-IT"/>
        </w:rPr>
        <w:t>6</w:t>
      </w:r>
      <w:r w:rsidR="00487B5E" w:rsidRPr="004D7C1F">
        <w:rPr>
          <w:sz w:val="20"/>
          <w:szCs w:val="20"/>
          <w:lang w:val="it-IT"/>
        </w:rPr>
        <w:t xml:space="preserve">% rispetto al dato </w:t>
      </w:r>
      <w:r w:rsidR="00CE5C39" w:rsidRPr="004D7C1F">
        <w:rPr>
          <w:sz w:val="20"/>
          <w:szCs w:val="20"/>
          <w:lang w:val="it-IT"/>
        </w:rPr>
        <w:t xml:space="preserve">del corrispondente periodo </w:t>
      </w:r>
      <w:r w:rsidR="00AF4490" w:rsidRPr="004D7C1F">
        <w:rPr>
          <w:sz w:val="20"/>
          <w:szCs w:val="20"/>
          <w:lang w:val="it-IT"/>
        </w:rPr>
        <w:t>del 2016</w:t>
      </w:r>
      <w:r w:rsidR="004D7C1F">
        <w:rPr>
          <w:sz w:val="20"/>
          <w:szCs w:val="20"/>
          <w:lang w:val="it-IT"/>
        </w:rPr>
        <w:t>)</w:t>
      </w:r>
      <w:r w:rsidR="00AF4490" w:rsidRPr="004D7C1F">
        <w:rPr>
          <w:sz w:val="20"/>
          <w:szCs w:val="20"/>
          <w:lang w:val="it-IT"/>
        </w:rPr>
        <w:t>.</w:t>
      </w:r>
    </w:p>
    <w:p w:rsidR="004C1C04" w:rsidRDefault="004C1C04" w:rsidP="004C1C04">
      <w:pPr>
        <w:pStyle w:val="CRIFTitle2"/>
        <w:jc w:val="center"/>
      </w:pPr>
      <w:r>
        <w:t>Andamento dell'importo medio dei Mutui Ipotecari richiesti</w:t>
      </w:r>
    </w:p>
    <w:p w:rsidR="004C1C04" w:rsidRPr="007B511D" w:rsidRDefault="00250578" w:rsidP="004C1C04">
      <w:pPr>
        <w:spacing w:after="24"/>
        <w:rPr>
          <w:lang w:val="it-IT"/>
        </w:rPr>
      </w:pPr>
      <w:r w:rsidRPr="00250578">
        <w:rPr>
          <w:noProof/>
          <w:lang w:val="it-IT" w:eastAsia="it-IT"/>
        </w:rPr>
        <w:drawing>
          <wp:inline distT="0" distB="0" distL="0" distR="0">
            <wp:extent cx="5991225" cy="1270092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11" r="2889"/>
                    <a:stretch/>
                  </pic:blipFill>
                  <pic:spPr bwMode="auto">
                    <a:xfrm>
                      <a:off x="0" y="0"/>
                      <a:ext cx="6001089" cy="127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C1C04" w:rsidRPr="00160603" w:rsidRDefault="004C1C04" w:rsidP="004C1C04">
      <w:pPr>
        <w:pStyle w:val="CRIFCaption"/>
        <w:jc w:val="center"/>
        <w:rPr>
          <w:lang w:val="it-IT"/>
        </w:rPr>
      </w:pPr>
      <w:r w:rsidRPr="00160603">
        <w:rPr>
          <w:lang w:val="it-IT"/>
        </w:rPr>
        <w:t>Fonte: EURISC – Il Sistema CRIF di Informazioni Creditizie</w:t>
      </w:r>
    </w:p>
    <w:p w:rsidR="005D5124" w:rsidRDefault="005D5124" w:rsidP="008A1866">
      <w:pPr>
        <w:spacing w:line="360" w:lineRule="auto"/>
        <w:jc w:val="both"/>
        <w:rPr>
          <w:sz w:val="20"/>
          <w:szCs w:val="20"/>
          <w:lang w:val="it-IT"/>
        </w:rPr>
      </w:pPr>
      <w:r w:rsidRPr="00A96C8E">
        <w:rPr>
          <w:sz w:val="20"/>
          <w:szCs w:val="20"/>
          <w:lang w:val="it-IT"/>
        </w:rPr>
        <w:t xml:space="preserve">Relativamente alla distribuzione delle richieste per </w:t>
      </w:r>
      <w:r w:rsidRPr="00A96C8E">
        <w:rPr>
          <w:b/>
          <w:sz w:val="20"/>
          <w:szCs w:val="20"/>
          <w:lang w:val="it-IT"/>
        </w:rPr>
        <w:t>fasce di importo</w:t>
      </w:r>
      <w:r w:rsidRPr="00A96C8E">
        <w:rPr>
          <w:sz w:val="20"/>
          <w:szCs w:val="20"/>
          <w:lang w:val="it-IT"/>
        </w:rPr>
        <w:t>, ne</w:t>
      </w:r>
      <w:r w:rsidR="004D7C1F">
        <w:rPr>
          <w:sz w:val="20"/>
          <w:szCs w:val="20"/>
          <w:lang w:val="it-IT"/>
        </w:rPr>
        <w:t>i primi 9 mesi dell’anno in corso</w:t>
      </w:r>
      <w:r w:rsidRPr="00A96C8E">
        <w:rPr>
          <w:sz w:val="20"/>
          <w:szCs w:val="20"/>
          <w:lang w:val="it-IT"/>
        </w:rPr>
        <w:t xml:space="preserve"> </w:t>
      </w:r>
      <w:r w:rsidR="00A96C8E" w:rsidRPr="00A96C8E">
        <w:rPr>
          <w:sz w:val="20"/>
          <w:szCs w:val="20"/>
          <w:lang w:val="it-IT"/>
        </w:rPr>
        <w:t>la</w:t>
      </w:r>
      <w:r w:rsidRPr="00A96C8E">
        <w:rPr>
          <w:sz w:val="20"/>
          <w:szCs w:val="20"/>
          <w:lang w:val="it-IT"/>
        </w:rPr>
        <w:t xml:space="preserve"> </w:t>
      </w:r>
      <w:r w:rsidRPr="00A96C8E">
        <w:rPr>
          <w:b/>
          <w:sz w:val="20"/>
          <w:szCs w:val="20"/>
          <w:lang w:val="it-IT"/>
        </w:rPr>
        <w:t>classe compresa tra 100.001 e 150.000 euro</w:t>
      </w:r>
      <w:r w:rsidR="00A96C8E" w:rsidRPr="00A96C8E">
        <w:rPr>
          <w:b/>
          <w:sz w:val="20"/>
          <w:szCs w:val="20"/>
          <w:lang w:val="it-IT"/>
        </w:rPr>
        <w:t xml:space="preserve"> </w:t>
      </w:r>
      <w:r w:rsidR="004D7C1F">
        <w:rPr>
          <w:sz w:val="20"/>
          <w:szCs w:val="20"/>
          <w:lang w:val="it-IT"/>
        </w:rPr>
        <w:t xml:space="preserve">si conferma essere </w:t>
      </w:r>
      <w:r w:rsidR="00A96C8E" w:rsidRPr="00A96C8E">
        <w:rPr>
          <w:sz w:val="20"/>
          <w:szCs w:val="20"/>
          <w:lang w:val="it-IT"/>
        </w:rPr>
        <w:t xml:space="preserve">la </w:t>
      </w:r>
      <w:r w:rsidR="004D7C1F">
        <w:rPr>
          <w:sz w:val="20"/>
          <w:szCs w:val="20"/>
          <w:lang w:val="it-IT"/>
        </w:rPr>
        <w:t>preferita dagli italiani</w:t>
      </w:r>
      <w:r w:rsidRPr="00A96C8E">
        <w:rPr>
          <w:sz w:val="20"/>
          <w:szCs w:val="20"/>
          <w:lang w:val="it-IT"/>
        </w:rPr>
        <w:t xml:space="preserve">, con una </w:t>
      </w:r>
      <w:r w:rsidRPr="00A96C8E">
        <w:rPr>
          <w:b/>
          <w:sz w:val="20"/>
          <w:szCs w:val="20"/>
          <w:lang w:val="it-IT"/>
        </w:rPr>
        <w:t xml:space="preserve">quota pari al </w:t>
      </w:r>
      <w:r w:rsidR="00A96C8E" w:rsidRPr="00A96C8E">
        <w:rPr>
          <w:b/>
          <w:sz w:val="20"/>
          <w:szCs w:val="20"/>
          <w:lang w:val="it-IT"/>
        </w:rPr>
        <w:t>29,4</w:t>
      </w:r>
      <w:r w:rsidRPr="00A96C8E">
        <w:rPr>
          <w:b/>
          <w:sz w:val="20"/>
          <w:szCs w:val="20"/>
          <w:lang w:val="it-IT"/>
        </w:rPr>
        <w:t>%</w:t>
      </w:r>
      <w:r w:rsidRPr="00A96C8E">
        <w:rPr>
          <w:sz w:val="20"/>
          <w:szCs w:val="20"/>
          <w:lang w:val="it-IT"/>
        </w:rPr>
        <w:t xml:space="preserve"> del totale. </w:t>
      </w:r>
    </w:p>
    <w:p w:rsidR="005D5124" w:rsidRDefault="005D5124" w:rsidP="008A1866">
      <w:pPr>
        <w:spacing w:line="36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Rispetto ai dati rilevati </w:t>
      </w:r>
      <w:r w:rsidR="006C0D3A">
        <w:rPr>
          <w:sz w:val="20"/>
          <w:szCs w:val="20"/>
          <w:lang w:val="it-IT"/>
        </w:rPr>
        <w:t xml:space="preserve">nello stesso periodo del </w:t>
      </w:r>
      <w:r>
        <w:rPr>
          <w:sz w:val="20"/>
          <w:szCs w:val="20"/>
          <w:lang w:val="it-IT"/>
        </w:rPr>
        <w:t>2016</w:t>
      </w:r>
      <w:r w:rsidR="00A96C8E">
        <w:rPr>
          <w:sz w:val="20"/>
          <w:szCs w:val="20"/>
          <w:lang w:val="it-IT"/>
        </w:rPr>
        <w:t xml:space="preserve">, in generale, le </w:t>
      </w:r>
      <w:r w:rsidR="006D1A8D">
        <w:rPr>
          <w:sz w:val="20"/>
          <w:szCs w:val="20"/>
          <w:lang w:val="it-IT"/>
        </w:rPr>
        <w:t>fasce</w:t>
      </w:r>
      <w:r w:rsidR="00A96C8E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di importo </w:t>
      </w:r>
      <w:r w:rsidR="005F3B77">
        <w:rPr>
          <w:sz w:val="20"/>
          <w:szCs w:val="20"/>
          <w:lang w:val="it-IT"/>
        </w:rPr>
        <w:t xml:space="preserve">maggiore </w:t>
      </w:r>
      <w:r w:rsidR="0002760F">
        <w:rPr>
          <w:sz w:val="20"/>
          <w:szCs w:val="20"/>
          <w:lang w:val="it-IT"/>
        </w:rPr>
        <w:t>continuano a guadagnare</w:t>
      </w:r>
      <w:r w:rsidR="00A96C8E">
        <w:rPr>
          <w:sz w:val="20"/>
          <w:szCs w:val="20"/>
          <w:lang w:val="it-IT"/>
        </w:rPr>
        <w:t xml:space="preserve"> </w:t>
      </w:r>
      <w:r w:rsidR="00AF4490">
        <w:rPr>
          <w:sz w:val="20"/>
          <w:szCs w:val="20"/>
          <w:lang w:val="it-IT"/>
        </w:rPr>
        <w:t>peso</w:t>
      </w:r>
      <w:r w:rsidR="00A96C8E">
        <w:rPr>
          <w:sz w:val="20"/>
          <w:szCs w:val="20"/>
          <w:lang w:val="it-IT"/>
        </w:rPr>
        <w:t xml:space="preserve"> (+1,</w:t>
      </w:r>
      <w:r w:rsidR="0002760F">
        <w:rPr>
          <w:sz w:val="20"/>
          <w:szCs w:val="20"/>
          <w:lang w:val="it-IT"/>
        </w:rPr>
        <w:t>1</w:t>
      </w:r>
      <w:r>
        <w:rPr>
          <w:sz w:val="20"/>
          <w:szCs w:val="20"/>
          <w:lang w:val="it-IT"/>
        </w:rPr>
        <w:t xml:space="preserve"> punti percentuali per le classi di imp</w:t>
      </w:r>
      <w:r w:rsidR="006D1A8D">
        <w:rPr>
          <w:sz w:val="20"/>
          <w:szCs w:val="20"/>
          <w:lang w:val="it-IT"/>
        </w:rPr>
        <w:t>orto superior</w:t>
      </w:r>
      <w:r w:rsidR="005F3B77">
        <w:rPr>
          <w:sz w:val="20"/>
          <w:szCs w:val="20"/>
          <w:lang w:val="it-IT"/>
        </w:rPr>
        <w:t>e</w:t>
      </w:r>
      <w:r w:rsidR="0002760F">
        <w:rPr>
          <w:sz w:val="20"/>
          <w:szCs w:val="20"/>
          <w:lang w:val="it-IT"/>
        </w:rPr>
        <w:t xml:space="preserve"> ai 150.000 Euro).</w:t>
      </w:r>
    </w:p>
    <w:tbl>
      <w:tblPr>
        <w:tblW w:w="495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2860"/>
        <w:gridCol w:w="2097"/>
      </w:tblGrid>
      <w:tr w:rsidR="005D5124" w:rsidRPr="00DA731B" w:rsidTr="00C4386E">
        <w:trPr>
          <w:trHeight w:val="667"/>
          <w:jc w:val="center"/>
        </w:trPr>
        <w:tc>
          <w:tcPr>
            <w:tcW w:w="2860" w:type="dxa"/>
            <w:shd w:val="clear" w:color="auto" w:fill="EE7D11"/>
            <w:noWrap/>
            <w:vAlign w:val="center"/>
            <w:hideMark/>
          </w:tcPr>
          <w:p w:rsidR="005D5124" w:rsidRPr="00DA731B" w:rsidRDefault="005D5124" w:rsidP="00C4386E">
            <w:pPr>
              <w:spacing w:after="0" w:line="240" w:lineRule="auto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lastRenderedPageBreak/>
              <w:t>Classe di importo</w:t>
            </w:r>
          </w:p>
        </w:tc>
        <w:tc>
          <w:tcPr>
            <w:tcW w:w="2097" w:type="dxa"/>
            <w:shd w:val="clear" w:color="auto" w:fill="EE7D11"/>
            <w:noWrap/>
            <w:vAlign w:val="center"/>
            <w:hideMark/>
          </w:tcPr>
          <w:p w:rsidR="005D5124" w:rsidRPr="00DA731B" w:rsidRDefault="005D5124" w:rsidP="00C4386E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731B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 xml:space="preserve">% </w:t>
            </w:r>
            <w:r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>distribuzione anno c</w:t>
            </w:r>
            <w:r w:rsidRPr="00DA731B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>orrente</w:t>
            </w:r>
          </w:p>
        </w:tc>
      </w:tr>
      <w:tr w:rsidR="00250578" w:rsidRPr="00DA731B" w:rsidTr="00250578">
        <w:trPr>
          <w:trHeight w:val="397"/>
          <w:jc w:val="center"/>
        </w:trPr>
        <w:tc>
          <w:tcPr>
            <w:tcW w:w="2860" w:type="dxa"/>
            <w:shd w:val="clear" w:color="auto" w:fill="F8CA9E" w:themeFill="text2" w:themeFillTint="66"/>
            <w:noWrap/>
            <w:vAlign w:val="center"/>
            <w:hideMark/>
          </w:tcPr>
          <w:p w:rsidR="00250578" w:rsidRPr="00250578" w:rsidRDefault="00250578" w:rsidP="005D5124">
            <w:pPr>
              <w:spacing w:after="0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Fino a 75.000 €</w:t>
            </w:r>
          </w:p>
        </w:tc>
        <w:tc>
          <w:tcPr>
            <w:tcW w:w="2097" w:type="dxa"/>
            <w:shd w:val="clear" w:color="auto" w:fill="F8CA9E" w:themeFill="text2" w:themeFillTint="66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26,8%</w:t>
            </w:r>
          </w:p>
        </w:tc>
      </w:tr>
      <w:tr w:rsidR="00250578" w:rsidRPr="00DA731B" w:rsidTr="00250578">
        <w:trPr>
          <w:trHeight w:val="397"/>
          <w:jc w:val="center"/>
        </w:trPr>
        <w:tc>
          <w:tcPr>
            <w:tcW w:w="2860" w:type="dxa"/>
            <w:shd w:val="clear" w:color="auto" w:fill="FBE4CE" w:themeFill="text2" w:themeFillTint="33"/>
            <w:noWrap/>
            <w:vAlign w:val="center"/>
            <w:hideMark/>
          </w:tcPr>
          <w:p w:rsidR="00250578" w:rsidRPr="00250578" w:rsidRDefault="00250578" w:rsidP="005D5124">
            <w:pPr>
              <w:spacing w:after="0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75.001-100.000 €</w:t>
            </w:r>
          </w:p>
        </w:tc>
        <w:tc>
          <w:tcPr>
            <w:tcW w:w="2097" w:type="dxa"/>
            <w:shd w:val="clear" w:color="auto" w:fill="FBE4CE" w:themeFill="text2" w:themeFillTint="33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20,5%</w:t>
            </w:r>
          </w:p>
        </w:tc>
      </w:tr>
      <w:tr w:rsidR="00250578" w:rsidRPr="00DA731B" w:rsidTr="00250578">
        <w:trPr>
          <w:trHeight w:val="397"/>
          <w:jc w:val="center"/>
        </w:trPr>
        <w:tc>
          <w:tcPr>
            <w:tcW w:w="2860" w:type="dxa"/>
            <w:shd w:val="clear" w:color="auto" w:fill="F8CA9E" w:themeFill="text2" w:themeFillTint="66"/>
            <w:noWrap/>
            <w:vAlign w:val="center"/>
            <w:hideMark/>
          </w:tcPr>
          <w:p w:rsidR="00250578" w:rsidRPr="00250578" w:rsidRDefault="00250578" w:rsidP="005D5124">
            <w:pPr>
              <w:spacing w:after="0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100.001-150.000 €</w:t>
            </w:r>
          </w:p>
        </w:tc>
        <w:tc>
          <w:tcPr>
            <w:tcW w:w="2097" w:type="dxa"/>
            <w:shd w:val="clear" w:color="auto" w:fill="F8CA9E" w:themeFill="text2" w:themeFillTint="66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29,4%</w:t>
            </w:r>
          </w:p>
        </w:tc>
      </w:tr>
      <w:tr w:rsidR="00250578" w:rsidRPr="00DA731B" w:rsidTr="00250578">
        <w:trPr>
          <w:trHeight w:val="397"/>
          <w:jc w:val="center"/>
        </w:trPr>
        <w:tc>
          <w:tcPr>
            <w:tcW w:w="2860" w:type="dxa"/>
            <w:shd w:val="clear" w:color="auto" w:fill="FBE4CE" w:themeFill="text2" w:themeFillTint="33"/>
            <w:noWrap/>
            <w:vAlign w:val="center"/>
            <w:hideMark/>
          </w:tcPr>
          <w:p w:rsidR="00250578" w:rsidRPr="00250578" w:rsidRDefault="00250578" w:rsidP="005D5124">
            <w:pPr>
              <w:spacing w:after="0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150.001-300.000 €</w:t>
            </w:r>
          </w:p>
        </w:tc>
        <w:tc>
          <w:tcPr>
            <w:tcW w:w="2097" w:type="dxa"/>
            <w:shd w:val="clear" w:color="auto" w:fill="FBE4CE" w:themeFill="text2" w:themeFillTint="33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20,3%</w:t>
            </w:r>
          </w:p>
        </w:tc>
      </w:tr>
      <w:tr w:rsidR="00250578" w:rsidRPr="00DA731B" w:rsidTr="00250578">
        <w:trPr>
          <w:trHeight w:val="397"/>
          <w:jc w:val="center"/>
        </w:trPr>
        <w:tc>
          <w:tcPr>
            <w:tcW w:w="2860" w:type="dxa"/>
            <w:shd w:val="clear" w:color="auto" w:fill="F8CA9E" w:themeFill="text2" w:themeFillTint="66"/>
            <w:noWrap/>
            <w:vAlign w:val="center"/>
            <w:hideMark/>
          </w:tcPr>
          <w:p w:rsidR="00250578" w:rsidRPr="00250578" w:rsidRDefault="00250578" w:rsidP="005D5124">
            <w:pPr>
              <w:spacing w:after="0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Oltre 300.000 €</w:t>
            </w:r>
          </w:p>
        </w:tc>
        <w:tc>
          <w:tcPr>
            <w:tcW w:w="2097" w:type="dxa"/>
            <w:shd w:val="clear" w:color="auto" w:fill="F8CA9E" w:themeFill="text2" w:themeFillTint="66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3,0%</w:t>
            </w:r>
          </w:p>
        </w:tc>
      </w:tr>
    </w:tbl>
    <w:p w:rsidR="008A1866" w:rsidRPr="004D7C1F" w:rsidRDefault="005D5124" w:rsidP="004D7C1F">
      <w:pPr>
        <w:pStyle w:val="CRIFCaption"/>
        <w:jc w:val="center"/>
        <w:rPr>
          <w:lang w:val="it-IT"/>
        </w:rPr>
      </w:pPr>
      <w:r w:rsidRPr="00DA731B">
        <w:rPr>
          <w:lang w:val="it-IT"/>
        </w:rPr>
        <w:t>Fonte: EURISC – Il Sistema CRIF di Informazioni Creditizie</w:t>
      </w:r>
    </w:p>
    <w:p w:rsidR="00160603" w:rsidRPr="00160603" w:rsidRDefault="00E6582A" w:rsidP="008A1866">
      <w:pPr>
        <w:pStyle w:val="CRIFTitle2"/>
      </w:pPr>
      <w:r w:rsidRPr="00160603">
        <w:t>LE CLASSI DI DURATA</w:t>
      </w:r>
      <w:r>
        <w:t xml:space="preserve"> DEI MUTUI RICHIESTI</w:t>
      </w:r>
    </w:p>
    <w:p w:rsidR="008D3FCE" w:rsidRPr="008D3FCE" w:rsidRDefault="004D7C1F" w:rsidP="008A1866">
      <w:pPr>
        <w:pStyle w:val="CRIFBodyText"/>
        <w:rPr>
          <w:lang w:val="it-IT"/>
        </w:rPr>
      </w:pPr>
      <w:r w:rsidRPr="004D7C1F">
        <w:rPr>
          <w:lang w:val="it-IT"/>
        </w:rPr>
        <w:t>Anche p</w:t>
      </w:r>
      <w:r w:rsidR="00A2150D" w:rsidRPr="004D7C1F">
        <w:rPr>
          <w:lang w:val="it-IT"/>
        </w:rPr>
        <w:t xml:space="preserve">er quanto riguarda la distribuzione delle richieste di nuovi mutui e surroghe per durata, </w:t>
      </w:r>
      <w:r w:rsidR="0002760F" w:rsidRPr="004D7C1F">
        <w:rPr>
          <w:lang w:val="it-IT"/>
        </w:rPr>
        <w:t>le preferenze</w:t>
      </w:r>
      <w:r w:rsidR="0002760F">
        <w:rPr>
          <w:lang w:val="it-IT"/>
        </w:rPr>
        <w:t xml:space="preserve"> delle famig</w:t>
      </w:r>
      <w:r w:rsidR="006838E5">
        <w:rPr>
          <w:lang w:val="it-IT"/>
        </w:rPr>
        <w:t>lie italiane sembrano confermate</w:t>
      </w:r>
      <w:r w:rsidR="0002760F">
        <w:rPr>
          <w:lang w:val="it-IT"/>
        </w:rPr>
        <w:t xml:space="preserve">: </w:t>
      </w:r>
      <w:r>
        <w:rPr>
          <w:lang w:val="it-IT"/>
        </w:rPr>
        <w:t>nel</w:t>
      </w:r>
      <w:r w:rsidR="0002760F">
        <w:rPr>
          <w:lang w:val="it-IT"/>
        </w:rPr>
        <w:t xml:space="preserve">la classe </w:t>
      </w:r>
      <w:r w:rsidR="008D3FCE" w:rsidRPr="008D3FCE">
        <w:rPr>
          <w:lang w:val="it-IT"/>
        </w:rPr>
        <w:t xml:space="preserve">compresa </w:t>
      </w:r>
      <w:r w:rsidR="008D3FCE" w:rsidRPr="006838E5">
        <w:rPr>
          <w:b/>
          <w:lang w:val="it-IT"/>
        </w:rPr>
        <w:t>tra i</w:t>
      </w:r>
      <w:r w:rsidR="008D3FCE" w:rsidRPr="008D3FCE">
        <w:rPr>
          <w:lang w:val="it-IT"/>
        </w:rPr>
        <w:t xml:space="preserve"> </w:t>
      </w:r>
      <w:r w:rsidR="004F66E1" w:rsidRPr="004B5A9B">
        <w:rPr>
          <w:b/>
          <w:lang w:val="it-IT"/>
        </w:rPr>
        <w:t>1</w:t>
      </w:r>
      <w:r w:rsidR="004F66E1">
        <w:rPr>
          <w:b/>
          <w:lang w:val="it-IT"/>
        </w:rPr>
        <w:t>6</w:t>
      </w:r>
      <w:r w:rsidR="004F66E1" w:rsidRPr="004B5A9B">
        <w:rPr>
          <w:b/>
          <w:lang w:val="it-IT"/>
        </w:rPr>
        <w:t xml:space="preserve"> </w:t>
      </w:r>
      <w:r w:rsidR="008D3FCE" w:rsidRPr="004B5A9B">
        <w:rPr>
          <w:b/>
          <w:lang w:val="it-IT"/>
        </w:rPr>
        <w:t xml:space="preserve">e i 20 anni </w:t>
      </w:r>
      <w:r w:rsidR="0002760F" w:rsidRPr="0002760F">
        <w:rPr>
          <w:lang w:val="it-IT"/>
        </w:rPr>
        <w:t xml:space="preserve">si </w:t>
      </w:r>
      <w:r>
        <w:rPr>
          <w:lang w:val="it-IT"/>
        </w:rPr>
        <w:t>concentra, infatti,</w:t>
      </w:r>
      <w:r w:rsidR="0002760F">
        <w:rPr>
          <w:b/>
          <w:lang w:val="it-IT"/>
        </w:rPr>
        <w:t xml:space="preserve"> </w:t>
      </w:r>
      <w:r w:rsidR="0002760F">
        <w:rPr>
          <w:lang w:val="it-IT"/>
        </w:rPr>
        <w:t>la</w:t>
      </w:r>
      <w:r w:rsidR="008D3FCE" w:rsidRPr="008D3FCE">
        <w:rPr>
          <w:lang w:val="it-IT"/>
        </w:rPr>
        <w:t xml:space="preserve"> quota</w:t>
      </w:r>
      <w:r w:rsidR="0002760F">
        <w:rPr>
          <w:lang w:val="it-IT"/>
        </w:rPr>
        <w:t xml:space="preserve"> maggiore</w:t>
      </w:r>
      <w:r>
        <w:rPr>
          <w:lang w:val="it-IT"/>
        </w:rPr>
        <w:t xml:space="preserve"> di richieste</w:t>
      </w:r>
      <w:r w:rsidR="0002760F">
        <w:rPr>
          <w:lang w:val="it-IT"/>
        </w:rPr>
        <w:t>,</w:t>
      </w:r>
      <w:r w:rsidR="008D3FCE" w:rsidRPr="008D3FCE">
        <w:rPr>
          <w:lang w:val="it-IT"/>
        </w:rPr>
        <w:t xml:space="preserve"> </w:t>
      </w:r>
      <w:r>
        <w:rPr>
          <w:lang w:val="it-IT"/>
        </w:rPr>
        <w:t>con i</w:t>
      </w:r>
      <w:r w:rsidR="008D3FCE" w:rsidRPr="0002760F">
        <w:rPr>
          <w:lang w:val="it-IT"/>
        </w:rPr>
        <w:t xml:space="preserve">l </w:t>
      </w:r>
      <w:r w:rsidR="008462ED" w:rsidRPr="006838E5">
        <w:rPr>
          <w:b/>
          <w:lang w:val="it-IT"/>
        </w:rPr>
        <w:t>2</w:t>
      </w:r>
      <w:r w:rsidR="00202B6A" w:rsidRPr="006838E5">
        <w:rPr>
          <w:b/>
          <w:lang w:val="it-IT"/>
        </w:rPr>
        <w:t>4</w:t>
      </w:r>
      <w:r w:rsidR="008462ED" w:rsidRPr="006838E5">
        <w:rPr>
          <w:b/>
          <w:lang w:val="it-IT"/>
        </w:rPr>
        <w:t>,</w:t>
      </w:r>
      <w:r w:rsidR="0002760F" w:rsidRPr="006838E5">
        <w:rPr>
          <w:b/>
          <w:lang w:val="it-IT"/>
        </w:rPr>
        <w:t>4</w:t>
      </w:r>
      <w:r w:rsidR="008D3FCE" w:rsidRPr="006838E5">
        <w:rPr>
          <w:b/>
          <w:lang w:val="it-IT"/>
        </w:rPr>
        <w:t>%</w:t>
      </w:r>
      <w:r w:rsidR="008D3FCE" w:rsidRPr="0002760F">
        <w:rPr>
          <w:lang w:val="it-IT"/>
        </w:rPr>
        <w:t xml:space="preserve"> del totale</w:t>
      </w:r>
      <w:r w:rsidR="0002760F" w:rsidRPr="0002760F">
        <w:rPr>
          <w:lang w:val="it-IT"/>
        </w:rPr>
        <w:t xml:space="preserve"> (+0,2 punti percentuali rispetto </w:t>
      </w:r>
      <w:r w:rsidR="006838E5">
        <w:rPr>
          <w:lang w:val="it-IT"/>
        </w:rPr>
        <w:t>all’intervallo gennaio-settembre</w:t>
      </w:r>
      <w:r w:rsidR="0002760F" w:rsidRPr="0002760F">
        <w:rPr>
          <w:lang w:val="it-IT"/>
        </w:rPr>
        <w:t xml:space="preserve"> 2016)</w:t>
      </w:r>
      <w:r w:rsidR="008D3FCE" w:rsidRPr="0002760F">
        <w:rPr>
          <w:lang w:val="it-IT"/>
        </w:rPr>
        <w:t xml:space="preserve">, seguita dalla fascia </w:t>
      </w:r>
      <w:r w:rsidR="008D3FCE" w:rsidRPr="006838E5">
        <w:rPr>
          <w:b/>
          <w:lang w:val="it-IT"/>
        </w:rPr>
        <w:t xml:space="preserve">tra i </w:t>
      </w:r>
      <w:r w:rsidR="004F66E1" w:rsidRPr="006838E5">
        <w:rPr>
          <w:b/>
          <w:lang w:val="it-IT"/>
        </w:rPr>
        <w:t>2</w:t>
      </w:r>
      <w:r w:rsidR="00202B6A" w:rsidRPr="006838E5">
        <w:rPr>
          <w:b/>
          <w:lang w:val="it-IT"/>
        </w:rPr>
        <w:t>6</w:t>
      </w:r>
      <w:r w:rsidR="004F66E1" w:rsidRPr="006838E5">
        <w:rPr>
          <w:b/>
          <w:lang w:val="it-IT"/>
        </w:rPr>
        <w:t xml:space="preserve"> </w:t>
      </w:r>
      <w:r w:rsidR="008D3FCE" w:rsidRPr="006838E5">
        <w:rPr>
          <w:b/>
          <w:lang w:val="it-IT"/>
        </w:rPr>
        <w:t xml:space="preserve">e i </w:t>
      </w:r>
      <w:r w:rsidR="00202B6A" w:rsidRPr="006838E5">
        <w:rPr>
          <w:b/>
          <w:lang w:val="it-IT"/>
        </w:rPr>
        <w:t>30</w:t>
      </w:r>
      <w:r w:rsidR="004F66E1" w:rsidRPr="006838E5">
        <w:rPr>
          <w:b/>
          <w:lang w:val="it-IT"/>
        </w:rPr>
        <w:t xml:space="preserve"> </w:t>
      </w:r>
      <w:r w:rsidR="008D3FCE" w:rsidRPr="006838E5">
        <w:rPr>
          <w:b/>
          <w:lang w:val="it-IT"/>
        </w:rPr>
        <w:t>anni</w:t>
      </w:r>
      <w:r w:rsidR="008D3FCE" w:rsidRPr="0002760F">
        <w:rPr>
          <w:lang w:val="it-IT"/>
        </w:rPr>
        <w:t xml:space="preserve">, con il </w:t>
      </w:r>
      <w:r w:rsidR="008462ED" w:rsidRPr="006838E5">
        <w:rPr>
          <w:b/>
          <w:lang w:val="it-IT"/>
        </w:rPr>
        <w:t>2</w:t>
      </w:r>
      <w:r w:rsidR="0002760F" w:rsidRPr="006838E5">
        <w:rPr>
          <w:b/>
          <w:lang w:val="it-IT"/>
        </w:rPr>
        <w:t>2,0</w:t>
      </w:r>
      <w:r w:rsidR="008D3FCE" w:rsidRPr="006838E5">
        <w:rPr>
          <w:b/>
          <w:lang w:val="it-IT"/>
        </w:rPr>
        <w:t>%</w:t>
      </w:r>
      <w:r w:rsidR="008D3FCE" w:rsidRPr="0002760F">
        <w:rPr>
          <w:lang w:val="it-IT"/>
        </w:rPr>
        <w:t xml:space="preserve">. </w:t>
      </w:r>
    </w:p>
    <w:p w:rsidR="00BB183D" w:rsidRPr="00160603" w:rsidRDefault="00202B6A" w:rsidP="008A1866">
      <w:pPr>
        <w:pStyle w:val="CRIFBodyText"/>
        <w:rPr>
          <w:lang w:val="it-IT"/>
        </w:rPr>
      </w:pPr>
      <w:r>
        <w:rPr>
          <w:lang w:val="it-IT"/>
        </w:rPr>
        <w:t xml:space="preserve">Rispetto </w:t>
      </w:r>
      <w:r w:rsidR="006838E5">
        <w:rPr>
          <w:lang w:val="it-IT"/>
        </w:rPr>
        <w:t>allo scorso anno</w:t>
      </w:r>
      <w:r>
        <w:rPr>
          <w:lang w:val="it-IT"/>
        </w:rPr>
        <w:t xml:space="preserve"> si </w:t>
      </w:r>
      <w:r w:rsidR="00825938">
        <w:rPr>
          <w:lang w:val="it-IT"/>
        </w:rPr>
        <w:t>osserva</w:t>
      </w:r>
      <w:r>
        <w:rPr>
          <w:lang w:val="it-IT"/>
        </w:rPr>
        <w:t xml:space="preserve"> una crescita </w:t>
      </w:r>
      <w:r w:rsidR="0002760F">
        <w:rPr>
          <w:lang w:val="it-IT"/>
        </w:rPr>
        <w:t xml:space="preserve">complessiva </w:t>
      </w:r>
      <w:r>
        <w:rPr>
          <w:lang w:val="it-IT"/>
        </w:rPr>
        <w:t xml:space="preserve">delle richieste </w:t>
      </w:r>
      <w:r w:rsidR="004D7C1F">
        <w:rPr>
          <w:lang w:val="it-IT"/>
        </w:rPr>
        <w:t xml:space="preserve">di mutuo </w:t>
      </w:r>
      <w:r>
        <w:rPr>
          <w:lang w:val="it-IT"/>
        </w:rPr>
        <w:t xml:space="preserve">con </w:t>
      </w:r>
      <w:r w:rsidR="008D3FCE" w:rsidRPr="004B5A9B">
        <w:rPr>
          <w:lang w:val="it-IT"/>
        </w:rPr>
        <w:t xml:space="preserve">piani di rimborso </w:t>
      </w:r>
      <w:r>
        <w:rPr>
          <w:lang w:val="it-IT"/>
        </w:rPr>
        <w:t xml:space="preserve">più </w:t>
      </w:r>
      <w:r w:rsidR="008D3FCE" w:rsidRPr="004B5A9B">
        <w:rPr>
          <w:lang w:val="it-IT"/>
        </w:rPr>
        <w:t>lunghi</w:t>
      </w:r>
      <w:r>
        <w:rPr>
          <w:lang w:val="it-IT"/>
        </w:rPr>
        <w:t xml:space="preserve"> </w:t>
      </w:r>
      <w:r w:rsidRPr="0002760F">
        <w:rPr>
          <w:lang w:val="it-IT"/>
        </w:rPr>
        <w:t>(</w:t>
      </w:r>
      <w:r w:rsidR="0002760F" w:rsidRPr="0002760F">
        <w:rPr>
          <w:b/>
          <w:lang w:val="it-IT"/>
        </w:rPr>
        <w:t>+3</w:t>
      </w:r>
      <w:r w:rsidRPr="0002760F">
        <w:rPr>
          <w:b/>
          <w:lang w:val="it-IT"/>
        </w:rPr>
        <w:t>,0 punti</w:t>
      </w:r>
      <w:r w:rsidRPr="00BF0D0E">
        <w:rPr>
          <w:b/>
          <w:lang w:val="it-IT"/>
        </w:rPr>
        <w:t xml:space="preserve"> percentuali per le</w:t>
      </w:r>
      <w:r w:rsidR="0002760F">
        <w:rPr>
          <w:b/>
          <w:lang w:val="it-IT"/>
        </w:rPr>
        <w:t xml:space="preserve"> classi di durata </w:t>
      </w:r>
      <w:r w:rsidR="004D7C1F">
        <w:rPr>
          <w:b/>
          <w:lang w:val="it-IT"/>
        </w:rPr>
        <w:t>superiore ai</w:t>
      </w:r>
      <w:r w:rsidR="0002760F">
        <w:rPr>
          <w:b/>
          <w:lang w:val="it-IT"/>
        </w:rPr>
        <w:t xml:space="preserve"> 15</w:t>
      </w:r>
      <w:r w:rsidRPr="00BF0D0E">
        <w:rPr>
          <w:b/>
          <w:lang w:val="it-IT"/>
        </w:rPr>
        <w:t xml:space="preserve"> anni</w:t>
      </w:r>
      <w:r>
        <w:rPr>
          <w:lang w:val="it-IT"/>
        </w:rPr>
        <w:t>)</w:t>
      </w:r>
      <w:r w:rsidR="005F3B77">
        <w:rPr>
          <w:lang w:val="it-IT"/>
        </w:rPr>
        <w:t>.</w:t>
      </w:r>
      <w:r w:rsidR="0002760F">
        <w:rPr>
          <w:lang w:val="it-IT"/>
        </w:rPr>
        <w:t xml:space="preserve"> </w:t>
      </w:r>
      <w:r w:rsidR="005F3B77">
        <w:rPr>
          <w:lang w:val="it-IT"/>
        </w:rPr>
        <w:t xml:space="preserve">Va </w:t>
      </w:r>
      <w:r w:rsidR="0002760F">
        <w:rPr>
          <w:lang w:val="it-IT"/>
        </w:rPr>
        <w:t xml:space="preserve">considerata </w:t>
      </w:r>
      <w:r w:rsidR="005F3B77">
        <w:rPr>
          <w:lang w:val="it-IT"/>
        </w:rPr>
        <w:t xml:space="preserve">in questo senso </w:t>
      </w:r>
      <w:r w:rsidR="0002760F">
        <w:rPr>
          <w:lang w:val="it-IT"/>
        </w:rPr>
        <w:t xml:space="preserve">la </w:t>
      </w:r>
      <w:r w:rsidR="00BF0D0E">
        <w:rPr>
          <w:lang w:val="it-IT"/>
        </w:rPr>
        <w:t>maggiore incidenza delle richieste di nuov</w:t>
      </w:r>
      <w:r w:rsidR="00825938">
        <w:rPr>
          <w:lang w:val="it-IT"/>
        </w:rPr>
        <w:t xml:space="preserve">i mutui rispetto alle surroghe, che </w:t>
      </w:r>
      <w:r w:rsidR="00BF0D0E">
        <w:rPr>
          <w:lang w:val="it-IT"/>
        </w:rPr>
        <w:t>per loro</w:t>
      </w:r>
      <w:r w:rsidR="0002760F">
        <w:rPr>
          <w:lang w:val="it-IT"/>
        </w:rPr>
        <w:t xml:space="preserve"> natura </w:t>
      </w:r>
      <w:r w:rsidR="00825938">
        <w:rPr>
          <w:lang w:val="it-IT"/>
        </w:rPr>
        <w:t>hanno una durata inferiore</w:t>
      </w:r>
      <w:r w:rsidR="008D3FCE" w:rsidRPr="004B5A9B">
        <w:rPr>
          <w:lang w:val="it-IT"/>
        </w:rPr>
        <w:t>.</w:t>
      </w:r>
    </w:p>
    <w:tbl>
      <w:tblPr>
        <w:tblW w:w="453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2127"/>
        <w:gridCol w:w="2410"/>
      </w:tblGrid>
      <w:tr w:rsidR="00A2150D" w:rsidRPr="00774AD3" w:rsidTr="00C4386E">
        <w:trPr>
          <w:trHeight w:val="669"/>
          <w:jc w:val="center"/>
        </w:trPr>
        <w:tc>
          <w:tcPr>
            <w:tcW w:w="2127" w:type="dxa"/>
            <w:shd w:val="clear" w:color="auto" w:fill="EE7D11"/>
            <w:noWrap/>
            <w:vAlign w:val="center"/>
            <w:hideMark/>
          </w:tcPr>
          <w:p w:rsidR="00A2150D" w:rsidRPr="00E816F7" w:rsidRDefault="00A2150D" w:rsidP="00C4386E">
            <w:pPr>
              <w:spacing w:after="0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E816F7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>Classe durata mutuo (n° anni)</w:t>
            </w:r>
          </w:p>
        </w:tc>
        <w:tc>
          <w:tcPr>
            <w:tcW w:w="2410" w:type="dxa"/>
            <w:shd w:val="clear" w:color="auto" w:fill="EE7D11"/>
            <w:noWrap/>
            <w:vAlign w:val="center"/>
            <w:hideMark/>
          </w:tcPr>
          <w:p w:rsidR="00A2150D" w:rsidRDefault="00A2150D" w:rsidP="00C4386E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E816F7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 xml:space="preserve">% distribuzione </w:t>
            </w:r>
          </w:p>
          <w:p w:rsidR="00A2150D" w:rsidRPr="00E816F7" w:rsidRDefault="00A2150D" w:rsidP="00C4386E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E816F7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>anno corrente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7" w:type="dxa"/>
            <w:shd w:val="clear" w:color="auto" w:fill="F8CA9E" w:themeFill="text2" w:themeFillTint="66"/>
            <w:noWrap/>
            <w:vAlign w:val="center"/>
            <w:hideMark/>
          </w:tcPr>
          <w:p w:rsidR="00250578" w:rsidRPr="00E816F7" w:rsidRDefault="00250578" w:rsidP="00A2150D">
            <w:pPr>
              <w:spacing w:after="0"/>
              <w:rPr>
                <w:rFonts w:cs="Tahoma"/>
                <w:sz w:val="18"/>
                <w:szCs w:val="18"/>
              </w:rPr>
            </w:pPr>
            <w:r w:rsidRPr="00E816F7">
              <w:rPr>
                <w:sz w:val="18"/>
                <w:szCs w:val="18"/>
              </w:rPr>
              <w:t xml:space="preserve">Fino a 5 </w:t>
            </w:r>
          </w:p>
        </w:tc>
        <w:tc>
          <w:tcPr>
            <w:tcW w:w="2410" w:type="dxa"/>
            <w:shd w:val="clear" w:color="auto" w:fill="F8CA9E" w:themeFill="text2" w:themeFillTint="66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1,1%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7" w:type="dxa"/>
            <w:shd w:val="clear" w:color="auto" w:fill="FBE4CE" w:themeFill="text2" w:themeFillTint="33"/>
            <w:noWrap/>
            <w:vAlign w:val="center"/>
            <w:hideMark/>
          </w:tcPr>
          <w:p w:rsidR="00250578" w:rsidRPr="00E816F7" w:rsidRDefault="00250578" w:rsidP="00A2150D">
            <w:pPr>
              <w:spacing w:after="0"/>
              <w:rPr>
                <w:rFonts w:cs="Tahoma"/>
                <w:sz w:val="18"/>
                <w:szCs w:val="20"/>
              </w:rPr>
            </w:pPr>
            <w:r w:rsidRPr="00E816F7">
              <w:rPr>
                <w:sz w:val="18"/>
                <w:szCs w:val="20"/>
              </w:rPr>
              <w:t>6 – 10</w:t>
            </w:r>
          </w:p>
        </w:tc>
        <w:tc>
          <w:tcPr>
            <w:tcW w:w="2410" w:type="dxa"/>
            <w:shd w:val="clear" w:color="auto" w:fill="FBE4CE" w:themeFill="text2" w:themeFillTint="33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10,2%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7" w:type="dxa"/>
            <w:shd w:val="clear" w:color="auto" w:fill="F8CA9E" w:themeFill="text2" w:themeFillTint="66"/>
            <w:noWrap/>
            <w:vAlign w:val="center"/>
            <w:hideMark/>
          </w:tcPr>
          <w:p w:rsidR="00250578" w:rsidRPr="00E816F7" w:rsidRDefault="00250578" w:rsidP="00A2150D">
            <w:pPr>
              <w:spacing w:after="0"/>
              <w:rPr>
                <w:rFonts w:cs="Tahoma"/>
                <w:sz w:val="18"/>
                <w:szCs w:val="20"/>
              </w:rPr>
            </w:pPr>
            <w:r w:rsidRPr="00E816F7">
              <w:rPr>
                <w:sz w:val="18"/>
                <w:szCs w:val="20"/>
              </w:rPr>
              <w:t>11 – 15</w:t>
            </w:r>
          </w:p>
        </w:tc>
        <w:tc>
          <w:tcPr>
            <w:tcW w:w="2410" w:type="dxa"/>
            <w:shd w:val="clear" w:color="auto" w:fill="F8CA9E" w:themeFill="text2" w:themeFillTint="66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18,6%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7" w:type="dxa"/>
            <w:shd w:val="clear" w:color="auto" w:fill="FBE4CE" w:themeFill="text2" w:themeFillTint="33"/>
            <w:noWrap/>
            <w:vAlign w:val="center"/>
            <w:hideMark/>
          </w:tcPr>
          <w:p w:rsidR="00250578" w:rsidRPr="00E816F7" w:rsidRDefault="00250578" w:rsidP="00A2150D">
            <w:pPr>
              <w:spacing w:after="0"/>
              <w:rPr>
                <w:rFonts w:cs="Tahoma"/>
                <w:sz w:val="18"/>
                <w:szCs w:val="20"/>
              </w:rPr>
            </w:pPr>
            <w:r w:rsidRPr="00E816F7">
              <w:rPr>
                <w:sz w:val="18"/>
                <w:szCs w:val="20"/>
              </w:rPr>
              <w:t>16 – 20</w:t>
            </w:r>
          </w:p>
        </w:tc>
        <w:tc>
          <w:tcPr>
            <w:tcW w:w="2410" w:type="dxa"/>
            <w:shd w:val="clear" w:color="auto" w:fill="FBE4CE" w:themeFill="text2" w:themeFillTint="33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24,4%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7" w:type="dxa"/>
            <w:shd w:val="clear" w:color="auto" w:fill="F8CA9E" w:themeFill="text2" w:themeFillTint="66"/>
            <w:noWrap/>
            <w:vAlign w:val="center"/>
            <w:hideMark/>
          </w:tcPr>
          <w:p w:rsidR="00250578" w:rsidRPr="00E816F7" w:rsidRDefault="00250578" w:rsidP="00A2150D">
            <w:pPr>
              <w:spacing w:after="0"/>
              <w:rPr>
                <w:rFonts w:cs="Tahoma"/>
                <w:sz w:val="18"/>
                <w:szCs w:val="20"/>
              </w:rPr>
            </w:pPr>
            <w:r w:rsidRPr="00E816F7">
              <w:rPr>
                <w:sz w:val="18"/>
                <w:szCs w:val="20"/>
              </w:rPr>
              <w:t>21 – 25</w:t>
            </w:r>
          </w:p>
        </w:tc>
        <w:tc>
          <w:tcPr>
            <w:tcW w:w="2410" w:type="dxa"/>
            <w:shd w:val="clear" w:color="auto" w:fill="F8CA9E" w:themeFill="text2" w:themeFillTint="66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21,5%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7" w:type="dxa"/>
            <w:shd w:val="clear" w:color="auto" w:fill="FBE4CE" w:themeFill="text2" w:themeFillTint="33"/>
            <w:noWrap/>
            <w:vAlign w:val="center"/>
            <w:hideMark/>
          </w:tcPr>
          <w:p w:rsidR="00250578" w:rsidRPr="00E816F7" w:rsidRDefault="00250578" w:rsidP="00A2150D">
            <w:pPr>
              <w:spacing w:after="0"/>
              <w:rPr>
                <w:rFonts w:cs="Tahoma"/>
                <w:sz w:val="18"/>
                <w:szCs w:val="20"/>
              </w:rPr>
            </w:pPr>
            <w:r w:rsidRPr="00E816F7">
              <w:rPr>
                <w:sz w:val="18"/>
                <w:szCs w:val="20"/>
              </w:rPr>
              <w:t>26 – 30</w:t>
            </w:r>
          </w:p>
        </w:tc>
        <w:tc>
          <w:tcPr>
            <w:tcW w:w="2410" w:type="dxa"/>
            <w:shd w:val="clear" w:color="auto" w:fill="FBE4CE" w:themeFill="text2" w:themeFillTint="33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22,0%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7" w:type="dxa"/>
            <w:shd w:val="clear" w:color="auto" w:fill="F8CA9E" w:themeFill="text2" w:themeFillTint="66"/>
            <w:noWrap/>
            <w:vAlign w:val="center"/>
            <w:hideMark/>
          </w:tcPr>
          <w:p w:rsidR="00250578" w:rsidRPr="00E816F7" w:rsidRDefault="00250578" w:rsidP="00A2150D">
            <w:pPr>
              <w:spacing w:after="0"/>
              <w:rPr>
                <w:rFonts w:cs="Tahoma"/>
                <w:sz w:val="18"/>
                <w:szCs w:val="20"/>
              </w:rPr>
            </w:pPr>
            <w:r w:rsidRPr="00E816F7">
              <w:rPr>
                <w:sz w:val="18"/>
                <w:szCs w:val="20"/>
              </w:rPr>
              <w:t>Oltre 30</w:t>
            </w:r>
          </w:p>
        </w:tc>
        <w:tc>
          <w:tcPr>
            <w:tcW w:w="2410" w:type="dxa"/>
            <w:shd w:val="clear" w:color="auto" w:fill="F8CA9E" w:themeFill="text2" w:themeFillTint="66"/>
            <w:noWrap/>
            <w:vAlign w:val="center"/>
          </w:tcPr>
          <w:p w:rsidR="00250578" w:rsidRPr="00250578" w:rsidRDefault="00250578" w:rsidP="00250578">
            <w:pPr>
              <w:spacing w:after="0"/>
              <w:jc w:val="center"/>
              <w:rPr>
                <w:sz w:val="18"/>
                <w:szCs w:val="18"/>
              </w:rPr>
            </w:pPr>
            <w:r w:rsidRPr="00250578">
              <w:rPr>
                <w:sz w:val="18"/>
                <w:szCs w:val="18"/>
              </w:rPr>
              <w:t>2,1%</w:t>
            </w:r>
          </w:p>
        </w:tc>
      </w:tr>
    </w:tbl>
    <w:p w:rsidR="008A1866" w:rsidRDefault="00A2150D" w:rsidP="004D7C1F">
      <w:pPr>
        <w:pStyle w:val="CRIFCaption"/>
        <w:jc w:val="center"/>
        <w:rPr>
          <w:lang w:val="it-IT"/>
        </w:rPr>
      </w:pPr>
      <w:r w:rsidRPr="00160603">
        <w:rPr>
          <w:lang w:val="it-IT"/>
        </w:rPr>
        <w:t>Fonte: EURISC – Il Sistema CRIF di Informazioni Creditizie</w:t>
      </w:r>
    </w:p>
    <w:p w:rsidR="004D7C1F" w:rsidRDefault="004D7C1F" w:rsidP="004D7C1F">
      <w:pPr>
        <w:pStyle w:val="CRIFCaption"/>
        <w:jc w:val="center"/>
        <w:rPr>
          <w:lang w:val="it-IT"/>
        </w:rPr>
      </w:pPr>
    </w:p>
    <w:p w:rsidR="004D7C1F" w:rsidRPr="004D7C1F" w:rsidRDefault="004D7C1F" w:rsidP="004D7C1F">
      <w:pPr>
        <w:pStyle w:val="CRIFCaption"/>
        <w:jc w:val="center"/>
        <w:rPr>
          <w:lang w:val="it-IT"/>
        </w:rPr>
      </w:pPr>
    </w:p>
    <w:p w:rsidR="00160603" w:rsidRPr="00160603" w:rsidRDefault="00A86D46" w:rsidP="008E0F22">
      <w:pPr>
        <w:pStyle w:val="CRIFTitle2"/>
      </w:pPr>
      <w:r w:rsidRPr="00160603">
        <w:lastRenderedPageBreak/>
        <w:t xml:space="preserve">LA DISTRIBUZIONE DELLE </w:t>
      </w:r>
      <w:r w:rsidR="004D7C1F">
        <w:t>RICHIRESTE DI MUTUO</w:t>
      </w:r>
      <w:r w:rsidRPr="00160603">
        <w:t xml:space="preserve"> PER </w:t>
      </w:r>
      <w:r>
        <w:t>FASCE</w:t>
      </w:r>
      <w:r w:rsidRPr="00160603">
        <w:t xml:space="preserve"> DI ETÀ</w:t>
      </w:r>
      <w:r>
        <w:t xml:space="preserve"> </w:t>
      </w:r>
    </w:p>
    <w:p w:rsidR="008A1866" w:rsidRDefault="005F3B77" w:rsidP="008A1866">
      <w:pPr>
        <w:pStyle w:val="CRIFBodyText"/>
        <w:rPr>
          <w:lang w:val="it-IT"/>
        </w:rPr>
      </w:pPr>
      <w:r>
        <w:rPr>
          <w:lang w:val="it-IT"/>
        </w:rPr>
        <w:t>Per quanto riguarda la</w:t>
      </w:r>
      <w:r w:rsidR="008A1866">
        <w:rPr>
          <w:lang w:val="it-IT"/>
        </w:rPr>
        <w:t xml:space="preserve"> distribuzione delle interrogazioni</w:t>
      </w:r>
      <w:r w:rsidR="008A1866" w:rsidRPr="00160603">
        <w:rPr>
          <w:lang w:val="it-IT"/>
        </w:rPr>
        <w:t xml:space="preserve"> in relazione all’età del richiedente,</w:t>
      </w:r>
      <w:r w:rsidR="0002760F" w:rsidRPr="00915E56">
        <w:rPr>
          <w:b/>
          <w:lang w:val="it-IT"/>
        </w:rPr>
        <w:t xml:space="preserve"> </w:t>
      </w:r>
      <w:r w:rsidR="008A1866" w:rsidRPr="00915E56">
        <w:rPr>
          <w:b/>
          <w:lang w:val="it-IT"/>
        </w:rPr>
        <w:t>la</w:t>
      </w:r>
      <w:r w:rsidR="008A1866" w:rsidRPr="008E0F22">
        <w:rPr>
          <w:b/>
          <w:lang w:val="it-IT"/>
        </w:rPr>
        <w:t xml:space="preserve"> </w:t>
      </w:r>
      <w:r w:rsidR="008A1866">
        <w:rPr>
          <w:b/>
          <w:lang w:val="it-IT"/>
        </w:rPr>
        <w:t>fascia</w:t>
      </w:r>
      <w:r w:rsidR="008A1866" w:rsidRPr="008E0F22">
        <w:rPr>
          <w:b/>
          <w:lang w:val="it-IT"/>
        </w:rPr>
        <w:t xml:space="preserve"> compresa tra i 35 e i 44 anni</w:t>
      </w:r>
      <w:r w:rsidR="0002760F">
        <w:rPr>
          <w:lang w:val="it-IT"/>
        </w:rPr>
        <w:t xml:space="preserve"> rimane maggioritaria,</w:t>
      </w:r>
      <w:r w:rsidR="008A1866">
        <w:rPr>
          <w:lang w:val="it-IT"/>
        </w:rPr>
        <w:t xml:space="preserve"> con una quota </w:t>
      </w:r>
      <w:r w:rsidR="008A1866" w:rsidRPr="00C80950">
        <w:rPr>
          <w:lang w:val="it-IT"/>
        </w:rPr>
        <w:t xml:space="preserve">pari al </w:t>
      </w:r>
      <w:r w:rsidR="008A1866" w:rsidRPr="00C80950">
        <w:rPr>
          <w:b/>
          <w:lang w:val="it-IT"/>
        </w:rPr>
        <w:t>35,</w:t>
      </w:r>
      <w:r w:rsidR="0002760F" w:rsidRPr="00C80950">
        <w:rPr>
          <w:b/>
          <w:lang w:val="it-IT"/>
        </w:rPr>
        <w:t>2</w:t>
      </w:r>
      <w:r w:rsidR="008A1866" w:rsidRPr="00C80950">
        <w:rPr>
          <w:b/>
          <w:lang w:val="it-IT"/>
        </w:rPr>
        <w:t>%</w:t>
      </w:r>
      <w:r w:rsidR="008A1866" w:rsidRPr="00C80950">
        <w:rPr>
          <w:lang w:val="it-IT"/>
        </w:rPr>
        <w:t xml:space="preserve"> del totale</w:t>
      </w:r>
      <w:r w:rsidR="00CE3FC5" w:rsidRPr="00C80950">
        <w:rPr>
          <w:lang w:val="it-IT"/>
        </w:rPr>
        <w:t xml:space="preserve">, seppur in </w:t>
      </w:r>
      <w:r w:rsidR="00C80950" w:rsidRPr="00C80950">
        <w:rPr>
          <w:lang w:val="it-IT"/>
        </w:rPr>
        <w:t>calo di -0,8</w:t>
      </w:r>
      <w:r w:rsidR="00CE3FC5" w:rsidRPr="00C80950">
        <w:rPr>
          <w:lang w:val="it-IT"/>
        </w:rPr>
        <w:t xml:space="preserve"> punti percentuali rispetto al dato </w:t>
      </w:r>
      <w:r w:rsidR="00B753D6">
        <w:rPr>
          <w:lang w:val="it-IT"/>
        </w:rPr>
        <w:t>del</w:t>
      </w:r>
      <w:r w:rsidR="00CE3FC5" w:rsidRPr="00C80950">
        <w:rPr>
          <w:lang w:val="it-IT"/>
        </w:rPr>
        <w:t xml:space="preserve"> 2016.</w:t>
      </w:r>
      <w:r w:rsidR="00825938">
        <w:rPr>
          <w:lang w:val="it-IT"/>
        </w:rPr>
        <w:t xml:space="preserve"> La quota degli under 35, invece, assorbe il 26,7% delle richieste.</w:t>
      </w:r>
    </w:p>
    <w:p w:rsidR="008A1866" w:rsidRDefault="00C80950" w:rsidP="00C80950">
      <w:pPr>
        <w:pStyle w:val="CRIFBodyText"/>
        <w:rPr>
          <w:lang w:val="it-IT"/>
        </w:rPr>
      </w:pPr>
      <w:r>
        <w:rPr>
          <w:lang w:val="it-IT"/>
        </w:rPr>
        <w:t xml:space="preserve">Le altre </w:t>
      </w:r>
      <w:r w:rsidR="006838E5">
        <w:rPr>
          <w:lang w:val="it-IT"/>
        </w:rPr>
        <w:t>classi</w:t>
      </w:r>
      <w:r>
        <w:rPr>
          <w:lang w:val="it-IT"/>
        </w:rPr>
        <w:t xml:space="preserve"> rimangono pressoché stabili, eccetto </w:t>
      </w:r>
      <w:r w:rsidR="005F3B77">
        <w:rPr>
          <w:lang w:val="it-IT"/>
        </w:rPr>
        <w:t>quella</w:t>
      </w:r>
      <w:r>
        <w:rPr>
          <w:lang w:val="it-IT"/>
        </w:rPr>
        <w:t xml:space="preserve"> compresa </w:t>
      </w:r>
      <w:r w:rsidRPr="00B753D6">
        <w:rPr>
          <w:b/>
          <w:lang w:val="it-IT"/>
        </w:rPr>
        <w:t>tra</w:t>
      </w:r>
      <w:r w:rsidR="008A1866" w:rsidRPr="00B753D6">
        <w:rPr>
          <w:b/>
          <w:lang w:val="it-IT"/>
        </w:rPr>
        <w:t xml:space="preserve"> i 45 e i 54</w:t>
      </w:r>
      <w:r w:rsidR="00B753D6" w:rsidRPr="00B753D6">
        <w:rPr>
          <w:b/>
          <w:lang w:val="it-IT"/>
        </w:rPr>
        <w:t xml:space="preserve"> anni</w:t>
      </w:r>
      <w:r w:rsidR="006838E5">
        <w:rPr>
          <w:lang w:val="it-IT"/>
        </w:rPr>
        <w:t xml:space="preserve"> che registra</w:t>
      </w:r>
      <w:r>
        <w:rPr>
          <w:lang w:val="it-IT"/>
        </w:rPr>
        <w:t xml:space="preserve"> l’aumento più rilevante con </w:t>
      </w:r>
      <w:r w:rsidRPr="00B753D6">
        <w:rPr>
          <w:b/>
          <w:lang w:val="it-IT"/>
        </w:rPr>
        <w:t>+0,4 punti percentuali</w:t>
      </w:r>
      <w:r>
        <w:rPr>
          <w:lang w:val="it-IT"/>
        </w:rPr>
        <w:t xml:space="preserve"> rispetto allo stesso periodo dell’anno precedente</w:t>
      </w:r>
      <w:r w:rsidR="00CE3FC5">
        <w:rPr>
          <w:lang w:val="it-IT"/>
        </w:rPr>
        <w:t>.</w:t>
      </w:r>
    </w:p>
    <w:tbl>
      <w:tblPr>
        <w:tblW w:w="458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BE4CE" w:themeFill="text2" w:themeFillTint="33"/>
        <w:tblCellMar>
          <w:left w:w="70" w:type="dxa"/>
          <w:right w:w="70" w:type="dxa"/>
        </w:tblCellMar>
        <w:tblLook w:val="04A0"/>
      </w:tblPr>
      <w:tblGrid>
        <w:gridCol w:w="2122"/>
        <w:gridCol w:w="2458"/>
      </w:tblGrid>
      <w:tr w:rsidR="008A1866" w:rsidRPr="00F446D0" w:rsidTr="00C4386E">
        <w:trPr>
          <w:trHeight w:val="270"/>
          <w:jc w:val="center"/>
        </w:trPr>
        <w:tc>
          <w:tcPr>
            <w:tcW w:w="2122" w:type="dxa"/>
            <w:shd w:val="clear" w:color="auto" w:fill="EE7D11"/>
            <w:noWrap/>
            <w:vAlign w:val="center"/>
            <w:hideMark/>
          </w:tcPr>
          <w:p w:rsidR="008A1866" w:rsidRPr="00E816F7" w:rsidRDefault="008A1866" w:rsidP="00C4386E">
            <w:pPr>
              <w:spacing w:after="0"/>
              <w:rPr>
                <w:rFonts w:cs="Tahoma"/>
                <w:b/>
                <w:color w:val="FFFFFF" w:themeColor="background1"/>
                <w:sz w:val="18"/>
                <w:szCs w:val="18"/>
              </w:rPr>
            </w:pPr>
            <w:r w:rsidRPr="00E816F7">
              <w:rPr>
                <w:rFonts w:cs="Tahoma"/>
                <w:b/>
                <w:color w:val="FFFFFF" w:themeColor="background1"/>
                <w:sz w:val="18"/>
                <w:szCs w:val="18"/>
              </w:rPr>
              <w:t>Classe Età</w:t>
            </w:r>
          </w:p>
        </w:tc>
        <w:tc>
          <w:tcPr>
            <w:tcW w:w="2458" w:type="dxa"/>
            <w:shd w:val="clear" w:color="auto" w:fill="EE7D11"/>
            <w:noWrap/>
            <w:vAlign w:val="center"/>
            <w:hideMark/>
          </w:tcPr>
          <w:p w:rsidR="008A1866" w:rsidRPr="00E816F7" w:rsidRDefault="008A1866" w:rsidP="00C4386E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E816F7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 xml:space="preserve">% distribuzione </w:t>
            </w:r>
          </w:p>
          <w:p w:rsidR="008A1866" w:rsidRPr="00E816F7" w:rsidRDefault="008A1866" w:rsidP="00C4386E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</w:rPr>
            </w:pPr>
            <w:r w:rsidRPr="00E816F7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>anno corrente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2" w:type="dxa"/>
            <w:shd w:val="clear" w:color="auto" w:fill="F8CA9E" w:themeFill="text2" w:themeFillTint="66"/>
            <w:noWrap/>
            <w:vAlign w:val="center"/>
            <w:hideMark/>
          </w:tcPr>
          <w:p w:rsidR="00250578" w:rsidRPr="00250578" w:rsidRDefault="00250578" w:rsidP="009C4C83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18-24 anni</w:t>
            </w:r>
          </w:p>
        </w:tc>
        <w:tc>
          <w:tcPr>
            <w:tcW w:w="2458" w:type="dxa"/>
            <w:shd w:val="clear" w:color="auto" w:fill="F8CA9E" w:themeFill="text2" w:themeFillTint="66"/>
            <w:noWrap/>
            <w:vAlign w:val="center"/>
          </w:tcPr>
          <w:p w:rsidR="00250578" w:rsidRPr="009C4C83" w:rsidRDefault="00250578" w:rsidP="00250578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 w:rsidRPr="00250578">
              <w:rPr>
                <w:rFonts w:asciiTheme="majorHAnsi" w:hAnsiTheme="majorHAnsi" w:cs="Tahoma"/>
                <w:sz w:val="18"/>
                <w:szCs w:val="20"/>
              </w:rPr>
              <w:t>2,2%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2" w:type="dxa"/>
            <w:shd w:val="clear" w:color="auto" w:fill="FBE4CE" w:themeFill="text2" w:themeFillTint="33"/>
            <w:noWrap/>
            <w:vAlign w:val="center"/>
            <w:hideMark/>
          </w:tcPr>
          <w:p w:rsidR="00250578" w:rsidRPr="00250578" w:rsidRDefault="00250578" w:rsidP="009C4C83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25-34 anni</w:t>
            </w:r>
          </w:p>
        </w:tc>
        <w:tc>
          <w:tcPr>
            <w:tcW w:w="2458" w:type="dxa"/>
            <w:shd w:val="clear" w:color="auto" w:fill="FBE4CE" w:themeFill="text2" w:themeFillTint="33"/>
            <w:noWrap/>
            <w:vAlign w:val="center"/>
          </w:tcPr>
          <w:p w:rsidR="00250578" w:rsidRPr="009C4C83" w:rsidRDefault="00250578" w:rsidP="00250578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 w:rsidRPr="00250578">
              <w:rPr>
                <w:rFonts w:asciiTheme="majorHAnsi" w:hAnsiTheme="majorHAnsi" w:cs="Tahoma"/>
                <w:sz w:val="18"/>
                <w:szCs w:val="20"/>
              </w:rPr>
              <w:t>24,5%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2" w:type="dxa"/>
            <w:shd w:val="clear" w:color="auto" w:fill="F8CA9E" w:themeFill="text2" w:themeFillTint="66"/>
            <w:noWrap/>
            <w:vAlign w:val="center"/>
            <w:hideMark/>
          </w:tcPr>
          <w:p w:rsidR="00250578" w:rsidRPr="00250578" w:rsidRDefault="00250578" w:rsidP="009C4C83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35-44 anni</w:t>
            </w:r>
          </w:p>
        </w:tc>
        <w:tc>
          <w:tcPr>
            <w:tcW w:w="2458" w:type="dxa"/>
            <w:shd w:val="clear" w:color="auto" w:fill="F8CA9E" w:themeFill="text2" w:themeFillTint="66"/>
            <w:noWrap/>
            <w:vAlign w:val="center"/>
          </w:tcPr>
          <w:p w:rsidR="00250578" w:rsidRPr="009C4C83" w:rsidRDefault="00250578" w:rsidP="00250578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 w:rsidRPr="00250578">
              <w:rPr>
                <w:rFonts w:asciiTheme="majorHAnsi" w:hAnsiTheme="majorHAnsi" w:cs="Tahoma"/>
                <w:sz w:val="18"/>
                <w:szCs w:val="20"/>
              </w:rPr>
              <w:t>35,2%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2" w:type="dxa"/>
            <w:shd w:val="clear" w:color="auto" w:fill="FBE4CE" w:themeFill="text2" w:themeFillTint="33"/>
            <w:noWrap/>
            <w:vAlign w:val="center"/>
            <w:hideMark/>
          </w:tcPr>
          <w:p w:rsidR="00250578" w:rsidRPr="00250578" w:rsidRDefault="00250578" w:rsidP="009C4C83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45-54 anni</w:t>
            </w:r>
          </w:p>
        </w:tc>
        <w:tc>
          <w:tcPr>
            <w:tcW w:w="2458" w:type="dxa"/>
            <w:shd w:val="clear" w:color="auto" w:fill="FBE4CE" w:themeFill="text2" w:themeFillTint="33"/>
            <w:noWrap/>
            <w:vAlign w:val="center"/>
          </w:tcPr>
          <w:p w:rsidR="00250578" w:rsidRPr="009C4C83" w:rsidRDefault="00250578" w:rsidP="00250578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 w:rsidRPr="00250578">
              <w:rPr>
                <w:rFonts w:asciiTheme="majorHAnsi" w:hAnsiTheme="majorHAnsi" w:cs="Tahoma"/>
                <w:sz w:val="18"/>
                <w:szCs w:val="20"/>
              </w:rPr>
              <w:t>24,2%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2" w:type="dxa"/>
            <w:shd w:val="clear" w:color="auto" w:fill="F8CA9E" w:themeFill="text2" w:themeFillTint="66"/>
            <w:noWrap/>
            <w:vAlign w:val="center"/>
            <w:hideMark/>
          </w:tcPr>
          <w:p w:rsidR="00250578" w:rsidRPr="00250578" w:rsidRDefault="00250578" w:rsidP="009C4C83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55-64 anni</w:t>
            </w:r>
          </w:p>
        </w:tc>
        <w:tc>
          <w:tcPr>
            <w:tcW w:w="2458" w:type="dxa"/>
            <w:shd w:val="clear" w:color="auto" w:fill="F8CA9E" w:themeFill="text2" w:themeFillTint="66"/>
            <w:noWrap/>
            <w:vAlign w:val="center"/>
          </w:tcPr>
          <w:p w:rsidR="00250578" w:rsidRPr="009C4C83" w:rsidRDefault="00250578" w:rsidP="00250578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 w:rsidRPr="00250578">
              <w:rPr>
                <w:rFonts w:asciiTheme="majorHAnsi" w:hAnsiTheme="majorHAnsi" w:cs="Tahoma"/>
                <w:sz w:val="18"/>
                <w:szCs w:val="20"/>
              </w:rPr>
              <w:t>10,8%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2" w:type="dxa"/>
            <w:shd w:val="clear" w:color="auto" w:fill="FBE4CE" w:themeFill="text2" w:themeFillTint="33"/>
            <w:noWrap/>
            <w:vAlign w:val="center"/>
            <w:hideMark/>
          </w:tcPr>
          <w:p w:rsidR="00250578" w:rsidRPr="00250578" w:rsidRDefault="00250578" w:rsidP="009C4C83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65-74 anni</w:t>
            </w:r>
          </w:p>
        </w:tc>
        <w:tc>
          <w:tcPr>
            <w:tcW w:w="2458" w:type="dxa"/>
            <w:shd w:val="clear" w:color="auto" w:fill="FBE4CE" w:themeFill="text2" w:themeFillTint="33"/>
            <w:noWrap/>
            <w:vAlign w:val="center"/>
          </w:tcPr>
          <w:p w:rsidR="00250578" w:rsidRPr="009C4C83" w:rsidRDefault="00250578" w:rsidP="00250578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 w:rsidRPr="00250578">
              <w:rPr>
                <w:rFonts w:asciiTheme="majorHAnsi" w:hAnsiTheme="majorHAnsi" w:cs="Tahoma"/>
                <w:sz w:val="18"/>
                <w:szCs w:val="20"/>
              </w:rPr>
              <w:t>2,7%</w:t>
            </w:r>
          </w:p>
        </w:tc>
      </w:tr>
      <w:tr w:rsidR="00250578" w:rsidRPr="00F446D0" w:rsidTr="00250578">
        <w:trPr>
          <w:trHeight w:val="397"/>
          <w:jc w:val="center"/>
        </w:trPr>
        <w:tc>
          <w:tcPr>
            <w:tcW w:w="2122" w:type="dxa"/>
            <w:shd w:val="clear" w:color="auto" w:fill="F8CA9E" w:themeFill="text2" w:themeFillTint="66"/>
            <w:noWrap/>
            <w:vAlign w:val="center"/>
            <w:hideMark/>
          </w:tcPr>
          <w:p w:rsidR="00250578" w:rsidRPr="00250578" w:rsidRDefault="00250578" w:rsidP="009C4C83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Oltre 74 anni</w:t>
            </w:r>
          </w:p>
        </w:tc>
        <w:tc>
          <w:tcPr>
            <w:tcW w:w="2458" w:type="dxa"/>
            <w:shd w:val="clear" w:color="auto" w:fill="F8CA9E" w:themeFill="text2" w:themeFillTint="66"/>
            <w:noWrap/>
            <w:vAlign w:val="center"/>
          </w:tcPr>
          <w:p w:rsidR="00250578" w:rsidRPr="009C4C83" w:rsidRDefault="00250578" w:rsidP="00250578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 w:rsidRPr="00250578">
              <w:rPr>
                <w:rFonts w:asciiTheme="majorHAnsi" w:hAnsiTheme="majorHAnsi" w:cs="Tahoma"/>
                <w:sz w:val="18"/>
                <w:szCs w:val="20"/>
              </w:rPr>
              <w:t>0,3%</w:t>
            </w:r>
          </w:p>
        </w:tc>
      </w:tr>
    </w:tbl>
    <w:p w:rsidR="008A1866" w:rsidRDefault="008A1866" w:rsidP="008B4E4B">
      <w:pPr>
        <w:pStyle w:val="CRIFCaption"/>
        <w:jc w:val="center"/>
        <w:rPr>
          <w:lang w:val="it-IT"/>
        </w:rPr>
      </w:pPr>
      <w:r w:rsidRPr="00160603">
        <w:rPr>
          <w:lang w:val="it-IT"/>
        </w:rPr>
        <w:t>Fonte: EURISC – Il Sistema CRIF di Informazioni Creditizie</w:t>
      </w:r>
    </w:p>
    <w:p w:rsidR="002E56B7" w:rsidRDefault="005969D1" w:rsidP="00356621">
      <w:pPr>
        <w:spacing w:before="100" w:beforeAutospacing="1" w:after="100" w:afterAutospacing="1"/>
        <w:jc w:val="both"/>
        <w:rPr>
          <w:i/>
          <w:iCs/>
          <w:sz w:val="20"/>
          <w:lang w:val="it-IT"/>
        </w:rPr>
      </w:pPr>
      <w:bookmarkStart w:id="1" w:name="_GoBack"/>
      <w:bookmarkEnd w:id="0"/>
      <w:bookmarkEnd w:id="1"/>
      <w:r>
        <w:rPr>
          <w:i/>
          <w:iCs/>
          <w:sz w:val="20"/>
          <w:lang w:val="it-IT"/>
        </w:rPr>
        <w:t>”</w:t>
      </w:r>
      <w:r w:rsidR="004D7C1F">
        <w:rPr>
          <w:i/>
          <w:iCs/>
          <w:sz w:val="20"/>
          <w:lang w:val="it-IT"/>
        </w:rPr>
        <w:t>L</w:t>
      </w:r>
      <w:r>
        <w:rPr>
          <w:i/>
          <w:iCs/>
          <w:sz w:val="20"/>
          <w:lang w:val="it-IT"/>
        </w:rPr>
        <w:t xml:space="preserve">e rilevazioni </w:t>
      </w:r>
      <w:r w:rsidR="004D7C1F">
        <w:rPr>
          <w:i/>
          <w:iCs/>
          <w:sz w:val="20"/>
          <w:lang w:val="it-IT"/>
        </w:rPr>
        <w:t>relative a</w:t>
      </w:r>
      <w:r>
        <w:rPr>
          <w:i/>
          <w:iCs/>
          <w:sz w:val="20"/>
          <w:lang w:val="it-IT"/>
        </w:rPr>
        <w:t>l III trimestre</w:t>
      </w:r>
      <w:r w:rsidR="00902889">
        <w:rPr>
          <w:i/>
          <w:iCs/>
          <w:sz w:val="20"/>
          <w:lang w:val="it-IT"/>
        </w:rPr>
        <w:t xml:space="preserve"> del 2017</w:t>
      </w:r>
      <w:r w:rsidR="00F610E3" w:rsidRPr="00F610E3">
        <w:rPr>
          <w:i/>
          <w:iCs/>
          <w:sz w:val="20"/>
          <w:lang w:val="it-IT"/>
        </w:rPr>
        <w:t xml:space="preserve"> hanno </w:t>
      </w:r>
      <w:r w:rsidR="00902889">
        <w:rPr>
          <w:i/>
          <w:iCs/>
          <w:sz w:val="20"/>
          <w:lang w:val="it-IT"/>
        </w:rPr>
        <w:t>evidenziato</w:t>
      </w:r>
      <w:r w:rsidR="00F610E3" w:rsidRPr="00F610E3">
        <w:rPr>
          <w:i/>
          <w:iCs/>
          <w:sz w:val="20"/>
          <w:lang w:val="it-IT"/>
        </w:rPr>
        <w:t xml:space="preserve"> un calo delle </w:t>
      </w:r>
      <w:r w:rsidR="004D7C1F">
        <w:rPr>
          <w:i/>
          <w:iCs/>
          <w:sz w:val="20"/>
          <w:lang w:val="it-IT"/>
        </w:rPr>
        <w:t xml:space="preserve">richieste </w:t>
      </w:r>
      <w:r w:rsidR="00F610E3" w:rsidRPr="00F610E3">
        <w:rPr>
          <w:i/>
          <w:iCs/>
          <w:sz w:val="20"/>
          <w:lang w:val="it-IT"/>
        </w:rPr>
        <w:t>di mutui, portando in nega</w:t>
      </w:r>
      <w:r w:rsidR="00825938">
        <w:rPr>
          <w:i/>
          <w:iCs/>
          <w:sz w:val="20"/>
          <w:lang w:val="it-IT"/>
        </w:rPr>
        <w:t>tivo il saldo su base annua</w:t>
      </w:r>
      <w:r w:rsidR="00902889">
        <w:rPr>
          <w:i/>
          <w:iCs/>
          <w:sz w:val="20"/>
          <w:lang w:val="it-IT"/>
        </w:rPr>
        <w:t xml:space="preserve">. </w:t>
      </w:r>
      <w:r w:rsidR="00390FC6">
        <w:rPr>
          <w:i/>
          <w:iCs/>
          <w:sz w:val="20"/>
          <w:lang w:val="it-IT"/>
        </w:rPr>
        <w:t>Alla</w:t>
      </w:r>
      <w:r w:rsidR="00F610E3" w:rsidRPr="00F610E3">
        <w:rPr>
          <w:i/>
          <w:iCs/>
          <w:sz w:val="20"/>
          <w:lang w:val="it-IT"/>
        </w:rPr>
        <w:t xml:space="preserve"> </w:t>
      </w:r>
      <w:r w:rsidR="00902889">
        <w:rPr>
          <w:i/>
          <w:iCs/>
          <w:sz w:val="20"/>
          <w:lang w:val="it-IT"/>
        </w:rPr>
        <w:t xml:space="preserve">forte </w:t>
      </w:r>
      <w:r w:rsidR="00F610E3" w:rsidRPr="00F610E3">
        <w:rPr>
          <w:i/>
          <w:iCs/>
          <w:sz w:val="20"/>
          <w:lang w:val="it-IT"/>
        </w:rPr>
        <w:t>diminuzione del fenomeno delle surroghe</w:t>
      </w:r>
      <w:r w:rsidR="00902889">
        <w:rPr>
          <w:i/>
          <w:iCs/>
          <w:sz w:val="20"/>
          <w:lang w:val="it-IT"/>
        </w:rPr>
        <w:t xml:space="preserve"> </w:t>
      </w:r>
      <w:r w:rsidR="008B4E4B">
        <w:rPr>
          <w:i/>
          <w:iCs/>
          <w:sz w:val="20"/>
          <w:lang w:val="it-IT"/>
        </w:rPr>
        <w:t>registrato n</w:t>
      </w:r>
      <w:r w:rsidR="00902889">
        <w:rPr>
          <w:i/>
          <w:iCs/>
          <w:sz w:val="20"/>
          <w:lang w:val="it-IT"/>
        </w:rPr>
        <w:t xml:space="preserve">egli ultimi mesi, </w:t>
      </w:r>
      <w:r w:rsidR="008B4E4B">
        <w:rPr>
          <w:i/>
          <w:iCs/>
          <w:sz w:val="20"/>
          <w:lang w:val="it-IT"/>
        </w:rPr>
        <w:t>cui va ascritta la performance negativa</w:t>
      </w:r>
      <w:r w:rsidR="00902889">
        <w:rPr>
          <w:i/>
          <w:iCs/>
          <w:sz w:val="20"/>
          <w:lang w:val="it-IT"/>
        </w:rPr>
        <w:t xml:space="preserve">, </w:t>
      </w:r>
      <w:r w:rsidR="00390FC6">
        <w:rPr>
          <w:i/>
          <w:iCs/>
          <w:sz w:val="20"/>
          <w:lang w:val="it-IT"/>
        </w:rPr>
        <w:t xml:space="preserve">si </w:t>
      </w:r>
      <w:r w:rsidR="008B4E4B">
        <w:rPr>
          <w:i/>
          <w:iCs/>
          <w:sz w:val="20"/>
          <w:lang w:val="it-IT"/>
        </w:rPr>
        <w:t>sta</w:t>
      </w:r>
      <w:r w:rsidR="00902889">
        <w:rPr>
          <w:i/>
          <w:iCs/>
          <w:sz w:val="20"/>
          <w:lang w:val="it-IT"/>
        </w:rPr>
        <w:t xml:space="preserve"> </w:t>
      </w:r>
      <w:r w:rsidR="00825938">
        <w:rPr>
          <w:i/>
          <w:iCs/>
          <w:sz w:val="20"/>
          <w:lang w:val="it-IT"/>
        </w:rPr>
        <w:t xml:space="preserve">però </w:t>
      </w:r>
      <w:r w:rsidR="00902889">
        <w:rPr>
          <w:i/>
          <w:iCs/>
          <w:sz w:val="20"/>
          <w:lang w:val="it-IT"/>
        </w:rPr>
        <w:t>contra</w:t>
      </w:r>
      <w:r w:rsidR="008B4E4B">
        <w:rPr>
          <w:i/>
          <w:iCs/>
          <w:sz w:val="20"/>
          <w:lang w:val="it-IT"/>
        </w:rPr>
        <w:t>pponendo</w:t>
      </w:r>
      <w:r w:rsidR="00902889">
        <w:rPr>
          <w:i/>
          <w:iCs/>
          <w:sz w:val="20"/>
          <w:lang w:val="it-IT"/>
        </w:rPr>
        <w:t xml:space="preserve"> </w:t>
      </w:r>
      <w:r w:rsidR="008B4E4B">
        <w:rPr>
          <w:i/>
          <w:iCs/>
          <w:sz w:val="20"/>
          <w:lang w:val="it-IT"/>
        </w:rPr>
        <w:t>il consolidamento del</w:t>
      </w:r>
      <w:r w:rsidR="00902889">
        <w:rPr>
          <w:i/>
          <w:iCs/>
          <w:sz w:val="20"/>
          <w:lang w:val="it-IT"/>
        </w:rPr>
        <w:t xml:space="preserve">la ripresa </w:t>
      </w:r>
      <w:r w:rsidR="008B4E4B">
        <w:rPr>
          <w:i/>
          <w:iCs/>
          <w:sz w:val="20"/>
          <w:lang w:val="it-IT"/>
        </w:rPr>
        <w:t xml:space="preserve">dei nuovi mutui richiesti a sostegno </w:t>
      </w:r>
      <w:r w:rsidR="00902889">
        <w:rPr>
          <w:i/>
          <w:iCs/>
          <w:sz w:val="20"/>
          <w:lang w:val="it-IT"/>
        </w:rPr>
        <w:t>del</w:t>
      </w:r>
      <w:r w:rsidR="008B4E4B">
        <w:rPr>
          <w:i/>
          <w:iCs/>
          <w:sz w:val="20"/>
          <w:lang w:val="it-IT"/>
        </w:rPr>
        <w:t>le maggiori compravendite che stanno caratterizzando il m</w:t>
      </w:r>
      <w:r w:rsidR="00902889">
        <w:rPr>
          <w:i/>
          <w:iCs/>
          <w:sz w:val="20"/>
          <w:lang w:val="it-IT"/>
        </w:rPr>
        <w:t>ercato immobiliare</w:t>
      </w:r>
      <w:r w:rsidR="00356621">
        <w:rPr>
          <w:i/>
          <w:iCs/>
          <w:sz w:val="20"/>
          <w:lang w:val="it-IT"/>
        </w:rPr>
        <w:t xml:space="preserve"> </w:t>
      </w:r>
      <w:r w:rsidR="00F610E3" w:rsidRPr="000A4668">
        <w:rPr>
          <w:iCs/>
          <w:sz w:val="20"/>
          <w:lang w:val="it-IT"/>
        </w:rPr>
        <w:t xml:space="preserve">– commenta </w:t>
      </w:r>
      <w:r w:rsidR="00F610E3" w:rsidRPr="000A4668">
        <w:rPr>
          <w:b/>
          <w:iCs/>
          <w:sz w:val="20"/>
          <w:lang w:val="it-IT"/>
        </w:rPr>
        <w:t>Simone Capecchi, Executive Director di CRIF</w:t>
      </w:r>
      <w:r w:rsidR="00F610E3" w:rsidRPr="000A4668">
        <w:rPr>
          <w:iCs/>
          <w:sz w:val="20"/>
          <w:lang w:val="it-IT"/>
        </w:rPr>
        <w:t>.</w:t>
      </w:r>
      <w:r w:rsidR="00F610E3" w:rsidRPr="00F610E3">
        <w:rPr>
          <w:i/>
          <w:iCs/>
          <w:sz w:val="20"/>
          <w:lang w:val="it-IT"/>
        </w:rPr>
        <w:t xml:space="preserve"> </w:t>
      </w:r>
      <w:r w:rsidR="008B4E4B">
        <w:rPr>
          <w:i/>
          <w:iCs/>
          <w:sz w:val="20"/>
          <w:lang w:val="it-IT"/>
        </w:rPr>
        <w:t xml:space="preserve">– </w:t>
      </w:r>
      <w:r w:rsidR="00825938">
        <w:rPr>
          <w:i/>
          <w:iCs/>
          <w:sz w:val="20"/>
          <w:lang w:val="it-IT"/>
        </w:rPr>
        <w:t>Un’offerta a condizioni ancora estremamente appetibile continuerà a sostenere i</w:t>
      </w:r>
      <w:r w:rsidR="008B4E4B">
        <w:rPr>
          <w:i/>
          <w:iCs/>
          <w:sz w:val="20"/>
          <w:lang w:val="it-IT"/>
        </w:rPr>
        <w:t xml:space="preserve">l comparto del credito immobiliare </w:t>
      </w:r>
      <w:r w:rsidR="00825938">
        <w:rPr>
          <w:i/>
          <w:iCs/>
          <w:sz w:val="20"/>
          <w:lang w:val="it-IT"/>
        </w:rPr>
        <w:t xml:space="preserve">anche se gli operatori di settore </w:t>
      </w:r>
      <w:r w:rsidR="008B4E4B">
        <w:rPr>
          <w:i/>
          <w:iCs/>
          <w:sz w:val="20"/>
          <w:lang w:val="it-IT"/>
        </w:rPr>
        <w:t>si trova</w:t>
      </w:r>
      <w:r w:rsidR="00825938">
        <w:rPr>
          <w:i/>
          <w:iCs/>
          <w:sz w:val="20"/>
          <w:lang w:val="it-IT"/>
        </w:rPr>
        <w:t>no</w:t>
      </w:r>
      <w:r w:rsidR="008B4E4B">
        <w:rPr>
          <w:i/>
          <w:iCs/>
          <w:sz w:val="20"/>
          <w:lang w:val="it-IT"/>
        </w:rPr>
        <w:t xml:space="preserve"> a fare i conti con</w:t>
      </w:r>
      <w:r w:rsidR="00356621">
        <w:rPr>
          <w:i/>
          <w:iCs/>
          <w:sz w:val="20"/>
          <w:lang w:val="it-IT"/>
        </w:rPr>
        <w:t xml:space="preserve"> </w:t>
      </w:r>
      <w:r w:rsidR="00D31B1D">
        <w:rPr>
          <w:i/>
          <w:iCs/>
          <w:sz w:val="20"/>
          <w:lang w:val="it-IT"/>
        </w:rPr>
        <w:t xml:space="preserve">pressioni normative </w:t>
      </w:r>
      <w:r w:rsidR="008B4E4B">
        <w:rPr>
          <w:i/>
          <w:iCs/>
          <w:sz w:val="20"/>
          <w:lang w:val="it-IT"/>
        </w:rPr>
        <w:t xml:space="preserve">che, ad esempio, </w:t>
      </w:r>
      <w:r w:rsidR="00D31B1D">
        <w:rPr>
          <w:i/>
          <w:iCs/>
          <w:sz w:val="20"/>
          <w:lang w:val="it-IT"/>
        </w:rPr>
        <w:t>pongono sempre di più l’</w:t>
      </w:r>
      <w:r w:rsidR="00356621">
        <w:rPr>
          <w:i/>
          <w:iCs/>
          <w:sz w:val="20"/>
          <w:lang w:val="it-IT"/>
        </w:rPr>
        <w:t xml:space="preserve">accento sulle garanzie reali sottostanti </w:t>
      </w:r>
      <w:r w:rsidR="00825938">
        <w:rPr>
          <w:i/>
          <w:iCs/>
          <w:sz w:val="20"/>
          <w:lang w:val="it-IT"/>
        </w:rPr>
        <w:t>il finanziamento</w:t>
      </w:r>
      <w:r w:rsidR="00356621">
        <w:rPr>
          <w:i/>
          <w:iCs/>
          <w:sz w:val="20"/>
          <w:lang w:val="it-IT"/>
        </w:rPr>
        <w:t xml:space="preserve">, </w:t>
      </w:r>
      <w:r w:rsidR="00AF1B5E">
        <w:rPr>
          <w:i/>
          <w:iCs/>
          <w:sz w:val="20"/>
          <w:lang w:val="it-IT"/>
        </w:rPr>
        <w:t>con un focus particolare sull</w:t>
      </w:r>
      <w:r w:rsidR="00356621">
        <w:rPr>
          <w:i/>
          <w:iCs/>
          <w:sz w:val="20"/>
          <w:lang w:val="it-IT"/>
        </w:rPr>
        <w:t>’accuratezza</w:t>
      </w:r>
      <w:r w:rsidR="00D31B1D">
        <w:rPr>
          <w:i/>
          <w:iCs/>
          <w:sz w:val="20"/>
          <w:lang w:val="it-IT"/>
        </w:rPr>
        <w:t xml:space="preserve"> </w:t>
      </w:r>
      <w:r w:rsidR="00356621">
        <w:rPr>
          <w:i/>
          <w:iCs/>
          <w:sz w:val="20"/>
          <w:lang w:val="it-IT"/>
        </w:rPr>
        <w:t>delle valutazioni degli immobili</w:t>
      </w:r>
      <w:r w:rsidR="008B4E4B">
        <w:rPr>
          <w:i/>
          <w:iCs/>
          <w:sz w:val="20"/>
          <w:lang w:val="it-IT"/>
        </w:rPr>
        <w:t>.</w:t>
      </w:r>
      <w:r w:rsidR="00356621">
        <w:rPr>
          <w:i/>
          <w:iCs/>
          <w:sz w:val="20"/>
          <w:lang w:val="it-IT"/>
        </w:rPr>
        <w:t>”</w:t>
      </w:r>
      <w:r w:rsidR="000A4668">
        <w:rPr>
          <w:i/>
          <w:iCs/>
          <w:sz w:val="20"/>
          <w:lang w:val="it-IT"/>
        </w:rPr>
        <w:t xml:space="preserve"> </w:t>
      </w:r>
    </w:p>
    <w:p w:rsidR="0033266F" w:rsidRDefault="0033266F" w:rsidP="00356621">
      <w:pPr>
        <w:spacing w:before="100" w:beforeAutospacing="1" w:after="100" w:afterAutospacing="1"/>
        <w:jc w:val="both"/>
        <w:rPr>
          <w:i/>
          <w:iCs/>
          <w:sz w:val="20"/>
          <w:lang w:val="it-IT"/>
        </w:rPr>
      </w:pPr>
    </w:p>
    <w:sectPr w:rsidR="0033266F" w:rsidSect="00D36FFA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872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A7F" w:rsidRDefault="00450A7F" w:rsidP="002C53BF">
      <w:pPr>
        <w:spacing w:after="0" w:line="240" w:lineRule="auto"/>
      </w:pPr>
      <w:r>
        <w:separator/>
      </w:r>
    </w:p>
  </w:endnote>
  <w:endnote w:type="continuationSeparator" w:id="0">
    <w:p w:rsidR="00450A7F" w:rsidRDefault="00450A7F" w:rsidP="002C53BF">
      <w:pPr>
        <w:spacing w:after="0" w:line="240" w:lineRule="auto"/>
      </w:pPr>
      <w:r>
        <w:continuationSeparator/>
      </w:r>
    </w:p>
  </w:endnote>
  <w:endnote w:type="continuationNotice" w:id="1">
    <w:p w:rsidR="00450A7F" w:rsidRDefault="00450A7F" w:rsidP="002C53B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ndersonBCGSerif-Regular">
    <w:altName w:val="Henderson Serif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ex New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5D" w:rsidRPr="00D36FFA" w:rsidRDefault="00392477" w:rsidP="00D36FFA">
    <w:pPr>
      <w:spacing w:after="0" w:line="360" w:lineRule="auto"/>
      <w:jc w:val="both"/>
      <w:rPr>
        <w:sz w:val="20"/>
        <w:lang w:val="it-IT"/>
      </w:rPr>
    </w:pPr>
    <w:r w:rsidRPr="00392477">
      <w:rPr>
        <w:noProof/>
        <w:color w:val="B0CFED" w:themeColor="accent3"/>
        <w:sz w:val="20"/>
        <w:lang w:val="it-IT" w:eastAsia="it-IT"/>
      </w:rPr>
      <w:pict>
        <v:rect id="Rectangle 5" o:spid="_x0000_s10242" style="position:absolute;left:0;text-align:left;margin-left:468.3pt;margin-top:-2.9pt;width:1in;height:21.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ObeQIAAEMFAAAOAAAAZHJzL2Uyb0RvYy54bWysVMFu2zAMvQ/YPwi6r3ayZN2COEWQosOA&#10;oi3aDj0rshQbkEWNUmJnXz9KdtyiLXYYloNCmeSj+PSo5UXXGHZQ6GuwBZ+c5ZwpK6Gs7a7gPx+v&#10;Pn3lzAdhS2HAqoIflecXq48flq1bqClUYEqFjECsX7Su4FUIbpFlXlaqEf4MnLLk1ICNCLTFXVai&#10;aAm9Mdk0z79kLWDpEKTynr5e9k6+SvhaKxlutfYqMFNwOltIK6Z1G9dstRSLHQpX1XI4hviHUzSi&#10;tlR0hLoUQbA91m+gmloieNDhTEKTgda1VKkH6maSv+rmoRJOpV6IHO9Gmvz/g5U3hztkdVnwOWdW&#10;NHRF90SasDuj2DzS0zq/oKgHd4fDzpMZe+00NvGfumBdovQ4Uqq6wCR9/DaZzXIiXpJrej77PE2U&#10;Z8/JDn34rqBh0Sg4UvFEpDhc+0AFKfQUQpt4mL58ssLRqHgCY++Vpi6o4DRlJ/2ojUF2EHTzQkpl&#10;w6R3VaJU/ed5Tr/YIxUZM9IuAUZkXRszYg8AUZtvsXuYIT6mqiS/MTn/28H65DEjVQYbxuSmtoDv&#10;ARjqaqjcx59I6qmJLIVu21FINLdQHum6Efo58E5e1UT7tfDhTiAJn26Khjnc0qINtAWHweKsAvz9&#10;3vcYT3okL2ctDVLB/a+9QMWZ+WFJqUkBNHlpM5ufkwIYvvRsX3rsvtkA3diEng0nkxnjgzmZGqF5&#10;oplfx6rkElZS7YLLgKfNJvQDTq+GVOt1CqNpcyJc2wcnI3gkOMrqsXsS6AbtBRLtDZyGTixeSbCP&#10;jZkW1vsAuk76fOZ1oJ4mNWloeFXiU/Byn6Ke377VHwAAAP//AwBQSwMEFAAGAAgAAAAhAM1C6yrd&#10;AAAACgEAAA8AAABkcnMvZG93bnJldi54bWxMj01OwzAQhfdI3MEaJHatXQppCXEqVIkNEosWDjCN&#10;hzg0tqPYaZLbM13Bct58ej/FbnKtuFAfm+A1rJYKBPkqmMbXGr4+3xZbEDGhN9gGTxpmirArb28K&#10;zE0Y/YEux1QLNvExRw02pS6XMlaWHMZl6Mjz7zv0DhOffS1NjyObu1Y+KJVJh43nBIsd7S1V5+Pg&#10;OATpMK824/78Yaf3htr5h4ZZ6/u76fUFRKIp/cFwrc/VoeROpzB4E0Wr4XmdZYxqWDzxhCugtoqV&#10;k4b15hFkWcj/E8pfAAAA//8DAFBLAQItABQABgAIAAAAIQC2gziS/gAAAOEBAAATAAAAAAAAAAAA&#10;AAAAAAAAAABbQ29udGVudF9UeXBlc10ueG1sUEsBAi0AFAAGAAgAAAAhADj9If/WAAAAlAEAAAsA&#10;AAAAAAAAAAAAAAAALwEAAF9yZWxzLy5yZWxzUEsBAi0AFAAGAAgAAAAhAFVUg5t5AgAAQwUAAA4A&#10;AAAAAAAAAAAAAAAALgIAAGRycy9lMm9Eb2MueG1sUEsBAi0AFAAGAAgAAAAhAM1C6yrdAAAACgEA&#10;AA8AAAAAAAAAAAAAAAAA0wQAAGRycy9kb3ducmV2LnhtbFBLBQYAAAAABAAEAPMAAADdBQAAAAA=&#10;" fillcolor="#003b79 [3204]" strokecolor="#001d3c [1604]" strokeweight="1pt">
          <v:textbox>
            <w:txbxContent>
              <w:p w:rsidR="00573D5D" w:rsidRPr="005849DB" w:rsidRDefault="00392477" w:rsidP="005849DB">
                <w:pPr>
                  <w:jc w:val="center"/>
                  <w:rPr>
                    <w:sz w:val="20"/>
                  </w:rPr>
                </w:pPr>
                <w:r w:rsidRPr="005849DB">
                  <w:rPr>
                    <w:sz w:val="20"/>
                  </w:rPr>
                  <w:fldChar w:fldCharType="begin"/>
                </w:r>
                <w:r w:rsidR="00573D5D" w:rsidRPr="005849DB">
                  <w:rPr>
                    <w:sz w:val="20"/>
                  </w:rPr>
                  <w:instrText xml:space="preserve"> PAGE   \* MERGEFORMAT </w:instrText>
                </w:r>
                <w:r w:rsidRPr="005849DB">
                  <w:rPr>
                    <w:sz w:val="20"/>
                  </w:rPr>
                  <w:fldChar w:fldCharType="separate"/>
                </w:r>
                <w:r w:rsidR="00410738">
                  <w:rPr>
                    <w:noProof/>
                    <w:sz w:val="20"/>
                  </w:rPr>
                  <w:t>5</w:t>
                </w:r>
                <w:r w:rsidRPr="005849DB">
                  <w:rPr>
                    <w:noProof/>
                    <w:sz w:val="20"/>
                  </w:rPr>
                  <w:fldChar w:fldCharType="end"/>
                </w:r>
                <w:r w:rsidR="00573D5D">
                  <w:rPr>
                    <w:noProof/>
                    <w:sz w:val="20"/>
                  </w:rPr>
                  <w:t xml:space="preserve"> / </w:t>
                </w:r>
                <w:fldSimple w:instr=" NUMPAGES   \* MERGEFORMAT ">
                  <w:r w:rsidR="00410738">
                    <w:rPr>
                      <w:noProof/>
                      <w:sz w:val="20"/>
                    </w:rPr>
                    <w:t>5</w:t>
                  </w:r>
                </w:fldSimple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5D" w:rsidRDefault="00392477">
    <w:pPr>
      <w:pStyle w:val="Pidipagina"/>
    </w:pPr>
    <w:r w:rsidRPr="00392477">
      <w:rPr>
        <w:noProof/>
        <w:color w:val="B0CFED" w:themeColor="accent3"/>
        <w:sz w:val="20"/>
        <w:lang w:val="it-IT" w:eastAsia="it-IT"/>
      </w:rPr>
      <w:pict>
        <v:rect id="_x0000_s10241" style="position:absolute;margin-left:468.3pt;margin-top:-7.05pt;width:1in;height:21.6pt;z-index:2516582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jkewIAAEoFAAAOAAAAZHJzL2Uyb0RvYy54bWysVFFP2zAQfp+0/2D5fU1aymAVKaqKmCYh&#10;QMDEs+vYTSTH553dJt2v39lJAwK0h2l9SH2+u+98n7/zxWXXGLZX6GuwBZ9Ocs6UlVDWdlvwn0/X&#10;X84580HYUhiwquAH5fnl8vOni9Yt1AwqMKVCRiDWL1pX8CoEt8gyLyvVCD8Bpyw5NWAjApm4zUoU&#10;LaE3Jpvl+desBSwdglTe0+5V7+TLhK+1kuFOa68CMwWns4X0xfTdxG+2vBCLLQpX1XI4hviHUzSi&#10;tlR0hLoSQbAd1u+gmloieNBhIqHJQOtaqtQDdTPN33TzWAmnUi9EjncjTf7/wcrb/T2yuiz4CWdW&#10;NHRFD0SasFuj2Gmkp3V+QVGP7h4Hy9My9tppbOI/dcG6ROlhpFR1gUna/Dadz3MiXpJrdjY/mSXK&#10;s5dkhz58V9CwuCg4UvFEpNjf+EAFKfQYQkY8TF8+rcLBqHgCYx+Upi6o4CxlJ/2otUG2F3TzQkpl&#10;w7R3VaJU/fZpTr/YIxUZM5KVACOyro0ZsQeAqM332D3MEB9TVZLfmJz/7WB98piRKoMNY3JTW8CP&#10;AAx1NVTu448k9dRElkK36dINp8i4s4HyQLeO0I+Dd/K6JvZvhA/3Akn/dGE00+GOPtpAW3AYVpxV&#10;gL8/2o/xJEvyctbSPBXc/9oJVJyZH5YEm4RAA5iM+ekZCYHha8/mtcfumjXQxU3p9XAyLWN8MMel&#10;RmieafRXsSq5hJVUu+Ay4NFYh37O6fGQarVKYTR0ToQb++hkBI88R3U9dc8C3SDBQNq9hePsicUb&#10;JfaxMdPCahdA10mmL7wON0ADm6Q0PC7xRXhtp6iXJ3D5BwAA//8DAFBLAwQUAAYACAAAACEAnIEd&#10;ot4AAAALAQAADwAAAGRycy9kb3ducmV2LnhtbEyPy07DMBBF90j8gzWV2LW2CwptiFOhSmyQWLTl&#10;A6bxkKT1I4qdJvl73BUsZ+bo3jPFbrKG3agPrXcK5EoAI1d53bpawffpY7kBFiI6jcY7UjBTgF35&#10;+FBgrv3oDnQ7xpqlEBdyVNDE2OWch6ohi2HlO3Lp9uN7izGNfc11j2MKt4avhci4xdalhgY72jdU&#10;XY+DTSVIh1m+jvvrVzN9tmTmCw2zUk+L6f0NWKQp/sFw10/qUCansx+cDswo2D5nWUIVLOWLBHYn&#10;xEak1VnBeiuBlwX//0P5CwAA//8DAFBLAQItABQABgAIAAAAIQC2gziS/gAAAOEBAAATAAAAAAAA&#10;AAAAAAAAAAAAAABbQ29udGVudF9UeXBlc10ueG1sUEsBAi0AFAAGAAgAAAAhADj9If/WAAAAlAEA&#10;AAsAAAAAAAAAAAAAAAAALwEAAF9yZWxzLy5yZWxzUEsBAi0AFAAGAAgAAAAhAIB0yOR7AgAASgUA&#10;AA4AAAAAAAAAAAAAAAAALgIAAGRycy9lMm9Eb2MueG1sUEsBAi0AFAAGAAgAAAAhAJyBHaLeAAAA&#10;CwEAAA8AAAAAAAAAAAAAAAAA1QQAAGRycy9kb3ducmV2LnhtbFBLBQYAAAAABAAEAPMAAADgBQAA&#10;AAA=&#10;" fillcolor="#003b79 [3204]" strokecolor="#001d3c [1604]" strokeweight="1pt">
          <v:textbox>
            <w:txbxContent>
              <w:p w:rsidR="00573D5D" w:rsidRPr="005849DB" w:rsidRDefault="00392477" w:rsidP="00BA392E">
                <w:pPr>
                  <w:jc w:val="center"/>
                  <w:rPr>
                    <w:sz w:val="20"/>
                  </w:rPr>
                </w:pPr>
                <w:r w:rsidRPr="005849DB">
                  <w:rPr>
                    <w:sz w:val="20"/>
                  </w:rPr>
                  <w:fldChar w:fldCharType="begin"/>
                </w:r>
                <w:r w:rsidR="00573D5D" w:rsidRPr="005849DB">
                  <w:rPr>
                    <w:sz w:val="20"/>
                  </w:rPr>
                  <w:instrText xml:space="preserve"> PAGE   \* MERGEFORMAT </w:instrText>
                </w:r>
                <w:r w:rsidRPr="005849DB">
                  <w:rPr>
                    <w:sz w:val="20"/>
                  </w:rPr>
                  <w:fldChar w:fldCharType="separate"/>
                </w:r>
                <w:r w:rsidR="00410738">
                  <w:rPr>
                    <w:noProof/>
                    <w:sz w:val="20"/>
                  </w:rPr>
                  <w:t>1</w:t>
                </w:r>
                <w:r w:rsidRPr="005849DB">
                  <w:rPr>
                    <w:noProof/>
                    <w:sz w:val="20"/>
                  </w:rPr>
                  <w:fldChar w:fldCharType="end"/>
                </w:r>
                <w:r w:rsidR="00573D5D">
                  <w:rPr>
                    <w:noProof/>
                    <w:sz w:val="20"/>
                  </w:rPr>
                  <w:t xml:space="preserve"> / </w:t>
                </w:r>
                <w:fldSimple w:instr=" NUMPAGES   \* MERGEFORMAT ">
                  <w:r w:rsidR="00410738">
                    <w:rPr>
                      <w:noProof/>
                      <w:sz w:val="20"/>
                    </w:rPr>
                    <w:t>3</w:t>
                  </w:r>
                </w:fldSimple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A7F" w:rsidRDefault="00450A7F" w:rsidP="002C53BF">
      <w:pPr>
        <w:spacing w:after="0" w:line="240" w:lineRule="auto"/>
      </w:pPr>
      <w:r>
        <w:separator/>
      </w:r>
    </w:p>
  </w:footnote>
  <w:footnote w:type="continuationSeparator" w:id="0">
    <w:p w:rsidR="00450A7F" w:rsidRDefault="00450A7F" w:rsidP="002C53BF">
      <w:pPr>
        <w:spacing w:after="0" w:line="240" w:lineRule="auto"/>
      </w:pPr>
      <w:r>
        <w:continuationSeparator/>
      </w:r>
    </w:p>
  </w:footnote>
  <w:footnote w:type="continuationNotice" w:id="1">
    <w:p w:rsidR="00450A7F" w:rsidRDefault="00450A7F" w:rsidP="002C53B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5D" w:rsidRDefault="00573D5D">
    <w:pPr>
      <w:pStyle w:val="Intestazione"/>
    </w:pPr>
  </w:p>
  <w:p w:rsidR="00573D5D" w:rsidRDefault="00573D5D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-8890</wp:posOffset>
          </wp:positionH>
          <wp:positionV relativeFrom="page">
            <wp:posOffset>327660</wp:posOffset>
          </wp:positionV>
          <wp:extent cx="1208405" cy="539750"/>
          <wp:effectExtent l="0" t="0" r="0" b="0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3D5D" w:rsidRDefault="00573D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5D" w:rsidRDefault="00573D5D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column">
            <wp:posOffset>143510</wp:posOffset>
          </wp:positionH>
          <wp:positionV relativeFrom="page">
            <wp:posOffset>480060</wp:posOffset>
          </wp:positionV>
          <wp:extent cx="1208405" cy="539750"/>
          <wp:effectExtent l="0" t="0" r="0" b="0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3D5D" w:rsidRDefault="00573D5D">
    <w:pPr>
      <w:pStyle w:val="Intestazione"/>
    </w:pPr>
  </w:p>
  <w:p w:rsidR="00573D5D" w:rsidRDefault="00573D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C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F5CD7"/>
    <w:multiLevelType w:val="hybridMultilevel"/>
    <w:tmpl w:val="E0280AD2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8BF"/>
    <w:multiLevelType w:val="hybridMultilevel"/>
    <w:tmpl w:val="CA825D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E993CA2"/>
    <w:multiLevelType w:val="multilevel"/>
    <w:tmpl w:val="BB88D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AB6565"/>
    <w:multiLevelType w:val="hybridMultilevel"/>
    <w:tmpl w:val="D194C816"/>
    <w:lvl w:ilvl="0" w:tplc="53FAF1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7D11" w:themeColor="accent2"/>
      </w:rPr>
    </w:lvl>
    <w:lvl w:ilvl="1" w:tplc="AA34FDF8">
      <w:start w:val="1"/>
      <w:numFmt w:val="bullet"/>
      <w:lvlText w:val="▬"/>
      <w:lvlJc w:val="left"/>
      <w:pPr>
        <w:ind w:left="1440" w:hanging="360"/>
      </w:pPr>
      <w:rPr>
        <w:rFonts w:ascii="Courier New" w:hAnsi="Courier New" w:cs="Times New Roman" w:hint="default"/>
        <w:b/>
        <w:i w:val="0"/>
        <w:color w:val="003B79" w:themeColor="text1"/>
        <w:sz w:val="20"/>
      </w:rPr>
    </w:lvl>
    <w:lvl w:ilvl="2" w:tplc="F4E498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B609D"/>
    <w:multiLevelType w:val="multilevel"/>
    <w:tmpl w:val="583E9A9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4A423F"/>
    <w:multiLevelType w:val="hybridMultilevel"/>
    <w:tmpl w:val="653079FC"/>
    <w:lvl w:ilvl="0" w:tplc="3EE4289A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D52B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>
    <w:nsid w:val="138634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3E1486F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>
    <w:nsid w:val="153C64A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5633B0C"/>
    <w:multiLevelType w:val="multilevel"/>
    <w:tmpl w:val="B4AC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>
    <w:nsid w:val="171A73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D86864"/>
    <w:multiLevelType w:val="hybridMultilevel"/>
    <w:tmpl w:val="13528936"/>
    <w:lvl w:ilvl="0" w:tplc="19485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81206"/>
    <w:multiLevelType w:val="hybridMultilevel"/>
    <w:tmpl w:val="2A5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5D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CA0C08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>
    <w:nsid w:val="28A20DF6"/>
    <w:multiLevelType w:val="hybridMultilevel"/>
    <w:tmpl w:val="3DF42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A1FB0"/>
    <w:multiLevelType w:val="hybridMultilevel"/>
    <w:tmpl w:val="9110BEAE"/>
    <w:lvl w:ilvl="0" w:tplc="2C8C4918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F7792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0CF19E2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90D43C1"/>
    <w:multiLevelType w:val="hybridMultilevel"/>
    <w:tmpl w:val="063A4A80"/>
    <w:lvl w:ilvl="0" w:tplc="5CEEA6F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E12F5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3">
    <w:nsid w:val="4AA022CA"/>
    <w:multiLevelType w:val="hybridMultilevel"/>
    <w:tmpl w:val="8C809E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4EE02C30"/>
    <w:multiLevelType w:val="hybridMultilevel"/>
    <w:tmpl w:val="983A8DE0"/>
    <w:lvl w:ilvl="0" w:tplc="AA34FDF8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21954"/>
    <w:multiLevelType w:val="hybridMultilevel"/>
    <w:tmpl w:val="C0F4F028"/>
    <w:lvl w:ilvl="0" w:tplc="F4E498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50CA1"/>
    <w:multiLevelType w:val="hybridMultilevel"/>
    <w:tmpl w:val="FBD2611C"/>
    <w:lvl w:ilvl="0" w:tplc="7908A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B79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221E6"/>
    <w:multiLevelType w:val="hybridMultilevel"/>
    <w:tmpl w:val="5EC295D0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B0FD6"/>
    <w:multiLevelType w:val="hybridMultilevel"/>
    <w:tmpl w:val="72C6B4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C1554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08358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1F717ED"/>
    <w:multiLevelType w:val="hybridMultilevel"/>
    <w:tmpl w:val="2D22DBF4"/>
    <w:lvl w:ilvl="0" w:tplc="53FAF12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EE7D11" w:themeColor="accent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66952005"/>
    <w:multiLevelType w:val="hybridMultilevel"/>
    <w:tmpl w:val="2A14B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761CC"/>
    <w:multiLevelType w:val="hybridMultilevel"/>
    <w:tmpl w:val="4470E2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A2985"/>
    <w:multiLevelType w:val="hybridMultilevel"/>
    <w:tmpl w:val="3C6ED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8004F"/>
    <w:multiLevelType w:val="hybridMultilevel"/>
    <w:tmpl w:val="71207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E5FD7"/>
    <w:multiLevelType w:val="hybridMultilevel"/>
    <w:tmpl w:val="952C3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490F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DDF18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3B79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82180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610E3F"/>
    <w:multiLevelType w:val="hybridMultilevel"/>
    <w:tmpl w:val="E5AA5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31"/>
  </w:num>
  <w:num w:numId="5">
    <w:abstractNumId w:val="30"/>
  </w:num>
  <w:num w:numId="6">
    <w:abstractNumId w:val="6"/>
  </w:num>
  <w:num w:numId="7">
    <w:abstractNumId w:val="18"/>
  </w:num>
  <w:num w:numId="8">
    <w:abstractNumId w:val="25"/>
  </w:num>
  <w:num w:numId="9">
    <w:abstractNumId w:val="24"/>
  </w:num>
  <w:num w:numId="10">
    <w:abstractNumId w:val="4"/>
  </w:num>
  <w:num w:numId="11">
    <w:abstractNumId w:val="11"/>
  </w:num>
  <w:num w:numId="12">
    <w:abstractNumId w:val="3"/>
  </w:num>
  <w:num w:numId="13">
    <w:abstractNumId w:val="33"/>
  </w:num>
  <w:num w:numId="14">
    <w:abstractNumId w:val="26"/>
  </w:num>
  <w:num w:numId="15">
    <w:abstractNumId w:val="21"/>
  </w:num>
  <w:num w:numId="16">
    <w:abstractNumId w:val="32"/>
  </w:num>
  <w:num w:numId="17">
    <w:abstractNumId w:val="29"/>
  </w:num>
  <w:num w:numId="18">
    <w:abstractNumId w:val="16"/>
  </w:num>
  <w:num w:numId="19">
    <w:abstractNumId w:val="1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.%2.%3.%1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0">
    <w:abstractNumId w:val="1"/>
  </w:num>
  <w:num w:numId="21">
    <w:abstractNumId w:val="27"/>
  </w:num>
  <w:num w:numId="22">
    <w:abstractNumId w:val="13"/>
  </w:num>
  <w:num w:numId="23">
    <w:abstractNumId w:val="9"/>
  </w:num>
  <w:num w:numId="24">
    <w:abstractNumId w:val="39"/>
  </w:num>
  <w:num w:numId="25">
    <w:abstractNumId w:val="5"/>
  </w:num>
  <w:num w:numId="26">
    <w:abstractNumId w:val="10"/>
  </w:num>
  <w:num w:numId="27">
    <w:abstractNumId w:val="37"/>
  </w:num>
  <w:num w:numId="28">
    <w:abstractNumId w:val="20"/>
  </w:num>
  <w:num w:numId="29">
    <w:abstractNumId w:val="38"/>
  </w:num>
  <w:num w:numId="30">
    <w:abstractNumId w:val="15"/>
  </w:num>
  <w:num w:numId="31">
    <w:abstractNumId w:val="7"/>
  </w:num>
  <w:num w:numId="32">
    <w:abstractNumId w:val="0"/>
  </w:num>
  <w:num w:numId="33">
    <w:abstractNumId w:val="19"/>
  </w:num>
  <w:num w:numId="34">
    <w:abstractNumId w:val="35"/>
  </w:num>
  <w:num w:numId="35">
    <w:abstractNumId w:val="36"/>
  </w:num>
  <w:num w:numId="36">
    <w:abstractNumId w:val="12"/>
  </w:num>
  <w:num w:numId="37">
    <w:abstractNumId w:val="40"/>
  </w:num>
  <w:num w:numId="38">
    <w:abstractNumId w:val="8"/>
  </w:num>
  <w:num w:numId="39">
    <w:abstractNumId w:val="22"/>
  </w:num>
  <w:num w:numId="40">
    <w:abstractNumId w:val="34"/>
  </w:num>
  <w:num w:numId="41">
    <w:abstractNumId w:val="28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stylePaneFormatFilter w:val="1021"/>
  <w:stylePaneSortMethod w:val="0000"/>
  <w:defaultTabStop w:val="720"/>
  <w:hyphenationZone w:val="283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392E"/>
    <w:rsid w:val="00001471"/>
    <w:rsid w:val="0000197C"/>
    <w:rsid w:val="00002806"/>
    <w:rsid w:val="00004014"/>
    <w:rsid w:val="0000484F"/>
    <w:rsid w:val="00010FB3"/>
    <w:rsid w:val="00012C87"/>
    <w:rsid w:val="0001382A"/>
    <w:rsid w:val="00015B75"/>
    <w:rsid w:val="00020245"/>
    <w:rsid w:val="00021F0E"/>
    <w:rsid w:val="00023A29"/>
    <w:rsid w:val="0002535B"/>
    <w:rsid w:val="00026167"/>
    <w:rsid w:val="00026200"/>
    <w:rsid w:val="00026B17"/>
    <w:rsid w:val="0002760F"/>
    <w:rsid w:val="00027D8F"/>
    <w:rsid w:val="00032AAA"/>
    <w:rsid w:val="00032DF0"/>
    <w:rsid w:val="00034765"/>
    <w:rsid w:val="00036643"/>
    <w:rsid w:val="00040F5F"/>
    <w:rsid w:val="00044B04"/>
    <w:rsid w:val="00044FDB"/>
    <w:rsid w:val="0004615F"/>
    <w:rsid w:val="000465B9"/>
    <w:rsid w:val="00046BE3"/>
    <w:rsid w:val="00051A77"/>
    <w:rsid w:val="00053DFC"/>
    <w:rsid w:val="0005431A"/>
    <w:rsid w:val="00056315"/>
    <w:rsid w:val="00057649"/>
    <w:rsid w:val="00063A7E"/>
    <w:rsid w:val="00064811"/>
    <w:rsid w:val="000651BD"/>
    <w:rsid w:val="0006563A"/>
    <w:rsid w:val="0007055E"/>
    <w:rsid w:val="000711E3"/>
    <w:rsid w:val="000725C5"/>
    <w:rsid w:val="000731DA"/>
    <w:rsid w:val="00073FD2"/>
    <w:rsid w:val="0007419E"/>
    <w:rsid w:val="00076251"/>
    <w:rsid w:val="00076D22"/>
    <w:rsid w:val="00082233"/>
    <w:rsid w:val="00082B3B"/>
    <w:rsid w:val="0008397D"/>
    <w:rsid w:val="00085F4B"/>
    <w:rsid w:val="00086E39"/>
    <w:rsid w:val="00087314"/>
    <w:rsid w:val="000877E3"/>
    <w:rsid w:val="00090233"/>
    <w:rsid w:val="00090D19"/>
    <w:rsid w:val="00090E35"/>
    <w:rsid w:val="000914DA"/>
    <w:rsid w:val="000958F4"/>
    <w:rsid w:val="00096E5F"/>
    <w:rsid w:val="000A22D0"/>
    <w:rsid w:val="000A4373"/>
    <w:rsid w:val="000A4668"/>
    <w:rsid w:val="000A46D2"/>
    <w:rsid w:val="000A4A33"/>
    <w:rsid w:val="000A692A"/>
    <w:rsid w:val="000B11F8"/>
    <w:rsid w:val="000B1462"/>
    <w:rsid w:val="000B15CE"/>
    <w:rsid w:val="000B18A5"/>
    <w:rsid w:val="000B2404"/>
    <w:rsid w:val="000B2D31"/>
    <w:rsid w:val="000B4997"/>
    <w:rsid w:val="000B6C5A"/>
    <w:rsid w:val="000C0CE1"/>
    <w:rsid w:val="000C1188"/>
    <w:rsid w:val="000C14CC"/>
    <w:rsid w:val="000C174E"/>
    <w:rsid w:val="000C257C"/>
    <w:rsid w:val="000C456A"/>
    <w:rsid w:val="000C614F"/>
    <w:rsid w:val="000C7C51"/>
    <w:rsid w:val="000D0B1B"/>
    <w:rsid w:val="000D1408"/>
    <w:rsid w:val="000D530A"/>
    <w:rsid w:val="000E132E"/>
    <w:rsid w:val="000E2DE9"/>
    <w:rsid w:val="000E4442"/>
    <w:rsid w:val="000E44F1"/>
    <w:rsid w:val="000E48C8"/>
    <w:rsid w:val="000E6C9A"/>
    <w:rsid w:val="000E7EB0"/>
    <w:rsid w:val="000F4F7B"/>
    <w:rsid w:val="000F7CDB"/>
    <w:rsid w:val="00102ACF"/>
    <w:rsid w:val="0010577A"/>
    <w:rsid w:val="001066F2"/>
    <w:rsid w:val="00117461"/>
    <w:rsid w:val="00120666"/>
    <w:rsid w:val="001218B7"/>
    <w:rsid w:val="00121FDF"/>
    <w:rsid w:val="00123314"/>
    <w:rsid w:val="001237F8"/>
    <w:rsid w:val="00124AF1"/>
    <w:rsid w:val="001257C4"/>
    <w:rsid w:val="00130750"/>
    <w:rsid w:val="00130B26"/>
    <w:rsid w:val="001327BB"/>
    <w:rsid w:val="00133393"/>
    <w:rsid w:val="00133588"/>
    <w:rsid w:val="0013575D"/>
    <w:rsid w:val="00137996"/>
    <w:rsid w:val="00137B74"/>
    <w:rsid w:val="00143314"/>
    <w:rsid w:val="001451C0"/>
    <w:rsid w:val="00146513"/>
    <w:rsid w:val="00146718"/>
    <w:rsid w:val="00147609"/>
    <w:rsid w:val="00150B4A"/>
    <w:rsid w:val="00153A7A"/>
    <w:rsid w:val="001570D8"/>
    <w:rsid w:val="00160603"/>
    <w:rsid w:val="0016147A"/>
    <w:rsid w:val="0016302E"/>
    <w:rsid w:val="00164C33"/>
    <w:rsid w:val="00167EA4"/>
    <w:rsid w:val="0017085D"/>
    <w:rsid w:val="001710D8"/>
    <w:rsid w:val="00171A16"/>
    <w:rsid w:val="00172D2A"/>
    <w:rsid w:val="00173E6D"/>
    <w:rsid w:val="001759E9"/>
    <w:rsid w:val="00177359"/>
    <w:rsid w:val="0017759F"/>
    <w:rsid w:val="001824C6"/>
    <w:rsid w:val="00184641"/>
    <w:rsid w:val="00184E81"/>
    <w:rsid w:val="00187BDC"/>
    <w:rsid w:val="00191543"/>
    <w:rsid w:val="00193453"/>
    <w:rsid w:val="00196901"/>
    <w:rsid w:val="00196F4B"/>
    <w:rsid w:val="001A20B2"/>
    <w:rsid w:val="001A250A"/>
    <w:rsid w:val="001A25BE"/>
    <w:rsid w:val="001A2E55"/>
    <w:rsid w:val="001A3931"/>
    <w:rsid w:val="001A6492"/>
    <w:rsid w:val="001A79C2"/>
    <w:rsid w:val="001A7C10"/>
    <w:rsid w:val="001B239A"/>
    <w:rsid w:val="001B267F"/>
    <w:rsid w:val="001B752E"/>
    <w:rsid w:val="001C0C03"/>
    <w:rsid w:val="001C0F94"/>
    <w:rsid w:val="001C5D53"/>
    <w:rsid w:val="001C7DCC"/>
    <w:rsid w:val="001D5789"/>
    <w:rsid w:val="001D79EE"/>
    <w:rsid w:val="001D7BD4"/>
    <w:rsid w:val="001D7E40"/>
    <w:rsid w:val="001E02B4"/>
    <w:rsid w:val="001E421D"/>
    <w:rsid w:val="001E77D8"/>
    <w:rsid w:val="001E7C00"/>
    <w:rsid w:val="001F01C2"/>
    <w:rsid w:val="001F10CA"/>
    <w:rsid w:val="001F13C5"/>
    <w:rsid w:val="001F1FAF"/>
    <w:rsid w:val="002004E1"/>
    <w:rsid w:val="00202B6A"/>
    <w:rsid w:val="002032A8"/>
    <w:rsid w:val="00205356"/>
    <w:rsid w:val="00205AEB"/>
    <w:rsid w:val="00206395"/>
    <w:rsid w:val="0021309B"/>
    <w:rsid w:val="002144A5"/>
    <w:rsid w:val="002144C0"/>
    <w:rsid w:val="002211D8"/>
    <w:rsid w:val="00224156"/>
    <w:rsid w:val="002243BF"/>
    <w:rsid w:val="00225C00"/>
    <w:rsid w:val="00227592"/>
    <w:rsid w:val="0022792E"/>
    <w:rsid w:val="00230216"/>
    <w:rsid w:val="002319AC"/>
    <w:rsid w:val="00231A0A"/>
    <w:rsid w:val="0023251A"/>
    <w:rsid w:val="002326C3"/>
    <w:rsid w:val="00232D5A"/>
    <w:rsid w:val="00241146"/>
    <w:rsid w:val="00241C7D"/>
    <w:rsid w:val="0024278C"/>
    <w:rsid w:val="0024341C"/>
    <w:rsid w:val="0024491C"/>
    <w:rsid w:val="00246197"/>
    <w:rsid w:val="00246C22"/>
    <w:rsid w:val="00250578"/>
    <w:rsid w:val="00251451"/>
    <w:rsid w:val="00254F5E"/>
    <w:rsid w:val="00255FCE"/>
    <w:rsid w:val="0025664F"/>
    <w:rsid w:val="002570E0"/>
    <w:rsid w:val="00260A2E"/>
    <w:rsid w:val="00260AFF"/>
    <w:rsid w:val="00261A9A"/>
    <w:rsid w:val="00262227"/>
    <w:rsid w:val="00264489"/>
    <w:rsid w:val="002665E8"/>
    <w:rsid w:val="002711F9"/>
    <w:rsid w:val="0027175E"/>
    <w:rsid w:val="00271E0F"/>
    <w:rsid w:val="002736A6"/>
    <w:rsid w:val="002741F5"/>
    <w:rsid w:val="0027454D"/>
    <w:rsid w:val="00284DB7"/>
    <w:rsid w:val="0028547C"/>
    <w:rsid w:val="00286BB0"/>
    <w:rsid w:val="002912CE"/>
    <w:rsid w:val="00295A24"/>
    <w:rsid w:val="002968E5"/>
    <w:rsid w:val="00297C37"/>
    <w:rsid w:val="002A09F3"/>
    <w:rsid w:val="002A46D0"/>
    <w:rsid w:val="002A4D9E"/>
    <w:rsid w:val="002A4F11"/>
    <w:rsid w:val="002A5D09"/>
    <w:rsid w:val="002B1825"/>
    <w:rsid w:val="002B389C"/>
    <w:rsid w:val="002C019D"/>
    <w:rsid w:val="002C01E3"/>
    <w:rsid w:val="002C1598"/>
    <w:rsid w:val="002C26D0"/>
    <w:rsid w:val="002C2C13"/>
    <w:rsid w:val="002C4065"/>
    <w:rsid w:val="002C53BF"/>
    <w:rsid w:val="002C587D"/>
    <w:rsid w:val="002C6DFB"/>
    <w:rsid w:val="002C7091"/>
    <w:rsid w:val="002D7D55"/>
    <w:rsid w:val="002E39CB"/>
    <w:rsid w:val="002E56B7"/>
    <w:rsid w:val="002F3897"/>
    <w:rsid w:val="002F3898"/>
    <w:rsid w:val="002F4473"/>
    <w:rsid w:val="002F71E7"/>
    <w:rsid w:val="002F787A"/>
    <w:rsid w:val="0030136B"/>
    <w:rsid w:val="00302E62"/>
    <w:rsid w:val="003052F7"/>
    <w:rsid w:val="003053C1"/>
    <w:rsid w:val="003128C0"/>
    <w:rsid w:val="003131E6"/>
    <w:rsid w:val="00320788"/>
    <w:rsid w:val="003211FF"/>
    <w:rsid w:val="00321914"/>
    <w:rsid w:val="003227A1"/>
    <w:rsid w:val="0032387A"/>
    <w:rsid w:val="00323DAF"/>
    <w:rsid w:val="00324F39"/>
    <w:rsid w:val="003257B5"/>
    <w:rsid w:val="00325DFA"/>
    <w:rsid w:val="003262A7"/>
    <w:rsid w:val="003313CD"/>
    <w:rsid w:val="0033266F"/>
    <w:rsid w:val="003329C5"/>
    <w:rsid w:val="00332D61"/>
    <w:rsid w:val="00333BD6"/>
    <w:rsid w:val="00333DCA"/>
    <w:rsid w:val="00334131"/>
    <w:rsid w:val="00335347"/>
    <w:rsid w:val="00335475"/>
    <w:rsid w:val="00335B09"/>
    <w:rsid w:val="003419D7"/>
    <w:rsid w:val="00341A45"/>
    <w:rsid w:val="00342EE4"/>
    <w:rsid w:val="0034439B"/>
    <w:rsid w:val="003470CE"/>
    <w:rsid w:val="00347B1F"/>
    <w:rsid w:val="00347B8E"/>
    <w:rsid w:val="00347FC4"/>
    <w:rsid w:val="00350A17"/>
    <w:rsid w:val="00352872"/>
    <w:rsid w:val="00352D55"/>
    <w:rsid w:val="00356621"/>
    <w:rsid w:val="00356D7D"/>
    <w:rsid w:val="00364899"/>
    <w:rsid w:val="00365064"/>
    <w:rsid w:val="003674BA"/>
    <w:rsid w:val="00371356"/>
    <w:rsid w:val="0037185C"/>
    <w:rsid w:val="00371A99"/>
    <w:rsid w:val="003739D9"/>
    <w:rsid w:val="00375B95"/>
    <w:rsid w:val="00376CEF"/>
    <w:rsid w:val="00376D7D"/>
    <w:rsid w:val="003773BD"/>
    <w:rsid w:val="003778AC"/>
    <w:rsid w:val="003779B8"/>
    <w:rsid w:val="003832C9"/>
    <w:rsid w:val="0038508E"/>
    <w:rsid w:val="00385697"/>
    <w:rsid w:val="00387C33"/>
    <w:rsid w:val="00390456"/>
    <w:rsid w:val="00390AD3"/>
    <w:rsid w:val="00390FC6"/>
    <w:rsid w:val="00391C91"/>
    <w:rsid w:val="00392477"/>
    <w:rsid w:val="003935B5"/>
    <w:rsid w:val="00393BC2"/>
    <w:rsid w:val="003963D6"/>
    <w:rsid w:val="00396482"/>
    <w:rsid w:val="003A2711"/>
    <w:rsid w:val="003A4B46"/>
    <w:rsid w:val="003A51F4"/>
    <w:rsid w:val="003A57CE"/>
    <w:rsid w:val="003A60E9"/>
    <w:rsid w:val="003A7A98"/>
    <w:rsid w:val="003A7B05"/>
    <w:rsid w:val="003B2C26"/>
    <w:rsid w:val="003B3292"/>
    <w:rsid w:val="003B365C"/>
    <w:rsid w:val="003C0991"/>
    <w:rsid w:val="003C0BBD"/>
    <w:rsid w:val="003C52FF"/>
    <w:rsid w:val="003C5605"/>
    <w:rsid w:val="003C7710"/>
    <w:rsid w:val="003C7BE0"/>
    <w:rsid w:val="003D191A"/>
    <w:rsid w:val="003D1AC9"/>
    <w:rsid w:val="003D34CE"/>
    <w:rsid w:val="003D37C7"/>
    <w:rsid w:val="003D3840"/>
    <w:rsid w:val="003D4D0D"/>
    <w:rsid w:val="003E1D9F"/>
    <w:rsid w:val="003E227F"/>
    <w:rsid w:val="003E3375"/>
    <w:rsid w:val="003E367D"/>
    <w:rsid w:val="003E570B"/>
    <w:rsid w:val="003F1F85"/>
    <w:rsid w:val="003F2542"/>
    <w:rsid w:val="003F3AD4"/>
    <w:rsid w:val="003F454E"/>
    <w:rsid w:val="003F4880"/>
    <w:rsid w:val="003F4C4B"/>
    <w:rsid w:val="00402EA3"/>
    <w:rsid w:val="00410738"/>
    <w:rsid w:val="00412128"/>
    <w:rsid w:val="00422580"/>
    <w:rsid w:val="004238F0"/>
    <w:rsid w:val="00425069"/>
    <w:rsid w:val="00427196"/>
    <w:rsid w:val="004278CE"/>
    <w:rsid w:val="00433F49"/>
    <w:rsid w:val="00436CEA"/>
    <w:rsid w:val="0043705C"/>
    <w:rsid w:val="004444AA"/>
    <w:rsid w:val="00446596"/>
    <w:rsid w:val="0045015E"/>
    <w:rsid w:val="00450A7F"/>
    <w:rsid w:val="00451D4F"/>
    <w:rsid w:val="00452D91"/>
    <w:rsid w:val="00453722"/>
    <w:rsid w:val="0046393F"/>
    <w:rsid w:val="00465680"/>
    <w:rsid w:val="00466D82"/>
    <w:rsid w:val="00472540"/>
    <w:rsid w:val="0047375B"/>
    <w:rsid w:val="00475244"/>
    <w:rsid w:val="0047635F"/>
    <w:rsid w:val="004765EC"/>
    <w:rsid w:val="00476699"/>
    <w:rsid w:val="004766EF"/>
    <w:rsid w:val="004774CE"/>
    <w:rsid w:val="00477C0E"/>
    <w:rsid w:val="0048024F"/>
    <w:rsid w:val="00480A1E"/>
    <w:rsid w:val="00480E53"/>
    <w:rsid w:val="004831DA"/>
    <w:rsid w:val="00483C1A"/>
    <w:rsid w:val="00484026"/>
    <w:rsid w:val="004852E6"/>
    <w:rsid w:val="00485860"/>
    <w:rsid w:val="004859E9"/>
    <w:rsid w:val="004872FB"/>
    <w:rsid w:val="00487B5E"/>
    <w:rsid w:val="004908E6"/>
    <w:rsid w:val="00490E1A"/>
    <w:rsid w:val="0049244A"/>
    <w:rsid w:val="00493F3B"/>
    <w:rsid w:val="004957FC"/>
    <w:rsid w:val="00495838"/>
    <w:rsid w:val="00496A1E"/>
    <w:rsid w:val="004A3064"/>
    <w:rsid w:val="004A3B8A"/>
    <w:rsid w:val="004A4D3F"/>
    <w:rsid w:val="004A4F76"/>
    <w:rsid w:val="004A58DB"/>
    <w:rsid w:val="004A70F2"/>
    <w:rsid w:val="004B154E"/>
    <w:rsid w:val="004B5377"/>
    <w:rsid w:val="004B59C2"/>
    <w:rsid w:val="004B5A9B"/>
    <w:rsid w:val="004B5D72"/>
    <w:rsid w:val="004B6751"/>
    <w:rsid w:val="004B7533"/>
    <w:rsid w:val="004C0F7E"/>
    <w:rsid w:val="004C1465"/>
    <w:rsid w:val="004C1495"/>
    <w:rsid w:val="004C1C04"/>
    <w:rsid w:val="004C38F1"/>
    <w:rsid w:val="004C5C05"/>
    <w:rsid w:val="004D16C3"/>
    <w:rsid w:val="004D3EA2"/>
    <w:rsid w:val="004D4355"/>
    <w:rsid w:val="004D52F7"/>
    <w:rsid w:val="004D5F6A"/>
    <w:rsid w:val="004D6331"/>
    <w:rsid w:val="004D7A2E"/>
    <w:rsid w:val="004D7C1F"/>
    <w:rsid w:val="004E0121"/>
    <w:rsid w:val="004E39BE"/>
    <w:rsid w:val="004E3A0F"/>
    <w:rsid w:val="004E5E93"/>
    <w:rsid w:val="004E7669"/>
    <w:rsid w:val="004F1684"/>
    <w:rsid w:val="004F2826"/>
    <w:rsid w:val="004F29F8"/>
    <w:rsid w:val="004F2A01"/>
    <w:rsid w:val="004F43AB"/>
    <w:rsid w:val="004F4C9A"/>
    <w:rsid w:val="004F5381"/>
    <w:rsid w:val="004F66E1"/>
    <w:rsid w:val="004F6713"/>
    <w:rsid w:val="004F769C"/>
    <w:rsid w:val="004F7719"/>
    <w:rsid w:val="00501782"/>
    <w:rsid w:val="00503E93"/>
    <w:rsid w:val="005107CA"/>
    <w:rsid w:val="00513B00"/>
    <w:rsid w:val="00514032"/>
    <w:rsid w:val="005146FD"/>
    <w:rsid w:val="00515351"/>
    <w:rsid w:val="00515627"/>
    <w:rsid w:val="00516BB7"/>
    <w:rsid w:val="00516CD3"/>
    <w:rsid w:val="00516FD0"/>
    <w:rsid w:val="005205BA"/>
    <w:rsid w:val="00521C06"/>
    <w:rsid w:val="00522FB8"/>
    <w:rsid w:val="00523D23"/>
    <w:rsid w:val="00524569"/>
    <w:rsid w:val="00524B05"/>
    <w:rsid w:val="00526369"/>
    <w:rsid w:val="005323CD"/>
    <w:rsid w:val="005343B3"/>
    <w:rsid w:val="0053442C"/>
    <w:rsid w:val="00534915"/>
    <w:rsid w:val="0053511B"/>
    <w:rsid w:val="00541524"/>
    <w:rsid w:val="00541FDF"/>
    <w:rsid w:val="0054247C"/>
    <w:rsid w:val="005426F5"/>
    <w:rsid w:val="00542F21"/>
    <w:rsid w:val="005462DE"/>
    <w:rsid w:val="00547A17"/>
    <w:rsid w:val="00550095"/>
    <w:rsid w:val="00550A8B"/>
    <w:rsid w:val="00551FD8"/>
    <w:rsid w:val="005529DB"/>
    <w:rsid w:val="005556F5"/>
    <w:rsid w:val="0055786B"/>
    <w:rsid w:val="005635CC"/>
    <w:rsid w:val="005655BD"/>
    <w:rsid w:val="00567693"/>
    <w:rsid w:val="00567C6B"/>
    <w:rsid w:val="0057025D"/>
    <w:rsid w:val="005707AD"/>
    <w:rsid w:val="00571E22"/>
    <w:rsid w:val="00573D5D"/>
    <w:rsid w:val="00575E7A"/>
    <w:rsid w:val="005811D8"/>
    <w:rsid w:val="00581616"/>
    <w:rsid w:val="00582CCD"/>
    <w:rsid w:val="0058472A"/>
    <w:rsid w:val="005849DB"/>
    <w:rsid w:val="00585FD3"/>
    <w:rsid w:val="00587C54"/>
    <w:rsid w:val="00594053"/>
    <w:rsid w:val="00595F9A"/>
    <w:rsid w:val="005969D1"/>
    <w:rsid w:val="005A038B"/>
    <w:rsid w:val="005A2360"/>
    <w:rsid w:val="005B2831"/>
    <w:rsid w:val="005B408E"/>
    <w:rsid w:val="005C05F2"/>
    <w:rsid w:val="005C301B"/>
    <w:rsid w:val="005C3C80"/>
    <w:rsid w:val="005C4F93"/>
    <w:rsid w:val="005C508F"/>
    <w:rsid w:val="005C6034"/>
    <w:rsid w:val="005C6CBD"/>
    <w:rsid w:val="005C70BC"/>
    <w:rsid w:val="005D1CAD"/>
    <w:rsid w:val="005D20AC"/>
    <w:rsid w:val="005D368E"/>
    <w:rsid w:val="005D5124"/>
    <w:rsid w:val="005D703A"/>
    <w:rsid w:val="005D75F1"/>
    <w:rsid w:val="005E1779"/>
    <w:rsid w:val="005E1D4F"/>
    <w:rsid w:val="005E36CF"/>
    <w:rsid w:val="005E4145"/>
    <w:rsid w:val="005E5E40"/>
    <w:rsid w:val="005E71ED"/>
    <w:rsid w:val="005E7F68"/>
    <w:rsid w:val="005F3B77"/>
    <w:rsid w:val="005F3D0B"/>
    <w:rsid w:val="005F3D3E"/>
    <w:rsid w:val="005F5621"/>
    <w:rsid w:val="005F5791"/>
    <w:rsid w:val="005F6252"/>
    <w:rsid w:val="005F7C22"/>
    <w:rsid w:val="00600293"/>
    <w:rsid w:val="00601238"/>
    <w:rsid w:val="00602296"/>
    <w:rsid w:val="00602F06"/>
    <w:rsid w:val="00604BB5"/>
    <w:rsid w:val="006077E2"/>
    <w:rsid w:val="00611107"/>
    <w:rsid w:val="0061142B"/>
    <w:rsid w:val="006128DE"/>
    <w:rsid w:val="00613054"/>
    <w:rsid w:val="00613F82"/>
    <w:rsid w:val="006142C3"/>
    <w:rsid w:val="00614BBC"/>
    <w:rsid w:val="0061723C"/>
    <w:rsid w:val="006217D5"/>
    <w:rsid w:val="0062579D"/>
    <w:rsid w:val="00625A36"/>
    <w:rsid w:val="00627F18"/>
    <w:rsid w:val="0063082B"/>
    <w:rsid w:val="006318ED"/>
    <w:rsid w:val="006357F9"/>
    <w:rsid w:val="00641BA8"/>
    <w:rsid w:val="0064210D"/>
    <w:rsid w:val="00642A81"/>
    <w:rsid w:val="00642BB3"/>
    <w:rsid w:val="00647EED"/>
    <w:rsid w:val="0065307A"/>
    <w:rsid w:val="006532D6"/>
    <w:rsid w:val="00657420"/>
    <w:rsid w:val="00661790"/>
    <w:rsid w:val="006641C2"/>
    <w:rsid w:val="0066589B"/>
    <w:rsid w:val="00666C72"/>
    <w:rsid w:val="00667720"/>
    <w:rsid w:val="00670977"/>
    <w:rsid w:val="006721B3"/>
    <w:rsid w:val="006723F2"/>
    <w:rsid w:val="00672C67"/>
    <w:rsid w:val="00673B8A"/>
    <w:rsid w:val="00677CED"/>
    <w:rsid w:val="006831C4"/>
    <w:rsid w:val="006838E5"/>
    <w:rsid w:val="00693821"/>
    <w:rsid w:val="0069601D"/>
    <w:rsid w:val="00696A17"/>
    <w:rsid w:val="006A036F"/>
    <w:rsid w:val="006A2283"/>
    <w:rsid w:val="006A25FE"/>
    <w:rsid w:val="006A32F0"/>
    <w:rsid w:val="006A4112"/>
    <w:rsid w:val="006A5925"/>
    <w:rsid w:val="006A640F"/>
    <w:rsid w:val="006A6480"/>
    <w:rsid w:val="006B1FCB"/>
    <w:rsid w:val="006B2373"/>
    <w:rsid w:val="006B47F3"/>
    <w:rsid w:val="006B71BF"/>
    <w:rsid w:val="006C0D3A"/>
    <w:rsid w:val="006C4EF6"/>
    <w:rsid w:val="006C62D4"/>
    <w:rsid w:val="006D1A8D"/>
    <w:rsid w:val="006D2764"/>
    <w:rsid w:val="006D5213"/>
    <w:rsid w:val="006D6BB3"/>
    <w:rsid w:val="006D72AF"/>
    <w:rsid w:val="006D775F"/>
    <w:rsid w:val="006E289F"/>
    <w:rsid w:val="006E4C86"/>
    <w:rsid w:val="006E5A55"/>
    <w:rsid w:val="006F4E42"/>
    <w:rsid w:val="006F5856"/>
    <w:rsid w:val="006F68B8"/>
    <w:rsid w:val="006F6BC9"/>
    <w:rsid w:val="006F7679"/>
    <w:rsid w:val="006F7EC1"/>
    <w:rsid w:val="006F7FEE"/>
    <w:rsid w:val="007005E9"/>
    <w:rsid w:val="00701E36"/>
    <w:rsid w:val="00702042"/>
    <w:rsid w:val="00702D3D"/>
    <w:rsid w:val="00703411"/>
    <w:rsid w:val="00707E24"/>
    <w:rsid w:val="00712358"/>
    <w:rsid w:val="00712DD4"/>
    <w:rsid w:val="00713A3C"/>
    <w:rsid w:val="00715919"/>
    <w:rsid w:val="0072026D"/>
    <w:rsid w:val="00720922"/>
    <w:rsid w:val="00723732"/>
    <w:rsid w:val="00726AA3"/>
    <w:rsid w:val="007270FB"/>
    <w:rsid w:val="00727A95"/>
    <w:rsid w:val="0073072A"/>
    <w:rsid w:val="00731166"/>
    <w:rsid w:val="00731E32"/>
    <w:rsid w:val="00732111"/>
    <w:rsid w:val="007330CB"/>
    <w:rsid w:val="007333E1"/>
    <w:rsid w:val="00737122"/>
    <w:rsid w:val="007417CA"/>
    <w:rsid w:val="00746FDC"/>
    <w:rsid w:val="0075042F"/>
    <w:rsid w:val="00751238"/>
    <w:rsid w:val="00765E1C"/>
    <w:rsid w:val="00772560"/>
    <w:rsid w:val="00772962"/>
    <w:rsid w:val="00774AD3"/>
    <w:rsid w:val="0077714E"/>
    <w:rsid w:val="00780164"/>
    <w:rsid w:val="007811A5"/>
    <w:rsid w:val="00781B0C"/>
    <w:rsid w:val="00787AD5"/>
    <w:rsid w:val="00790472"/>
    <w:rsid w:val="007910BD"/>
    <w:rsid w:val="0079345F"/>
    <w:rsid w:val="007957E5"/>
    <w:rsid w:val="007A2D56"/>
    <w:rsid w:val="007A5322"/>
    <w:rsid w:val="007B06F3"/>
    <w:rsid w:val="007B0770"/>
    <w:rsid w:val="007B2140"/>
    <w:rsid w:val="007B29CB"/>
    <w:rsid w:val="007B2E0C"/>
    <w:rsid w:val="007B316A"/>
    <w:rsid w:val="007B32CC"/>
    <w:rsid w:val="007B5C10"/>
    <w:rsid w:val="007B5F6E"/>
    <w:rsid w:val="007B7C97"/>
    <w:rsid w:val="007C07D0"/>
    <w:rsid w:val="007C2E36"/>
    <w:rsid w:val="007C55A6"/>
    <w:rsid w:val="007C7F87"/>
    <w:rsid w:val="007D19A4"/>
    <w:rsid w:val="007D218B"/>
    <w:rsid w:val="007D38D1"/>
    <w:rsid w:val="007D40EC"/>
    <w:rsid w:val="007D464B"/>
    <w:rsid w:val="007D4A1D"/>
    <w:rsid w:val="007D591A"/>
    <w:rsid w:val="007E32DC"/>
    <w:rsid w:val="007E3390"/>
    <w:rsid w:val="007E386D"/>
    <w:rsid w:val="007E3895"/>
    <w:rsid w:val="007E3E75"/>
    <w:rsid w:val="007E4ED2"/>
    <w:rsid w:val="007E4FC8"/>
    <w:rsid w:val="007E6A63"/>
    <w:rsid w:val="007F0D26"/>
    <w:rsid w:val="007F1A56"/>
    <w:rsid w:val="007F1CAC"/>
    <w:rsid w:val="007F50A6"/>
    <w:rsid w:val="007F516E"/>
    <w:rsid w:val="007F78CC"/>
    <w:rsid w:val="007F7D71"/>
    <w:rsid w:val="007F7EEF"/>
    <w:rsid w:val="00801AAE"/>
    <w:rsid w:val="00801B2B"/>
    <w:rsid w:val="00804426"/>
    <w:rsid w:val="008053ED"/>
    <w:rsid w:val="008058B8"/>
    <w:rsid w:val="00806FAA"/>
    <w:rsid w:val="008105F1"/>
    <w:rsid w:val="00810D96"/>
    <w:rsid w:val="00811ABF"/>
    <w:rsid w:val="008139E6"/>
    <w:rsid w:val="00817E17"/>
    <w:rsid w:val="0082053D"/>
    <w:rsid w:val="00821686"/>
    <w:rsid w:val="00822FE3"/>
    <w:rsid w:val="0082354B"/>
    <w:rsid w:val="00823E4D"/>
    <w:rsid w:val="00824157"/>
    <w:rsid w:val="0082457F"/>
    <w:rsid w:val="00825938"/>
    <w:rsid w:val="008301A7"/>
    <w:rsid w:val="00835E5C"/>
    <w:rsid w:val="00844F4E"/>
    <w:rsid w:val="00845CDE"/>
    <w:rsid w:val="008462ED"/>
    <w:rsid w:val="008507EB"/>
    <w:rsid w:val="00852C0C"/>
    <w:rsid w:val="0085368C"/>
    <w:rsid w:val="008558F7"/>
    <w:rsid w:val="00855F84"/>
    <w:rsid w:val="00861DC3"/>
    <w:rsid w:val="00864A3E"/>
    <w:rsid w:val="00865DC9"/>
    <w:rsid w:val="00870C5C"/>
    <w:rsid w:val="008721D5"/>
    <w:rsid w:val="008726C9"/>
    <w:rsid w:val="00873485"/>
    <w:rsid w:val="00873F45"/>
    <w:rsid w:val="00875D52"/>
    <w:rsid w:val="00876715"/>
    <w:rsid w:val="00885CEE"/>
    <w:rsid w:val="008912A9"/>
    <w:rsid w:val="0089207D"/>
    <w:rsid w:val="00895C94"/>
    <w:rsid w:val="00895D0E"/>
    <w:rsid w:val="00895FE6"/>
    <w:rsid w:val="00896288"/>
    <w:rsid w:val="00897774"/>
    <w:rsid w:val="00897956"/>
    <w:rsid w:val="008A1866"/>
    <w:rsid w:val="008A401A"/>
    <w:rsid w:val="008A44B2"/>
    <w:rsid w:val="008A61FE"/>
    <w:rsid w:val="008B1841"/>
    <w:rsid w:val="008B2954"/>
    <w:rsid w:val="008B2F3D"/>
    <w:rsid w:val="008B4E4B"/>
    <w:rsid w:val="008B4E66"/>
    <w:rsid w:val="008B57F6"/>
    <w:rsid w:val="008B6334"/>
    <w:rsid w:val="008B69C2"/>
    <w:rsid w:val="008B7159"/>
    <w:rsid w:val="008C0947"/>
    <w:rsid w:val="008C14C9"/>
    <w:rsid w:val="008C75E6"/>
    <w:rsid w:val="008C7DAF"/>
    <w:rsid w:val="008C7ED3"/>
    <w:rsid w:val="008D0D91"/>
    <w:rsid w:val="008D3FCE"/>
    <w:rsid w:val="008D6530"/>
    <w:rsid w:val="008D7678"/>
    <w:rsid w:val="008E0A10"/>
    <w:rsid w:val="008E0CD7"/>
    <w:rsid w:val="008E0F22"/>
    <w:rsid w:val="008E2ABE"/>
    <w:rsid w:val="008E482D"/>
    <w:rsid w:val="008E4A5D"/>
    <w:rsid w:val="008E4CA6"/>
    <w:rsid w:val="008E5965"/>
    <w:rsid w:val="008E63B9"/>
    <w:rsid w:val="008E69B0"/>
    <w:rsid w:val="008F2FD1"/>
    <w:rsid w:val="008F504E"/>
    <w:rsid w:val="008F67AA"/>
    <w:rsid w:val="009005B2"/>
    <w:rsid w:val="009017DA"/>
    <w:rsid w:val="00902503"/>
    <w:rsid w:val="00902889"/>
    <w:rsid w:val="0090305C"/>
    <w:rsid w:val="00904292"/>
    <w:rsid w:val="00906D2C"/>
    <w:rsid w:val="00912C76"/>
    <w:rsid w:val="009130B4"/>
    <w:rsid w:val="00915A71"/>
    <w:rsid w:val="0091741A"/>
    <w:rsid w:val="00917CE7"/>
    <w:rsid w:val="00921361"/>
    <w:rsid w:val="00924303"/>
    <w:rsid w:val="00926927"/>
    <w:rsid w:val="009271F5"/>
    <w:rsid w:val="009328AE"/>
    <w:rsid w:val="00935E1F"/>
    <w:rsid w:val="00940E60"/>
    <w:rsid w:val="00941A29"/>
    <w:rsid w:val="00944C0D"/>
    <w:rsid w:val="00944C3D"/>
    <w:rsid w:val="00947C16"/>
    <w:rsid w:val="00947C7C"/>
    <w:rsid w:val="00952D0F"/>
    <w:rsid w:val="00955CA4"/>
    <w:rsid w:val="0095638A"/>
    <w:rsid w:val="009563B9"/>
    <w:rsid w:val="00957251"/>
    <w:rsid w:val="00957289"/>
    <w:rsid w:val="009575C6"/>
    <w:rsid w:val="00964E03"/>
    <w:rsid w:val="009662B1"/>
    <w:rsid w:val="009704AA"/>
    <w:rsid w:val="00972C01"/>
    <w:rsid w:val="0097362F"/>
    <w:rsid w:val="00975635"/>
    <w:rsid w:val="00975B99"/>
    <w:rsid w:val="00977D41"/>
    <w:rsid w:val="00980151"/>
    <w:rsid w:val="00980A76"/>
    <w:rsid w:val="00980B00"/>
    <w:rsid w:val="009816C5"/>
    <w:rsid w:val="0098178D"/>
    <w:rsid w:val="00984DA8"/>
    <w:rsid w:val="0098707A"/>
    <w:rsid w:val="009872B6"/>
    <w:rsid w:val="00990C1B"/>
    <w:rsid w:val="0099340C"/>
    <w:rsid w:val="00996579"/>
    <w:rsid w:val="00996C18"/>
    <w:rsid w:val="009A57F9"/>
    <w:rsid w:val="009A6006"/>
    <w:rsid w:val="009A668F"/>
    <w:rsid w:val="009A6842"/>
    <w:rsid w:val="009A7555"/>
    <w:rsid w:val="009B0C9A"/>
    <w:rsid w:val="009B1DE3"/>
    <w:rsid w:val="009B29BC"/>
    <w:rsid w:val="009B506B"/>
    <w:rsid w:val="009B55FD"/>
    <w:rsid w:val="009B5B79"/>
    <w:rsid w:val="009B5EE7"/>
    <w:rsid w:val="009B6121"/>
    <w:rsid w:val="009B7BAB"/>
    <w:rsid w:val="009B7ED9"/>
    <w:rsid w:val="009C4C83"/>
    <w:rsid w:val="009C5BF9"/>
    <w:rsid w:val="009C643C"/>
    <w:rsid w:val="009C6F7E"/>
    <w:rsid w:val="009C7420"/>
    <w:rsid w:val="009C7951"/>
    <w:rsid w:val="009D032B"/>
    <w:rsid w:val="009D0FFA"/>
    <w:rsid w:val="009D3C96"/>
    <w:rsid w:val="009E0EBE"/>
    <w:rsid w:val="009E1CE2"/>
    <w:rsid w:val="009E2AB9"/>
    <w:rsid w:val="009E57B8"/>
    <w:rsid w:val="009E6A9C"/>
    <w:rsid w:val="009F03AA"/>
    <w:rsid w:val="009F06C8"/>
    <w:rsid w:val="009F2978"/>
    <w:rsid w:val="009F59A9"/>
    <w:rsid w:val="009F7794"/>
    <w:rsid w:val="00A004C6"/>
    <w:rsid w:val="00A009CF"/>
    <w:rsid w:val="00A0193C"/>
    <w:rsid w:val="00A10478"/>
    <w:rsid w:val="00A119AB"/>
    <w:rsid w:val="00A13CE3"/>
    <w:rsid w:val="00A2150D"/>
    <w:rsid w:val="00A22EF5"/>
    <w:rsid w:val="00A25085"/>
    <w:rsid w:val="00A31E3E"/>
    <w:rsid w:val="00A33897"/>
    <w:rsid w:val="00A349B1"/>
    <w:rsid w:val="00A35F5E"/>
    <w:rsid w:val="00A403A5"/>
    <w:rsid w:val="00A4069D"/>
    <w:rsid w:val="00A412BB"/>
    <w:rsid w:val="00A42E90"/>
    <w:rsid w:val="00A431A1"/>
    <w:rsid w:val="00A43D2D"/>
    <w:rsid w:val="00A522B2"/>
    <w:rsid w:val="00A52769"/>
    <w:rsid w:val="00A53453"/>
    <w:rsid w:val="00A56AEE"/>
    <w:rsid w:val="00A57D12"/>
    <w:rsid w:val="00A6063A"/>
    <w:rsid w:val="00A60D9F"/>
    <w:rsid w:val="00A64107"/>
    <w:rsid w:val="00A66108"/>
    <w:rsid w:val="00A7050F"/>
    <w:rsid w:val="00A724B6"/>
    <w:rsid w:val="00A73540"/>
    <w:rsid w:val="00A74549"/>
    <w:rsid w:val="00A7651C"/>
    <w:rsid w:val="00A776E0"/>
    <w:rsid w:val="00A77855"/>
    <w:rsid w:val="00A778BE"/>
    <w:rsid w:val="00A77E50"/>
    <w:rsid w:val="00A807AB"/>
    <w:rsid w:val="00A865CD"/>
    <w:rsid w:val="00A86D46"/>
    <w:rsid w:val="00A943BB"/>
    <w:rsid w:val="00A94AB4"/>
    <w:rsid w:val="00A95870"/>
    <w:rsid w:val="00A95FB7"/>
    <w:rsid w:val="00A967DF"/>
    <w:rsid w:val="00A96C8E"/>
    <w:rsid w:val="00A96CF3"/>
    <w:rsid w:val="00AA0155"/>
    <w:rsid w:val="00AA18E9"/>
    <w:rsid w:val="00AA3DA5"/>
    <w:rsid w:val="00AA6709"/>
    <w:rsid w:val="00AA6AE8"/>
    <w:rsid w:val="00AA7BD3"/>
    <w:rsid w:val="00AB244F"/>
    <w:rsid w:val="00AB2567"/>
    <w:rsid w:val="00AB285E"/>
    <w:rsid w:val="00AB2AC6"/>
    <w:rsid w:val="00AC080D"/>
    <w:rsid w:val="00AC5066"/>
    <w:rsid w:val="00AD0BA2"/>
    <w:rsid w:val="00AD22A1"/>
    <w:rsid w:val="00AD3E4D"/>
    <w:rsid w:val="00AD6B6F"/>
    <w:rsid w:val="00AE0EE4"/>
    <w:rsid w:val="00AE153C"/>
    <w:rsid w:val="00AE3209"/>
    <w:rsid w:val="00AE3BCA"/>
    <w:rsid w:val="00AE4ECF"/>
    <w:rsid w:val="00AE5433"/>
    <w:rsid w:val="00AE5E2E"/>
    <w:rsid w:val="00AF10C3"/>
    <w:rsid w:val="00AF1AD6"/>
    <w:rsid w:val="00AF1B5E"/>
    <w:rsid w:val="00AF4490"/>
    <w:rsid w:val="00AF6384"/>
    <w:rsid w:val="00AF7D98"/>
    <w:rsid w:val="00B0042C"/>
    <w:rsid w:val="00B011D8"/>
    <w:rsid w:val="00B016BF"/>
    <w:rsid w:val="00B04878"/>
    <w:rsid w:val="00B0549C"/>
    <w:rsid w:val="00B06185"/>
    <w:rsid w:val="00B06869"/>
    <w:rsid w:val="00B0760E"/>
    <w:rsid w:val="00B07D4F"/>
    <w:rsid w:val="00B10061"/>
    <w:rsid w:val="00B123CB"/>
    <w:rsid w:val="00B137EB"/>
    <w:rsid w:val="00B15D0D"/>
    <w:rsid w:val="00B20BF4"/>
    <w:rsid w:val="00B2412E"/>
    <w:rsid w:val="00B24AC5"/>
    <w:rsid w:val="00B2519F"/>
    <w:rsid w:val="00B26296"/>
    <w:rsid w:val="00B32D73"/>
    <w:rsid w:val="00B33282"/>
    <w:rsid w:val="00B35618"/>
    <w:rsid w:val="00B449B8"/>
    <w:rsid w:val="00B45F2F"/>
    <w:rsid w:val="00B46838"/>
    <w:rsid w:val="00B46B5E"/>
    <w:rsid w:val="00B51FD0"/>
    <w:rsid w:val="00B5229F"/>
    <w:rsid w:val="00B54FF2"/>
    <w:rsid w:val="00B55B56"/>
    <w:rsid w:val="00B55C60"/>
    <w:rsid w:val="00B5626A"/>
    <w:rsid w:val="00B60708"/>
    <w:rsid w:val="00B647EF"/>
    <w:rsid w:val="00B64D0D"/>
    <w:rsid w:val="00B64DAA"/>
    <w:rsid w:val="00B6570C"/>
    <w:rsid w:val="00B65E06"/>
    <w:rsid w:val="00B678B5"/>
    <w:rsid w:val="00B7182F"/>
    <w:rsid w:val="00B719B4"/>
    <w:rsid w:val="00B74466"/>
    <w:rsid w:val="00B753D6"/>
    <w:rsid w:val="00B75CF3"/>
    <w:rsid w:val="00B769A8"/>
    <w:rsid w:val="00B81A38"/>
    <w:rsid w:val="00B81E6B"/>
    <w:rsid w:val="00B83882"/>
    <w:rsid w:val="00B83CAB"/>
    <w:rsid w:val="00B92F3C"/>
    <w:rsid w:val="00B956D5"/>
    <w:rsid w:val="00B95D11"/>
    <w:rsid w:val="00BA1BDF"/>
    <w:rsid w:val="00BA392E"/>
    <w:rsid w:val="00BA4852"/>
    <w:rsid w:val="00BA5CD1"/>
    <w:rsid w:val="00BA689F"/>
    <w:rsid w:val="00BA734C"/>
    <w:rsid w:val="00BB0506"/>
    <w:rsid w:val="00BB183D"/>
    <w:rsid w:val="00BB399D"/>
    <w:rsid w:val="00BB401C"/>
    <w:rsid w:val="00BB5A17"/>
    <w:rsid w:val="00BB6237"/>
    <w:rsid w:val="00BB69E7"/>
    <w:rsid w:val="00BC09ED"/>
    <w:rsid w:val="00BC0B05"/>
    <w:rsid w:val="00BC4742"/>
    <w:rsid w:val="00BC63B6"/>
    <w:rsid w:val="00BC7C04"/>
    <w:rsid w:val="00BD19CB"/>
    <w:rsid w:val="00BD244F"/>
    <w:rsid w:val="00BD4C6C"/>
    <w:rsid w:val="00BD5D8C"/>
    <w:rsid w:val="00BE1568"/>
    <w:rsid w:val="00BE1A09"/>
    <w:rsid w:val="00BE1EDE"/>
    <w:rsid w:val="00BF0D0E"/>
    <w:rsid w:val="00BF1039"/>
    <w:rsid w:val="00BF3D96"/>
    <w:rsid w:val="00BF5FF6"/>
    <w:rsid w:val="00BF607B"/>
    <w:rsid w:val="00C00673"/>
    <w:rsid w:val="00C0118D"/>
    <w:rsid w:val="00C0240D"/>
    <w:rsid w:val="00C02B06"/>
    <w:rsid w:val="00C07973"/>
    <w:rsid w:val="00C10C17"/>
    <w:rsid w:val="00C10DEB"/>
    <w:rsid w:val="00C11AE6"/>
    <w:rsid w:val="00C122F2"/>
    <w:rsid w:val="00C13243"/>
    <w:rsid w:val="00C1529B"/>
    <w:rsid w:val="00C16A71"/>
    <w:rsid w:val="00C22FDA"/>
    <w:rsid w:val="00C23369"/>
    <w:rsid w:val="00C245C8"/>
    <w:rsid w:val="00C2783F"/>
    <w:rsid w:val="00C333FA"/>
    <w:rsid w:val="00C34BC2"/>
    <w:rsid w:val="00C40246"/>
    <w:rsid w:val="00C431CE"/>
    <w:rsid w:val="00C4482B"/>
    <w:rsid w:val="00C461DB"/>
    <w:rsid w:val="00C5218E"/>
    <w:rsid w:val="00C521F2"/>
    <w:rsid w:val="00C54D92"/>
    <w:rsid w:val="00C559D4"/>
    <w:rsid w:val="00C57B4C"/>
    <w:rsid w:val="00C57C86"/>
    <w:rsid w:val="00C62C9F"/>
    <w:rsid w:val="00C653BF"/>
    <w:rsid w:val="00C71105"/>
    <w:rsid w:val="00C7578C"/>
    <w:rsid w:val="00C75F14"/>
    <w:rsid w:val="00C80950"/>
    <w:rsid w:val="00C81270"/>
    <w:rsid w:val="00C82BBC"/>
    <w:rsid w:val="00C82BBD"/>
    <w:rsid w:val="00C82CB4"/>
    <w:rsid w:val="00C8390F"/>
    <w:rsid w:val="00C85BBB"/>
    <w:rsid w:val="00C93685"/>
    <w:rsid w:val="00C9586D"/>
    <w:rsid w:val="00C95E92"/>
    <w:rsid w:val="00CA0593"/>
    <w:rsid w:val="00CA1BA5"/>
    <w:rsid w:val="00CA1E37"/>
    <w:rsid w:val="00CA24DF"/>
    <w:rsid w:val="00CA3533"/>
    <w:rsid w:val="00CA671D"/>
    <w:rsid w:val="00CB1EDE"/>
    <w:rsid w:val="00CB33C4"/>
    <w:rsid w:val="00CB34FB"/>
    <w:rsid w:val="00CB364E"/>
    <w:rsid w:val="00CB3EDC"/>
    <w:rsid w:val="00CB4C2B"/>
    <w:rsid w:val="00CB79CB"/>
    <w:rsid w:val="00CB7E77"/>
    <w:rsid w:val="00CC180D"/>
    <w:rsid w:val="00CC3471"/>
    <w:rsid w:val="00CC43EB"/>
    <w:rsid w:val="00CC4FEF"/>
    <w:rsid w:val="00CC5AF9"/>
    <w:rsid w:val="00CC69A9"/>
    <w:rsid w:val="00CC7483"/>
    <w:rsid w:val="00CD22D2"/>
    <w:rsid w:val="00CD70EF"/>
    <w:rsid w:val="00CE0397"/>
    <w:rsid w:val="00CE0C3A"/>
    <w:rsid w:val="00CE1548"/>
    <w:rsid w:val="00CE274E"/>
    <w:rsid w:val="00CE2862"/>
    <w:rsid w:val="00CE3608"/>
    <w:rsid w:val="00CE3FC5"/>
    <w:rsid w:val="00CE5C39"/>
    <w:rsid w:val="00CF03A7"/>
    <w:rsid w:val="00CF0DED"/>
    <w:rsid w:val="00CF1902"/>
    <w:rsid w:val="00CF39E0"/>
    <w:rsid w:val="00CF5C8C"/>
    <w:rsid w:val="00D04149"/>
    <w:rsid w:val="00D048CD"/>
    <w:rsid w:val="00D05587"/>
    <w:rsid w:val="00D0734C"/>
    <w:rsid w:val="00D15D48"/>
    <w:rsid w:val="00D161C8"/>
    <w:rsid w:val="00D16870"/>
    <w:rsid w:val="00D16A87"/>
    <w:rsid w:val="00D16E0C"/>
    <w:rsid w:val="00D204D2"/>
    <w:rsid w:val="00D221F4"/>
    <w:rsid w:val="00D241F6"/>
    <w:rsid w:val="00D25B6C"/>
    <w:rsid w:val="00D30233"/>
    <w:rsid w:val="00D31B1D"/>
    <w:rsid w:val="00D31E24"/>
    <w:rsid w:val="00D33DBD"/>
    <w:rsid w:val="00D3674A"/>
    <w:rsid w:val="00D36C72"/>
    <w:rsid w:val="00D36FFA"/>
    <w:rsid w:val="00D4068E"/>
    <w:rsid w:val="00D407C3"/>
    <w:rsid w:val="00D41592"/>
    <w:rsid w:val="00D41C60"/>
    <w:rsid w:val="00D420C3"/>
    <w:rsid w:val="00D43764"/>
    <w:rsid w:val="00D4589B"/>
    <w:rsid w:val="00D45ADF"/>
    <w:rsid w:val="00D47961"/>
    <w:rsid w:val="00D520AC"/>
    <w:rsid w:val="00D529E7"/>
    <w:rsid w:val="00D5306A"/>
    <w:rsid w:val="00D5503F"/>
    <w:rsid w:val="00D602BE"/>
    <w:rsid w:val="00D6180F"/>
    <w:rsid w:val="00D61B09"/>
    <w:rsid w:val="00D63498"/>
    <w:rsid w:val="00D645F7"/>
    <w:rsid w:val="00D653D6"/>
    <w:rsid w:val="00D670DF"/>
    <w:rsid w:val="00D70E58"/>
    <w:rsid w:val="00D720A4"/>
    <w:rsid w:val="00D7478F"/>
    <w:rsid w:val="00D803E5"/>
    <w:rsid w:val="00D81539"/>
    <w:rsid w:val="00D84012"/>
    <w:rsid w:val="00D86667"/>
    <w:rsid w:val="00D95765"/>
    <w:rsid w:val="00D967A6"/>
    <w:rsid w:val="00DA3C87"/>
    <w:rsid w:val="00DA4838"/>
    <w:rsid w:val="00DA4B3B"/>
    <w:rsid w:val="00DA7B3C"/>
    <w:rsid w:val="00DB536A"/>
    <w:rsid w:val="00DB5C3D"/>
    <w:rsid w:val="00DB6238"/>
    <w:rsid w:val="00DB7CA4"/>
    <w:rsid w:val="00DC1DD2"/>
    <w:rsid w:val="00DC2D92"/>
    <w:rsid w:val="00DC6B17"/>
    <w:rsid w:val="00DD03B1"/>
    <w:rsid w:val="00DD3958"/>
    <w:rsid w:val="00DD4404"/>
    <w:rsid w:val="00DD4CF6"/>
    <w:rsid w:val="00DD5546"/>
    <w:rsid w:val="00DD5666"/>
    <w:rsid w:val="00DD613B"/>
    <w:rsid w:val="00DE178D"/>
    <w:rsid w:val="00DE2A51"/>
    <w:rsid w:val="00DE2D80"/>
    <w:rsid w:val="00DE2E21"/>
    <w:rsid w:val="00DE2FD9"/>
    <w:rsid w:val="00DE3F16"/>
    <w:rsid w:val="00DF2DE8"/>
    <w:rsid w:val="00DF41C0"/>
    <w:rsid w:val="00DF59E6"/>
    <w:rsid w:val="00E002DD"/>
    <w:rsid w:val="00E01A55"/>
    <w:rsid w:val="00E03CD1"/>
    <w:rsid w:val="00E07E28"/>
    <w:rsid w:val="00E106CA"/>
    <w:rsid w:val="00E10AF9"/>
    <w:rsid w:val="00E12FF7"/>
    <w:rsid w:val="00E134C3"/>
    <w:rsid w:val="00E1510D"/>
    <w:rsid w:val="00E1638D"/>
    <w:rsid w:val="00E17B0E"/>
    <w:rsid w:val="00E20193"/>
    <w:rsid w:val="00E207F9"/>
    <w:rsid w:val="00E20FBA"/>
    <w:rsid w:val="00E21920"/>
    <w:rsid w:val="00E23EB1"/>
    <w:rsid w:val="00E2478C"/>
    <w:rsid w:val="00E24A14"/>
    <w:rsid w:val="00E302DF"/>
    <w:rsid w:val="00E310DF"/>
    <w:rsid w:val="00E33DE4"/>
    <w:rsid w:val="00E34339"/>
    <w:rsid w:val="00E34F65"/>
    <w:rsid w:val="00E35336"/>
    <w:rsid w:val="00E3647C"/>
    <w:rsid w:val="00E36DAC"/>
    <w:rsid w:val="00E45535"/>
    <w:rsid w:val="00E46C86"/>
    <w:rsid w:val="00E47BC9"/>
    <w:rsid w:val="00E51657"/>
    <w:rsid w:val="00E54CD9"/>
    <w:rsid w:val="00E5697F"/>
    <w:rsid w:val="00E6040C"/>
    <w:rsid w:val="00E607AC"/>
    <w:rsid w:val="00E60A13"/>
    <w:rsid w:val="00E60C38"/>
    <w:rsid w:val="00E62500"/>
    <w:rsid w:val="00E625C0"/>
    <w:rsid w:val="00E626C4"/>
    <w:rsid w:val="00E627B5"/>
    <w:rsid w:val="00E63BD1"/>
    <w:rsid w:val="00E6582A"/>
    <w:rsid w:val="00E658B9"/>
    <w:rsid w:val="00E663F0"/>
    <w:rsid w:val="00E671A8"/>
    <w:rsid w:val="00E671E4"/>
    <w:rsid w:val="00E724A9"/>
    <w:rsid w:val="00E76811"/>
    <w:rsid w:val="00E77BF1"/>
    <w:rsid w:val="00E80152"/>
    <w:rsid w:val="00E822DB"/>
    <w:rsid w:val="00E8541F"/>
    <w:rsid w:val="00E85517"/>
    <w:rsid w:val="00E85FBD"/>
    <w:rsid w:val="00E875EF"/>
    <w:rsid w:val="00E95C42"/>
    <w:rsid w:val="00EA4EDA"/>
    <w:rsid w:val="00EA61A8"/>
    <w:rsid w:val="00EB15C2"/>
    <w:rsid w:val="00EB350C"/>
    <w:rsid w:val="00EB378C"/>
    <w:rsid w:val="00EB4765"/>
    <w:rsid w:val="00EB4FC1"/>
    <w:rsid w:val="00EB5AD5"/>
    <w:rsid w:val="00EC04C7"/>
    <w:rsid w:val="00EC0538"/>
    <w:rsid w:val="00EC3225"/>
    <w:rsid w:val="00ED0C60"/>
    <w:rsid w:val="00ED12CB"/>
    <w:rsid w:val="00ED171F"/>
    <w:rsid w:val="00ED2CFD"/>
    <w:rsid w:val="00ED5869"/>
    <w:rsid w:val="00EE0C34"/>
    <w:rsid w:val="00EE1395"/>
    <w:rsid w:val="00EE36AB"/>
    <w:rsid w:val="00EE5D42"/>
    <w:rsid w:val="00EE7F32"/>
    <w:rsid w:val="00EF0F58"/>
    <w:rsid w:val="00EF2402"/>
    <w:rsid w:val="00EF34EF"/>
    <w:rsid w:val="00EF3B71"/>
    <w:rsid w:val="00EF67C6"/>
    <w:rsid w:val="00EF6A2A"/>
    <w:rsid w:val="00EF7A46"/>
    <w:rsid w:val="00F0289D"/>
    <w:rsid w:val="00F03007"/>
    <w:rsid w:val="00F04BFB"/>
    <w:rsid w:val="00F070AE"/>
    <w:rsid w:val="00F118F7"/>
    <w:rsid w:val="00F11DA5"/>
    <w:rsid w:val="00F134BB"/>
    <w:rsid w:val="00F13FBD"/>
    <w:rsid w:val="00F14D40"/>
    <w:rsid w:val="00F1614A"/>
    <w:rsid w:val="00F16669"/>
    <w:rsid w:val="00F26392"/>
    <w:rsid w:val="00F265E2"/>
    <w:rsid w:val="00F32253"/>
    <w:rsid w:val="00F33B51"/>
    <w:rsid w:val="00F34A90"/>
    <w:rsid w:val="00F36141"/>
    <w:rsid w:val="00F36F5F"/>
    <w:rsid w:val="00F37357"/>
    <w:rsid w:val="00F3781A"/>
    <w:rsid w:val="00F412BE"/>
    <w:rsid w:val="00F41CEB"/>
    <w:rsid w:val="00F423C5"/>
    <w:rsid w:val="00F446D0"/>
    <w:rsid w:val="00F45120"/>
    <w:rsid w:val="00F4761A"/>
    <w:rsid w:val="00F579BA"/>
    <w:rsid w:val="00F60FF0"/>
    <w:rsid w:val="00F610E3"/>
    <w:rsid w:val="00F61B27"/>
    <w:rsid w:val="00F62C20"/>
    <w:rsid w:val="00F63632"/>
    <w:rsid w:val="00F63633"/>
    <w:rsid w:val="00F64565"/>
    <w:rsid w:val="00F65ECE"/>
    <w:rsid w:val="00F675C7"/>
    <w:rsid w:val="00F70556"/>
    <w:rsid w:val="00F72696"/>
    <w:rsid w:val="00F7439E"/>
    <w:rsid w:val="00F74C82"/>
    <w:rsid w:val="00F80468"/>
    <w:rsid w:val="00F80A33"/>
    <w:rsid w:val="00F824C3"/>
    <w:rsid w:val="00F8593D"/>
    <w:rsid w:val="00F868E5"/>
    <w:rsid w:val="00F910CF"/>
    <w:rsid w:val="00F9254C"/>
    <w:rsid w:val="00F944E1"/>
    <w:rsid w:val="00F94D12"/>
    <w:rsid w:val="00F94F1C"/>
    <w:rsid w:val="00F95A8C"/>
    <w:rsid w:val="00FA053F"/>
    <w:rsid w:val="00FA0781"/>
    <w:rsid w:val="00FA1FEE"/>
    <w:rsid w:val="00FA23E5"/>
    <w:rsid w:val="00FA46EB"/>
    <w:rsid w:val="00FA5173"/>
    <w:rsid w:val="00FB0F1F"/>
    <w:rsid w:val="00FB3569"/>
    <w:rsid w:val="00FB38D6"/>
    <w:rsid w:val="00FB4E7D"/>
    <w:rsid w:val="00FB6EDA"/>
    <w:rsid w:val="00FB6F1B"/>
    <w:rsid w:val="00FC03E8"/>
    <w:rsid w:val="00FC0520"/>
    <w:rsid w:val="00FC3091"/>
    <w:rsid w:val="00FC3411"/>
    <w:rsid w:val="00FC4FFE"/>
    <w:rsid w:val="00FC543B"/>
    <w:rsid w:val="00FD0A38"/>
    <w:rsid w:val="00FD1511"/>
    <w:rsid w:val="00FD531B"/>
    <w:rsid w:val="00FD6F1F"/>
    <w:rsid w:val="00FE45B5"/>
    <w:rsid w:val="00FE47AE"/>
    <w:rsid w:val="00FE6041"/>
    <w:rsid w:val="00FE7157"/>
    <w:rsid w:val="00FF2122"/>
    <w:rsid w:val="00FF2DFD"/>
    <w:rsid w:val="00FF701D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2C53BF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semiHidden/>
    <w:rsid w:val="006532D6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rsid w:val="000C7C51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C51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B79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C51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C51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001D3C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C51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C51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C51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C51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rsid w:val="002A09F3"/>
    <w:pPr>
      <w:numPr>
        <w:ilvl w:val="1"/>
      </w:numPr>
    </w:pPr>
    <w:rPr>
      <w:color w:val="037DFF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2CFD"/>
    <w:rPr>
      <w:rFonts w:eastAsiaTheme="minorEastAsia"/>
      <w:color w:val="037DFF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2A09F3"/>
    <w:rPr>
      <w:color w:val="808080"/>
    </w:rPr>
  </w:style>
  <w:style w:type="paragraph" w:styleId="Intestazione">
    <w:name w:val="header"/>
    <w:basedOn w:val="Normale"/>
    <w:link w:val="Intestazione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CFD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CFD"/>
    <w:rPr>
      <w:rFonts w:eastAsiaTheme="minorEastAsia"/>
    </w:rPr>
  </w:style>
  <w:style w:type="paragraph" w:styleId="Nessunaspaziatura">
    <w:name w:val="No Spacing"/>
    <w:link w:val="NessunaspaziaturaCarattere"/>
    <w:uiPriority w:val="1"/>
    <w:semiHidden/>
    <w:rsid w:val="002A09F3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semiHidden/>
    <w:rsid w:val="00ED2CFD"/>
    <w:rPr>
      <w:rFonts w:eastAsiaTheme="minorEastAsia"/>
    </w:rPr>
  </w:style>
  <w:style w:type="paragraph" w:styleId="Titolo">
    <w:name w:val="Title"/>
    <w:basedOn w:val="Normale"/>
    <w:next w:val="Normale"/>
    <w:link w:val="TitoloCarattere"/>
    <w:uiPriority w:val="10"/>
    <w:semiHidden/>
    <w:rsid w:val="002A0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D2C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Didascalia">
    <w:name w:val="caption"/>
    <w:basedOn w:val="Normale"/>
    <w:next w:val="Normale"/>
    <w:link w:val="DidascaliaCarattere"/>
    <w:uiPriority w:val="35"/>
    <w:semiHidden/>
    <w:qFormat/>
    <w:rsid w:val="002C53BF"/>
    <w:pPr>
      <w:spacing w:line="240" w:lineRule="auto"/>
    </w:pPr>
    <w:rPr>
      <w:i/>
      <w:iCs/>
      <w:color w:val="EC7D11" w:themeColor="text2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2A09F3"/>
    <w:pPr>
      <w:pBdr>
        <w:top w:val="single" w:sz="4" w:space="10" w:color="003B79" w:themeColor="accent1"/>
        <w:bottom w:val="single" w:sz="4" w:space="10" w:color="003B79" w:themeColor="accent1"/>
      </w:pBdr>
      <w:spacing w:before="360" w:after="360"/>
      <w:ind w:left="864" w:right="864"/>
      <w:jc w:val="center"/>
    </w:pPr>
    <w:rPr>
      <w:i/>
      <w:iCs/>
      <w:color w:val="003B79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D2CFD"/>
    <w:rPr>
      <w:rFonts w:eastAsiaTheme="minorEastAsia"/>
      <w:i/>
      <w:iCs/>
      <w:color w:val="003B79" w:themeColor="accent1"/>
    </w:rPr>
  </w:style>
  <w:style w:type="character" w:styleId="Riferimentointenso">
    <w:name w:val="Intense Reference"/>
    <w:basedOn w:val="Carpredefinitoparagrafo"/>
    <w:uiPriority w:val="32"/>
    <w:semiHidden/>
    <w:rsid w:val="002A09F3"/>
    <w:rPr>
      <w:b/>
      <w:bCs/>
      <w:smallCaps/>
      <w:color w:val="003B79" w:themeColor="accent1"/>
      <w:spacing w:val="5"/>
    </w:rPr>
  </w:style>
  <w:style w:type="paragraph" w:styleId="Paragrafoelenco">
    <w:name w:val="List Paragraph"/>
    <w:basedOn w:val="Normale"/>
    <w:uiPriority w:val="34"/>
    <w:qFormat/>
    <w:rsid w:val="002A09F3"/>
    <w:pPr>
      <w:ind w:left="720"/>
      <w:contextualSpacing/>
    </w:pPr>
  </w:style>
  <w:style w:type="paragraph" w:customStyle="1" w:styleId="CRIFMainTitle">
    <w:name w:val="CRIF Main Title"/>
    <w:basedOn w:val="Normale"/>
    <w:link w:val="CRIFMainTitleChar"/>
    <w:qFormat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Abstract">
    <w:name w:val="CRIF Abstract"/>
    <w:basedOn w:val="Sottotitolo"/>
    <w:link w:val="CRIFAbstractChar"/>
    <w:qFormat/>
    <w:rsid w:val="00A95870"/>
    <w:pPr>
      <w:spacing w:before="120" w:line="360" w:lineRule="auto"/>
      <w:jc w:val="both"/>
    </w:pPr>
    <w:rPr>
      <w:i/>
      <w:color w:val="2668A8" w:themeColor="accent3" w:themeShade="80"/>
      <w:sz w:val="20"/>
    </w:rPr>
  </w:style>
  <w:style w:type="character" w:customStyle="1" w:styleId="CRIFMainTitleChar">
    <w:name w:val="CRIF Main Title Char"/>
    <w:basedOn w:val="Carpredefinitoparagrafo"/>
    <w:link w:val="CRIFMainTitle"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BodyText">
    <w:name w:val="CRIF Body Text"/>
    <w:basedOn w:val="Normale"/>
    <w:link w:val="CRIFBodyTextChar"/>
    <w:qFormat/>
    <w:rsid w:val="008C0947"/>
    <w:pPr>
      <w:spacing w:line="360" w:lineRule="auto"/>
      <w:jc w:val="both"/>
    </w:pPr>
    <w:rPr>
      <w:sz w:val="20"/>
    </w:rPr>
  </w:style>
  <w:style w:type="character" w:customStyle="1" w:styleId="CRIFAbstractChar">
    <w:name w:val="CRIF Abstract Char"/>
    <w:basedOn w:val="SottotitoloCarattere"/>
    <w:link w:val="CRIFAbstract"/>
    <w:rsid w:val="00A95870"/>
    <w:rPr>
      <w:rFonts w:eastAsiaTheme="minorEastAsia"/>
      <w:i/>
      <w:color w:val="2668A8" w:themeColor="accent3" w:themeShade="80"/>
      <w:spacing w:val="15"/>
      <w:sz w:val="20"/>
    </w:rPr>
  </w:style>
  <w:style w:type="paragraph" w:customStyle="1" w:styleId="CRIFTitle">
    <w:name w:val="CRIF Title"/>
    <w:basedOn w:val="Normale"/>
    <w:next w:val="CRIFBodyText"/>
    <w:link w:val="CRIFTitleCarattere"/>
    <w:qFormat/>
    <w:rsid w:val="00C431CE"/>
    <w:pPr>
      <w:spacing w:before="400" w:after="160" w:line="360" w:lineRule="auto"/>
      <w:jc w:val="both"/>
    </w:pPr>
    <w:rPr>
      <w:b/>
      <w:caps/>
      <w:color w:val="003B79" w:themeColor="accent1"/>
      <w:sz w:val="20"/>
    </w:rPr>
  </w:style>
  <w:style w:type="character" w:customStyle="1" w:styleId="CRIFBodyTextChar">
    <w:name w:val="CRIF Body Text Char"/>
    <w:basedOn w:val="Carpredefinitoparagrafo"/>
    <w:link w:val="CRIFBodyText"/>
    <w:rsid w:val="008C0947"/>
    <w:rPr>
      <w:rFonts w:eastAsiaTheme="minorEastAsia"/>
      <w:sz w:val="20"/>
    </w:rPr>
  </w:style>
  <w:style w:type="paragraph" w:customStyle="1" w:styleId="CRIFAbout">
    <w:name w:val="CRIF About"/>
    <w:basedOn w:val="Normale"/>
    <w:link w:val="CRIFAboutChar"/>
    <w:rsid w:val="008C0947"/>
    <w:pPr>
      <w:spacing w:line="360" w:lineRule="auto"/>
      <w:jc w:val="both"/>
    </w:pPr>
    <w:rPr>
      <w:i/>
      <w:color w:val="808080" w:themeColor="background1" w:themeShade="80"/>
      <w:sz w:val="20"/>
    </w:rPr>
  </w:style>
  <w:style w:type="character" w:customStyle="1" w:styleId="CRIFTitleCarattere">
    <w:name w:val="CRIF Title Carattere"/>
    <w:basedOn w:val="Carpredefinitoparagrafo"/>
    <w:link w:val="CRIFTitle"/>
    <w:rsid w:val="00C431CE"/>
    <w:rPr>
      <w:rFonts w:eastAsiaTheme="minorEastAsia"/>
      <w:b/>
      <w:caps/>
      <w:color w:val="003B79" w:themeColor="accent1"/>
      <w:sz w:val="20"/>
    </w:rPr>
  </w:style>
  <w:style w:type="character" w:customStyle="1" w:styleId="CRIFAboutChar">
    <w:name w:val="CRIF About Char"/>
    <w:basedOn w:val="Carpredefinitoparagrafo"/>
    <w:link w:val="CRIFAbout"/>
    <w:rsid w:val="008C0947"/>
    <w:rPr>
      <w:rFonts w:eastAsiaTheme="minorEastAsia"/>
      <w:i/>
      <w:color w:val="808080" w:themeColor="background1" w:themeShade="80"/>
      <w:sz w:val="20"/>
    </w:rPr>
  </w:style>
  <w:style w:type="paragraph" w:customStyle="1" w:styleId="CRIFCaption">
    <w:name w:val="CRIF Caption"/>
    <w:basedOn w:val="Didascalia"/>
    <w:link w:val="CRIFCaptionChar"/>
    <w:qFormat/>
    <w:rsid w:val="002C53BF"/>
  </w:style>
  <w:style w:type="paragraph" w:customStyle="1" w:styleId="CRIFAboutTitle">
    <w:name w:val="CRIF About Title"/>
    <w:basedOn w:val="Normale"/>
    <w:link w:val="CRIFAboutTitleChar"/>
    <w:rsid w:val="008C0947"/>
    <w:pPr>
      <w:spacing w:line="360" w:lineRule="auto"/>
      <w:jc w:val="both"/>
    </w:pPr>
    <w:rPr>
      <w:b/>
      <w:color w:val="EC7D11" w:themeColor="text2"/>
      <w:sz w:val="20"/>
    </w:rPr>
  </w:style>
  <w:style w:type="character" w:customStyle="1" w:styleId="DidascaliaCarattere">
    <w:name w:val="Didascalia Carattere"/>
    <w:basedOn w:val="Carpredefinitoparagrafo"/>
    <w:link w:val="Didascalia"/>
    <w:uiPriority w:val="35"/>
    <w:semiHidden/>
    <w:rsid w:val="00ED2CFD"/>
    <w:rPr>
      <w:rFonts w:eastAsiaTheme="minorEastAsia"/>
      <w:i/>
      <w:iCs/>
      <w:color w:val="EC7D11" w:themeColor="text2"/>
      <w:sz w:val="18"/>
      <w:szCs w:val="18"/>
    </w:rPr>
  </w:style>
  <w:style w:type="character" w:customStyle="1" w:styleId="CRIFCaptionChar">
    <w:name w:val="CRIF Caption Char"/>
    <w:basedOn w:val="Carpredefinitoparagrafo"/>
    <w:link w:val="CRIFCaption"/>
    <w:rsid w:val="008C0947"/>
    <w:rPr>
      <w:rFonts w:eastAsiaTheme="minorEastAsia"/>
      <w:i/>
      <w:iCs/>
      <w:color w:val="EC7D11" w:themeColor="text2"/>
      <w:sz w:val="18"/>
      <w:szCs w:val="18"/>
    </w:rPr>
  </w:style>
  <w:style w:type="paragraph" w:customStyle="1" w:styleId="CRIFQuote">
    <w:name w:val="CRIF Quote"/>
    <w:basedOn w:val="CRIFAboutTitle"/>
    <w:link w:val="CRIFQuoteChar"/>
    <w:qFormat/>
    <w:rsid w:val="00A13CE3"/>
    <w:pPr>
      <w:spacing w:before="120" w:line="480" w:lineRule="auto"/>
      <w:jc w:val="center"/>
    </w:pPr>
    <w:rPr>
      <w:b w:val="0"/>
      <w:i/>
      <w:color w:val="808080" w:themeColor="background1" w:themeShade="80"/>
      <w:sz w:val="18"/>
    </w:rPr>
  </w:style>
  <w:style w:type="character" w:customStyle="1" w:styleId="CRIFAboutTitleChar">
    <w:name w:val="CRIF About Title Char"/>
    <w:basedOn w:val="Carpredefinitoparagrafo"/>
    <w:link w:val="CRIFAboutTitle"/>
    <w:rsid w:val="008C0947"/>
    <w:rPr>
      <w:rFonts w:eastAsiaTheme="minorEastAsia"/>
      <w:b/>
      <w:color w:val="EC7D11" w:themeColor="text2"/>
      <w:sz w:val="20"/>
    </w:rPr>
  </w:style>
  <w:style w:type="character" w:customStyle="1" w:styleId="CRIFQuoteChar">
    <w:name w:val="CRIF Quote Char"/>
    <w:basedOn w:val="CRIFAboutTitleChar"/>
    <w:link w:val="CRIFQuote"/>
    <w:rsid w:val="00A13CE3"/>
    <w:rPr>
      <w:rFonts w:eastAsiaTheme="minorEastAsia"/>
      <w:b w:val="0"/>
      <w:i/>
      <w:color w:val="808080" w:themeColor="background1" w:themeShade="80"/>
      <w:sz w:val="18"/>
    </w:rPr>
  </w:style>
  <w:style w:type="character" w:styleId="Collegamentoipertestuale">
    <w:name w:val="Hyperlink"/>
    <w:basedOn w:val="Carpredefinitoparagrafo"/>
    <w:uiPriority w:val="99"/>
    <w:rsid w:val="002C53BF"/>
    <w:rPr>
      <w:color w:val="EC7D1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5EC"/>
    <w:rPr>
      <w:rFonts w:ascii="Tahoma" w:eastAsiaTheme="minorEastAsi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6532D6"/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rsid w:val="006532D6"/>
    <w:pPr>
      <w:outlineLvl w:val="9"/>
    </w:pPr>
    <w:rPr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532D6"/>
    <w:pPr>
      <w:spacing w:after="0"/>
      <w:ind w:left="220"/>
    </w:pPr>
    <w:rPr>
      <w:smallCaps/>
      <w:sz w:val="20"/>
      <w:szCs w:val="20"/>
    </w:rPr>
  </w:style>
  <w:style w:type="paragraph" w:styleId="Sommario1">
    <w:name w:val="toc 1"/>
    <w:aliases w:val="CRIF Index"/>
    <w:basedOn w:val="Normale"/>
    <w:next w:val="CRIFTitle3"/>
    <w:link w:val="Sommario1Carattere"/>
    <w:autoRedefine/>
    <w:uiPriority w:val="39"/>
    <w:unhideWhenUsed/>
    <w:qFormat/>
    <w:rsid w:val="007B316A"/>
    <w:pPr>
      <w:tabs>
        <w:tab w:val="left" w:pos="440"/>
        <w:tab w:val="right" w:leader="dot" w:pos="9350"/>
      </w:tabs>
      <w:spacing w:before="120" w:after="120"/>
    </w:pPr>
    <w:rPr>
      <w:b/>
      <w:bCs/>
      <w:caps/>
      <w:noProof/>
      <w:color w:val="003B79" w:themeColor="text1"/>
      <w:sz w:val="20"/>
      <w:szCs w:val="20"/>
      <w:lang w:val="it-IT" w:eastAsia="it-IT"/>
    </w:rPr>
  </w:style>
  <w:style w:type="paragraph" w:styleId="Sommario3">
    <w:name w:val="toc 3"/>
    <w:aliases w:val="Sommario"/>
    <w:basedOn w:val="Normale"/>
    <w:next w:val="Normale"/>
    <w:autoRedefine/>
    <w:uiPriority w:val="39"/>
    <w:unhideWhenUsed/>
    <w:rsid w:val="002211D8"/>
    <w:pPr>
      <w:spacing w:after="0"/>
      <w:ind w:left="440"/>
    </w:pPr>
    <w:rPr>
      <w:i/>
      <w:iCs/>
      <w:sz w:val="20"/>
      <w:szCs w:val="20"/>
    </w:rPr>
  </w:style>
  <w:style w:type="paragraph" w:customStyle="1" w:styleId="CRIFTitle2">
    <w:name w:val="CRIF Title 2"/>
    <w:basedOn w:val="CRIFBodyText"/>
    <w:link w:val="CRIFTitle2Carattere"/>
    <w:qFormat/>
    <w:rsid w:val="00C431CE"/>
    <w:pPr>
      <w:spacing w:after="120"/>
    </w:pPr>
    <w:rPr>
      <w:b/>
      <w:color w:val="003B79" w:themeColor="accent1"/>
      <w:lang w:val="it-IT"/>
    </w:rPr>
  </w:style>
  <w:style w:type="table" w:customStyle="1" w:styleId="Predefinita1">
    <w:name w:val="Predefinita 1"/>
    <w:basedOn w:val="Tabellanormale"/>
    <w:uiPriority w:val="50"/>
    <w:rsid w:val="002461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CF"/>
    </w:tcPr>
    <w:tblStylePr w:type="firstRow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lastRow">
      <w:rPr>
        <w:b/>
        <w:bCs/>
        <w:color w:val="F2F2F2"/>
      </w:rPr>
      <w:tblPr/>
      <w:tcPr>
        <w:tcBorders>
          <w:left w:val="single" w:sz="4" w:space="0" w:color="F2F2F2"/>
          <w:bottom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firstCol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bottom w:val="single" w:sz="4" w:space="0" w:color="F2F2F2"/>
          <w:insideV w:val="nil"/>
        </w:tcBorders>
        <w:shd w:val="clear" w:color="auto" w:fill="EE7D11"/>
      </w:tcPr>
    </w:tblStylePr>
    <w:tblStylePr w:type="lastCol">
      <w:rPr>
        <w:b/>
        <w:bCs/>
        <w:color w:val="F2F2F2"/>
      </w:rPr>
      <w:tblPr/>
      <w:tcPr>
        <w:tcBorders>
          <w:top w:val="single" w:sz="4" w:space="0" w:color="F2F2F2"/>
          <w:bottom w:val="single" w:sz="4" w:space="0" w:color="F2F2F2"/>
          <w:right w:val="single" w:sz="4" w:space="0" w:color="F2F2F2"/>
          <w:insideV w:val="nil"/>
        </w:tcBorders>
        <w:shd w:val="clear" w:color="auto" w:fill="EE7D11"/>
      </w:tcPr>
    </w:tblStylePr>
    <w:tblStylePr w:type="band1Vert">
      <w:tblPr/>
      <w:tcPr>
        <w:shd w:val="clear" w:color="auto" w:fill="F8CA9F"/>
      </w:tcPr>
    </w:tblStylePr>
    <w:tblStylePr w:type="band1Horz">
      <w:tblPr/>
      <w:tcPr>
        <w:shd w:val="clear" w:color="auto" w:fill="F8CA9F"/>
      </w:tcPr>
    </w:tblStylePr>
  </w:style>
  <w:style w:type="table" w:styleId="Grigliatabella">
    <w:name w:val="Table Grid"/>
    <w:basedOn w:val="Tabellanormale"/>
    <w:uiPriority w:val="59"/>
    <w:rsid w:val="0024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IFTitle3">
    <w:name w:val="CRIF Title 3"/>
    <w:basedOn w:val="CRIFTitle2"/>
    <w:link w:val="CRIFTitle3Carattere"/>
    <w:qFormat/>
    <w:rsid w:val="00CB1EDE"/>
    <w:rPr>
      <w:b w:val="0"/>
    </w:rPr>
  </w:style>
  <w:style w:type="character" w:customStyle="1" w:styleId="CRIFTitle2Carattere">
    <w:name w:val="CRIF Title 2 Carattere"/>
    <w:basedOn w:val="CRIFBodyTextChar"/>
    <w:link w:val="CRIFTitle2"/>
    <w:rsid w:val="00C431CE"/>
    <w:rPr>
      <w:rFonts w:eastAsiaTheme="minorEastAsia"/>
      <w:b/>
      <w:color w:val="003B79" w:themeColor="accent1"/>
      <w:sz w:val="20"/>
      <w:lang w:val="it-IT"/>
    </w:rPr>
  </w:style>
  <w:style w:type="paragraph" w:styleId="Sommario4">
    <w:name w:val="toc 4"/>
    <w:basedOn w:val="Normale"/>
    <w:next w:val="Normale"/>
    <w:autoRedefine/>
    <w:uiPriority w:val="39"/>
    <w:unhideWhenUsed/>
    <w:rsid w:val="000B1462"/>
    <w:pPr>
      <w:spacing w:after="0"/>
      <w:ind w:left="660"/>
    </w:pPr>
    <w:rPr>
      <w:sz w:val="18"/>
      <w:szCs w:val="18"/>
    </w:rPr>
  </w:style>
  <w:style w:type="character" w:customStyle="1" w:styleId="CRIFTitle3Carattere">
    <w:name w:val="CRIF Title 3 Carattere"/>
    <w:basedOn w:val="CRIFTitle2Carattere"/>
    <w:link w:val="CRIFTitle3"/>
    <w:rsid w:val="00CB1EDE"/>
    <w:rPr>
      <w:rFonts w:eastAsiaTheme="minorEastAsia"/>
      <w:b w:val="0"/>
      <w:color w:val="003B79" w:themeColor="accent1"/>
      <w:sz w:val="20"/>
      <w:lang w:val="it-IT"/>
    </w:rPr>
  </w:style>
  <w:style w:type="character" w:customStyle="1" w:styleId="Sommario1Carattere">
    <w:name w:val="Sommario 1 Carattere"/>
    <w:aliases w:val="CRIF Index Carattere"/>
    <w:basedOn w:val="Carpredefinitoparagrafo"/>
    <w:link w:val="Sommario1"/>
    <w:uiPriority w:val="39"/>
    <w:rsid w:val="007B316A"/>
    <w:rPr>
      <w:rFonts w:eastAsiaTheme="minorEastAsia"/>
      <w:b/>
      <w:bCs/>
      <w:caps/>
      <w:noProof/>
      <w:color w:val="003B79" w:themeColor="text1"/>
      <w:sz w:val="20"/>
      <w:szCs w:val="20"/>
      <w:lang w:val="it-IT" w:eastAsia="it-IT"/>
    </w:rPr>
  </w:style>
  <w:style w:type="table" w:styleId="Tabellasemplice1">
    <w:name w:val="Table Simple 1"/>
    <w:basedOn w:val="Tabellanormale"/>
    <w:uiPriority w:val="99"/>
    <w:semiHidden/>
    <w:unhideWhenUsed/>
    <w:rsid w:val="001F01C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ommario5">
    <w:name w:val="toc 5"/>
    <w:basedOn w:val="Normale"/>
    <w:next w:val="Normale"/>
    <w:autoRedefine/>
    <w:uiPriority w:val="39"/>
    <w:unhideWhenUsed/>
    <w:rsid w:val="00C13243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C13243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C13243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13243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13243"/>
    <w:pPr>
      <w:spacing w:after="0"/>
      <w:ind w:left="1760"/>
    </w:pPr>
    <w:rPr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C51"/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C51"/>
    <w:rPr>
      <w:rFonts w:asciiTheme="majorHAnsi" w:eastAsiaTheme="majorEastAsia" w:hAnsiTheme="majorHAnsi" w:cstheme="majorBidi"/>
      <w:color w:val="001D3C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C51"/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C51"/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paragraph" w:customStyle="1" w:styleId="CRIF1Title">
    <w:name w:val="CRIF 1.Title"/>
    <w:basedOn w:val="CRIFTitle"/>
    <w:rsid w:val="00587C54"/>
    <w:rPr>
      <w:lang w:val="it-IT"/>
    </w:rPr>
  </w:style>
  <w:style w:type="table" w:styleId="Elencochiaro-Colore1">
    <w:name w:val="Light List Accent 1"/>
    <w:basedOn w:val="Tabellanormale"/>
    <w:uiPriority w:val="61"/>
    <w:rsid w:val="00C11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3B79" w:themeColor="accent1"/>
        <w:left w:val="single" w:sz="8" w:space="0" w:color="003B79" w:themeColor="accent1"/>
        <w:bottom w:val="single" w:sz="8" w:space="0" w:color="003B79" w:themeColor="accent1"/>
        <w:right w:val="single" w:sz="8" w:space="0" w:color="003B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band1Horz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B32D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7D11" w:themeColor="accent2"/>
        <w:left w:val="single" w:sz="8" w:space="0" w:color="EE7D11" w:themeColor="accent2"/>
        <w:bottom w:val="single" w:sz="8" w:space="0" w:color="EE7D11" w:themeColor="accent2"/>
        <w:right w:val="single" w:sz="8" w:space="0" w:color="EE7D1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band1Horz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C7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fasicorsivo">
    <w:name w:val="Emphasis"/>
    <w:basedOn w:val="Carpredefinitoparagrafo"/>
    <w:uiPriority w:val="20"/>
    <w:qFormat/>
    <w:rsid w:val="00076251"/>
    <w:rPr>
      <w:i/>
      <w:iCs/>
    </w:rPr>
  </w:style>
  <w:style w:type="paragraph" w:styleId="Revisione">
    <w:name w:val="Revision"/>
    <w:hidden/>
    <w:uiPriority w:val="99"/>
    <w:semiHidden/>
    <w:rsid w:val="002C53BF"/>
    <w:pPr>
      <w:spacing w:after="0" w:line="240" w:lineRule="auto"/>
    </w:pPr>
    <w:rPr>
      <w:rFonts w:eastAsiaTheme="minorEastAsia"/>
    </w:rPr>
  </w:style>
  <w:style w:type="paragraph" w:styleId="Mappadocumento">
    <w:name w:val="Document Map"/>
    <w:basedOn w:val="Normale"/>
    <w:link w:val="MappadocumentoCarattere"/>
    <w:semiHidden/>
    <w:rsid w:val="002C53BF"/>
    <w:pPr>
      <w:shd w:val="clear" w:color="auto" w:fill="000080"/>
      <w:spacing w:after="40" w:line="240" w:lineRule="auto"/>
      <w:ind w:firstLine="284"/>
      <w:jc w:val="both"/>
    </w:pPr>
    <w:rPr>
      <w:rFonts w:ascii="Tahoma" w:eastAsia="Times New Roman" w:hAnsi="Tahoma" w:cs="Times New Roman"/>
      <w:snapToGrid w:val="0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2C53BF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it-IT" w:eastAsia="it-IT"/>
    </w:rPr>
  </w:style>
  <w:style w:type="character" w:styleId="Rimandocommento">
    <w:name w:val="annotation reference"/>
    <w:uiPriority w:val="99"/>
    <w:semiHidden/>
    <w:unhideWhenUsed/>
    <w:rsid w:val="002C53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53BF"/>
    <w:pPr>
      <w:spacing w:after="40" w:line="240" w:lineRule="auto"/>
      <w:ind w:firstLine="284"/>
      <w:jc w:val="both"/>
    </w:pPr>
    <w:rPr>
      <w:rFonts w:ascii="Verdana" w:eastAsia="Times New Roman" w:hAnsi="Verdana" w:cs="Times New Roman"/>
      <w:snapToGrid w:val="0"/>
      <w:sz w:val="20"/>
      <w:szCs w:val="20"/>
      <w:lang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53BF"/>
    <w:rPr>
      <w:rFonts w:ascii="Verdana" w:eastAsia="Times New Roman" w:hAnsi="Verdana" w:cs="Times New Roman"/>
      <w:snapToGrid w:val="0"/>
      <w:sz w:val="20"/>
      <w:szCs w:val="20"/>
      <w:lang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5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53BF"/>
    <w:rPr>
      <w:rFonts w:ascii="Verdana" w:eastAsia="Times New Roman" w:hAnsi="Verdana" w:cs="Times New Roman"/>
      <w:b/>
      <w:bCs/>
      <w:snapToGrid w:val="0"/>
      <w:sz w:val="20"/>
      <w:szCs w:val="20"/>
      <w:lang/>
    </w:rPr>
  </w:style>
  <w:style w:type="paragraph" w:customStyle="1" w:styleId="Corpsdetexte1">
    <w:name w:val="Corps de texte1"/>
    <w:basedOn w:val="Normale"/>
    <w:uiPriority w:val="99"/>
    <w:rsid w:val="002C53BF"/>
    <w:pPr>
      <w:autoSpaceDE w:val="0"/>
      <w:autoSpaceDN w:val="0"/>
      <w:spacing w:after="216" w:line="288" w:lineRule="auto"/>
    </w:pPr>
    <w:rPr>
      <w:rFonts w:ascii="HendersonBCGSerif-Regular" w:eastAsia="Calibri" w:hAnsi="HendersonBCGSerif-Regular" w:cs="Times New Roman"/>
      <w:color w:val="000000"/>
      <w:sz w:val="19"/>
      <w:szCs w:val="19"/>
      <w:lang w:val="fr-FR" w:eastAsia="fr-FR"/>
    </w:rPr>
  </w:style>
  <w:style w:type="character" w:customStyle="1" w:styleId="postbody1">
    <w:name w:val="postbody1"/>
    <w:rsid w:val="002C53BF"/>
    <w:rPr>
      <w:vanish w:val="0"/>
      <w:webHidden w:val="0"/>
      <w:specVanish w:val="0"/>
    </w:rPr>
  </w:style>
  <w:style w:type="paragraph" w:customStyle="1" w:styleId="introcapitolo">
    <w:name w:val="intro capitolo"/>
    <w:basedOn w:val="Normale"/>
    <w:qFormat/>
    <w:rsid w:val="002C53BF"/>
    <w:pPr>
      <w:widowControl w:val="0"/>
      <w:adjustRightInd w:val="0"/>
      <w:spacing w:after="160" w:line="280" w:lineRule="exact"/>
      <w:jc w:val="both"/>
      <w:textAlignment w:val="baseline"/>
    </w:pPr>
    <w:rPr>
      <w:rFonts w:ascii="Apex New Book" w:eastAsia="Times New Roman" w:hAnsi="Apex New Book" w:cs="Apex New Book"/>
      <w:color w:val="003882"/>
      <w:sz w:val="20"/>
      <w:szCs w:val="20"/>
      <w:lang w:val="it-IT" w:eastAsia="it-IT"/>
    </w:rPr>
  </w:style>
  <w:style w:type="character" w:styleId="Enfasigrassetto">
    <w:name w:val="Strong"/>
    <w:uiPriority w:val="22"/>
    <w:qFormat/>
    <w:rsid w:val="002C53B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C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2C53BF"/>
    <w:pPr>
      <w:spacing w:after="0" w:line="240" w:lineRule="auto"/>
    </w:pPr>
    <w:rPr>
      <w:rFonts w:ascii="Calibri" w:eastAsia="Calibri" w:hAnsi="Calibri" w:cs="Consolas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53BF"/>
    <w:rPr>
      <w:rFonts w:ascii="Calibri" w:eastAsia="Calibri" w:hAnsi="Calibri" w:cs="Consolas"/>
      <w:szCs w:val="21"/>
      <w:lang w:val="it-IT"/>
    </w:rPr>
  </w:style>
  <w:style w:type="character" w:customStyle="1" w:styleId="postbody">
    <w:name w:val="postbody"/>
    <w:rsid w:val="002C53BF"/>
  </w:style>
  <w:style w:type="table" w:styleId="Grigliamedia1-Colore2">
    <w:name w:val="Medium Grid 1 Accent 2"/>
    <w:basedOn w:val="Tabellanormale"/>
    <w:uiPriority w:val="67"/>
    <w:rsid w:val="001D5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  <w:insideV w:val="single" w:sz="8" w:space="0" w:color="F29D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D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88" w:themeFill="accent2" w:themeFillTint="7F"/>
      </w:tcPr>
    </w:tblStylePr>
    <w:tblStylePr w:type="band1Horz">
      <w:tblPr/>
      <w:tcPr>
        <w:shd w:val="clear" w:color="auto" w:fill="F6BD88" w:themeFill="accent2" w:themeFillTint="7F"/>
      </w:tcPr>
    </w:tblStylePr>
  </w:style>
  <w:style w:type="table" w:styleId="Grigliamedia3-Colore2">
    <w:name w:val="Medium Grid 3 Accent 2"/>
    <w:basedOn w:val="Tabellanormale"/>
    <w:uiPriority w:val="69"/>
    <w:rsid w:val="001D5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D1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88" w:themeFill="accent2" w:themeFillTint="7F"/>
      </w:tcPr>
    </w:tblStylePr>
  </w:style>
  <w:style w:type="character" w:customStyle="1" w:styleId="s56">
    <w:name w:val="s56"/>
    <w:basedOn w:val="Carpredefinitoparagrafo"/>
    <w:rsid w:val="001C5D53"/>
  </w:style>
  <w:style w:type="table" w:customStyle="1" w:styleId="Tabellagriglia5scura-colore21">
    <w:name w:val="Tabella griglia 5 scura - colore 21"/>
    <w:basedOn w:val="Tabellanormale"/>
    <w:uiPriority w:val="50"/>
    <w:rsid w:val="00C82C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D1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D11" w:themeFill="accent2"/>
      </w:tcPr>
    </w:tblStylePr>
    <w:tblStylePr w:type="band1Vert">
      <w:tblPr/>
      <w:tcPr>
        <w:shd w:val="clear" w:color="auto" w:fill="F8CA9F" w:themeFill="accent2" w:themeFillTint="66"/>
      </w:tcPr>
    </w:tblStylePr>
    <w:tblStylePr w:type="band1Horz">
      <w:tblPr/>
      <w:tcPr>
        <w:shd w:val="clear" w:color="auto" w:fill="F8CA9F" w:themeFill="accent2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07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09195">
                              <w:marLeft w:val="0"/>
                              <w:marRight w:val="4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7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0297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9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942">
      <w:bodyDiv w:val="1"/>
      <w:marLeft w:val="0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147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8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8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2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8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77marcorona\Desktop\Comunicato%20stampa.dotx" TargetMode="External"/></Relationships>
</file>

<file path=word/theme/theme1.xml><?xml version="1.0" encoding="utf-8"?>
<a:theme xmlns:a="http://schemas.openxmlformats.org/drawingml/2006/main" name="Crif Credit Solutions Theme">
  <a:themeElements>
    <a:clrScheme name="Personalizzato 1">
      <a:dk1>
        <a:srgbClr val="003B79"/>
      </a:dk1>
      <a:lt1>
        <a:sysClr val="window" lastClr="FFFFFF"/>
      </a:lt1>
      <a:dk2>
        <a:srgbClr val="EC7D11"/>
      </a:dk2>
      <a:lt2>
        <a:srgbClr val="EEECE1"/>
      </a:lt2>
      <a:accent1>
        <a:srgbClr val="003B79"/>
      </a:accent1>
      <a:accent2>
        <a:srgbClr val="EE7D11"/>
      </a:accent2>
      <a:accent3>
        <a:srgbClr val="B0CFED"/>
      </a:accent3>
      <a:accent4>
        <a:srgbClr val="D9E021"/>
      </a:accent4>
      <a:accent5>
        <a:srgbClr val="DDDDDD"/>
      </a:accent5>
      <a:accent6>
        <a:srgbClr val="FFFFFF"/>
      </a:accent6>
      <a:hlink>
        <a:srgbClr val="EC7D11"/>
      </a:hlink>
      <a:folHlink>
        <a:srgbClr val="800080"/>
      </a:folHlink>
    </a:clrScheme>
    <a:fontScheme name="Crif Credit Solution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B3595741814786E02C542869F5AE" ma:contentTypeVersion="18" ma:contentTypeDescription="Create a new document." ma:contentTypeScope="" ma:versionID="eb5b56892db935f7d8e3e814053f7a73">
  <xsd:schema xmlns:xsd="http://www.w3.org/2001/XMLSchema" xmlns:xs="http://www.w3.org/2001/XMLSchema" xmlns:p="http://schemas.microsoft.com/office/2006/metadata/properties" xmlns:ns2="cf0fb631-49ae-44a5-8545-7e7e59db4641" xmlns:ns3="41b5ca3c-ba29-412d-bcc5-38227231e36f" targetNamespace="http://schemas.microsoft.com/office/2006/metadata/properties" ma:root="true" ma:fieldsID="4ae05e3eaef1cd9a6ded8ead07c9ba80" ns2:_="" ns3:_="">
    <xsd:import namespace="cf0fb631-49ae-44a5-8545-7e7e59db4641"/>
    <xsd:import namespace="41b5ca3c-ba29-412d-bcc5-38227231e36f"/>
    <xsd:element name="properties">
      <xsd:complexType>
        <xsd:sequence>
          <xsd:element name="documentManagement">
            <xsd:complexType>
              <xsd:all>
                <xsd:element ref="ns2:p0a2749f76bc40de8959b2237d098e2e" minOccurs="0"/>
                <xsd:element ref="ns3:TaxCatchAll" minOccurs="0"/>
                <xsd:element ref="ns2:b0991263f9e346e991433195435dbf79" minOccurs="0"/>
                <xsd:element ref="ns2:o057b056b35744d890f57b04607ba3fe" minOccurs="0"/>
                <xsd:element ref="ns2:f87c1b955ea24a15b99467e74c118700" minOccurs="0"/>
                <xsd:element ref="ns2:lb8fd312a2fb46c1895b1b8c5a7a74a3" minOccurs="0"/>
                <xsd:element ref="ns2:gf17117edf8044d9abc3de4921d71b80" minOccurs="0"/>
                <xsd:element ref="ns2:acf51d82acb642079b1ae678463879fe" minOccurs="0"/>
                <xsd:element ref="ns2:g8929d194f644aa889bcf860ae35ca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b631-49ae-44a5-8545-7e7e59db4641" elementFormDefault="qualified">
    <xsd:import namespace="http://schemas.microsoft.com/office/2006/documentManagement/types"/>
    <xsd:import namespace="http://schemas.microsoft.com/office/infopath/2007/PartnerControls"/>
    <xsd:element name="p0a2749f76bc40de8959b2237d098e2e" ma:index="9" ma:taxonomy="true" ma:internalName="p0a2749f76bc40de8959b2237d098e2e" ma:taxonomyFieldName="CRIFDPTDepartment" ma:displayName="Crif Department" ma:default="1;#Finance Italy|8ac120e4-5478-4208-851b-bc26a01850a1" ma:fieldId="{90a2749f-76bc-40de-8959-b2237d098e2e}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991263f9e346e991433195435dbf79" ma:index="12" nillable="true" ma:taxonomy="true" ma:internalName="b0991263f9e346e991433195435dbf79" ma:taxonomyFieldName="CRIFDPTArea" ma:displayName="DPT Area" ma:default="2;#Market 1.1|441ca0e4-2e5f-435a-8021-15dfaa6daa11" ma:fieldId="{b0991263-f9e3-46e9-9143-3195435dbf79}" ma:taxonomyMulti="true" ma:sspId="73d35da6-a99a-44a4-943a-ec8cc720db12" ma:termSetId="52783539-8a4a-4ca8-93c9-a37c51724971" ma:anchorId="8ac120e4-5478-4208-851b-bc26a01850a1" ma:open="false" ma:isKeyword="false">
      <xsd:complexType>
        <xsd:sequence>
          <xsd:element ref="pc:Terms" minOccurs="0" maxOccurs="1"/>
        </xsd:sequence>
      </xsd:complexType>
    </xsd:element>
    <xsd:element name="o057b056b35744d890f57b04607ba3fe" ma:index="14" nillable="true" ma:taxonomy="true" ma:internalName="o057b056b35744d890f57b04607ba3fe" ma:taxonomyFieldName="CRIFAdditionalDepartment" ma:displayName="Additional Departments" ma:default="" ma:fieldId="{8057b056-b357-44d8-90f5-7b04607ba3fe}" ma:taxonomyMulti="true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c1b955ea24a15b99467e74c118700" ma:index="16" nillable="true" ma:taxonomy="true" ma:internalName="f87c1b955ea24a15b99467e74c118700" ma:taxonomyFieldName="CRIFM1DocumentType" ma:displayName="Type of Document" ma:default="16;#Not Specified|73162123-f564-4ad0-9a77-69ff6eb3b967" ma:fieldId="{f87c1b95-5ea2-4a15-b994-67e74c118700}" ma:taxonomyMulti="true" ma:sspId="73d35da6-a99a-44a4-943a-ec8cc720db12" ma:termSetId="f616c682-0eff-4f85-9ead-ccde46866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8fd312a2fb46c1895b1b8c5a7a74a3" ma:index="18" nillable="true" ma:taxonomy="true" ma:internalName="lb8fd312a2fb46c1895b1b8c5a7a74a3" ma:taxonomyFieldName="CRIFM1FrameworkPhase" ma:displayName="Framework Phase" ma:default="13;#Not Specified|d8f71dc2-db78-4d80-bad6-7109b72c9284" ma:fieldId="{5b8fd312-a2fb-46c1-895b-1b8c5a7a74a3}" ma:taxonomyMulti="true" ma:sspId="73d35da6-a99a-44a4-943a-ec8cc720db12" ma:termSetId="e10dd3b5-c09f-467f-bff5-340674e1b5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17117edf8044d9abc3de4921d71b80" ma:index="20" nillable="true" ma:taxonomy="true" ma:internalName="gf17117edf8044d9abc3de4921d71b80" ma:taxonomyFieldName="CRIFM1Line" ma:displayName="Line" ma:default="14;#Not Specified|fa1f6138-c0a1-4cb6-8089-b21b14d753aa" ma:fieldId="{0f17117e-df80-44d9-abc3-de4921d71b80}" ma:taxonomyMulti="true" ma:sspId="73d35da6-a99a-44a4-943a-ec8cc720db12" ma:termSetId="61c1dd05-b88d-44f8-bae3-d1a43186db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f51d82acb642079b1ae678463879fe" ma:index="22" nillable="true" ma:taxonomy="true" ma:internalName="acf51d82acb642079b1ae678463879fe" ma:taxonomyFieldName="CRIFM1Service" ma:displayName="Service" ma:default="15;#Not Specified|a9223184-192f-4abe-b27b-541d42754eb0" ma:fieldId="{acf51d82-acb6-4207-9b1a-e678463879fe}" ma:taxonomyMulti="true" ma:sspId="b8dc9f9c-cac6-4d46-bcdb-2b31b11f0812" ma:termSetId="a6803e96-5783-47b8-bbd6-b61ceaaceb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929d194f644aa889bcf860ae35ca86" ma:index="24" nillable="true" ma:taxonomy="true" ma:internalName="g8929d194f644aa889bcf860ae35ca86" ma:taxonomyFieldName="CRIFM1Client" ma:displayName="Client" ma:default="12;#NOT SPECIFIED|01a83b45-1dfb-428f-9685-192f2e281a23" ma:fieldId="{08929d19-4f64-4aa8-89bc-f860ae35ca86}" ma:taxonomyMulti="true" ma:sspId="b8dc9f9c-cac6-4d46-bcdb-2b31b11f0812" ma:termSetId="ee2e9d7f-0f34-48d0-a325-d5a342fd45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5ca3c-ba29-412d-bcc5-38227231e36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b07979-064f-4365-a171-9ce3fabae022}" ma:internalName="TaxCatchAll" ma:showField="CatchAllData" ma:web="cf0fb631-49ae-44a5-8545-7e7e59db4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a2749f76bc40de8959b2237d098e2e xmlns="cf0fb631-49ae-44a5-8545-7e7e59db4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Italy</TermName>
          <TermId xmlns="http://schemas.microsoft.com/office/infopath/2007/PartnerControls">8ac120e4-5478-4208-851b-bc26a01850a1</TermId>
        </TermInfo>
      </Terms>
    </p0a2749f76bc40de8959b2237d098e2e>
    <TaxCatchAll xmlns="41b5ca3c-ba29-412d-bcc5-38227231e36f">
      <Value>1</Value>
    </TaxCatchAll>
    <g8929d194f644aa889bcf860ae35ca86 xmlns="cf0fb631-49ae-44a5-8545-7e7e59db4641">
      <Terms xmlns="http://schemas.microsoft.com/office/infopath/2007/PartnerControls"/>
    </g8929d194f644aa889bcf860ae35ca86>
    <acf51d82acb642079b1ae678463879fe xmlns="cf0fb631-49ae-44a5-8545-7e7e59db4641">
      <Terms xmlns="http://schemas.microsoft.com/office/infopath/2007/PartnerControls"/>
    </acf51d82acb642079b1ae678463879fe>
    <gf17117edf8044d9abc3de4921d71b80 xmlns="cf0fb631-49ae-44a5-8545-7e7e59db4641">
      <Terms xmlns="http://schemas.microsoft.com/office/infopath/2007/PartnerControls"/>
    </gf17117edf8044d9abc3de4921d71b80>
    <f87c1b955ea24a15b99467e74c118700 xmlns="cf0fb631-49ae-44a5-8545-7e7e59db4641">
      <Terms xmlns="http://schemas.microsoft.com/office/infopath/2007/PartnerControls"/>
    </f87c1b955ea24a15b99467e74c118700>
    <b0991263f9e346e991433195435dbf79 xmlns="cf0fb631-49ae-44a5-8545-7e7e59db4641">
      <Terms xmlns="http://schemas.microsoft.com/office/infopath/2007/PartnerControls"/>
    </b0991263f9e346e991433195435dbf79>
    <lb8fd312a2fb46c1895b1b8c5a7a74a3 xmlns="cf0fb631-49ae-44a5-8545-7e7e59db4641">
      <Terms xmlns="http://schemas.microsoft.com/office/infopath/2007/PartnerControls"/>
    </lb8fd312a2fb46c1895b1b8c5a7a74a3>
    <o057b056b35744d890f57b04607ba3fe xmlns="cf0fb631-49ae-44a5-8545-7e7e59db4641">
      <Terms xmlns="http://schemas.microsoft.com/office/infopath/2007/PartnerControls"/>
    </o057b056b35744d890f57b04607ba3f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817FA-01B7-40EC-80B9-9A7A4ABB3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B005C-59E0-4E40-AA5B-D83FE44B1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9005E-DA81-4FE7-A89F-64C0DEF23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fb631-49ae-44a5-8545-7e7e59db4641"/>
    <ds:schemaRef ds:uri="41b5ca3c-ba29-412d-bcc5-38227231e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373165-87E4-4706-81E2-7300899BAD15}">
  <ds:schemaRefs>
    <ds:schemaRef ds:uri="http://schemas.microsoft.com/office/2006/metadata/properties"/>
    <ds:schemaRef ds:uri="http://schemas.microsoft.com/office/infopath/2007/PartnerControls"/>
    <ds:schemaRef ds:uri="cf0fb631-49ae-44a5-8545-7e7e59db4641"/>
    <ds:schemaRef ds:uri="41b5ca3c-ba29-412d-bcc5-38227231e36f"/>
  </ds:schemaRefs>
</ds:datastoreItem>
</file>

<file path=customXml/itemProps6.xml><?xml version="1.0" encoding="utf-8"?>
<ds:datastoreItem xmlns:ds="http://schemas.openxmlformats.org/officeDocument/2006/customXml" ds:itemID="{98E362C2-DF0F-42EF-98DA-B463060E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12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FFERTA COMMERCIALE/MANUALE PRODOTTO (SE POSSIBILE TITOLO NON PIÙ LUNGO DI TRE RIGHE)</vt:lpstr>
      <vt:lpstr>FFERTA COMMERCIALE/MANUALE PRODOTTO (SE POSSIBILE TITOLO NON PIÙ LUNGO DI TRE RIGHE)</vt:lpstr>
    </vt:vector>
  </TitlesOfParts>
  <Company>77Agency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FFERTA COMMERCIALE/MANUALE PRODOTTO (SE POSSIBILE TITOLO NON PIÙ LUNGO DI TRE RIGHE)</dc:title>
  <dc:subject>Luogo, giorno/mese/anno o Versione xy</dc:subject>
  <dc:creator>Coronas Maria Grazia</dc:creator>
  <cp:lastModifiedBy>paola</cp:lastModifiedBy>
  <cp:revision>5</cp:revision>
  <cp:lastPrinted>2017-10-11T07:33:00Z</cp:lastPrinted>
  <dcterms:created xsi:type="dcterms:W3CDTF">2017-10-13T08:00:00Z</dcterms:created>
  <dcterms:modified xsi:type="dcterms:W3CDTF">2017-10-14T11:29:00Z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0x01010020F8B3595741814786E02C542869F5AE</vt:lpwstr>
  </property>
  <property fmtid="{D5CDD505-2E9C-101B-9397-08002B2CF9AE}" pid="3" name="IsMyDocuments">
    <vt:bool>true</vt:bool>
  </property>
  <property fmtid="{D5CDD505-2E9C-101B-9397-08002B2CF9AE}" pid="4" name="CRIFAdditionalDepartment">
    <vt:lpwstr/>
  </property>
  <property fmtid="{D5CDD505-2E9C-101B-9397-08002B2CF9AE}" pid="5" name="CRIFM1Line">
    <vt:lpwstr/>
  </property>
  <property fmtid="{D5CDD505-2E9C-101B-9397-08002B2CF9AE}" pid="6" name="CRIFM1Client">
    <vt:lpwstr/>
  </property>
  <property fmtid="{D5CDD505-2E9C-101B-9397-08002B2CF9AE}" pid="7" name="CRIFDPTDepartment">
    <vt:lpwstr>1;#Finance Italy|8ac120e4-5478-4208-851b-bc26a01850a1</vt:lpwstr>
  </property>
  <property fmtid="{D5CDD505-2E9C-101B-9397-08002B2CF9AE}" pid="8" name="CRIFM1Service">
    <vt:lpwstr/>
  </property>
  <property fmtid="{D5CDD505-2E9C-101B-9397-08002B2CF9AE}" pid="9" name="CRIFM1DocumentType">
    <vt:lpwstr/>
  </property>
  <property fmtid="{D5CDD505-2E9C-101B-9397-08002B2CF9AE}" pid="10" name="CRIFM1FrameworkPhase">
    <vt:lpwstr/>
  </property>
  <property fmtid="{D5CDD505-2E9C-101B-9397-08002B2CF9AE}" pid="11" name="CRIFDPTArea">
    <vt:lpwstr/>
  </property>
</Properties>
</file>