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81" w:rsidRDefault="00C9586D" w:rsidP="00191A69">
      <w:pPr>
        <w:pStyle w:val="CRIFQuote"/>
        <w:rPr>
          <w:lang w:val="it-IT"/>
        </w:rPr>
      </w:pPr>
      <w:bookmarkStart w:id="0" w:name="_Toc433368662"/>
      <w:r>
        <w:rPr>
          <w:noProof/>
          <w:lang w:val="it-IT" w:eastAsia="it-IT"/>
        </w:rPr>
        <w:t xml:space="preserve">COMUNICATO STAMPA </w:t>
      </w:r>
      <w:r w:rsidR="00A4069D">
        <w:rPr>
          <w:noProof/>
          <w:lang w:val="it-IT" w:eastAsia="it-IT"/>
        </w:rPr>
        <w:t xml:space="preserve">BAROMETRO CRIF </w:t>
      </w:r>
    </w:p>
    <w:p w:rsidR="00191A69" w:rsidRPr="00BD1E2E" w:rsidRDefault="00BD1ED5" w:rsidP="00BD1E2E">
      <w:pPr>
        <w:jc w:val="center"/>
        <w:rPr>
          <w:b/>
          <w:bCs/>
          <w:iCs/>
          <w:color w:val="003B79"/>
          <w:sz w:val="21"/>
          <w:szCs w:val="21"/>
          <w:lang w:val="it-IT"/>
        </w:rPr>
      </w:pPr>
      <w:r w:rsidRPr="00BD1E2E">
        <w:rPr>
          <w:b/>
          <w:color w:val="003B79"/>
          <w:sz w:val="21"/>
          <w:szCs w:val="21"/>
          <w:lang w:val="it-IT"/>
        </w:rPr>
        <w:t xml:space="preserve">NEL </w:t>
      </w:r>
      <w:r w:rsidR="001F5881" w:rsidRPr="00BD1E2E">
        <w:rPr>
          <w:b/>
          <w:color w:val="003B79"/>
          <w:sz w:val="21"/>
          <w:szCs w:val="21"/>
          <w:lang w:val="it-IT"/>
        </w:rPr>
        <w:t>2018</w:t>
      </w:r>
      <w:r w:rsidRPr="00BD1E2E">
        <w:rPr>
          <w:b/>
          <w:color w:val="003B79"/>
          <w:sz w:val="21"/>
          <w:szCs w:val="21"/>
          <w:lang w:val="it-IT"/>
        </w:rPr>
        <w:t xml:space="preserve"> </w:t>
      </w:r>
      <w:r w:rsidR="00BD1E2E" w:rsidRPr="00BD1E2E">
        <w:rPr>
          <w:b/>
          <w:bCs/>
          <w:iCs/>
          <w:color w:val="003B79"/>
          <w:sz w:val="21"/>
          <w:szCs w:val="21"/>
          <w:lang w:val="it-IT"/>
        </w:rPr>
        <w:t xml:space="preserve">SI CONSOLIDA LA CRESCITA DELLE RICHIESTE DI NUOVI PRESTITI DA PARTE DELLE FAMIGLIE (+5,0%) MA </w:t>
      </w:r>
      <w:r w:rsidR="00BD1E2E">
        <w:rPr>
          <w:b/>
          <w:color w:val="003B79"/>
          <w:sz w:val="21"/>
          <w:szCs w:val="21"/>
          <w:lang w:val="it-IT"/>
        </w:rPr>
        <w:t>RALLENTANO</w:t>
      </w:r>
      <w:r w:rsidRPr="00BD1E2E">
        <w:rPr>
          <w:b/>
          <w:color w:val="003B79"/>
          <w:sz w:val="21"/>
          <w:szCs w:val="21"/>
          <w:lang w:val="it-IT"/>
        </w:rPr>
        <w:t xml:space="preserve"> </w:t>
      </w:r>
      <w:r w:rsidR="00BD1E2E">
        <w:rPr>
          <w:b/>
          <w:color w:val="003B79"/>
          <w:sz w:val="21"/>
          <w:szCs w:val="21"/>
          <w:lang w:val="it-IT"/>
        </w:rPr>
        <w:t xml:space="preserve">QUELLE DI </w:t>
      </w:r>
      <w:r w:rsidR="001F5881" w:rsidRPr="00BD1E2E">
        <w:rPr>
          <w:b/>
          <w:color w:val="003B79"/>
          <w:sz w:val="21"/>
          <w:szCs w:val="21"/>
          <w:lang w:val="it-IT"/>
        </w:rPr>
        <w:t xml:space="preserve">MUTUI </w:t>
      </w:r>
      <w:r w:rsidR="006B4921">
        <w:rPr>
          <w:b/>
          <w:color w:val="003B79"/>
          <w:sz w:val="21"/>
          <w:szCs w:val="21"/>
          <w:lang w:val="it-IT"/>
        </w:rPr>
        <w:br/>
      </w:r>
      <w:bookmarkStart w:id="1" w:name="_GoBack"/>
      <w:bookmarkEnd w:id="1"/>
      <w:r w:rsidR="00191A69" w:rsidRPr="00BD1E2E">
        <w:rPr>
          <w:b/>
          <w:color w:val="003B79"/>
          <w:sz w:val="21"/>
          <w:szCs w:val="21"/>
          <w:lang w:val="it-IT"/>
        </w:rPr>
        <w:t>(</w:t>
      </w:r>
      <w:r w:rsidR="0070383E" w:rsidRPr="00BD1E2E">
        <w:rPr>
          <w:b/>
          <w:color w:val="003B79"/>
          <w:sz w:val="21"/>
          <w:szCs w:val="21"/>
          <w:lang w:val="it-IT"/>
        </w:rPr>
        <w:t>-0,6%</w:t>
      </w:r>
      <w:r w:rsidR="00BD1E2E">
        <w:rPr>
          <w:b/>
          <w:color w:val="003B79"/>
          <w:sz w:val="21"/>
          <w:szCs w:val="21"/>
          <w:lang w:val="it-IT"/>
        </w:rPr>
        <w:t>) A CAUSA DEL RIDIMENSIONAMENTO DELLE</w:t>
      </w:r>
      <w:r w:rsidR="00BD1E2E" w:rsidRPr="00BD1E2E">
        <w:rPr>
          <w:b/>
          <w:color w:val="003B79"/>
          <w:sz w:val="21"/>
          <w:szCs w:val="21"/>
          <w:lang w:val="it-IT"/>
        </w:rPr>
        <w:t xml:space="preserve"> SURROGHE</w:t>
      </w:r>
    </w:p>
    <w:p w:rsidR="001F5881" w:rsidRPr="001F5881" w:rsidRDefault="008C5D0B" w:rsidP="008C5D0B">
      <w:pPr>
        <w:spacing w:after="120"/>
        <w:jc w:val="center"/>
        <w:rPr>
          <w:color w:val="003B79"/>
          <w:lang w:val="it-IT"/>
        </w:rPr>
      </w:pPr>
      <w:r>
        <w:rPr>
          <w:b/>
          <w:color w:val="003B79"/>
          <w:sz w:val="20"/>
          <w:szCs w:val="20"/>
          <w:lang w:val="it-IT"/>
        </w:rPr>
        <w:t xml:space="preserve">In </w:t>
      </w:r>
      <w:r w:rsidR="001F5881" w:rsidRPr="00191A69">
        <w:rPr>
          <w:b/>
          <w:color w:val="003B79"/>
          <w:sz w:val="20"/>
          <w:szCs w:val="20"/>
          <w:lang w:val="it-IT"/>
        </w:rPr>
        <w:t>crescit</w:t>
      </w:r>
      <w:r w:rsidR="0054235E" w:rsidRPr="00191A69">
        <w:rPr>
          <w:b/>
          <w:color w:val="003B79"/>
          <w:sz w:val="20"/>
          <w:szCs w:val="20"/>
          <w:lang w:val="it-IT"/>
        </w:rPr>
        <w:t xml:space="preserve">a </w:t>
      </w:r>
      <w:r w:rsidR="0057264C" w:rsidRPr="00191A69">
        <w:rPr>
          <w:b/>
          <w:color w:val="003B79"/>
          <w:sz w:val="20"/>
          <w:szCs w:val="20"/>
          <w:lang w:val="it-IT"/>
        </w:rPr>
        <w:t>l’importo medio</w:t>
      </w:r>
      <w:r w:rsidR="00BD1ED5" w:rsidRPr="00191A69">
        <w:rPr>
          <w:b/>
          <w:color w:val="003B79"/>
          <w:sz w:val="20"/>
          <w:szCs w:val="20"/>
          <w:lang w:val="it-IT"/>
        </w:rPr>
        <w:t xml:space="preserve"> richiesto</w:t>
      </w:r>
      <w:r>
        <w:rPr>
          <w:b/>
          <w:color w:val="003B79"/>
          <w:sz w:val="20"/>
          <w:szCs w:val="20"/>
          <w:lang w:val="it-IT"/>
        </w:rPr>
        <w:t xml:space="preserve"> per tutte le forme tecniche.</w:t>
      </w:r>
    </w:p>
    <w:p w:rsidR="00376CEF" w:rsidRPr="008105F1" w:rsidRDefault="00376CEF" w:rsidP="008A1866">
      <w:pPr>
        <w:spacing w:after="0" w:line="360" w:lineRule="auto"/>
        <w:jc w:val="center"/>
        <w:rPr>
          <w:b/>
          <w:bCs/>
          <w:iCs/>
          <w:color w:val="003B79"/>
          <w:sz w:val="20"/>
          <w:szCs w:val="20"/>
          <w:lang w:val="it-IT"/>
        </w:rPr>
      </w:pPr>
    </w:p>
    <w:p w:rsidR="007866EB" w:rsidRDefault="004C1495" w:rsidP="007866EB">
      <w:pPr>
        <w:pStyle w:val="CRIFBodyText"/>
        <w:spacing w:after="0"/>
        <w:rPr>
          <w:lang w:val="it-IT"/>
        </w:rPr>
      </w:pPr>
      <w:r w:rsidRPr="004238F0">
        <w:rPr>
          <w:i/>
          <w:lang w:val="it-IT"/>
        </w:rPr>
        <w:t xml:space="preserve">Bologna, </w:t>
      </w:r>
      <w:r w:rsidR="00BD1E2E">
        <w:rPr>
          <w:i/>
          <w:lang w:val="it-IT"/>
        </w:rPr>
        <w:t>21</w:t>
      </w:r>
      <w:r w:rsidR="0054235E">
        <w:rPr>
          <w:i/>
          <w:lang w:val="it-IT"/>
        </w:rPr>
        <w:t xml:space="preserve"> gennaio</w:t>
      </w:r>
      <w:r w:rsidR="00250578" w:rsidRPr="004238F0">
        <w:rPr>
          <w:i/>
          <w:lang w:val="it-IT"/>
        </w:rPr>
        <w:t xml:space="preserve"> </w:t>
      </w:r>
      <w:r w:rsidR="00CE0C3A" w:rsidRPr="004238F0">
        <w:rPr>
          <w:i/>
          <w:lang w:val="it-IT"/>
        </w:rPr>
        <w:t>201</w:t>
      </w:r>
      <w:r w:rsidR="000A15BC">
        <w:rPr>
          <w:i/>
          <w:lang w:val="it-IT"/>
        </w:rPr>
        <w:t>9</w:t>
      </w:r>
      <w:r w:rsidRPr="004C1495">
        <w:rPr>
          <w:lang w:val="it-IT"/>
        </w:rPr>
        <w:t xml:space="preserve"> – </w:t>
      </w:r>
      <w:r w:rsidR="007866EB">
        <w:rPr>
          <w:lang w:val="it-IT"/>
        </w:rPr>
        <w:t xml:space="preserve">L’anno appena concluso si è caratterizzato per una </w:t>
      </w:r>
      <w:r w:rsidR="007866EB" w:rsidRPr="007866EB">
        <w:rPr>
          <w:b/>
          <w:lang w:val="it-IT"/>
        </w:rPr>
        <w:t>crescita</w:t>
      </w:r>
      <w:r w:rsidR="00BD1E2E">
        <w:rPr>
          <w:b/>
          <w:lang w:val="it-IT"/>
        </w:rPr>
        <w:t xml:space="preserve"> complessiva</w:t>
      </w:r>
      <w:r w:rsidR="007866EB" w:rsidRPr="007866EB">
        <w:rPr>
          <w:b/>
          <w:lang w:val="it-IT"/>
        </w:rPr>
        <w:t xml:space="preserve"> delle richieste di credito da parte delle famiglie italiane</w:t>
      </w:r>
      <w:r w:rsidR="007866EB">
        <w:rPr>
          <w:lang w:val="it-IT"/>
        </w:rPr>
        <w:t xml:space="preserve">. </w:t>
      </w:r>
    </w:p>
    <w:p w:rsidR="00496D33" w:rsidRDefault="00EB3A6B" w:rsidP="00496D33">
      <w:pPr>
        <w:pStyle w:val="CRIFBodyText"/>
        <w:spacing w:after="0"/>
        <w:rPr>
          <w:bCs/>
          <w:iCs/>
          <w:lang w:val="it-IT"/>
        </w:rPr>
      </w:pPr>
      <w:r>
        <w:rPr>
          <w:lang w:val="it-IT"/>
        </w:rPr>
        <w:t xml:space="preserve">Per quanto riguarda </w:t>
      </w:r>
      <w:r w:rsidRPr="00EB3A6B">
        <w:rPr>
          <w:b/>
          <w:lang w:val="it-IT"/>
        </w:rPr>
        <w:t>i prestiti</w:t>
      </w:r>
      <w:r w:rsidR="00BD1E2E">
        <w:rPr>
          <w:lang w:val="it-IT"/>
        </w:rPr>
        <w:t xml:space="preserve">, nell’aggregato di personali più finalizzati, </w:t>
      </w:r>
      <w:r>
        <w:rPr>
          <w:lang w:val="it-IT"/>
        </w:rPr>
        <w:t xml:space="preserve">il numero delle richieste è cresciuto del </w:t>
      </w:r>
      <w:r w:rsidRPr="0090267B">
        <w:rPr>
          <w:b/>
          <w:lang w:val="it-IT"/>
        </w:rPr>
        <w:t xml:space="preserve">+5,0% </w:t>
      </w:r>
      <w:r w:rsidRPr="00143656">
        <w:rPr>
          <w:b/>
          <w:lang w:val="it-IT"/>
        </w:rPr>
        <w:t>rispetto al 2017</w:t>
      </w:r>
      <w:r>
        <w:rPr>
          <w:lang w:val="it-IT"/>
        </w:rPr>
        <w:t>.</w:t>
      </w:r>
      <w:r w:rsidR="00496D33" w:rsidRPr="00496D33">
        <w:rPr>
          <w:b/>
          <w:bCs/>
          <w:iCs/>
          <w:color w:val="003B79"/>
          <w:lang w:val="it-IT"/>
        </w:rPr>
        <w:t xml:space="preserve"> </w:t>
      </w:r>
      <w:r w:rsidR="00496D33" w:rsidRPr="00496D33">
        <w:rPr>
          <w:bCs/>
          <w:iCs/>
          <w:lang w:val="it-IT"/>
        </w:rPr>
        <w:t xml:space="preserve">La buona performance </w:t>
      </w:r>
      <w:r w:rsidR="00496D33">
        <w:rPr>
          <w:bCs/>
          <w:iCs/>
          <w:lang w:val="it-IT"/>
        </w:rPr>
        <w:t xml:space="preserve">del comparto </w:t>
      </w:r>
      <w:r w:rsidR="00496D33" w:rsidRPr="00496D33">
        <w:rPr>
          <w:bCs/>
          <w:iCs/>
          <w:lang w:val="it-IT"/>
        </w:rPr>
        <w:t>è determinata principalmente dai prestiti personali</w:t>
      </w:r>
      <w:r w:rsidR="00052A7C">
        <w:rPr>
          <w:bCs/>
          <w:iCs/>
          <w:lang w:val="it-IT"/>
        </w:rPr>
        <w:t>, ma anche quelli finalizzati</w:t>
      </w:r>
      <w:r w:rsidR="00496D33" w:rsidRPr="00496D33">
        <w:rPr>
          <w:bCs/>
          <w:iCs/>
          <w:lang w:val="it-IT"/>
        </w:rPr>
        <w:t xml:space="preserve"> si sono posizionati in territorio positivo.</w:t>
      </w:r>
    </w:p>
    <w:p w:rsidR="00BD1E2E" w:rsidRDefault="00BD1E2E" w:rsidP="00BD1E2E">
      <w:pPr>
        <w:pStyle w:val="CRIFBodyText"/>
        <w:spacing w:after="0"/>
        <w:rPr>
          <w:lang w:val="it-IT"/>
        </w:rPr>
      </w:pPr>
      <w:r>
        <w:rPr>
          <w:lang w:val="it-IT"/>
        </w:rPr>
        <w:t xml:space="preserve">Relativamente al </w:t>
      </w:r>
      <w:r w:rsidRPr="00EB3A6B">
        <w:rPr>
          <w:b/>
          <w:lang w:val="it-IT"/>
        </w:rPr>
        <w:t>comparto dei mutui</w:t>
      </w:r>
      <w:r>
        <w:rPr>
          <w:lang w:val="it-IT"/>
        </w:rPr>
        <w:t xml:space="preserve">, invece, è stato positivo il recupero delle interrogazioni relative ai nuovi mutui di acquisto seppur non completamente compensato dal ridimensionamento di quelle per surroghe e sostituzioni, che nel complesso ha determinato una lieve </w:t>
      </w:r>
      <w:r w:rsidRPr="00191A69">
        <w:rPr>
          <w:b/>
          <w:lang w:val="it-IT"/>
        </w:rPr>
        <w:t>flessione del</w:t>
      </w:r>
      <w:r>
        <w:rPr>
          <w:b/>
          <w:lang w:val="it-IT"/>
        </w:rPr>
        <w:t>le richieste, pari a</w:t>
      </w:r>
      <w:r>
        <w:rPr>
          <w:lang w:val="it-IT"/>
        </w:rPr>
        <w:t xml:space="preserve"> </w:t>
      </w:r>
      <w:r w:rsidRPr="00AA3CC7">
        <w:rPr>
          <w:b/>
          <w:lang w:val="it-IT"/>
        </w:rPr>
        <w:t>-0,6%</w:t>
      </w:r>
      <w:r>
        <w:rPr>
          <w:b/>
          <w:lang w:val="it-IT"/>
        </w:rPr>
        <w:t xml:space="preserve"> </w:t>
      </w:r>
      <w:r w:rsidRPr="00EB3A6B">
        <w:rPr>
          <w:lang w:val="it-IT"/>
        </w:rPr>
        <w:t>rispetto all’anno precedente</w:t>
      </w:r>
      <w:r>
        <w:rPr>
          <w:lang w:val="it-IT"/>
        </w:rPr>
        <w:t xml:space="preserve">. </w:t>
      </w:r>
    </w:p>
    <w:p w:rsidR="00BD1E2E" w:rsidRDefault="00BD1E2E" w:rsidP="00496D33">
      <w:pPr>
        <w:pStyle w:val="CRIFBodyText"/>
        <w:spacing w:after="0"/>
        <w:rPr>
          <w:bCs/>
          <w:iCs/>
          <w:lang w:val="it-IT"/>
        </w:rPr>
      </w:pPr>
    </w:p>
    <w:p w:rsidR="00EB3A6B" w:rsidRDefault="00496D33" w:rsidP="008C5D0B">
      <w:pPr>
        <w:pStyle w:val="CRIFBodyText"/>
        <w:spacing w:after="0"/>
        <w:rPr>
          <w:lang w:val="it-IT"/>
        </w:rPr>
      </w:pPr>
      <w:r w:rsidRPr="00496D33">
        <w:rPr>
          <w:szCs w:val="20"/>
          <w:lang w:val="it-IT"/>
        </w:rPr>
        <w:t xml:space="preserve">Queste le principali evidenze che emergono dall’ultimo aggiornamento del </w:t>
      </w:r>
      <w:r w:rsidRPr="00496D33">
        <w:rPr>
          <w:b/>
          <w:szCs w:val="20"/>
          <w:lang w:val="it-IT"/>
        </w:rPr>
        <w:t>Barometro d</w:t>
      </w:r>
      <w:r>
        <w:rPr>
          <w:b/>
          <w:szCs w:val="20"/>
          <w:lang w:val="it-IT"/>
        </w:rPr>
        <w:t>el Credito alle F</w:t>
      </w:r>
      <w:r w:rsidRPr="00496D33">
        <w:rPr>
          <w:b/>
          <w:szCs w:val="20"/>
          <w:lang w:val="it-IT"/>
        </w:rPr>
        <w:t>amiglie in Italia</w:t>
      </w:r>
      <w:r w:rsidRPr="00496D33">
        <w:rPr>
          <w:szCs w:val="20"/>
          <w:lang w:val="it-IT"/>
        </w:rPr>
        <w:t xml:space="preserve"> che si fonda sul </w:t>
      </w:r>
      <w:r w:rsidRPr="00496D33">
        <w:rPr>
          <w:bCs/>
          <w:iCs/>
          <w:lang w:val="it-IT"/>
        </w:rPr>
        <w:t>patrimonio informativo di EURISC, Il Sistema di Informazioni Creditizie di CRIF</w:t>
      </w:r>
      <w:r w:rsidRPr="00496D33">
        <w:rPr>
          <w:szCs w:val="20"/>
          <w:lang w:val="it-IT"/>
        </w:rPr>
        <w:t xml:space="preserve"> che raccoglie i dati relativi a oltre 85 milioni di posizioni creditizie. </w:t>
      </w:r>
    </w:p>
    <w:p w:rsidR="008C5D0B" w:rsidRDefault="008C5D0B" w:rsidP="008C5D0B">
      <w:pPr>
        <w:pStyle w:val="CRIFBodyText"/>
        <w:spacing w:after="0"/>
        <w:rPr>
          <w:lang w:val="it-IT"/>
        </w:rPr>
      </w:pPr>
    </w:p>
    <w:bookmarkEnd w:id="0"/>
    <w:p w:rsidR="00191A69" w:rsidRPr="008C5D0B" w:rsidRDefault="008C5D0B" w:rsidP="008C5D0B">
      <w:pPr>
        <w:pStyle w:val="CRIFTitle2"/>
      </w:pPr>
      <w:r w:rsidRPr="007270FB">
        <w:t>L’</w:t>
      </w:r>
      <w:r>
        <w:t>ANDAMENTO DELLE RICHIESTE D</w:t>
      </w:r>
      <w:r w:rsidRPr="007270FB">
        <w:t xml:space="preserve">I </w:t>
      </w:r>
      <w:r>
        <w:t>PRESTITI NELL’ANNO 2018</w:t>
      </w:r>
    </w:p>
    <w:p w:rsidR="00191A69" w:rsidRPr="00F758A8" w:rsidRDefault="00191A69" w:rsidP="00F758A8">
      <w:pPr>
        <w:pStyle w:val="CRIFBodyText"/>
        <w:rPr>
          <w:lang w:val="it-IT"/>
        </w:rPr>
      </w:pPr>
      <w:r w:rsidRPr="008C5D0B">
        <w:rPr>
          <w:lang w:val="it-IT"/>
        </w:rPr>
        <w:t xml:space="preserve">Il 2018 si è chiuso con una performance </w:t>
      </w:r>
      <w:r w:rsidR="008C5D0B">
        <w:rPr>
          <w:lang w:val="it-IT"/>
        </w:rPr>
        <w:t xml:space="preserve">leggermente </w:t>
      </w:r>
      <w:r w:rsidRPr="008C5D0B">
        <w:rPr>
          <w:lang w:val="it-IT"/>
        </w:rPr>
        <w:t xml:space="preserve">negativa </w:t>
      </w:r>
      <w:r w:rsidR="008C5D0B">
        <w:rPr>
          <w:lang w:val="it-IT"/>
        </w:rPr>
        <w:t>(</w:t>
      </w:r>
      <w:r w:rsidRPr="008C5D0B">
        <w:rPr>
          <w:lang w:val="it-IT"/>
        </w:rPr>
        <w:t xml:space="preserve">-0,2% </w:t>
      </w:r>
      <w:r w:rsidR="00BD1E2E">
        <w:rPr>
          <w:lang w:val="it-IT"/>
        </w:rPr>
        <w:t xml:space="preserve">a dicembre </w:t>
      </w:r>
      <w:r w:rsidRPr="008C5D0B">
        <w:rPr>
          <w:lang w:val="it-IT"/>
        </w:rPr>
        <w:t xml:space="preserve">rispetto al </w:t>
      </w:r>
      <w:r w:rsidR="00BD1E2E">
        <w:rPr>
          <w:lang w:val="it-IT"/>
        </w:rPr>
        <w:t>corrispondente periodo</w:t>
      </w:r>
      <w:r w:rsidRPr="008C5D0B">
        <w:rPr>
          <w:lang w:val="it-IT"/>
        </w:rPr>
        <w:t xml:space="preserve"> 2017) relativamente al</w:t>
      </w:r>
      <w:r w:rsidR="00F758A8">
        <w:rPr>
          <w:lang w:val="it-IT"/>
        </w:rPr>
        <w:t>le</w:t>
      </w:r>
      <w:r w:rsidRPr="008C5D0B">
        <w:rPr>
          <w:lang w:val="it-IT"/>
        </w:rPr>
        <w:t xml:space="preserve"> richieste di prestiti personali e finalizzati da parte delle famiglie italiane</w:t>
      </w:r>
      <w:r>
        <w:rPr>
          <w:lang w:val="it-IT"/>
        </w:rPr>
        <w:t xml:space="preserve"> </w:t>
      </w:r>
      <w:r w:rsidR="008C5D0B">
        <w:rPr>
          <w:lang w:val="it-IT"/>
        </w:rPr>
        <w:t>ma questa lieve frenata non incide in modo significativo sul</w:t>
      </w:r>
      <w:r w:rsidR="00F758A8">
        <w:rPr>
          <w:lang w:val="it-IT"/>
        </w:rPr>
        <w:t xml:space="preserve"> </w:t>
      </w:r>
      <w:r w:rsidR="00F758A8" w:rsidRPr="00F758A8">
        <w:rPr>
          <w:b/>
          <w:lang w:val="it-IT"/>
        </w:rPr>
        <w:t>consolidamento del</w:t>
      </w:r>
      <w:r w:rsidR="008C5D0B" w:rsidRPr="00F758A8">
        <w:rPr>
          <w:b/>
          <w:lang w:val="it-IT"/>
        </w:rPr>
        <w:t xml:space="preserve"> </w:t>
      </w:r>
      <w:r w:rsidRPr="00F758A8">
        <w:rPr>
          <w:b/>
          <w:lang w:val="it-IT"/>
        </w:rPr>
        <w:t>trend</w:t>
      </w:r>
      <w:r w:rsidRPr="00143656">
        <w:rPr>
          <w:b/>
          <w:lang w:val="it-IT"/>
        </w:rPr>
        <w:t xml:space="preserve"> di crescita </w:t>
      </w:r>
      <w:r w:rsidR="00F758A8">
        <w:rPr>
          <w:b/>
          <w:lang w:val="it-IT"/>
        </w:rPr>
        <w:t xml:space="preserve">che, </w:t>
      </w:r>
      <w:r w:rsidRPr="00143656">
        <w:rPr>
          <w:b/>
          <w:lang w:val="it-IT"/>
        </w:rPr>
        <w:t>su base annua</w:t>
      </w:r>
      <w:r>
        <w:rPr>
          <w:lang w:val="it-IT"/>
        </w:rPr>
        <w:t xml:space="preserve">, complessivamente </w:t>
      </w:r>
      <w:r w:rsidR="00F758A8">
        <w:rPr>
          <w:lang w:val="it-IT"/>
        </w:rPr>
        <w:t>fa</w:t>
      </w:r>
      <w:r>
        <w:rPr>
          <w:lang w:val="it-IT"/>
        </w:rPr>
        <w:t xml:space="preserve"> segnare un </w:t>
      </w:r>
      <w:r w:rsidRPr="0090267B">
        <w:rPr>
          <w:b/>
          <w:lang w:val="it-IT"/>
        </w:rPr>
        <w:t xml:space="preserve">+5,0% </w:t>
      </w:r>
      <w:r w:rsidRPr="00143656">
        <w:rPr>
          <w:b/>
          <w:lang w:val="it-IT"/>
        </w:rPr>
        <w:t>rispetto al 2017</w:t>
      </w:r>
      <w:r>
        <w:rPr>
          <w:lang w:val="it-IT"/>
        </w:rPr>
        <w:t>.</w:t>
      </w:r>
    </w:p>
    <w:p w:rsidR="00874A06" w:rsidRPr="00F758A8" w:rsidRDefault="00191A69" w:rsidP="00F758A8">
      <w:pPr>
        <w:pStyle w:val="CRIFBodyText"/>
        <w:rPr>
          <w:lang w:val="it-IT"/>
        </w:rPr>
      </w:pPr>
      <w:r w:rsidRPr="00075D29">
        <w:rPr>
          <w:lang w:val="it-IT"/>
        </w:rPr>
        <w:t>Nel suo complesso il confronto della performance dell’intero anno risulta positiva anche nel confronto con gli anni precedenti, mostrando come il comparto abbia continuato a consolidarsi negli ultimi anni.</w:t>
      </w:r>
    </w:p>
    <w:p w:rsidR="00191A69" w:rsidRDefault="00191A69" w:rsidP="00191A69">
      <w:pPr>
        <w:pStyle w:val="CRIFTitle2"/>
        <w:spacing w:after="0" w:line="276" w:lineRule="auto"/>
        <w:jc w:val="center"/>
      </w:pPr>
      <w:r>
        <w:lastRenderedPageBreak/>
        <w:t>Variazione cumulata del numero di richieste di</w:t>
      </w:r>
      <w:r w:rsidRPr="00F9539A">
        <w:t xml:space="preserve"> </w:t>
      </w:r>
      <w:r>
        <w:t>nuovi prestiti</w:t>
      </w:r>
      <w:r w:rsidRPr="00F9539A">
        <w:t xml:space="preserve"> </w:t>
      </w:r>
      <w:r>
        <w:t>personali + finalizzati</w:t>
      </w:r>
    </w:p>
    <w:p w:rsidR="00191A69" w:rsidRDefault="00191A69" w:rsidP="00191A69">
      <w:pPr>
        <w:pStyle w:val="CRIFTitle2"/>
        <w:spacing w:after="0" w:line="276" w:lineRule="auto"/>
        <w:jc w:val="center"/>
      </w:pPr>
      <w:r>
        <w:t xml:space="preserve">nell’anno 2018 (dato ponderato </w:t>
      </w:r>
      <w:r w:rsidRPr="00F9539A">
        <w:t>a parità di giorni lavorativi</w:t>
      </w:r>
      <w:r>
        <w:t>)</w:t>
      </w:r>
    </w:p>
    <w:p w:rsidR="00191A69" w:rsidRDefault="00191A69" w:rsidP="00191A69">
      <w:pPr>
        <w:pStyle w:val="CRIFTitle2"/>
        <w:spacing w:after="0" w:line="276" w:lineRule="auto"/>
      </w:pPr>
    </w:p>
    <w:tbl>
      <w:tblPr>
        <w:tblStyle w:val="Grigliamedia1-Colore2"/>
        <w:tblW w:w="0" w:type="auto"/>
        <w:jc w:val="center"/>
        <w:tblLook w:val="04A0"/>
      </w:tblPr>
      <w:tblGrid>
        <w:gridCol w:w="4810"/>
        <w:gridCol w:w="2126"/>
      </w:tblGrid>
      <w:tr w:rsidR="00191A69" w:rsidRPr="00F52EE0" w:rsidTr="004D3EC0">
        <w:trPr>
          <w:cnfStyle w:val="100000000000"/>
          <w:trHeight w:val="347"/>
          <w:jc w:val="center"/>
        </w:trPr>
        <w:tc>
          <w:tcPr>
            <w:cnfStyle w:val="001000000000"/>
            <w:tcW w:w="4810" w:type="dxa"/>
          </w:tcPr>
          <w:p w:rsidR="00191A69" w:rsidRPr="00F52EE0" w:rsidRDefault="00191A69" w:rsidP="004D3EC0">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gen-dic 2018 su gen-dic 2017</w:t>
            </w:r>
          </w:p>
        </w:tc>
        <w:tc>
          <w:tcPr>
            <w:tcW w:w="2126" w:type="dxa"/>
          </w:tcPr>
          <w:p w:rsidR="00191A69" w:rsidRPr="00A721A7" w:rsidRDefault="00191A69" w:rsidP="004D3EC0">
            <w:pPr>
              <w:pStyle w:val="CRIFTitle2"/>
              <w:spacing w:after="0" w:line="276" w:lineRule="auto"/>
              <w:jc w:val="center"/>
              <w:cnfStyle w:val="100000000000"/>
              <w:rPr>
                <w:color w:val="auto"/>
                <w:szCs w:val="20"/>
              </w:rPr>
            </w:pPr>
            <w:r w:rsidRPr="00A721A7">
              <w:rPr>
                <w:color w:val="auto"/>
                <w:szCs w:val="20"/>
              </w:rPr>
              <w:t>+</w:t>
            </w:r>
            <w:r>
              <w:rPr>
                <w:color w:val="auto"/>
                <w:szCs w:val="20"/>
              </w:rPr>
              <w:t>5,0</w:t>
            </w:r>
            <w:r w:rsidRPr="00A721A7">
              <w:rPr>
                <w:color w:val="auto"/>
                <w:szCs w:val="20"/>
              </w:rPr>
              <w:t>%</w:t>
            </w:r>
          </w:p>
        </w:tc>
      </w:tr>
      <w:tr w:rsidR="00191A69" w:rsidRPr="00F52EE0" w:rsidTr="004D3EC0">
        <w:trPr>
          <w:cnfStyle w:val="000000100000"/>
          <w:trHeight w:val="347"/>
          <w:jc w:val="center"/>
        </w:trPr>
        <w:tc>
          <w:tcPr>
            <w:cnfStyle w:val="001000000000"/>
            <w:tcW w:w="4810" w:type="dxa"/>
          </w:tcPr>
          <w:p w:rsidR="00191A69" w:rsidRPr="00F52EE0" w:rsidRDefault="00191A69" w:rsidP="004D3EC0">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gen-dic 2018 su gen-dic 2016</w:t>
            </w:r>
          </w:p>
        </w:tc>
        <w:tc>
          <w:tcPr>
            <w:tcW w:w="2126" w:type="dxa"/>
          </w:tcPr>
          <w:p w:rsidR="00191A69" w:rsidRPr="00A721A7" w:rsidRDefault="00191A69" w:rsidP="004D3EC0">
            <w:pPr>
              <w:pStyle w:val="CRIFTitle2"/>
              <w:spacing w:after="0" w:line="276" w:lineRule="auto"/>
              <w:jc w:val="center"/>
              <w:cnfStyle w:val="000000100000"/>
              <w:rPr>
                <w:b w:val="0"/>
                <w:bCs/>
                <w:color w:val="auto"/>
                <w:szCs w:val="20"/>
              </w:rPr>
            </w:pPr>
            <w:r w:rsidRPr="00A721A7">
              <w:rPr>
                <w:b w:val="0"/>
                <w:bCs/>
                <w:color w:val="auto"/>
                <w:szCs w:val="20"/>
              </w:rPr>
              <w:t>+</w:t>
            </w:r>
            <w:r>
              <w:rPr>
                <w:b w:val="0"/>
                <w:bCs/>
                <w:color w:val="auto"/>
                <w:szCs w:val="20"/>
              </w:rPr>
              <w:t>7,3</w:t>
            </w:r>
            <w:r w:rsidRPr="00A721A7">
              <w:rPr>
                <w:b w:val="0"/>
                <w:bCs/>
                <w:color w:val="auto"/>
                <w:szCs w:val="20"/>
              </w:rPr>
              <w:t>%</w:t>
            </w:r>
          </w:p>
        </w:tc>
      </w:tr>
      <w:tr w:rsidR="00191A69" w:rsidRPr="00F52EE0" w:rsidTr="004D3EC0">
        <w:trPr>
          <w:trHeight w:val="347"/>
          <w:jc w:val="center"/>
        </w:trPr>
        <w:tc>
          <w:tcPr>
            <w:cnfStyle w:val="001000000000"/>
            <w:tcW w:w="4810" w:type="dxa"/>
          </w:tcPr>
          <w:p w:rsidR="00191A69" w:rsidRPr="00F52EE0" w:rsidRDefault="00191A69" w:rsidP="004D3EC0">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gen-dic 2018 su gen-dic 2015</w:t>
            </w:r>
          </w:p>
        </w:tc>
        <w:tc>
          <w:tcPr>
            <w:tcW w:w="2126" w:type="dxa"/>
          </w:tcPr>
          <w:p w:rsidR="00191A69" w:rsidRPr="00A721A7" w:rsidRDefault="00191A69" w:rsidP="004D3EC0">
            <w:pPr>
              <w:pStyle w:val="CRIFTitle2"/>
              <w:spacing w:after="0" w:line="276" w:lineRule="auto"/>
              <w:jc w:val="center"/>
              <w:cnfStyle w:val="000000000000"/>
              <w:rPr>
                <w:b w:val="0"/>
                <w:bCs/>
                <w:color w:val="auto"/>
                <w:szCs w:val="20"/>
              </w:rPr>
            </w:pPr>
            <w:r w:rsidRPr="00A721A7">
              <w:rPr>
                <w:b w:val="0"/>
                <w:bCs/>
                <w:color w:val="auto"/>
                <w:szCs w:val="20"/>
              </w:rPr>
              <w:t>+1</w:t>
            </w:r>
            <w:r>
              <w:rPr>
                <w:b w:val="0"/>
                <w:bCs/>
                <w:color w:val="auto"/>
                <w:szCs w:val="20"/>
              </w:rPr>
              <w:t>5</w:t>
            </w:r>
            <w:r w:rsidRPr="00A721A7">
              <w:rPr>
                <w:b w:val="0"/>
                <w:bCs/>
                <w:color w:val="auto"/>
                <w:szCs w:val="20"/>
              </w:rPr>
              <w:t>,</w:t>
            </w:r>
            <w:r>
              <w:rPr>
                <w:b w:val="0"/>
                <w:bCs/>
                <w:color w:val="auto"/>
                <w:szCs w:val="20"/>
              </w:rPr>
              <w:t>1</w:t>
            </w:r>
            <w:r w:rsidRPr="00A721A7">
              <w:rPr>
                <w:b w:val="0"/>
                <w:bCs/>
                <w:color w:val="auto"/>
                <w:szCs w:val="20"/>
              </w:rPr>
              <w:t>%</w:t>
            </w:r>
          </w:p>
        </w:tc>
      </w:tr>
      <w:tr w:rsidR="00191A69" w:rsidRPr="00F52EE0" w:rsidTr="004D3EC0">
        <w:trPr>
          <w:cnfStyle w:val="000000100000"/>
          <w:trHeight w:val="347"/>
          <w:jc w:val="center"/>
        </w:trPr>
        <w:tc>
          <w:tcPr>
            <w:cnfStyle w:val="001000000000"/>
            <w:tcW w:w="4810" w:type="dxa"/>
          </w:tcPr>
          <w:p w:rsidR="00191A69" w:rsidRPr="00F52EE0" w:rsidRDefault="00191A69" w:rsidP="004D3EC0">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gen-dic 2018 su gen-dic 2014</w:t>
            </w:r>
          </w:p>
        </w:tc>
        <w:tc>
          <w:tcPr>
            <w:tcW w:w="2126" w:type="dxa"/>
          </w:tcPr>
          <w:p w:rsidR="00191A69" w:rsidRPr="00A721A7" w:rsidRDefault="00191A69" w:rsidP="004D3EC0">
            <w:pPr>
              <w:pStyle w:val="CRIFTitle2"/>
              <w:spacing w:after="0" w:line="276" w:lineRule="auto"/>
              <w:jc w:val="center"/>
              <w:cnfStyle w:val="000000100000"/>
              <w:rPr>
                <w:b w:val="0"/>
                <w:bCs/>
                <w:color w:val="auto"/>
                <w:szCs w:val="20"/>
              </w:rPr>
            </w:pPr>
            <w:r>
              <w:rPr>
                <w:b w:val="0"/>
                <w:bCs/>
                <w:color w:val="auto"/>
                <w:szCs w:val="20"/>
              </w:rPr>
              <w:t>+21</w:t>
            </w:r>
            <w:r w:rsidRPr="00A721A7">
              <w:rPr>
                <w:b w:val="0"/>
                <w:bCs/>
                <w:color w:val="auto"/>
                <w:szCs w:val="20"/>
              </w:rPr>
              <w:t>,</w:t>
            </w:r>
            <w:r>
              <w:rPr>
                <w:b w:val="0"/>
                <w:bCs/>
                <w:color w:val="auto"/>
                <w:szCs w:val="20"/>
              </w:rPr>
              <w:t>9</w:t>
            </w:r>
            <w:r w:rsidRPr="00A721A7">
              <w:rPr>
                <w:b w:val="0"/>
                <w:bCs/>
                <w:color w:val="auto"/>
                <w:szCs w:val="20"/>
              </w:rPr>
              <w:t>%</w:t>
            </w:r>
          </w:p>
        </w:tc>
      </w:tr>
      <w:tr w:rsidR="00191A69" w:rsidRPr="00F52EE0" w:rsidTr="004D3EC0">
        <w:trPr>
          <w:trHeight w:val="347"/>
          <w:jc w:val="center"/>
        </w:trPr>
        <w:tc>
          <w:tcPr>
            <w:cnfStyle w:val="001000000000"/>
            <w:tcW w:w="4810" w:type="dxa"/>
          </w:tcPr>
          <w:p w:rsidR="00191A69" w:rsidRPr="00F52EE0" w:rsidRDefault="00191A69" w:rsidP="004D3EC0">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gen-dic 2018 su gen-dic 2013</w:t>
            </w:r>
          </w:p>
        </w:tc>
        <w:tc>
          <w:tcPr>
            <w:tcW w:w="2126" w:type="dxa"/>
          </w:tcPr>
          <w:p w:rsidR="00191A69" w:rsidRPr="00A721A7" w:rsidRDefault="00191A69" w:rsidP="004D3EC0">
            <w:pPr>
              <w:pStyle w:val="CRIFTitle2"/>
              <w:spacing w:after="0" w:line="276" w:lineRule="auto"/>
              <w:jc w:val="center"/>
              <w:cnfStyle w:val="000000000000"/>
              <w:rPr>
                <w:b w:val="0"/>
                <w:bCs/>
                <w:color w:val="auto"/>
                <w:szCs w:val="20"/>
              </w:rPr>
            </w:pPr>
            <w:r w:rsidRPr="00A721A7">
              <w:rPr>
                <w:b w:val="0"/>
                <w:bCs/>
                <w:color w:val="auto"/>
                <w:szCs w:val="20"/>
              </w:rPr>
              <w:t>+</w:t>
            </w:r>
            <w:r>
              <w:rPr>
                <w:b w:val="0"/>
                <w:bCs/>
                <w:color w:val="auto"/>
                <w:szCs w:val="20"/>
              </w:rPr>
              <w:t>19,19</w:t>
            </w:r>
            <w:r w:rsidRPr="00A721A7">
              <w:rPr>
                <w:b w:val="0"/>
                <w:bCs/>
                <w:color w:val="auto"/>
                <w:szCs w:val="20"/>
              </w:rPr>
              <w:t>%</w:t>
            </w:r>
          </w:p>
        </w:tc>
      </w:tr>
      <w:tr w:rsidR="00191A69" w:rsidRPr="00F52EE0" w:rsidTr="004D3EC0">
        <w:trPr>
          <w:cnfStyle w:val="000000100000"/>
          <w:trHeight w:val="347"/>
          <w:jc w:val="center"/>
        </w:trPr>
        <w:tc>
          <w:tcPr>
            <w:cnfStyle w:val="001000000000"/>
            <w:tcW w:w="4810" w:type="dxa"/>
          </w:tcPr>
          <w:p w:rsidR="00191A69" w:rsidRPr="00F52EE0" w:rsidRDefault="00191A69" w:rsidP="004D3EC0">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 xml:space="preserve">gen-dic 2018 su gen-dic 2012 </w:t>
            </w:r>
          </w:p>
        </w:tc>
        <w:tc>
          <w:tcPr>
            <w:tcW w:w="2126" w:type="dxa"/>
          </w:tcPr>
          <w:p w:rsidR="00191A69" w:rsidRPr="00A721A7" w:rsidRDefault="00191A69" w:rsidP="004D3EC0">
            <w:pPr>
              <w:pStyle w:val="CRIFTitle2"/>
              <w:spacing w:after="0" w:line="276" w:lineRule="auto"/>
              <w:jc w:val="center"/>
              <w:cnfStyle w:val="000000100000"/>
              <w:rPr>
                <w:b w:val="0"/>
                <w:bCs/>
                <w:color w:val="auto"/>
                <w:szCs w:val="20"/>
              </w:rPr>
            </w:pPr>
            <w:r>
              <w:rPr>
                <w:b w:val="0"/>
                <w:bCs/>
                <w:color w:val="auto"/>
                <w:szCs w:val="20"/>
              </w:rPr>
              <w:t>+14</w:t>
            </w:r>
            <w:r w:rsidRPr="00A721A7">
              <w:rPr>
                <w:b w:val="0"/>
                <w:bCs/>
                <w:color w:val="auto"/>
                <w:szCs w:val="20"/>
              </w:rPr>
              <w:t>,</w:t>
            </w:r>
            <w:r>
              <w:rPr>
                <w:b w:val="0"/>
                <w:bCs/>
                <w:color w:val="auto"/>
                <w:szCs w:val="20"/>
              </w:rPr>
              <w:t>4</w:t>
            </w:r>
            <w:r w:rsidRPr="00A721A7">
              <w:rPr>
                <w:b w:val="0"/>
                <w:bCs/>
                <w:color w:val="auto"/>
                <w:szCs w:val="20"/>
              </w:rPr>
              <w:t>%</w:t>
            </w:r>
          </w:p>
        </w:tc>
      </w:tr>
    </w:tbl>
    <w:p w:rsidR="00191A69" w:rsidRDefault="00191A69" w:rsidP="00191A69">
      <w:pPr>
        <w:pStyle w:val="CRIFCaption"/>
        <w:spacing w:line="276" w:lineRule="auto"/>
        <w:jc w:val="center"/>
        <w:rPr>
          <w:b/>
          <w:i w:val="0"/>
          <w:caps/>
          <w:color w:val="003B79"/>
          <w:sz w:val="22"/>
          <w:szCs w:val="19"/>
          <w:lang w:val="it-IT"/>
        </w:rPr>
      </w:pPr>
      <w:r w:rsidRPr="00945F7D">
        <w:rPr>
          <w:lang w:val="it-IT"/>
        </w:rPr>
        <w:t xml:space="preserve">Fonte: EURISC – Il Sistema </w:t>
      </w:r>
      <w:r>
        <w:rPr>
          <w:lang w:val="it-IT"/>
        </w:rPr>
        <w:t>CRIF di Informazioni Creditizie</w:t>
      </w:r>
    </w:p>
    <w:p w:rsidR="00191A69" w:rsidRPr="00BD1E2E" w:rsidRDefault="00191A69" w:rsidP="00191A69">
      <w:pPr>
        <w:pStyle w:val="CRIFBodyText"/>
        <w:rPr>
          <w:lang w:val="it-IT"/>
        </w:rPr>
      </w:pPr>
      <w:r>
        <w:rPr>
          <w:lang w:val="it-IT"/>
        </w:rPr>
        <w:t xml:space="preserve">Entrando maggiormente nel dettaglio, il mese di dicembre ha visto i </w:t>
      </w:r>
      <w:r w:rsidRPr="00940790">
        <w:rPr>
          <w:b/>
          <w:lang w:val="it-IT"/>
        </w:rPr>
        <w:t>prestiti personali</w:t>
      </w:r>
      <w:r>
        <w:rPr>
          <w:lang w:val="it-IT"/>
        </w:rPr>
        <w:t xml:space="preserve"> confermare la performance positiva in corso dall’inizio anno (</w:t>
      </w:r>
      <w:r w:rsidRPr="003753D8">
        <w:rPr>
          <w:lang w:val="it-IT"/>
        </w:rPr>
        <w:t>+</w:t>
      </w:r>
      <w:r>
        <w:rPr>
          <w:lang w:val="it-IT"/>
        </w:rPr>
        <w:t>3,5%),</w:t>
      </w:r>
      <w:r w:rsidRPr="003753D8">
        <w:rPr>
          <w:lang w:val="it-IT"/>
        </w:rPr>
        <w:t xml:space="preserve"> che </w:t>
      </w:r>
      <w:r>
        <w:rPr>
          <w:lang w:val="it-IT"/>
        </w:rPr>
        <w:t>contribuisce ad un incremento del</w:t>
      </w:r>
      <w:r>
        <w:rPr>
          <w:b/>
          <w:lang w:val="it-IT"/>
        </w:rPr>
        <w:t xml:space="preserve"> +9,1% su base annua</w:t>
      </w:r>
      <w:r>
        <w:rPr>
          <w:lang w:val="it-IT"/>
        </w:rPr>
        <w:t>. I</w:t>
      </w:r>
      <w:r w:rsidRPr="000C3744">
        <w:rPr>
          <w:b/>
          <w:lang w:val="it-IT"/>
        </w:rPr>
        <w:t xml:space="preserve"> prestiti finalizzati</w:t>
      </w:r>
      <w:r w:rsidRPr="00230F00">
        <w:rPr>
          <w:lang w:val="it-IT"/>
        </w:rPr>
        <w:t>, invece,</w:t>
      </w:r>
      <w:r w:rsidRPr="000C3744">
        <w:rPr>
          <w:lang w:val="it-IT"/>
        </w:rPr>
        <w:t xml:space="preserve"> </w:t>
      </w:r>
      <w:r>
        <w:rPr>
          <w:lang w:val="it-IT"/>
        </w:rPr>
        <w:t>nell’ultimo mese dell’anno hanno fatto segnare</w:t>
      </w:r>
      <w:r w:rsidRPr="000C3744">
        <w:rPr>
          <w:lang w:val="it-IT"/>
        </w:rPr>
        <w:t xml:space="preserve"> un</w:t>
      </w:r>
      <w:r>
        <w:rPr>
          <w:lang w:val="it-IT"/>
        </w:rPr>
        <w:t>a battuta d’arresto</w:t>
      </w:r>
      <w:r w:rsidRPr="000C3744">
        <w:rPr>
          <w:lang w:val="it-IT"/>
        </w:rPr>
        <w:t xml:space="preserve"> </w:t>
      </w:r>
      <w:r>
        <w:rPr>
          <w:lang w:val="it-IT"/>
        </w:rPr>
        <w:t>(</w:t>
      </w:r>
      <w:r w:rsidRPr="000C3744">
        <w:rPr>
          <w:lang w:val="it-IT"/>
        </w:rPr>
        <w:t>-2,2</w:t>
      </w:r>
      <w:r>
        <w:rPr>
          <w:lang w:val="it-IT"/>
        </w:rPr>
        <w:t xml:space="preserve">%) anche se </w:t>
      </w:r>
      <w:r w:rsidRPr="00230F00">
        <w:rPr>
          <w:b/>
          <w:lang w:val="it-IT"/>
        </w:rPr>
        <w:t xml:space="preserve">a livello di intero anno 2018 si è consolidata una </w:t>
      </w:r>
      <w:r w:rsidR="00BD1E2E">
        <w:rPr>
          <w:b/>
          <w:lang w:val="it-IT"/>
        </w:rPr>
        <w:t>variazione positiva pari a</w:t>
      </w:r>
      <w:r w:rsidRPr="00230F00">
        <w:rPr>
          <w:b/>
          <w:lang w:val="it-IT"/>
        </w:rPr>
        <w:t xml:space="preserve"> +1,8% rispetto al 2017.</w:t>
      </w:r>
    </w:p>
    <w:p w:rsidR="00191A69" w:rsidRPr="00F758A8" w:rsidRDefault="00191A69" w:rsidP="00191A69">
      <w:pPr>
        <w:pStyle w:val="CRIFBodyText"/>
        <w:rPr>
          <w:lang w:val="it-IT"/>
        </w:rPr>
      </w:pPr>
      <w:r w:rsidRPr="00F758A8">
        <w:rPr>
          <w:lang w:val="it-IT"/>
        </w:rPr>
        <w:t>Il grafico sottostante evidenzia in maniera chiara come in tutti i mesi dell’anno la componente dei pres</w:t>
      </w:r>
      <w:r w:rsidR="00F758A8" w:rsidRPr="00F758A8">
        <w:rPr>
          <w:lang w:val="it-IT"/>
        </w:rPr>
        <w:t>t</w:t>
      </w:r>
      <w:r w:rsidRPr="00F758A8">
        <w:rPr>
          <w:lang w:val="it-IT"/>
        </w:rPr>
        <w:t xml:space="preserve">iti personali abbia sempre fatto segnare una variazione positiva rispetto all’andamento più discontinuo dei prestiti finalizzati. </w:t>
      </w:r>
    </w:p>
    <w:p w:rsidR="00191A69" w:rsidRPr="00F9539A" w:rsidRDefault="00191A69" w:rsidP="00191A69">
      <w:pPr>
        <w:jc w:val="center"/>
        <w:rPr>
          <w:b/>
          <w:color w:val="003B79" w:themeColor="accent1"/>
          <w:sz w:val="20"/>
          <w:lang w:val="it-IT"/>
        </w:rPr>
      </w:pPr>
      <w:r w:rsidRPr="00F9539A">
        <w:rPr>
          <w:b/>
          <w:color w:val="003B79" w:themeColor="accent1"/>
          <w:sz w:val="20"/>
          <w:lang w:val="it-IT"/>
        </w:rPr>
        <w:t xml:space="preserve">Andamento </w:t>
      </w:r>
      <w:r>
        <w:rPr>
          <w:b/>
          <w:color w:val="003B79" w:themeColor="accent1"/>
          <w:sz w:val="20"/>
          <w:lang w:val="it-IT"/>
        </w:rPr>
        <w:t>delle richieste di nuovi p</w:t>
      </w:r>
      <w:r w:rsidRPr="00F9539A">
        <w:rPr>
          <w:b/>
          <w:color w:val="003B79" w:themeColor="accent1"/>
          <w:sz w:val="20"/>
          <w:lang w:val="it-IT"/>
        </w:rPr>
        <w:t xml:space="preserve">restiti </w:t>
      </w:r>
      <w:r>
        <w:rPr>
          <w:b/>
          <w:color w:val="003B79" w:themeColor="accent1"/>
          <w:sz w:val="20"/>
          <w:lang w:val="it-IT"/>
        </w:rPr>
        <w:t>personali e finalizzati</w:t>
      </w:r>
    </w:p>
    <w:p w:rsidR="00191A69" w:rsidRDefault="00191A69" w:rsidP="00191A69">
      <w:pPr>
        <w:pStyle w:val="CRIFCaption"/>
        <w:spacing w:line="276" w:lineRule="auto"/>
        <w:rPr>
          <w:lang w:val="it-IT"/>
        </w:rPr>
      </w:pPr>
      <w:r>
        <w:rPr>
          <w:noProof/>
          <w:lang w:val="it-IT" w:eastAsia="it-IT"/>
        </w:rPr>
        <w:drawing>
          <wp:inline distT="0" distB="0" distL="0" distR="0">
            <wp:extent cx="5905500" cy="1351280"/>
            <wp:effectExtent l="0" t="0" r="0" b="1270"/>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l="4273" r="2564"/>
                    <a:stretch/>
                  </pic:blipFill>
                  <pic:spPr bwMode="auto">
                    <a:xfrm>
                      <a:off x="0" y="0"/>
                      <a:ext cx="5905500" cy="13512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91A69" w:rsidRPr="008809C4" w:rsidRDefault="00191A69" w:rsidP="00874A06">
      <w:pPr>
        <w:pStyle w:val="CRIFCaption"/>
        <w:spacing w:line="276" w:lineRule="auto"/>
        <w:jc w:val="center"/>
        <w:rPr>
          <w:lang w:val="it-IT"/>
        </w:rPr>
      </w:pPr>
      <w:r w:rsidRPr="002E19D5">
        <w:rPr>
          <w:lang w:val="it-IT"/>
        </w:rPr>
        <w:t>Fonte: EURISC – Il Sistema CRIF di Informazioni Creditizie</w:t>
      </w:r>
    </w:p>
    <w:p w:rsidR="00F758A8" w:rsidRPr="00F758A8" w:rsidRDefault="00F758A8" w:rsidP="00191A69">
      <w:pPr>
        <w:pStyle w:val="CRIFBodyText"/>
        <w:rPr>
          <w:b/>
          <w:color w:val="003B79" w:themeColor="text1"/>
          <w:lang w:val="it-IT"/>
        </w:rPr>
      </w:pPr>
      <w:r w:rsidRPr="00F758A8">
        <w:rPr>
          <w:b/>
          <w:color w:val="003B79" w:themeColor="text1"/>
          <w:lang w:val="it-IT"/>
        </w:rPr>
        <w:t>L’importo medio dei prestiti richiesti</w:t>
      </w:r>
      <w:r w:rsidR="00BD1E2E">
        <w:rPr>
          <w:b/>
          <w:color w:val="003B79" w:themeColor="text1"/>
          <w:lang w:val="it-IT"/>
        </w:rPr>
        <w:t xml:space="preserve"> dalle famiglie</w:t>
      </w:r>
    </w:p>
    <w:p w:rsidR="00191A69" w:rsidRDefault="00F758A8" w:rsidP="00191A69">
      <w:pPr>
        <w:pStyle w:val="CRIFBodyText"/>
        <w:rPr>
          <w:lang w:val="it-IT"/>
        </w:rPr>
      </w:pPr>
      <w:r>
        <w:rPr>
          <w:lang w:val="it-IT"/>
        </w:rPr>
        <w:t>Anche n</w:t>
      </w:r>
      <w:r w:rsidR="00191A69" w:rsidRPr="002C0BE6">
        <w:rPr>
          <w:lang w:val="it-IT"/>
        </w:rPr>
        <w:t xml:space="preserve">el mese di dicembre </w:t>
      </w:r>
      <w:r w:rsidR="00191A69">
        <w:rPr>
          <w:lang w:val="it-IT"/>
        </w:rPr>
        <w:t xml:space="preserve">è </w:t>
      </w:r>
      <w:r w:rsidR="00191A69" w:rsidRPr="00F758A8">
        <w:rPr>
          <w:lang w:val="it-IT"/>
        </w:rPr>
        <w:t>proseguita la crescita dell’importo medio dei prestiti richiesti che, nell’aggregato di prestiti personali</w:t>
      </w:r>
      <w:r w:rsidR="00191A69" w:rsidRPr="002C0BE6">
        <w:rPr>
          <w:lang w:val="it-IT"/>
        </w:rPr>
        <w:t xml:space="preserve"> più finalizzati, si è portato a 8.519 Euro (+5,6% rispetto allo stesso mese del 2017), </w:t>
      </w:r>
      <w:r w:rsidR="00191A69">
        <w:rPr>
          <w:lang w:val="it-IT"/>
        </w:rPr>
        <w:t>facendo segnare</w:t>
      </w:r>
      <w:r w:rsidR="00191A69" w:rsidRPr="002C0BE6">
        <w:rPr>
          <w:lang w:val="it-IT"/>
        </w:rPr>
        <w:t xml:space="preserve"> il record </w:t>
      </w:r>
      <w:r w:rsidR="00191A69">
        <w:rPr>
          <w:lang w:val="it-IT"/>
        </w:rPr>
        <w:t xml:space="preserve">assoluto </w:t>
      </w:r>
      <w:r w:rsidR="00191A69" w:rsidRPr="002C0BE6">
        <w:rPr>
          <w:lang w:val="it-IT"/>
        </w:rPr>
        <w:t xml:space="preserve">degli ultimi 7 anni </w:t>
      </w:r>
      <w:r w:rsidR="00191A69">
        <w:rPr>
          <w:lang w:val="it-IT"/>
        </w:rPr>
        <w:t>a livello di singolo mese di dicembre</w:t>
      </w:r>
      <w:r w:rsidR="00191A69" w:rsidRPr="002C0BE6">
        <w:rPr>
          <w:lang w:val="it-IT"/>
        </w:rPr>
        <w:t>.</w:t>
      </w:r>
    </w:p>
    <w:p w:rsidR="00F758A8" w:rsidRDefault="00191A69" w:rsidP="00F758A8">
      <w:pPr>
        <w:pStyle w:val="CRIFBodyText"/>
        <w:rPr>
          <w:szCs w:val="20"/>
          <w:lang w:val="it-IT"/>
        </w:rPr>
      </w:pPr>
      <w:r>
        <w:rPr>
          <w:szCs w:val="20"/>
          <w:lang w:val="it-IT"/>
        </w:rPr>
        <w:lastRenderedPageBreak/>
        <w:t>Facendo invece riferimento all’</w:t>
      </w:r>
      <w:r w:rsidRPr="008809C4">
        <w:rPr>
          <w:b/>
          <w:szCs w:val="20"/>
          <w:lang w:val="it-IT"/>
        </w:rPr>
        <w:t xml:space="preserve">intero anno </w:t>
      </w:r>
      <w:r>
        <w:rPr>
          <w:b/>
          <w:szCs w:val="20"/>
          <w:lang w:val="it-IT"/>
        </w:rPr>
        <w:t>2018, con 9.459 Euro</w:t>
      </w:r>
      <w:r w:rsidRPr="001E18C6">
        <w:rPr>
          <w:b/>
          <w:szCs w:val="20"/>
          <w:lang w:val="it-IT"/>
        </w:rPr>
        <w:t xml:space="preserve"> </w:t>
      </w:r>
      <w:r>
        <w:rPr>
          <w:b/>
          <w:szCs w:val="20"/>
          <w:lang w:val="it-IT"/>
        </w:rPr>
        <w:t>richiesti si tratta de</w:t>
      </w:r>
      <w:r w:rsidRPr="001E18C6">
        <w:rPr>
          <w:b/>
          <w:szCs w:val="20"/>
          <w:lang w:val="it-IT"/>
        </w:rPr>
        <w:t>l valore medio</w:t>
      </w:r>
      <w:r>
        <w:rPr>
          <w:b/>
          <w:szCs w:val="20"/>
          <w:lang w:val="it-IT"/>
        </w:rPr>
        <w:t xml:space="preserve"> </w:t>
      </w:r>
      <w:r w:rsidRPr="001E18C6">
        <w:rPr>
          <w:b/>
          <w:szCs w:val="20"/>
          <w:lang w:val="it-IT"/>
        </w:rPr>
        <w:t>più alto</w:t>
      </w:r>
      <w:r w:rsidRPr="002C0BE6">
        <w:rPr>
          <w:szCs w:val="20"/>
          <w:lang w:val="it-IT"/>
        </w:rPr>
        <w:t xml:space="preserve"> da quando CRIF ha iniziato a</w:t>
      </w:r>
      <w:r>
        <w:rPr>
          <w:szCs w:val="20"/>
          <w:lang w:val="it-IT"/>
        </w:rPr>
        <w:t>d analizzare</w:t>
      </w:r>
      <w:r w:rsidRPr="002C0BE6">
        <w:rPr>
          <w:szCs w:val="20"/>
          <w:lang w:val="it-IT"/>
        </w:rPr>
        <w:t xml:space="preserve"> in modo sistematico le informazioni relative alle istruttorie di credito.</w:t>
      </w:r>
      <w:r w:rsidR="00F758A8">
        <w:rPr>
          <w:szCs w:val="20"/>
          <w:lang w:val="it-IT"/>
        </w:rPr>
        <w:t xml:space="preserve"> </w:t>
      </w:r>
    </w:p>
    <w:p w:rsidR="00F758A8" w:rsidRPr="00F758A8" w:rsidRDefault="00F758A8" w:rsidP="00191A69">
      <w:pPr>
        <w:pStyle w:val="CRIFBodyText"/>
        <w:rPr>
          <w:szCs w:val="20"/>
          <w:lang w:val="it-IT"/>
        </w:rPr>
      </w:pPr>
      <w:r>
        <w:rPr>
          <w:szCs w:val="20"/>
          <w:lang w:val="it-IT"/>
        </w:rPr>
        <w:t>Entrando maggiormente nel dettaglio</w:t>
      </w:r>
      <w:r w:rsidRPr="00075D29">
        <w:rPr>
          <w:szCs w:val="20"/>
          <w:lang w:val="it-IT"/>
        </w:rPr>
        <w:t xml:space="preserve">, relativamente ai </w:t>
      </w:r>
      <w:r w:rsidRPr="00075D29">
        <w:rPr>
          <w:b/>
          <w:szCs w:val="20"/>
          <w:lang w:val="it-IT"/>
        </w:rPr>
        <w:t>prestiti finalizzati</w:t>
      </w:r>
      <w:r w:rsidRPr="00075D29">
        <w:rPr>
          <w:szCs w:val="20"/>
          <w:lang w:val="it-IT"/>
        </w:rPr>
        <w:t xml:space="preserve"> </w:t>
      </w:r>
      <w:r w:rsidRPr="00F758A8">
        <w:rPr>
          <w:b/>
          <w:szCs w:val="20"/>
          <w:lang w:val="it-IT"/>
        </w:rPr>
        <w:t>nel 2018 l’importo medio richiesto è risultato pari a</w:t>
      </w:r>
      <w:r w:rsidRPr="00075D29">
        <w:rPr>
          <w:szCs w:val="20"/>
          <w:lang w:val="it-IT"/>
        </w:rPr>
        <w:t xml:space="preserve"> </w:t>
      </w:r>
      <w:r w:rsidRPr="00075D29">
        <w:rPr>
          <w:b/>
          <w:szCs w:val="20"/>
          <w:lang w:val="it-IT"/>
        </w:rPr>
        <w:t>6.512 Euro</w:t>
      </w:r>
      <w:r w:rsidRPr="00075D29">
        <w:rPr>
          <w:szCs w:val="20"/>
          <w:lang w:val="it-IT"/>
        </w:rPr>
        <w:t xml:space="preserve"> (+9,2% rispetto al 2017) a fronte dei </w:t>
      </w:r>
      <w:r w:rsidRPr="00075D29">
        <w:rPr>
          <w:b/>
          <w:szCs w:val="20"/>
          <w:lang w:val="it-IT"/>
        </w:rPr>
        <w:t>12.940 Euro dei prestiti personali</w:t>
      </w:r>
      <w:r w:rsidRPr="00075D29">
        <w:rPr>
          <w:szCs w:val="20"/>
          <w:lang w:val="it-IT"/>
        </w:rPr>
        <w:t xml:space="preserve">, </w:t>
      </w:r>
      <w:r>
        <w:rPr>
          <w:szCs w:val="20"/>
          <w:lang w:val="it-IT"/>
        </w:rPr>
        <w:t>valore</w:t>
      </w:r>
      <w:r w:rsidRPr="00075D29">
        <w:rPr>
          <w:szCs w:val="20"/>
          <w:lang w:val="it-IT"/>
        </w:rPr>
        <w:t xml:space="preserve"> sostanzialmente in linea c</w:t>
      </w:r>
      <w:r>
        <w:rPr>
          <w:szCs w:val="20"/>
          <w:lang w:val="it-IT"/>
        </w:rPr>
        <w:t>on quello rilevato n</w:t>
      </w:r>
      <w:r w:rsidRPr="00075D29">
        <w:rPr>
          <w:szCs w:val="20"/>
          <w:lang w:val="it-IT"/>
        </w:rPr>
        <w:t xml:space="preserve">ell’anno precedente. </w:t>
      </w:r>
    </w:p>
    <w:p w:rsidR="00191A69" w:rsidRDefault="00191A69" w:rsidP="00191A69">
      <w:pPr>
        <w:pStyle w:val="CRIFTitle2"/>
        <w:spacing w:line="276" w:lineRule="auto"/>
        <w:jc w:val="center"/>
      </w:pPr>
      <w:r w:rsidRPr="008F4EB8">
        <w:t xml:space="preserve">Andamento dell'importo medio dei </w:t>
      </w:r>
      <w:r>
        <w:t>prestiti</w:t>
      </w:r>
      <w:r w:rsidRPr="008F4EB8">
        <w:t xml:space="preserve"> richiesti</w:t>
      </w:r>
      <w:r w:rsidR="00F758A8">
        <w:t xml:space="preserve"> (PP + PF)</w:t>
      </w:r>
    </w:p>
    <w:p w:rsidR="00191A69" w:rsidRPr="00CE4959" w:rsidRDefault="00191A69" w:rsidP="00191A69">
      <w:pPr>
        <w:pStyle w:val="CRIFBodyText"/>
        <w:spacing w:line="276" w:lineRule="auto"/>
        <w:rPr>
          <w:lang w:val="it-IT"/>
        </w:rPr>
      </w:pPr>
      <w:r>
        <w:rPr>
          <w:noProof/>
          <w:lang w:val="it-IT" w:eastAsia="it-IT"/>
        </w:rPr>
        <w:drawing>
          <wp:inline distT="0" distB="0" distL="0" distR="0">
            <wp:extent cx="5981700" cy="1356360"/>
            <wp:effectExtent l="0" t="0" r="0" b="0"/>
            <wp:docPr id="11"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l="3525" r="2778"/>
                    <a:stretch/>
                  </pic:blipFill>
                  <pic:spPr bwMode="auto">
                    <a:xfrm>
                      <a:off x="0" y="0"/>
                      <a:ext cx="5981700" cy="13563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91A69" w:rsidRPr="00F758A8" w:rsidRDefault="00191A69" w:rsidP="00F758A8">
      <w:pPr>
        <w:pStyle w:val="CRIFCaption"/>
        <w:spacing w:line="276" w:lineRule="auto"/>
        <w:jc w:val="center"/>
        <w:rPr>
          <w:lang w:val="it-IT"/>
        </w:rPr>
      </w:pPr>
      <w:r w:rsidRPr="002E19D5">
        <w:rPr>
          <w:lang w:val="it-IT"/>
        </w:rPr>
        <w:t>Fonte: EURISC – Il Sistema CRIF di Informazioni Creditizie</w:t>
      </w:r>
    </w:p>
    <w:p w:rsidR="00191A69" w:rsidRDefault="00191A69" w:rsidP="00191A69">
      <w:pPr>
        <w:pStyle w:val="CRIFBodyText"/>
        <w:spacing w:line="276" w:lineRule="auto"/>
        <w:rPr>
          <w:lang w:val="it-IT"/>
        </w:rPr>
      </w:pPr>
      <w:r w:rsidRPr="002E5C54">
        <w:rPr>
          <w:b/>
          <w:color w:val="003B79" w:themeColor="accent1"/>
          <w:sz w:val="22"/>
          <w:lang w:val="it-IT"/>
        </w:rPr>
        <w:t>L</w:t>
      </w:r>
      <w:r w:rsidR="00F758A8">
        <w:rPr>
          <w:b/>
          <w:color w:val="003B79" w:themeColor="accent1"/>
          <w:sz w:val="22"/>
          <w:lang w:val="it-IT"/>
        </w:rPr>
        <w:t>a distribuzione delle richieste di prestiti per fasce di importo</w:t>
      </w:r>
      <w:r w:rsidRPr="002E5C54">
        <w:rPr>
          <w:b/>
          <w:color w:val="003B79" w:themeColor="accent1"/>
          <w:sz w:val="22"/>
          <w:lang w:val="it-IT"/>
        </w:rPr>
        <w:t xml:space="preserve"> </w:t>
      </w:r>
    </w:p>
    <w:p w:rsidR="00191A69" w:rsidRPr="00075D29" w:rsidRDefault="00191A69" w:rsidP="00191A69">
      <w:pPr>
        <w:pStyle w:val="CRIFBodyText"/>
        <w:rPr>
          <w:szCs w:val="20"/>
          <w:lang w:val="it-IT"/>
        </w:rPr>
      </w:pPr>
      <w:r w:rsidRPr="00075D29">
        <w:rPr>
          <w:szCs w:val="20"/>
          <w:lang w:val="it-IT"/>
        </w:rPr>
        <w:t xml:space="preserve">Relativamente alla distribuzione delle richieste </w:t>
      </w:r>
      <w:r w:rsidR="00F758A8">
        <w:rPr>
          <w:szCs w:val="20"/>
          <w:lang w:val="it-IT"/>
        </w:rPr>
        <w:t xml:space="preserve">di prestiti </w:t>
      </w:r>
      <w:r w:rsidRPr="00075D29">
        <w:rPr>
          <w:szCs w:val="20"/>
          <w:lang w:val="it-IT"/>
        </w:rPr>
        <w:t>per fascia di importo, il dato cumulato per l’</w:t>
      </w:r>
      <w:r w:rsidRPr="00075D29">
        <w:rPr>
          <w:b/>
          <w:szCs w:val="20"/>
          <w:lang w:val="it-IT"/>
        </w:rPr>
        <w:t xml:space="preserve">intero anno 2018 conferma le preferenze degli italiani per </w:t>
      </w:r>
      <w:r w:rsidR="00F758A8">
        <w:rPr>
          <w:b/>
          <w:szCs w:val="20"/>
          <w:lang w:val="it-IT"/>
        </w:rPr>
        <w:t>valori inferiori a</w:t>
      </w:r>
      <w:r w:rsidRPr="00075D29">
        <w:rPr>
          <w:b/>
          <w:szCs w:val="20"/>
          <w:lang w:val="it-IT"/>
        </w:rPr>
        <w:t>i 5.000 Euro</w:t>
      </w:r>
      <w:r w:rsidRPr="00075D29">
        <w:rPr>
          <w:szCs w:val="20"/>
          <w:lang w:val="it-IT"/>
        </w:rPr>
        <w:t xml:space="preserve"> (44,0% del totale nell’aggregato di prestiti personali + finalizzati), in virtù del peso </w:t>
      </w:r>
      <w:r>
        <w:rPr>
          <w:szCs w:val="20"/>
          <w:lang w:val="it-IT"/>
        </w:rPr>
        <w:t>significativo</w:t>
      </w:r>
      <w:r w:rsidRPr="00075D29">
        <w:rPr>
          <w:szCs w:val="20"/>
          <w:lang w:val="it-IT"/>
        </w:rPr>
        <w:t xml:space="preserve"> dei finanziamenti a supporto dell’acquisto di beni e servizi di importo più contenuto. È </w:t>
      </w:r>
      <w:r w:rsidR="00F758A8">
        <w:rPr>
          <w:szCs w:val="20"/>
          <w:lang w:val="it-IT"/>
        </w:rPr>
        <w:t xml:space="preserve">però </w:t>
      </w:r>
      <w:r w:rsidRPr="00075D29">
        <w:rPr>
          <w:szCs w:val="20"/>
          <w:lang w:val="it-IT"/>
        </w:rPr>
        <w:t xml:space="preserve">doveroso segnalare un calo di 2,6 punti percentuali per questa </w:t>
      </w:r>
      <w:r w:rsidR="00F758A8">
        <w:rPr>
          <w:szCs w:val="20"/>
          <w:lang w:val="it-IT"/>
        </w:rPr>
        <w:t>classe</w:t>
      </w:r>
      <w:r w:rsidRPr="00075D29">
        <w:rPr>
          <w:szCs w:val="20"/>
          <w:lang w:val="it-IT"/>
        </w:rPr>
        <w:t xml:space="preserve"> rispetto al 2017, a favore d</w:t>
      </w:r>
      <w:r w:rsidR="00F758A8">
        <w:rPr>
          <w:szCs w:val="20"/>
          <w:lang w:val="it-IT"/>
        </w:rPr>
        <w:t>i qu</w:t>
      </w:r>
      <w:r w:rsidRPr="00075D29">
        <w:rPr>
          <w:szCs w:val="20"/>
          <w:lang w:val="it-IT"/>
        </w:rPr>
        <w:t>elle comprese tra 10.000 e 35.000 Euro.</w:t>
      </w:r>
    </w:p>
    <w:tbl>
      <w:tblPr>
        <w:tblStyle w:val="Predefinita1"/>
        <w:tblW w:w="6658" w:type="dxa"/>
        <w:jc w:val="center"/>
        <w:tblLook w:val="0420"/>
      </w:tblPr>
      <w:tblGrid>
        <w:gridCol w:w="4099"/>
        <w:gridCol w:w="2559"/>
      </w:tblGrid>
      <w:tr w:rsidR="00191A69" w:rsidRPr="00963A00" w:rsidTr="004D3EC0">
        <w:trPr>
          <w:cnfStyle w:val="100000000000"/>
          <w:trHeight w:val="264"/>
          <w:jc w:val="center"/>
        </w:trPr>
        <w:tc>
          <w:tcPr>
            <w:tcW w:w="4099" w:type="dxa"/>
            <w:noWrap/>
            <w:hideMark/>
          </w:tcPr>
          <w:p w:rsidR="00191A69" w:rsidRPr="00AD7EF0" w:rsidRDefault="00191A69" w:rsidP="004D3EC0">
            <w:pPr>
              <w:jc w:val="center"/>
              <w:rPr>
                <w:rFonts w:ascii="Verdana" w:eastAsia="Times New Roman" w:hAnsi="Verdana" w:cs="Tahoma"/>
                <w:color w:val="FFFFFF" w:themeColor="background1"/>
                <w:sz w:val="20"/>
                <w:szCs w:val="20"/>
                <w:lang w:val="it-IT"/>
              </w:rPr>
            </w:pPr>
            <w:r>
              <w:rPr>
                <w:rFonts w:ascii="Verdana" w:eastAsia="Times New Roman" w:hAnsi="Verdana" w:cs="Tahoma"/>
                <w:color w:val="FFFFFF" w:themeColor="background1"/>
                <w:sz w:val="20"/>
                <w:szCs w:val="20"/>
                <w:lang w:val="it-IT"/>
              </w:rPr>
              <w:t>C</w:t>
            </w:r>
            <w:r w:rsidRPr="00AD7EF0">
              <w:rPr>
                <w:rFonts w:ascii="Verdana" w:eastAsia="Times New Roman" w:hAnsi="Verdana" w:cs="Tahoma"/>
                <w:color w:val="FFFFFF" w:themeColor="background1"/>
                <w:sz w:val="20"/>
                <w:szCs w:val="20"/>
                <w:lang w:val="it-IT"/>
              </w:rPr>
              <w:t xml:space="preserve">lasse di importo prestiti </w:t>
            </w:r>
            <w:r>
              <w:rPr>
                <w:rFonts w:ascii="Verdana" w:eastAsia="Times New Roman" w:hAnsi="Verdana" w:cs="Tahoma"/>
                <w:color w:val="FFFFFF" w:themeColor="background1"/>
                <w:sz w:val="20"/>
                <w:szCs w:val="20"/>
                <w:lang w:val="it-IT"/>
              </w:rPr>
              <w:t>finalizzati e</w:t>
            </w:r>
            <w:r w:rsidRPr="00AD7EF0">
              <w:rPr>
                <w:rFonts w:ascii="Verdana" w:eastAsia="Times New Roman" w:hAnsi="Verdana" w:cs="Tahoma"/>
                <w:color w:val="FFFFFF" w:themeColor="background1"/>
                <w:sz w:val="20"/>
                <w:szCs w:val="20"/>
                <w:lang w:val="it-IT"/>
              </w:rPr>
              <w:t xml:space="preserve"> pe</w:t>
            </w:r>
            <w:r>
              <w:rPr>
                <w:rFonts w:ascii="Verdana" w:eastAsia="Times New Roman" w:hAnsi="Verdana" w:cs="Tahoma"/>
                <w:color w:val="FFFFFF" w:themeColor="background1"/>
                <w:sz w:val="20"/>
                <w:szCs w:val="20"/>
                <w:lang w:val="it-IT"/>
              </w:rPr>
              <w:t>r</w:t>
            </w:r>
            <w:r w:rsidRPr="00AD7EF0">
              <w:rPr>
                <w:rFonts w:ascii="Verdana" w:eastAsia="Times New Roman" w:hAnsi="Verdana" w:cs="Tahoma"/>
                <w:color w:val="FFFFFF" w:themeColor="background1"/>
                <w:sz w:val="20"/>
                <w:szCs w:val="20"/>
                <w:lang w:val="it-IT"/>
              </w:rPr>
              <w:t>sonali</w:t>
            </w:r>
          </w:p>
        </w:tc>
        <w:tc>
          <w:tcPr>
            <w:tcW w:w="2559" w:type="dxa"/>
            <w:noWrap/>
            <w:hideMark/>
          </w:tcPr>
          <w:p w:rsidR="00191A69" w:rsidRPr="00AD7EF0" w:rsidRDefault="00191A69" w:rsidP="004D3EC0">
            <w:pPr>
              <w:jc w:val="center"/>
              <w:rPr>
                <w:rFonts w:ascii="Verdana" w:eastAsia="Times New Roman" w:hAnsi="Verdana" w:cs="Tahoma"/>
                <w:color w:val="FFFFFF" w:themeColor="background1"/>
                <w:sz w:val="20"/>
                <w:szCs w:val="20"/>
              </w:rPr>
            </w:pPr>
            <w:proofErr w:type="spellStart"/>
            <w:r>
              <w:rPr>
                <w:rFonts w:ascii="Verdana" w:eastAsia="Times New Roman" w:hAnsi="Verdana" w:cs="Tahoma"/>
                <w:color w:val="FFFFFF" w:themeColor="background1"/>
                <w:sz w:val="20"/>
                <w:szCs w:val="20"/>
              </w:rPr>
              <w:t>Distribuzione</w:t>
            </w:r>
            <w:proofErr w:type="spellEnd"/>
            <w:r>
              <w:rPr>
                <w:rFonts w:ascii="Verdana" w:eastAsia="Times New Roman" w:hAnsi="Verdana" w:cs="Tahoma"/>
                <w:color w:val="FFFFFF" w:themeColor="background1"/>
                <w:sz w:val="20"/>
                <w:szCs w:val="20"/>
              </w:rPr>
              <w:t xml:space="preserve"> </w:t>
            </w:r>
            <w:r w:rsidRPr="00AD7EF0">
              <w:rPr>
                <w:rFonts w:ascii="Verdana" w:eastAsia="Times New Roman" w:hAnsi="Verdana" w:cs="Tahoma"/>
                <w:color w:val="FFFFFF" w:themeColor="background1"/>
                <w:sz w:val="20"/>
                <w:szCs w:val="20"/>
              </w:rPr>
              <w:t xml:space="preserve">% </w:t>
            </w:r>
            <w:r>
              <w:rPr>
                <w:rFonts w:ascii="Verdana" w:eastAsia="Times New Roman" w:hAnsi="Verdana" w:cs="Tahoma"/>
                <w:color w:val="FFFFFF" w:themeColor="background1"/>
                <w:sz w:val="20"/>
                <w:szCs w:val="20"/>
              </w:rPr>
              <w:t>gen-</w:t>
            </w:r>
            <w:proofErr w:type="spellStart"/>
            <w:r>
              <w:rPr>
                <w:rFonts w:ascii="Verdana" w:eastAsia="Times New Roman" w:hAnsi="Verdana" w:cs="Tahoma"/>
                <w:color w:val="FFFFFF" w:themeColor="background1"/>
                <w:sz w:val="20"/>
                <w:szCs w:val="20"/>
              </w:rPr>
              <w:t>dic</w:t>
            </w:r>
            <w:proofErr w:type="spellEnd"/>
            <w:r w:rsidRPr="00AD7EF0">
              <w:rPr>
                <w:rFonts w:ascii="Verdana" w:eastAsia="Times New Roman" w:hAnsi="Verdana" w:cs="Tahoma"/>
                <w:color w:val="FFFFFF" w:themeColor="background1"/>
                <w:sz w:val="20"/>
                <w:szCs w:val="20"/>
              </w:rPr>
              <w:t xml:space="preserve"> 201</w:t>
            </w:r>
            <w:r>
              <w:rPr>
                <w:rFonts w:ascii="Verdana" w:eastAsia="Times New Roman" w:hAnsi="Verdana" w:cs="Tahoma"/>
                <w:color w:val="FFFFFF" w:themeColor="background1"/>
                <w:sz w:val="20"/>
                <w:szCs w:val="20"/>
              </w:rPr>
              <w:t>8</w:t>
            </w:r>
          </w:p>
        </w:tc>
      </w:tr>
      <w:tr w:rsidR="00191A69" w:rsidRPr="000B05ED" w:rsidTr="004D3EC0">
        <w:trPr>
          <w:cnfStyle w:val="000000100000"/>
          <w:trHeight w:val="264"/>
          <w:jc w:val="center"/>
        </w:trPr>
        <w:tc>
          <w:tcPr>
            <w:tcW w:w="4099" w:type="dxa"/>
            <w:noWrap/>
            <w:hideMark/>
          </w:tcPr>
          <w:p w:rsidR="00191A69" w:rsidRPr="00A721A7" w:rsidRDefault="00191A69" w:rsidP="004D3EC0">
            <w:pPr>
              <w:rPr>
                <w:rFonts w:ascii="Verdana" w:eastAsia="Times New Roman" w:hAnsi="Verdana" w:cs="Tahoma"/>
                <w:b/>
                <w:sz w:val="20"/>
                <w:szCs w:val="20"/>
              </w:rPr>
            </w:pPr>
            <w:proofErr w:type="spellStart"/>
            <w:r w:rsidRPr="00A721A7">
              <w:rPr>
                <w:rFonts w:ascii="Verdana" w:eastAsia="Times New Roman" w:hAnsi="Verdana" w:cs="Tahoma"/>
                <w:sz w:val="20"/>
                <w:szCs w:val="20"/>
              </w:rPr>
              <w:t>Fino</w:t>
            </w:r>
            <w:proofErr w:type="spellEnd"/>
            <w:r w:rsidRPr="00A721A7">
              <w:rPr>
                <w:rFonts w:ascii="Verdana" w:eastAsia="Times New Roman" w:hAnsi="Verdana" w:cs="Tahoma"/>
                <w:sz w:val="20"/>
                <w:szCs w:val="20"/>
              </w:rPr>
              <w:t xml:space="preserve"> a 5.000 €</w:t>
            </w:r>
          </w:p>
        </w:tc>
        <w:tc>
          <w:tcPr>
            <w:tcW w:w="2559" w:type="dxa"/>
            <w:noWrap/>
          </w:tcPr>
          <w:p w:rsidR="00191A69" w:rsidRPr="008656A7" w:rsidRDefault="00191A69" w:rsidP="004D3EC0">
            <w:pPr>
              <w:spacing w:after="40"/>
              <w:ind w:firstLine="284"/>
              <w:jc w:val="center"/>
              <w:rPr>
                <w:rFonts w:asciiTheme="majorHAnsi" w:eastAsia="Times New Roman" w:hAnsiTheme="majorHAnsi" w:cs="Tahoma"/>
                <w:snapToGrid w:val="0"/>
                <w:sz w:val="20"/>
                <w:szCs w:val="20"/>
                <w:lang w:val="it-IT" w:eastAsia="it-IT"/>
              </w:rPr>
            </w:pPr>
            <w:r w:rsidRPr="008656A7">
              <w:rPr>
                <w:sz w:val="20"/>
              </w:rPr>
              <w:t>44,0%</w:t>
            </w:r>
          </w:p>
        </w:tc>
      </w:tr>
      <w:tr w:rsidR="00191A69" w:rsidRPr="000B05ED" w:rsidTr="004D3EC0">
        <w:trPr>
          <w:trHeight w:val="264"/>
          <w:jc w:val="center"/>
        </w:trPr>
        <w:tc>
          <w:tcPr>
            <w:tcW w:w="4099" w:type="dxa"/>
            <w:noWrap/>
            <w:hideMark/>
          </w:tcPr>
          <w:p w:rsidR="00191A69" w:rsidRPr="00A721A7" w:rsidRDefault="00191A69" w:rsidP="004D3EC0">
            <w:pPr>
              <w:rPr>
                <w:rFonts w:ascii="Verdana" w:eastAsia="Times New Roman" w:hAnsi="Verdana" w:cs="Tahoma"/>
                <w:b/>
                <w:sz w:val="20"/>
                <w:szCs w:val="20"/>
              </w:rPr>
            </w:pPr>
            <w:r w:rsidRPr="00A721A7">
              <w:rPr>
                <w:rFonts w:ascii="Verdana" w:eastAsia="Times New Roman" w:hAnsi="Verdana" w:cs="Tahoma"/>
                <w:sz w:val="20"/>
                <w:szCs w:val="20"/>
              </w:rPr>
              <w:t>5.001 – 10.000 €</w:t>
            </w:r>
          </w:p>
        </w:tc>
        <w:tc>
          <w:tcPr>
            <w:tcW w:w="2559" w:type="dxa"/>
            <w:noWrap/>
          </w:tcPr>
          <w:p w:rsidR="00191A69" w:rsidRPr="008656A7" w:rsidRDefault="00191A69" w:rsidP="004D3EC0">
            <w:pPr>
              <w:spacing w:after="40"/>
              <w:ind w:firstLine="284"/>
              <w:jc w:val="center"/>
              <w:rPr>
                <w:rFonts w:asciiTheme="majorHAnsi" w:eastAsia="Times New Roman" w:hAnsiTheme="majorHAnsi" w:cs="Tahoma"/>
                <w:snapToGrid w:val="0"/>
                <w:sz w:val="20"/>
                <w:szCs w:val="20"/>
                <w:lang w:val="it-IT" w:eastAsia="it-IT"/>
              </w:rPr>
            </w:pPr>
            <w:r w:rsidRPr="008656A7">
              <w:rPr>
                <w:sz w:val="20"/>
              </w:rPr>
              <w:t>20,2%</w:t>
            </w:r>
          </w:p>
        </w:tc>
      </w:tr>
      <w:tr w:rsidR="00191A69" w:rsidRPr="000B05ED" w:rsidTr="004D3EC0">
        <w:trPr>
          <w:cnfStyle w:val="000000100000"/>
          <w:trHeight w:val="264"/>
          <w:jc w:val="center"/>
        </w:trPr>
        <w:tc>
          <w:tcPr>
            <w:tcW w:w="4099" w:type="dxa"/>
            <w:noWrap/>
            <w:hideMark/>
          </w:tcPr>
          <w:p w:rsidR="00191A69" w:rsidRPr="00A721A7" w:rsidRDefault="00191A69" w:rsidP="004D3EC0">
            <w:pPr>
              <w:rPr>
                <w:rFonts w:ascii="Verdana" w:eastAsia="Times New Roman" w:hAnsi="Verdana" w:cs="Tahoma"/>
                <w:b/>
                <w:sz w:val="20"/>
                <w:szCs w:val="20"/>
              </w:rPr>
            </w:pPr>
            <w:r w:rsidRPr="00A721A7">
              <w:rPr>
                <w:rFonts w:ascii="Verdana" w:eastAsia="Times New Roman" w:hAnsi="Verdana" w:cs="Tahoma"/>
                <w:sz w:val="20"/>
                <w:szCs w:val="20"/>
              </w:rPr>
              <w:t>10.001 – 20.000 €</w:t>
            </w:r>
          </w:p>
        </w:tc>
        <w:tc>
          <w:tcPr>
            <w:tcW w:w="2559" w:type="dxa"/>
            <w:noWrap/>
          </w:tcPr>
          <w:p w:rsidR="00191A69" w:rsidRPr="008656A7" w:rsidRDefault="00191A69" w:rsidP="004D3EC0">
            <w:pPr>
              <w:spacing w:after="40"/>
              <w:ind w:firstLine="284"/>
              <w:jc w:val="center"/>
              <w:rPr>
                <w:rFonts w:asciiTheme="majorHAnsi" w:eastAsia="Times New Roman" w:hAnsiTheme="majorHAnsi" w:cs="Tahoma"/>
                <w:snapToGrid w:val="0"/>
                <w:sz w:val="20"/>
                <w:szCs w:val="20"/>
                <w:lang w:val="it-IT" w:eastAsia="it-IT"/>
              </w:rPr>
            </w:pPr>
            <w:r w:rsidRPr="008656A7">
              <w:rPr>
                <w:sz w:val="20"/>
              </w:rPr>
              <w:t>23,6%</w:t>
            </w:r>
          </w:p>
        </w:tc>
      </w:tr>
      <w:tr w:rsidR="00191A69" w:rsidRPr="000B05ED" w:rsidTr="004D3EC0">
        <w:trPr>
          <w:trHeight w:val="264"/>
          <w:jc w:val="center"/>
        </w:trPr>
        <w:tc>
          <w:tcPr>
            <w:tcW w:w="4099" w:type="dxa"/>
            <w:noWrap/>
            <w:hideMark/>
          </w:tcPr>
          <w:p w:rsidR="00191A69" w:rsidRPr="00A721A7" w:rsidRDefault="00191A69" w:rsidP="004D3EC0">
            <w:pPr>
              <w:rPr>
                <w:rFonts w:ascii="Verdana" w:eastAsia="Times New Roman" w:hAnsi="Verdana" w:cs="Tahoma"/>
                <w:b/>
                <w:sz w:val="20"/>
                <w:szCs w:val="20"/>
              </w:rPr>
            </w:pPr>
            <w:r w:rsidRPr="00A721A7">
              <w:rPr>
                <w:rFonts w:ascii="Verdana" w:eastAsia="Times New Roman" w:hAnsi="Verdana" w:cs="Tahoma"/>
                <w:sz w:val="20"/>
                <w:szCs w:val="20"/>
              </w:rPr>
              <w:t>20.001 – 35.000 €</w:t>
            </w:r>
          </w:p>
        </w:tc>
        <w:tc>
          <w:tcPr>
            <w:tcW w:w="2559" w:type="dxa"/>
            <w:noWrap/>
          </w:tcPr>
          <w:p w:rsidR="00191A69" w:rsidRPr="008656A7" w:rsidRDefault="00191A69" w:rsidP="004D3EC0">
            <w:pPr>
              <w:spacing w:after="40"/>
              <w:ind w:firstLine="284"/>
              <w:jc w:val="center"/>
              <w:rPr>
                <w:rFonts w:asciiTheme="majorHAnsi" w:eastAsia="Times New Roman" w:hAnsiTheme="majorHAnsi" w:cs="Tahoma"/>
                <w:snapToGrid w:val="0"/>
                <w:sz w:val="20"/>
                <w:szCs w:val="20"/>
                <w:lang w:val="it-IT" w:eastAsia="it-IT"/>
              </w:rPr>
            </w:pPr>
            <w:r w:rsidRPr="008656A7">
              <w:rPr>
                <w:sz w:val="20"/>
              </w:rPr>
              <w:t>9,7%</w:t>
            </w:r>
          </w:p>
        </w:tc>
      </w:tr>
      <w:tr w:rsidR="00191A69" w:rsidRPr="000B05ED" w:rsidTr="004D3EC0">
        <w:trPr>
          <w:cnfStyle w:val="000000100000"/>
          <w:trHeight w:val="264"/>
          <w:jc w:val="center"/>
        </w:trPr>
        <w:tc>
          <w:tcPr>
            <w:tcW w:w="4099" w:type="dxa"/>
            <w:noWrap/>
            <w:hideMark/>
          </w:tcPr>
          <w:p w:rsidR="00191A69" w:rsidRPr="00A721A7" w:rsidRDefault="00191A69" w:rsidP="004D3EC0">
            <w:pPr>
              <w:rPr>
                <w:rFonts w:ascii="Verdana" w:eastAsia="Times New Roman" w:hAnsi="Verdana" w:cs="Tahoma"/>
                <w:b/>
                <w:sz w:val="20"/>
                <w:szCs w:val="20"/>
              </w:rPr>
            </w:pPr>
            <w:r w:rsidRPr="00A721A7">
              <w:rPr>
                <w:rFonts w:ascii="Verdana" w:eastAsia="Times New Roman" w:hAnsi="Verdana" w:cs="Tahoma"/>
                <w:sz w:val="20"/>
                <w:szCs w:val="20"/>
              </w:rPr>
              <w:t>35.001 – 75.000 €</w:t>
            </w:r>
          </w:p>
        </w:tc>
        <w:tc>
          <w:tcPr>
            <w:tcW w:w="2559" w:type="dxa"/>
            <w:noWrap/>
          </w:tcPr>
          <w:p w:rsidR="00191A69" w:rsidRPr="008656A7" w:rsidRDefault="00191A69" w:rsidP="004D3EC0">
            <w:pPr>
              <w:spacing w:after="40"/>
              <w:ind w:firstLine="284"/>
              <w:jc w:val="center"/>
              <w:rPr>
                <w:rFonts w:asciiTheme="majorHAnsi" w:eastAsia="Times New Roman" w:hAnsiTheme="majorHAnsi" w:cs="Tahoma"/>
                <w:snapToGrid w:val="0"/>
                <w:sz w:val="20"/>
                <w:szCs w:val="20"/>
                <w:lang w:val="it-IT" w:eastAsia="it-IT"/>
              </w:rPr>
            </w:pPr>
            <w:r w:rsidRPr="008656A7">
              <w:rPr>
                <w:sz w:val="20"/>
              </w:rPr>
              <w:t>2,3%</w:t>
            </w:r>
          </w:p>
        </w:tc>
      </w:tr>
      <w:tr w:rsidR="00191A69" w:rsidRPr="000B05ED" w:rsidTr="004D3EC0">
        <w:trPr>
          <w:trHeight w:val="264"/>
          <w:jc w:val="center"/>
        </w:trPr>
        <w:tc>
          <w:tcPr>
            <w:tcW w:w="4099" w:type="dxa"/>
            <w:noWrap/>
            <w:hideMark/>
          </w:tcPr>
          <w:p w:rsidR="00191A69" w:rsidRPr="00A721A7" w:rsidRDefault="00191A69" w:rsidP="004D3EC0">
            <w:pPr>
              <w:rPr>
                <w:rFonts w:ascii="Verdana" w:eastAsia="Times New Roman" w:hAnsi="Verdana" w:cs="Tahoma"/>
                <w:b/>
                <w:sz w:val="20"/>
                <w:szCs w:val="20"/>
              </w:rPr>
            </w:pPr>
            <w:proofErr w:type="spellStart"/>
            <w:r w:rsidRPr="00A721A7">
              <w:rPr>
                <w:rFonts w:ascii="Verdana" w:eastAsia="Times New Roman" w:hAnsi="Verdana" w:cs="Tahoma"/>
                <w:sz w:val="20"/>
                <w:szCs w:val="20"/>
              </w:rPr>
              <w:t>Oltre</w:t>
            </w:r>
            <w:proofErr w:type="spellEnd"/>
            <w:r w:rsidRPr="00A721A7">
              <w:rPr>
                <w:rFonts w:ascii="Verdana" w:eastAsia="Times New Roman" w:hAnsi="Verdana" w:cs="Tahoma"/>
                <w:sz w:val="20"/>
                <w:szCs w:val="20"/>
              </w:rPr>
              <w:t xml:space="preserve"> 75.000 €</w:t>
            </w:r>
          </w:p>
        </w:tc>
        <w:tc>
          <w:tcPr>
            <w:tcW w:w="2559" w:type="dxa"/>
            <w:noWrap/>
          </w:tcPr>
          <w:p w:rsidR="00191A69" w:rsidRPr="008656A7" w:rsidRDefault="00191A69" w:rsidP="004D3EC0">
            <w:pPr>
              <w:spacing w:after="40"/>
              <w:ind w:firstLine="284"/>
              <w:jc w:val="center"/>
              <w:rPr>
                <w:rFonts w:asciiTheme="majorHAnsi" w:eastAsia="Times New Roman" w:hAnsiTheme="majorHAnsi" w:cs="Tahoma"/>
                <w:snapToGrid w:val="0"/>
                <w:sz w:val="20"/>
                <w:szCs w:val="20"/>
                <w:lang w:val="it-IT" w:eastAsia="it-IT"/>
              </w:rPr>
            </w:pPr>
            <w:r w:rsidRPr="008656A7">
              <w:rPr>
                <w:sz w:val="20"/>
              </w:rPr>
              <w:t>0,2%</w:t>
            </w:r>
          </w:p>
        </w:tc>
      </w:tr>
    </w:tbl>
    <w:p w:rsidR="00191A69" w:rsidRDefault="00191A69" w:rsidP="00191A69">
      <w:pPr>
        <w:pStyle w:val="CRIFCaption"/>
        <w:jc w:val="center"/>
        <w:rPr>
          <w:lang w:val="it-IT"/>
        </w:rPr>
      </w:pPr>
      <w:r w:rsidRPr="002E19D5">
        <w:rPr>
          <w:lang w:val="it-IT"/>
        </w:rPr>
        <w:t>Fonte: EURISC – Il Sistema CRIF di Informazioni Creditizie</w:t>
      </w:r>
    </w:p>
    <w:p w:rsidR="00191A69" w:rsidRPr="00075D29" w:rsidRDefault="00191A69" w:rsidP="00191A69">
      <w:pPr>
        <w:pStyle w:val="CRIFBodyText"/>
        <w:rPr>
          <w:szCs w:val="20"/>
          <w:lang w:val="it-IT"/>
        </w:rPr>
      </w:pPr>
      <w:r w:rsidRPr="00075D29">
        <w:rPr>
          <w:szCs w:val="20"/>
          <w:lang w:val="it-IT"/>
        </w:rPr>
        <w:lastRenderedPageBreak/>
        <w:t xml:space="preserve">Approfondendo l’analisi per tipologia di finanziamento, </w:t>
      </w:r>
      <w:r w:rsidRPr="00075D29">
        <w:rPr>
          <w:b/>
          <w:szCs w:val="20"/>
          <w:lang w:val="it-IT"/>
        </w:rPr>
        <w:t>i prestiti finalizzati vedono concentrare addirittura il 59,9% delle richieste nella fascia al di sotto dei 5.000 Euro</w:t>
      </w:r>
      <w:r w:rsidRPr="00075D29">
        <w:rPr>
          <w:szCs w:val="20"/>
          <w:lang w:val="it-IT"/>
        </w:rPr>
        <w:t xml:space="preserve">, anche se si registra un calo di 3,0 punti percentuali rispetto al 2017. </w:t>
      </w:r>
    </w:p>
    <w:p w:rsidR="00191A69" w:rsidRPr="00075D29" w:rsidRDefault="00191A69" w:rsidP="00191A69">
      <w:pPr>
        <w:pStyle w:val="CRIFBodyText"/>
        <w:rPr>
          <w:szCs w:val="20"/>
          <w:lang w:val="it-IT"/>
        </w:rPr>
      </w:pPr>
      <w:r w:rsidRPr="00075D29">
        <w:rPr>
          <w:b/>
          <w:szCs w:val="20"/>
          <w:lang w:val="it-IT"/>
        </w:rPr>
        <w:t xml:space="preserve">Le richieste di prestiti personali, invece, risultano distribuite in modo più uniforme tra le diverse classi </w:t>
      </w:r>
      <w:r w:rsidR="007E495C">
        <w:rPr>
          <w:b/>
          <w:szCs w:val="20"/>
          <w:lang w:val="it-IT"/>
        </w:rPr>
        <w:t xml:space="preserve">di importo </w:t>
      </w:r>
      <w:r w:rsidRPr="00075D29">
        <w:rPr>
          <w:b/>
          <w:szCs w:val="20"/>
          <w:lang w:val="it-IT"/>
        </w:rPr>
        <w:t>fino a 20.000 Euro</w:t>
      </w:r>
      <w:r w:rsidRPr="00075D29">
        <w:rPr>
          <w:szCs w:val="20"/>
          <w:lang w:val="it-IT"/>
        </w:rPr>
        <w:t>, con il 25,5% del totale nella classe al di sotto dei 5.000 Euro, il 26,7% in quella compresa tra 5.001 e 10.000 Euro, 29,1% in quella tra 10.001 e 20.000 Euro). Nel complesso la distribuzione per fascia di importo risulta in linea con quella rilevata nel 2017.</w:t>
      </w:r>
    </w:p>
    <w:p w:rsidR="00191A69" w:rsidRPr="002E5C54" w:rsidRDefault="00191A69" w:rsidP="00191A69">
      <w:pPr>
        <w:pStyle w:val="CRIFBodyText"/>
        <w:rPr>
          <w:b/>
          <w:color w:val="003B79" w:themeColor="accent1"/>
          <w:sz w:val="22"/>
          <w:lang w:val="it-IT"/>
        </w:rPr>
      </w:pPr>
      <w:r w:rsidRPr="002E5C54">
        <w:rPr>
          <w:b/>
          <w:color w:val="003B79" w:themeColor="accent1"/>
          <w:sz w:val="22"/>
          <w:lang w:val="it-IT"/>
        </w:rPr>
        <w:t>L</w:t>
      </w:r>
      <w:r w:rsidR="007E495C">
        <w:rPr>
          <w:b/>
          <w:color w:val="003B79" w:themeColor="accent1"/>
          <w:sz w:val="22"/>
          <w:lang w:val="it-IT"/>
        </w:rPr>
        <w:t>a distribuzione delle richieste di prestiti per classe di durata</w:t>
      </w:r>
      <w:r w:rsidRPr="002E5C54">
        <w:rPr>
          <w:b/>
          <w:color w:val="003B79" w:themeColor="accent1"/>
          <w:sz w:val="22"/>
          <w:lang w:val="it-IT"/>
        </w:rPr>
        <w:t xml:space="preserve"> </w:t>
      </w:r>
    </w:p>
    <w:p w:rsidR="00191A69" w:rsidRPr="00143656" w:rsidRDefault="00191A69" w:rsidP="00191A69">
      <w:pPr>
        <w:pStyle w:val="CRIFBodyText"/>
        <w:rPr>
          <w:szCs w:val="20"/>
          <w:lang w:val="it-IT"/>
        </w:rPr>
      </w:pPr>
      <w:r w:rsidRPr="00143656">
        <w:rPr>
          <w:szCs w:val="20"/>
          <w:lang w:val="it-IT"/>
        </w:rPr>
        <w:t>L’analisi della distribuzione delle richieste di prestiti per durata</w:t>
      </w:r>
      <w:r w:rsidRPr="00075D29">
        <w:rPr>
          <w:szCs w:val="20"/>
          <w:lang w:val="it-IT"/>
        </w:rPr>
        <w:t xml:space="preserve"> conferma che </w:t>
      </w:r>
      <w:r w:rsidRPr="00075D29">
        <w:rPr>
          <w:b/>
          <w:szCs w:val="20"/>
          <w:lang w:val="it-IT"/>
        </w:rPr>
        <w:t xml:space="preserve">nel 2018 la classe </w:t>
      </w:r>
      <w:r w:rsidRPr="00143656">
        <w:rPr>
          <w:b/>
          <w:szCs w:val="20"/>
          <w:lang w:val="it-IT"/>
        </w:rPr>
        <w:t>superiore ai 5 anni è quella in cui si concentrano le preferenze degli italiani,</w:t>
      </w:r>
      <w:r w:rsidRPr="00143656">
        <w:rPr>
          <w:szCs w:val="20"/>
          <w:lang w:val="it-IT"/>
        </w:rPr>
        <w:t xml:space="preserve"> con una quota pari al </w:t>
      </w:r>
      <w:r w:rsidRPr="00143656">
        <w:rPr>
          <w:b/>
          <w:szCs w:val="20"/>
          <w:lang w:val="it-IT"/>
        </w:rPr>
        <w:t>26,9% del totale</w:t>
      </w:r>
      <w:r w:rsidRPr="00143656">
        <w:rPr>
          <w:szCs w:val="20"/>
          <w:lang w:val="it-IT"/>
        </w:rPr>
        <w:t xml:space="preserve"> (+2,3 punti percentuali rispetto al 2017). Al contrario si evidenzia una nuova contrazione dell’incidenza della classe di durata inferiore ai 12 mesi, che passa dal 16,5% al 15,0% del totale, in continuo calo nelle ultime rilevazioni.</w:t>
      </w:r>
    </w:p>
    <w:tbl>
      <w:tblPr>
        <w:tblStyle w:val="Predefinita1"/>
        <w:tblW w:w="6363" w:type="dxa"/>
        <w:jc w:val="center"/>
        <w:tblLook w:val="0420"/>
      </w:tblPr>
      <w:tblGrid>
        <w:gridCol w:w="4002"/>
        <w:gridCol w:w="2361"/>
      </w:tblGrid>
      <w:tr w:rsidR="00191A69" w:rsidRPr="00F36D78" w:rsidTr="004D3EC0">
        <w:trPr>
          <w:cnfStyle w:val="100000000000"/>
          <w:trHeight w:val="270"/>
          <w:jc w:val="center"/>
        </w:trPr>
        <w:tc>
          <w:tcPr>
            <w:tcW w:w="4002" w:type="dxa"/>
            <w:noWrap/>
            <w:vAlign w:val="center"/>
            <w:hideMark/>
          </w:tcPr>
          <w:p w:rsidR="00191A69" w:rsidRPr="00AD7EF0" w:rsidRDefault="00191A69" w:rsidP="004D3EC0">
            <w:pPr>
              <w:spacing w:line="276" w:lineRule="auto"/>
              <w:jc w:val="center"/>
              <w:rPr>
                <w:rFonts w:ascii="Verdana" w:eastAsia="Times New Roman" w:hAnsi="Verdana" w:cs="Tahoma"/>
                <w:color w:val="FFFFFF" w:themeColor="background1"/>
                <w:sz w:val="20"/>
                <w:szCs w:val="20"/>
                <w:lang w:val="it-IT"/>
              </w:rPr>
            </w:pPr>
            <w:r w:rsidRPr="00AD7EF0">
              <w:rPr>
                <w:rFonts w:ascii="Verdana" w:eastAsia="Times New Roman" w:hAnsi="Verdana" w:cs="Tahoma"/>
                <w:color w:val="FFFFFF" w:themeColor="background1"/>
                <w:sz w:val="20"/>
                <w:szCs w:val="20"/>
                <w:lang w:val="it-IT"/>
              </w:rPr>
              <w:t>Classe Durata Finanziamento (prestiti finalizzati + personali)</w:t>
            </w:r>
          </w:p>
        </w:tc>
        <w:tc>
          <w:tcPr>
            <w:tcW w:w="2361" w:type="dxa"/>
            <w:noWrap/>
            <w:vAlign w:val="center"/>
            <w:hideMark/>
          </w:tcPr>
          <w:p w:rsidR="00191A69" w:rsidRPr="00AD7EF0" w:rsidRDefault="00191A69" w:rsidP="004D3EC0">
            <w:pPr>
              <w:spacing w:line="276" w:lineRule="auto"/>
              <w:jc w:val="center"/>
              <w:rPr>
                <w:rFonts w:ascii="Verdana" w:eastAsia="Times New Roman" w:hAnsi="Verdana" w:cs="Tahoma"/>
                <w:color w:val="FFFFFF" w:themeColor="background1"/>
                <w:sz w:val="20"/>
                <w:szCs w:val="20"/>
                <w:lang w:val="it-IT"/>
              </w:rPr>
            </w:pPr>
            <w:proofErr w:type="spellStart"/>
            <w:r>
              <w:rPr>
                <w:rFonts w:ascii="Verdana" w:eastAsia="Times New Roman" w:hAnsi="Verdana" w:cs="Tahoma"/>
                <w:color w:val="FFFFFF" w:themeColor="background1"/>
                <w:sz w:val="20"/>
                <w:szCs w:val="20"/>
              </w:rPr>
              <w:t>Distribuzione</w:t>
            </w:r>
            <w:proofErr w:type="spellEnd"/>
            <w:r w:rsidRPr="00AD7EF0">
              <w:rPr>
                <w:rFonts w:ascii="Verdana" w:eastAsia="Times New Roman" w:hAnsi="Verdana" w:cs="Tahoma"/>
                <w:color w:val="FFFFFF" w:themeColor="background1"/>
                <w:sz w:val="20"/>
                <w:szCs w:val="20"/>
                <w:lang w:val="it-IT"/>
              </w:rPr>
              <w:t xml:space="preserve"> % </w:t>
            </w:r>
            <w:proofErr w:type="spellStart"/>
            <w:r w:rsidRPr="00AD7EF0">
              <w:rPr>
                <w:rFonts w:ascii="Verdana" w:eastAsia="Times New Roman" w:hAnsi="Verdana" w:cs="Tahoma"/>
                <w:color w:val="FFFFFF" w:themeColor="background1"/>
                <w:sz w:val="20"/>
                <w:szCs w:val="20"/>
                <w:lang w:val="it-IT"/>
              </w:rPr>
              <w:t>gen</w:t>
            </w:r>
            <w:r>
              <w:rPr>
                <w:rFonts w:ascii="Verdana" w:eastAsia="Times New Roman" w:hAnsi="Verdana" w:cs="Tahoma"/>
                <w:color w:val="FFFFFF" w:themeColor="background1"/>
                <w:sz w:val="20"/>
                <w:szCs w:val="20"/>
                <w:lang w:val="it-IT"/>
              </w:rPr>
              <w:t>-</w:t>
            </w:r>
            <w:proofErr w:type="spellEnd"/>
            <w:r>
              <w:rPr>
                <w:rFonts w:ascii="Verdana" w:eastAsia="Times New Roman" w:hAnsi="Verdana" w:cs="Tahoma"/>
                <w:color w:val="FFFFFF" w:themeColor="background1"/>
                <w:sz w:val="20"/>
                <w:szCs w:val="20"/>
                <w:lang w:val="it-IT"/>
              </w:rPr>
              <w:t xml:space="preserve"> </w:t>
            </w:r>
            <w:proofErr w:type="spellStart"/>
            <w:r>
              <w:rPr>
                <w:rFonts w:ascii="Verdana" w:eastAsia="Times New Roman" w:hAnsi="Verdana" w:cs="Tahoma"/>
                <w:color w:val="FFFFFF" w:themeColor="background1"/>
                <w:sz w:val="20"/>
                <w:szCs w:val="20"/>
                <w:lang w:val="it-IT"/>
              </w:rPr>
              <w:t>dic</w:t>
            </w:r>
            <w:proofErr w:type="spellEnd"/>
            <w:r>
              <w:rPr>
                <w:rFonts w:ascii="Verdana" w:eastAsia="Times New Roman" w:hAnsi="Verdana" w:cs="Tahoma"/>
                <w:color w:val="FFFFFF" w:themeColor="background1"/>
                <w:sz w:val="20"/>
                <w:szCs w:val="20"/>
                <w:lang w:val="it-IT"/>
              </w:rPr>
              <w:t xml:space="preserve"> 2018</w:t>
            </w:r>
          </w:p>
        </w:tc>
      </w:tr>
      <w:tr w:rsidR="00191A69" w:rsidRPr="00F36D78" w:rsidTr="004D3EC0">
        <w:trPr>
          <w:cnfStyle w:val="000000100000"/>
          <w:trHeight w:val="270"/>
          <w:jc w:val="center"/>
        </w:trPr>
        <w:tc>
          <w:tcPr>
            <w:tcW w:w="4002" w:type="dxa"/>
            <w:noWrap/>
            <w:vAlign w:val="center"/>
            <w:hideMark/>
          </w:tcPr>
          <w:p w:rsidR="00191A69" w:rsidRPr="00A721A7" w:rsidRDefault="00191A69" w:rsidP="004D3EC0">
            <w:pPr>
              <w:spacing w:line="276" w:lineRule="auto"/>
              <w:rPr>
                <w:rFonts w:asciiTheme="majorHAnsi" w:hAnsiTheme="majorHAnsi" w:cs="Tahoma"/>
                <w:b/>
                <w:sz w:val="20"/>
                <w:szCs w:val="20"/>
              </w:rPr>
            </w:pPr>
            <w:r w:rsidRPr="006C4AD1">
              <w:rPr>
                <w:rFonts w:asciiTheme="majorHAnsi" w:hAnsiTheme="majorHAnsi" w:cs="Tahoma"/>
                <w:sz w:val="20"/>
                <w:szCs w:val="20"/>
              </w:rPr>
              <w:t>0</w:t>
            </w:r>
            <w:r w:rsidRPr="00A721A7">
              <w:rPr>
                <w:rFonts w:asciiTheme="majorHAnsi" w:hAnsiTheme="majorHAnsi" w:cs="Tahoma"/>
                <w:sz w:val="20"/>
                <w:szCs w:val="20"/>
              </w:rPr>
              <w:t xml:space="preserve"> – 12 </w:t>
            </w:r>
            <w:proofErr w:type="spellStart"/>
            <w:r w:rsidRPr="00A721A7">
              <w:rPr>
                <w:rFonts w:asciiTheme="majorHAnsi" w:hAnsiTheme="majorHAnsi" w:cs="Tahoma"/>
                <w:sz w:val="20"/>
                <w:szCs w:val="20"/>
              </w:rPr>
              <w:t>mesi</w:t>
            </w:r>
            <w:proofErr w:type="spellEnd"/>
          </w:p>
        </w:tc>
        <w:tc>
          <w:tcPr>
            <w:tcW w:w="2361" w:type="dxa"/>
            <w:noWrap/>
          </w:tcPr>
          <w:p w:rsidR="00191A69" w:rsidRPr="006C4AD1" w:rsidRDefault="00191A69" w:rsidP="004D3EC0">
            <w:pPr>
              <w:spacing w:line="276" w:lineRule="auto"/>
              <w:jc w:val="center"/>
              <w:rPr>
                <w:rFonts w:asciiTheme="majorHAnsi" w:hAnsiTheme="majorHAnsi" w:cs="Tahoma"/>
                <w:sz w:val="20"/>
                <w:szCs w:val="20"/>
              </w:rPr>
            </w:pPr>
            <w:r w:rsidRPr="006C4AD1">
              <w:rPr>
                <w:sz w:val="20"/>
                <w:szCs w:val="20"/>
              </w:rPr>
              <w:t>15,0%</w:t>
            </w:r>
          </w:p>
        </w:tc>
      </w:tr>
      <w:tr w:rsidR="00191A69" w:rsidRPr="00F36D78" w:rsidTr="004D3EC0">
        <w:trPr>
          <w:trHeight w:val="270"/>
          <w:jc w:val="center"/>
        </w:trPr>
        <w:tc>
          <w:tcPr>
            <w:tcW w:w="4002" w:type="dxa"/>
            <w:noWrap/>
            <w:vAlign w:val="center"/>
            <w:hideMark/>
          </w:tcPr>
          <w:p w:rsidR="00191A69" w:rsidRPr="00A721A7" w:rsidRDefault="00191A69" w:rsidP="004D3EC0">
            <w:pPr>
              <w:spacing w:line="276" w:lineRule="auto"/>
              <w:rPr>
                <w:rFonts w:asciiTheme="majorHAnsi" w:hAnsiTheme="majorHAnsi" w:cs="Tahoma"/>
                <w:b/>
                <w:sz w:val="20"/>
                <w:szCs w:val="20"/>
              </w:rPr>
            </w:pPr>
            <w:r w:rsidRPr="00A721A7">
              <w:rPr>
                <w:rFonts w:asciiTheme="majorHAnsi" w:hAnsiTheme="majorHAnsi" w:cs="Tahoma"/>
                <w:sz w:val="20"/>
                <w:szCs w:val="20"/>
              </w:rPr>
              <w:t xml:space="preserve">13 – 18 </w:t>
            </w:r>
            <w:proofErr w:type="spellStart"/>
            <w:r w:rsidRPr="00A721A7">
              <w:rPr>
                <w:rFonts w:asciiTheme="majorHAnsi" w:hAnsiTheme="majorHAnsi" w:cs="Tahoma"/>
                <w:sz w:val="20"/>
                <w:szCs w:val="20"/>
              </w:rPr>
              <w:t>mesi</w:t>
            </w:r>
            <w:proofErr w:type="spellEnd"/>
          </w:p>
        </w:tc>
        <w:tc>
          <w:tcPr>
            <w:tcW w:w="2361" w:type="dxa"/>
            <w:noWrap/>
          </w:tcPr>
          <w:p w:rsidR="00191A69" w:rsidRPr="006C4AD1" w:rsidRDefault="00191A69" w:rsidP="004D3EC0">
            <w:pPr>
              <w:spacing w:line="276" w:lineRule="auto"/>
              <w:jc w:val="center"/>
              <w:rPr>
                <w:rFonts w:asciiTheme="majorHAnsi" w:hAnsiTheme="majorHAnsi" w:cs="Tahoma"/>
                <w:sz w:val="20"/>
                <w:szCs w:val="20"/>
              </w:rPr>
            </w:pPr>
            <w:r w:rsidRPr="006C4AD1">
              <w:rPr>
                <w:sz w:val="20"/>
                <w:szCs w:val="20"/>
              </w:rPr>
              <w:t>3,0%</w:t>
            </w:r>
          </w:p>
        </w:tc>
      </w:tr>
      <w:tr w:rsidR="00191A69" w:rsidRPr="00F36D78" w:rsidTr="004D3EC0">
        <w:trPr>
          <w:cnfStyle w:val="000000100000"/>
          <w:trHeight w:val="270"/>
          <w:jc w:val="center"/>
        </w:trPr>
        <w:tc>
          <w:tcPr>
            <w:tcW w:w="4002" w:type="dxa"/>
            <w:noWrap/>
            <w:vAlign w:val="center"/>
            <w:hideMark/>
          </w:tcPr>
          <w:p w:rsidR="00191A69" w:rsidRPr="00A721A7" w:rsidRDefault="00191A69" w:rsidP="004D3EC0">
            <w:pPr>
              <w:spacing w:line="276" w:lineRule="auto"/>
              <w:rPr>
                <w:rFonts w:asciiTheme="majorHAnsi" w:hAnsiTheme="majorHAnsi" w:cs="Tahoma"/>
                <w:b/>
                <w:sz w:val="20"/>
                <w:szCs w:val="20"/>
              </w:rPr>
            </w:pPr>
            <w:r w:rsidRPr="00A721A7">
              <w:rPr>
                <w:rFonts w:asciiTheme="majorHAnsi" w:hAnsiTheme="majorHAnsi" w:cs="Tahoma"/>
                <w:sz w:val="20"/>
                <w:szCs w:val="20"/>
              </w:rPr>
              <w:t xml:space="preserve">19 – 24 </w:t>
            </w:r>
            <w:proofErr w:type="spellStart"/>
            <w:r w:rsidRPr="00A721A7">
              <w:rPr>
                <w:rFonts w:asciiTheme="majorHAnsi" w:hAnsiTheme="majorHAnsi" w:cs="Tahoma"/>
                <w:sz w:val="20"/>
                <w:szCs w:val="20"/>
              </w:rPr>
              <w:t>mesi</w:t>
            </w:r>
            <w:proofErr w:type="spellEnd"/>
          </w:p>
        </w:tc>
        <w:tc>
          <w:tcPr>
            <w:tcW w:w="2361" w:type="dxa"/>
            <w:noWrap/>
          </w:tcPr>
          <w:p w:rsidR="00191A69" w:rsidRPr="006C4AD1" w:rsidRDefault="00191A69" w:rsidP="004D3EC0">
            <w:pPr>
              <w:spacing w:line="276" w:lineRule="auto"/>
              <w:jc w:val="center"/>
              <w:rPr>
                <w:rFonts w:asciiTheme="majorHAnsi" w:hAnsiTheme="majorHAnsi" w:cs="Tahoma"/>
                <w:sz w:val="20"/>
                <w:szCs w:val="20"/>
              </w:rPr>
            </w:pPr>
            <w:r w:rsidRPr="006C4AD1">
              <w:rPr>
                <w:sz w:val="20"/>
                <w:szCs w:val="20"/>
              </w:rPr>
              <w:t>13,3%</w:t>
            </w:r>
          </w:p>
        </w:tc>
      </w:tr>
      <w:tr w:rsidR="00191A69" w:rsidRPr="00F36D78" w:rsidTr="004D3EC0">
        <w:trPr>
          <w:trHeight w:val="270"/>
          <w:jc w:val="center"/>
        </w:trPr>
        <w:tc>
          <w:tcPr>
            <w:tcW w:w="4002" w:type="dxa"/>
            <w:noWrap/>
            <w:vAlign w:val="center"/>
            <w:hideMark/>
          </w:tcPr>
          <w:p w:rsidR="00191A69" w:rsidRPr="00A721A7" w:rsidRDefault="00191A69" w:rsidP="004D3EC0">
            <w:pPr>
              <w:spacing w:line="276" w:lineRule="auto"/>
              <w:rPr>
                <w:rFonts w:asciiTheme="majorHAnsi" w:hAnsiTheme="majorHAnsi" w:cs="Tahoma"/>
                <w:b/>
                <w:sz w:val="20"/>
                <w:szCs w:val="20"/>
              </w:rPr>
            </w:pPr>
            <w:r w:rsidRPr="00A721A7">
              <w:rPr>
                <w:rFonts w:asciiTheme="majorHAnsi" w:hAnsiTheme="majorHAnsi" w:cs="Tahoma"/>
                <w:sz w:val="20"/>
                <w:szCs w:val="20"/>
              </w:rPr>
              <w:t xml:space="preserve">25 – 36 </w:t>
            </w:r>
            <w:proofErr w:type="spellStart"/>
            <w:r w:rsidRPr="00A721A7">
              <w:rPr>
                <w:rFonts w:asciiTheme="majorHAnsi" w:hAnsiTheme="majorHAnsi" w:cs="Tahoma"/>
                <w:sz w:val="20"/>
                <w:szCs w:val="20"/>
              </w:rPr>
              <w:t>mesi</w:t>
            </w:r>
            <w:proofErr w:type="spellEnd"/>
          </w:p>
        </w:tc>
        <w:tc>
          <w:tcPr>
            <w:tcW w:w="2361" w:type="dxa"/>
            <w:noWrap/>
          </w:tcPr>
          <w:p w:rsidR="00191A69" w:rsidRPr="006C4AD1" w:rsidRDefault="00191A69" w:rsidP="004D3EC0">
            <w:pPr>
              <w:spacing w:line="276" w:lineRule="auto"/>
              <w:jc w:val="center"/>
              <w:rPr>
                <w:rFonts w:asciiTheme="majorHAnsi" w:hAnsiTheme="majorHAnsi" w:cs="Tahoma"/>
                <w:sz w:val="20"/>
                <w:szCs w:val="20"/>
              </w:rPr>
            </w:pPr>
            <w:r w:rsidRPr="006C4AD1">
              <w:rPr>
                <w:sz w:val="20"/>
                <w:szCs w:val="20"/>
              </w:rPr>
              <w:t>15,7%</w:t>
            </w:r>
          </w:p>
        </w:tc>
      </w:tr>
      <w:tr w:rsidR="00191A69" w:rsidRPr="00F36D78" w:rsidTr="004D3EC0">
        <w:trPr>
          <w:cnfStyle w:val="000000100000"/>
          <w:trHeight w:val="270"/>
          <w:jc w:val="center"/>
        </w:trPr>
        <w:tc>
          <w:tcPr>
            <w:tcW w:w="4002" w:type="dxa"/>
            <w:noWrap/>
            <w:vAlign w:val="center"/>
            <w:hideMark/>
          </w:tcPr>
          <w:p w:rsidR="00191A69" w:rsidRPr="00A721A7" w:rsidRDefault="00191A69" w:rsidP="004D3EC0">
            <w:pPr>
              <w:spacing w:line="276" w:lineRule="auto"/>
              <w:rPr>
                <w:rFonts w:asciiTheme="majorHAnsi" w:hAnsiTheme="majorHAnsi" w:cs="Tahoma"/>
                <w:b/>
                <w:sz w:val="20"/>
                <w:szCs w:val="20"/>
              </w:rPr>
            </w:pPr>
            <w:r w:rsidRPr="00A721A7">
              <w:rPr>
                <w:rFonts w:asciiTheme="majorHAnsi" w:hAnsiTheme="majorHAnsi" w:cs="Tahoma"/>
                <w:sz w:val="20"/>
                <w:szCs w:val="20"/>
              </w:rPr>
              <w:t xml:space="preserve">37– 48 </w:t>
            </w:r>
            <w:proofErr w:type="spellStart"/>
            <w:r w:rsidRPr="00A721A7">
              <w:rPr>
                <w:rFonts w:asciiTheme="majorHAnsi" w:hAnsiTheme="majorHAnsi" w:cs="Tahoma"/>
                <w:sz w:val="20"/>
                <w:szCs w:val="20"/>
              </w:rPr>
              <w:t>mesi</w:t>
            </w:r>
            <w:proofErr w:type="spellEnd"/>
          </w:p>
        </w:tc>
        <w:tc>
          <w:tcPr>
            <w:tcW w:w="2361" w:type="dxa"/>
            <w:noWrap/>
          </w:tcPr>
          <w:p w:rsidR="00191A69" w:rsidRPr="006C4AD1" w:rsidRDefault="00191A69" w:rsidP="004D3EC0">
            <w:pPr>
              <w:spacing w:line="276" w:lineRule="auto"/>
              <w:jc w:val="center"/>
              <w:rPr>
                <w:rFonts w:asciiTheme="majorHAnsi" w:hAnsiTheme="majorHAnsi" w:cs="Tahoma"/>
                <w:sz w:val="20"/>
                <w:szCs w:val="20"/>
              </w:rPr>
            </w:pPr>
            <w:r w:rsidRPr="006C4AD1">
              <w:rPr>
                <w:sz w:val="20"/>
                <w:szCs w:val="20"/>
              </w:rPr>
              <w:t>11,9%</w:t>
            </w:r>
          </w:p>
        </w:tc>
      </w:tr>
      <w:tr w:rsidR="00191A69" w:rsidRPr="00F36D78" w:rsidTr="004D3EC0">
        <w:trPr>
          <w:trHeight w:val="270"/>
          <w:jc w:val="center"/>
        </w:trPr>
        <w:tc>
          <w:tcPr>
            <w:tcW w:w="4002" w:type="dxa"/>
            <w:noWrap/>
            <w:vAlign w:val="center"/>
            <w:hideMark/>
          </w:tcPr>
          <w:p w:rsidR="00191A69" w:rsidRPr="00A721A7" w:rsidRDefault="00191A69" w:rsidP="004D3EC0">
            <w:pPr>
              <w:spacing w:line="276" w:lineRule="auto"/>
              <w:rPr>
                <w:rFonts w:asciiTheme="majorHAnsi" w:hAnsiTheme="majorHAnsi" w:cs="Tahoma"/>
                <w:b/>
                <w:sz w:val="20"/>
                <w:szCs w:val="20"/>
              </w:rPr>
            </w:pPr>
            <w:r w:rsidRPr="00A721A7">
              <w:rPr>
                <w:rFonts w:asciiTheme="majorHAnsi" w:hAnsiTheme="majorHAnsi" w:cs="Tahoma"/>
                <w:sz w:val="20"/>
                <w:szCs w:val="20"/>
              </w:rPr>
              <w:t xml:space="preserve">48 – 60 </w:t>
            </w:r>
            <w:proofErr w:type="spellStart"/>
            <w:r w:rsidRPr="00A721A7">
              <w:rPr>
                <w:rFonts w:asciiTheme="majorHAnsi" w:hAnsiTheme="majorHAnsi" w:cs="Tahoma"/>
                <w:sz w:val="20"/>
                <w:szCs w:val="20"/>
              </w:rPr>
              <w:t>mesi</w:t>
            </w:r>
            <w:proofErr w:type="spellEnd"/>
          </w:p>
        </w:tc>
        <w:tc>
          <w:tcPr>
            <w:tcW w:w="2361" w:type="dxa"/>
            <w:noWrap/>
          </w:tcPr>
          <w:p w:rsidR="00191A69" w:rsidRPr="006C4AD1" w:rsidRDefault="00191A69" w:rsidP="004D3EC0">
            <w:pPr>
              <w:spacing w:line="276" w:lineRule="auto"/>
              <w:jc w:val="center"/>
              <w:rPr>
                <w:rFonts w:asciiTheme="majorHAnsi" w:hAnsiTheme="majorHAnsi" w:cs="Tahoma"/>
                <w:sz w:val="20"/>
                <w:szCs w:val="20"/>
              </w:rPr>
            </w:pPr>
            <w:r w:rsidRPr="006C4AD1">
              <w:rPr>
                <w:sz w:val="20"/>
                <w:szCs w:val="20"/>
              </w:rPr>
              <w:t>14,1%</w:t>
            </w:r>
          </w:p>
        </w:tc>
      </w:tr>
      <w:tr w:rsidR="00191A69" w:rsidRPr="00F36D78" w:rsidTr="004D3EC0">
        <w:trPr>
          <w:cnfStyle w:val="000000100000"/>
          <w:trHeight w:val="270"/>
          <w:jc w:val="center"/>
        </w:trPr>
        <w:tc>
          <w:tcPr>
            <w:tcW w:w="4002" w:type="dxa"/>
            <w:noWrap/>
            <w:vAlign w:val="center"/>
            <w:hideMark/>
          </w:tcPr>
          <w:p w:rsidR="00191A69" w:rsidRPr="00A721A7" w:rsidRDefault="00191A69" w:rsidP="004D3EC0">
            <w:pPr>
              <w:spacing w:line="276" w:lineRule="auto"/>
              <w:rPr>
                <w:rFonts w:asciiTheme="majorHAnsi" w:hAnsiTheme="majorHAnsi" w:cs="Tahoma"/>
                <w:b/>
                <w:sz w:val="20"/>
                <w:szCs w:val="20"/>
              </w:rPr>
            </w:pPr>
            <w:proofErr w:type="spellStart"/>
            <w:r w:rsidRPr="00A721A7">
              <w:rPr>
                <w:rFonts w:asciiTheme="majorHAnsi" w:hAnsiTheme="majorHAnsi" w:cs="Tahoma"/>
                <w:sz w:val="20"/>
                <w:szCs w:val="20"/>
              </w:rPr>
              <w:t>oltre</w:t>
            </w:r>
            <w:proofErr w:type="spellEnd"/>
            <w:r w:rsidRPr="00A721A7">
              <w:rPr>
                <w:rFonts w:asciiTheme="majorHAnsi" w:hAnsiTheme="majorHAnsi" w:cs="Tahoma"/>
                <w:sz w:val="20"/>
                <w:szCs w:val="20"/>
              </w:rPr>
              <w:t xml:space="preserve"> 60 </w:t>
            </w:r>
            <w:proofErr w:type="spellStart"/>
            <w:r w:rsidRPr="00A721A7">
              <w:rPr>
                <w:rFonts w:asciiTheme="majorHAnsi" w:hAnsiTheme="majorHAnsi" w:cs="Tahoma"/>
                <w:sz w:val="20"/>
                <w:szCs w:val="20"/>
              </w:rPr>
              <w:t>mesi</w:t>
            </w:r>
            <w:proofErr w:type="spellEnd"/>
          </w:p>
        </w:tc>
        <w:tc>
          <w:tcPr>
            <w:tcW w:w="2361" w:type="dxa"/>
            <w:noWrap/>
          </w:tcPr>
          <w:p w:rsidR="00191A69" w:rsidRPr="006C4AD1" w:rsidRDefault="00191A69" w:rsidP="004D3EC0">
            <w:pPr>
              <w:spacing w:line="276" w:lineRule="auto"/>
              <w:jc w:val="center"/>
              <w:rPr>
                <w:rFonts w:asciiTheme="majorHAnsi" w:hAnsiTheme="majorHAnsi" w:cs="Tahoma"/>
                <w:sz w:val="20"/>
                <w:szCs w:val="20"/>
              </w:rPr>
            </w:pPr>
            <w:r w:rsidRPr="006C4AD1">
              <w:rPr>
                <w:sz w:val="20"/>
                <w:szCs w:val="20"/>
              </w:rPr>
              <w:t>26,9%</w:t>
            </w:r>
          </w:p>
        </w:tc>
      </w:tr>
    </w:tbl>
    <w:p w:rsidR="00191A69" w:rsidRDefault="00191A69" w:rsidP="00191A69">
      <w:pPr>
        <w:pStyle w:val="CRIFCaption"/>
        <w:spacing w:line="276" w:lineRule="auto"/>
        <w:jc w:val="center"/>
        <w:rPr>
          <w:lang w:val="it-IT"/>
        </w:rPr>
      </w:pPr>
      <w:r w:rsidRPr="002E19D5">
        <w:rPr>
          <w:lang w:val="it-IT"/>
        </w:rPr>
        <w:t>Fonte: EURISC – Il Sistema CRIF di Informazioni Creditizie</w:t>
      </w:r>
    </w:p>
    <w:p w:rsidR="00191A69" w:rsidRPr="00075D29" w:rsidRDefault="00191A69" w:rsidP="00191A69">
      <w:pPr>
        <w:pStyle w:val="CRIFBodyText"/>
        <w:rPr>
          <w:szCs w:val="20"/>
          <w:lang w:val="it-IT"/>
        </w:rPr>
      </w:pPr>
      <w:r w:rsidRPr="00075D29">
        <w:rPr>
          <w:szCs w:val="20"/>
          <w:lang w:val="it-IT"/>
        </w:rPr>
        <w:t xml:space="preserve">Per quanto riguarda i </w:t>
      </w:r>
      <w:r w:rsidRPr="00075D29">
        <w:rPr>
          <w:b/>
          <w:szCs w:val="20"/>
          <w:lang w:val="it-IT"/>
        </w:rPr>
        <w:t>prestiti finalizzati</w:t>
      </w:r>
      <w:r w:rsidRPr="00075D29">
        <w:rPr>
          <w:szCs w:val="20"/>
          <w:lang w:val="it-IT"/>
        </w:rPr>
        <w:t xml:space="preserve">, </w:t>
      </w:r>
      <w:r w:rsidRPr="007E495C">
        <w:rPr>
          <w:b/>
          <w:szCs w:val="20"/>
          <w:lang w:val="it-IT"/>
        </w:rPr>
        <w:t xml:space="preserve">le richieste si sono concentrate </w:t>
      </w:r>
      <w:r w:rsidR="007E495C" w:rsidRPr="007E495C">
        <w:rPr>
          <w:b/>
          <w:szCs w:val="20"/>
          <w:lang w:val="it-IT"/>
        </w:rPr>
        <w:t>prevalentemente</w:t>
      </w:r>
      <w:r w:rsidR="007E495C">
        <w:rPr>
          <w:szCs w:val="20"/>
          <w:lang w:val="it-IT"/>
        </w:rPr>
        <w:t xml:space="preserve"> </w:t>
      </w:r>
      <w:r w:rsidRPr="00075D29">
        <w:rPr>
          <w:b/>
          <w:szCs w:val="20"/>
          <w:lang w:val="it-IT"/>
        </w:rPr>
        <w:t>nella fascia di durata inferiore ai 12 mesi</w:t>
      </w:r>
      <w:r w:rsidRPr="00075D29">
        <w:rPr>
          <w:szCs w:val="20"/>
          <w:lang w:val="it-IT"/>
        </w:rPr>
        <w:t xml:space="preserve"> (</w:t>
      </w:r>
      <w:r w:rsidR="007E495C" w:rsidRPr="00075D29">
        <w:rPr>
          <w:b/>
          <w:szCs w:val="20"/>
          <w:lang w:val="it-IT"/>
        </w:rPr>
        <w:t>24,5%</w:t>
      </w:r>
      <w:r w:rsidR="007E495C">
        <w:rPr>
          <w:b/>
          <w:szCs w:val="20"/>
          <w:lang w:val="it-IT"/>
        </w:rPr>
        <w:t xml:space="preserve"> del totale, </w:t>
      </w:r>
      <w:r w:rsidRPr="00075D29">
        <w:rPr>
          <w:szCs w:val="20"/>
          <w:lang w:val="it-IT"/>
        </w:rPr>
        <w:t xml:space="preserve">seppur a fronte di un calo di -2,7 punti percentuali rispetto allo stesso periodo del 2017), mentre </w:t>
      </w:r>
      <w:r w:rsidRPr="00075D29">
        <w:rPr>
          <w:b/>
          <w:szCs w:val="20"/>
          <w:lang w:val="it-IT"/>
        </w:rPr>
        <w:t>per i prestiti personali si sono indirizzate sempre di più nella fascia di durata superiore ai 5 anni</w:t>
      </w:r>
      <w:r w:rsidRPr="00075D29">
        <w:rPr>
          <w:szCs w:val="20"/>
          <w:lang w:val="it-IT"/>
        </w:rPr>
        <w:t xml:space="preserve">, con una incidenza del </w:t>
      </w:r>
      <w:r w:rsidRPr="00075D29">
        <w:rPr>
          <w:b/>
          <w:szCs w:val="20"/>
          <w:lang w:val="it-IT"/>
        </w:rPr>
        <w:t>45,9% sul totale</w:t>
      </w:r>
      <w:r w:rsidRPr="00075D29">
        <w:rPr>
          <w:szCs w:val="20"/>
          <w:lang w:val="it-IT"/>
        </w:rPr>
        <w:t xml:space="preserve"> (+1,9 punti percentuali). </w:t>
      </w:r>
    </w:p>
    <w:p w:rsidR="00191A69" w:rsidRPr="00773F80" w:rsidRDefault="00191A69" w:rsidP="00F06C5B">
      <w:pPr>
        <w:spacing w:afterLines="50"/>
        <w:rPr>
          <w:b/>
          <w:color w:val="003B79" w:themeColor="accent1"/>
          <w:lang w:val="it-IT"/>
        </w:rPr>
      </w:pPr>
      <w:r w:rsidRPr="00773F80">
        <w:rPr>
          <w:b/>
          <w:color w:val="003B79" w:themeColor="accent1"/>
          <w:lang w:val="it-IT"/>
        </w:rPr>
        <w:t>L</w:t>
      </w:r>
      <w:r w:rsidR="007E495C">
        <w:rPr>
          <w:b/>
          <w:color w:val="003B79" w:themeColor="accent1"/>
          <w:lang w:val="it-IT"/>
        </w:rPr>
        <w:t>a distribuzione delle richieste di prestiti per fasce di età</w:t>
      </w:r>
    </w:p>
    <w:p w:rsidR="00191A69" w:rsidRDefault="00191A69" w:rsidP="007E495C">
      <w:pPr>
        <w:pStyle w:val="CRIFBodyText"/>
        <w:rPr>
          <w:szCs w:val="20"/>
          <w:lang w:val="it-IT"/>
        </w:rPr>
      </w:pPr>
      <w:r w:rsidRPr="00E406FA">
        <w:rPr>
          <w:szCs w:val="20"/>
          <w:lang w:val="it-IT"/>
        </w:rPr>
        <w:lastRenderedPageBreak/>
        <w:t>Osservando</w:t>
      </w:r>
      <w:r>
        <w:rPr>
          <w:szCs w:val="20"/>
          <w:lang w:val="it-IT"/>
        </w:rPr>
        <w:t>,</w:t>
      </w:r>
      <w:r w:rsidRPr="00E406FA">
        <w:rPr>
          <w:szCs w:val="20"/>
          <w:lang w:val="it-IT"/>
        </w:rPr>
        <w:t xml:space="preserve"> infine</w:t>
      </w:r>
      <w:r>
        <w:rPr>
          <w:szCs w:val="20"/>
          <w:lang w:val="it-IT"/>
        </w:rPr>
        <w:t>,</w:t>
      </w:r>
      <w:r w:rsidRPr="00E406FA">
        <w:rPr>
          <w:szCs w:val="20"/>
          <w:lang w:val="it-IT"/>
        </w:rPr>
        <w:t xml:space="preserve"> la distribuzione delle </w:t>
      </w:r>
      <w:r w:rsidR="007E495C">
        <w:rPr>
          <w:szCs w:val="20"/>
          <w:lang w:val="it-IT"/>
        </w:rPr>
        <w:t>richieste di prestiti</w:t>
      </w:r>
      <w:r w:rsidRPr="00E406FA">
        <w:rPr>
          <w:szCs w:val="20"/>
          <w:lang w:val="it-IT"/>
        </w:rPr>
        <w:t xml:space="preserve"> in relazione all’età del richiedente</w:t>
      </w:r>
      <w:r w:rsidRPr="00075D29">
        <w:rPr>
          <w:szCs w:val="20"/>
          <w:lang w:val="it-IT"/>
        </w:rPr>
        <w:t xml:space="preserve">, l’aggiornamento del Barometro CRIF evidenzia come </w:t>
      </w:r>
      <w:r w:rsidRPr="00075D29">
        <w:rPr>
          <w:b/>
          <w:szCs w:val="20"/>
          <w:lang w:val="it-IT"/>
        </w:rPr>
        <w:t xml:space="preserve">nel 2018 la fascia compresa tra i 45 e i 54 anni sia stata quella </w:t>
      </w:r>
      <w:r>
        <w:rPr>
          <w:b/>
          <w:szCs w:val="20"/>
          <w:lang w:val="it-IT"/>
        </w:rPr>
        <w:t>maggioritaria</w:t>
      </w:r>
      <w:r w:rsidRPr="00075D29">
        <w:rPr>
          <w:b/>
          <w:szCs w:val="20"/>
          <w:lang w:val="it-IT"/>
        </w:rPr>
        <w:t xml:space="preserve">, </w:t>
      </w:r>
      <w:r w:rsidRPr="00075D29">
        <w:rPr>
          <w:szCs w:val="20"/>
          <w:lang w:val="it-IT"/>
        </w:rPr>
        <w:t>con una quota pari al</w:t>
      </w:r>
      <w:r w:rsidRPr="00075D29">
        <w:rPr>
          <w:b/>
          <w:szCs w:val="20"/>
          <w:lang w:val="it-IT"/>
        </w:rPr>
        <w:t xml:space="preserve"> 25,5% del totale</w:t>
      </w:r>
      <w:r w:rsidRPr="00075D29">
        <w:rPr>
          <w:szCs w:val="20"/>
          <w:lang w:val="it-IT"/>
        </w:rPr>
        <w:t xml:space="preserve">, seguita a breve distanza da quella tra i 35 e i 44 anni, con il 22,8%. </w:t>
      </w:r>
    </w:p>
    <w:p w:rsidR="007E495C" w:rsidRPr="007E495C" w:rsidRDefault="007E495C" w:rsidP="007E495C">
      <w:pPr>
        <w:pStyle w:val="CRIFBodyText"/>
        <w:rPr>
          <w:szCs w:val="20"/>
          <w:lang w:val="it-IT"/>
        </w:rPr>
      </w:pPr>
      <w:r w:rsidRPr="00075D29">
        <w:rPr>
          <w:szCs w:val="20"/>
          <w:lang w:val="it-IT"/>
        </w:rPr>
        <w:t xml:space="preserve">Relativamente ai prestiti finalizzati, in cui hanno un peso particolarmente significativo gli acquisti di auto/moto ed elettronica di consumo, si segnala una </w:t>
      </w:r>
      <w:r>
        <w:rPr>
          <w:szCs w:val="20"/>
          <w:lang w:val="it-IT"/>
        </w:rPr>
        <w:t xml:space="preserve">costante </w:t>
      </w:r>
      <w:r w:rsidRPr="00075D29">
        <w:rPr>
          <w:szCs w:val="20"/>
          <w:lang w:val="it-IT"/>
        </w:rPr>
        <w:t xml:space="preserve">crescita </w:t>
      </w:r>
      <w:r>
        <w:rPr>
          <w:szCs w:val="20"/>
          <w:lang w:val="it-IT"/>
        </w:rPr>
        <w:t>(</w:t>
      </w:r>
      <w:r w:rsidRPr="00075D29">
        <w:rPr>
          <w:szCs w:val="20"/>
          <w:lang w:val="it-IT"/>
        </w:rPr>
        <w:t xml:space="preserve">+1,2 punti percentuali </w:t>
      </w:r>
      <w:r>
        <w:rPr>
          <w:szCs w:val="20"/>
          <w:lang w:val="it-IT"/>
        </w:rPr>
        <w:t>negli ultimi 12 mesi) del</w:t>
      </w:r>
      <w:r w:rsidRPr="00075D29">
        <w:rPr>
          <w:szCs w:val="20"/>
          <w:lang w:val="it-IT"/>
        </w:rPr>
        <w:t xml:space="preserve">le richieste </w:t>
      </w:r>
      <w:r>
        <w:rPr>
          <w:szCs w:val="20"/>
          <w:lang w:val="it-IT"/>
        </w:rPr>
        <w:t>presentate da</w:t>
      </w:r>
      <w:r w:rsidRPr="00075D29">
        <w:rPr>
          <w:szCs w:val="20"/>
          <w:lang w:val="it-IT"/>
        </w:rPr>
        <w:t xml:space="preserve"> consumatori di età superiore a 55 anni. Rimane invece sostanzialmente stabile la distribuzione </w:t>
      </w:r>
      <w:r>
        <w:rPr>
          <w:szCs w:val="20"/>
          <w:lang w:val="it-IT"/>
        </w:rPr>
        <w:t>per classe</w:t>
      </w:r>
      <w:r w:rsidRPr="00075D29">
        <w:rPr>
          <w:szCs w:val="20"/>
          <w:lang w:val="it-IT"/>
        </w:rPr>
        <w:t xml:space="preserve"> di età d</w:t>
      </w:r>
      <w:r>
        <w:rPr>
          <w:szCs w:val="20"/>
          <w:lang w:val="it-IT"/>
        </w:rPr>
        <w:t>e</w:t>
      </w:r>
      <w:r w:rsidRPr="00075D29">
        <w:rPr>
          <w:szCs w:val="20"/>
          <w:lang w:val="it-IT"/>
        </w:rPr>
        <w:t>i prestiti personali, in linea con la ripartizione complessiva.</w:t>
      </w:r>
    </w:p>
    <w:tbl>
      <w:tblPr>
        <w:tblStyle w:val="Predefinita1"/>
        <w:tblW w:w="4957" w:type="dxa"/>
        <w:jc w:val="center"/>
        <w:tblLook w:val="0420"/>
      </w:tblPr>
      <w:tblGrid>
        <w:gridCol w:w="1716"/>
        <w:gridCol w:w="3241"/>
      </w:tblGrid>
      <w:tr w:rsidR="00191A69" w:rsidRPr="00F9539A" w:rsidTr="004D3EC0">
        <w:trPr>
          <w:cnfStyle w:val="100000000000"/>
          <w:trHeight w:val="440"/>
          <w:jc w:val="center"/>
        </w:trPr>
        <w:tc>
          <w:tcPr>
            <w:tcW w:w="1716" w:type="dxa"/>
            <w:noWrap/>
            <w:vAlign w:val="center"/>
            <w:hideMark/>
          </w:tcPr>
          <w:p w:rsidR="00191A69" w:rsidRPr="00A51194" w:rsidRDefault="00191A69" w:rsidP="004D3EC0">
            <w:pPr>
              <w:spacing w:line="276" w:lineRule="auto"/>
              <w:jc w:val="center"/>
              <w:rPr>
                <w:rFonts w:asciiTheme="majorHAnsi" w:hAnsiTheme="majorHAnsi" w:cs="Tahoma"/>
                <w:sz w:val="20"/>
                <w:szCs w:val="20"/>
                <w:lang w:val="it-IT"/>
              </w:rPr>
            </w:pPr>
            <w:r w:rsidRPr="00A51194">
              <w:rPr>
                <w:rFonts w:asciiTheme="majorHAnsi" w:hAnsiTheme="majorHAnsi" w:cs="Tahoma"/>
                <w:sz w:val="20"/>
                <w:szCs w:val="20"/>
                <w:lang w:val="it-IT"/>
              </w:rPr>
              <w:t>Classe di Età</w:t>
            </w:r>
          </w:p>
        </w:tc>
        <w:tc>
          <w:tcPr>
            <w:tcW w:w="3241" w:type="dxa"/>
            <w:noWrap/>
            <w:vAlign w:val="center"/>
            <w:hideMark/>
          </w:tcPr>
          <w:p w:rsidR="00191A69" w:rsidRDefault="00191A69" w:rsidP="004D3EC0">
            <w:pPr>
              <w:spacing w:line="276" w:lineRule="auto"/>
              <w:jc w:val="center"/>
              <w:rPr>
                <w:rFonts w:ascii="Verdana" w:hAnsi="Verdana" w:cs="Tahoma"/>
                <w:sz w:val="20"/>
                <w:szCs w:val="20"/>
                <w:lang w:val="it-IT"/>
              </w:rPr>
            </w:pPr>
            <w:r>
              <w:rPr>
                <w:rFonts w:ascii="Verdana" w:hAnsi="Verdana" w:cs="Tahoma"/>
                <w:sz w:val="20"/>
                <w:szCs w:val="20"/>
                <w:lang w:val="it-IT"/>
              </w:rPr>
              <w:t xml:space="preserve">Distribuzione % </w:t>
            </w:r>
          </w:p>
          <w:p w:rsidR="00191A69" w:rsidRPr="00A51194" w:rsidRDefault="00191A69" w:rsidP="004D3EC0">
            <w:pPr>
              <w:spacing w:line="276" w:lineRule="auto"/>
              <w:jc w:val="center"/>
              <w:rPr>
                <w:rFonts w:ascii="Verdana" w:hAnsi="Verdana" w:cs="Tahoma"/>
                <w:sz w:val="20"/>
                <w:szCs w:val="20"/>
                <w:lang w:val="it-IT"/>
              </w:rPr>
            </w:pPr>
            <w:r>
              <w:rPr>
                <w:rFonts w:ascii="Verdana" w:hAnsi="Verdana" w:cs="Tahoma"/>
                <w:sz w:val="20"/>
                <w:szCs w:val="20"/>
                <w:lang w:val="it-IT"/>
              </w:rPr>
              <w:t>gen</w:t>
            </w:r>
            <w:r w:rsidRPr="00A51194">
              <w:rPr>
                <w:rFonts w:ascii="Verdana" w:hAnsi="Verdana" w:cs="Tahoma"/>
                <w:sz w:val="20"/>
                <w:szCs w:val="20"/>
                <w:lang w:val="it-IT"/>
              </w:rPr>
              <w:t>-</w:t>
            </w:r>
            <w:r>
              <w:rPr>
                <w:rFonts w:ascii="Verdana" w:hAnsi="Verdana" w:cs="Tahoma"/>
                <w:sz w:val="20"/>
                <w:szCs w:val="20"/>
                <w:lang w:val="it-IT"/>
              </w:rPr>
              <w:t>dic 2018</w:t>
            </w:r>
          </w:p>
        </w:tc>
      </w:tr>
      <w:tr w:rsidR="00191A69" w:rsidRPr="00F9539A" w:rsidTr="004D3EC0">
        <w:trPr>
          <w:cnfStyle w:val="000000100000"/>
          <w:trHeight w:val="274"/>
          <w:jc w:val="center"/>
        </w:trPr>
        <w:tc>
          <w:tcPr>
            <w:tcW w:w="1716" w:type="dxa"/>
            <w:noWrap/>
            <w:vAlign w:val="center"/>
            <w:hideMark/>
          </w:tcPr>
          <w:p w:rsidR="00191A69" w:rsidRPr="00A721A7" w:rsidRDefault="00191A69" w:rsidP="004D3EC0">
            <w:pPr>
              <w:spacing w:line="276" w:lineRule="auto"/>
              <w:rPr>
                <w:rFonts w:asciiTheme="majorHAnsi" w:hAnsiTheme="majorHAnsi" w:cs="Tahoma"/>
                <w:b/>
                <w:sz w:val="20"/>
                <w:szCs w:val="20"/>
                <w:lang w:val="it-IT"/>
              </w:rPr>
            </w:pPr>
            <w:r w:rsidRPr="00A721A7">
              <w:rPr>
                <w:rFonts w:asciiTheme="majorHAnsi" w:hAnsiTheme="majorHAnsi" w:cs="Tahoma"/>
                <w:sz w:val="20"/>
                <w:szCs w:val="20"/>
                <w:lang w:val="it-IT"/>
              </w:rPr>
              <w:t>18-24 anni</w:t>
            </w:r>
          </w:p>
        </w:tc>
        <w:tc>
          <w:tcPr>
            <w:tcW w:w="3241" w:type="dxa"/>
            <w:noWrap/>
          </w:tcPr>
          <w:p w:rsidR="00191A69" w:rsidRPr="00583393" w:rsidRDefault="00191A69" w:rsidP="004D3EC0">
            <w:pPr>
              <w:spacing w:line="276" w:lineRule="auto"/>
              <w:jc w:val="center"/>
              <w:rPr>
                <w:rFonts w:asciiTheme="majorHAnsi" w:hAnsiTheme="majorHAnsi" w:cs="Tahoma"/>
                <w:sz w:val="20"/>
                <w:szCs w:val="20"/>
                <w:lang w:val="it-IT"/>
              </w:rPr>
            </w:pPr>
            <w:r w:rsidRPr="00583393">
              <w:rPr>
                <w:sz w:val="20"/>
              </w:rPr>
              <w:t>5,1%</w:t>
            </w:r>
          </w:p>
        </w:tc>
      </w:tr>
      <w:tr w:rsidR="00191A69" w:rsidRPr="00F9539A" w:rsidTr="004D3EC0">
        <w:trPr>
          <w:trHeight w:val="274"/>
          <w:jc w:val="center"/>
        </w:trPr>
        <w:tc>
          <w:tcPr>
            <w:tcW w:w="1716" w:type="dxa"/>
            <w:noWrap/>
            <w:vAlign w:val="center"/>
            <w:hideMark/>
          </w:tcPr>
          <w:p w:rsidR="00191A69" w:rsidRPr="00A721A7" w:rsidRDefault="00191A69" w:rsidP="004D3EC0">
            <w:pPr>
              <w:spacing w:line="276" w:lineRule="auto"/>
              <w:rPr>
                <w:rFonts w:asciiTheme="majorHAnsi" w:hAnsiTheme="majorHAnsi" w:cs="Tahoma"/>
                <w:b/>
                <w:sz w:val="20"/>
                <w:szCs w:val="20"/>
                <w:lang w:val="it-IT"/>
              </w:rPr>
            </w:pPr>
            <w:r w:rsidRPr="00A721A7">
              <w:rPr>
                <w:rFonts w:asciiTheme="majorHAnsi" w:hAnsiTheme="majorHAnsi" w:cs="Tahoma"/>
                <w:sz w:val="20"/>
                <w:szCs w:val="20"/>
                <w:lang w:val="it-IT"/>
              </w:rPr>
              <w:t>25-34 anni</w:t>
            </w:r>
          </w:p>
        </w:tc>
        <w:tc>
          <w:tcPr>
            <w:tcW w:w="3241" w:type="dxa"/>
            <w:noWrap/>
          </w:tcPr>
          <w:p w:rsidR="00191A69" w:rsidRPr="00583393" w:rsidRDefault="00191A69" w:rsidP="004D3EC0">
            <w:pPr>
              <w:spacing w:line="276" w:lineRule="auto"/>
              <w:jc w:val="center"/>
              <w:rPr>
                <w:rFonts w:asciiTheme="majorHAnsi" w:hAnsiTheme="majorHAnsi" w:cs="Tahoma"/>
                <w:sz w:val="20"/>
                <w:szCs w:val="20"/>
                <w:lang w:val="it-IT"/>
              </w:rPr>
            </w:pPr>
            <w:r w:rsidRPr="00583393">
              <w:rPr>
                <w:sz w:val="20"/>
              </w:rPr>
              <w:t>17,2%</w:t>
            </w:r>
          </w:p>
        </w:tc>
      </w:tr>
      <w:tr w:rsidR="00191A69" w:rsidRPr="00DE7012" w:rsidTr="004D3EC0">
        <w:trPr>
          <w:cnfStyle w:val="000000100000"/>
          <w:trHeight w:val="274"/>
          <w:jc w:val="center"/>
        </w:trPr>
        <w:tc>
          <w:tcPr>
            <w:tcW w:w="1716" w:type="dxa"/>
            <w:noWrap/>
            <w:vAlign w:val="center"/>
            <w:hideMark/>
          </w:tcPr>
          <w:p w:rsidR="00191A69" w:rsidRPr="00A721A7" w:rsidRDefault="00191A69" w:rsidP="004D3EC0">
            <w:pPr>
              <w:spacing w:line="276" w:lineRule="auto"/>
              <w:rPr>
                <w:rFonts w:asciiTheme="majorHAnsi" w:hAnsiTheme="majorHAnsi" w:cs="Tahoma"/>
                <w:b/>
                <w:sz w:val="20"/>
                <w:szCs w:val="20"/>
                <w:lang w:val="it-IT"/>
              </w:rPr>
            </w:pPr>
            <w:r w:rsidRPr="00A721A7">
              <w:rPr>
                <w:rFonts w:asciiTheme="majorHAnsi" w:hAnsiTheme="majorHAnsi" w:cs="Tahoma"/>
                <w:sz w:val="20"/>
                <w:szCs w:val="20"/>
                <w:lang w:val="it-IT"/>
              </w:rPr>
              <w:t>35-44 anni</w:t>
            </w:r>
          </w:p>
        </w:tc>
        <w:tc>
          <w:tcPr>
            <w:tcW w:w="3241" w:type="dxa"/>
            <w:noWrap/>
          </w:tcPr>
          <w:p w:rsidR="00191A69" w:rsidRPr="00583393" w:rsidRDefault="00191A69" w:rsidP="004D3EC0">
            <w:pPr>
              <w:spacing w:line="276" w:lineRule="auto"/>
              <w:jc w:val="center"/>
              <w:rPr>
                <w:rFonts w:asciiTheme="majorHAnsi" w:hAnsiTheme="majorHAnsi" w:cs="Tahoma"/>
                <w:sz w:val="20"/>
                <w:szCs w:val="20"/>
                <w:lang w:val="it-IT"/>
              </w:rPr>
            </w:pPr>
            <w:r w:rsidRPr="00583393">
              <w:rPr>
                <w:sz w:val="20"/>
              </w:rPr>
              <w:t>22,8%</w:t>
            </w:r>
          </w:p>
        </w:tc>
      </w:tr>
      <w:tr w:rsidR="00191A69" w:rsidRPr="00F9539A" w:rsidTr="004D3EC0">
        <w:trPr>
          <w:trHeight w:val="274"/>
          <w:jc w:val="center"/>
        </w:trPr>
        <w:tc>
          <w:tcPr>
            <w:tcW w:w="1716" w:type="dxa"/>
            <w:noWrap/>
            <w:vAlign w:val="center"/>
            <w:hideMark/>
          </w:tcPr>
          <w:p w:rsidR="00191A69" w:rsidRPr="00A721A7" w:rsidRDefault="00191A69" w:rsidP="004D3EC0">
            <w:pPr>
              <w:spacing w:line="276" w:lineRule="auto"/>
              <w:rPr>
                <w:rFonts w:asciiTheme="majorHAnsi" w:hAnsiTheme="majorHAnsi" w:cs="Tahoma"/>
                <w:b/>
                <w:sz w:val="20"/>
                <w:szCs w:val="20"/>
                <w:lang w:val="it-IT"/>
              </w:rPr>
            </w:pPr>
            <w:r w:rsidRPr="00A721A7">
              <w:rPr>
                <w:rFonts w:asciiTheme="majorHAnsi" w:hAnsiTheme="majorHAnsi" w:cs="Tahoma"/>
                <w:sz w:val="20"/>
                <w:szCs w:val="20"/>
                <w:lang w:val="it-IT"/>
              </w:rPr>
              <w:t>45-54 anni</w:t>
            </w:r>
          </w:p>
        </w:tc>
        <w:tc>
          <w:tcPr>
            <w:tcW w:w="3241" w:type="dxa"/>
            <w:noWrap/>
          </w:tcPr>
          <w:p w:rsidR="00191A69" w:rsidRPr="00583393" w:rsidRDefault="00191A69" w:rsidP="004D3EC0">
            <w:pPr>
              <w:spacing w:line="276" w:lineRule="auto"/>
              <w:jc w:val="center"/>
              <w:rPr>
                <w:rFonts w:asciiTheme="majorHAnsi" w:hAnsiTheme="majorHAnsi" w:cs="Tahoma"/>
                <w:sz w:val="20"/>
                <w:szCs w:val="20"/>
                <w:lang w:val="it-IT"/>
              </w:rPr>
            </w:pPr>
            <w:r w:rsidRPr="00583393">
              <w:rPr>
                <w:sz w:val="20"/>
              </w:rPr>
              <w:t>25,5%</w:t>
            </w:r>
          </w:p>
        </w:tc>
      </w:tr>
      <w:tr w:rsidR="00191A69" w:rsidRPr="00F9539A" w:rsidTr="004D3EC0">
        <w:trPr>
          <w:cnfStyle w:val="000000100000"/>
          <w:trHeight w:val="274"/>
          <w:jc w:val="center"/>
        </w:trPr>
        <w:tc>
          <w:tcPr>
            <w:tcW w:w="1716" w:type="dxa"/>
            <w:noWrap/>
            <w:vAlign w:val="center"/>
            <w:hideMark/>
          </w:tcPr>
          <w:p w:rsidR="00191A69" w:rsidRPr="00A721A7" w:rsidRDefault="00191A69" w:rsidP="004D3EC0">
            <w:pPr>
              <w:spacing w:line="276" w:lineRule="auto"/>
              <w:rPr>
                <w:rFonts w:asciiTheme="majorHAnsi" w:hAnsiTheme="majorHAnsi" w:cs="Tahoma"/>
                <w:b/>
                <w:sz w:val="20"/>
                <w:szCs w:val="20"/>
                <w:lang w:val="it-IT"/>
              </w:rPr>
            </w:pPr>
            <w:r w:rsidRPr="00A721A7">
              <w:rPr>
                <w:rFonts w:asciiTheme="majorHAnsi" w:hAnsiTheme="majorHAnsi" w:cs="Tahoma"/>
                <w:sz w:val="20"/>
                <w:szCs w:val="20"/>
                <w:lang w:val="it-IT"/>
              </w:rPr>
              <w:t>55-64 anni</w:t>
            </w:r>
          </w:p>
        </w:tc>
        <w:tc>
          <w:tcPr>
            <w:tcW w:w="3241" w:type="dxa"/>
            <w:noWrap/>
          </w:tcPr>
          <w:p w:rsidR="00191A69" w:rsidRPr="00583393" w:rsidRDefault="00191A69" w:rsidP="004D3EC0">
            <w:pPr>
              <w:spacing w:line="276" w:lineRule="auto"/>
              <w:jc w:val="center"/>
              <w:rPr>
                <w:rFonts w:asciiTheme="majorHAnsi" w:hAnsiTheme="majorHAnsi" w:cs="Tahoma"/>
                <w:sz w:val="20"/>
                <w:szCs w:val="20"/>
                <w:lang w:val="it-IT"/>
              </w:rPr>
            </w:pPr>
            <w:r w:rsidRPr="00583393">
              <w:rPr>
                <w:sz w:val="20"/>
              </w:rPr>
              <w:t>17,2%</w:t>
            </w:r>
          </w:p>
        </w:tc>
      </w:tr>
      <w:tr w:rsidR="00191A69" w:rsidRPr="00F9539A" w:rsidTr="004D3EC0">
        <w:trPr>
          <w:trHeight w:val="274"/>
          <w:jc w:val="center"/>
        </w:trPr>
        <w:tc>
          <w:tcPr>
            <w:tcW w:w="1716" w:type="dxa"/>
            <w:noWrap/>
            <w:vAlign w:val="center"/>
            <w:hideMark/>
          </w:tcPr>
          <w:p w:rsidR="00191A69" w:rsidRPr="00A721A7" w:rsidRDefault="00191A69" w:rsidP="004D3EC0">
            <w:pPr>
              <w:spacing w:line="276" w:lineRule="auto"/>
              <w:rPr>
                <w:rFonts w:asciiTheme="majorHAnsi" w:hAnsiTheme="majorHAnsi" w:cs="Tahoma"/>
                <w:b/>
                <w:sz w:val="20"/>
                <w:szCs w:val="20"/>
                <w:lang w:val="it-IT"/>
              </w:rPr>
            </w:pPr>
            <w:r w:rsidRPr="00A721A7">
              <w:rPr>
                <w:rFonts w:asciiTheme="majorHAnsi" w:hAnsiTheme="majorHAnsi" w:cs="Tahoma"/>
                <w:sz w:val="20"/>
                <w:szCs w:val="20"/>
                <w:lang w:val="it-IT"/>
              </w:rPr>
              <w:t>65-74 anni</w:t>
            </w:r>
          </w:p>
        </w:tc>
        <w:tc>
          <w:tcPr>
            <w:tcW w:w="3241" w:type="dxa"/>
            <w:noWrap/>
          </w:tcPr>
          <w:p w:rsidR="00191A69" w:rsidRPr="00583393" w:rsidRDefault="00191A69" w:rsidP="004D3EC0">
            <w:pPr>
              <w:spacing w:line="276" w:lineRule="auto"/>
              <w:jc w:val="center"/>
              <w:rPr>
                <w:rFonts w:asciiTheme="majorHAnsi" w:hAnsiTheme="majorHAnsi" w:cs="Tahoma"/>
                <w:sz w:val="20"/>
                <w:szCs w:val="20"/>
                <w:lang w:val="it-IT"/>
              </w:rPr>
            </w:pPr>
            <w:r>
              <w:rPr>
                <w:sz w:val="20"/>
              </w:rPr>
              <w:t>10,3</w:t>
            </w:r>
            <w:r w:rsidRPr="00583393">
              <w:rPr>
                <w:sz w:val="20"/>
              </w:rPr>
              <w:t>%</w:t>
            </w:r>
          </w:p>
        </w:tc>
      </w:tr>
      <w:tr w:rsidR="00191A69" w:rsidRPr="00F9539A" w:rsidTr="004D3EC0">
        <w:trPr>
          <w:cnfStyle w:val="000000100000"/>
          <w:trHeight w:val="274"/>
          <w:jc w:val="center"/>
        </w:trPr>
        <w:tc>
          <w:tcPr>
            <w:tcW w:w="1716" w:type="dxa"/>
            <w:noWrap/>
            <w:vAlign w:val="center"/>
            <w:hideMark/>
          </w:tcPr>
          <w:p w:rsidR="00191A69" w:rsidRPr="00A721A7" w:rsidRDefault="00191A69" w:rsidP="004D3EC0">
            <w:pPr>
              <w:spacing w:line="276" w:lineRule="auto"/>
              <w:rPr>
                <w:rFonts w:asciiTheme="majorHAnsi" w:hAnsiTheme="majorHAnsi" w:cs="Tahoma"/>
                <w:b/>
                <w:sz w:val="20"/>
                <w:szCs w:val="20"/>
                <w:lang w:val="it-IT"/>
              </w:rPr>
            </w:pPr>
            <w:r w:rsidRPr="00A721A7">
              <w:rPr>
                <w:rFonts w:asciiTheme="majorHAnsi" w:hAnsiTheme="majorHAnsi" w:cs="Tahoma"/>
                <w:sz w:val="20"/>
                <w:szCs w:val="20"/>
                <w:lang w:val="it-IT"/>
              </w:rPr>
              <w:t>Oltre 74 anni</w:t>
            </w:r>
          </w:p>
        </w:tc>
        <w:tc>
          <w:tcPr>
            <w:tcW w:w="3241" w:type="dxa"/>
            <w:noWrap/>
          </w:tcPr>
          <w:p w:rsidR="00191A69" w:rsidRPr="00583393" w:rsidRDefault="00191A69" w:rsidP="004D3EC0">
            <w:pPr>
              <w:spacing w:line="276" w:lineRule="auto"/>
              <w:jc w:val="center"/>
              <w:rPr>
                <w:rFonts w:asciiTheme="majorHAnsi" w:hAnsiTheme="majorHAnsi" w:cs="Tahoma"/>
                <w:sz w:val="20"/>
                <w:szCs w:val="20"/>
                <w:lang w:val="it-IT"/>
              </w:rPr>
            </w:pPr>
            <w:r w:rsidRPr="00583393">
              <w:rPr>
                <w:sz w:val="20"/>
              </w:rPr>
              <w:t>1,9%</w:t>
            </w:r>
          </w:p>
        </w:tc>
      </w:tr>
    </w:tbl>
    <w:p w:rsidR="00191A69" w:rsidRDefault="00191A69" w:rsidP="00191A69">
      <w:pPr>
        <w:pStyle w:val="CRIFCaption"/>
        <w:spacing w:line="276" w:lineRule="auto"/>
        <w:jc w:val="center"/>
        <w:rPr>
          <w:lang w:val="it-IT"/>
        </w:rPr>
      </w:pPr>
      <w:r w:rsidRPr="00F9539A">
        <w:rPr>
          <w:lang w:val="it-IT"/>
        </w:rPr>
        <w:t xml:space="preserve">Fonte: EURISC – Il Sistema </w:t>
      </w:r>
      <w:r>
        <w:rPr>
          <w:lang w:val="it-IT"/>
        </w:rPr>
        <w:t>CRIF di Informazioni Creditizie</w:t>
      </w:r>
    </w:p>
    <w:p w:rsidR="00DF1D42" w:rsidRPr="00397EB7" w:rsidRDefault="00DF1D42" w:rsidP="00DF1D42">
      <w:pPr>
        <w:spacing w:line="360" w:lineRule="auto"/>
        <w:jc w:val="both"/>
        <w:rPr>
          <w:rFonts w:ascii="Verdana" w:eastAsia="Calibri" w:hAnsi="Verdana"/>
          <w:iCs/>
          <w:sz w:val="20"/>
          <w:szCs w:val="20"/>
          <w:lang w:val="it-IT"/>
        </w:rPr>
      </w:pPr>
      <w:r w:rsidRPr="00DF1D42">
        <w:rPr>
          <w:rFonts w:ascii="Verdana" w:hAnsi="Verdana"/>
          <w:i/>
          <w:iCs/>
          <w:sz w:val="20"/>
          <w:szCs w:val="20"/>
          <w:lang w:val="it-IT"/>
        </w:rPr>
        <w:t xml:space="preserve">“Nel 2018 le </w:t>
      </w:r>
      <w:r>
        <w:rPr>
          <w:rFonts w:ascii="Verdana" w:hAnsi="Verdana"/>
          <w:i/>
          <w:iCs/>
          <w:sz w:val="20"/>
          <w:szCs w:val="20"/>
          <w:lang w:val="it-IT"/>
        </w:rPr>
        <w:t>richieste</w:t>
      </w:r>
      <w:r w:rsidRPr="00DF1D42">
        <w:rPr>
          <w:rFonts w:ascii="Verdana" w:hAnsi="Verdana"/>
          <w:i/>
          <w:iCs/>
          <w:sz w:val="20"/>
          <w:szCs w:val="20"/>
          <w:lang w:val="it-IT"/>
        </w:rPr>
        <w:t xml:space="preserve"> di prestiti da parte delle famiglie italiane hanno continuato a consolidarsi beneficiando di </w:t>
      </w:r>
      <w:r w:rsidR="00BD1E2E">
        <w:rPr>
          <w:rFonts w:ascii="Verdana" w:hAnsi="Verdana"/>
          <w:i/>
          <w:iCs/>
          <w:sz w:val="20"/>
          <w:szCs w:val="20"/>
          <w:lang w:val="it-IT"/>
        </w:rPr>
        <w:t>tassi estremamente appetibili</w:t>
      </w:r>
      <w:r w:rsidR="00BD1E2E" w:rsidRPr="00DF1D42">
        <w:rPr>
          <w:rFonts w:ascii="Verdana" w:hAnsi="Verdana"/>
          <w:i/>
          <w:iCs/>
          <w:sz w:val="20"/>
          <w:szCs w:val="20"/>
          <w:lang w:val="it-IT"/>
        </w:rPr>
        <w:t xml:space="preserve"> </w:t>
      </w:r>
      <w:r w:rsidR="00BD1E2E">
        <w:rPr>
          <w:rFonts w:ascii="Verdana" w:hAnsi="Verdana"/>
          <w:i/>
          <w:iCs/>
          <w:sz w:val="20"/>
          <w:szCs w:val="20"/>
          <w:lang w:val="it-IT"/>
        </w:rPr>
        <w:t xml:space="preserve">e di </w:t>
      </w:r>
      <w:r w:rsidRPr="00DF1D42">
        <w:rPr>
          <w:rFonts w:ascii="Verdana" w:hAnsi="Verdana"/>
          <w:i/>
          <w:iCs/>
          <w:sz w:val="20"/>
          <w:szCs w:val="20"/>
          <w:lang w:val="it-IT"/>
        </w:rPr>
        <w:t>condizioni di offerta ottimali</w:t>
      </w:r>
      <w:r w:rsidR="00BD1E2E">
        <w:rPr>
          <w:rFonts w:ascii="Verdana" w:hAnsi="Verdana"/>
          <w:i/>
          <w:iCs/>
          <w:sz w:val="20"/>
          <w:szCs w:val="20"/>
          <w:lang w:val="it-IT"/>
        </w:rPr>
        <w:t xml:space="preserve">, </w:t>
      </w:r>
      <w:r>
        <w:rPr>
          <w:rFonts w:ascii="Verdana" w:hAnsi="Verdana"/>
          <w:i/>
          <w:iCs/>
          <w:sz w:val="20"/>
          <w:szCs w:val="20"/>
          <w:lang w:val="it-IT"/>
        </w:rPr>
        <w:t>anche in virtù di</w:t>
      </w:r>
      <w:r w:rsidRPr="00DF1D42">
        <w:rPr>
          <w:rFonts w:ascii="Verdana" w:hAnsi="Verdana"/>
          <w:i/>
          <w:iCs/>
          <w:sz w:val="20"/>
          <w:szCs w:val="20"/>
          <w:lang w:val="it-IT"/>
        </w:rPr>
        <w:t xml:space="preserve"> una rischiosità che si è mantenuta su livelli minimi. Questo conferma che il mercato del c</w:t>
      </w:r>
      <w:r>
        <w:rPr>
          <w:rFonts w:ascii="Verdana" w:hAnsi="Verdana"/>
          <w:i/>
          <w:iCs/>
          <w:sz w:val="20"/>
          <w:szCs w:val="20"/>
          <w:lang w:val="it-IT"/>
        </w:rPr>
        <w:t xml:space="preserve">redito alle famiglie è solido” </w:t>
      </w:r>
      <w:r w:rsidRPr="00DF1D42">
        <w:rPr>
          <w:rFonts w:ascii="Verdana" w:hAnsi="Verdana"/>
          <w:i/>
          <w:iCs/>
          <w:sz w:val="20"/>
          <w:szCs w:val="20"/>
          <w:lang w:val="it-IT"/>
        </w:rPr>
        <w:t xml:space="preserve">- </w:t>
      </w:r>
      <w:r w:rsidRPr="00397EB7">
        <w:rPr>
          <w:rFonts w:ascii="Verdana" w:hAnsi="Verdana"/>
          <w:iCs/>
          <w:sz w:val="20"/>
          <w:szCs w:val="20"/>
          <w:lang w:val="it-IT"/>
        </w:rPr>
        <w:t xml:space="preserve">illustra </w:t>
      </w:r>
      <w:r w:rsidRPr="00397EB7">
        <w:rPr>
          <w:rFonts w:ascii="Verdana" w:hAnsi="Verdana"/>
          <w:b/>
          <w:bCs/>
          <w:iCs/>
          <w:sz w:val="20"/>
          <w:szCs w:val="20"/>
          <w:lang w:val="it-IT"/>
        </w:rPr>
        <w:t>Simone Capecchi, Executive Director di CRIF</w:t>
      </w:r>
      <w:r w:rsidRPr="00397EB7">
        <w:rPr>
          <w:rFonts w:ascii="Verdana" w:hAnsi="Verdana"/>
          <w:iCs/>
          <w:sz w:val="20"/>
          <w:szCs w:val="20"/>
          <w:lang w:val="it-IT"/>
        </w:rPr>
        <w:t xml:space="preserve">. </w:t>
      </w:r>
    </w:p>
    <w:p w:rsidR="00A92642" w:rsidRDefault="00DF1D42" w:rsidP="00DF1D42">
      <w:pPr>
        <w:spacing w:line="360" w:lineRule="auto"/>
        <w:jc w:val="both"/>
        <w:rPr>
          <w:rFonts w:ascii="Verdana" w:hAnsi="Verdana"/>
          <w:iCs/>
          <w:sz w:val="20"/>
          <w:szCs w:val="20"/>
          <w:lang w:val="it-IT"/>
        </w:rPr>
      </w:pPr>
      <w:r w:rsidRPr="00DF1D42">
        <w:rPr>
          <w:rFonts w:ascii="Verdana" w:hAnsi="Verdana"/>
          <w:i/>
          <w:iCs/>
          <w:sz w:val="20"/>
          <w:szCs w:val="20"/>
          <w:lang w:val="it-IT"/>
        </w:rPr>
        <w:t xml:space="preserve">“In questo contesto, per cogliere tutte le opportunità di un mercato che dovrebbe proseguire il suo percorso di consolidamento anche nel 2019, ancorché in trasformazione, le aziende di credito dovranno costruire un’offerta sempre più mirata, personalizzabile e digitale, che esalti l’esperienza di ricerca e di acquisto del prodotto desiderato in chiave customer experience; una nuova proposizione in grado di intercettare e fidelizzare una clientela in continua evoluzione e incline a prendere le proprie decisioni di spesa sul web, anche sulla base di giudizi espressi da altri consumatori. In quest’ottica appare fondamentale gestire in modo diverso le opportunità di contatto offerte dai canali digitali, implementando strumenti ad hoc che consentano processi agili e veloci, in grado di assicurare l’easy-board della </w:t>
      </w:r>
      <w:r w:rsidRPr="00DF1D42">
        <w:rPr>
          <w:rFonts w:ascii="Verdana" w:hAnsi="Verdana"/>
          <w:i/>
          <w:iCs/>
          <w:sz w:val="20"/>
          <w:szCs w:val="20"/>
          <w:lang w:val="it-IT"/>
        </w:rPr>
        <w:lastRenderedPageBreak/>
        <w:t xml:space="preserve">clientela senza tralasciare le adeguate verifiche antifrode e antiriciclaggio nonché la valutazione ‘one-click’ della sostenibilità dell’operazione, in accordo da un lato con le esigenze dei clienti, e con gli obblighi normativi dall’altro” - </w:t>
      </w:r>
      <w:r w:rsidRPr="00874A06">
        <w:rPr>
          <w:rFonts w:ascii="Verdana" w:hAnsi="Verdana"/>
          <w:iCs/>
          <w:sz w:val="20"/>
          <w:szCs w:val="20"/>
          <w:lang w:val="it-IT"/>
        </w:rPr>
        <w:t>conclude Capecchi.</w:t>
      </w:r>
    </w:p>
    <w:p w:rsidR="00BD1E2E" w:rsidRDefault="00BD1E2E" w:rsidP="00BD1E2E">
      <w:pPr>
        <w:pStyle w:val="CRIFTitle2"/>
      </w:pPr>
      <w:r w:rsidRPr="007270FB">
        <w:t>L’</w:t>
      </w:r>
      <w:r>
        <w:t>ANDAMENTO DELLE RICHIESTE D</w:t>
      </w:r>
      <w:r w:rsidRPr="007270FB">
        <w:t xml:space="preserve">I MUTUI </w:t>
      </w:r>
      <w:r>
        <w:t>E SURROGHE NELL’ANNO 2018</w:t>
      </w:r>
    </w:p>
    <w:p w:rsidR="00BD1E2E" w:rsidRDefault="002B41C5" w:rsidP="00BD1E2E">
      <w:pPr>
        <w:pStyle w:val="CRIFBodyText"/>
        <w:spacing w:after="0"/>
        <w:rPr>
          <w:lang w:val="it-IT"/>
        </w:rPr>
      </w:pPr>
      <w:r>
        <w:rPr>
          <w:lang w:val="it-IT"/>
        </w:rPr>
        <w:t>Per quanto riguarda i mutui, invece, d</w:t>
      </w:r>
      <w:r w:rsidR="00BD1E2E">
        <w:rPr>
          <w:lang w:val="it-IT"/>
        </w:rPr>
        <w:t>opo 6 mesi consecutivi di crescita</w:t>
      </w:r>
      <w:r>
        <w:rPr>
          <w:lang w:val="it-IT"/>
        </w:rPr>
        <w:t xml:space="preserve"> a</w:t>
      </w:r>
      <w:r w:rsidR="00BD1E2E">
        <w:rPr>
          <w:lang w:val="it-IT"/>
        </w:rPr>
        <w:t xml:space="preserve"> dicembre </w:t>
      </w:r>
      <w:r>
        <w:rPr>
          <w:lang w:val="it-IT"/>
        </w:rPr>
        <w:t>si segnala</w:t>
      </w:r>
      <w:r w:rsidR="00BD1E2E">
        <w:rPr>
          <w:lang w:val="it-IT"/>
        </w:rPr>
        <w:t xml:space="preserve"> il ritorno in territorio negativo delle richieste di nuovi mutui e surroghe </w:t>
      </w:r>
      <w:r w:rsidR="00BD1E2E">
        <w:rPr>
          <w:szCs w:val="20"/>
          <w:lang w:val="it-IT"/>
        </w:rPr>
        <w:t>(</w:t>
      </w:r>
      <w:r w:rsidR="00BD1E2E" w:rsidRPr="00E07F8C">
        <w:rPr>
          <w:szCs w:val="20"/>
          <w:lang w:val="it-IT"/>
        </w:rPr>
        <w:t xml:space="preserve">vere </w:t>
      </w:r>
      <w:r w:rsidR="00BD1E2E">
        <w:rPr>
          <w:szCs w:val="20"/>
          <w:lang w:val="it-IT"/>
        </w:rPr>
        <w:t xml:space="preserve">e proprie istruttorie </w:t>
      </w:r>
      <w:r w:rsidR="00BD1E2E" w:rsidRPr="005569B5">
        <w:rPr>
          <w:szCs w:val="20"/>
          <w:lang w:val="it-IT"/>
        </w:rPr>
        <w:t>formali, non semplici richieste di informazioni o preventivi online</w:t>
      </w:r>
      <w:r w:rsidR="00BD1E2E">
        <w:rPr>
          <w:szCs w:val="20"/>
          <w:lang w:val="it-IT"/>
        </w:rPr>
        <w:t>)</w:t>
      </w:r>
      <w:r w:rsidR="00BD1E2E">
        <w:rPr>
          <w:lang w:val="it-IT"/>
        </w:rPr>
        <w:t xml:space="preserve">, che fanno segnare un -0,7% rispetto al corrispondente mese del 2017. </w:t>
      </w:r>
    </w:p>
    <w:p w:rsidR="00BD1E2E" w:rsidRDefault="00BD1E2E" w:rsidP="00BD1E2E">
      <w:pPr>
        <w:pStyle w:val="CRIFBodyText"/>
        <w:spacing w:after="0"/>
        <w:rPr>
          <w:lang w:val="it-IT"/>
        </w:rPr>
      </w:pPr>
      <w:r>
        <w:rPr>
          <w:lang w:val="it-IT"/>
        </w:rPr>
        <w:t xml:space="preserve">Con questo dato si chiude così il 2018 che, nel suo complesso, riflette valori sostanzialmente in linea con l’anno precedente, evidenziando una </w:t>
      </w:r>
      <w:r w:rsidRPr="008C5D0B">
        <w:rPr>
          <w:b/>
          <w:lang w:val="it-IT"/>
        </w:rPr>
        <w:t>lieve c</w:t>
      </w:r>
      <w:r>
        <w:rPr>
          <w:b/>
          <w:lang w:val="it-IT"/>
        </w:rPr>
        <w:t>ontrazione, pari a</w:t>
      </w:r>
      <w:r>
        <w:rPr>
          <w:lang w:val="it-IT"/>
        </w:rPr>
        <w:t xml:space="preserve"> </w:t>
      </w:r>
      <w:r w:rsidRPr="00AA3CC7">
        <w:rPr>
          <w:b/>
          <w:lang w:val="it-IT"/>
        </w:rPr>
        <w:t>-0,6%</w:t>
      </w:r>
      <w:r>
        <w:rPr>
          <w:b/>
          <w:lang w:val="it-IT"/>
        </w:rPr>
        <w:t xml:space="preserve"> </w:t>
      </w:r>
      <w:r w:rsidRPr="008C5D0B">
        <w:rPr>
          <w:lang w:val="it-IT"/>
        </w:rPr>
        <w:t>rispetto all’anno precedente,</w:t>
      </w:r>
      <w:r w:rsidRPr="00191A69">
        <w:rPr>
          <w:lang w:val="it-IT"/>
        </w:rPr>
        <w:t xml:space="preserve"> </w:t>
      </w:r>
      <w:r w:rsidRPr="002B41C5">
        <w:rPr>
          <w:b/>
          <w:lang w:val="it-IT"/>
        </w:rPr>
        <w:t xml:space="preserve">ascrivibile </w:t>
      </w:r>
      <w:r w:rsidR="002B41C5">
        <w:rPr>
          <w:b/>
          <w:lang w:val="it-IT"/>
        </w:rPr>
        <w:t>fondamental</w:t>
      </w:r>
      <w:r w:rsidRPr="002B41C5">
        <w:rPr>
          <w:b/>
          <w:lang w:val="it-IT"/>
        </w:rPr>
        <w:t>mente al ridimensionamento dei mutui di sostituzione</w:t>
      </w:r>
      <w:r>
        <w:rPr>
          <w:lang w:val="it-IT"/>
        </w:rPr>
        <w:t xml:space="preserve">. </w:t>
      </w:r>
    </w:p>
    <w:p w:rsidR="00BD1E2E" w:rsidRPr="00191A69" w:rsidRDefault="00BD1E2E" w:rsidP="00BD1E2E">
      <w:pPr>
        <w:pStyle w:val="CRIFBodyText"/>
        <w:rPr>
          <w:lang w:val="it-IT"/>
        </w:rPr>
      </w:pPr>
      <w:r w:rsidRPr="005569B5">
        <w:rPr>
          <w:szCs w:val="20"/>
          <w:lang w:val="it-IT"/>
        </w:rPr>
        <w:t>Di seguito sono riportate in forma grafica le variazioni percentuali mensil</w:t>
      </w:r>
      <w:r>
        <w:rPr>
          <w:szCs w:val="20"/>
          <w:lang w:val="it-IT"/>
        </w:rPr>
        <w:t xml:space="preserve">i </w:t>
      </w:r>
      <w:r w:rsidRPr="005569B5">
        <w:rPr>
          <w:szCs w:val="20"/>
          <w:lang w:val="it-IT"/>
        </w:rPr>
        <w:t>in valori ponderati</w:t>
      </w:r>
      <w:r w:rsidRPr="00411645">
        <w:rPr>
          <w:szCs w:val="20"/>
          <w:lang w:val="it-IT"/>
        </w:rPr>
        <w:t>, cioè al netto dell’effetto prodotto dal differente numero di giorni lavorativi</w:t>
      </w:r>
      <w:r w:rsidRPr="005569B5">
        <w:rPr>
          <w:szCs w:val="20"/>
          <w:lang w:val="it-IT"/>
        </w:rPr>
        <w:t xml:space="preserve">. </w:t>
      </w:r>
    </w:p>
    <w:p w:rsidR="00BD1E2E" w:rsidRDefault="00BD1E2E" w:rsidP="00BD1E2E">
      <w:pPr>
        <w:pStyle w:val="CRIFTitle2"/>
        <w:spacing w:after="0" w:line="240" w:lineRule="auto"/>
        <w:jc w:val="center"/>
        <w:rPr>
          <w:b w:val="0"/>
          <w:bCs/>
          <w:sz w:val="16"/>
          <w:szCs w:val="16"/>
        </w:rPr>
      </w:pPr>
      <w:r>
        <w:t>Andamento del numero di richieste di nuovi mutui e surroghe ponderato a parità di giorni lavorativi</w:t>
      </w:r>
    </w:p>
    <w:p w:rsidR="00BD1E2E" w:rsidRPr="00160603" w:rsidRDefault="00BD1E2E" w:rsidP="00BD1E2E">
      <w:pPr>
        <w:spacing w:after="0" w:line="240" w:lineRule="auto"/>
        <w:jc w:val="center"/>
        <w:rPr>
          <w:b/>
          <w:bCs/>
          <w:sz w:val="16"/>
          <w:szCs w:val="16"/>
          <w:lang w:val="it-IT"/>
        </w:rPr>
      </w:pPr>
    </w:p>
    <w:p w:rsidR="00BD1E2E" w:rsidRPr="004E1B24" w:rsidRDefault="00BD1E2E" w:rsidP="00BD1E2E">
      <w:pPr>
        <w:spacing w:after="0" w:line="240" w:lineRule="auto"/>
        <w:rPr>
          <w:b/>
          <w:bCs/>
          <w:sz w:val="16"/>
          <w:szCs w:val="16"/>
          <w:lang w:val="it-IT"/>
        </w:rPr>
      </w:pPr>
      <w:r w:rsidRPr="00E8624D">
        <w:rPr>
          <w:lang w:val="it-IT"/>
        </w:rPr>
        <w:t xml:space="preserve"> </w:t>
      </w:r>
      <w:r>
        <w:rPr>
          <w:noProof/>
          <w:lang w:val="it-IT" w:eastAsia="it-IT"/>
        </w:rPr>
        <w:drawing>
          <wp:inline distT="0" distB="0" distL="0" distR="0">
            <wp:extent cx="5918200" cy="1407795"/>
            <wp:effectExtent l="0" t="0" r="6350" b="1905"/>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l="4194" r="2581"/>
                    <a:stretch/>
                  </pic:blipFill>
                  <pic:spPr bwMode="auto">
                    <a:xfrm>
                      <a:off x="0" y="0"/>
                      <a:ext cx="5918200" cy="14077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D1E2E" w:rsidRDefault="00BD1E2E" w:rsidP="00BD1E2E">
      <w:pPr>
        <w:pStyle w:val="CRIFCaption"/>
        <w:spacing w:after="0"/>
        <w:jc w:val="center"/>
        <w:rPr>
          <w:lang w:val="it-IT"/>
        </w:rPr>
      </w:pPr>
      <w:r w:rsidRPr="00160603">
        <w:rPr>
          <w:lang w:val="it-IT"/>
        </w:rPr>
        <w:t>Fonte: EURISC – Il Sistema CRIF di Informazioni Creditizie</w:t>
      </w:r>
    </w:p>
    <w:p w:rsidR="00BD1E2E" w:rsidRPr="00160603" w:rsidRDefault="00BD1E2E" w:rsidP="00BD1E2E">
      <w:pPr>
        <w:pStyle w:val="CRIFCaption"/>
        <w:spacing w:after="0"/>
        <w:jc w:val="center"/>
        <w:rPr>
          <w:lang w:val="it-IT"/>
        </w:rPr>
      </w:pPr>
    </w:p>
    <w:p w:rsidR="00BD1E2E" w:rsidRDefault="00BD1E2E" w:rsidP="00BD1E2E">
      <w:pPr>
        <w:pStyle w:val="CRIFCaption"/>
        <w:spacing w:line="360" w:lineRule="auto"/>
        <w:jc w:val="both"/>
        <w:rPr>
          <w:i w:val="0"/>
          <w:color w:val="auto"/>
          <w:sz w:val="20"/>
          <w:szCs w:val="20"/>
          <w:lang w:val="it-IT"/>
        </w:rPr>
      </w:pPr>
      <w:r>
        <w:rPr>
          <w:i w:val="0"/>
          <w:color w:val="auto"/>
          <w:sz w:val="20"/>
          <w:szCs w:val="20"/>
          <w:lang w:val="it-IT"/>
        </w:rPr>
        <w:t xml:space="preserve">La tabella seguente mostra il trend dell’aggregato dei </w:t>
      </w:r>
      <w:r w:rsidRPr="003A51F4">
        <w:rPr>
          <w:i w:val="0"/>
          <w:color w:val="auto"/>
          <w:sz w:val="20"/>
          <w:szCs w:val="20"/>
          <w:lang w:val="it-IT"/>
        </w:rPr>
        <w:t xml:space="preserve">primi </w:t>
      </w:r>
      <w:r>
        <w:rPr>
          <w:i w:val="0"/>
          <w:color w:val="auto"/>
          <w:sz w:val="20"/>
          <w:szCs w:val="20"/>
          <w:lang w:val="it-IT"/>
        </w:rPr>
        <w:t>dodici</w:t>
      </w:r>
      <w:r w:rsidRPr="003A51F4">
        <w:rPr>
          <w:i w:val="0"/>
          <w:color w:val="auto"/>
          <w:sz w:val="20"/>
          <w:szCs w:val="20"/>
          <w:lang w:val="it-IT"/>
        </w:rPr>
        <w:t xml:space="preserve"> </w:t>
      </w:r>
      <w:r>
        <w:rPr>
          <w:i w:val="0"/>
          <w:color w:val="auto"/>
          <w:sz w:val="20"/>
          <w:szCs w:val="20"/>
          <w:lang w:val="it-IT"/>
        </w:rPr>
        <w:t>mesi del 2018</w:t>
      </w:r>
      <w:r w:rsidRPr="003A51F4">
        <w:rPr>
          <w:i w:val="0"/>
          <w:color w:val="auto"/>
          <w:sz w:val="20"/>
          <w:szCs w:val="20"/>
          <w:lang w:val="it-IT"/>
        </w:rPr>
        <w:t xml:space="preserve"> rispetto allo stesso periodo degli anni precedenti.</w:t>
      </w:r>
      <w:r>
        <w:rPr>
          <w:i w:val="0"/>
          <w:color w:val="auto"/>
          <w:sz w:val="20"/>
          <w:szCs w:val="20"/>
          <w:lang w:val="it-IT"/>
        </w:rPr>
        <w:t xml:space="preserve"> In particolare s</w:t>
      </w:r>
      <w:r w:rsidRPr="00F86E7F">
        <w:rPr>
          <w:i w:val="0"/>
          <w:color w:val="auto"/>
          <w:sz w:val="20"/>
          <w:szCs w:val="20"/>
          <w:lang w:val="it-IT"/>
        </w:rPr>
        <w:t xml:space="preserve">i </w:t>
      </w:r>
      <w:r>
        <w:rPr>
          <w:i w:val="0"/>
          <w:color w:val="auto"/>
          <w:sz w:val="20"/>
          <w:szCs w:val="20"/>
          <w:lang w:val="it-IT"/>
        </w:rPr>
        <w:t>evidenzia una significativa contrazione del numero di richieste nel confronto con il 2016, anno in cui l’incidenza dei mutui di sostituzione era risultata particolarmente rilevante, a fronte di un netto miglioramento rispetto agli anni segnati dalla crisi.</w:t>
      </w:r>
    </w:p>
    <w:p w:rsidR="00BD1E2E" w:rsidRDefault="00BD1E2E" w:rsidP="00BD1E2E">
      <w:pPr>
        <w:pStyle w:val="CRIFTitle2"/>
        <w:spacing w:after="0" w:line="240" w:lineRule="auto"/>
        <w:jc w:val="center"/>
      </w:pPr>
      <w:r>
        <w:t xml:space="preserve">Variazione del numero di richieste di nuovi mutui e surroghe </w:t>
      </w:r>
      <w:r>
        <w:br/>
        <w:t>(a parità di giorni lavorativi)</w:t>
      </w:r>
    </w:p>
    <w:tbl>
      <w:tblPr>
        <w:tblStyle w:val="Grigliamedia1-Colore2"/>
        <w:tblW w:w="0" w:type="auto"/>
        <w:jc w:val="center"/>
        <w:tblLook w:val="04A0"/>
      </w:tblPr>
      <w:tblGrid>
        <w:gridCol w:w="6855"/>
        <w:gridCol w:w="1952"/>
      </w:tblGrid>
      <w:tr w:rsidR="00BD1E2E" w:rsidRPr="0064210D" w:rsidTr="0047470A">
        <w:trPr>
          <w:cnfStyle w:val="100000000000"/>
          <w:trHeight w:val="340"/>
          <w:jc w:val="center"/>
        </w:trPr>
        <w:tc>
          <w:tcPr>
            <w:cnfStyle w:val="001000000000"/>
            <w:tcW w:w="6855" w:type="dxa"/>
            <w:vAlign w:val="center"/>
          </w:tcPr>
          <w:p w:rsidR="00BD1E2E" w:rsidRPr="00F52EE0" w:rsidRDefault="00BD1E2E" w:rsidP="0047470A">
            <w:pPr>
              <w:pStyle w:val="CRIFBodyText"/>
              <w:spacing w:line="276" w:lineRule="auto"/>
              <w:jc w:val="left"/>
              <w:rPr>
                <w:b w:val="0"/>
                <w:szCs w:val="20"/>
                <w:lang w:val="it-IT"/>
              </w:rPr>
            </w:pPr>
            <w:r w:rsidRPr="00F52EE0">
              <w:rPr>
                <w:b w:val="0"/>
                <w:szCs w:val="20"/>
                <w:lang w:val="it-IT"/>
              </w:rPr>
              <w:lastRenderedPageBreak/>
              <w:t xml:space="preserve">Variazione </w:t>
            </w:r>
            <w:r>
              <w:rPr>
                <w:b w:val="0"/>
                <w:szCs w:val="20"/>
                <w:lang w:val="it-IT"/>
              </w:rPr>
              <w:t>gennaio-dicembre</w:t>
            </w:r>
            <w:r w:rsidRPr="00F52EE0">
              <w:rPr>
                <w:b w:val="0"/>
                <w:szCs w:val="20"/>
                <w:lang w:val="it-IT"/>
              </w:rPr>
              <w:t xml:space="preserve"> </w:t>
            </w:r>
            <w:r>
              <w:rPr>
                <w:b w:val="0"/>
                <w:szCs w:val="20"/>
                <w:lang w:val="it-IT"/>
              </w:rPr>
              <w:t>2018</w:t>
            </w:r>
            <w:r w:rsidRPr="00F52EE0">
              <w:rPr>
                <w:b w:val="0"/>
                <w:szCs w:val="20"/>
                <w:lang w:val="it-IT"/>
              </w:rPr>
              <w:t xml:space="preserve"> su </w:t>
            </w:r>
            <w:r>
              <w:rPr>
                <w:b w:val="0"/>
                <w:szCs w:val="20"/>
                <w:lang w:val="it-IT"/>
              </w:rPr>
              <w:t>gennaio-dicembre 2017</w:t>
            </w:r>
          </w:p>
        </w:tc>
        <w:tc>
          <w:tcPr>
            <w:tcW w:w="1952" w:type="dxa"/>
            <w:vAlign w:val="center"/>
          </w:tcPr>
          <w:p w:rsidR="00BD1E2E" w:rsidRPr="00147D62" w:rsidRDefault="00BD1E2E" w:rsidP="0047470A">
            <w:pPr>
              <w:jc w:val="center"/>
              <w:cnfStyle w:val="100000000000"/>
              <w:rPr>
                <w:rFonts w:asciiTheme="majorHAnsi" w:hAnsiTheme="majorHAnsi"/>
                <w:b w:val="0"/>
                <w:sz w:val="20"/>
                <w:szCs w:val="20"/>
                <w:lang w:val="it-IT"/>
              </w:rPr>
            </w:pPr>
            <w:r w:rsidRPr="00147D62">
              <w:rPr>
                <w:rFonts w:asciiTheme="majorHAnsi" w:hAnsiTheme="majorHAnsi"/>
                <w:b w:val="0"/>
                <w:sz w:val="20"/>
                <w:szCs w:val="20"/>
                <w:lang w:val="it-IT"/>
              </w:rPr>
              <w:t>-0,6%</w:t>
            </w:r>
          </w:p>
        </w:tc>
      </w:tr>
      <w:tr w:rsidR="00BD1E2E" w:rsidRPr="00F52EE0" w:rsidTr="0047470A">
        <w:trPr>
          <w:cnfStyle w:val="000000100000"/>
          <w:trHeight w:val="340"/>
          <w:jc w:val="center"/>
        </w:trPr>
        <w:tc>
          <w:tcPr>
            <w:cnfStyle w:val="001000000000"/>
            <w:tcW w:w="6855" w:type="dxa"/>
            <w:vAlign w:val="center"/>
          </w:tcPr>
          <w:p w:rsidR="00BD1E2E" w:rsidRPr="00F52EE0" w:rsidRDefault="00BD1E2E" w:rsidP="0047470A">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gennaio-dicembre 2018</w:t>
            </w:r>
            <w:r w:rsidRPr="00F52EE0">
              <w:rPr>
                <w:b w:val="0"/>
                <w:szCs w:val="20"/>
                <w:lang w:val="it-IT"/>
              </w:rPr>
              <w:t xml:space="preserve"> su </w:t>
            </w:r>
            <w:r>
              <w:rPr>
                <w:b w:val="0"/>
                <w:szCs w:val="20"/>
                <w:lang w:val="it-IT"/>
              </w:rPr>
              <w:t>gennaio-dicembre 2016</w:t>
            </w:r>
          </w:p>
        </w:tc>
        <w:tc>
          <w:tcPr>
            <w:tcW w:w="1952" w:type="dxa"/>
            <w:vAlign w:val="center"/>
          </w:tcPr>
          <w:p w:rsidR="00BD1E2E" w:rsidRPr="00147D62" w:rsidRDefault="00BD1E2E" w:rsidP="0047470A">
            <w:pPr>
              <w:jc w:val="center"/>
              <w:cnfStyle w:val="000000100000"/>
              <w:rPr>
                <w:rFonts w:asciiTheme="majorHAnsi" w:hAnsiTheme="majorHAnsi"/>
                <w:bCs/>
                <w:sz w:val="20"/>
                <w:szCs w:val="20"/>
                <w:lang w:val="it-IT"/>
              </w:rPr>
            </w:pPr>
            <w:r>
              <w:rPr>
                <w:rFonts w:asciiTheme="majorHAnsi" w:hAnsiTheme="majorHAnsi"/>
                <w:bCs/>
                <w:sz w:val="20"/>
                <w:szCs w:val="20"/>
                <w:lang w:val="it-IT"/>
              </w:rPr>
              <w:t>-</w:t>
            </w:r>
            <w:r w:rsidRPr="00147D62">
              <w:rPr>
                <w:rFonts w:asciiTheme="majorHAnsi" w:hAnsiTheme="majorHAnsi"/>
                <w:bCs/>
                <w:sz w:val="20"/>
                <w:szCs w:val="20"/>
                <w:lang w:val="it-IT"/>
              </w:rPr>
              <w:t>11,5%</w:t>
            </w:r>
          </w:p>
        </w:tc>
      </w:tr>
      <w:tr w:rsidR="00BD1E2E" w:rsidRPr="00F52EE0" w:rsidTr="0047470A">
        <w:trPr>
          <w:trHeight w:val="340"/>
          <w:jc w:val="center"/>
        </w:trPr>
        <w:tc>
          <w:tcPr>
            <w:cnfStyle w:val="001000000000"/>
            <w:tcW w:w="6855" w:type="dxa"/>
            <w:vAlign w:val="center"/>
          </w:tcPr>
          <w:p w:rsidR="00BD1E2E" w:rsidRPr="00F52EE0" w:rsidRDefault="00BD1E2E" w:rsidP="0047470A">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gennaio-dicembre 2018</w:t>
            </w:r>
            <w:r w:rsidRPr="00F52EE0">
              <w:rPr>
                <w:b w:val="0"/>
                <w:szCs w:val="20"/>
                <w:lang w:val="it-IT"/>
              </w:rPr>
              <w:t xml:space="preserve"> su </w:t>
            </w:r>
            <w:r>
              <w:rPr>
                <w:b w:val="0"/>
                <w:szCs w:val="20"/>
                <w:lang w:val="it-IT"/>
              </w:rPr>
              <w:t>gennaio-dicembre 2015</w:t>
            </w:r>
          </w:p>
        </w:tc>
        <w:tc>
          <w:tcPr>
            <w:tcW w:w="1952" w:type="dxa"/>
            <w:vAlign w:val="center"/>
          </w:tcPr>
          <w:p w:rsidR="00BD1E2E" w:rsidRPr="00147D62" w:rsidRDefault="00BD1E2E" w:rsidP="0047470A">
            <w:pPr>
              <w:jc w:val="center"/>
              <w:cnfStyle w:val="000000000000"/>
              <w:rPr>
                <w:rFonts w:asciiTheme="majorHAnsi" w:hAnsiTheme="majorHAnsi"/>
                <w:bCs/>
                <w:sz w:val="20"/>
                <w:szCs w:val="20"/>
                <w:lang w:val="it-IT"/>
              </w:rPr>
            </w:pPr>
            <w:r w:rsidRPr="00147D62">
              <w:rPr>
                <w:rFonts w:asciiTheme="majorHAnsi" w:hAnsiTheme="majorHAnsi"/>
                <w:bCs/>
                <w:sz w:val="20"/>
                <w:szCs w:val="20"/>
                <w:lang w:val="it-IT"/>
              </w:rPr>
              <w:t>+0,1%</w:t>
            </w:r>
          </w:p>
        </w:tc>
      </w:tr>
      <w:tr w:rsidR="00BD1E2E" w:rsidRPr="00F52EE0" w:rsidTr="0047470A">
        <w:trPr>
          <w:cnfStyle w:val="000000100000"/>
          <w:trHeight w:val="340"/>
          <w:jc w:val="center"/>
        </w:trPr>
        <w:tc>
          <w:tcPr>
            <w:cnfStyle w:val="001000000000"/>
            <w:tcW w:w="6855" w:type="dxa"/>
            <w:vAlign w:val="center"/>
          </w:tcPr>
          <w:p w:rsidR="00BD1E2E" w:rsidRPr="00F52EE0" w:rsidRDefault="00BD1E2E" w:rsidP="0047470A">
            <w:pPr>
              <w:pStyle w:val="CRIFBodyText"/>
              <w:spacing w:line="276" w:lineRule="auto"/>
              <w:jc w:val="left"/>
              <w:rPr>
                <w:b w:val="0"/>
                <w:szCs w:val="20"/>
                <w:lang w:val="it-IT"/>
              </w:rPr>
            </w:pPr>
            <w:r w:rsidRPr="00AA554E">
              <w:rPr>
                <w:b w:val="0"/>
                <w:szCs w:val="20"/>
                <w:lang w:val="it-IT"/>
              </w:rPr>
              <w:t xml:space="preserve">Variazione </w:t>
            </w:r>
            <w:r>
              <w:rPr>
                <w:b w:val="0"/>
                <w:szCs w:val="20"/>
                <w:lang w:val="it-IT"/>
              </w:rPr>
              <w:t>gennaio-dicembre 2018</w:t>
            </w:r>
            <w:r w:rsidRPr="00F52EE0">
              <w:rPr>
                <w:b w:val="0"/>
                <w:szCs w:val="20"/>
                <w:lang w:val="it-IT"/>
              </w:rPr>
              <w:t xml:space="preserve"> su </w:t>
            </w:r>
            <w:r>
              <w:rPr>
                <w:b w:val="0"/>
                <w:szCs w:val="20"/>
                <w:lang w:val="it-IT"/>
              </w:rPr>
              <w:t>gennaio-dicembre 2014</w:t>
            </w:r>
          </w:p>
        </w:tc>
        <w:tc>
          <w:tcPr>
            <w:tcW w:w="1952" w:type="dxa"/>
            <w:vAlign w:val="center"/>
          </w:tcPr>
          <w:p w:rsidR="00BD1E2E" w:rsidRPr="00147D62" w:rsidRDefault="00BD1E2E" w:rsidP="0047470A">
            <w:pPr>
              <w:jc w:val="center"/>
              <w:cnfStyle w:val="000000100000"/>
              <w:rPr>
                <w:rFonts w:asciiTheme="majorHAnsi" w:hAnsiTheme="majorHAnsi"/>
                <w:bCs/>
                <w:sz w:val="20"/>
                <w:szCs w:val="20"/>
                <w:lang w:val="it-IT"/>
              </w:rPr>
            </w:pPr>
            <w:r w:rsidRPr="00147D62">
              <w:rPr>
                <w:rFonts w:asciiTheme="majorHAnsi" w:hAnsiTheme="majorHAnsi"/>
                <w:bCs/>
                <w:sz w:val="20"/>
                <w:szCs w:val="20"/>
                <w:lang w:val="it-IT"/>
              </w:rPr>
              <w:t>+53,5%</w:t>
            </w:r>
          </w:p>
        </w:tc>
      </w:tr>
      <w:tr w:rsidR="00BD1E2E" w:rsidRPr="00F52EE0" w:rsidTr="0047470A">
        <w:trPr>
          <w:trHeight w:val="340"/>
          <w:jc w:val="center"/>
        </w:trPr>
        <w:tc>
          <w:tcPr>
            <w:cnfStyle w:val="001000000000"/>
            <w:tcW w:w="6855" w:type="dxa"/>
            <w:vAlign w:val="center"/>
          </w:tcPr>
          <w:p w:rsidR="00BD1E2E" w:rsidRPr="00F52EE0" w:rsidRDefault="00BD1E2E" w:rsidP="0047470A">
            <w:pPr>
              <w:pStyle w:val="CRIFBodyText"/>
              <w:spacing w:line="276" w:lineRule="auto"/>
              <w:jc w:val="left"/>
              <w:rPr>
                <w:b w:val="0"/>
                <w:szCs w:val="20"/>
                <w:lang w:val="it-IT"/>
              </w:rPr>
            </w:pPr>
            <w:r w:rsidRPr="00AA554E">
              <w:rPr>
                <w:b w:val="0"/>
                <w:szCs w:val="20"/>
                <w:lang w:val="it-IT"/>
              </w:rPr>
              <w:t xml:space="preserve">Variazione </w:t>
            </w:r>
            <w:r>
              <w:rPr>
                <w:b w:val="0"/>
                <w:szCs w:val="20"/>
                <w:lang w:val="it-IT"/>
              </w:rPr>
              <w:t>gennaio-dicembre 2018</w:t>
            </w:r>
            <w:r w:rsidRPr="00F52EE0">
              <w:rPr>
                <w:b w:val="0"/>
                <w:szCs w:val="20"/>
                <w:lang w:val="it-IT"/>
              </w:rPr>
              <w:t xml:space="preserve"> su </w:t>
            </w:r>
            <w:r>
              <w:rPr>
                <w:b w:val="0"/>
                <w:szCs w:val="20"/>
                <w:lang w:val="it-IT"/>
              </w:rPr>
              <w:t>gennaio-dicembre 2013</w:t>
            </w:r>
          </w:p>
        </w:tc>
        <w:tc>
          <w:tcPr>
            <w:tcW w:w="1952" w:type="dxa"/>
            <w:vAlign w:val="center"/>
          </w:tcPr>
          <w:p w:rsidR="00BD1E2E" w:rsidRPr="00147D62" w:rsidRDefault="00BD1E2E" w:rsidP="0047470A">
            <w:pPr>
              <w:jc w:val="center"/>
              <w:cnfStyle w:val="000000000000"/>
              <w:rPr>
                <w:rFonts w:asciiTheme="majorHAnsi" w:hAnsiTheme="majorHAnsi"/>
                <w:bCs/>
                <w:sz w:val="20"/>
                <w:szCs w:val="20"/>
                <w:lang w:val="it-IT"/>
              </w:rPr>
            </w:pPr>
            <w:r w:rsidRPr="00147D62">
              <w:rPr>
                <w:rFonts w:asciiTheme="majorHAnsi" w:hAnsiTheme="majorHAnsi"/>
                <w:bCs/>
                <w:sz w:val="20"/>
                <w:szCs w:val="20"/>
                <w:lang w:val="it-IT"/>
              </w:rPr>
              <w:t>+76,8%</w:t>
            </w:r>
          </w:p>
        </w:tc>
      </w:tr>
      <w:tr w:rsidR="00BD1E2E" w:rsidRPr="00F52EE0" w:rsidTr="0047470A">
        <w:trPr>
          <w:cnfStyle w:val="000000100000"/>
          <w:trHeight w:val="340"/>
          <w:jc w:val="center"/>
        </w:trPr>
        <w:tc>
          <w:tcPr>
            <w:cnfStyle w:val="001000000000"/>
            <w:tcW w:w="6855" w:type="dxa"/>
            <w:vAlign w:val="center"/>
          </w:tcPr>
          <w:p w:rsidR="00BD1E2E" w:rsidRPr="00F52EE0" w:rsidRDefault="00BD1E2E" w:rsidP="0047470A">
            <w:pPr>
              <w:pStyle w:val="CRIFBodyText"/>
              <w:spacing w:line="276" w:lineRule="auto"/>
              <w:jc w:val="left"/>
              <w:rPr>
                <w:b w:val="0"/>
                <w:szCs w:val="20"/>
                <w:lang w:val="it-IT"/>
              </w:rPr>
            </w:pPr>
            <w:r w:rsidRPr="00F52EE0">
              <w:rPr>
                <w:b w:val="0"/>
                <w:szCs w:val="20"/>
                <w:lang w:val="it-IT"/>
              </w:rPr>
              <w:t xml:space="preserve">Variazione </w:t>
            </w:r>
            <w:r>
              <w:rPr>
                <w:b w:val="0"/>
                <w:szCs w:val="20"/>
                <w:lang w:val="it-IT"/>
              </w:rPr>
              <w:t>gennaio-dicembre</w:t>
            </w:r>
            <w:r w:rsidRPr="00F52EE0">
              <w:rPr>
                <w:b w:val="0"/>
                <w:szCs w:val="20"/>
                <w:lang w:val="it-IT"/>
              </w:rPr>
              <w:t xml:space="preserve"> 201</w:t>
            </w:r>
            <w:r>
              <w:rPr>
                <w:b w:val="0"/>
                <w:szCs w:val="20"/>
                <w:lang w:val="it-IT"/>
              </w:rPr>
              <w:t>8</w:t>
            </w:r>
            <w:r w:rsidRPr="00F52EE0">
              <w:rPr>
                <w:b w:val="0"/>
                <w:szCs w:val="20"/>
                <w:lang w:val="it-IT"/>
              </w:rPr>
              <w:t xml:space="preserve"> su </w:t>
            </w:r>
            <w:r>
              <w:rPr>
                <w:b w:val="0"/>
                <w:szCs w:val="20"/>
                <w:lang w:val="it-IT"/>
              </w:rPr>
              <w:t>gennaio-dicembre 2012</w:t>
            </w:r>
          </w:p>
        </w:tc>
        <w:tc>
          <w:tcPr>
            <w:tcW w:w="1952" w:type="dxa"/>
            <w:vAlign w:val="center"/>
          </w:tcPr>
          <w:p w:rsidR="00BD1E2E" w:rsidRPr="00147D62" w:rsidRDefault="00BD1E2E" w:rsidP="0047470A">
            <w:pPr>
              <w:jc w:val="center"/>
              <w:cnfStyle w:val="000000100000"/>
              <w:rPr>
                <w:rFonts w:asciiTheme="majorHAnsi" w:hAnsiTheme="majorHAnsi"/>
                <w:bCs/>
                <w:sz w:val="20"/>
                <w:szCs w:val="20"/>
                <w:lang w:val="it-IT"/>
              </w:rPr>
            </w:pPr>
            <w:r w:rsidRPr="00147D62">
              <w:rPr>
                <w:rFonts w:asciiTheme="majorHAnsi" w:hAnsiTheme="majorHAnsi"/>
                <w:bCs/>
                <w:sz w:val="20"/>
                <w:szCs w:val="20"/>
                <w:lang w:val="it-IT"/>
              </w:rPr>
              <w:t>+70,3%</w:t>
            </w:r>
          </w:p>
        </w:tc>
      </w:tr>
    </w:tbl>
    <w:p w:rsidR="00BD1E2E" w:rsidRDefault="00BD1E2E" w:rsidP="00BD1E2E">
      <w:pPr>
        <w:pStyle w:val="CRIFTitle2"/>
        <w:spacing w:after="0" w:line="240" w:lineRule="auto"/>
        <w:jc w:val="center"/>
        <w:rPr>
          <w:b w:val="0"/>
          <w:i/>
          <w:color w:val="EC7D11" w:themeColor="text2"/>
          <w:sz w:val="18"/>
        </w:rPr>
      </w:pPr>
    </w:p>
    <w:p w:rsidR="00BD1E2E" w:rsidRDefault="00BD1E2E" w:rsidP="00BD1E2E">
      <w:pPr>
        <w:pStyle w:val="CRIFTitle2"/>
        <w:spacing w:after="0" w:line="240" w:lineRule="auto"/>
        <w:jc w:val="center"/>
        <w:rPr>
          <w:b w:val="0"/>
          <w:i/>
          <w:color w:val="EC7D11" w:themeColor="text2"/>
          <w:sz w:val="18"/>
        </w:rPr>
      </w:pPr>
      <w:r w:rsidRPr="00DF0301">
        <w:rPr>
          <w:b w:val="0"/>
          <w:i/>
          <w:color w:val="EC7D11" w:themeColor="text2"/>
          <w:sz w:val="18"/>
        </w:rPr>
        <w:t>Fonte: EURISC – Il Sistema CRIF di Informazioni Creditizie</w:t>
      </w:r>
    </w:p>
    <w:p w:rsidR="00BD1E2E" w:rsidRDefault="00BD1E2E" w:rsidP="00BD1E2E">
      <w:pPr>
        <w:pStyle w:val="CRIFTitle2"/>
        <w:spacing w:after="0" w:line="240" w:lineRule="auto"/>
        <w:jc w:val="center"/>
        <w:rPr>
          <w:b w:val="0"/>
          <w:i/>
          <w:color w:val="EC7D11" w:themeColor="text2"/>
        </w:rPr>
      </w:pPr>
    </w:p>
    <w:p w:rsidR="00BD1E2E" w:rsidRPr="008C5D0B" w:rsidRDefault="00BD1E2E" w:rsidP="00BD1E2E">
      <w:pPr>
        <w:pStyle w:val="CRIFTitle2"/>
        <w:spacing w:after="0" w:line="240" w:lineRule="auto"/>
        <w:jc w:val="center"/>
        <w:rPr>
          <w:b w:val="0"/>
          <w:i/>
          <w:color w:val="EC7D11" w:themeColor="text2"/>
        </w:rPr>
      </w:pPr>
    </w:p>
    <w:p w:rsidR="00BD1E2E" w:rsidRDefault="00BD1E2E" w:rsidP="00BD1E2E">
      <w:pPr>
        <w:pStyle w:val="CRIFTitle2"/>
      </w:pPr>
      <w:r w:rsidRPr="007270FB">
        <w:t>L’</w:t>
      </w:r>
      <w:r>
        <w:t>importo medio dei mutui richiesti</w:t>
      </w:r>
    </w:p>
    <w:p w:rsidR="00BD1E2E" w:rsidRDefault="00BD1E2E" w:rsidP="00BD1E2E">
      <w:pPr>
        <w:spacing w:line="360" w:lineRule="auto"/>
        <w:jc w:val="both"/>
        <w:rPr>
          <w:b/>
          <w:sz w:val="20"/>
          <w:lang w:val="it-IT"/>
        </w:rPr>
      </w:pPr>
      <w:r>
        <w:rPr>
          <w:sz w:val="20"/>
          <w:szCs w:val="20"/>
          <w:lang w:val="it-IT"/>
        </w:rPr>
        <w:t xml:space="preserve">Nel corso del 2018 si è assistito a una </w:t>
      </w:r>
      <w:r w:rsidRPr="008C5D0B">
        <w:rPr>
          <w:b/>
          <w:sz w:val="20"/>
          <w:szCs w:val="20"/>
          <w:lang w:val="it-IT"/>
        </w:rPr>
        <w:t>ripresa costante dell’importo medio delle richieste di mutuo</w:t>
      </w:r>
      <w:r>
        <w:rPr>
          <w:sz w:val="20"/>
          <w:szCs w:val="20"/>
          <w:lang w:val="it-IT"/>
        </w:rPr>
        <w:t xml:space="preserve">, anche in virtù del minor peso delle surroghe, che per natura hanno un importo medio più contenuto. </w:t>
      </w:r>
    </w:p>
    <w:p w:rsidR="00BD1E2E" w:rsidRPr="00191A69" w:rsidRDefault="00BD1E2E" w:rsidP="00BD1E2E">
      <w:pPr>
        <w:spacing w:line="360" w:lineRule="auto"/>
        <w:jc w:val="both"/>
        <w:rPr>
          <w:lang w:val="it-IT"/>
        </w:rPr>
      </w:pPr>
      <w:r w:rsidRPr="008C5D0B">
        <w:rPr>
          <w:sz w:val="20"/>
          <w:lang w:val="it-IT"/>
        </w:rPr>
        <w:t>Nello specifico, a dicembre a dicembre il valore medio è risultato pari a 130.154 Euro,</w:t>
      </w:r>
      <w:r>
        <w:rPr>
          <w:sz w:val="20"/>
          <w:lang w:val="it-IT"/>
        </w:rPr>
        <w:t xml:space="preserve"> con una crescita pari a +2,0% rispetto allo stesso mese del 2017</w:t>
      </w:r>
      <w:r w:rsidRPr="00191A69">
        <w:rPr>
          <w:sz w:val="20"/>
          <w:szCs w:val="20"/>
          <w:lang w:val="it-IT"/>
        </w:rPr>
        <w:t xml:space="preserve">, mentre </w:t>
      </w:r>
      <w:r>
        <w:rPr>
          <w:b/>
          <w:sz w:val="20"/>
          <w:szCs w:val="20"/>
          <w:lang w:val="it-IT"/>
        </w:rPr>
        <w:t>a</w:t>
      </w:r>
      <w:r w:rsidRPr="003A491F">
        <w:rPr>
          <w:b/>
          <w:sz w:val="20"/>
          <w:szCs w:val="20"/>
          <w:lang w:val="it-IT"/>
        </w:rPr>
        <w:t xml:space="preserve"> livello di intero anno</w:t>
      </w:r>
      <w:r>
        <w:rPr>
          <w:b/>
          <w:sz w:val="20"/>
          <w:szCs w:val="20"/>
          <w:lang w:val="it-IT"/>
        </w:rPr>
        <w:t xml:space="preserve"> si è attestato a 127</w:t>
      </w:r>
      <w:r w:rsidRPr="0038793F">
        <w:rPr>
          <w:b/>
          <w:sz w:val="20"/>
          <w:szCs w:val="20"/>
          <w:lang w:val="it-IT"/>
        </w:rPr>
        <w:t>.</w:t>
      </w:r>
      <w:r>
        <w:rPr>
          <w:b/>
          <w:sz w:val="20"/>
          <w:szCs w:val="20"/>
          <w:lang w:val="it-IT"/>
        </w:rPr>
        <w:t>502</w:t>
      </w:r>
      <w:r w:rsidRPr="0038793F">
        <w:rPr>
          <w:b/>
          <w:sz w:val="20"/>
          <w:szCs w:val="20"/>
          <w:lang w:val="it-IT"/>
        </w:rPr>
        <w:t xml:space="preserve"> Euro.</w:t>
      </w:r>
    </w:p>
    <w:p w:rsidR="00BD1E2E" w:rsidRDefault="00BD1E2E" w:rsidP="00BD1E2E">
      <w:pPr>
        <w:pStyle w:val="CRIFTitle2"/>
        <w:jc w:val="center"/>
      </w:pPr>
      <w:r>
        <w:t>Andamento dell'importo medio dei Mutui Ipotecari richiesti</w:t>
      </w:r>
    </w:p>
    <w:p w:rsidR="00BD1E2E" w:rsidRPr="007B511D" w:rsidRDefault="00BD1E2E" w:rsidP="00BD1E2E">
      <w:pPr>
        <w:spacing w:after="24"/>
        <w:rPr>
          <w:lang w:val="it-IT"/>
        </w:rPr>
      </w:pPr>
      <w:r w:rsidRPr="00E8624D">
        <w:rPr>
          <w:lang w:val="it-IT"/>
        </w:rPr>
        <w:t xml:space="preserve"> </w:t>
      </w:r>
      <w:r>
        <w:rPr>
          <w:noProof/>
          <w:lang w:val="it-IT" w:eastAsia="it-IT"/>
        </w:rPr>
        <w:drawing>
          <wp:inline distT="0" distB="0" distL="0" distR="0">
            <wp:extent cx="5867400" cy="1318895"/>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l="3739" r="3098"/>
                    <a:stretch/>
                  </pic:blipFill>
                  <pic:spPr bwMode="auto">
                    <a:xfrm>
                      <a:off x="0" y="0"/>
                      <a:ext cx="5867400" cy="13188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D1E2E" w:rsidRDefault="00BD1E2E" w:rsidP="00BD1E2E">
      <w:pPr>
        <w:pStyle w:val="CRIFCaption"/>
        <w:jc w:val="center"/>
        <w:rPr>
          <w:color w:val="003B79" w:themeColor="accent1"/>
          <w:sz w:val="20"/>
          <w:lang w:val="it-IT"/>
        </w:rPr>
      </w:pPr>
      <w:r w:rsidRPr="00160603">
        <w:rPr>
          <w:lang w:val="it-IT"/>
        </w:rPr>
        <w:t>Fonte: EURISC – Il Sistema CRIF di Informazioni Creditizie</w:t>
      </w:r>
    </w:p>
    <w:p w:rsidR="00BD1E2E" w:rsidRPr="00A96C8E" w:rsidRDefault="00BD1E2E" w:rsidP="00BD1E2E">
      <w:pPr>
        <w:pStyle w:val="CRIFTitle2"/>
      </w:pPr>
      <w:r w:rsidRPr="004C1C04">
        <w:t>L</w:t>
      </w:r>
      <w:r>
        <w:t>a distribuzione per classi di importo dei mutui richiesti</w:t>
      </w:r>
      <w:r w:rsidRPr="00A96C8E">
        <w:t xml:space="preserve"> </w:t>
      </w:r>
    </w:p>
    <w:p w:rsidR="00BD1E2E" w:rsidRDefault="00BD1E2E" w:rsidP="00BD1E2E">
      <w:pPr>
        <w:spacing w:line="360" w:lineRule="auto"/>
        <w:jc w:val="both"/>
        <w:rPr>
          <w:sz w:val="20"/>
          <w:szCs w:val="20"/>
          <w:lang w:val="it-IT"/>
        </w:rPr>
      </w:pPr>
      <w:r>
        <w:rPr>
          <w:sz w:val="20"/>
          <w:szCs w:val="20"/>
          <w:lang w:val="it-IT"/>
        </w:rPr>
        <w:t>La</w:t>
      </w:r>
      <w:r w:rsidRPr="00A96C8E">
        <w:rPr>
          <w:sz w:val="20"/>
          <w:szCs w:val="20"/>
          <w:lang w:val="it-IT"/>
        </w:rPr>
        <w:t xml:space="preserve"> distribuzione delle richieste </w:t>
      </w:r>
      <w:r>
        <w:rPr>
          <w:sz w:val="20"/>
          <w:szCs w:val="20"/>
          <w:lang w:val="it-IT"/>
        </w:rPr>
        <w:t xml:space="preserve">di mutuo </w:t>
      </w:r>
      <w:r w:rsidRPr="00A96C8E">
        <w:rPr>
          <w:sz w:val="20"/>
          <w:szCs w:val="20"/>
          <w:lang w:val="it-IT"/>
        </w:rPr>
        <w:t xml:space="preserve">per </w:t>
      </w:r>
      <w:r w:rsidRPr="00A96C8E">
        <w:rPr>
          <w:b/>
          <w:sz w:val="20"/>
          <w:szCs w:val="20"/>
          <w:lang w:val="it-IT"/>
        </w:rPr>
        <w:t>fasce di importo</w:t>
      </w:r>
      <w:r>
        <w:rPr>
          <w:sz w:val="20"/>
          <w:szCs w:val="20"/>
          <w:lang w:val="it-IT"/>
        </w:rPr>
        <w:t xml:space="preserve"> </w:t>
      </w:r>
      <w:r>
        <w:rPr>
          <w:b/>
          <w:sz w:val="20"/>
          <w:szCs w:val="20"/>
          <w:lang w:val="it-IT"/>
        </w:rPr>
        <w:t>nel 2018</w:t>
      </w:r>
      <w:r>
        <w:rPr>
          <w:sz w:val="20"/>
          <w:szCs w:val="20"/>
          <w:lang w:val="it-IT"/>
        </w:rPr>
        <w:t xml:space="preserve"> è rimasta pressoché stabile rispetto all’anno precedente, con</w:t>
      </w:r>
      <w:r w:rsidRPr="00A96C8E">
        <w:rPr>
          <w:sz w:val="20"/>
          <w:szCs w:val="20"/>
          <w:lang w:val="it-IT"/>
        </w:rPr>
        <w:t xml:space="preserve"> </w:t>
      </w:r>
      <w:r>
        <w:rPr>
          <w:sz w:val="20"/>
          <w:szCs w:val="20"/>
          <w:lang w:val="it-IT"/>
        </w:rPr>
        <w:t>l</w:t>
      </w:r>
      <w:r w:rsidRPr="00A96C8E">
        <w:rPr>
          <w:sz w:val="20"/>
          <w:szCs w:val="20"/>
          <w:lang w:val="it-IT"/>
        </w:rPr>
        <w:t xml:space="preserve">a </w:t>
      </w:r>
      <w:r w:rsidRPr="00A96C8E">
        <w:rPr>
          <w:b/>
          <w:sz w:val="20"/>
          <w:szCs w:val="20"/>
          <w:lang w:val="it-IT"/>
        </w:rPr>
        <w:t xml:space="preserve">classe compresa tra 100.001 e 150.000 </w:t>
      </w:r>
      <w:r>
        <w:rPr>
          <w:b/>
          <w:sz w:val="20"/>
          <w:szCs w:val="20"/>
          <w:lang w:val="it-IT"/>
        </w:rPr>
        <w:t>E</w:t>
      </w:r>
      <w:r w:rsidRPr="00A96C8E">
        <w:rPr>
          <w:b/>
          <w:sz w:val="20"/>
          <w:szCs w:val="20"/>
          <w:lang w:val="it-IT"/>
        </w:rPr>
        <w:t>uro</w:t>
      </w:r>
      <w:r>
        <w:rPr>
          <w:b/>
          <w:sz w:val="20"/>
          <w:szCs w:val="20"/>
          <w:lang w:val="it-IT"/>
        </w:rPr>
        <w:t xml:space="preserve"> </w:t>
      </w:r>
      <w:r w:rsidRPr="00191A69">
        <w:rPr>
          <w:sz w:val="20"/>
          <w:szCs w:val="20"/>
          <w:lang w:val="it-IT"/>
        </w:rPr>
        <w:t xml:space="preserve">che </w:t>
      </w:r>
      <w:r w:rsidRPr="00B47EC4">
        <w:rPr>
          <w:sz w:val="20"/>
          <w:szCs w:val="20"/>
          <w:lang w:val="it-IT"/>
        </w:rPr>
        <w:t xml:space="preserve">risulta ancora </w:t>
      </w:r>
      <w:r>
        <w:rPr>
          <w:sz w:val="20"/>
          <w:szCs w:val="20"/>
          <w:lang w:val="it-IT"/>
        </w:rPr>
        <w:t xml:space="preserve">essere </w:t>
      </w:r>
      <w:r w:rsidRPr="00B47EC4">
        <w:rPr>
          <w:sz w:val="20"/>
          <w:szCs w:val="20"/>
          <w:lang w:val="it-IT"/>
        </w:rPr>
        <w:t xml:space="preserve">la </w:t>
      </w:r>
      <w:r>
        <w:rPr>
          <w:sz w:val="20"/>
          <w:szCs w:val="20"/>
          <w:lang w:val="it-IT"/>
        </w:rPr>
        <w:t>preferita</w:t>
      </w:r>
      <w:r w:rsidRPr="00B47EC4">
        <w:rPr>
          <w:sz w:val="20"/>
          <w:szCs w:val="20"/>
          <w:lang w:val="it-IT"/>
        </w:rPr>
        <w:t xml:space="preserve"> dalle famiglie italiane, con una quota pari al</w:t>
      </w:r>
      <w:r w:rsidRPr="00A96C8E">
        <w:rPr>
          <w:b/>
          <w:sz w:val="20"/>
          <w:szCs w:val="20"/>
          <w:lang w:val="it-IT"/>
        </w:rPr>
        <w:t xml:space="preserve"> 29,</w:t>
      </w:r>
      <w:r>
        <w:rPr>
          <w:b/>
          <w:sz w:val="20"/>
          <w:szCs w:val="20"/>
          <w:lang w:val="it-IT"/>
        </w:rPr>
        <w:t>3</w:t>
      </w:r>
      <w:r w:rsidRPr="00A96C8E">
        <w:rPr>
          <w:b/>
          <w:sz w:val="20"/>
          <w:szCs w:val="20"/>
          <w:lang w:val="it-IT"/>
        </w:rPr>
        <w:t>%</w:t>
      </w:r>
      <w:r w:rsidRPr="00A96C8E">
        <w:rPr>
          <w:sz w:val="20"/>
          <w:szCs w:val="20"/>
          <w:lang w:val="it-IT"/>
        </w:rPr>
        <w:t xml:space="preserve"> del totale. </w:t>
      </w:r>
      <w:r>
        <w:rPr>
          <w:sz w:val="20"/>
          <w:szCs w:val="20"/>
          <w:lang w:val="it-IT"/>
        </w:rPr>
        <w:t>Rispetto al 2016 si enfatizza il progressivo spostamento verso le classi di importo più elevato (+1,0 punti percentuali delle classi superiori ai 150.000€), anche in questo caso per la minor incidenza dei mutui di sostituzione.</w:t>
      </w:r>
    </w:p>
    <w:tbl>
      <w:tblPr>
        <w:tblW w:w="49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tblPr>
      <w:tblGrid>
        <w:gridCol w:w="2860"/>
        <w:gridCol w:w="2097"/>
      </w:tblGrid>
      <w:tr w:rsidR="00BD1E2E" w:rsidRPr="00DA731B" w:rsidTr="0047470A">
        <w:trPr>
          <w:trHeight w:val="667"/>
          <w:jc w:val="center"/>
        </w:trPr>
        <w:tc>
          <w:tcPr>
            <w:tcW w:w="2860" w:type="dxa"/>
            <w:shd w:val="clear" w:color="auto" w:fill="EE7D11"/>
            <w:noWrap/>
            <w:vAlign w:val="center"/>
            <w:hideMark/>
          </w:tcPr>
          <w:p w:rsidR="00BD1E2E" w:rsidRPr="00DA731B" w:rsidRDefault="00BD1E2E" w:rsidP="0047470A">
            <w:pPr>
              <w:spacing w:after="0" w:line="240" w:lineRule="auto"/>
              <w:rPr>
                <w:rFonts w:cs="Tahoma"/>
                <w:b/>
                <w:color w:val="FFFFFF" w:themeColor="background1"/>
                <w:sz w:val="18"/>
                <w:szCs w:val="18"/>
                <w:lang w:val="it-IT"/>
              </w:rPr>
            </w:pPr>
            <w:r>
              <w:rPr>
                <w:rFonts w:cs="Tahoma"/>
                <w:b/>
                <w:color w:val="FFFFFF" w:themeColor="background1"/>
                <w:sz w:val="18"/>
                <w:szCs w:val="18"/>
                <w:lang w:val="it-IT"/>
              </w:rPr>
              <w:lastRenderedPageBreak/>
              <w:t>Classe di importo</w:t>
            </w:r>
          </w:p>
        </w:tc>
        <w:tc>
          <w:tcPr>
            <w:tcW w:w="2097" w:type="dxa"/>
            <w:shd w:val="clear" w:color="auto" w:fill="EE7D11"/>
            <w:noWrap/>
            <w:vAlign w:val="center"/>
            <w:hideMark/>
          </w:tcPr>
          <w:p w:rsidR="00BD1E2E" w:rsidRPr="00DA731B" w:rsidRDefault="00BD1E2E" w:rsidP="0047470A">
            <w:pPr>
              <w:spacing w:after="0"/>
              <w:jc w:val="center"/>
              <w:rPr>
                <w:rFonts w:cs="Tahoma"/>
                <w:b/>
                <w:color w:val="FFFFFF" w:themeColor="background1"/>
                <w:sz w:val="18"/>
                <w:szCs w:val="18"/>
                <w:lang w:val="it-IT"/>
              </w:rPr>
            </w:pPr>
            <w:r w:rsidRPr="00DA731B">
              <w:rPr>
                <w:rFonts w:cs="Tahoma"/>
                <w:b/>
                <w:color w:val="FFFFFF" w:themeColor="background1"/>
                <w:sz w:val="18"/>
                <w:szCs w:val="18"/>
                <w:lang w:val="it-IT"/>
              </w:rPr>
              <w:t xml:space="preserve">% </w:t>
            </w:r>
            <w:r>
              <w:rPr>
                <w:rFonts w:cs="Tahoma"/>
                <w:b/>
                <w:color w:val="FFFFFF" w:themeColor="background1"/>
                <w:sz w:val="18"/>
                <w:szCs w:val="18"/>
                <w:lang w:val="it-IT"/>
              </w:rPr>
              <w:t>distribuzione anno c</w:t>
            </w:r>
            <w:r w:rsidRPr="00DA731B">
              <w:rPr>
                <w:rFonts w:cs="Tahoma"/>
                <w:b/>
                <w:color w:val="FFFFFF" w:themeColor="background1"/>
                <w:sz w:val="18"/>
                <w:szCs w:val="18"/>
                <w:lang w:val="it-IT"/>
              </w:rPr>
              <w:t>orrente</w:t>
            </w:r>
          </w:p>
        </w:tc>
      </w:tr>
      <w:tr w:rsidR="00BD1E2E" w:rsidRPr="00DA731B" w:rsidTr="0047470A">
        <w:trPr>
          <w:trHeight w:val="397"/>
          <w:jc w:val="center"/>
        </w:trPr>
        <w:tc>
          <w:tcPr>
            <w:tcW w:w="2860" w:type="dxa"/>
            <w:shd w:val="clear" w:color="auto" w:fill="F8CA9E" w:themeFill="text2" w:themeFillTint="66"/>
            <w:noWrap/>
            <w:vAlign w:val="center"/>
            <w:hideMark/>
          </w:tcPr>
          <w:p w:rsidR="00BD1E2E" w:rsidRPr="00572DF4" w:rsidRDefault="00BD1E2E" w:rsidP="0047470A">
            <w:pPr>
              <w:spacing w:after="0"/>
              <w:rPr>
                <w:sz w:val="18"/>
                <w:szCs w:val="18"/>
              </w:rPr>
            </w:pPr>
            <w:proofErr w:type="spellStart"/>
            <w:r w:rsidRPr="00572DF4">
              <w:rPr>
                <w:sz w:val="18"/>
                <w:szCs w:val="18"/>
              </w:rPr>
              <w:t>Fino</w:t>
            </w:r>
            <w:proofErr w:type="spellEnd"/>
            <w:r w:rsidRPr="00572DF4">
              <w:rPr>
                <w:sz w:val="18"/>
                <w:szCs w:val="18"/>
              </w:rPr>
              <w:t xml:space="preserve"> a 75.000 €</w:t>
            </w:r>
          </w:p>
        </w:tc>
        <w:tc>
          <w:tcPr>
            <w:tcW w:w="2097" w:type="dxa"/>
            <w:shd w:val="clear" w:color="auto" w:fill="F8CA9E" w:themeFill="text2" w:themeFillTint="66"/>
            <w:noWrap/>
            <w:vAlign w:val="center"/>
          </w:tcPr>
          <w:p w:rsidR="00BD1E2E" w:rsidRPr="00572DF4" w:rsidRDefault="00BD1E2E" w:rsidP="0047470A">
            <w:pPr>
              <w:spacing w:after="0"/>
              <w:jc w:val="center"/>
              <w:rPr>
                <w:rFonts w:asciiTheme="majorHAnsi" w:hAnsiTheme="majorHAnsi"/>
                <w:sz w:val="18"/>
                <w:szCs w:val="18"/>
              </w:rPr>
            </w:pPr>
            <w:r>
              <w:rPr>
                <w:rFonts w:asciiTheme="majorHAnsi" w:hAnsiTheme="majorHAnsi" w:cs="Tahoma"/>
                <w:sz w:val="18"/>
                <w:szCs w:val="18"/>
              </w:rPr>
              <w:t>25,9</w:t>
            </w:r>
            <w:r w:rsidRPr="00572DF4">
              <w:rPr>
                <w:rFonts w:asciiTheme="majorHAnsi" w:hAnsiTheme="majorHAnsi" w:cs="Tahoma"/>
                <w:sz w:val="18"/>
                <w:szCs w:val="18"/>
              </w:rPr>
              <w:t>%</w:t>
            </w:r>
          </w:p>
        </w:tc>
      </w:tr>
      <w:tr w:rsidR="00BD1E2E" w:rsidRPr="00DA731B" w:rsidTr="0047470A">
        <w:trPr>
          <w:trHeight w:val="397"/>
          <w:jc w:val="center"/>
        </w:trPr>
        <w:tc>
          <w:tcPr>
            <w:tcW w:w="2860" w:type="dxa"/>
            <w:shd w:val="clear" w:color="auto" w:fill="FBE4CE" w:themeFill="text2" w:themeFillTint="33"/>
            <w:noWrap/>
            <w:vAlign w:val="center"/>
            <w:hideMark/>
          </w:tcPr>
          <w:p w:rsidR="00BD1E2E" w:rsidRPr="00572DF4" w:rsidRDefault="00BD1E2E" w:rsidP="0047470A">
            <w:pPr>
              <w:spacing w:after="0"/>
              <w:rPr>
                <w:sz w:val="18"/>
                <w:szCs w:val="18"/>
              </w:rPr>
            </w:pPr>
            <w:r w:rsidRPr="00572DF4">
              <w:rPr>
                <w:sz w:val="18"/>
                <w:szCs w:val="18"/>
              </w:rPr>
              <w:t>75.001-100.000 €</w:t>
            </w:r>
          </w:p>
        </w:tc>
        <w:tc>
          <w:tcPr>
            <w:tcW w:w="2097" w:type="dxa"/>
            <w:shd w:val="clear" w:color="auto" w:fill="FBE4CE" w:themeFill="text2" w:themeFillTint="33"/>
            <w:noWrap/>
            <w:vAlign w:val="center"/>
          </w:tcPr>
          <w:p w:rsidR="00BD1E2E" w:rsidRPr="00572DF4" w:rsidRDefault="00BD1E2E" w:rsidP="0047470A">
            <w:pPr>
              <w:spacing w:after="0"/>
              <w:jc w:val="center"/>
              <w:rPr>
                <w:rFonts w:asciiTheme="majorHAnsi" w:hAnsiTheme="majorHAnsi"/>
                <w:sz w:val="18"/>
                <w:szCs w:val="18"/>
              </w:rPr>
            </w:pPr>
            <w:r>
              <w:rPr>
                <w:rFonts w:asciiTheme="majorHAnsi" w:hAnsiTheme="majorHAnsi" w:cs="Tahoma"/>
                <w:sz w:val="18"/>
                <w:szCs w:val="18"/>
              </w:rPr>
              <w:t>20,3</w:t>
            </w:r>
            <w:r w:rsidRPr="00572DF4">
              <w:rPr>
                <w:rFonts w:asciiTheme="majorHAnsi" w:hAnsiTheme="majorHAnsi" w:cs="Tahoma"/>
                <w:sz w:val="18"/>
                <w:szCs w:val="18"/>
              </w:rPr>
              <w:t>%</w:t>
            </w:r>
          </w:p>
        </w:tc>
      </w:tr>
      <w:tr w:rsidR="00BD1E2E" w:rsidRPr="00DA731B" w:rsidTr="0047470A">
        <w:trPr>
          <w:trHeight w:val="397"/>
          <w:jc w:val="center"/>
        </w:trPr>
        <w:tc>
          <w:tcPr>
            <w:tcW w:w="2860" w:type="dxa"/>
            <w:shd w:val="clear" w:color="auto" w:fill="F8CA9E" w:themeFill="text2" w:themeFillTint="66"/>
            <w:noWrap/>
            <w:vAlign w:val="center"/>
            <w:hideMark/>
          </w:tcPr>
          <w:p w:rsidR="00BD1E2E" w:rsidRPr="00572DF4" w:rsidRDefault="00BD1E2E" w:rsidP="0047470A">
            <w:pPr>
              <w:spacing w:after="0"/>
              <w:rPr>
                <w:sz w:val="18"/>
                <w:szCs w:val="18"/>
              </w:rPr>
            </w:pPr>
            <w:r w:rsidRPr="00572DF4">
              <w:rPr>
                <w:sz w:val="18"/>
                <w:szCs w:val="18"/>
              </w:rPr>
              <w:t>100.001-150.000 €</w:t>
            </w:r>
          </w:p>
        </w:tc>
        <w:tc>
          <w:tcPr>
            <w:tcW w:w="2097" w:type="dxa"/>
            <w:shd w:val="clear" w:color="auto" w:fill="F8CA9E" w:themeFill="text2" w:themeFillTint="66"/>
            <w:noWrap/>
            <w:vAlign w:val="center"/>
          </w:tcPr>
          <w:p w:rsidR="00BD1E2E" w:rsidRPr="00572DF4" w:rsidRDefault="00BD1E2E" w:rsidP="0047470A">
            <w:pPr>
              <w:spacing w:after="0"/>
              <w:jc w:val="center"/>
              <w:rPr>
                <w:rFonts w:asciiTheme="majorHAnsi" w:hAnsiTheme="majorHAnsi"/>
                <w:sz w:val="18"/>
                <w:szCs w:val="18"/>
              </w:rPr>
            </w:pPr>
            <w:r>
              <w:rPr>
                <w:rFonts w:asciiTheme="majorHAnsi" w:hAnsiTheme="majorHAnsi" w:cs="Tahoma"/>
                <w:sz w:val="18"/>
                <w:szCs w:val="18"/>
              </w:rPr>
              <w:t>29,6</w:t>
            </w:r>
            <w:r w:rsidRPr="00572DF4">
              <w:rPr>
                <w:rFonts w:asciiTheme="majorHAnsi" w:hAnsiTheme="majorHAnsi" w:cs="Tahoma"/>
                <w:sz w:val="18"/>
                <w:szCs w:val="18"/>
              </w:rPr>
              <w:t>%</w:t>
            </w:r>
          </w:p>
        </w:tc>
      </w:tr>
      <w:tr w:rsidR="00BD1E2E" w:rsidRPr="00DA731B" w:rsidTr="0047470A">
        <w:trPr>
          <w:trHeight w:val="397"/>
          <w:jc w:val="center"/>
        </w:trPr>
        <w:tc>
          <w:tcPr>
            <w:tcW w:w="2860" w:type="dxa"/>
            <w:shd w:val="clear" w:color="auto" w:fill="FBE4CE" w:themeFill="text2" w:themeFillTint="33"/>
            <w:noWrap/>
            <w:vAlign w:val="center"/>
            <w:hideMark/>
          </w:tcPr>
          <w:p w:rsidR="00BD1E2E" w:rsidRPr="00572DF4" w:rsidRDefault="00BD1E2E" w:rsidP="0047470A">
            <w:pPr>
              <w:spacing w:after="0"/>
              <w:rPr>
                <w:sz w:val="18"/>
                <w:szCs w:val="18"/>
              </w:rPr>
            </w:pPr>
            <w:r w:rsidRPr="00572DF4">
              <w:rPr>
                <w:sz w:val="18"/>
                <w:szCs w:val="18"/>
              </w:rPr>
              <w:t>150.001-300.000 €</w:t>
            </w:r>
          </w:p>
        </w:tc>
        <w:tc>
          <w:tcPr>
            <w:tcW w:w="2097" w:type="dxa"/>
            <w:shd w:val="clear" w:color="auto" w:fill="FBE4CE" w:themeFill="text2" w:themeFillTint="33"/>
            <w:noWrap/>
            <w:vAlign w:val="center"/>
          </w:tcPr>
          <w:p w:rsidR="00BD1E2E" w:rsidRPr="00572DF4" w:rsidRDefault="00BD1E2E" w:rsidP="0047470A">
            <w:pPr>
              <w:spacing w:after="0"/>
              <w:jc w:val="center"/>
              <w:rPr>
                <w:rFonts w:asciiTheme="majorHAnsi" w:hAnsiTheme="majorHAnsi"/>
                <w:sz w:val="18"/>
                <w:szCs w:val="18"/>
              </w:rPr>
            </w:pPr>
            <w:r>
              <w:rPr>
                <w:rFonts w:asciiTheme="majorHAnsi" w:hAnsiTheme="majorHAnsi" w:cs="Tahoma"/>
                <w:sz w:val="18"/>
                <w:szCs w:val="18"/>
              </w:rPr>
              <w:t>21,1</w:t>
            </w:r>
            <w:r w:rsidRPr="00572DF4">
              <w:rPr>
                <w:rFonts w:asciiTheme="majorHAnsi" w:hAnsiTheme="majorHAnsi" w:cs="Tahoma"/>
                <w:sz w:val="18"/>
                <w:szCs w:val="18"/>
              </w:rPr>
              <w:t>%</w:t>
            </w:r>
          </w:p>
        </w:tc>
      </w:tr>
      <w:tr w:rsidR="00BD1E2E" w:rsidRPr="00DA731B" w:rsidTr="0047470A">
        <w:trPr>
          <w:trHeight w:val="397"/>
          <w:jc w:val="center"/>
        </w:trPr>
        <w:tc>
          <w:tcPr>
            <w:tcW w:w="2860" w:type="dxa"/>
            <w:shd w:val="clear" w:color="auto" w:fill="F8CA9E" w:themeFill="text2" w:themeFillTint="66"/>
            <w:noWrap/>
            <w:vAlign w:val="center"/>
            <w:hideMark/>
          </w:tcPr>
          <w:p w:rsidR="00BD1E2E" w:rsidRPr="00572DF4" w:rsidRDefault="00BD1E2E" w:rsidP="0047470A">
            <w:pPr>
              <w:spacing w:after="0"/>
              <w:rPr>
                <w:sz w:val="18"/>
                <w:szCs w:val="18"/>
              </w:rPr>
            </w:pPr>
            <w:proofErr w:type="spellStart"/>
            <w:r w:rsidRPr="00572DF4">
              <w:rPr>
                <w:sz w:val="18"/>
                <w:szCs w:val="18"/>
              </w:rPr>
              <w:t>Oltre</w:t>
            </w:r>
            <w:proofErr w:type="spellEnd"/>
            <w:r w:rsidRPr="00572DF4">
              <w:rPr>
                <w:sz w:val="18"/>
                <w:szCs w:val="18"/>
              </w:rPr>
              <w:t xml:space="preserve"> 300.000 €</w:t>
            </w:r>
          </w:p>
        </w:tc>
        <w:tc>
          <w:tcPr>
            <w:tcW w:w="2097" w:type="dxa"/>
            <w:shd w:val="clear" w:color="auto" w:fill="F8CA9E" w:themeFill="text2" w:themeFillTint="66"/>
            <w:noWrap/>
            <w:vAlign w:val="center"/>
          </w:tcPr>
          <w:p w:rsidR="00BD1E2E" w:rsidRPr="00572DF4" w:rsidRDefault="00BD1E2E" w:rsidP="0047470A">
            <w:pPr>
              <w:spacing w:after="0"/>
              <w:jc w:val="center"/>
              <w:rPr>
                <w:rFonts w:asciiTheme="majorHAnsi" w:hAnsiTheme="majorHAnsi"/>
                <w:sz w:val="18"/>
                <w:szCs w:val="18"/>
              </w:rPr>
            </w:pPr>
            <w:r w:rsidRPr="00572DF4">
              <w:rPr>
                <w:rFonts w:asciiTheme="majorHAnsi" w:hAnsiTheme="majorHAnsi" w:cs="Tahoma"/>
                <w:sz w:val="18"/>
                <w:szCs w:val="18"/>
              </w:rPr>
              <w:t>3,</w:t>
            </w:r>
            <w:r>
              <w:rPr>
                <w:rFonts w:asciiTheme="majorHAnsi" w:hAnsiTheme="majorHAnsi" w:cs="Tahoma"/>
                <w:sz w:val="18"/>
                <w:szCs w:val="18"/>
              </w:rPr>
              <w:t>1</w:t>
            </w:r>
            <w:r w:rsidRPr="00572DF4">
              <w:rPr>
                <w:rFonts w:asciiTheme="majorHAnsi" w:hAnsiTheme="majorHAnsi" w:cs="Tahoma"/>
                <w:sz w:val="18"/>
                <w:szCs w:val="18"/>
              </w:rPr>
              <w:t>%</w:t>
            </w:r>
          </w:p>
        </w:tc>
      </w:tr>
    </w:tbl>
    <w:p w:rsidR="00BD1E2E" w:rsidRPr="002B41C5" w:rsidRDefault="00BD1E2E" w:rsidP="002B41C5">
      <w:pPr>
        <w:pStyle w:val="CRIFCaption"/>
        <w:jc w:val="center"/>
        <w:rPr>
          <w:lang w:val="it-IT"/>
        </w:rPr>
      </w:pPr>
      <w:r w:rsidRPr="00DA731B">
        <w:rPr>
          <w:lang w:val="it-IT"/>
        </w:rPr>
        <w:t>Fonte: EURISC – Il Sistema CRIF di Informazioni Creditizie</w:t>
      </w:r>
    </w:p>
    <w:p w:rsidR="00BD1E2E" w:rsidRPr="00A96C8E" w:rsidRDefault="00BD1E2E" w:rsidP="00BD1E2E">
      <w:pPr>
        <w:pStyle w:val="CRIFTitle2"/>
      </w:pPr>
      <w:r w:rsidRPr="004C1C04">
        <w:t>L</w:t>
      </w:r>
      <w:r>
        <w:t>a distribuzione per classi di durata dei mutui richiesti</w:t>
      </w:r>
      <w:r w:rsidRPr="00A96C8E">
        <w:t xml:space="preserve"> </w:t>
      </w:r>
    </w:p>
    <w:p w:rsidR="00BD1E2E" w:rsidRPr="005E47FD" w:rsidRDefault="00BD1E2E" w:rsidP="00BD1E2E">
      <w:pPr>
        <w:pStyle w:val="CRIFBodyText"/>
        <w:rPr>
          <w:lang w:val="it-IT"/>
        </w:rPr>
      </w:pPr>
      <w:r w:rsidRPr="001E079C">
        <w:rPr>
          <w:lang w:val="it-IT"/>
        </w:rPr>
        <w:t xml:space="preserve">Per quanto riguarda la </w:t>
      </w:r>
      <w:r w:rsidRPr="00F361E2">
        <w:rPr>
          <w:lang w:val="it-IT"/>
        </w:rPr>
        <w:t xml:space="preserve">distribuzione delle richieste per </w:t>
      </w:r>
      <w:r w:rsidRPr="0038793F">
        <w:rPr>
          <w:lang w:val="it-IT"/>
        </w:rPr>
        <w:t>classe di durata</w:t>
      </w:r>
      <w:r w:rsidRPr="00F361E2">
        <w:rPr>
          <w:lang w:val="it-IT"/>
        </w:rPr>
        <w:t>,</w:t>
      </w:r>
      <w:r>
        <w:rPr>
          <w:lang w:val="it-IT"/>
        </w:rPr>
        <w:t xml:space="preserve"> </w:t>
      </w:r>
      <w:r>
        <w:rPr>
          <w:b/>
          <w:lang w:val="it-IT"/>
        </w:rPr>
        <w:t>nel 2018</w:t>
      </w:r>
      <w:r>
        <w:rPr>
          <w:lang w:val="it-IT"/>
        </w:rPr>
        <w:t xml:space="preserve"> </w:t>
      </w:r>
      <w:r w:rsidRPr="00191A69">
        <w:rPr>
          <w:b/>
          <w:lang w:val="it-IT"/>
        </w:rPr>
        <w:t xml:space="preserve">la fascia compresa </w:t>
      </w:r>
      <w:r w:rsidRPr="00C665B9">
        <w:rPr>
          <w:b/>
          <w:lang w:val="it-IT"/>
        </w:rPr>
        <w:t>tra i</w:t>
      </w:r>
      <w:r w:rsidRPr="00191A69">
        <w:rPr>
          <w:b/>
          <w:lang w:val="it-IT"/>
        </w:rPr>
        <w:t xml:space="preserve"> </w:t>
      </w:r>
      <w:r w:rsidRPr="00C665B9">
        <w:rPr>
          <w:b/>
          <w:lang w:val="it-IT"/>
        </w:rPr>
        <w:t xml:space="preserve">16 e i 20 anni </w:t>
      </w:r>
      <w:r w:rsidRPr="00191A69">
        <w:rPr>
          <w:b/>
          <w:lang w:val="it-IT"/>
        </w:rPr>
        <w:t>si conferma in vetta alle preferenze degli italiani</w:t>
      </w:r>
      <w:r w:rsidRPr="005E47FD">
        <w:rPr>
          <w:lang w:val="it-IT"/>
        </w:rPr>
        <w:t xml:space="preserve"> (con una quota pari a </w:t>
      </w:r>
      <w:r w:rsidRPr="005E47FD">
        <w:rPr>
          <w:b/>
          <w:lang w:val="it-IT"/>
        </w:rPr>
        <w:t>25,9%</w:t>
      </w:r>
      <w:r w:rsidRPr="005E47FD">
        <w:rPr>
          <w:lang w:val="it-IT"/>
        </w:rPr>
        <w:t xml:space="preserve"> del totale), seguita da quella </w:t>
      </w:r>
      <w:r w:rsidRPr="005E47FD">
        <w:rPr>
          <w:b/>
          <w:lang w:val="it-IT"/>
        </w:rPr>
        <w:t>tra i 26 e i 30 anni</w:t>
      </w:r>
      <w:r w:rsidRPr="005E47FD">
        <w:rPr>
          <w:lang w:val="it-IT"/>
        </w:rPr>
        <w:t xml:space="preserve">, con il </w:t>
      </w:r>
      <w:r w:rsidRPr="005E47FD">
        <w:rPr>
          <w:b/>
          <w:lang w:val="it-IT"/>
        </w:rPr>
        <w:t>22,4%</w:t>
      </w:r>
      <w:r w:rsidRPr="005E47FD">
        <w:rPr>
          <w:lang w:val="it-IT"/>
        </w:rPr>
        <w:t>. Si segnala ri</w:t>
      </w:r>
      <w:r>
        <w:rPr>
          <w:lang w:val="it-IT"/>
        </w:rPr>
        <w:t xml:space="preserve">spetto al 2017 una crescita del peso dei piani di </w:t>
      </w:r>
      <w:r w:rsidRPr="005E47FD">
        <w:rPr>
          <w:lang w:val="it-IT"/>
        </w:rPr>
        <w:t xml:space="preserve">rimborso tra i 16 e </w:t>
      </w:r>
      <w:r>
        <w:rPr>
          <w:lang w:val="it-IT"/>
        </w:rPr>
        <w:t xml:space="preserve">i </w:t>
      </w:r>
      <w:r w:rsidRPr="005E47FD">
        <w:rPr>
          <w:lang w:val="it-IT"/>
        </w:rPr>
        <w:t xml:space="preserve">20 anni (+1,4 punti percentuali) a differenza di un quasi </w:t>
      </w:r>
      <w:r>
        <w:rPr>
          <w:lang w:val="it-IT"/>
        </w:rPr>
        <w:t>equivalente</w:t>
      </w:r>
      <w:r w:rsidRPr="005E47FD">
        <w:rPr>
          <w:lang w:val="it-IT"/>
        </w:rPr>
        <w:t xml:space="preserve"> calo </w:t>
      </w:r>
      <w:r>
        <w:rPr>
          <w:lang w:val="it-IT"/>
        </w:rPr>
        <w:t>di quelli</w:t>
      </w:r>
      <w:r w:rsidRPr="005E47FD">
        <w:rPr>
          <w:lang w:val="it-IT"/>
        </w:rPr>
        <w:t xml:space="preserve"> </w:t>
      </w:r>
      <w:r>
        <w:rPr>
          <w:lang w:val="it-IT"/>
        </w:rPr>
        <w:t xml:space="preserve">tra </w:t>
      </w:r>
      <w:r w:rsidRPr="005E47FD">
        <w:rPr>
          <w:lang w:val="it-IT"/>
        </w:rPr>
        <w:t xml:space="preserve">10 </w:t>
      </w:r>
      <w:r>
        <w:rPr>
          <w:lang w:val="it-IT"/>
        </w:rPr>
        <w:t>e</w:t>
      </w:r>
      <w:r w:rsidRPr="005E47FD">
        <w:rPr>
          <w:lang w:val="it-IT"/>
        </w:rPr>
        <w:t xml:space="preserve"> 15 anni (-1,8 punti percentuali), anche grazie alla minor incidenza di surroghe</w:t>
      </w:r>
      <w:r>
        <w:rPr>
          <w:lang w:val="it-IT"/>
        </w:rPr>
        <w:t xml:space="preserve"> che</w:t>
      </w:r>
      <w:r w:rsidRPr="005E47FD">
        <w:rPr>
          <w:lang w:val="it-IT"/>
        </w:rPr>
        <w:t xml:space="preserve"> per natura </w:t>
      </w:r>
      <w:r>
        <w:rPr>
          <w:lang w:val="it-IT"/>
        </w:rPr>
        <w:t>hanno</w:t>
      </w:r>
      <w:r w:rsidRPr="005E47FD">
        <w:rPr>
          <w:lang w:val="it-IT"/>
        </w:rPr>
        <w:t xml:space="preserve"> durata più breve.</w:t>
      </w:r>
    </w:p>
    <w:tbl>
      <w:tblPr>
        <w:tblW w:w="453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tblPr>
      <w:tblGrid>
        <w:gridCol w:w="2127"/>
        <w:gridCol w:w="2410"/>
      </w:tblGrid>
      <w:tr w:rsidR="00BD1E2E" w:rsidRPr="00774AD3" w:rsidTr="0047470A">
        <w:trPr>
          <w:trHeight w:val="669"/>
          <w:jc w:val="center"/>
        </w:trPr>
        <w:tc>
          <w:tcPr>
            <w:tcW w:w="2127" w:type="dxa"/>
            <w:shd w:val="clear" w:color="auto" w:fill="EE7D11"/>
            <w:noWrap/>
            <w:vAlign w:val="center"/>
            <w:hideMark/>
          </w:tcPr>
          <w:p w:rsidR="00BD1E2E" w:rsidRPr="00E816F7" w:rsidRDefault="00BD1E2E" w:rsidP="0047470A">
            <w:pPr>
              <w:spacing w:after="0"/>
              <w:rPr>
                <w:rFonts w:cs="Tahoma"/>
                <w:b/>
                <w:color w:val="FFFFFF" w:themeColor="background1"/>
                <w:sz w:val="18"/>
                <w:szCs w:val="18"/>
                <w:lang w:val="it-IT"/>
              </w:rPr>
            </w:pPr>
            <w:r w:rsidRPr="00E816F7">
              <w:rPr>
                <w:rFonts w:cs="Tahoma"/>
                <w:b/>
                <w:color w:val="FFFFFF" w:themeColor="background1"/>
                <w:sz w:val="18"/>
                <w:szCs w:val="18"/>
                <w:lang w:val="it-IT"/>
              </w:rPr>
              <w:t>Classe durata mutuo (n° anni)</w:t>
            </w:r>
          </w:p>
        </w:tc>
        <w:tc>
          <w:tcPr>
            <w:tcW w:w="2410" w:type="dxa"/>
            <w:shd w:val="clear" w:color="auto" w:fill="EE7D11"/>
            <w:noWrap/>
            <w:vAlign w:val="center"/>
            <w:hideMark/>
          </w:tcPr>
          <w:p w:rsidR="00BD1E2E" w:rsidRDefault="00BD1E2E" w:rsidP="0047470A">
            <w:pPr>
              <w:spacing w:after="0"/>
              <w:jc w:val="center"/>
              <w:rPr>
                <w:rFonts w:cs="Tahoma"/>
                <w:b/>
                <w:color w:val="FFFFFF" w:themeColor="background1"/>
                <w:sz w:val="18"/>
                <w:szCs w:val="18"/>
                <w:lang w:val="it-IT"/>
              </w:rPr>
            </w:pPr>
            <w:r w:rsidRPr="00E816F7">
              <w:rPr>
                <w:rFonts w:cs="Tahoma"/>
                <w:b/>
                <w:color w:val="FFFFFF" w:themeColor="background1"/>
                <w:sz w:val="18"/>
                <w:szCs w:val="18"/>
                <w:lang w:val="it-IT"/>
              </w:rPr>
              <w:t xml:space="preserve">% distribuzione </w:t>
            </w:r>
          </w:p>
          <w:p w:rsidR="00BD1E2E" w:rsidRPr="00E816F7" w:rsidRDefault="00BD1E2E" w:rsidP="0047470A">
            <w:pPr>
              <w:spacing w:after="0"/>
              <w:jc w:val="center"/>
              <w:rPr>
                <w:rFonts w:cs="Tahoma"/>
                <w:b/>
                <w:color w:val="FFFFFF" w:themeColor="background1"/>
                <w:sz w:val="18"/>
                <w:szCs w:val="18"/>
                <w:lang w:val="it-IT"/>
              </w:rPr>
            </w:pPr>
            <w:r w:rsidRPr="00E816F7">
              <w:rPr>
                <w:rFonts w:cs="Tahoma"/>
                <w:b/>
                <w:color w:val="FFFFFF" w:themeColor="background1"/>
                <w:sz w:val="18"/>
                <w:szCs w:val="18"/>
                <w:lang w:val="it-IT"/>
              </w:rPr>
              <w:t>anno corrente</w:t>
            </w:r>
          </w:p>
        </w:tc>
      </w:tr>
      <w:tr w:rsidR="00BD1E2E" w:rsidRPr="00F446D0" w:rsidTr="0047470A">
        <w:trPr>
          <w:trHeight w:val="397"/>
          <w:jc w:val="center"/>
        </w:trPr>
        <w:tc>
          <w:tcPr>
            <w:tcW w:w="2127" w:type="dxa"/>
            <w:shd w:val="clear" w:color="auto" w:fill="F8CA9E" w:themeFill="text2" w:themeFillTint="66"/>
            <w:noWrap/>
            <w:vAlign w:val="center"/>
            <w:hideMark/>
          </w:tcPr>
          <w:p w:rsidR="00BD1E2E" w:rsidRPr="00E816F7" w:rsidRDefault="00BD1E2E" w:rsidP="0047470A">
            <w:pPr>
              <w:spacing w:after="0"/>
              <w:rPr>
                <w:rFonts w:cs="Tahoma"/>
                <w:sz w:val="18"/>
                <w:szCs w:val="18"/>
              </w:rPr>
            </w:pPr>
            <w:proofErr w:type="spellStart"/>
            <w:r w:rsidRPr="00E816F7">
              <w:rPr>
                <w:sz w:val="18"/>
                <w:szCs w:val="18"/>
              </w:rPr>
              <w:t>Fino</w:t>
            </w:r>
            <w:proofErr w:type="spellEnd"/>
            <w:r w:rsidRPr="00E816F7">
              <w:rPr>
                <w:sz w:val="18"/>
                <w:szCs w:val="18"/>
              </w:rPr>
              <w:t xml:space="preserve"> a 5 </w:t>
            </w:r>
          </w:p>
        </w:tc>
        <w:tc>
          <w:tcPr>
            <w:tcW w:w="2410" w:type="dxa"/>
            <w:shd w:val="clear" w:color="auto" w:fill="F8CA9E" w:themeFill="text2" w:themeFillTint="66"/>
            <w:noWrap/>
            <w:vAlign w:val="center"/>
          </w:tcPr>
          <w:p w:rsidR="00BD1E2E" w:rsidRPr="009B2F0C" w:rsidRDefault="00BD1E2E" w:rsidP="0047470A">
            <w:pPr>
              <w:spacing w:after="0"/>
              <w:jc w:val="center"/>
              <w:rPr>
                <w:sz w:val="18"/>
                <w:szCs w:val="18"/>
              </w:rPr>
            </w:pPr>
            <w:r>
              <w:rPr>
                <w:sz w:val="18"/>
                <w:szCs w:val="18"/>
              </w:rPr>
              <w:t>0,6</w:t>
            </w:r>
            <w:r w:rsidRPr="009B2F0C">
              <w:rPr>
                <w:sz w:val="18"/>
                <w:szCs w:val="18"/>
              </w:rPr>
              <w:t>%</w:t>
            </w:r>
          </w:p>
        </w:tc>
      </w:tr>
      <w:tr w:rsidR="00BD1E2E" w:rsidRPr="00F446D0" w:rsidTr="0047470A">
        <w:trPr>
          <w:trHeight w:val="397"/>
          <w:jc w:val="center"/>
        </w:trPr>
        <w:tc>
          <w:tcPr>
            <w:tcW w:w="2127" w:type="dxa"/>
            <w:shd w:val="clear" w:color="auto" w:fill="FBE4CE" w:themeFill="text2" w:themeFillTint="33"/>
            <w:noWrap/>
            <w:vAlign w:val="center"/>
            <w:hideMark/>
          </w:tcPr>
          <w:p w:rsidR="00BD1E2E" w:rsidRPr="00E816F7" w:rsidRDefault="00BD1E2E" w:rsidP="0047470A">
            <w:pPr>
              <w:spacing w:after="0"/>
              <w:rPr>
                <w:rFonts w:cs="Tahoma"/>
                <w:sz w:val="18"/>
                <w:szCs w:val="20"/>
              </w:rPr>
            </w:pPr>
            <w:r w:rsidRPr="00E816F7">
              <w:rPr>
                <w:sz w:val="18"/>
                <w:szCs w:val="20"/>
              </w:rPr>
              <w:t>6 – 10</w:t>
            </w:r>
          </w:p>
        </w:tc>
        <w:tc>
          <w:tcPr>
            <w:tcW w:w="2410" w:type="dxa"/>
            <w:shd w:val="clear" w:color="auto" w:fill="FBE4CE" w:themeFill="text2" w:themeFillTint="33"/>
            <w:noWrap/>
            <w:vAlign w:val="center"/>
          </w:tcPr>
          <w:p w:rsidR="00BD1E2E" w:rsidRPr="009B2F0C" w:rsidRDefault="00BD1E2E" w:rsidP="0047470A">
            <w:pPr>
              <w:spacing w:after="0"/>
              <w:jc w:val="center"/>
              <w:rPr>
                <w:sz w:val="18"/>
                <w:szCs w:val="18"/>
              </w:rPr>
            </w:pPr>
            <w:r w:rsidRPr="009B2F0C">
              <w:rPr>
                <w:sz w:val="18"/>
                <w:szCs w:val="18"/>
              </w:rPr>
              <w:t>10,</w:t>
            </w:r>
            <w:r>
              <w:rPr>
                <w:sz w:val="18"/>
                <w:szCs w:val="18"/>
              </w:rPr>
              <w:t>6</w:t>
            </w:r>
            <w:r w:rsidRPr="009B2F0C">
              <w:rPr>
                <w:sz w:val="18"/>
                <w:szCs w:val="18"/>
              </w:rPr>
              <w:t>%</w:t>
            </w:r>
          </w:p>
        </w:tc>
      </w:tr>
      <w:tr w:rsidR="00BD1E2E" w:rsidRPr="00F446D0" w:rsidTr="0047470A">
        <w:trPr>
          <w:trHeight w:val="397"/>
          <w:jc w:val="center"/>
        </w:trPr>
        <w:tc>
          <w:tcPr>
            <w:tcW w:w="2127" w:type="dxa"/>
            <w:shd w:val="clear" w:color="auto" w:fill="F8CA9E" w:themeFill="text2" w:themeFillTint="66"/>
            <w:noWrap/>
            <w:vAlign w:val="center"/>
            <w:hideMark/>
          </w:tcPr>
          <w:p w:rsidR="00BD1E2E" w:rsidRPr="00E816F7" w:rsidRDefault="00BD1E2E" w:rsidP="0047470A">
            <w:pPr>
              <w:spacing w:after="0"/>
              <w:rPr>
                <w:rFonts w:cs="Tahoma"/>
                <w:sz w:val="18"/>
                <w:szCs w:val="20"/>
              </w:rPr>
            </w:pPr>
            <w:r w:rsidRPr="00E816F7">
              <w:rPr>
                <w:sz w:val="18"/>
                <w:szCs w:val="20"/>
              </w:rPr>
              <w:t>11 – 15</w:t>
            </w:r>
          </w:p>
        </w:tc>
        <w:tc>
          <w:tcPr>
            <w:tcW w:w="2410" w:type="dxa"/>
            <w:shd w:val="clear" w:color="auto" w:fill="F8CA9E" w:themeFill="text2" w:themeFillTint="66"/>
            <w:noWrap/>
            <w:vAlign w:val="center"/>
          </w:tcPr>
          <w:p w:rsidR="00BD1E2E" w:rsidRPr="009B2F0C" w:rsidRDefault="00BD1E2E" w:rsidP="0047470A">
            <w:pPr>
              <w:spacing w:after="0"/>
              <w:jc w:val="center"/>
              <w:rPr>
                <w:sz w:val="18"/>
                <w:szCs w:val="18"/>
              </w:rPr>
            </w:pPr>
            <w:r w:rsidRPr="009B2F0C">
              <w:rPr>
                <w:sz w:val="18"/>
                <w:szCs w:val="18"/>
              </w:rPr>
              <w:t>1</w:t>
            </w:r>
            <w:r>
              <w:rPr>
                <w:sz w:val="18"/>
                <w:szCs w:val="18"/>
              </w:rPr>
              <w:t>6,4</w:t>
            </w:r>
            <w:r w:rsidRPr="009B2F0C">
              <w:rPr>
                <w:sz w:val="18"/>
                <w:szCs w:val="18"/>
              </w:rPr>
              <w:t>%</w:t>
            </w:r>
          </w:p>
        </w:tc>
      </w:tr>
      <w:tr w:rsidR="00BD1E2E" w:rsidRPr="00F446D0" w:rsidTr="0047470A">
        <w:trPr>
          <w:trHeight w:val="397"/>
          <w:jc w:val="center"/>
        </w:trPr>
        <w:tc>
          <w:tcPr>
            <w:tcW w:w="2127" w:type="dxa"/>
            <w:shd w:val="clear" w:color="auto" w:fill="FBE4CE" w:themeFill="text2" w:themeFillTint="33"/>
            <w:noWrap/>
            <w:vAlign w:val="center"/>
            <w:hideMark/>
          </w:tcPr>
          <w:p w:rsidR="00BD1E2E" w:rsidRPr="00E816F7" w:rsidRDefault="00BD1E2E" w:rsidP="0047470A">
            <w:pPr>
              <w:spacing w:after="0"/>
              <w:rPr>
                <w:rFonts w:cs="Tahoma"/>
                <w:sz w:val="18"/>
                <w:szCs w:val="20"/>
              </w:rPr>
            </w:pPr>
            <w:r w:rsidRPr="00E816F7">
              <w:rPr>
                <w:sz w:val="18"/>
                <w:szCs w:val="20"/>
              </w:rPr>
              <w:t>16 – 20</w:t>
            </w:r>
          </w:p>
        </w:tc>
        <w:tc>
          <w:tcPr>
            <w:tcW w:w="2410" w:type="dxa"/>
            <w:shd w:val="clear" w:color="auto" w:fill="FBE4CE" w:themeFill="text2" w:themeFillTint="33"/>
            <w:noWrap/>
            <w:vAlign w:val="center"/>
          </w:tcPr>
          <w:p w:rsidR="00BD1E2E" w:rsidRPr="009B2F0C" w:rsidRDefault="00BD1E2E" w:rsidP="0047470A">
            <w:pPr>
              <w:spacing w:after="0"/>
              <w:jc w:val="center"/>
              <w:rPr>
                <w:sz w:val="18"/>
                <w:szCs w:val="18"/>
              </w:rPr>
            </w:pPr>
            <w:r>
              <w:rPr>
                <w:sz w:val="18"/>
                <w:szCs w:val="18"/>
              </w:rPr>
              <w:t>25,9</w:t>
            </w:r>
            <w:r w:rsidRPr="009B2F0C">
              <w:rPr>
                <w:sz w:val="18"/>
                <w:szCs w:val="18"/>
              </w:rPr>
              <w:t>%</w:t>
            </w:r>
          </w:p>
        </w:tc>
      </w:tr>
      <w:tr w:rsidR="00BD1E2E" w:rsidRPr="00F446D0" w:rsidTr="0047470A">
        <w:trPr>
          <w:trHeight w:val="397"/>
          <w:jc w:val="center"/>
        </w:trPr>
        <w:tc>
          <w:tcPr>
            <w:tcW w:w="2127" w:type="dxa"/>
            <w:shd w:val="clear" w:color="auto" w:fill="F8CA9E" w:themeFill="text2" w:themeFillTint="66"/>
            <w:noWrap/>
            <w:vAlign w:val="center"/>
            <w:hideMark/>
          </w:tcPr>
          <w:p w:rsidR="00BD1E2E" w:rsidRPr="00E816F7" w:rsidRDefault="00BD1E2E" w:rsidP="0047470A">
            <w:pPr>
              <w:spacing w:after="0"/>
              <w:rPr>
                <w:rFonts w:cs="Tahoma"/>
                <w:sz w:val="18"/>
                <w:szCs w:val="20"/>
              </w:rPr>
            </w:pPr>
            <w:r w:rsidRPr="00E816F7">
              <w:rPr>
                <w:sz w:val="18"/>
                <w:szCs w:val="20"/>
              </w:rPr>
              <w:t>21 – 25</w:t>
            </w:r>
          </w:p>
        </w:tc>
        <w:tc>
          <w:tcPr>
            <w:tcW w:w="2410" w:type="dxa"/>
            <w:shd w:val="clear" w:color="auto" w:fill="F8CA9E" w:themeFill="text2" w:themeFillTint="66"/>
            <w:noWrap/>
            <w:vAlign w:val="center"/>
          </w:tcPr>
          <w:p w:rsidR="00BD1E2E" w:rsidRPr="009B2F0C" w:rsidRDefault="00BD1E2E" w:rsidP="0047470A">
            <w:pPr>
              <w:spacing w:after="0"/>
              <w:jc w:val="center"/>
              <w:rPr>
                <w:sz w:val="18"/>
                <w:szCs w:val="18"/>
              </w:rPr>
            </w:pPr>
            <w:r>
              <w:rPr>
                <w:sz w:val="18"/>
                <w:szCs w:val="18"/>
              </w:rPr>
              <w:t>22,0</w:t>
            </w:r>
            <w:r w:rsidRPr="009B2F0C">
              <w:rPr>
                <w:sz w:val="18"/>
                <w:szCs w:val="18"/>
              </w:rPr>
              <w:t>%</w:t>
            </w:r>
          </w:p>
        </w:tc>
      </w:tr>
      <w:tr w:rsidR="00BD1E2E" w:rsidRPr="00F446D0" w:rsidTr="0047470A">
        <w:trPr>
          <w:trHeight w:val="397"/>
          <w:jc w:val="center"/>
        </w:trPr>
        <w:tc>
          <w:tcPr>
            <w:tcW w:w="2127" w:type="dxa"/>
            <w:shd w:val="clear" w:color="auto" w:fill="FBE4CE" w:themeFill="text2" w:themeFillTint="33"/>
            <w:noWrap/>
            <w:vAlign w:val="center"/>
            <w:hideMark/>
          </w:tcPr>
          <w:p w:rsidR="00BD1E2E" w:rsidRPr="00E816F7" w:rsidRDefault="00BD1E2E" w:rsidP="0047470A">
            <w:pPr>
              <w:spacing w:after="0"/>
              <w:rPr>
                <w:rFonts w:cs="Tahoma"/>
                <w:sz w:val="18"/>
                <w:szCs w:val="20"/>
              </w:rPr>
            </w:pPr>
            <w:r w:rsidRPr="00E816F7">
              <w:rPr>
                <w:sz w:val="18"/>
                <w:szCs w:val="20"/>
              </w:rPr>
              <w:t>26 – 30</w:t>
            </w:r>
          </w:p>
        </w:tc>
        <w:tc>
          <w:tcPr>
            <w:tcW w:w="2410" w:type="dxa"/>
            <w:shd w:val="clear" w:color="auto" w:fill="FBE4CE" w:themeFill="text2" w:themeFillTint="33"/>
            <w:noWrap/>
            <w:vAlign w:val="center"/>
          </w:tcPr>
          <w:p w:rsidR="00BD1E2E" w:rsidRPr="009B2F0C" w:rsidRDefault="00BD1E2E" w:rsidP="0047470A">
            <w:pPr>
              <w:spacing w:after="0"/>
              <w:jc w:val="center"/>
              <w:rPr>
                <w:sz w:val="18"/>
                <w:szCs w:val="18"/>
              </w:rPr>
            </w:pPr>
            <w:r w:rsidRPr="009B2F0C">
              <w:rPr>
                <w:sz w:val="18"/>
                <w:szCs w:val="18"/>
              </w:rPr>
              <w:t>22,</w:t>
            </w:r>
            <w:r>
              <w:rPr>
                <w:sz w:val="18"/>
                <w:szCs w:val="18"/>
              </w:rPr>
              <w:t>4</w:t>
            </w:r>
            <w:r w:rsidRPr="009B2F0C">
              <w:rPr>
                <w:sz w:val="18"/>
                <w:szCs w:val="18"/>
              </w:rPr>
              <w:t>%</w:t>
            </w:r>
          </w:p>
        </w:tc>
      </w:tr>
      <w:tr w:rsidR="00BD1E2E" w:rsidRPr="00F446D0" w:rsidTr="0047470A">
        <w:trPr>
          <w:trHeight w:val="397"/>
          <w:jc w:val="center"/>
        </w:trPr>
        <w:tc>
          <w:tcPr>
            <w:tcW w:w="2127" w:type="dxa"/>
            <w:shd w:val="clear" w:color="auto" w:fill="F8CA9E" w:themeFill="text2" w:themeFillTint="66"/>
            <w:noWrap/>
            <w:vAlign w:val="center"/>
            <w:hideMark/>
          </w:tcPr>
          <w:p w:rsidR="00BD1E2E" w:rsidRPr="00E816F7" w:rsidRDefault="00BD1E2E" w:rsidP="0047470A">
            <w:pPr>
              <w:spacing w:after="0"/>
              <w:rPr>
                <w:rFonts w:cs="Tahoma"/>
                <w:sz w:val="18"/>
                <w:szCs w:val="20"/>
              </w:rPr>
            </w:pPr>
            <w:proofErr w:type="spellStart"/>
            <w:r w:rsidRPr="00E816F7">
              <w:rPr>
                <w:sz w:val="18"/>
                <w:szCs w:val="20"/>
              </w:rPr>
              <w:t>Oltre</w:t>
            </w:r>
            <w:proofErr w:type="spellEnd"/>
            <w:r w:rsidRPr="00E816F7">
              <w:rPr>
                <w:sz w:val="18"/>
                <w:szCs w:val="20"/>
              </w:rPr>
              <w:t xml:space="preserve"> 30</w:t>
            </w:r>
          </w:p>
        </w:tc>
        <w:tc>
          <w:tcPr>
            <w:tcW w:w="2410" w:type="dxa"/>
            <w:shd w:val="clear" w:color="auto" w:fill="F8CA9E" w:themeFill="text2" w:themeFillTint="66"/>
            <w:noWrap/>
            <w:vAlign w:val="center"/>
          </w:tcPr>
          <w:p w:rsidR="00BD1E2E" w:rsidRPr="009B2F0C" w:rsidRDefault="00BD1E2E" w:rsidP="0047470A">
            <w:pPr>
              <w:spacing w:after="0"/>
              <w:jc w:val="center"/>
              <w:rPr>
                <w:sz w:val="18"/>
                <w:szCs w:val="18"/>
              </w:rPr>
            </w:pPr>
            <w:r w:rsidRPr="009B2F0C">
              <w:rPr>
                <w:sz w:val="18"/>
                <w:szCs w:val="18"/>
              </w:rPr>
              <w:t>2,1%</w:t>
            </w:r>
          </w:p>
        </w:tc>
      </w:tr>
    </w:tbl>
    <w:p w:rsidR="00BD1E2E" w:rsidRDefault="00BD1E2E" w:rsidP="00BD1E2E">
      <w:pPr>
        <w:pStyle w:val="CRIFCaption"/>
        <w:jc w:val="center"/>
        <w:rPr>
          <w:lang w:val="it-IT"/>
        </w:rPr>
      </w:pPr>
      <w:r w:rsidRPr="00160603">
        <w:rPr>
          <w:lang w:val="it-IT"/>
        </w:rPr>
        <w:t>Fonte: EURISC – Il Sistema CRIF di Informazioni Creditizie</w:t>
      </w:r>
    </w:p>
    <w:p w:rsidR="00BD1E2E" w:rsidRPr="00683D80" w:rsidRDefault="00BD1E2E" w:rsidP="00BD1E2E">
      <w:pPr>
        <w:pStyle w:val="CRIFTitle2"/>
      </w:pPr>
      <w:r w:rsidRPr="004C1C04">
        <w:t>L</w:t>
      </w:r>
      <w:r>
        <w:t>a distribuzione delle richieste di mutuo per fascia di età</w:t>
      </w:r>
      <w:r w:rsidRPr="00683D80">
        <w:t xml:space="preserve"> </w:t>
      </w:r>
    </w:p>
    <w:p w:rsidR="00BD1E2E" w:rsidRDefault="00BD1E2E" w:rsidP="00BD1E2E">
      <w:pPr>
        <w:pStyle w:val="CRIFBodyText"/>
        <w:rPr>
          <w:lang w:val="it-IT"/>
        </w:rPr>
      </w:pPr>
      <w:r>
        <w:rPr>
          <w:lang w:val="it-IT"/>
        </w:rPr>
        <w:t>Analizzando la</w:t>
      </w:r>
      <w:r w:rsidRPr="003C5133">
        <w:rPr>
          <w:lang w:val="it-IT"/>
        </w:rPr>
        <w:t xml:space="preserve"> distribuzione delle interrogazioni in relazione all’età del richiedente,</w:t>
      </w:r>
      <w:r>
        <w:rPr>
          <w:lang w:val="it-IT"/>
        </w:rPr>
        <w:t xml:space="preserve"> anche in questo caso si osserva uno scenario pressoché stabile rispetto all’anno precedente, con al primo posto </w:t>
      </w:r>
      <w:r w:rsidRPr="003C5133">
        <w:rPr>
          <w:b/>
          <w:lang w:val="it-IT"/>
        </w:rPr>
        <w:t>la fascia compresa tra i 35 e i 44 anni</w:t>
      </w:r>
      <w:r>
        <w:rPr>
          <w:lang w:val="it-IT"/>
        </w:rPr>
        <w:t xml:space="preserve"> </w:t>
      </w:r>
      <w:r w:rsidRPr="00191A69">
        <w:rPr>
          <w:b/>
          <w:lang w:val="it-IT"/>
        </w:rPr>
        <w:t>che nel 2018 spiega il</w:t>
      </w:r>
      <w:r>
        <w:rPr>
          <w:lang w:val="it-IT"/>
        </w:rPr>
        <w:t xml:space="preserve"> </w:t>
      </w:r>
      <w:r w:rsidRPr="003C5133">
        <w:rPr>
          <w:b/>
          <w:lang w:val="it-IT"/>
        </w:rPr>
        <w:t>35,</w:t>
      </w:r>
      <w:r>
        <w:rPr>
          <w:b/>
          <w:lang w:val="it-IT"/>
        </w:rPr>
        <w:t>1</w:t>
      </w:r>
      <w:r w:rsidRPr="003C5133">
        <w:rPr>
          <w:b/>
          <w:lang w:val="it-IT"/>
        </w:rPr>
        <w:t>%</w:t>
      </w:r>
      <w:r w:rsidRPr="003C5133">
        <w:rPr>
          <w:lang w:val="it-IT"/>
        </w:rPr>
        <w:t xml:space="preserve"> del </w:t>
      </w:r>
      <w:r w:rsidRPr="003C5133">
        <w:rPr>
          <w:lang w:val="it-IT"/>
        </w:rPr>
        <w:lastRenderedPageBreak/>
        <w:t>totale</w:t>
      </w:r>
      <w:r>
        <w:rPr>
          <w:lang w:val="it-IT"/>
        </w:rPr>
        <w:t xml:space="preserve"> malgrado una riduzione di </w:t>
      </w:r>
      <w:r w:rsidRPr="003C5133">
        <w:rPr>
          <w:lang w:val="it-IT"/>
        </w:rPr>
        <w:t>-0,</w:t>
      </w:r>
      <w:r>
        <w:rPr>
          <w:lang w:val="it-IT"/>
        </w:rPr>
        <w:t>9</w:t>
      </w:r>
      <w:r w:rsidRPr="003C5133">
        <w:rPr>
          <w:lang w:val="it-IT"/>
        </w:rPr>
        <w:t xml:space="preserve"> punti percentuali rispetto al</w:t>
      </w:r>
      <w:r>
        <w:rPr>
          <w:lang w:val="it-IT"/>
        </w:rPr>
        <w:t xml:space="preserve"> precedente periodo di osservazione.</w:t>
      </w:r>
      <w:r w:rsidR="002B41C5">
        <w:rPr>
          <w:lang w:val="it-IT"/>
        </w:rPr>
        <w:t xml:space="preserve"> </w:t>
      </w:r>
      <w:r>
        <w:rPr>
          <w:lang w:val="it-IT"/>
        </w:rPr>
        <w:t xml:space="preserve">Da rimarcare, invece, il progressivo </w:t>
      </w:r>
      <w:r>
        <w:rPr>
          <w:b/>
          <w:lang w:val="it-IT"/>
        </w:rPr>
        <w:t>au</w:t>
      </w:r>
      <w:r w:rsidRPr="00191A69">
        <w:rPr>
          <w:b/>
          <w:lang w:val="it-IT"/>
        </w:rPr>
        <w:t>mento delle richieste di mutuo presentate dagli</w:t>
      </w:r>
      <w:r>
        <w:rPr>
          <w:lang w:val="it-IT"/>
        </w:rPr>
        <w:t xml:space="preserve"> </w:t>
      </w:r>
      <w:r w:rsidRPr="00502B1E">
        <w:rPr>
          <w:b/>
          <w:lang w:val="it-IT"/>
        </w:rPr>
        <w:t>under 35</w:t>
      </w:r>
      <w:r w:rsidRPr="00191A69">
        <w:rPr>
          <w:lang w:val="it-IT"/>
        </w:rPr>
        <w:t xml:space="preserve">, la cui incidenza cresce </w:t>
      </w:r>
      <w:r>
        <w:rPr>
          <w:lang w:val="it-IT"/>
        </w:rPr>
        <w:t>di +0,4 punti percentuali arrivando a spiegare il 27,5% del totale.</w:t>
      </w:r>
    </w:p>
    <w:tbl>
      <w:tblPr>
        <w:tblW w:w="458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BE4CE" w:themeFill="text2" w:themeFillTint="33"/>
        <w:tblCellMar>
          <w:left w:w="70" w:type="dxa"/>
          <w:right w:w="70" w:type="dxa"/>
        </w:tblCellMar>
        <w:tblLook w:val="04A0"/>
      </w:tblPr>
      <w:tblGrid>
        <w:gridCol w:w="2122"/>
        <w:gridCol w:w="2458"/>
      </w:tblGrid>
      <w:tr w:rsidR="00BD1E2E" w:rsidRPr="00F446D0" w:rsidTr="0047470A">
        <w:trPr>
          <w:trHeight w:val="270"/>
          <w:jc w:val="center"/>
        </w:trPr>
        <w:tc>
          <w:tcPr>
            <w:tcW w:w="2122" w:type="dxa"/>
            <w:shd w:val="clear" w:color="auto" w:fill="EE7D11"/>
            <w:noWrap/>
            <w:vAlign w:val="center"/>
            <w:hideMark/>
          </w:tcPr>
          <w:p w:rsidR="00BD1E2E" w:rsidRPr="00E816F7" w:rsidRDefault="00BD1E2E" w:rsidP="0047470A">
            <w:pPr>
              <w:spacing w:after="0"/>
              <w:rPr>
                <w:rFonts w:cs="Tahoma"/>
                <w:b/>
                <w:color w:val="FFFFFF" w:themeColor="background1"/>
                <w:sz w:val="18"/>
                <w:szCs w:val="18"/>
              </w:rPr>
            </w:pPr>
            <w:proofErr w:type="spellStart"/>
            <w:r w:rsidRPr="00E816F7">
              <w:rPr>
                <w:rFonts w:cs="Tahoma"/>
                <w:b/>
                <w:color w:val="FFFFFF" w:themeColor="background1"/>
                <w:sz w:val="18"/>
                <w:szCs w:val="18"/>
              </w:rPr>
              <w:t>Classe</w:t>
            </w:r>
            <w:proofErr w:type="spellEnd"/>
            <w:r w:rsidRPr="00E816F7">
              <w:rPr>
                <w:rFonts w:cs="Tahoma"/>
                <w:b/>
                <w:color w:val="FFFFFF" w:themeColor="background1"/>
                <w:sz w:val="18"/>
                <w:szCs w:val="18"/>
              </w:rPr>
              <w:t xml:space="preserve"> </w:t>
            </w:r>
            <w:proofErr w:type="spellStart"/>
            <w:r w:rsidRPr="00E816F7">
              <w:rPr>
                <w:rFonts w:cs="Tahoma"/>
                <w:b/>
                <w:color w:val="FFFFFF" w:themeColor="background1"/>
                <w:sz w:val="18"/>
                <w:szCs w:val="18"/>
              </w:rPr>
              <w:t>Età</w:t>
            </w:r>
            <w:proofErr w:type="spellEnd"/>
          </w:p>
        </w:tc>
        <w:tc>
          <w:tcPr>
            <w:tcW w:w="2458" w:type="dxa"/>
            <w:shd w:val="clear" w:color="auto" w:fill="EE7D11"/>
            <w:noWrap/>
            <w:vAlign w:val="center"/>
            <w:hideMark/>
          </w:tcPr>
          <w:p w:rsidR="00BD1E2E" w:rsidRPr="00E816F7" w:rsidRDefault="00BD1E2E" w:rsidP="0047470A">
            <w:pPr>
              <w:spacing w:after="0"/>
              <w:jc w:val="center"/>
              <w:rPr>
                <w:rFonts w:cs="Tahoma"/>
                <w:b/>
                <w:color w:val="FFFFFF" w:themeColor="background1"/>
                <w:sz w:val="18"/>
                <w:szCs w:val="18"/>
                <w:lang w:val="it-IT"/>
              </w:rPr>
            </w:pPr>
            <w:r w:rsidRPr="00E816F7">
              <w:rPr>
                <w:rFonts w:cs="Tahoma"/>
                <w:b/>
                <w:color w:val="FFFFFF" w:themeColor="background1"/>
                <w:sz w:val="18"/>
                <w:szCs w:val="18"/>
                <w:lang w:val="it-IT"/>
              </w:rPr>
              <w:t xml:space="preserve">% distribuzione </w:t>
            </w:r>
          </w:p>
          <w:p w:rsidR="00BD1E2E" w:rsidRPr="00E816F7" w:rsidRDefault="00BD1E2E" w:rsidP="0047470A">
            <w:pPr>
              <w:spacing w:after="0"/>
              <w:jc w:val="center"/>
              <w:rPr>
                <w:rFonts w:cs="Tahoma"/>
                <w:b/>
                <w:color w:val="FFFFFF" w:themeColor="background1"/>
                <w:sz w:val="18"/>
                <w:szCs w:val="18"/>
              </w:rPr>
            </w:pPr>
            <w:r w:rsidRPr="00E816F7">
              <w:rPr>
                <w:rFonts w:cs="Tahoma"/>
                <w:b/>
                <w:color w:val="FFFFFF" w:themeColor="background1"/>
                <w:sz w:val="18"/>
                <w:szCs w:val="18"/>
                <w:lang w:val="it-IT"/>
              </w:rPr>
              <w:t>anno corrente</w:t>
            </w:r>
          </w:p>
        </w:tc>
      </w:tr>
      <w:tr w:rsidR="00BD1E2E" w:rsidRPr="00F446D0" w:rsidTr="0047470A">
        <w:trPr>
          <w:trHeight w:val="397"/>
          <w:jc w:val="center"/>
        </w:trPr>
        <w:tc>
          <w:tcPr>
            <w:tcW w:w="2122" w:type="dxa"/>
            <w:shd w:val="clear" w:color="auto" w:fill="F8CA9E" w:themeFill="text2" w:themeFillTint="66"/>
            <w:noWrap/>
            <w:vAlign w:val="center"/>
            <w:hideMark/>
          </w:tcPr>
          <w:p w:rsidR="00BD1E2E" w:rsidRPr="00250578" w:rsidRDefault="00BD1E2E" w:rsidP="0047470A">
            <w:pPr>
              <w:spacing w:after="0"/>
              <w:rPr>
                <w:rFonts w:cs="Tahoma"/>
                <w:sz w:val="18"/>
                <w:szCs w:val="20"/>
              </w:rPr>
            </w:pPr>
            <w:r w:rsidRPr="00250578">
              <w:rPr>
                <w:rFonts w:cs="Tahoma"/>
                <w:sz w:val="18"/>
                <w:szCs w:val="20"/>
              </w:rPr>
              <w:t xml:space="preserve">18-24 </w:t>
            </w:r>
            <w:proofErr w:type="spellStart"/>
            <w:r w:rsidRPr="00250578">
              <w:rPr>
                <w:rFonts w:cs="Tahoma"/>
                <w:sz w:val="18"/>
                <w:szCs w:val="20"/>
              </w:rPr>
              <w:t>anni</w:t>
            </w:r>
            <w:proofErr w:type="spellEnd"/>
          </w:p>
        </w:tc>
        <w:tc>
          <w:tcPr>
            <w:tcW w:w="2458" w:type="dxa"/>
            <w:shd w:val="clear" w:color="auto" w:fill="F8CA9E" w:themeFill="text2" w:themeFillTint="66"/>
            <w:noWrap/>
            <w:vAlign w:val="center"/>
          </w:tcPr>
          <w:p w:rsidR="00BD1E2E" w:rsidRPr="00BC2358" w:rsidRDefault="00BD1E2E" w:rsidP="0047470A">
            <w:pPr>
              <w:spacing w:after="0"/>
              <w:jc w:val="center"/>
              <w:rPr>
                <w:rFonts w:cs="Tahoma"/>
                <w:sz w:val="18"/>
                <w:szCs w:val="20"/>
              </w:rPr>
            </w:pPr>
            <w:r>
              <w:rPr>
                <w:rFonts w:cs="Tahoma"/>
                <w:sz w:val="18"/>
                <w:szCs w:val="20"/>
              </w:rPr>
              <w:t>2,4</w:t>
            </w:r>
            <w:r w:rsidRPr="00BC2358">
              <w:rPr>
                <w:rFonts w:cs="Tahoma"/>
                <w:sz w:val="18"/>
                <w:szCs w:val="20"/>
              </w:rPr>
              <w:t>%</w:t>
            </w:r>
          </w:p>
        </w:tc>
      </w:tr>
      <w:tr w:rsidR="00BD1E2E" w:rsidRPr="00F446D0" w:rsidTr="0047470A">
        <w:trPr>
          <w:trHeight w:val="397"/>
          <w:jc w:val="center"/>
        </w:trPr>
        <w:tc>
          <w:tcPr>
            <w:tcW w:w="2122" w:type="dxa"/>
            <w:shd w:val="clear" w:color="auto" w:fill="FBE4CE" w:themeFill="text2" w:themeFillTint="33"/>
            <w:noWrap/>
            <w:vAlign w:val="center"/>
            <w:hideMark/>
          </w:tcPr>
          <w:p w:rsidR="00BD1E2E" w:rsidRPr="00250578" w:rsidRDefault="00BD1E2E" w:rsidP="0047470A">
            <w:pPr>
              <w:spacing w:after="0"/>
              <w:rPr>
                <w:rFonts w:cs="Tahoma"/>
                <w:sz w:val="18"/>
                <w:szCs w:val="20"/>
              </w:rPr>
            </w:pPr>
            <w:r w:rsidRPr="00250578">
              <w:rPr>
                <w:rFonts w:cs="Tahoma"/>
                <w:sz w:val="18"/>
                <w:szCs w:val="20"/>
              </w:rPr>
              <w:t xml:space="preserve">25-34 </w:t>
            </w:r>
            <w:proofErr w:type="spellStart"/>
            <w:r w:rsidRPr="00250578">
              <w:rPr>
                <w:rFonts w:cs="Tahoma"/>
                <w:sz w:val="18"/>
                <w:szCs w:val="20"/>
              </w:rPr>
              <w:t>anni</w:t>
            </w:r>
            <w:proofErr w:type="spellEnd"/>
          </w:p>
        </w:tc>
        <w:tc>
          <w:tcPr>
            <w:tcW w:w="2458" w:type="dxa"/>
            <w:shd w:val="clear" w:color="auto" w:fill="FBE4CE" w:themeFill="text2" w:themeFillTint="33"/>
            <w:noWrap/>
            <w:vAlign w:val="center"/>
          </w:tcPr>
          <w:p w:rsidR="00BD1E2E" w:rsidRPr="00BC2358" w:rsidRDefault="00BD1E2E" w:rsidP="0047470A">
            <w:pPr>
              <w:spacing w:after="0"/>
              <w:jc w:val="center"/>
              <w:rPr>
                <w:rFonts w:cs="Tahoma"/>
                <w:sz w:val="18"/>
                <w:szCs w:val="20"/>
              </w:rPr>
            </w:pPr>
            <w:r>
              <w:rPr>
                <w:rFonts w:cs="Tahoma"/>
                <w:sz w:val="18"/>
                <w:szCs w:val="20"/>
              </w:rPr>
              <w:t>25,1</w:t>
            </w:r>
            <w:r w:rsidRPr="00BC2358">
              <w:rPr>
                <w:rFonts w:cs="Tahoma"/>
                <w:sz w:val="18"/>
                <w:szCs w:val="20"/>
              </w:rPr>
              <w:t>%</w:t>
            </w:r>
          </w:p>
        </w:tc>
      </w:tr>
      <w:tr w:rsidR="00BD1E2E" w:rsidRPr="00F446D0" w:rsidTr="0047470A">
        <w:trPr>
          <w:trHeight w:val="397"/>
          <w:jc w:val="center"/>
        </w:trPr>
        <w:tc>
          <w:tcPr>
            <w:tcW w:w="2122" w:type="dxa"/>
            <w:shd w:val="clear" w:color="auto" w:fill="F8CA9E" w:themeFill="text2" w:themeFillTint="66"/>
            <w:noWrap/>
            <w:vAlign w:val="center"/>
            <w:hideMark/>
          </w:tcPr>
          <w:p w:rsidR="00BD1E2E" w:rsidRPr="00250578" w:rsidRDefault="00BD1E2E" w:rsidP="0047470A">
            <w:pPr>
              <w:spacing w:after="0"/>
              <w:rPr>
                <w:rFonts w:cs="Tahoma"/>
                <w:sz w:val="18"/>
                <w:szCs w:val="20"/>
              </w:rPr>
            </w:pPr>
            <w:r w:rsidRPr="00250578">
              <w:rPr>
                <w:rFonts w:cs="Tahoma"/>
                <w:sz w:val="18"/>
                <w:szCs w:val="20"/>
              </w:rPr>
              <w:t xml:space="preserve">35-44 </w:t>
            </w:r>
            <w:proofErr w:type="spellStart"/>
            <w:r w:rsidRPr="00250578">
              <w:rPr>
                <w:rFonts w:cs="Tahoma"/>
                <w:sz w:val="18"/>
                <w:szCs w:val="20"/>
              </w:rPr>
              <w:t>anni</w:t>
            </w:r>
            <w:proofErr w:type="spellEnd"/>
          </w:p>
        </w:tc>
        <w:tc>
          <w:tcPr>
            <w:tcW w:w="2458" w:type="dxa"/>
            <w:shd w:val="clear" w:color="auto" w:fill="F8CA9E" w:themeFill="text2" w:themeFillTint="66"/>
            <w:noWrap/>
            <w:vAlign w:val="center"/>
          </w:tcPr>
          <w:p w:rsidR="00BD1E2E" w:rsidRPr="00BC2358" w:rsidRDefault="00BD1E2E" w:rsidP="0047470A">
            <w:pPr>
              <w:spacing w:after="0"/>
              <w:jc w:val="center"/>
              <w:rPr>
                <w:rFonts w:cs="Tahoma"/>
                <w:sz w:val="18"/>
                <w:szCs w:val="20"/>
              </w:rPr>
            </w:pPr>
            <w:r w:rsidRPr="00BC2358">
              <w:rPr>
                <w:rFonts w:cs="Tahoma"/>
                <w:sz w:val="18"/>
                <w:szCs w:val="20"/>
              </w:rPr>
              <w:t>3</w:t>
            </w:r>
            <w:r>
              <w:rPr>
                <w:rFonts w:cs="Tahoma"/>
                <w:sz w:val="18"/>
                <w:szCs w:val="20"/>
              </w:rPr>
              <w:t>4</w:t>
            </w:r>
            <w:r w:rsidRPr="00BC2358">
              <w:rPr>
                <w:rFonts w:cs="Tahoma"/>
                <w:sz w:val="18"/>
                <w:szCs w:val="20"/>
              </w:rPr>
              <w:t>,</w:t>
            </w:r>
            <w:r>
              <w:rPr>
                <w:rFonts w:cs="Tahoma"/>
                <w:sz w:val="18"/>
                <w:szCs w:val="20"/>
              </w:rPr>
              <w:t>4</w:t>
            </w:r>
            <w:r w:rsidRPr="00BC2358">
              <w:rPr>
                <w:rFonts w:cs="Tahoma"/>
                <w:sz w:val="18"/>
                <w:szCs w:val="20"/>
              </w:rPr>
              <w:t>%</w:t>
            </w:r>
          </w:p>
        </w:tc>
      </w:tr>
      <w:tr w:rsidR="00BD1E2E" w:rsidRPr="00F446D0" w:rsidTr="0047470A">
        <w:trPr>
          <w:trHeight w:val="397"/>
          <w:jc w:val="center"/>
        </w:trPr>
        <w:tc>
          <w:tcPr>
            <w:tcW w:w="2122" w:type="dxa"/>
            <w:shd w:val="clear" w:color="auto" w:fill="FBE4CE" w:themeFill="text2" w:themeFillTint="33"/>
            <w:noWrap/>
            <w:vAlign w:val="center"/>
            <w:hideMark/>
          </w:tcPr>
          <w:p w:rsidR="00BD1E2E" w:rsidRPr="00250578" w:rsidRDefault="00BD1E2E" w:rsidP="0047470A">
            <w:pPr>
              <w:spacing w:after="0"/>
              <w:rPr>
                <w:rFonts w:cs="Tahoma"/>
                <w:sz w:val="18"/>
                <w:szCs w:val="20"/>
              </w:rPr>
            </w:pPr>
            <w:r w:rsidRPr="00250578">
              <w:rPr>
                <w:rFonts w:cs="Tahoma"/>
                <w:sz w:val="18"/>
                <w:szCs w:val="20"/>
              </w:rPr>
              <w:t xml:space="preserve">45-54 </w:t>
            </w:r>
            <w:proofErr w:type="spellStart"/>
            <w:r w:rsidRPr="00250578">
              <w:rPr>
                <w:rFonts w:cs="Tahoma"/>
                <w:sz w:val="18"/>
                <w:szCs w:val="20"/>
              </w:rPr>
              <w:t>anni</w:t>
            </w:r>
            <w:proofErr w:type="spellEnd"/>
          </w:p>
        </w:tc>
        <w:tc>
          <w:tcPr>
            <w:tcW w:w="2458" w:type="dxa"/>
            <w:shd w:val="clear" w:color="auto" w:fill="FBE4CE" w:themeFill="text2" w:themeFillTint="33"/>
            <w:noWrap/>
            <w:vAlign w:val="center"/>
          </w:tcPr>
          <w:p w:rsidR="00BD1E2E" w:rsidRPr="00BC2358" w:rsidRDefault="00BD1E2E" w:rsidP="0047470A">
            <w:pPr>
              <w:spacing w:after="0"/>
              <w:jc w:val="center"/>
              <w:rPr>
                <w:rFonts w:cs="Tahoma"/>
                <w:sz w:val="18"/>
                <w:szCs w:val="20"/>
              </w:rPr>
            </w:pPr>
            <w:r>
              <w:rPr>
                <w:rFonts w:cs="Tahoma"/>
                <w:sz w:val="18"/>
                <w:szCs w:val="20"/>
              </w:rPr>
              <w:t>24,3</w:t>
            </w:r>
            <w:r w:rsidRPr="00BC2358">
              <w:rPr>
                <w:rFonts w:cs="Tahoma"/>
                <w:sz w:val="18"/>
                <w:szCs w:val="20"/>
              </w:rPr>
              <w:t>%</w:t>
            </w:r>
          </w:p>
        </w:tc>
      </w:tr>
      <w:tr w:rsidR="00BD1E2E" w:rsidRPr="00F446D0" w:rsidTr="0047470A">
        <w:trPr>
          <w:trHeight w:val="397"/>
          <w:jc w:val="center"/>
        </w:trPr>
        <w:tc>
          <w:tcPr>
            <w:tcW w:w="2122" w:type="dxa"/>
            <w:shd w:val="clear" w:color="auto" w:fill="F8CA9E" w:themeFill="text2" w:themeFillTint="66"/>
            <w:noWrap/>
            <w:vAlign w:val="center"/>
            <w:hideMark/>
          </w:tcPr>
          <w:p w:rsidR="00BD1E2E" w:rsidRPr="00250578" w:rsidRDefault="00BD1E2E" w:rsidP="0047470A">
            <w:pPr>
              <w:spacing w:after="0"/>
              <w:rPr>
                <w:rFonts w:cs="Tahoma"/>
                <w:sz w:val="18"/>
                <w:szCs w:val="20"/>
              </w:rPr>
            </w:pPr>
            <w:r w:rsidRPr="00250578">
              <w:rPr>
                <w:rFonts w:cs="Tahoma"/>
                <w:sz w:val="18"/>
                <w:szCs w:val="20"/>
              </w:rPr>
              <w:t xml:space="preserve">55-64 </w:t>
            </w:r>
            <w:proofErr w:type="spellStart"/>
            <w:r w:rsidRPr="00250578">
              <w:rPr>
                <w:rFonts w:cs="Tahoma"/>
                <w:sz w:val="18"/>
                <w:szCs w:val="20"/>
              </w:rPr>
              <w:t>anni</w:t>
            </w:r>
            <w:proofErr w:type="spellEnd"/>
          </w:p>
        </w:tc>
        <w:tc>
          <w:tcPr>
            <w:tcW w:w="2458" w:type="dxa"/>
            <w:shd w:val="clear" w:color="auto" w:fill="F8CA9E" w:themeFill="text2" w:themeFillTint="66"/>
            <w:noWrap/>
            <w:vAlign w:val="center"/>
          </w:tcPr>
          <w:p w:rsidR="00BD1E2E" w:rsidRPr="00BC2358" w:rsidRDefault="00BD1E2E" w:rsidP="0047470A">
            <w:pPr>
              <w:spacing w:after="0"/>
              <w:jc w:val="center"/>
              <w:rPr>
                <w:rFonts w:cs="Tahoma"/>
                <w:sz w:val="18"/>
                <w:szCs w:val="20"/>
              </w:rPr>
            </w:pPr>
            <w:r w:rsidRPr="00BC2358">
              <w:rPr>
                <w:rFonts w:cs="Tahoma"/>
                <w:sz w:val="18"/>
                <w:szCs w:val="20"/>
              </w:rPr>
              <w:t>10,</w:t>
            </w:r>
            <w:r>
              <w:rPr>
                <w:rFonts w:cs="Tahoma"/>
                <w:sz w:val="18"/>
                <w:szCs w:val="20"/>
              </w:rPr>
              <w:t>9</w:t>
            </w:r>
            <w:r w:rsidRPr="00BC2358">
              <w:rPr>
                <w:rFonts w:cs="Tahoma"/>
                <w:sz w:val="18"/>
                <w:szCs w:val="20"/>
              </w:rPr>
              <w:t>%</w:t>
            </w:r>
          </w:p>
        </w:tc>
      </w:tr>
      <w:tr w:rsidR="00BD1E2E" w:rsidRPr="00F446D0" w:rsidTr="0047470A">
        <w:trPr>
          <w:trHeight w:val="397"/>
          <w:jc w:val="center"/>
        </w:trPr>
        <w:tc>
          <w:tcPr>
            <w:tcW w:w="2122" w:type="dxa"/>
            <w:shd w:val="clear" w:color="auto" w:fill="FBE4CE" w:themeFill="text2" w:themeFillTint="33"/>
            <w:noWrap/>
            <w:vAlign w:val="center"/>
            <w:hideMark/>
          </w:tcPr>
          <w:p w:rsidR="00BD1E2E" w:rsidRPr="00250578" w:rsidRDefault="00BD1E2E" w:rsidP="0047470A">
            <w:pPr>
              <w:spacing w:after="0"/>
              <w:rPr>
                <w:rFonts w:cs="Tahoma"/>
                <w:sz w:val="18"/>
                <w:szCs w:val="20"/>
              </w:rPr>
            </w:pPr>
            <w:r w:rsidRPr="00250578">
              <w:rPr>
                <w:rFonts w:cs="Tahoma"/>
                <w:sz w:val="18"/>
                <w:szCs w:val="20"/>
              </w:rPr>
              <w:t xml:space="preserve">65-74 </w:t>
            </w:r>
            <w:proofErr w:type="spellStart"/>
            <w:r w:rsidRPr="00250578">
              <w:rPr>
                <w:rFonts w:cs="Tahoma"/>
                <w:sz w:val="18"/>
                <w:szCs w:val="20"/>
              </w:rPr>
              <w:t>anni</w:t>
            </w:r>
            <w:proofErr w:type="spellEnd"/>
          </w:p>
        </w:tc>
        <w:tc>
          <w:tcPr>
            <w:tcW w:w="2458" w:type="dxa"/>
            <w:shd w:val="clear" w:color="auto" w:fill="FBE4CE" w:themeFill="text2" w:themeFillTint="33"/>
            <w:noWrap/>
            <w:vAlign w:val="center"/>
          </w:tcPr>
          <w:p w:rsidR="00BD1E2E" w:rsidRPr="00BC2358" w:rsidRDefault="00BD1E2E" w:rsidP="0047470A">
            <w:pPr>
              <w:spacing w:after="0"/>
              <w:jc w:val="center"/>
              <w:rPr>
                <w:rFonts w:cs="Tahoma"/>
                <w:sz w:val="18"/>
                <w:szCs w:val="20"/>
              </w:rPr>
            </w:pPr>
            <w:r w:rsidRPr="00BC2358">
              <w:rPr>
                <w:rFonts w:cs="Tahoma"/>
                <w:sz w:val="18"/>
                <w:szCs w:val="20"/>
              </w:rPr>
              <w:t>2,7%</w:t>
            </w:r>
          </w:p>
        </w:tc>
      </w:tr>
      <w:tr w:rsidR="00BD1E2E" w:rsidRPr="00F446D0" w:rsidTr="0047470A">
        <w:trPr>
          <w:trHeight w:val="397"/>
          <w:jc w:val="center"/>
        </w:trPr>
        <w:tc>
          <w:tcPr>
            <w:tcW w:w="2122" w:type="dxa"/>
            <w:shd w:val="clear" w:color="auto" w:fill="F8CA9E" w:themeFill="text2" w:themeFillTint="66"/>
            <w:noWrap/>
            <w:vAlign w:val="center"/>
            <w:hideMark/>
          </w:tcPr>
          <w:p w:rsidR="00BD1E2E" w:rsidRPr="00250578" w:rsidRDefault="00BD1E2E" w:rsidP="0047470A">
            <w:pPr>
              <w:spacing w:after="0"/>
              <w:rPr>
                <w:rFonts w:cs="Tahoma"/>
                <w:sz w:val="18"/>
                <w:szCs w:val="20"/>
              </w:rPr>
            </w:pPr>
            <w:proofErr w:type="spellStart"/>
            <w:r w:rsidRPr="00250578">
              <w:rPr>
                <w:rFonts w:cs="Tahoma"/>
                <w:sz w:val="18"/>
                <w:szCs w:val="20"/>
              </w:rPr>
              <w:t>Oltre</w:t>
            </w:r>
            <w:proofErr w:type="spellEnd"/>
            <w:r w:rsidRPr="00250578">
              <w:rPr>
                <w:rFonts w:cs="Tahoma"/>
                <w:sz w:val="18"/>
                <w:szCs w:val="20"/>
              </w:rPr>
              <w:t xml:space="preserve"> 74 </w:t>
            </w:r>
            <w:proofErr w:type="spellStart"/>
            <w:r w:rsidRPr="00250578">
              <w:rPr>
                <w:rFonts w:cs="Tahoma"/>
                <w:sz w:val="18"/>
                <w:szCs w:val="20"/>
              </w:rPr>
              <w:t>anni</w:t>
            </w:r>
            <w:proofErr w:type="spellEnd"/>
          </w:p>
        </w:tc>
        <w:tc>
          <w:tcPr>
            <w:tcW w:w="2458" w:type="dxa"/>
            <w:shd w:val="clear" w:color="auto" w:fill="F8CA9E" w:themeFill="text2" w:themeFillTint="66"/>
            <w:noWrap/>
            <w:vAlign w:val="center"/>
          </w:tcPr>
          <w:p w:rsidR="00BD1E2E" w:rsidRPr="00BC2358" w:rsidRDefault="00BD1E2E" w:rsidP="0047470A">
            <w:pPr>
              <w:spacing w:after="0"/>
              <w:jc w:val="center"/>
              <w:rPr>
                <w:rFonts w:cs="Tahoma"/>
                <w:sz w:val="18"/>
                <w:szCs w:val="20"/>
              </w:rPr>
            </w:pPr>
            <w:r>
              <w:rPr>
                <w:rFonts w:cs="Tahoma"/>
                <w:sz w:val="18"/>
                <w:szCs w:val="20"/>
              </w:rPr>
              <w:t>0,2</w:t>
            </w:r>
            <w:r w:rsidRPr="00BC2358">
              <w:rPr>
                <w:rFonts w:cs="Tahoma"/>
                <w:sz w:val="18"/>
                <w:szCs w:val="20"/>
              </w:rPr>
              <w:t>%</w:t>
            </w:r>
          </w:p>
        </w:tc>
      </w:tr>
    </w:tbl>
    <w:p w:rsidR="00BD1E2E" w:rsidRDefault="00BD1E2E" w:rsidP="00BD1E2E">
      <w:pPr>
        <w:pStyle w:val="CRIFCaption"/>
        <w:jc w:val="center"/>
        <w:rPr>
          <w:lang w:val="it-IT"/>
        </w:rPr>
      </w:pPr>
      <w:r w:rsidRPr="00160603">
        <w:rPr>
          <w:lang w:val="it-IT"/>
        </w:rPr>
        <w:t>Fonte: EURISC – Il Sistema CRIF di Informazioni Creditizie</w:t>
      </w:r>
    </w:p>
    <w:p w:rsidR="00BD1E2E" w:rsidRDefault="002B41C5" w:rsidP="00BD1E2E">
      <w:pPr>
        <w:spacing w:before="100" w:beforeAutospacing="1" w:after="100" w:afterAutospacing="1" w:line="360" w:lineRule="auto"/>
        <w:jc w:val="both"/>
        <w:rPr>
          <w:rFonts w:ascii="Verdana" w:hAnsi="Verdana"/>
          <w:i/>
          <w:iCs/>
          <w:sz w:val="20"/>
          <w:szCs w:val="20"/>
          <w:lang w:val="it-IT"/>
        </w:rPr>
      </w:pPr>
      <w:r>
        <w:rPr>
          <w:rFonts w:ascii="Verdana" w:hAnsi="Verdana"/>
          <w:i/>
          <w:iCs/>
          <w:sz w:val="20"/>
          <w:szCs w:val="20"/>
          <w:lang w:val="it-IT"/>
        </w:rPr>
        <w:t>“relativamente ai mutui immobiliari richiesti dalle famiglie, i</w:t>
      </w:r>
      <w:r w:rsidR="00BD1E2E" w:rsidRPr="005A3211">
        <w:rPr>
          <w:rFonts w:ascii="Verdana" w:hAnsi="Verdana"/>
          <w:i/>
          <w:iCs/>
          <w:sz w:val="20"/>
          <w:szCs w:val="20"/>
          <w:lang w:val="it-IT"/>
        </w:rPr>
        <w:t>l 2018 si è chiuso con valori sostanzialmente in linea con il 2017.</w:t>
      </w:r>
      <w:r w:rsidR="00BD1E2E">
        <w:rPr>
          <w:rFonts w:ascii="Verdana" w:hAnsi="Verdana"/>
          <w:i/>
          <w:iCs/>
          <w:sz w:val="20"/>
          <w:szCs w:val="20"/>
          <w:lang w:val="it-IT"/>
        </w:rPr>
        <w:t xml:space="preserve"> Va però sottolineato come i</w:t>
      </w:r>
      <w:r w:rsidR="00BD1E2E" w:rsidRPr="005A3211">
        <w:rPr>
          <w:rFonts w:ascii="Verdana" w:hAnsi="Verdana"/>
          <w:i/>
          <w:iCs/>
          <w:sz w:val="20"/>
          <w:szCs w:val="20"/>
          <w:lang w:val="it-IT"/>
        </w:rPr>
        <w:t>l rallentamento delle surroghe, già iniziato ne</w:t>
      </w:r>
      <w:r w:rsidR="00BD1E2E">
        <w:rPr>
          <w:rFonts w:ascii="Verdana" w:hAnsi="Verdana"/>
          <w:i/>
          <w:iCs/>
          <w:sz w:val="20"/>
          <w:szCs w:val="20"/>
          <w:lang w:val="it-IT"/>
        </w:rPr>
        <w:t>l corso degli anni precedenti, abbi</w:t>
      </w:r>
      <w:r w:rsidR="00BD1E2E" w:rsidRPr="005A3211">
        <w:rPr>
          <w:rFonts w:ascii="Verdana" w:hAnsi="Verdana"/>
          <w:i/>
          <w:iCs/>
          <w:sz w:val="20"/>
          <w:szCs w:val="20"/>
          <w:lang w:val="it-IT"/>
        </w:rPr>
        <w:t xml:space="preserve">a di fatto oscurato la performance positiva dei nuovi mutui </w:t>
      </w:r>
      <w:r w:rsidR="00BD1E2E">
        <w:rPr>
          <w:rFonts w:ascii="Verdana" w:hAnsi="Verdana"/>
          <w:i/>
          <w:iCs/>
          <w:sz w:val="20"/>
          <w:szCs w:val="20"/>
          <w:lang w:val="it-IT"/>
        </w:rPr>
        <w:t xml:space="preserve">per l’acquisto di abitazioni, </w:t>
      </w:r>
      <w:r w:rsidR="00BD1E2E" w:rsidRPr="005A3211">
        <w:rPr>
          <w:rFonts w:ascii="Verdana" w:hAnsi="Verdana"/>
          <w:i/>
          <w:iCs/>
          <w:sz w:val="20"/>
          <w:szCs w:val="20"/>
          <w:lang w:val="it-IT"/>
        </w:rPr>
        <w:t>che ha supportato la ripresa del mercato immobiliare</w:t>
      </w:r>
      <w:r w:rsidR="00BD1E2E">
        <w:rPr>
          <w:rFonts w:ascii="Verdana" w:hAnsi="Verdana"/>
          <w:i/>
          <w:iCs/>
          <w:sz w:val="20"/>
          <w:szCs w:val="20"/>
          <w:lang w:val="it-IT"/>
        </w:rPr>
        <w:t>”</w:t>
      </w:r>
      <w:r w:rsidR="00BD1E2E" w:rsidRPr="005A3211">
        <w:rPr>
          <w:rFonts w:ascii="Verdana" w:hAnsi="Verdana"/>
          <w:i/>
          <w:iCs/>
          <w:sz w:val="20"/>
          <w:szCs w:val="20"/>
          <w:lang w:val="it-IT"/>
        </w:rPr>
        <w:t xml:space="preserve"> – </w:t>
      </w:r>
      <w:r w:rsidR="00BD1E2E" w:rsidRPr="005A3211">
        <w:rPr>
          <w:rFonts w:ascii="Verdana" w:hAnsi="Verdana"/>
          <w:sz w:val="20"/>
          <w:szCs w:val="20"/>
          <w:lang w:val="it-IT"/>
        </w:rPr>
        <w:t xml:space="preserve">spiega </w:t>
      </w:r>
      <w:r w:rsidR="00BD1E2E" w:rsidRPr="005A3211">
        <w:rPr>
          <w:rFonts w:ascii="Verdana" w:hAnsi="Verdana"/>
          <w:b/>
          <w:bCs/>
          <w:sz w:val="20"/>
          <w:szCs w:val="20"/>
          <w:lang w:val="it-IT"/>
        </w:rPr>
        <w:t>Simone Capecchi, Executive Director di CRIF</w:t>
      </w:r>
      <w:r w:rsidR="00BD1E2E" w:rsidRPr="005A3211">
        <w:rPr>
          <w:rFonts w:ascii="Verdana" w:hAnsi="Verdana"/>
          <w:i/>
          <w:iCs/>
          <w:sz w:val="20"/>
          <w:szCs w:val="20"/>
          <w:lang w:val="it-IT"/>
        </w:rPr>
        <w:t xml:space="preserve">. </w:t>
      </w:r>
    </w:p>
    <w:p w:rsidR="00BD1E2E" w:rsidRDefault="00BD1E2E" w:rsidP="00BD1E2E">
      <w:pPr>
        <w:spacing w:before="100" w:beforeAutospacing="1" w:after="100" w:afterAutospacing="1" w:line="360" w:lineRule="auto"/>
        <w:jc w:val="both"/>
        <w:rPr>
          <w:rFonts w:ascii="Verdana" w:hAnsi="Verdana"/>
          <w:iCs/>
          <w:sz w:val="20"/>
          <w:szCs w:val="20"/>
          <w:lang w:val="it-IT"/>
        </w:rPr>
      </w:pPr>
      <w:r>
        <w:rPr>
          <w:rFonts w:ascii="Verdana" w:hAnsi="Verdana"/>
          <w:i/>
          <w:iCs/>
          <w:sz w:val="20"/>
          <w:szCs w:val="20"/>
          <w:lang w:val="it-IT"/>
        </w:rPr>
        <w:t>“</w:t>
      </w:r>
      <w:r w:rsidRPr="005A3211">
        <w:rPr>
          <w:rFonts w:ascii="Verdana" w:hAnsi="Verdana"/>
          <w:i/>
          <w:iCs/>
          <w:sz w:val="20"/>
          <w:szCs w:val="20"/>
          <w:lang w:val="it-IT"/>
        </w:rPr>
        <w:t xml:space="preserve">In questo scenario, le politiche di offerta si sono mantenute fluide, stimolate </w:t>
      </w:r>
      <w:r>
        <w:rPr>
          <w:rFonts w:ascii="Verdana" w:hAnsi="Verdana"/>
          <w:i/>
          <w:iCs/>
          <w:sz w:val="20"/>
          <w:szCs w:val="20"/>
          <w:lang w:val="it-IT"/>
        </w:rPr>
        <w:t xml:space="preserve">anche </w:t>
      </w:r>
      <w:r w:rsidRPr="005A3211">
        <w:rPr>
          <w:rFonts w:ascii="Verdana" w:hAnsi="Verdana"/>
          <w:i/>
          <w:iCs/>
          <w:sz w:val="20"/>
          <w:szCs w:val="20"/>
          <w:lang w:val="it-IT"/>
        </w:rPr>
        <w:t>da condizioni più distese del funding, da una maggiore concorrenza e da un</w:t>
      </w:r>
      <w:r w:rsidRPr="005A3211">
        <w:rPr>
          <w:rFonts w:ascii="Verdana" w:hAnsi="Verdana"/>
          <w:i/>
          <w:iCs/>
          <w:color w:val="1F497D"/>
          <w:sz w:val="20"/>
          <w:szCs w:val="20"/>
          <w:lang w:val="it-IT"/>
        </w:rPr>
        <w:t>a</w:t>
      </w:r>
      <w:r w:rsidRPr="005A3211">
        <w:rPr>
          <w:rFonts w:ascii="Verdana" w:hAnsi="Verdana"/>
          <w:i/>
          <w:iCs/>
          <w:sz w:val="20"/>
          <w:szCs w:val="20"/>
          <w:lang w:val="it-IT"/>
        </w:rPr>
        <w:t xml:space="preserve"> ulteriore riduzione degli indicatori di rischiosità del credito immobiliare. </w:t>
      </w:r>
      <w:r>
        <w:rPr>
          <w:rFonts w:ascii="Verdana" w:hAnsi="Verdana"/>
          <w:i/>
          <w:iCs/>
          <w:sz w:val="20"/>
          <w:szCs w:val="20"/>
          <w:lang w:val="it-IT"/>
        </w:rPr>
        <w:t>N</w:t>
      </w:r>
      <w:r w:rsidRPr="005A3211">
        <w:rPr>
          <w:rFonts w:ascii="Verdana" w:hAnsi="Verdana"/>
          <w:i/>
          <w:iCs/>
          <w:sz w:val="20"/>
          <w:szCs w:val="20"/>
          <w:lang w:val="it-IT"/>
        </w:rPr>
        <w:t>el corso 2019 dovrebbe perdurare il basso costo di provisioning</w:t>
      </w:r>
      <w:r>
        <w:rPr>
          <w:rFonts w:ascii="Verdana" w:hAnsi="Verdana"/>
          <w:i/>
          <w:iCs/>
          <w:sz w:val="20"/>
          <w:szCs w:val="20"/>
          <w:lang w:val="it-IT"/>
        </w:rPr>
        <w:t>,</w:t>
      </w:r>
      <w:r w:rsidRPr="005A3211">
        <w:rPr>
          <w:rFonts w:ascii="Verdana" w:hAnsi="Verdana"/>
          <w:i/>
          <w:iCs/>
          <w:sz w:val="20"/>
          <w:szCs w:val="20"/>
          <w:lang w:val="it-IT"/>
        </w:rPr>
        <w:t xml:space="preserve"> con effetti positivi sui tassi applicati, ma si dovrebbe assistere </w:t>
      </w:r>
      <w:r>
        <w:rPr>
          <w:rFonts w:ascii="Verdana" w:hAnsi="Verdana"/>
          <w:i/>
          <w:iCs/>
          <w:sz w:val="20"/>
          <w:szCs w:val="20"/>
          <w:lang w:val="it-IT"/>
        </w:rPr>
        <w:t xml:space="preserve">anche </w:t>
      </w:r>
      <w:r w:rsidRPr="005A3211">
        <w:rPr>
          <w:rFonts w:ascii="Verdana" w:hAnsi="Verdana"/>
          <w:i/>
          <w:iCs/>
          <w:sz w:val="20"/>
          <w:szCs w:val="20"/>
          <w:lang w:val="it-IT"/>
        </w:rPr>
        <w:t xml:space="preserve">allo sviluppo dell’offerta dei cosiddetti </w:t>
      </w:r>
      <w:r>
        <w:rPr>
          <w:rFonts w:ascii="Verdana" w:hAnsi="Verdana"/>
          <w:i/>
          <w:iCs/>
          <w:sz w:val="20"/>
          <w:szCs w:val="20"/>
          <w:lang w:val="it-IT"/>
        </w:rPr>
        <w:t>‘</w:t>
      </w:r>
      <w:r w:rsidRPr="005A3211">
        <w:rPr>
          <w:rFonts w:ascii="Verdana" w:hAnsi="Verdana"/>
          <w:i/>
          <w:iCs/>
          <w:sz w:val="20"/>
          <w:szCs w:val="20"/>
          <w:lang w:val="it-IT"/>
        </w:rPr>
        <w:t>mutui green</w:t>
      </w:r>
      <w:r>
        <w:rPr>
          <w:rFonts w:ascii="Verdana" w:hAnsi="Verdana"/>
          <w:i/>
          <w:iCs/>
          <w:sz w:val="20"/>
          <w:szCs w:val="20"/>
          <w:lang w:val="it-IT"/>
        </w:rPr>
        <w:t>’, per progetti legati all’</w:t>
      </w:r>
      <w:r w:rsidRPr="005A3211">
        <w:rPr>
          <w:rFonts w:ascii="Verdana" w:hAnsi="Verdana"/>
          <w:i/>
          <w:iCs/>
          <w:sz w:val="20"/>
          <w:szCs w:val="20"/>
          <w:lang w:val="it-IT"/>
        </w:rPr>
        <w:t xml:space="preserve">efficienza energetica, una opportunità che permetterà condizioni più agevolate di accesso al credito alle famiglie italiane, sostenendo </w:t>
      </w:r>
      <w:r>
        <w:rPr>
          <w:rFonts w:ascii="Verdana" w:hAnsi="Verdana"/>
          <w:i/>
          <w:iCs/>
          <w:sz w:val="20"/>
          <w:szCs w:val="20"/>
          <w:lang w:val="it-IT"/>
        </w:rPr>
        <w:t xml:space="preserve">così </w:t>
      </w:r>
      <w:r w:rsidRPr="005A3211">
        <w:rPr>
          <w:rFonts w:ascii="Verdana" w:hAnsi="Verdana"/>
          <w:i/>
          <w:iCs/>
          <w:sz w:val="20"/>
          <w:szCs w:val="20"/>
          <w:lang w:val="it-IT"/>
        </w:rPr>
        <w:t>la crescita del mercato</w:t>
      </w:r>
      <w:r>
        <w:rPr>
          <w:rFonts w:ascii="Verdana" w:hAnsi="Verdana"/>
          <w:i/>
          <w:iCs/>
          <w:sz w:val="20"/>
          <w:szCs w:val="20"/>
          <w:lang w:val="it-IT"/>
        </w:rPr>
        <w:t>”</w:t>
      </w:r>
      <w:r w:rsidRPr="005A3211">
        <w:rPr>
          <w:rFonts w:ascii="Verdana" w:hAnsi="Verdana"/>
          <w:i/>
          <w:iCs/>
          <w:sz w:val="20"/>
          <w:szCs w:val="20"/>
          <w:lang w:val="it-IT"/>
        </w:rPr>
        <w:t xml:space="preserve"> - </w:t>
      </w:r>
      <w:r w:rsidRPr="00874A06">
        <w:rPr>
          <w:rFonts w:ascii="Verdana" w:hAnsi="Verdana"/>
          <w:iCs/>
          <w:sz w:val="20"/>
          <w:szCs w:val="20"/>
          <w:lang w:val="it-IT"/>
        </w:rPr>
        <w:t>aggiunge Capecchi.</w:t>
      </w:r>
    </w:p>
    <w:p w:rsidR="00BE7052" w:rsidRDefault="00BE7052" w:rsidP="00BD1E2E">
      <w:pPr>
        <w:spacing w:before="100" w:beforeAutospacing="1" w:after="100" w:afterAutospacing="1" w:line="360" w:lineRule="auto"/>
        <w:jc w:val="both"/>
        <w:rPr>
          <w:rFonts w:ascii="Verdana" w:hAnsi="Verdana"/>
          <w:iCs/>
          <w:sz w:val="20"/>
          <w:szCs w:val="20"/>
          <w:lang w:val="it-IT"/>
        </w:rPr>
      </w:pPr>
    </w:p>
    <w:sectPr w:rsidR="00BE7052" w:rsidSect="00D36FFA">
      <w:headerReference w:type="default" r:id="rId17"/>
      <w:footerReference w:type="default" r:id="rId18"/>
      <w:headerReference w:type="first" r:id="rId19"/>
      <w:footerReference w:type="first" r:id="rId20"/>
      <w:pgSz w:w="12240" w:h="15840"/>
      <w:pgMar w:top="1872" w:right="1440" w:bottom="187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BF" w:rsidRDefault="00BC24BF" w:rsidP="002C53BF">
      <w:pPr>
        <w:spacing w:after="0" w:line="240" w:lineRule="auto"/>
      </w:pPr>
      <w:r>
        <w:separator/>
      </w:r>
    </w:p>
  </w:endnote>
  <w:endnote w:type="continuationSeparator" w:id="0">
    <w:p w:rsidR="00BC24BF" w:rsidRDefault="00BC24BF" w:rsidP="002C53BF">
      <w:pPr>
        <w:spacing w:after="0" w:line="240" w:lineRule="auto"/>
      </w:pPr>
      <w:r>
        <w:continuationSeparator/>
      </w:r>
    </w:p>
  </w:endnote>
  <w:endnote w:type="continuationNotice" w:id="1">
    <w:p w:rsidR="00BC24BF" w:rsidRDefault="00BC24BF" w:rsidP="002C53B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ndersonBCGSerif-Regular">
    <w:altName w:val="Henderson Serif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ex New Book">
    <w:altName w:val="Tahoma"/>
    <w:panose1 w:val="00000000000000000000"/>
    <w:charset w:val="00"/>
    <w:family w:val="modern"/>
    <w:notTrueType/>
    <w:pitch w:val="variable"/>
    <w:sig w:usb0="00000001" w:usb1="00000000" w:usb2="00000000" w:usb3="00000000" w:csb0="0000009B"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63" w:rsidRPr="00D36FFA" w:rsidRDefault="003A7E8B" w:rsidP="00D36FFA">
    <w:pPr>
      <w:spacing w:after="0" w:line="360" w:lineRule="auto"/>
      <w:jc w:val="both"/>
      <w:rPr>
        <w:sz w:val="20"/>
        <w:lang w:val="it-IT"/>
      </w:rPr>
    </w:pPr>
    <w:r w:rsidRPr="003A7E8B">
      <w:rPr>
        <w:noProof/>
        <w:color w:val="B0CFED" w:themeColor="accent3"/>
        <w:sz w:val="20"/>
        <w:lang w:val="it-IT" w:eastAsia="it-IT"/>
      </w:rPr>
      <w:pict>
        <v:rect id="Rectangle 5" o:spid="_x0000_s36866" style="position:absolute;left:0;text-align:left;margin-left:468.3pt;margin-top:-2.9pt;width:1in;height:21.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" fillcolor="#003b79 [3204]" strokecolor="#001d3c [1604]" strokeweight="1pt">
          <v:path arrowok="t"/>
          <v:textbox>
            <w:txbxContent>
              <w:p w:rsidR="00A92463" w:rsidRPr="005849DB" w:rsidRDefault="003A7E8B" w:rsidP="005849DB">
                <w:pPr>
                  <w:jc w:val="center"/>
                  <w:rPr>
                    <w:sz w:val="20"/>
                  </w:rPr>
                </w:pPr>
                <w:r w:rsidRPr="005849DB">
                  <w:rPr>
                    <w:sz w:val="20"/>
                  </w:rPr>
                  <w:fldChar w:fldCharType="begin"/>
                </w:r>
                <w:r w:rsidR="00A92463" w:rsidRPr="005849DB">
                  <w:rPr>
                    <w:sz w:val="20"/>
                  </w:rPr>
                  <w:instrText xml:space="preserve"> PAGE   \* MERGEFORMAT </w:instrText>
                </w:r>
                <w:r w:rsidRPr="005849DB">
                  <w:rPr>
                    <w:sz w:val="20"/>
                  </w:rPr>
                  <w:fldChar w:fldCharType="separate"/>
                </w:r>
                <w:r w:rsidR="00F06C5B">
                  <w:rPr>
                    <w:noProof/>
                    <w:sz w:val="20"/>
                  </w:rPr>
                  <w:t>9</w:t>
                </w:r>
                <w:r w:rsidRPr="005849DB">
                  <w:rPr>
                    <w:noProof/>
                    <w:sz w:val="20"/>
                  </w:rPr>
                  <w:fldChar w:fldCharType="end"/>
                </w:r>
                <w:r w:rsidR="00A92463">
                  <w:rPr>
                    <w:noProof/>
                    <w:sz w:val="20"/>
                  </w:rPr>
                  <w:t xml:space="preserve"> / </w:t>
                </w:r>
                <w:fldSimple w:instr=" NUMPAGES   \* MERGEFORMAT ">
                  <w:r w:rsidR="00F06C5B">
                    <w:rPr>
                      <w:noProof/>
                      <w:sz w:val="20"/>
                    </w:rPr>
                    <w:t>9</w:t>
                  </w:r>
                </w:fldSimple>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63" w:rsidRDefault="003A7E8B">
    <w:pPr>
      <w:pStyle w:val="Pidipagina"/>
    </w:pPr>
    <w:r w:rsidRPr="003A7E8B">
      <w:rPr>
        <w:noProof/>
        <w:color w:val="B0CFED" w:themeColor="accent3"/>
        <w:sz w:val="20"/>
        <w:lang w:val="it-IT" w:eastAsia="it-IT"/>
      </w:rPr>
      <w:pict>
        <v:rect id="_x0000_s36865" style="position:absolute;margin-left:468.3pt;margin-top:-7.05pt;width:1in;height:21.6pt;z-index:25165824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" fillcolor="#003b79 [3204]" strokecolor="#001d3c [1604]" strokeweight="1pt">
          <v:path arrowok="t"/>
          <v:textbox>
            <w:txbxContent>
              <w:p w:rsidR="00A92463" w:rsidRPr="005849DB" w:rsidRDefault="003A7E8B" w:rsidP="00BA392E">
                <w:pPr>
                  <w:jc w:val="center"/>
                  <w:rPr>
                    <w:sz w:val="20"/>
                  </w:rPr>
                </w:pPr>
                <w:r w:rsidRPr="005849DB">
                  <w:rPr>
                    <w:sz w:val="20"/>
                  </w:rPr>
                  <w:fldChar w:fldCharType="begin"/>
                </w:r>
                <w:r w:rsidR="00A92463" w:rsidRPr="005849DB">
                  <w:rPr>
                    <w:sz w:val="20"/>
                  </w:rPr>
                  <w:instrText xml:space="preserve"> PAGE   \* MERGEFORMAT </w:instrText>
                </w:r>
                <w:r w:rsidRPr="005849DB">
                  <w:rPr>
                    <w:sz w:val="20"/>
                  </w:rPr>
                  <w:fldChar w:fldCharType="separate"/>
                </w:r>
                <w:r w:rsidR="00F06C5B">
                  <w:rPr>
                    <w:noProof/>
                    <w:sz w:val="20"/>
                  </w:rPr>
                  <w:t>1</w:t>
                </w:r>
                <w:r w:rsidRPr="005849DB">
                  <w:rPr>
                    <w:noProof/>
                    <w:sz w:val="20"/>
                  </w:rPr>
                  <w:fldChar w:fldCharType="end"/>
                </w:r>
                <w:r w:rsidR="00A92463">
                  <w:rPr>
                    <w:noProof/>
                    <w:sz w:val="20"/>
                  </w:rPr>
                  <w:t xml:space="preserve"> / </w:t>
                </w:r>
                <w:fldSimple w:instr=" NUMPAGES   \* MERGEFORMAT ">
                  <w:r w:rsidR="00F06C5B">
                    <w:rPr>
                      <w:noProof/>
                      <w:sz w:val="20"/>
                    </w:rPr>
                    <w:t>3</w:t>
                  </w:r>
                </w:fldSimple>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BF" w:rsidRDefault="00BC24BF" w:rsidP="002C53BF">
      <w:pPr>
        <w:spacing w:after="0" w:line="240" w:lineRule="auto"/>
      </w:pPr>
      <w:r>
        <w:separator/>
      </w:r>
    </w:p>
  </w:footnote>
  <w:footnote w:type="continuationSeparator" w:id="0">
    <w:p w:rsidR="00BC24BF" w:rsidRDefault="00BC24BF" w:rsidP="002C53BF">
      <w:pPr>
        <w:spacing w:after="0" w:line="240" w:lineRule="auto"/>
      </w:pPr>
      <w:r>
        <w:continuationSeparator/>
      </w:r>
    </w:p>
  </w:footnote>
  <w:footnote w:type="continuationNotice" w:id="1">
    <w:p w:rsidR="00BC24BF" w:rsidRDefault="00BC24BF" w:rsidP="002C53B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63" w:rsidRDefault="00A92463">
    <w:pPr>
      <w:pStyle w:val="Intestazione"/>
    </w:pPr>
  </w:p>
  <w:p w:rsidR="00A92463" w:rsidRDefault="00A92463">
    <w:pPr>
      <w:pStyle w:val="Intestazione"/>
    </w:pPr>
    <w:r w:rsidRPr="002A09F3">
      <w:rPr>
        <w:noProof/>
        <w:lang w:val="it-IT" w:eastAsia="it-IT"/>
      </w:rPr>
      <w:drawing>
        <wp:anchor distT="0" distB="0" distL="114300" distR="114300" simplePos="0" relativeHeight="251658241" behindDoc="0" locked="0" layoutInCell="1" allowOverlap="1">
          <wp:simplePos x="0" y="0"/>
          <wp:positionH relativeFrom="column">
            <wp:posOffset>-8890</wp:posOffset>
          </wp:positionH>
          <wp:positionV relativeFrom="page">
            <wp:posOffset>327660</wp:posOffset>
          </wp:positionV>
          <wp:extent cx="1208405" cy="53975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8405" cy="539750"/>
                  </a:xfrm>
                  <a:prstGeom prst="rect">
                    <a:avLst/>
                  </a:prstGeom>
                </pic:spPr>
              </pic:pic>
            </a:graphicData>
          </a:graphic>
        </wp:anchor>
      </w:drawing>
    </w:r>
  </w:p>
  <w:p w:rsidR="00A92463" w:rsidRDefault="00A9246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463" w:rsidRDefault="00A92463">
    <w:pPr>
      <w:pStyle w:val="Intestazione"/>
    </w:pPr>
    <w:r w:rsidRPr="002A09F3">
      <w:rPr>
        <w:noProof/>
        <w:lang w:val="it-IT" w:eastAsia="it-IT"/>
      </w:rPr>
      <w:drawing>
        <wp:anchor distT="0" distB="0" distL="114300" distR="114300" simplePos="0" relativeHeight="251658242" behindDoc="0" locked="0" layoutInCell="1" allowOverlap="1">
          <wp:simplePos x="0" y="0"/>
          <wp:positionH relativeFrom="column">
            <wp:posOffset>143510</wp:posOffset>
          </wp:positionH>
          <wp:positionV relativeFrom="page">
            <wp:posOffset>480060</wp:posOffset>
          </wp:positionV>
          <wp:extent cx="1208405" cy="5397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8405" cy="539750"/>
                  </a:xfrm>
                  <a:prstGeom prst="rect">
                    <a:avLst/>
                  </a:prstGeom>
                </pic:spPr>
              </pic:pic>
            </a:graphicData>
          </a:graphic>
        </wp:anchor>
      </w:drawing>
    </w:r>
  </w:p>
  <w:p w:rsidR="00A92463" w:rsidRDefault="00A92463">
    <w:pPr>
      <w:pStyle w:val="Intestazione"/>
    </w:pPr>
  </w:p>
  <w:p w:rsidR="00A92463" w:rsidRDefault="00A9246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C2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9F5CD7"/>
    <w:multiLevelType w:val="hybridMultilevel"/>
    <w:tmpl w:val="E0280AD2"/>
    <w:lvl w:ilvl="0" w:tplc="13E45C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9858BF"/>
    <w:multiLevelType w:val="hybridMultilevel"/>
    <w:tmpl w:val="CA825D9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0E993CA2"/>
    <w:multiLevelType w:val="multilevel"/>
    <w:tmpl w:val="BB88D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EAB6565"/>
    <w:multiLevelType w:val="hybridMultilevel"/>
    <w:tmpl w:val="D194C816"/>
    <w:lvl w:ilvl="0" w:tplc="53FAF120">
      <w:start w:val="1"/>
      <w:numFmt w:val="bullet"/>
      <w:lvlText w:val=""/>
      <w:lvlJc w:val="left"/>
      <w:pPr>
        <w:ind w:left="720" w:hanging="360"/>
      </w:pPr>
      <w:rPr>
        <w:rFonts w:ascii="Wingdings" w:hAnsi="Wingdings" w:hint="default"/>
        <w:color w:val="EE7D11" w:themeColor="accent2"/>
      </w:rPr>
    </w:lvl>
    <w:lvl w:ilvl="1" w:tplc="AA34FDF8">
      <w:start w:val="1"/>
      <w:numFmt w:val="bullet"/>
      <w:lvlText w:val="▬"/>
      <w:lvlJc w:val="left"/>
      <w:pPr>
        <w:ind w:left="1440" w:hanging="360"/>
      </w:pPr>
      <w:rPr>
        <w:rFonts w:ascii="Courier New" w:hAnsi="Courier New" w:cs="Times New Roman" w:hint="default"/>
        <w:b/>
        <w:i w:val="0"/>
        <w:color w:val="003B79" w:themeColor="text1"/>
        <w:sz w:val="20"/>
      </w:rPr>
    </w:lvl>
    <w:lvl w:ilvl="2" w:tplc="F4E49878">
      <w:start w:val="1"/>
      <w:numFmt w:val="bullet"/>
      <w:lvlText w:val=""/>
      <w:lvlJc w:val="left"/>
      <w:pPr>
        <w:ind w:left="2160" w:hanging="360"/>
      </w:pPr>
      <w:rPr>
        <w:rFonts w:ascii="Symbol" w:hAnsi="Symbol" w:hint="default"/>
        <w:b/>
        <w:i w:val="0"/>
        <w:color w:val="003B79" w:themeColor="text1"/>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B609D"/>
    <w:multiLevelType w:val="multilevel"/>
    <w:tmpl w:val="583E9A90"/>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4A423F"/>
    <w:multiLevelType w:val="hybridMultilevel"/>
    <w:tmpl w:val="653079FC"/>
    <w:lvl w:ilvl="0" w:tplc="3EE4289A">
      <w:start w:val="1"/>
      <w:numFmt w:val="bullet"/>
      <w:lvlText w:val="▬"/>
      <w:lvlJc w:val="left"/>
      <w:pPr>
        <w:ind w:left="720" w:hanging="360"/>
      </w:pPr>
      <w:rPr>
        <w:rFonts w:ascii="Courier New" w:hAnsi="Courier New"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D52BF"/>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nsid w:val="1386340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3E1486F"/>
    <w:multiLevelType w:val="multilevel"/>
    <w:tmpl w:val="766C83E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1"/>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nsid w:val="153C64A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5633B0C"/>
    <w:multiLevelType w:val="multilevel"/>
    <w:tmpl w:val="B4ACE0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171A734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D86864"/>
    <w:multiLevelType w:val="hybridMultilevel"/>
    <w:tmpl w:val="13528936"/>
    <w:lvl w:ilvl="0" w:tplc="19485D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781206"/>
    <w:multiLevelType w:val="hybridMultilevel"/>
    <w:tmpl w:val="2A5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165DE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CA0C08"/>
    <w:multiLevelType w:val="multilevel"/>
    <w:tmpl w:val="766C83E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1"/>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nsid w:val="28A20DF6"/>
    <w:multiLevelType w:val="hybridMultilevel"/>
    <w:tmpl w:val="3DF427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4A1FB0"/>
    <w:multiLevelType w:val="hybridMultilevel"/>
    <w:tmpl w:val="9110BEAE"/>
    <w:lvl w:ilvl="0" w:tplc="2C8C4918">
      <w:start w:val="1"/>
      <w:numFmt w:val="bullet"/>
      <w:lvlText w:val="○"/>
      <w:lvlJc w:val="left"/>
      <w:pPr>
        <w:ind w:left="1080" w:hanging="360"/>
      </w:pPr>
      <w:rPr>
        <w:rFonts w:ascii="Courier New" w:hAnsi="Courier New"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EF7792"/>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0CF19E2"/>
    <w:multiLevelType w:val="multilevel"/>
    <w:tmpl w:val="A9D4B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131"/>
      </w:pPr>
      <w:rPr>
        <w:rFonts w:ascii="Verdana" w:hAnsi="Verdana" w:hint="default"/>
        <w:b/>
        <w:i w:val="0"/>
        <w:color w:val="003B79" w:themeColor="text1"/>
        <w:spacing w:val="20"/>
        <w:w w:val="100"/>
        <w:kern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90D43C1"/>
    <w:multiLevelType w:val="hybridMultilevel"/>
    <w:tmpl w:val="063A4A80"/>
    <w:lvl w:ilvl="0" w:tplc="5CEEA6F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98E12F5"/>
    <w:multiLevelType w:val="multilevel"/>
    <w:tmpl w:val="766C83E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1"/>
      <w:lvlJc w:val="left"/>
      <w:pPr>
        <w:ind w:left="1071" w:hanging="357"/>
      </w:pPr>
      <w:rPr>
        <w:rFonts w:hint="default"/>
      </w:rPr>
    </w:lvl>
    <w:lvl w:ilvl="3">
      <w:start w:val="1"/>
      <w:numFmt w:val="decimal"/>
      <w:lvlText w:val="%1.%2.%3."/>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nsid w:val="4AA022CA"/>
    <w:multiLevelType w:val="hybridMultilevel"/>
    <w:tmpl w:val="8C809E12"/>
    <w:lvl w:ilvl="0" w:tplc="04090001">
      <w:start w:val="1"/>
      <w:numFmt w:val="bullet"/>
      <w:lvlText w:val=""/>
      <w:lvlJc w:val="left"/>
      <w:pPr>
        <w:ind w:left="100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nsid w:val="4EE02C30"/>
    <w:multiLevelType w:val="hybridMultilevel"/>
    <w:tmpl w:val="983A8DE0"/>
    <w:lvl w:ilvl="0" w:tplc="AA34FDF8">
      <w:start w:val="1"/>
      <w:numFmt w:val="bullet"/>
      <w:lvlText w:val="▬"/>
      <w:lvlJc w:val="left"/>
      <w:pPr>
        <w:ind w:left="720" w:hanging="360"/>
      </w:pPr>
      <w:rPr>
        <w:rFonts w:ascii="Courier New" w:hAnsi="Courier New"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21954"/>
    <w:multiLevelType w:val="hybridMultilevel"/>
    <w:tmpl w:val="C0F4F028"/>
    <w:lvl w:ilvl="0" w:tplc="F4E49878">
      <w:start w:val="1"/>
      <w:numFmt w:val="bullet"/>
      <w:lvlText w:val=""/>
      <w:lvlJc w:val="left"/>
      <w:pPr>
        <w:ind w:left="1080" w:hanging="360"/>
      </w:pPr>
      <w:rPr>
        <w:rFonts w:ascii="Symbol" w:hAnsi="Symbol"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50CA1"/>
    <w:multiLevelType w:val="hybridMultilevel"/>
    <w:tmpl w:val="FBD2611C"/>
    <w:lvl w:ilvl="0" w:tplc="7908A4FC">
      <w:start w:val="1"/>
      <w:numFmt w:val="decimal"/>
      <w:lvlText w:val="%1."/>
      <w:lvlJc w:val="left"/>
      <w:pPr>
        <w:ind w:left="720" w:hanging="360"/>
      </w:pPr>
      <w:rPr>
        <w:rFonts w:hint="default"/>
        <w:b/>
        <w:color w:val="003B79"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3221E6"/>
    <w:multiLevelType w:val="hybridMultilevel"/>
    <w:tmpl w:val="5EC295D0"/>
    <w:lvl w:ilvl="0" w:tplc="13E45C7A">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0B0FD6"/>
    <w:multiLevelType w:val="hybridMultilevel"/>
    <w:tmpl w:val="72C6B4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5EC1554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8358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1F717ED"/>
    <w:multiLevelType w:val="hybridMultilevel"/>
    <w:tmpl w:val="2D22DBF4"/>
    <w:lvl w:ilvl="0" w:tplc="53FAF120">
      <w:start w:val="1"/>
      <w:numFmt w:val="bullet"/>
      <w:lvlText w:val=""/>
      <w:lvlJc w:val="left"/>
      <w:pPr>
        <w:ind w:left="1008" w:hanging="360"/>
      </w:pPr>
      <w:rPr>
        <w:rFonts w:ascii="Wingdings" w:hAnsi="Wingdings" w:hint="default"/>
        <w:color w:val="EE7D11" w:themeColor="accent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66952005"/>
    <w:multiLevelType w:val="hybridMultilevel"/>
    <w:tmpl w:val="2A14B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B3761CC"/>
    <w:multiLevelType w:val="hybridMultilevel"/>
    <w:tmpl w:val="4470E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C3A2985"/>
    <w:multiLevelType w:val="hybridMultilevel"/>
    <w:tmpl w:val="3C6ED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118004F"/>
    <w:multiLevelType w:val="hybridMultilevel"/>
    <w:tmpl w:val="71207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FE5FD7"/>
    <w:multiLevelType w:val="hybridMultilevel"/>
    <w:tmpl w:val="952C3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65E490F"/>
    <w:multiLevelType w:val="multilevel"/>
    <w:tmpl w:val="A9D4B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131"/>
      </w:pPr>
      <w:rPr>
        <w:rFonts w:ascii="Verdana" w:hAnsi="Verdana" w:hint="default"/>
        <w:b/>
        <w:i w:val="0"/>
        <w:color w:val="003B79" w:themeColor="text1"/>
        <w:spacing w:val="20"/>
        <w:w w:val="100"/>
        <w:kern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DDF18AF"/>
    <w:multiLevelType w:val="multilevel"/>
    <w:tmpl w:val="0410001F"/>
    <w:lvl w:ilvl="0">
      <w:start w:val="1"/>
      <w:numFmt w:val="decimal"/>
      <w:lvlText w:val="%1."/>
      <w:lvlJc w:val="left"/>
      <w:pPr>
        <w:ind w:left="360" w:hanging="360"/>
      </w:pPr>
      <w:rPr>
        <w:rFonts w:hint="default"/>
        <w:b/>
        <w:i w:val="0"/>
        <w:color w:val="003B79"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E82180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610E3F"/>
    <w:multiLevelType w:val="hybridMultilevel"/>
    <w:tmpl w:val="E5AA5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
  </w:num>
  <w:num w:numId="3">
    <w:abstractNumId w:val="23"/>
  </w:num>
  <w:num w:numId="4">
    <w:abstractNumId w:val="31"/>
  </w:num>
  <w:num w:numId="5">
    <w:abstractNumId w:val="30"/>
  </w:num>
  <w:num w:numId="6">
    <w:abstractNumId w:val="6"/>
  </w:num>
  <w:num w:numId="7">
    <w:abstractNumId w:val="18"/>
  </w:num>
  <w:num w:numId="8">
    <w:abstractNumId w:val="25"/>
  </w:num>
  <w:num w:numId="9">
    <w:abstractNumId w:val="24"/>
  </w:num>
  <w:num w:numId="10">
    <w:abstractNumId w:val="4"/>
  </w:num>
  <w:num w:numId="11">
    <w:abstractNumId w:val="11"/>
  </w:num>
  <w:num w:numId="12">
    <w:abstractNumId w:val="3"/>
  </w:num>
  <w:num w:numId="13">
    <w:abstractNumId w:val="33"/>
  </w:num>
  <w:num w:numId="14">
    <w:abstractNumId w:val="26"/>
  </w:num>
  <w:num w:numId="15">
    <w:abstractNumId w:val="21"/>
  </w:num>
  <w:num w:numId="16">
    <w:abstractNumId w:val="32"/>
  </w:num>
  <w:num w:numId="17">
    <w:abstractNumId w:val="29"/>
  </w:num>
  <w:num w:numId="18">
    <w:abstractNumId w:val="16"/>
  </w:num>
  <w:num w:numId="19">
    <w:abstractNumId w:val="16"/>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2.%3.%1"/>
        <w:lvlJc w:val="left"/>
        <w:pPr>
          <w:ind w:left="1071" w:hanging="357"/>
        </w:pPr>
        <w:rPr>
          <w:rFonts w:hint="default"/>
        </w:rPr>
      </w:lvl>
    </w:lvlOverride>
    <w:lvlOverride w:ilvl="3">
      <w:lvl w:ilvl="3">
        <w:start w:val="1"/>
        <w:numFmt w:val="decimal"/>
        <w:lvlText w:val="%1.%2.%3."/>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0">
    <w:abstractNumId w:val="1"/>
  </w:num>
  <w:num w:numId="21">
    <w:abstractNumId w:val="27"/>
  </w:num>
  <w:num w:numId="22">
    <w:abstractNumId w:val="13"/>
  </w:num>
  <w:num w:numId="23">
    <w:abstractNumId w:val="9"/>
  </w:num>
  <w:num w:numId="24">
    <w:abstractNumId w:val="39"/>
  </w:num>
  <w:num w:numId="25">
    <w:abstractNumId w:val="5"/>
  </w:num>
  <w:num w:numId="26">
    <w:abstractNumId w:val="10"/>
  </w:num>
  <w:num w:numId="27">
    <w:abstractNumId w:val="37"/>
  </w:num>
  <w:num w:numId="28">
    <w:abstractNumId w:val="20"/>
  </w:num>
  <w:num w:numId="29">
    <w:abstractNumId w:val="38"/>
  </w:num>
  <w:num w:numId="30">
    <w:abstractNumId w:val="15"/>
  </w:num>
  <w:num w:numId="31">
    <w:abstractNumId w:val="7"/>
  </w:num>
  <w:num w:numId="32">
    <w:abstractNumId w:val="0"/>
  </w:num>
  <w:num w:numId="33">
    <w:abstractNumId w:val="19"/>
  </w:num>
  <w:num w:numId="34">
    <w:abstractNumId w:val="35"/>
  </w:num>
  <w:num w:numId="35">
    <w:abstractNumId w:val="36"/>
  </w:num>
  <w:num w:numId="36">
    <w:abstractNumId w:val="12"/>
  </w:num>
  <w:num w:numId="37">
    <w:abstractNumId w:val="40"/>
  </w:num>
  <w:num w:numId="38">
    <w:abstractNumId w:val="8"/>
  </w:num>
  <w:num w:numId="39">
    <w:abstractNumId w:val="22"/>
  </w:num>
  <w:num w:numId="40">
    <w:abstractNumId w:val="34"/>
  </w:num>
  <w:num w:numId="41">
    <w:abstractNumId w:val="28"/>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proofState w:spelling="clean"/>
  <w:attachedTemplate r:id="rId1"/>
  <w:stylePaneFormatFilter w:val="1021"/>
  <w:stylePaneSortMethod w:val="0000"/>
  <w:defaultTabStop w:val="720"/>
  <w:hyphenationZone w:val="283"/>
  <w:characterSpacingControl w:val="doNotCompress"/>
  <w:hdrShapeDefaults>
    <o:shapedefaults v:ext="edit" spidmax="37890"/>
    <o:shapelayout v:ext="edit">
      <o:idmap v:ext="edit" data="36"/>
    </o:shapelayout>
  </w:hdrShapeDefaults>
  <w:footnotePr>
    <w:footnote w:id="-1"/>
    <w:footnote w:id="0"/>
    <w:footnote w:id="1"/>
  </w:footnotePr>
  <w:endnotePr>
    <w:endnote w:id="-1"/>
    <w:endnote w:id="0"/>
    <w:endnote w:id="1"/>
  </w:endnotePr>
  <w:compat/>
  <w:rsids>
    <w:rsidRoot w:val="00BA392E"/>
    <w:rsid w:val="00000C27"/>
    <w:rsid w:val="00001471"/>
    <w:rsid w:val="0000197C"/>
    <w:rsid w:val="00002806"/>
    <w:rsid w:val="00004014"/>
    <w:rsid w:val="0000484F"/>
    <w:rsid w:val="00010FB3"/>
    <w:rsid w:val="00012C87"/>
    <w:rsid w:val="0001382A"/>
    <w:rsid w:val="00015B75"/>
    <w:rsid w:val="00016633"/>
    <w:rsid w:val="00020245"/>
    <w:rsid w:val="00021F0E"/>
    <w:rsid w:val="00022C1F"/>
    <w:rsid w:val="00023A29"/>
    <w:rsid w:val="00023FF6"/>
    <w:rsid w:val="0002535B"/>
    <w:rsid w:val="00026167"/>
    <w:rsid w:val="00026200"/>
    <w:rsid w:val="00026B17"/>
    <w:rsid w:val="0002760F"/>
    <w:rsid w:val="00027D8F"/>
    <w:rsid w:val="00032AAA"/>
    <w:rsid w:val="00032DF0"/>
    <w:rsid w:val="00033EC7"/>
    <w:rsid w:val="00034471"/>
    <w:rsid w:val="00034765"/>
    <w:rsid w:val="00036643"/>
    <w:rsid w:val="00040F5F"/>
    <w:rsid w:val="00044B04"/>
    <w:rsid w:val="00044FDB"/>
    <w:rsid w:val="0004615F"/>
    <w:rsid w:val="000465B9"/>
    <w:rsid w:val="00046BE3"/>
    <w:rsid w:val="00051A77"/>
    <w:rsid w:val="00052A7C"/>
    <w:rsid w:val="00053DFC"/>
    <w:rsid w:val="0005431A"/>
    <w:rsid w:val="00056315"/>
    <w:rsid w:val="00057649"/>
    <w:rsid w:val="000601FD"/>
    <w:rsid w:val="00063A7E"/>
    <w:rsid w:val="00064811"/>
    <w:rsid w:val="000651BD"/>
    <w:rsid w:val="0006563A"/>
    <w:rsid w:val="000661EB"/>
    <w:rsid w:val="0007055E"/>
    <w:rsid w:val="000711E3"/>
    <w:rsid w:val="000725C5"/>
    <w:rsid w:val="000731DA"/>
    <w:rsid w:val="00073FD2"/>
    <w:rsid w:val="0007419E"/>
    <w:rsid w:val="00076251"/>
    <w:rsid w:val="00076D22"/>
    <w:rsid w:val="00082233"/>
    <w:rsid w:val="00082B3B"/>
    <w:rsid w:val="0008397D"/>
    <w:rsid w:val="00085F4B"/>
    <w:rsid w:val="00086E39"/>
    <w:rsid w:val="00087314"/>
    <w:rsid w:val="000877E3"/>
    <w:rsid w:val="00090233"/>
    <w:rsid w:val="00090D19"/>
    <w:rsid w:val="00090E35"/>
    <w:rsid w:val="000914DA"/>
    <w:rsid w:val="000958F4"/>
    <w:rsid w:val="00096E5F"/>
    <w:rsid w:val="000A15BC"/>
    <w:rsid w:val="000A22D0"/>
    <w:rsid w:val="000A4373"/>
    <w:rsid w:val="000A4668"/>
    <w:rsid w:val="000A46D2"/>
    <w:rsid w:val="000A4A33"/>
    <w:rsid w:val="000A692A"/>
    <w:rsid w:val="000B11F8"/>
    <w:rsid w:val="000B1462"/>
    <w:rsid w:val="000B15CE"/>
    <w:rsid w:val="000B18A5"/>
    <w:rsid w:val="000B1F60"/>
    <w:rsid w:val="000B22C7"/>
    <w:rsid w:val="000B2404"/>
    <w:rsid w:val="000B2D31"/>
    <w:rsid w:val="000B4997"/>
    <w:rsid w:val="000B5E8D"/>
    <w:rsid w:val="000B6C5A"/>
    <w:rsid w:val="000C0CE1"/>
    <w:rsid w:val="000C1188"/>
    <w:rsid w:val="000C14CC"/>
    <w:rsid w:val="000C174E"/>
    <w:rsid w:val="000C257C"/>
    <w:rsid w:val="000C456A"/>
    <w:rsid w:val="000C614F"/>
    <w:rsid w:val="000C7C51"/>
    <w:rsid w:val="000D0B1B"/>
    <w:rsid w:val="000D1408"/>
    <w:rsid w:val="000D530A"/>
    <w:rsid w:val="000E132E"/>
    <w:rsid w:val="000E2DE9"/>
    <w:rsid w:val="000E4442"/>
    <w:rsid w:val="000E44F1"/>
    <w:rsid w:val="000E48C8"/>
    <w:rsid w:val="000E5A25"/>
    <w:rsid w:val="000E6C9A"/>
    <w:rsid w:val="000E7EB0"/>
    <w:rsid w:val="000F4F7B"/>
    <w:rsid w:val="000F7A43"/>
    <w:rsid w:val="000F7CDB"/>
    <w:rsid w:val="00102ACF"/>
    <w:rsid w:val="0010577A"/>
    <w:rsid w:val="00105861"/>
    <w:rsid w:val="001066F2"/>
    <w:rsid w:val="00117461"/>
    <w:rsid w:val="00120666"/>
    <w:rsid w:val="001208EC"/>
    <w:rsid w:val="001218B7"/>
    <w:rsid w:val="00121FDF"/>
    <w:rsid w:val="00122A29"/>
    <w:rsid w:val="00123314"/>
    <w:rsid w:val="001237F8"/>
    <w:rsid w:val="00124AF1"/>
    <w:rsid w:val="001257C4"/>
    <w:rsid w:val="00130750"/>
    <w:rsid w:val="00130B26"/>
    <w:rsid w:val="001327BB"/>
    <w:rsid w:val="00133393"/>
    <w:rsid w:val="00133588"/>
    <w:rsid w:val="0013575D"/>
    <w:rsid w:val="00137996"/>
    <w:rsid w:val="00137B74"/>
    <w:rsid w:val="00143314"/>
    <w:rsid w:val="00144888"/>
    <w:rsid w:val="001451C0"/>
    <w:rsid w:val="00146513"/>
    <w:rsid w:val="00146718"/>
    <w:rsid w:val="00147609"/>
    <w:rsid w:val="00147D62"/>
    <w:rsid w:val="00150B4A"/>
    <w:rsid w:val="00153A7A"/>
    <w:rsid w:val="001570D8"/>
    <w:rsid w:val="00160603"/>
    <w:rsid w:val="0016147A"/>
    <w:rsid w:val="00162965"/>
    <w:rsid w:val="0016302E"/>
    <w:rsid w:val="00164C33"/>
    <w:rsid w:val="00167EA4"/>
    <w:rsid w:val="0017085D"/>
    <w:rsid w:val="001710D8"/>
    <w:rsid w:val="00171A16"/>
    <w:rsid w:val="00172D2A"/>
    <w:rsid w:val="00173E6D"/>
    <w:rsid w:val="001759E9"/>
    <w:rsid w:val="00176897"/>
    <w:rsid w:val="00177359"/>
    <w:rsid w:val="0017759F"/>
    <w:rsid w:val="00181FB9"/>
    <w:rsid w:val="001824C6"/>
    <w:rsid w:val="00184641"/>
    <w:rsid w:val="00184E81"/>
    <w:rsid w:val="00186C80"/>
    <w:rsid w:val="00187BDC"/>
    <w:rsid w:val="00191543"/>
    <w:rsid w:val="00191A69"/>
    <w:rsid w:val="00193453"/>
    <w:rsid w:val="00196901"/>
    <w:rsid w:val="00196F4B"/>
    <w:rsid w:val="001A20B2"/>
    <w:rsid w:val="001A250A"/>
    <w:rsid w:val="001A25BE"/>
    <w:rsid w:val="001A2E55"/>
    <w:rsid w:val="001A3931"/>
    <w:rsid w:val="001A6492"/>
    <w:rsid w:val="001A79C2"/>
    <w:rsid w:val="001A7C10"/>
    <w:rsid w:val="001B239A"/>
    <w:rsid w:val="001B267F"/>
    <w:rsid w:val="001B752E"/>
    <w:rsid w:val="001B76B4"/>
    <w:rsid w:val="001C0C03"/>
    <w:rsid w:val="001C1267"/>
    <w:rsid w:val="001C5D53"/>
    <w:rsid w:val="001C7DCC"/>
    <w:rsid w:val="001D5789"/>
    <w:rsid w:val="001D79EE"/>
    <w:rsid w:val="001D7BD4"/>
    <w:rsid w:val="001D7E40"/>
    <w:rsid w:val="001D7F5A"/>
    <w:rsid w:val="001E02B4"/>
    <w:rsid w:val="001E421D"/>
    <w:rsid w:val="001E4D97"/>
    <w:rsid w:val="001E778C"/>
    <w:rsid w:val="001E77D8"/>
    <w:rsid w:val="001E7C00"/>
    <w:rsid w:val="001F01C2"/>
    <w:rsid w:val="001F10CA"/>
    <w:rsid w:val="001F13C5"/>
    <w:rsid w:val="001F1FAF"/>
    <w:rsid w:val="001F5881"/>
    <w:rsid w:val="002004E1"/>
    <w:rsid w:val="00202B6A"/>
    <w:rsid w:val="002032A8"/>
    <w:rsid w:val="00205356"/>
    <w:rsid w:val="00205AEB"/>
    <w:rsid w:val="00206395"/>
    <w:rsid w:val="0021309B"/>
    <w:rsid w:val="002144A5"/>
    <w:rsid w:val="002144C0"/>
    <w:rsid w:val="002211D8"/>
    <w:rsid w:val="00224156"/>
    <w:rsid w:val="002243BF"/>
    <w:rsid w:val="00225C00"/>
    <w:rsid w:val="00227592"/>
    <w:rsid w:val="0022792E"/>
    <w:rsid w:val="00230216"/>
    <w:rsid w:val="002319AC"/>
    <w:rsid w:val="00231A0A"/>
    <w:rsid w:val="0023251A"/>
    <w:rsid w:val="002326C3"/>
    <w:rsid w:val="00232D5A"/>
    <w:rsid w:val="00235902"/>
    <w:rsid w:val="00241146"/>
    <w:rsid w:val="00241C7D"/>
    <w:rsid w:val="0024278C"/>
    <w:rsid w:val="0024341C"/>
    <w:rsid w:val="0024491C"/>
    <w:rsid w:val="00246197"/>
    <w:rsid w:val="00246C22"/>
    <w:rsid w:val="00250578"/>
    <w:rsid w:val="00251451"/>
    <w:rsid w:val="00254F5E"/>
    <w:rsid w:val="00255FCE"/>
    <w:rsid w:val="0025664F"/>
    <w:rsid w:val="002570E0"/>
    <w:rsid w:val="00260A2E"/>
    <w:rsid w:val="00260AFF"/>
    <w:rsid w:val="00261A9A"/>
    <w:rsid w:val="00262227"/>
    <w:rsid w:val="00264489"/>
    <w:rsid w:val="002665E8"/>
    <w:rsid w:val="00266BE2"/>
    <w:rsid w:val="002711F9"/>
    <w:rsid w:val="0027175E"/>
    <w:rsid w:val="002717A8"/>
    <w:rsid w:val="00271E0F"/>
    <w:rsid w:val="002736A6"/>
    <w:rsid w:val="002741F5"/>
    <w:rsid w:val="0027454D"/>
    <w:rsid w:val="00284DB7"/>
    <w:rsid w:val="0028547C"/>
    <w:rsid w:val="00286BB0"/>
    <w:rsid w:val="00287884"/>
    <w:rsid w:val="002912CE"/>
    <w:rsid w:val="00295A24"/>
    <w:rsid w:val="002968E5"/>
    <w:rsid w:val="00297C37"/>
    <w:rsid w:val="002A09F3"/>
    <w:rsid w:val="002A46D0"/>
    <w:rsid w:val="002A4D9E"/>
    <w:rsid w:val="002A4F11"/>
    <w:rsid w:val="002A5D09"/>
    <w:rsid w:val="002A6A58"/>
    <w:rsid w:val="002B1649"/>
    <w:rsid w:val="002B1825"/>
    <w:rsid w:val="002B389C"/>
    <w:rsid w:val="002B41C5"/>
    <w:rsid w:val="002B6C11"/>
    <w:rsid w:val="002C019D"/>
    <w:rsid w:val="002C01E3"/>
    <w:rsid w:val="002C1598"/>
    <w:rsid w:val="002C26D0"/>
    <w:rsid w:val="002C2C13"/>
    <w:rsid w:val="002C4065"/>
    <w:rsid w:val="002C53BF"/>
    <w:rsid w:val="002C587D"/>
    <w:rsid w:val="002C6DFB"/>
    <w:rsid w:val="002C7091"/>
    <w:rsid w:val="002D0C9B"/>
    <w:rsid w:val="002D2C8A"/>
    <w:rsid w:val="002D76D7"/>
    <w:rsid w:val="002D7D55"/>
    <w:rsid w:val="002E39CB"/>
    <w:rsid w:val="002E56B7"/>
    <w:rsid w:val="002F3897"/>
    <w:rsid w:val="002F3898"/>
    <w:rsid w:val="002F4473"/>
    <w:rsid w:val="002F71E7"/>
    <w:rsid w:val="002F787A"/>
    <w:rsid w:val="0030136B"/>
    <w:rsid w:val="00302E62"/>
    <w:rsid w:val="0030502F"/>
    <w:rsid w:val="003052F7"/>
    <w:rsid w:val="003053C1"/>
    <w:rsid w:val="003128C0"/>
    <w:rsid w:val="003131E6"/>
    <w:rsid w:val="00320788"/>
    <w:rsid w:val="003211FF"/>
    <w:rsid w:val="00321914"/>
    <w:rsid w:val="003227A1"/>
    <w:rsid w:val="0032387A"/>
    <w:rsid w:val="00323DAF"/>
    <w:rsid w:val="00324F39"/>
    <w:rsid w:val="003257B5"/>
    <w:rsid w:val="00325DFA"/>
    <w:rsid w:val="003262A7"/>
    <w:rsid w:val="003313CD"/>
    <w:rsid w:val="003329C5"/>
    <w:rsid w:val="00332D61"/>
    <w:rsid w:val="00333BD6"/>
    <w:rsid w:val="00333DCA"/>
    <w:rsid w:val="00334131"/>
    <w:rsid w:val="00335347"/>
    <w:rsid w:val="00335475"/>
    <w:rsid w:val="00335B09"/>
    <w:rsid w:val="00335CE3"/>
    <w:rsid w:val="003419D7"/>
    <w:rsid w:val="00341A45"/>
    <w:rsid w:val="00342EE4"/>
    <w:rsid w:val="0034439B"/>
    <w:rsid w:val="003470CE"/>
    <w:rsid w:val="00347B1F"/>
    <w:rsid w:val="00347B8E"/>
    <w:rsid w:val="00347FC4"/>
    <w:rsid w:val="00350A17"/>
    <w:rsid w:val="00352872"/>
    <w:rsid w:val="00352D55"/>
    <w:rsid w:val="00356621"/>
    <w:rsid w:val="00356D7D"/>
    <w:rsid w:val="00361969"/>
    <w:rsid w:val="00364899"/>
    <w:rsid w:val="00365064"/>
    <w:rsid w:val="003674BA"/>
    <w:rsid w:val="00371356"/>
    <w:rsid w:val="0037185C"/>
    <w:rsid w:val="00371A99"/>
    <w:rsid w:val="003739D9"/>
    <w:rsid w:val="00375B95"/>
    <w:rsid w:val="00376CEF"/>
    <w:rsid w:val="00376D7D"/>
    <w:rsid w:val="003773BD"/>
    <w:rsid w:val="003778AC"/>
    <w:rsid w:val="003779B8"/>
    <w:rsid w:val="00380564"/>
    <w:rsid w:val="003832C9"/>
    <w:rsid w:val="0038508E"/>
    <w:rsid w:val="00385697"/>
    <w:rsid w:val="0038793F"/>
    <w:rsid w:val="00387C33"/>
    <w:rsid w:val="00387E50"/>
    <w:rsid w:val="00390456"/>
    <w:rsid w:val="00390AD3"/>
    <w:rsid w:val="00390FC6"/>
    <w:rsid w:val="00391C91"/>
    <w:rsid w:val="003935B5"/>
    <w:rsid w:val="00393BC2"/>
    <w:rsid w:val="003963D6"/>
    <w:rsid w:val="00396482"/>
    <w:rsid w:val="00397EB7"/>
    <w:rsid w:val="003A02F2"/>
    <w:rsid w:val="003A2711"/>
    <w:rsid w:val="003A491F"/>
    <w:rsid w:val="003A4B46"/>
    <w:rsid w:val="003A51F4"/>
    <w:rsid w:val="003A57CE"/>
    <w:rsid w:val="003A60E9"/>
    <w:rsid w:val="003A7A98"/>
    <w:rsid w:val="003A7B05"/>
    <w:rsid w:val="003A7E8B"/>
    <w:rsid w:val="003B2C26"/>
    <w:rsid w:val="003B3292"/>
    <w:rsid w:val="003B365C"/>
    <w:rsid w:val="003C0991"/>
    <w:rsid w:val="003C0BBD"/>
    <w:rsid w:val="003C2413"/>
    <w:rsid w:val="003C5133"/>
    <w:rsid w:val="003C52FF"/>
    <w:rsid w:val="003C5605"/>
    <w:rsid w:val="003C6DBB"/>
    <w:rsid w:val="003C7710"/>
    <w:rsid w:val="003C7BE0"/>
    <w:rsid w:val="003D0ADD"/>
    <w:rsid w:val="003D191A"/>
    <w:rsid w:val="003D1AC9"/>
    <w:rsid w:val="003D34CE"/>
    <w:rsid w:val="003D37C7"/>
    <w:rsid w:val="003D3840"/>
    <w:rsid w:val="003D4D0D"/>
    <w:rsid w:val="003E1D9F"/>
    <w:rsid w:val="003E227F"/>
    <w:rsid w:val="003E3375"/>
    <w:rsid w:val="003E367D"/>
    <w:rsid w:val="003E570B"/>
    <w:rsid w:val="003F1F85"/>
    <w:rsid w:val="003F2542"/>
    <w:rsid w:val="003F3AD4"/>
    <w:rsid w:val="003F41F5"/>
    <w:rsid w:val="003F454E"/>
    <w:rsid w:val="003F4880"/>
    <w:rsid w:val="003F4C4B"/>
    <w:rsid w:val="00402EA3"/>
    <w:rsid w:val="00412128"/>
    <w:rsid w:val="0041280F"/>
    <w:rsid w:val="00420769"/>
    <w:rsid w:val="00422580"/>
    <w:rsid w:val="004234C4"/>
    <w:rsid w:val="004238F0"/>
    <w:rsid w:val="00425069"/>
    <w:rsid w:val="00427196"/>
    <w:rsid w:val="004278CE"/>
    <w:rsid w:val="00433F49"/>
    <w:rsid w:val="00436CEA"/>
    <w:rsid w:val="0043705C"/>
    <w:rsid w:val="00442770"/>
    <w:rsid w:val="004444AA"/>
    <w:rsid w:val="00445CC9"/>
    <w:rsid w:val="00446596"/>
    <w:rsid w:val="0045015E"/>
    <w:rsid w:val="00451D4F"/>
    <w:rsid w:val="00452BD9"/>
    <w:rsid w:val="00452D91"/>
    <w:rsid w:val="00453722"/>
    <w:rsid w:val="004571B5"/>
    <w:rsid w:val="0046393F"/>
    <w:rsid w:val="00465680"/>
    <w:rsid w:val="00466D82"/>
    <w:rsid w:val="00472540"/>
    <w:rsid w:val="0047375B"/>
    <w:rsid w:val="00475244"/>
    <w:rsid w:val="0047635F"/>
    <w:rsid w:val="004765EC"/>
    <w:rsid w:val="00476699"/>
    <w:rsid w:val="004766EF"/>
    <w:rsid w:val="004774CE"/>
    <w:rsid w:val="00477C0E"/>
    <w:rsid w:val="0048024F"/>
    <w:rsid w:val="00480A1E"/>
    <w:rsid w:val="00480E53"/>
    <w:rsid w:val="004831DA"/>
    <w:rsid w:val="00483C1A"/>
    <w:rsid w:val="00484026"/>
    <w:rsid w:val="004852E6"/>
    <w:rsid w:val="00485860"/>
    <w:rsid w:val="004859E9"/>
    <w:rsid w:val="004872FB"/>
    <w:rsid w:val="00487B5E"/>
    <w:rsid w:val="004908E6"/>
    <w:rsid w:val="00490E1A"/>
    <w:rsid w:val="0049244A"/>
    <w:rsid w:val="00493F3B"/>
    <w:rsid w:val="004957FC"/>
    <w:rsid w:val="00495838"/>
    <w:rsid w:val="00496A1E"/>
    <w:rsid w:val="00496D33"/>
    <w:rsid w:val="004A3064"/>
    <w:rsid w:val="004A3B8A"/>
    <w:rsid w:val="004A4D3F"/>
    <w:rsid w:val="004A4F76"/>
    <w:rsid w:val="004A58DB"/>
    <w:rsid w:val="004A70F2"/>
    <w:rsid w:val="004B154E"/>
    <w:rsid w:val="004B5377"/>
    <w:rsid w:val="004B56D5"/>
    <w:rsid w:val="004B59C2"/>
    <w:rsid w:val="004B5A9B"/>
    <w:rsid w:val="004B5D72"/>
    <w:rsid w:val="004B6281"/>
    <w:rsid w:val="004B6751"/>
    <w:rsid w:val="004B7533"/>
    <w:rsid w:val="004C0F7E"/>
    <w:rsid w:val="004C1465"/>
    <w:rsid w:val="004C1495"/>
    <w:rsid w:val="004C1C04"/>
    <w:rsid w:val="004C38F1"/>
    <w:rsid w:val="004C5C05"/>
    <w:rsid w:val="004D1682"/>
    <w:rsid w:val="004D16C3"/>
    <w:rsid w:val="004D3EA2"/>
    <w:rsid w:val="004D4355"/>
    <w:rsid w:val="004D52F7"/>
    <w:rsid w:val="004D5F6A"/>
    <w:rsid w:val="004D6331"/>
    <w:rsid w:val="004D7A2E"/>
    <w:rsid w:val="004E0121"/>
    <w:rsid w:val="004E39BE"/>
    <w:rsid w:val="004E3A0F"/>
    <w:rsid w:val="004E5E93"/>
    <w:rsid w:val="004E7669"/>
    <w:rsid w:val="004F1684"/>
    <w:rsid w:val="004F2826"/>
    <w:rsid w:val="004F29F8"/>
    <w:rsid w:val="004F2A01"/>
    <w:rsid w:val="004F43AB"/>
    <w:rsid w:val="004F4C9A"/>
    <w:rsid w:val="004F5381"/>
    <w:rsid w:val="004F66E1"/>
    <w:rsid w:val="004F6713"/>
    <w:rsid w:val="004F769C"/>
    <w:rsid w:val="004F7719"/>
    <w:rsid w:val="00501782"/>
    <w:rsid w:val="00502B1E"/>
    <w:rsid w:val="00503E93"/>
    <w:rsid w:val="005107CA"/>
    <w:rsid w:val="00513B00"/>
    <w:rsid w:val="00514032"/>
    <w:rsid w:val="005146FD"/>
    <w:rsid w:val="00515351"/>
    <w:rsid w:val="00515627"/>
    <w:rsid w:val="00516BB7"/>
    <w:rsid w:val="00516CD3"/>
    <w:rsid w:val="00516FD0"/>
    <w:rsid w:val="005205BA"/>
    <w:rsid w:val="00521C06"/>
    <w:rsid w:val="00522FB8"/>
    <w:rsid w:val="00523D23"/>
    <w:rsid w:val="00524569"/>
    <w:rsid w:val="00524B05"/>
    <w:rsid w:val="00526369"/>
    <w:rsid w:val="005323CD"/>
    <w:rsid w:val="005343B3"/>
    <w:rsid w:val="0053442C"/>
    <w:rsid w:val="00534915"/>
    <w:rsid w:val="0053511B"/>
    <w:rsid w:val="00541524"/>
    <w:rsid w:val="00541FDF"/>
    <w:rsid w:val="0054235E"/>
    <w:rsid w:val="0054247C"/>
    <w:rsid w:val="005426F5"/>
    <w:rsid w:val="00542F21"/>
    <w:rsid w:val="005462DE"/>
    <w:rsid w:val="00547A17"/>
    <w:rsid w:val="00550095"/>
    <w:rsid w:val="00550A8B"/>
    <w:rsid w:val="00551FD8"/>
    <w:rsid w:val="005529DB"/>
    <w:rsid w:val="005556F5"/>
    <w:rsid w:val="00556D1B"/>
    <w:rsid w:val="0055786B"/>
    <w:rsid w:val="005635CC"/>
    <w:rsid w:val="005655BD"/>
    <w:rsid w:val="00567693"/>
    <w:rsid w:val="00567C6B"/>
    <w:rsid w:val="0057025D"/>
    <w:rsid w:val="005707AD"/>
    <w:rsid w:val="00571E22"/>
    <w:rsid w:val="0057264C"/>
    <w:rsid w:val="00572DF4"/>
    <w:rsid w:val="00573D5D"/>
    <w:rsid w:val="00575E7A"/>
    <w:rsid w:val="005811D8"/>
    <w:rsid w:val="00581616"/>
    <w:rsid w:val="00582CCD"/>
    <w:rsid w:val="0058472A"/>
    <w:rsid w:val="005849DB"/>
    <w:rsid w:val="00585FD3"/>
    <w:rsid w:val="00587C54"/>
    <w:rsid w:val="00590991"/>
    <w:rsid w:val="00593B29"/>
    <w:rsid w:val="00594053"/>
    <w:rsid w:val="00595F9A"/>
    <w:rsid w:val="005969D1"/>
    <w:rsid w:val="005A038B"/>
    <w:rsid w:val="005A2360"/>
    <w:rsid w:val="005B2831"/>
    <w:rsid w:val="005B408E"/>
    <w:rsid w:val="005C0013"/>
    <w:rsid w:val="005C05F2"/>
    <w:rsid w:val="005C301B"/>
    <w:rsid w:val="005C3C80"/>
    <w:rsid w:val="005C4F93"/>
    <w:rsid w:val="005C508F"/>
    <w:rsid w:val="005C6034"/>
    <w:rsid w:val="005C6CBD"/>
    <w:rsid w:val="005C70BC"/>
    <w:rsid w:val="005D1CAD"/>
    <w:rsid w:val="005D20AC"/>
    <w:rsid w:val="005D368E"/>
    <w:rsid w:val="005D5124"/>
    <w:rsid w:val="005D703A"/>
    <w:rsid w:val="005D75F1"/>
    <w:rsid w:val="005E1779"/>
    <w:rsid w:val="005E1D4F"/>
    <w:rsid w:val="005E36CF"/>
    <w:rsid w:val="005E4145"/>
    <w:rsid w:val="005E47FD"/>
    <w:rsid w:val="005E5E40"/>
    <w:rsid w:val="005E71ED"/>
    <w:rsid w:val="005E7F68"/>
    <w:rsid w:val="005F04E1"/>
    <w:rsid w:val="005F3D0B"/>
    <w:rsid w:val="005F3D3E"/>
    <w:rsid w:val="005F4418"/>
    <w:rsid w:val="005F5621"/>
    <w:rsid w:val="005F5791"/>
    <w:rsid w:val="005F5EE8"/>
    <w:rsid w:val="005F6252"/>
    <w:rsid w:val="005F7C22"/>
    <w:rsid w:val="00600293"/>
    <w:rsid w:val="00601238"/>
    <w:rsid w:val="00602296"/>
    <w:rsid w:val="00602F06"/>
    <w:rsid w:val="00604BB5"/>
    <w:rsid w:val="006077E2"/>
    <w:rsid w:val="00611107"/>
    <w:rsid w:val="0061142B"/>
    <w:rsid w:val="006128DE"/>
    <w:rsid w:val="00613054"/>
    <w:rsid w:val="00613F82"/>
    <w:rsid w:val="00614BBC"/>
    <w:rsid w:val="0061562D"/>
    <w:rsid w:val="006158A5"/>
    <w:rsid w:val="00616E38"/>
    <w:rsid w:val="0061723C"/>
    <w:rsid w:val="006217D5"/>
    <w:rsid w:val="0062579D"/>
    <w:rsid w:val="00625A36"/>
    <w:rsid w:val="00627F18"/>
    <w:rsid w:val="0063082B"/>
    <w:rsid w:val="006318ED"/>
    <w:rsid w:val="006357F9"/>
    <w:rsid w:val="00637959"/>
    <w:rsid w:val="00641BA8"/>
    <w:rsid w:val="0064210D"/>
    <w:rsid w:val="00642A81"/>
    <w:rsid w:val="00642BB3"/>
    <w:rsid w:val="00647EED"/>
    <w:rsid w:val="0065307A"/>
    <w:rsid w:val="006532D6"/>
    <w:rsid w:val="00657420"/>
    <w:rsid w:val="00661790"/>
    <w:rsid w:val="006641C2"/>
    <w:rsid w:val="0066589B"/>
    <w:rsid w:val="00666C72"/>
    <w:rsid w:val="00667720"/>
    <w:rsid w:val="006700CA"/>
    <w:rsid w:val="00670977"/>
    <w:rsid w:val="0067133C"/>
    <w:rsid w:val="006721B3"/>
    <w:rsid w:val="006723F2"/>
    <w:rsid w:val="00672C67"/>
    <w:rsid w:val="00673B8A"/>
    <w:rsid w:val="00677CED"/>
    <w:rsid w:val="00680DE0"/>
    <w:rsid w:val="006831C4"/>
    <w:rsid w:val="006838E5"/>
    <w:rsid w:val="00683D80"/>
    <w:rsid w:val="00693821"/>
    <w:rsid w:val="0069601D"/>
    <w:rsid w:val="00696A17"/>
    <w:rsid w:val="006A036F"/>
    <w:rsid w:val="006A2283"/>
    <w:rsid w:val="006A25FE"/>
    <w:rsid w:val="006A32F0"/>
    <w:rsid w:val="006A4112"/>
    <w:rsid w:val="006A5400"/>
    <w:rsid w:val="006A5925"/>
    <w:rsid w:val="006A640F"/>
    <w:rsid w:val="006A6480"/>
    <w:rsid w:val="006B1FCB"/>
    <w:rsid w:val="006B2373"/>
    <w:rsid w:val="006B47F3"/>
    <w:rsid w:val="006B4921"/>
    <w:rsid w:val="006B71BF"/>
    <w:rsid w:val="006C0D3A"/>
    <w:rsid w:val="006C4EF6"/>
    <w:rsid w:val="006C62D4"/>
    <w:rsid w:val="006D1A8D"/>
    <w:rsid w:val="006D2764"/>
    <w:rsid w:val="006D46B9"/>
    <w:rsid w:val="006D5213"/>
    <w:rsid w:val="006D6BB3"/>
    <w:rsid w:val="006D72AF"/>
    <w:rsid w:val="006D775F"/>
    <w:rsid w:val="006E1CFD"/>
    <w:rsid w:val="006E289F"/>
    <w:rsid w:val="006E4C86"/>
    <w:rsid w:val="006E5A55"/>
    <w:rsid w:val="006E6DED"/>
    <w:rsid w:val="006F4E42"/>
    <w:rsid w:val="006F5856"/>
    <w:rsid w:val="006F68B8"/>
    <w:rsid w:val="006F6BC9"/>
    <w:rsid w:val="006F723E"/>
    <w:rsid w:val="006F7679"/>
    <w:rsid w:val="006F7E3A"/>
    <w:rsid w:val="006F7EC1"/>
    <w:rsid w:val="006F7FEE"/>
    <w:rsid w:val="007005E9"/>
    <w:rsid w:val="00701E36"/>
    <w:rsid w:val="00702042"/>
    <w:rsid w:val="00702D3D"/>
    <w:rsid w:val="00703411"/>
    <w:rsid w:val="0070383E"/>
    <w:rsid w:val="00704E3F"/>
    <w:rsid w:val="007054DF"/>
    <w:rsid w:val="00705578"/>
    <w:rsid w:val="00707E24"/>
    <w:rsid w:val="00712040"/>
    <w:rsid w:val="00712358"/>
    <w:rsid w:val="00712DD4"/>
    <w:rsid w:val="00713A3C"/>
    <w:rsid w:val="00715919"/>
    <w:rsid w:val="0072026D"/>
    <w:rsid w:val="00720922"/>
    <w:rsid w:val="00723732"/>
    <w:rsid w:val="00726AA3"/>
    <w:rsid w:val="007270FB"/>
    <w:rsid w:val="00727A95"/>
    <w:rsid w:val="0073072A"/>
    <w:rsid w:val="00731166"/>
    <w:rsid w:val="00731E32"/>
    <w:rsid w:val="00732111"/>
    <w:rsid w:val="007330CB"/>
    <w:rsid w:val="007333E1"/>
    <w:rsid w:val="00737122"/>
    <w:rsid w:val="007417CA"/>
    <w:rsid w:val="00745F31"/>
    <w:rsid w:val="00746FDC"/>
    <w:rsid w:val="0075042F"/>
    <w:rsid w:val="00750C84"/>
    <w:rsid w:val="00751238"/>
    <w:rsid w:val="00765E1C"/>
    <w:rsid w:val="00772560"/>
    <w:rsid w:val="00772962"/>
    <w:rsid w:val="00774AD3"/>
    <w:rsid w:val="0077714E"/>
    <w:rsid w:val="00780164"/>
    <w:rsid w:val="007811A5"/>
    <w:rsid w:val="00781B0C"/>
    <w:rsid w:val="00785067"/>
    <w:rsid w:val="007866EB"/>
    <w:rsid w:val="00787AD5"/>
    <w:rsid w:val="00790472"/>
    <w:rsid w:val="007910BD"/>
    <w:rsid w:val="0079345F"/>
    <w:rsid w:val="007957E5"/>
    <w:rsid w:val="007A2D56"/>
    <w:rsid w:val="007A5322"/>
    <w:rsid w:val="007A7EF3"/>
    <w:rsid w:val="007B06F3"/>
    <w:rsid w:val="007B0770"/>
    <w:rsid w:val="007B2140"/>
    <w:rsid w:val="007B29CB"/>
    <w:rsid w:val="007B2E0C"/>
    <w:rsid w:val="007B316A"/>
    <w:rsid w:val="007B32CC"/>
    <w:rsid w:val="007B5C10"/>
    <w:rsid w:val="007B5F6E"/>
    <w:rsid w:val="007B74EE"/>
    <w:rsid w:val="007B7C97"/>
    <w:rsid w:val="007C07D0"/>
    <w:rsid w:val="007C2E36"/>
    <w:rsid w:val="007C455D"/>
    <w:rsid w:val="007C55A6"/>
    <w:rsid w:val="007C7F87"/>
    <w:rsid w:val="007D19A4"/>
    <w:rsid w:val="007D218B"/>
    <w:rsid w:val="007D38D1"/>
    <w:rsid w:val="007D40EC"/>
    <w:rsid w:val="007D464B"/>
    <w:rsid w:val="007D4A1D"/>
    <w:rsid w:val="007D591A"/>
    <w:rsid w:val="007E32DC"/>
    <w:rsid w:val="007E3390"/>
    <w:rsid w:val="007E386D"/>
    <w:rsid w:val="007E3895"/>
    <w:rsid w:val="007E495C"/>
    <w:rsid w:val="007E4ED2"/>
    <w:rsid w:val="007E4FC8"/>
    <w:rsid w:val="007E6A63"/>
    <w:rsid w:val="007F0D26"/>
    <w:rsid w:val="007F1A56"/>
    <w:rsid w:val="007F1CAC"/>
    <w:rsid w:val="007F50A6"/>
    <w:rsid w:val="007F516E"/>
    <w:rsid w:val="007F78CC"/>
    <w:rsid w:val="007F7D71"/>
    <w:rsid w:val="007F7EEF"/>
    <w:rsid w:val="008014E6"/>
    <w:rsid w:val="00801AAE"/>
    <w:rsid w:val="00801B2B"/>
    <w:rsid w:val="00804426"/>
    <w:rsid w:val="00804DF7"/>
    <w:rsid w:val="008053ED"/>
    <w:rsid w:val="008058B8"/>
    <w:rsid w:val="00806FAA"/>
    <w:rsid w:val="008105F1"/>
    <w:rsid w:val="00810D96"/>
    <w:rsid w:val="00811ABF"/>
    <w:rsid w:val="008139E6"/>
    <w:rsid w:val="00817E17"/>
    <w:rsid w:val="0082053D"/>
    <w:rsid w:val="00821686"/>
    <w:rsid w:val="00822FE3"/>
    <w:rsid w:val="0082354B"/>
    <w:rsid w:val="00823E4D"/>
    <w:rsid w:val="00824157"/>
    <w:rsid w:val="0082457F"/>
    <w:rsid w:val="008301A7"/>
    <w:rsid w:val="00835E5C"/>
    <w:rsid w:val="00844F4E"/>
    <w:rsid w:val="00845CDE"/>
    <w:rsid w:val="008462ED"/>
    <w:rsid w:val="008505AF"/>
    <w:rsid w:val="008507EB"/>
    <w:rsid w:val="00852C0C"/>
    <w:rsid w:val="0085368C"/>
    <w:rsid w:val="008558F7"/>
    <w:rsid w:val="00855F84"/>
    <w:rsid w:val="0086007B"/>
    <w:rsid w:val="00861DC3"/>
    <w:rsid w:val="00864A3E"/>
    <w:rsid w:val="00865DC9"/>
    <w:rsid w:val="00870C5C"/>
    <w:rsid w:val="008721D5"/>
    <w:rsid w:val="008726C9"/>
    <w:rsid w:val="00873485"/>
    <w:rsid w:val="00873F45"/>
    <w:rsid w:val="00874A06"/>
    <w:rsid w:val="00875D52"/>
    <w:rsid w:val="00876715"/>
    <w:rsid w:val="00885CEE"/>
    <w:rsid w:val="008912A9"/>
    <w:rsid w:val="0089207D"/>
    <w:rsid w:val="00895C94"/>
    <w:rsid w:val="00895D0E"/>
    <w:rsid w:val="00895FE6"/>
    <w:rsid w:val="00896288"/>
    <w:rsid w:val="00897774"/>
    <w:rsid w:val="00897956"/>
    <w:rsid w:val="008A1866"/>
    <w:rsid w:val="008A401A"/>
    <w:rsid w:val="008A44B2"/>
    <w:rsid w:val="008A61FE"/>
    <w:rsid w:val="008B1841"/>
    <w:rsid w:val="008B2954"/>
    <w:rsid w:val="008B2F3D"/>
    <w:rsid w:val="008B4E66"/>
    <w:rsid w:val="008B57F6"/>
    <w:rsid w:val="008B6334"/>
    <w:rsid w:val="008B69C2"/>
    <w:rsid w:val="008B7159"/>
    <w:rsid w:val="008C0947"/>
    <w:rsid w:val="008C14C9"/>
    <w:rsid w:val="008C5D0B"/>
    <w:rsid w:val="008C75E6"/>
    <w:rsid w:val="008C7DAF"/>
    <w:rsid w:val="008C7ED3"/>
    <w:rsid w:val="008D0D91"/>
    <w:rsid w:val="008D3FCE"/>
    <w:rsid w:val="008D6530"/>
    <w:rsid w:val="008D7678"/>
    <w:rsid w:val="008E0A10"/>
    <w:rsid w:val="008E0CD7"/>
    <w:rsid w:val="008E0F22"/>
    <w:rsid w:val="008E2ABE"/>
    <w:rsid w:val="008E482D"/>
    <w:rsid w:val="008E4A5D"/>
    <w:rsid w:val="008E4CA6"/>
    <w:rsid w:val="008E5965"/>
    <w:rsid w:val="008E63B9"/>
    <w:rsid w:val="008E69B0"/>
    <w:rsid w:val="008F2FD1"/>
    <w:rsid w:val="008F504E"/>
    <w:rsid w:val="008F67AA"/>
    <w:rsid w:val="009005B2"/>
    <w:rsid w:val="009017DA"/>
    <w:rsid w:val="00902503"/>
    <w:rsid w:val="00902889"/>
    <w:rsid w:val="0090305C"/>
    <w:rsid w:val="00904292"/>
    <w:rsid w:val="009042D1"/>
    <w:rsid w:val="00906D2C"/>
    <w:rsid w:val="009070C3"/>
    <w:rsid w:val="00912C76"/>
    <w:rsid w:val="009130B4"/>
    <w:rsid w:val="00915A71"/>
    <w:rsid w:val="0091741A"/>
    <w:rsid w:val="00917CE7"/>
    <w:rsid w:val="00921361"/>
    <w:rsid w:val="00924303"/>
    <w:rsid w:val="00926927"/>
    <w:rsid w:val="009271F5"/>
    <w:rsid w:val="009328AE"/>
    <w:rsid w:val="00935E1F"/>
    <w:rsid w:val="00936C82"/>
    <w:rsid w:val="00940E60"/>
    <w:rsid w:val="00941A29"/>
    <w:rsid w:val="00944C0D"/>
    <w:rsid w:val="00944C3D"/>
    <w:rsid w:val="00947C16"/>
    <w:rsid w:val="00947C7C"/>
    <w:rsid w:val="009525A2"/>
    <w:rsid w:val="00952D0F"/>
    <w:rsid w:val="00955695"/>
    <w:rsid w:val="00955CA4"/>
    <w:rsid w:val="0095638A"/>
    <w:rsid w:val="009563B9"/>
    <w:rsid w:val="00957251"/>
    <w:rsid w:val="00957289"/>
    <w:rsid w:val="009575C6"/>
    <w:rsid w:val="00957803"/>
    <w:rsid w:val="00964E03"/>
    <w:rsid w:val="009662B1"/>
    <w:rsid w:val="009704AA"/>
    <w:rsid w:val="00972C01"/>
    <w:rsid w:val="0097362F"/>
    <w:rsid w:val="00975635"/>
    <w:rsid w:val="00975B99"/>
    <w:rsid w:val="00977D41"/>
    <w:rsid w:val="00980151"/>
    <w:rsid w:val="00980A76"/>
    <w:rsid w:val="00980B00"/>
    <w:rsid w:val="009815CE"/>
    <w:rsid w:val="009816C5"/>
    <w:rsid w:val="0098178D"/>
    <w:rsid w:val="00984DA8"/>
    <w:rsid w:val="0098565F"/>
    <w:rsid w:val="0098707A"/>
    <w:rsid w:val="009872B6"/>
    <w:rsid w:val="00990C1B"/>
    <w:rsid w:val="0099340C"/>
    <w:rsid w:val="00996579"/>
    <w:rsid w:val="00996C18"/>
    <w:rsid w:val="009A42C1"/>
    <w:rsid w:val="009A57F9"/>
    <w:rsid w:val="009A6006"/>
    <w:rsid w:val="009A668F"/>
    <w:rsid w:val="009A6842"/>
    <w:rsid w:val="009A7476"/>
    <w:rsid w:val="009A7555"/>
    <w:rsid w:val="009B0C9A"/>
    <w:rsid w:val="009B1DE3"/>
    <w:rsid w:val="009B29BC"/>
    <w:rsid w:val="009B2F0C"/>
    <w:rsid w:val="009B506B"/>
    <w:rsid w:val="009B55FD"/>
    <w:rsid w:val="009B5B79"/>
    <w:rsid w:val="009B5EE7"/>
    <w:rsid w:val="009B6121"/>
    <w:rsid w:val="009B7BAB"/>
    <w:rsid w:val="009B7ED9"/>
    <w:rsid w:val="009C4C83"/>
    <w:rsid w:val="009C5BF9"/>
    <w:rsid w:val="009C643C"/>
    <w:rsid w:val="009C6F7E"/>
    <w:rsid w:val="009C7420"/>
    <w:rsid w:val="009C7951"/>
    <w:rsid w:val="009D0FFA"/>
    <w:rsid w:val="009D3C96"/>
    <w:rsid w:val="009D53CC"/>
    <w:rsid w:val="009E0EBE"/>
    <w:rsid w:val="009E1CE2"/>
    <w:rsid w:val="009E2AB9"/>
    <w:rsid w:val="009E57B8"/>
    <w:rsid w:val="009E6A9C"/>
    <w:rsid w:val="009F03AA"/>
    <w:rsid w:val="009F06C8"/>
    <w:rsid w:val="009F2978"/>
    <w:rsid w:val="009F59A9"/>
    <w:rsid w:val="009F6EF8"/>
    <w:rsid w:val="009F7794"/>
    <w:rsid w:val="00A004C6"/>
    <w:rsid w:val="00A009CF"/>
    <w:rsid w:val="00A00DE0"/>
    <w:rsid w:val="00A0193C"/>
    <w:rsid w:val="00A065D0"/>
    <w:rsid w:val="00A10478"/>
    <w:rsid w:val="00A119AB"/>
    <w:rsid w:val="00A13CE3"/>
    <w:rsid w:val="00A2150D"/>
    <w:rsid w:val="00A22EF5"/>
    <w:rsid w:val="00A25085"/>
    <w:rsid w:val="00A31E3E"/>
    <w:rsid w:val="00A33897"/>
    <w:rsid w:val="00A349B1"/>
    <w:rsid w:val="00A35F5E"/>
    <w:rsid w:val="00A403A5"/>
    <w:rsid w:val="00A4069D"/>
    <w:rsid w:val="00A412BB"/>
    <w:rsid w:val="00A42E90"/>
    <w:rsid w:val="00A431A1"/>
    <w:rsid w:val="00A43D2D"/>
    <w:rsid w:val="00A522B2"/>
    <w:rsid w:val="00A52769"/>
    <w:rsid w:val="00A53453"/>
    <w:rsid w:val="00A56AEE"/>
    <w:rsid w:val="00A57D12"/>
    <w:rsid w:val="00A6063A"/>
    <w:rsid w:val="00A60D9F"/>
    <w:rsid w:val="00A64107"/>
    <w:rsid w:val="00A66108"/>
    <w:rsid w:val="00A7050F"/>
    <w:rsid w:val="00A724B6"/>
    <w:rsid w:val="00A73540"/>
    <w:rsid w:val="00A74549"/>
    <w:rsid w:val="00A74F3F"/>
    <w:rsid w:val="00A76335"/>
    <w:rsid w:val="00A7651C"/>
    <w:rsid w:val="00A776E0"/>
    <w:rsid w:val="00A77855"/>
    <w:rsid w:val="00A778BE"/>
    <w:rsid w:val="00A77E50"/>
    <w:rsid w:val="00A807AB"/>
    <w:rsid w:val="00A865CD"/>
    <w:rsid w:val="00A86D46"/>
    <w:rsid w:val="00A92463"/>
    <w:rsid w:val="00A92642"/>
    <w:rsid w:val="00A943BB"/>
    <w:rsid w:val="00A94AB4"/>
    <w:rsid w:val="00A95870"/>
    <w:rsid w:val="00A95FB7"/>
    <w:rsid w:val="00A967DF"/>
    <w:rsid w:val="00A96C8E"/>
    <w:rsid w:val="00A96CF3"/>
    <w:rsid w:val="00AA0155"/>
    <w:rsid w:val="00AA18E9"/>
    <w:rsid w:val="00AA3CC7"/>
    <w:rsid w:val="00AA3DA5"/>
    <w:rsid w:val="00AA6709"/>
    <w:rsid w:val="00AA6AE8"/>
    <w:rsid w:val="00AA7BD3"/>
    <w:rsid w:val="00AB244F"/>
    <w:rsid w:val="00AB2567"/>
    <w:rsid w:val="00AB285E"/>
    <w:rsid w:val="00AB2AC6"/>
    <w:rsid w:val="00AC080D"/>
    <w:rsid w:val="00AC5066"/>
    <w:rsid w:val="00AD0BA2"/>
    <w:rsid w:val="00AD22A1"/>
    <w:rsid w:val="00AD3E4D"/>
    <w:rsid w:val="00AD6B6F"/>
    <w:rsid w:val="00AE0EE4"/>
    <w:rsid w:val="00AE153C"/>
    <w:rsid w:val="00AE3209"/>
    <w:rsid w:val="00AE3BCA"/>
    <w:rsid w:val="00AE4ECF"/>
    <w:rsid w:val="00AE5433"/>
    <w:rsid w:val="00AE5E2E"/>
    <w:rsid w:val="00AF10C3"/>
    <w:rsid w:val="00AF1AD6"/>
    <w:rsid w:val="00AF1B5E"/>
    <w:rsid w:val="00AF4490"/>
    <w:rsid w:val="00AF6384"/>
    <w:rsid w:val="00AF7D98"/>
    <w:rsid w:val="00B0042C"/>
    <w:rsid w:val="00B011D8"/>
    <w:rsid w:val="00B016BF"/>
    <w:rsid w:val="00B04878"/>
    <w:rsid w:val="00B0549C"/>
    <w:rsid w:val="00B06185"/>
    <w:rsid w:val="00B06869"/>
    <w:rsid w:val="00B0760E"/>
    <w:rsid w:val="00B07D4F"/>
    <w:rsid w:val="00B10061"/>
    <w:rsid w:val="00B123CB"/>
    <w:rsid w:val="00B137EB"/>
    <w:rsid w:val="00B15D0D"/>
    <w:rsid w:val="00B20BF4"/>
    <w:rsid w:val="00B20C1C"/>
    <w:rsid w:val="00B2412E"/>
    <w:rsid w:val="00B24AC5"/>
    <w:rsid w:val="00B2519F"/>
    <w:rsid w:val="00B26296"/>
    <w:rsid w:val="00B275A6"/>
    <w:rsid w:val="00B32D73"/>
    <w:rsid w:val="00B330E8"/>
    <w:rsid w:val="00B33282"/>
    <w:rsid w:val="00B35618"/>
    <w:rsid w:val="00B449B8"/>
    <w:rsid w:val="00B45F2F"/>
    <w:rsid w:val="00B46838"/>
    <w:rsid w:val="00B46B5E"/>
    <w:rsid w:val="00B47EC4"/>
    <w:rsid w:val="00B51FD0"/>
    <w:rsid w:val="00B5229F"/>
    <w:rsid w:val="00B54FF2"/>
    <w:rsid w:val="00B55B56"/>
    <w:rsid w:val="00B55C60"/>
    <w:rsid w:val="00B565CB"/>
    <w:rsid w:val="00B60708"/>
    <w:rsid w:val="00B647EF"/>
    <w:rsid w:val="00B64D0D"/>
    <w:rsid w:val="00B64DAA"/>
    <w:rsid w:val="00B6570C"/>
    <w:rsid w:val="00B65E06"/>
    <w:rsid w:val="00B678B5"/>
    <w:rsid w:val="00B7182F"/>
    <w:rsid w:val="00B719B4"/>
    <w:rsid w:val="00B729B6"/>
    <w:rsid w:val="00B74466"/>
    <w:rsid w:val="00B753D6"/>
    <w:rsid w:val="00B75CF3"/>
    <w:rsid w:val="00B769A8"/>
    <w:rsid w:val="00B81A38"/>
    <w:rsid w:val="00B81E6B"/>
    <w:rsid w:val="00B83882"/>
    <w:rsid w:val="00B83CAB"/>
    <w:rsid w:val="00B86155"/>
    <w:rsid w:val="00B867C8"/>
    <w:rsid w:val="00B92F3C"/>
    <w:rsid w:val="00B956D5"/>
    <w:rsid w:val="00B95D11"/>
    <w:rsid w:val="00BA1BDF"/>
    <w:rsid w:val="00BA392E"/>
    <w:rsid w:val="00BA4852"/>
    <w:rsid w:val="00BA5CD1"/>
    <w:rsid w:val="00BA689F"/>
    <w:rsid w:val="00BA734C"/>
    <w:rsid w:val="00BB0506"/>
    <w:rsid w:val="00BB183D"/>
    <w:rsid w:val="00BB399D"/>
    <w:rsid w:val="00BB401C"/>
    <w:rsid w:val="00BB5A17"/>
    <w:rsid w:val="00BB6237"/>
    <w:rsid w:val="00BB69E7"/>
    <w:rsid w:val="00BC09ED"/>
    <w:rsid w:val="00BC0B05"/>
    <w:rsid w:val="00BC2358"/>
    <w:rsid w:val="00BC24BF"/>
    <w:rsid w:val="00BC3DB7"/>
    <w:rsid w:val="00BC4742"/>
    <w:rsid w:val="00BC63B6"/>
    <w:rsid w:val="00BC7C04"/>
    <w:rsid w:val="00BD19CB"/>
    <w:rsid w:val="00BD1E2E"/>
    <w:rsid w:val="00BD1ED5"/>
    <w:rsid w:val="00BD244F"/>
    <w:rsid w:val="00BD4C6C"/>
    <w:rsid w:val="00BD5D8C"/>
    <w:rsid w:val="00BE1568"/>
    <w:rsid w:val="00BE1A09"/>
    <w:rsid w:val="00BE1EDE"/>
    <w:rsid w:val="00BE2C5D"/>
    <w:rsid w:val="00BE33E0"/>
    <w:rsid w:val="00BE7052"/>
    <w:rsid w:val="00BE7246"/>
    <w:rsid w:val="00BF0D0E"/>
    <w:rsid w:val="00BF1039"/>
    <w:rsid w:val="00BF3D96"/>
    <w:rsid w:val="00BF4BA9"/>
    <w:rsid w:val="00BF5FF6"/>
    <w:rsid w:val="00BF607B"/>
    <w:rsid w:val="00C00673"/>
    <w:rsid w:val="00C0118D"/>
    <w:rsid w:val="00C0240D"/>
    <w:rsid w:val="00C026C0"/>
    <w:rsid w:val="00C02B06"/>
    <w:rsid w:val="00C042B4"/>
    <w:rsid w:val="00C07973"/>
    <w:rsid w:val="00C10C17"/>
    <w:rsid w:val="00C10DEB"/>
    <w:rsid w:val="00C11AE6"/>
    <w:rsid w:val="00C122F2"/>
    <w:rsid w:val="00C13243"/>
    <w:rsid w:val="00C1529B"/>
    <w:rsid w:val="00C16A71"/>
    <w:rsid w:val="00C22FDA"/>
    <w:rsid w:val="00C23369"/>
    <w:rsid w:val="00C245C8"/>
    <w:rsid w:val="00C2783F"/>
    <w:rsid w:val="00C333FA"/>
    <w:rsid w:val="00C34BC2"/>
    <w:rsid w:val="00C40246"/>
    <w:rsid w:val="00C431CE"/>
    <w:rsid w:val="00C4482B"/>
    <w:rsid w:val="00C461DB"/>
    <w:rsid w:val="00C5019F"/>
    <w:rsid w:val="00C5218E"/>
    <w:rsid w:val="00C521F2"/>
    <w:rsid w:val="00C54D92"/>
    <w:rsid w:val="00C559D4"/>
    <w:rsid w:val="00C57B4C"/>
    <w:rsid w:val="00C57C86"/>
    <w:rsid w:val="00C653BF"/>
    <w:rsid w:val="00C665B9"/>
    <w:rsid w:val="00C71105"/>
    <w:rsid w:val="00C7578C"/>
    <w:rsid w:val="00C75F14"/>
    <w:rsid w:val="00C80950"/>
    <w:rsid w:val="00C81270"/>
    <w:rsid w:val="00C82BBC"/>
    <w:rsid w:val="00C82BBD"/>
    <w:rsid w:val="00C82CB4"/>
    <w:rsid w:val="00C8390F"/>
    <w:rsid w:val="00C85BBB"/>
    <w:rsid w:val="00C93685"/>
    <w:rsid w:val="00C9586D"/>
    <w:rsid w:val="00C95E92"/>
    <w:rsid w:val="00CA0593"/>
    <w:rsid w:val="00CA1BA5"/>
    <w:rsid w:val="00CA1E37"/>
    <w:rsid w:val="00CA24DF"/>
    <w:rsid w:val="00CA3533"/>
    <w:rsid w:val="00CA3D64"/>
    <w:rsid w:val="00CA671D"/>
    <w:rsid w:val="00CB1EDE"/>
    <w:rsid w:val="00CB33C4"/>
    <w:rsid w:val="00CB34FB"/>
    <w:rsid w:val="00CB364E"/>
    <w:rsid w:val="00CB3EDC"/>
    <w:rsid w:val="00CB4C2B"/>
    <w:rsid w:val="00CB79CB"/>
    <w:rsid w:val="00CB7E77"/>
    <w:rsid w:val="00CC180D"/>
    <w:rsid w:val="00CC3471"/>
    <w:rsid w:val="00CC43EB"/>
    <w:rsid w:val="00CC4FEF"/>
    <w:rsid w:val="00CC5AF9"/>
    <w:rsid w:val="00CC69A9"/>
    <w:rsid w:val="00CC7483"/>
    <w:rsid w:val="00CD22D2"/>
    <w:rsid w:val="00CD6B95"/>
    <w:rsid w:val="00CD70EF"/>
    <w:rsid w:val="00CE0397"/>
    <w:rsid w:val="00CE0C3A"/>
    <w:rsid w:val="00CE1548"/>
    <w:rsid w:val="00CE274E"/>
    <w:rsid w:val="00CE2862"/>
    <w:rsid w:val="00CE3608"/>
    <w:rsid w:val="00CE3FC5"/>
    <w:rsid w:val="00CE5C39"/>
    <w:rsid w:val="00CF03A7"/>
    <w:rsid w:val="00CF0DED"/>
    <w:rsid w:val="00CF1902"/>
    <w:rsid w:val="00CF39E0"/>
    <w:rsid w:val="00CF4612"/>
    <w:rsid w:val="00CF5C8C"/>
    <w:rsid w:val="00CF6E02"/>
    <w:rsid w:val="00D04149"/>
    <w:rsid w:val="00D048CD"/>
    <w:rsid w:val="00D04B3B"/>
    <w:rsid w:val="00D05587"/>
    <w:rsid w:val="00D0734C"/>
    <w:rsid w:val="00D15D48"/>
    <w:rsid w:val="00D161C8"/>
    <w:rsid w:val="00D16870"/>
    <w:rsid w:val="00D16A87"/>
    <w:rsid w:val="00D16E0C"/>
    <w:rsid w:val="00D204D2"/>
    <w:rsid w:val="00D22044"/>
    <w:rsid w:val="00D221F4"/>
    <w:rsid w:val="00D241F6"/>
    <w:rsid w:val="00D25AE8"/>
    <w:rsid w:val="00D25B6C"/>
    <w:rsid w:val="00D30233"/>
    <w:rsid w:val="00D31B1D"/>
    <w:rsid w:val="00D31E24"/>
    <w:rsid w:val="00D33DBD"/>
    <w:rsid w:val="00D36057"/>
    <w:rsid w:val="00D3674A"/>
    <w:rsid w:val="00D36C72"/>
    <w:rsid w:val="00D36FFA"/>
    <w:rsid w:val="00D4068E"/>
    <w:rsid w:val="00D407C3"/>
    <w:rsid w:val="00D41592"/>
    <w:rsid w:val="00D41C60"/>
    <w:rsid w:val="00D420C3"/>
    <w:rsid w:val="00D43764"/>
    <w:rsid w:val="00D4589B"/>
    <w:rsid w:val="00D45ADF"/>
    <w:rsid w:val="00D47961"/>
    <w:rsid w:val="00D520AC"/>
    <w:rsid w:val="00D529E7"/>
    <w:rsid w:val="00D5306A"/>
    <w:rsid w:val="00D5503F"/>
    <w:rsid w:val="00D602BE"/>
    <w:rsid w:val="00D6180F"/>
    <w:rsid w:val="00D61B09"/>
    <w:rsid w:val="00D63498"/>
    <w:rsid w:val="00D645F7"/>
    <w:rsid w:val="00D653D6"/>
    <w:rsid w:val="00D670DF"/>
    <w:rsid w:val="00D70E58"/>
    <w:rsid w:val="00D719C3"/>
    <w:rsid w:val="00D720A4"/>
    <w:rsid w:val="00D7478F"/>
    <w:rsid w:val="00D803E5"/>
    <w:rsid w:val="00D81539"/>
    <w:rsid w:val="00D84012"/>
    <w:rsid w:val="00D86667"/>
    <w:rsid w:val="00D95765"/>
    <w:rsid w:val="00D967A6"/>
    <w:rsid w:val="00DA3C87"/>
    <w:rsid w:val="00DA4838"/>
    <w:rsid w:val="00DA4B3B"/>
    <w:rsid w:val="00DA7B3C"/>
    <w:rsid w:val="00DB536A"/>
    <w:rsid w:val="00DB5C3D"/>
    <w:rsid w:val="00DB6238"/>
    <w:rsid w:val="00DB7CA4"/>
    <w:rsid w:val="00DC0D55"/>
    <w:rsid w:val="00DC1DD2"/>
    <w:rsid w:val="00DC2D92"/>
    <w:rsid w:val="00DC6B17"/>
    <w:rsid w:val="00DD03B1"/>
    <w:rsid w:val="00DD3958"/>
    <w:rsid w:val="00DD4404"/>
    <w:rsid w:val="00DD4CF6"/>
    <w:rsid w:val="00DD5546"/>
    <w:rsid w:val="00DD5666"/>
    <w:rsid w:val="00DD613B"/>
    <w:rsid w:val="00DE178D"/>
    <w:rsid w:val="00DE1F53"/>
    <w:rsid w:val="00DE2A51"/>
    <w:rsid w:val="00DE2D80"/>
    <w:rsid w:val="00DE2E21"/>
    <w:rsid w:val="00DE2FD9"/>
    <w:rsid w:val="00DE3F16"/>
    <w:rsid w:val="00DF1D42"/>
    <w:rsid w:val="00DF2DE8"/>
    <w:rsid w:val="00DF41C0"/>
    <w:rsid w:val="00DF47B4"/>
    <w:rsid w:val="00DF4BC6"/>
    <w:rsid w:val="00DF59E6"/>
    <w:rsid w:val="00E002DD"/>
    <w:rsid w:val="00E01A55"/>
    <w:rsid w:val="00E03CD1"/>
    <w:rsid w:val="00E07E28"/>
    <w:rsid w:val="00E106CA"/>
    <w:rsid w:val="00E10AF9"/>
    <w:rsid w:val="00E12FF7"/>
    <w:rsid w:val="00E134C3"/>
    <w:rsid w:val="00E1510D"/>
    <w:rsid w:val="00E1638D"/>
    <w:rsid w:val="00E17B0E"/>
    <w:rsid w:val="00E20193"/>
    <w:rsid w:val="00E207F9"/>
    <w:rsid w:val="00E20FBA"/>
    <w:rsid w:val="00E21920"/>
    <w:rsid w:val="00E23A99"/>
    <w:rsid w:val="00E23EB1"/>
    <w:rsid w:val="00E2478C"/>
    <w:rsid w:val="00E24A14"/>
    <w:rsid w:val="00E275D8"/>
    <w:rsid w:val="00E302DF"/>
    <w:rsid w:val="00E310DF"/>
    <w:rsid w:val="00E33DE4"/>
    <w:rsid w:val="00E34339"/>
    <w:rsid w:val="00E34F65"/>
    <w:rsid w:val="00E35336"/>
    <w:rsid w:val="00E3647C"/>
    <w:rsid w:val="00E36DAC"/>
    <w:rsid w:val="00E404EF"/>
    <w:rsid w:val="00E45535"/>
    <w:rsid w:val="00E46C86"/>
    <w:rsid w:val="00E47BC9"/>
    <w:rsid w:val="00E51657"/>
    <w:rsid w:val="00E54CD9"/>
    <w:rsid w:val="00E5697F"/>
    <w:rsid w:val="00E6040C"/>
    <w:rsid w:val="00E607AC"/>
    <w:rsid w:val="00E60A13"/>
    <w:rsid w:val="00E60C38"/>
    <w:rsid w:val="00E62500"/>
    <w:rsid w:val="00E625C0"/>
    <w:rsid w:val="00E626C4"/>
    <w:rsid w:val="00E627B5"/>
    <w:rsid w:val="00E6318F"/>
    <w:rsid w:val="00E63BD1"/>
    <w:rsid w:val="00E6582A"/>
    <w:rsid w:val="00E658B9"/>
    <w:rsid w:val="00E663F0"/>
    <w:rsid w:val="00E671A8"/>
    <w:rsid w:val="00E671E4"/>
    <w:rsid w:val="00E724A9"/>
    <w:rsid w:val="00E73C9E"/>
    <w:rsid w:val="00E76811"/>
    <w:rsid w:val="00E77BF1"/>
    <w:rsid w:val="00E80152"/>
    <w:rsid w:val="00E822DB"/>
    <w:rsid w:val="00E83160"/>
    <w:rsid w:val="00E8541F"/>
    <w:rsid w:val="00E85517"/>
    <w:rsid w:val="00E85FBD"/>
    <w:rsid w:val="00E8624D"/>
    <w:rsid w:val="00E875EF"/>
    <w:rsid w:val="00E95BE8"/>
    <w:rsid w:val="00E95C42"/>
    <w:rsid w:val="00EA4EDA"/>
    <w:rsid w:val="00EA61A8"/>
    <w:rsid w:val="00EB15C2"/>
    <w:rsid w:val="00EB350C"/>
    <w:rsid w:val="00EB378C"/>
    <w:rsid w:val="00EB3A6B"/>
    <w:rsid w:val="00EB4765"/>
    <w:rsid w:val="00EB4FC1"/>
    <w:rsid w:val="00EB5AD5"/>
    <w:rsid w:val="00EC04C7"/>
    <w:rsid w:val="00EC0538"/>
    <w:rsid w:val="00EC3225"/>
    <w:rsid w:val="00ED0C60"/>
    <w:rsid w:val="00ED12CB"/>
    <w:rsid w:val="00ED171F"/>
    <w:rsid w:val="00ED2CFD"/>
    <w:rsid w:val="00ED5869"/>
    <w:rsid w:val="00EE0C34"/>
    <w:rsid w:val="00EE1395"/>
    <w:rsid w:val="00EE36AB"/>
    <w:rsid w:val="00EE46D8"/>
    <w:rsid w:val="00EE5D42"/>
    <w:rsid w:val="00EE7F32"/>
    <w:rsid w:val="00EF0F58"/>
    <w:rsid w:val="00EF2402"/>
    <w:rsid w:val="00EF34EF"/>
    <w:rsid w:val="00EF3B71"/>
    <w:rsid w:val="00EF67C6"/>
    <w:rsid w:val="00EF6A2A"/>
    <w:rsid w:val="00EF7A46"/>
    <w:rsid w:val="00F0289D"/>
    <w:rsid w:val="00F02B9F"/>
    <w:rsid w:val="00F02E4B"/>
    <w:rsid w:val="00F03007"/>
    <w:rsid w:val="00F04BFB"/>
    <w:rsid w:val="00F06C5B"/>
    <w:rsid w:val="00F070AE"/>
    <w:rsid w:val="00F118F7"/>
    <w:rsid w:val="00F11DA5"/>
    <w:rsid w:val="00F134BB"/>
    <w:rsid w:val="00F13FBD"/>
    <w:rsid w:val="00F14D40"/>
    <w:rsid w:val="00F1614A"/>
    <w:rsid w:val="00F16669"/>
    <w:rsid w:val="00F174E1"/>
    <w:rsid w:val="00F2092F"/>
    <w:rsid w:val="00F23721"/>
    <w:rsid w:val="00F26392"/>
    <w:rsid w:val="00F265E2"/>
    <w:rsid w:val="00F31903"/>
    <w:rsid w:val="00F32253"/>
    <w:rsid w:val="00F33B51"/>
    <w:rsid w:val="00F34A90"/>
    <w:rsid w:val="00F36141"/>
    <w:rsid w:val="00F361E2"/>
    <w:rsid w:val="00F36F5F"/>
    <w:rsid w:val="00F37357"/>
    <w:rsid w:val="00F3781A"/>
    <w:rsid w:val="00F412BE"/>
    <w:rsid w:val="00F41CEB"/>
    <w:rsid w:val="00F423C5"/>
    <w:rsid w:val="00F446D0"/>
    <w:rsid w:val="00F45120"/>
    <w:rsid w:val="00F4761A"/>
    <w:rsid w:val="00F579BA"/>
    <w:rsid w:val="00F60FF0"/>
    <w:rsid w:val="00F610E3"/>
    <w:rsid w:val="00F61B27"/>
    <w:rsid w:val="00F62C20"/>
    <w:rsid w:val="00F6339B"/>
    <w:rsid w:val="00F63632"/>
    <w:rsid w:val="00F63633"/>
    <w:rsid w:val="00F64565"/>
    <w:rsid w:val="00F65ECE"/>
    <w:rsid w:val="00F675C7"/>
    <w:rsid w:val="00F70556"/>
    <w:rsid w:val="00F72696"/>
    <w:rsid w:val="00F7439E"/>
    <w:rsid w:val="00F74C82"/>
    <w:rsid w:val="00F758A8"/>
    <w:rsid w:val="00F80468"/>
    <w:rsid w:val="00F80A33"/>
    <w:rsid w:val="00F824C3"/>
    <w:rsid w:val="00F838FE"/>
    <w:rsid w:val="00F83DF5"/>
    <w:rsid w:val="00F8593D"/>
    <w:rsid w:val="00F868E5"/>
    <w:rsid w:val="00F86E7F"/>
    <w:rsid w:val="00F910CF"/>
    <w:rsid w:val="00F9254C"/>
    <w:rsid w:val="00F944E1"/>
    <w:rsid w:val="00F94D12"/>
    <w:rsid w:val="00F94F1C"/>
    <w:rsid w:val="00F95A8C"/>
    <w:rsid w:val="00FA053F"/>
    <w:rsid w:val="00FA0781"/>
    <w:rsid w:val="00FA1233"/>
    <w:rsid w:val="00FA1FEE"/>
    <w:rsid w:val="00FA23E5"/>
    <w:rsid w:val="00FA3FF0"/>
    <w:rsid w:val="00FA46EB"/>
    <w:rsid w:val="00FA5173"/>
    <w:rsid w:val="00FB0F1F"/>
    <w:rsid w:val="00FB3569"/>
    <w:rsid w:val="00FB38D6"/>
    <w:rsid w:val="00FB4CE9"/>
    <w:rsid w:val="00FB4E7D"/>
    <w:rsid w:val="00FB6EDA"/>
    <w:rsid w:val="00FB6F1B"/>
    <w:rsid w:val="00FC03E8"/>
    <w:rsid w:val="00FC0520"/>
    <w:rsid w:val="00FC3091"/>
    <w:rsid w:val="00FC3411"/>
    <w:rsid w:val="00FC4FFE"/>
    <w:rsid w:val="00FC543B"/>
    <w:rsid w:val="00FC7264"/>
    <w:rsid w:val="00FD0A38"/>
    <w:rsid w:val="00FD1511"/>
    <w:rsid w:val="00FD531B"/>
    <w:rsid w:val="00FD6F1F"/>
    <w:rsid w:val="00FE3957"/>
    <w:rsid w:val="00FE45B5"/>
    <w:rsid w:val="00FE47AE"/>
    <w:rsid w:val="00FE6041"/>
    <w:rsid w:val="00FE7157"/>
    <w:rsid w:val="00FF2122"/>
    <w:rsid w:val="00FF2DFD"/>
    <w:rsid w:val="00FF701D"/>
    <w:rsid w:val="00FF75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2C53BF"/>
    <w:rPr>
      <w:rFonts w:eastAsiaTheme="minorEastAsia"/>
    </w:rPr>
  </w:style>
  <w:style w:type="paragraph" w:styleId="Titolo1">
    <w:name w:val="heading 1"/>
    <w:basedOn w:val="Normale"/>
    <w:next w:val="Normale"/>
    <w:link w:val="Titolo1Carattere"/>
    <w:uiPriority w:val="9"/>
    <w:semiHidden/>
    <w:rsid w:val="006532D6"/>
    <w:pPr>
      <w:keepNext/>
      <w:keepLines/>
      <w:numPr>
        <w:numId w:val="31"/>
      </w:numPr>
      <w:spacing w:before="480" w:after="0"/>
      <w:outlineLvl w:val="0"/>
    </w:pPr>
    <w:rPr>
      <w:rFonts w:asciiTheme="majorHAnsi" w:eastAsiaTheme="majorEastAsia" w:hAnsiTheme="majorHAnsi" w:cstheme="majorBidi"/>
      <w:b/>
      <w:bCs/>
      <w:color w:val="002B5A" w:themeColor="accent1" w:themeShade="BF"/>
      <w:sz w:val="28"/>
      <w:szCs w:val="28"/>
    </w:rPr>
  </w:style>
  <w:style w:type="paragraph" w:styleId="Titolo2">
    <w:name w:val="heading 2"/>
    <w:basedOn w:val="Normale"/>
    <w:next w:val="Normale"/>
    <w:link w:val="Titolo2Carattere"/>
    <w:uiPriority w:val="9"/>
    <w:semiHidden/>
    <w:rsid w:val="000C7C51"/>
    <w:pPr>
      <w:keepNext/>
      <w:keepLines/>
      <w:numPr>
        <w:ilvl w:val="1"/>
        <w:numId w:val="31"/>
      </w:numPr>
      <w:spacing w:before="200" w:after="0"/>
      <w:outlineLvl w:val="1"/>
    </w:pPr>
    <w:rPr>
      <w:rFonts w:asciiTheme="majorHAnsi" w:eastAsiaTheme="majorEastAsia" w:hAnsiTheme="majorHAnsi" w:cstheme="majorBidi"/>
      <w:b/>
      <w:bCs/>
      <w:color w:val="003B79" w:themeColor="accent1"/>
      <w:sz w:val="26"/>
      <w:szCs w:val="26"/>
    </w:rPr>
  </w:style>
  <w:style w:type="paragraph" w:styleId="Titolo3">
    <w:name w:val="heading 3"/>
    <w:basedOn w:val="Normale"/>
    <w:next w:val="Normale"/>
    <w:link w:val="Titolo3Carattere"/>
    <w:uiPriority w:val="9"/>
    <w:semiHidden/>
    <w:unhideWhenUsed/>
    <w:qFormat/>
    <w:rsid w:val="000C7C51"/>
    <w:pPr>
      <w:keepNext/>
      <w:keepLines/>
      <w:numPr>
        <w:ilvl w:val="2"/>
        <w:numId w:val="31"/>
      </w:numPr>
      <w:spacing w:before="200" w:after="0"/>
      <w:outlineLvl w:val="2"/>
    </w:pPr>
    <w:rPr>
      <w:rFonts w:asciiTheme="majorHAnsi" w:eastAsiaTheme="majorEastAsia" w:hAnsiTheme="majorHAnsi" w:cstheme="majorBidi"/>
      <w:b/>
      <w:bCs/>
      <w:color w:val="003B79" w:themeColor="accent1"/>
    </w:rPr>
  </w:style>
  <w:style w:type="paragraph" w:styleId="Titolo4">
    <w:name w:val="heading 4"/>
    <w:basedOn w:val="Normale"/>
    <w:next w:val="Normale"/>
    <w:link w:val="Titolo4Carattere"/>
    <w:uiPriority w:val="9"/>
    <w:semiHidden/>
    <w:unhideWhenUsed/>
    <w:qFormat/>
    <w:rsid w:val="000C7C51"/>
    <w:pPr>
      <w:keepNext/>
      <w:keepLines/>
      <w:numPr>
        <w:ilvl w:val="3"/>
        <w:numId w:val="31"/>
      </w:numPr>
      <w:spacing w:before="200" w:after="0"/>
      <w:outlineLvl w:val="3"/>
    </w:pPr>
    <w:rPr>
      <w:rFonts w:asciiTheme="majorHAnsi" w:eastAsiaTheme="majorEastAsia" w:hAnsiTheme="majorHAnsi" w:cstheme="majorBidi"/>
      <w:b/>
      <w:bCs/>
      <w:i/>
      <w:iCs/>
      <w:color w:val="003B79" w:themeColor="accent1"/>
    </w:rPr>
  </w:style>
  <w:style w:type="paragraph" w:styleId="Titolo5">
    <w:name w:val="heading 5"/>
    <w:basedOn w:val="Normale"/>
    <w:next w:val="Normale"/>
    <w:link w:val="Titolo5Carattere"/>
    <w:uiPriority w:val="9"/>
    <w:semiHidden/>
    <w:unhideWhenUsed/>
    <w:qFormat/>
    <w:rsid w:val="000C7C51"/>
    <w:pPr>
      <w:keepNext/>
      <w:keepLines/>
      <w:numPr>
        <w:ilvl w:val="4"/>
        <w:numId w:val="31"/>
      </w:numPr>
      <w:spacing w:before="200" w:after="0"/>
      <w:outlineLvl w:val="4"/>
    </w:pPr>
    <w:rPr>
      <w:rFonts w:asciiTheme="majorHAnsi" w:eastAsiaTheme="majorEastAsia" w:hAnsiTheme="majorHAnsi" w:cstheme="majorBidi"/>
      <w:color w:val="001D3C" w:themeColor="accent1" w:themeShade="7F"/>
    </w:rPr>
  </w:style>
  <w:style w:type="paragraph" w:styleId="Titolo6">
    <w:name w:val="heading 6"/>
    <w:basedOn w:val="Normale"/>
    <w:next w:val="Normale"/>
    <w:link w:val="Titolo6Carattere"/>
    <w:uiPriority w:val="9"/>
    <w:semiHidden/>
    <w:unhideWhenUsed/>
    <w:qFormat/>
    <w:rsid w:val="000C7C51"/>
    <w:pPr>
      <w:keepNext/>
      <w:keepLines/>
      <w:numPr>
        <w:ilvl w:val="5"/>
        <w:numId w:val="31"/>
      </w:numPr>
      <w:spacing w:before="200" w:after="0"/>
      <w:outlineLvl w:val="5"/>
    </w:pPr>
    <w:rPr>
      <w:rFonts w:asciiTheme="majorHAnsi" w:eastAsiaTheme="majorEastAsia" w:hAnsiTheme="majorHAnsi" w:cstheme="majorBidi"/>
      <w:i/>
      <w:iCs/>
      <w:color w:val="001D3C" w:themeColor="accent1" w:themeShade="7F"/>
    </w:rPr>
  </w:style>
  <w:style w:type="paragraph" w:styleId="Titolo7">
    <w:name w:val="heading 7"/>
    <w:basedOn w:val="Normale"/>
    <w:next w:val="Normale"/>
    <w:link w:val="Titolo7Carattere"/>
    <w:uiPriority w:val="9"/>
    <w:semiHidden/>
    <w:unhideWhenUsed/>
    <w:qFormat/>
    <w:rsid w:val="000C7C51"/>
    <w:pPr>
      <w:keepNext/>
      <w:keepLines/>
      <w:numPr>
        <w:ilvl w:val="6"/>
        <w:numId w:val="31"/>
      </w:numPr>
      <w:spacing w:before="200" w:after="0"/>
      <w:outlineLvl w:val="6"/>
    </w:pPr>
    <w:rPr>
      <w:rFonts w:asciiTheme="majorHAnsi" w:eastAsiaTheme="majorEastAsia" w:hAnsiTheme="majorHAnsi" w:cstheme="majorBidi"/>
      <w:i/>
      <w:iCs/>
      <w:color w:val="006ADA" w:themeColor="text1" w:themeTint="BF"/>
    </w:rPr>
  </w:style>
  <w:style w:type="paragraph" w:styleId="Titolo8">
    <w:name w:val="heading 8"/>
    <w:basedOn w:val="Normale"/>
    <w:next w:val="Normale"/>
    <w:link w:val="Titolo8Carattere"/>
    <w:uiPriority w:val="9"/>
    <w:semiHidden/>
    <w:unhideWhenUsed/>
    <w:qFormat/>
    <w:rsid w:val="000C7C51"/>
    <w:pPr>
      <w:keepNext/>
      <w:keepLines/>
      <w:numPr>
        <w:ilvl w:val="7"/>
        <w:numId w:val="31"/>
      </w:numPr>
      <w:spacing w:before="200" w:after="0"/>
      <w:outlineLvl w:val="7"/>
    </w:pPr>
    <w:rPr>
      <w:rFonts w:asciiTheme="majorHAnsi" w:eastAsiaTheme="majorEastAsia" w:hAnsiTheme="majorHAnsi" w:cstheme="majorBidi"/>
      <w:color w:val="006ADA" w:themeColor="text1" w:themeTint="BF"/>
      <w:sz w:val="20"/>
      <w:szCs w:val="20"/>
    </w:rPr>
  </w:style>
  <w:style w:type="paragraph" w:styleId="Titolo9">
    <w:name w:val="heading 9"/>
    <w:basedOn w:val="Normale"/>
    <w:next w:val="Normale"/>
    <w:link w:val="Titolo9Carattere"/>
    <w:uiPriority w:val="9"/>
    <w:semiHidden/>
    <w:unhideWhenUsed/>
    <w:qFormat/>
    <w:rsid w:val="000C7C51"/>
    <w:pPr>
      <w:keepNext/>
      <w:keepLines/>
      <w:numPr>
        <w:ilvl w:val="8"/>
        <w:numId w:val="31"/>
      </w:numPr>
      <w:spacing w:before="200" w:after="0"/>
      <w:outlineLvl w:val="8"/>
    </w:pPr>
    <w:rPr>
      <w:rFonts w:asciiTheme="majorHAnsi" w:eastAsiaTheme="majorEastAsia" w:hAnsiTheme="majorHAnsi" w:cstheme="majorBidi"/>
      <w:i/>
      <w:iCs/>
      <w:color w:val="006ADA"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rsid w:val="002A09F3"/>
    <w:pPr>
      <w:numPr>
        <w:ilvl w:val="1"/>
      </w:numPr>
    </w:pPr>
    <w:rPr>
      <w:color w:val="037DFF" w:themeColor="text1" w:themeTint="A5"/>
      <w:spacing w:val="15"/>
    </w:rPr>
  </w:style>
  <w:style w:type="character" w:customStyle="1" w:styleId="SottotitoloCarattere">
    <w:name w:val="Sottotitolo Carattere"/>
    <w:basedOn w:val="Carpredefinitoparagrafo"/>
    <w:link w:val="Sottotitolo"/>
    <w:uiPriority w:val="11"/>
    <w:rsid w:val="00ED2CFD"/>
    <w:rPr>
      <w:rFonts w:eastAsiaTheme="minorEastAsia"/>
      <w:color w:val="037DFF" w:themeColor="text1" w:themeTint="A5"/>
      <w:spacing w:val="15"/>
    </w:rPr>
  </w:style>
  <w:style w:type="character" w:styleId="Testosegnaposto">
    <w:name w:val="Placeholder Text"/>
    <w:basedOn w:val="Carpredefinitoparagrafo"/>
    <w:uiPriority w:val="99"/>
    <w:semiHidden/>
    <w:rsid w:val="002A09F3"/>
    <w:rPr>
      <w:color w:val="808080"/>
    </w:rPr>
  </w:style>
  <w:style w:type="paragraph" w:styleId="Intestazione">
    <w:name w:val="header"/>
    <w:basedOn w:val="Normale"/>
    <w:link w:val="IntestazioneCarattere"/>
    <w:uiPriority w:val="99"/>
    <w:rsid w:val="002C53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D2CFD"/>
    <w:rPr>
      <w:rFonts w:eastAsiaTheme="minorEastAsia"/>
    </w:rPr>
  </w:style>
  <w:style w:type="paragraph" w:styleId="Pidipagina">
    <w:name w:val="footer"/>
    <w:basedOn w:val="Normale"/>
    <w:link w:val="PidipaginaCarattere"/>
    <w:uiPriority w:val="99"/>
    <w:rsid w:val="002C53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D2CFD"/>
    <w:rPr>
      <w:rFonts w:eastAsiaTheme="minorEastAsia"/>
    </w:rPr>
  </w:style>
  <w:style w:type="paragraph" w:styleId="Nessunaspaziatura">
    <w:name w:val="No Spacing"/>
    <w:link w:val="NessunaspaziaturaCarattere"/>
    <w:uiPriority w:val="1"/>
    <w:semiHidden/>
    <w:rsid w:val="002A09F3"/>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semiHidden/>
    <w:rsid w:val="00ED2CFD"/>
    <w:rPr>
      <w:rFonts w:eastAsiaTheme="minorEastAsia"/>
    </w:rPr>
  </w:style>
  <w:style w:type="paragraph" w:styleId="Titolo">
    <w:name w:val="Title"/>
    <w:basedOn w:val="Normale"/>
    <w:next w:val="Normale"/>
    <w:link w:val="TitoloCarattere"/>
    <w:uiPriority w:val="10"/>
    <w:semiHidden/>
    <w:rsid w:val="002A09F3"/>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semiHidden/>
    <w:rsid w:val="00ED2CFD"/>
    <w:rPr>
      <w:rFonts w:asciiTheme="majorHAnsi" w:eastAsiaTheme="majorEastAsia" w:hAnsiTheme="majorHAnsi" w:cstheme="majorBidi"/>
      <w:spacing w:val="-10"/>
      <w:sz w:val="56"/>
      <w:szCs w:val="56"/>
    </w:rPr>
  </w:style>
  <w:style w:type="paragraph" w:styleId="Didascalia">
    <w:name w:val="caption"/>
    <w:basedOn w:val="Normale"/>
    <w:next w:val="Normale"/>
    <w:link w:val="DidascaliaCarattere"/>
    <w:uiPriority w:val="35"/>
    <w:semiHidden/>
    <w:qFormat/>
    <w:rsid w:val="002C53BF"/>
    <w:pPr>
      <w:spacing w:line="240" w:lineRule="auto"/>
    </w:pPr>
    <w:rPr>
      <w:i/>
      <w:iCs/>
      <w:color w:val="EC7D11" w:themeColor="text2"/>
      <w:sz w:val="18"/>
      <w:szCs w:val="18"/>
    </w:rPr>
  </w:style>
  <w:style w:type="paragraph" w:styleId="Citazioneintensa">
    <w:name w:val="Intense Quote"/>
    <w:basedOn w:val="Normale"/>
    <w:next w:val="Normale"/>
    <w:link w:val="CitazioneintensaCarattere"/>
    <w:uiPriority w:val="30"/>
    <w:semiHidden/>
    <w:rsid w:val="002A09F3"/>
    <w:pPr>
      <w:pBdr>
        <w:top w:val="single" w:sz="4" w:space="10" w:color="003B79" w:themeColor="accent1"/>
        <w:bottom w:val="single" w:sz="4" w:space="10" w:color="003B79" w:themeColor="accent1"/>
      </w:pBdr>
      <w:spacing w:before="360" w:after="360"/>
      <w:ind w:left="864" w:right="864"/>
      <w:jc w:val="center"/>
    </w:pPr>
    <w:rPr>
      <w:i/>
      <w:iCs/>
      <w:color w:val="003B79" w:themeColor="accent1"/>
    </w:rPr>
  </w:style>
  <w:style w:type="character" w:customStyle="1" w:styleId="CitazioneintensaCarattere">
    <w:name w:val="Citazione intensa Carattere"/>
    <w:basedOn w:val="Carpredefinitoparagrafo"/>
    <w:link w:val="Citazioneintensa"/>
    <w:uiPriority w:val="30"/>
    <w:semiHidden/>
    <w:rsid w:val="00ED2CFD"/>
    <w:rPr>
      <w:rFonts w:eastAsiaTheme="minorEastAsia"/>
      <w:i/>
      <w:iCs/>
      <w:color w:val="003B79" w:themeColor="accent1"/>
    </w:rPr>
  </w:style>
  <w:style w:type="character" w:styleId="Riferimentointenso">
    <w:name w:val="Intense Reference"/>
    <w:basedOn w:val="Carpredefinitoparagrafo"/>
    <w:uiPriority w:val="32"/>
    <w:semiHidden/>
    <w:rsid w:val="002A09F3"/>
    <w:rPr>
      <w:b/>
      <w:bCs/>
      <w:smallCaps/>
      <w:color w:val="003B79" w:themeColor="accent1"/>
      <w:spacing w:val="5"/>
    </w:rPr>
  </w:style>
  <w:style w:type="paragraph" w:styleId="Paragrafoelenco">
    <w:name w:val="List Paragraph"/>
    <w:basedOn w:val="Normale"/>
    <w:uiPriority w:val="34"/>
    <w:qFormat/>
    <w:rsid w:val="002A09F3"/>
    <w:pPr>
      <w:ind w:left="720"/>
      <w:contextualSpacing/>
    </w:pPr>
  </w:style>
  <w:style w:type="paragraph" w:customStyle="1" w:styleId="CRIFMainTitle">
    <w:name w:val="CRIF Main Title"/>
    <w:basedOn w:val="Normale"/>
    <w:link w:val="CRIFMainTitleChar"/>
    <w:qFormat/>
    <w:rsid w:val="008C0947"/>
    <w:rPr>
      <w:rFonts w:asciiTheme="majorHAnsi" w:eastAsiaTheme="majorEastAsia" w:hAnsiTheme="majorHAnsi" w:cstheme="majorBidi"/>
      <w:color w:val="003B79" w:themeColor="accent1"/>
      <w:spacing w:val="-10"/>
      <w:sz w:val="44"/>
      <w:szCs w:val="56"/>
    </w:rPr>
  </w:style>
  <w:style w:type="paragraph" w:customStyle="1" w:styleId="CRIFAbstract">
    <w:name w:val="CRIF Abstract"/>
    <w:basedOn w:val="Sottotitolo"/>
    <w:link w:val="CRIFAbstractChar"/>
    <w:qFormat/>
    <w:rsid w:val="00A95870"/>
    <w:pPr>
      <w:spacing w:before="120" w:line="360" w:lineRule="auto"/>
      <w:jc w:val="both"/>
    </w:pPr>
    <w:rPr>
      <w:i/>
      <w:color w:val="2668A8" w:themeColor="accent3" w:themeShade="80"/>
      <w:sz w:val="20"/>
    </w:rPr>
  </w:style>
  <w:style w:type="character" w:customStyle="1" w:styleId="CRIFMainTitleChar">
    <w:name w:val="CRIF Main Title Char"/>
    <w:basedOn w:val="Carpredefinitoparagrafo"/>
    <w:link w:val="CRIFMainTitle"/>
    <w:rsid w:val="008C0947"/>
    <w:rPr>
      <w:rFonts w:asciiTheme="majorHAnsi" w:eastAsiaTheme="majorEastAsia" w:hAnsiTheme="majorHAnsi" w:cstheme="majorBidi"/>
      <w:color w:val="003B79" w:themeColor="accent1"/>
      <w:spacing w:val="-10"/>
      <w:sz w:val="44"/>
      <w:szCs w:val="56"/>
    </w:rPr>
  </w:style>
  <w:style w:type="paragraph" w:customStyle="1" w:styleId="CRIFBodyText">
    <w:name w:val="CRIF Body Text"/>
    <w:basedOn w:val="Normale"/>
    <w:link w:val="CRIFBodyTextChar"/>
    <w:qFormat/>
    <w:rsid w:val="008C0947"/>
    <w:pPr>
      <w:spacing w:line="360" w:lineRule="auto"/>
      <w:jc w:val="both"/>
    </w:pPr>
    <w:rPr>
      <w:sz w:val="20"/>
    </w:rPr>
  </w:style>
  <w:style w:type="character" w:customStyle="1" w:styleId="CRIFAbstractChar">
    <w:name w:val="CRIF Abstract Char"/>
    <w:basedOn w:val="SottotitoloCarattere"/>
    <w:link w:val="CRIFAbstract"/>
    <w:rsid w:val="00A95870"/>
    <w:rPr>
      <w:rFonts w:eastAsiaTheme="minorEastAsia"/>
      <w:i/>
      <w:color w:val="2668A8" w:themeColor="accent3" w:themeShade="80"/>
      <w:spacing w:val="15"/>
      <w:sz w:val="20"/>
    </w:rPr>
  </w:style>
  <w:style w:type="paragraph" w:customStyle="1" w:styleId="CRIFTitle">
    <w:name w:val="CRIF Title"/>
    <w:basedOn w:val="Normale"/>
    <w:next w:val="CRIFBodyText"/>
    <w:link w:val="CRIFTitleCarattere"/>
    <w:qFormat/>
    <w:rsid w:val="00C431CE"/>
    <w:pPr>
      <w:spacing w:before="400" w:after="160" w:line="360" w:lineRule="auto"/>
      <w:jc w:val="both"/>
    </w:pPr>
    <w:rPr>
      <w:b/>
      <w:caps/>
      <w:color w:val="003B79" w:themeColor="accent1"/>
      <w:sz w:val="20"/>
    </w:rPr>
  </w:style>
  <w:style w:type="character" w:customStyle="1" w:styleId="CRIFBodyTextChar">
    <w:name w:val="CRIF Body Text Char"/>
    <w:basedOn w:val="Carpredefinitoparagrafo"/>
    <w:link w:val="CRIFBodyText"/>
    <w:rsid w:val="008C0947"/>
    <w:rPr>
      <w:rFonts w:eastAsiaTheme="minorEastAsia"/>
      <w:sz w:val="20"/>
    </w:rPr>
  </w:style>
  <w:style w:type="paragraph" w:customStyle="1" w:styleId="CRIFAbout">
    <w:name w:val="CRIF About"/>
    <w:basedOn w:val="Normale"/>
    <w:link w:val="CRIFAboutChar"/>
    <w:rsid w:val="008C0947"/>
    <w:pPr>
      <w:spacing w:line="360" w:lineRule="auto"/>
      <w:jc w:val="both"/>
    </w:pPr>
    <w:rPr>
      <w:i/>
      <w:color w:val="808080" w:themeColor="background1" w:themeShade="80"/>
      <w:sz w:val="20"/>
    </w:rPr>
  </w:style>
  <w:style w:type="character" w:customStyle="1" w:styleId="CRIFTitleCarattere">
    <w:name w:val="CRIF Title Carattere"/>
    <w:basedOn w:val="Carpredefinitoparagrafo"/>
    <w:link w:val="CRIFTitle"/>
    <w:rsid w:val="00C431CE"/>
    <w:rPr>
      <w:rFonts w:eastAsiaTheme="minorEastAsia"/>
      <w:b/>
      <w:caps/>
      <w:color w:val="003B79" w:themeColor="accent1"/>
      <w:sz w:val="20"/>
    </w:rPr>
  </w:style>
  <w:style w:type="character" w:customStyle="1" w:styleId="CRIFAboutChar">
    <w:name w:val="CRIF About Char"/>
    <w:basedOn w:val="Carpredefinitoparagrafo"/>
    <w:link w:val="CRIFAbout"/>
    <w:rsid w:val="008C0947"/>
    <w:rPr>
      <w:rFonts w:eastAsiaTheme="minorEastAsia"/>
      <w:i/>
      <w:color w:val="808080" w:themeColor="background1" w:themeShade="80"/>
      <w:sz w:val="20"/>
    </w:rPr>
  </w:style>
  <w:style w:type="paragraph" w:customStyle="1" w:styleId="CRIFCaption">
    <w:name w:val="CRIF Caption"/>
    <w:basedOn w:val="Didascalia"/>
    <w:link w:val="CRIFCaptionChar"/>
    <w:qFormat/>
    <w:rsid w:val="002C53BF"/>
  </w:style>
  <w:style w:type="paragraph" w:customStyle="1" w:styleId="CRIFAboutTitle">
    <w:name w:val="CRIF About Title"/>
    <w:basedOn w:val="Normale"/>
    <w:link w:val="CRIFAboutTitleChar"/>
    <w:rsid w:val="008C0947"/>
    <w:pPr>
      <w:spacing w:line="360" w:lineRule="auto"/>
      <w:jc w:val="both"/>
    </w:pPr>
    <w:rPr>
      <w:b/>
      <w:color w:val="EC7D11" w:themeColor="text2"/>
      <w:sz w:val="20"/>
    </w:rPr>
  </w:style>
  <w:style w:type="character" w:customStyle="1" w:styleId="DidascaliaCarattere">
    <w:name w:val="Didascalia Carattere"/>
    <w:basedOn w:val="Carpredefinitoparagrafo"/>
    <w:link w:val="Didascalia"/>
    <w:uiPriority w:val="35"/>
    <w:semiHidden/>
    <w:rsid w:val="00ED2CFD"/>
    <w:rPr>
      <w:rFonts w:eastAsiaTheme="minorEastAsia"/>
      <w:i/>
      <w:iCs/>
      <w:color w:val="EC7D11" w:themeColor="text2"/>
      <w:sz w:val="18"/>
      <w:szCs w:val="18"/>
    </w:rPr>
  </w:style>
  <w:style w:type="character" w:customStyle="1" w:styleId="CRIFCaptionChar">
    <w:name w:val="CRIF Caption Char"/>
    <w:basedOn w:val="Carpredefinitoparagrafo"/>
    <w:link w:val="CRIFCaption"/>
    <w:rsid w:val="008C0947"/>
    <w:rPr>
      <w:rFonts w:eastAsiaTheme="minorEastAsia"/>
      <w:i/>
      <w:iCs/>
      <w:color w:val="EC7D11" w:themeColor="text2"/>
      <w:sz w:val="18"/>
      <w:szCs w:val="18"/>
    </w:rPr>
  </w:style>
  <w:style w:type="paragraph" w:customStyle="1" w:styleId="CRIFQuote">
    <w:name w:val="CRIF Quote"/>
    <w:basedOn w:val="CRIFAboutTitle"/>
    <w:link w:val="CRIFQuoteChar"/>
    <w:qFormat/>
    <w:rsid w:val="00A13CE3"/>
    <w:pPr>
      <w:spacing w:before="120" w:line="480" w:lineRule="auto"/>
      <w:jc w:val="center"/>
    </w:pPr>
    <w:rPr>
      <w:b w:val="0"/>
      <w:i/>
      <w:color w:val="808080" w:themeColor="background1" w:themeShade="80"/>
      <w:sz w:val="18"/>
    </w:rPr>
  </w:style>
  <w:style w:type="character" w:customStyle="1" w:styleId="CRIFAboutTitleChar">
    <w:name w:val="CRIF About Title Char"/>
    <w:basedOn w:val="Carpredefinitoparagrafo"/>
    <w:link w:val="CRIFAboutTitle"/>
    <w:rsid w:val="008C0947"/>
    <w:rPr>
      <w:rFonts w:eastAsiaTheme="minorEastAsia"/>
      <w:b/>
      <w:color w:val="EC7D11" w:themeColor="text2"/>
      <w:sz w:val="20"/>
    </w:rPr>
  </w:style>
  <w:style w:type="character" w:customStyle="1" w:styleId="CRIFQuoteChar">
    <w:name w:val="CRIF Quote Char"/>
    <w:basedOn w:val="CRIFAboutTitleChar"/>
    <w:link w:val="CRIFQuote"/>
    <w:rsid w:val="00A13CE3"/>
    <w:rPr>
      <w:rFonts w:eastAsiaTheme="minorEastAsia"/>
      <w:b w:val="0"/>
      <w:i/>
      <w:color w:val="808080" w:themeColor="background1" w:themeShade="80"/>
      <w:sz w:val="18"/>
    </w:rPr>
  </w:style>
  <w:style w:type="character" w:styleId="Collegamentoipertestuale">
    <w:name w:val="Hyperlink"/>
    <w:basedOn w:val="Carpredefinitoparagrafo"/>
    <w:uiPriority w:val="99"/>
    <w:rsid w:val="002C53BF"/>
    <w:rPr>
      <w:color w:val="EC7D11" w:themeColor="hyperlink"/>
      <w:u w:val="single"/>
    </w:rPr>
  </w:style>
  <w:style w:type="paragraph" w:styleId="Testofumetto">
    <w:name w:val="Balloon Text"/>
    <w:basedOn w:val="Normale"/>
    <w:link w:val="TestofumettoCarattere"/>
    <w:uiPriority w:val="99"/>
    <w:semiHidden/>
    <w:unhideWhenUsed/>
    <w:rsid w:val="002C53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65EC"/>
    <w:rPr>
      <w:rFonts w:ascii="Tahoma" w:eastAsiaTheme="minorEastAsia" w:hAnsi="Tahoma" w:cs="Tahoma"/>
      <w:sz w:val="16"/>
      <w:szCs w:val="16"/>
    </w:rPr>
  </w:style>
  <w:style w:type="character" w:customStyle="1" w:styleId="Titolo1Carattere">
    <w:name w:val="Titolo 1 Carattere"/>
    <w:basedOn w:val="Carpredefinitoparagrafo"/>
    <w:link w:val="Titolo1"/>
    <w:uiPriority w:val="9"/>
    <w:semiHidden/>
    <w:rsid w:val="006532D6"/>
    <w:rPr>
      <w:rFonts w:asciiTheme="majorHAnsi" w:eastAsiaTheme="majorEastAsia" w:hAnsiTheme="majorHAnsi" w:cstheme="majorBidi"/>
      <w:b/>
      <w:bCs/>
      <w:color w:val="002B5A" w:themeColor="accent1" w:themeShade="BF"/>
      <w:sz w:val="28"/>
      <w:szCs w:val="28"/>
    </w:rPr>
  </w:style>
  <w:style w:type="paragraph" w:styleId="Titolosommario">
    <w:name w:val="TOC Heading"/>
    <w:basedOn w:val="Titolo1"/>
    <w:next w:val="Normale"/>
    <w:uiPriority w:val="39"/>
    <w:unhideWhenUsed/>
    <w:rsid w:val="006532D6"/>
    <w:pPr>
      <w:outlineLvl w:val="9"/>
    </w:pPr>
    <w:rPr>
      <w:lang w:val="it-IT" w:eastAsia="it-IT"/>
    </w:rPr>
  </w:style>
  <w:style w:type="paragraph" w:styleId="Sommario2">
    <w:name w:val="toc 2"/>
    <w:basedOn w:val="Normale"/>
    <w:next w:val="Normale"/>
    <w:autoRedefine/>
    <w:uiPriority w:val="39"/>
    <w:unhideWhenUsed/>
    <w:rsid w:val="006532D6"/>
    <w:pPr>
      <w:spacing w:after="0"/>
      <w:ind w:left="220"/>
    </w:pPr>
    <w:rPr>
      <w:smallCaps/>
      <w:sz w:val="20"/>
      <w:szCs w:val="20"/>
    </w:rPr>
  </w:style>
  <w:style w:type="paragraph" w:styleId="Sommario1">
    <w:name w:val="toc 1"/>
    <w:aliases w:val="CRIF Index"/>
    <w:basedOn w:val="Normale"/>
    <w:next w:val="CRIFTitle3"/>
    <w:link w:val="Sommario1Carattere"/>
    <w:autoRedefine/>
    <w:uiPriority w:val="39"/>
    <w:unhideWhenUsed/>
    <w:qFormat/>
    <w:rsid w:val="007B316A"/>
    <w:pPr>
      <w:tabs>
        <w:tab w:val="left" w:pos="440"/>
        <w:tab w:val="right" w:leader="dot" w:pos="9350"/>
      </w:tabs>
      <w:spacing w:before="120" w:after="120"/>
    </w:pPr>
    <w:rPr>
      <w:b/>
      <w:bCs/>
      <w:caps/>
      <w:noProof/>
      <w:color w:val="003B79" w:themeColor="text1"/>
      <w:sz w:val="20"/>
      <w:szCs w:val="20"/>
      <w:lang w:val="it-IT" w:eastAsia="it-IT"/>
    </w:rPr>
  </w:style>
  <w:style w:type="paragraph" w:styleId="Sommario3">
    <w:name w:val="toc 3"/>
    <w:aliases w:val="Sommario"/>
    <w:basedOn w:val="Normale"/>
    <w:next w:val="Normale"/>
    <w:autoRedefine/>
    <w:uiPriority w:val="39"/>
    <w:unhideWhenUsed/>
    <w:rsid w:val="002211D8"/>
    <w:pPr>
      <w:spacing w:after="0"/>
      <w:ind w:left="440"/>
    </w:pPr>
    <w:rPr>
      <w:i/>
      <w:iCs/>
      <w:sz w:val="20"/>
      <w:szCs w:val="20"/>
    </w:rPr>
  </w:style>
  <w:style w:type="paragraph" w:customStyle="1" w:styleId="CRIFTitle2">
    <w:name w:val="CRIF Title 2"/>
    <w:basedOn w:val="CRIFBodyText"/>
    <w:link w:val="CRIFTitle2Carattere"/>
    <w:qFormat/>
    <w:rsid w:val="00C431CE"/>
    <w:pPr>
      <w:spacing w:after="120"/>
    </w:pPr>
    <w:rPr>
      <w:b/>
      <w:color w:val="003B79" w:themeColor="accent1"/>
      <w:lang w:val="it-IT"/>
    </w:rPr>
  </w:style>
  <w:style w:type="table" w:customStyle="1" w:styleId="Predefinita1">
    <w:name w:val="Predefinita 1"/>
    <w:basedOn w:val="Tabellanormale"/>
    <w:uiPriority w:val="50"/>
    <w:rsid w:val="00246197"/>
    <w:pPr>
      <w:spacing w:after="0" w:line="240" w:lineRule="auto"/>
    </w:pPr>
    <w:tblPr>
      <w:tblStyleRowBandSize w:val="1"/>
      <w:tblStyleColBandSize w:val="1"/>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0" w:type="dxa"/>
        <w:left w:w="108" w:type="dxa"/>
        <w:bottom w:w="0" w:type="dxa"/>
        <w:right w:w="108" w:type="dxa"/>
      </w:tblCellMar>
    </w:tblPr>
    <w:tcPr>
      <w:shd w:val="clear" w:color="auto" w:fill="FBE4CF"/>
    </w:tcPr>
    <w:tblStylePr w:type="firstRow">
      <w:rPr>
        <w:b/>
        <w:bCs/>
        <w:color w:val="F2F2F2"/>
      </w:rPr>
      <w:tblPr/>
      <w:tcPr>
        <w:tcBorders>
          <w:top w:val="single" w:sz="4" w:space="0" w:color="F2F2F2"/>
          <w:left w:val="single" w:sz="4" w:space="0" w:color="F2F2F2"/>
          <w:right w:val="single" w:sz="4" w:space="0" w:color="F2F2F2"/>
          <w:insideH w:val="nil"/>
          <w:insideV w:val="nil"/>
        </w:tcBorders>
        <w:shd w:val="clear" w:color="auto" w:fill="EE7D11"/>
      </w:tcPr>
    </w:tblStylePr>
    <w:tblStylePr w:type="lastRow">
      <w:rPr>
        <w:b/>
        <w:bCs/>
        <w:color w:val="F2F2F2"/>
      </w:rPr>
      <w:tblPr/>
      <w:tcPr>
        <w:tcBorders>
          <w:left w:val="single" w:sz="4" w:space="0" w:color="F2F2F2"/>
          <w:bottom w:val="single" w:sz="4" w:space="0" w:color="F2F2F2"/>
          <w:right w:val="single" w:sz="4" w:space="0" w:color="F2F2F2"/>
          <w:insideH w:val="nil"/>
          <w:insideV w:val="nil"/>
        </w:tcBorders>
        <w:shd w:val="clear" w:color="auto" w:fill="EE7D11"/>
      </w:tcPr>
    </w:tblStylePr>
    <w:tblStylePr w:type="firstCol">
      <w:rPr>
        <w:b/>
        <w:bCs/>
        <w:color w:val="F2F2F2"/>
      </w:rPr>
      <w:tblPr/>
      <w:tcPr>
        <w:tcBorders>
          <w:top w:val="single" w:sz="4" w:space="0" w:color="F2F2F2"/>
          <w:left w:val="single" w:sz="4" w:space="0" w:color="F2F2F2"/>
          <w:bottom w:val="single" w:sz="4" w:space="0" w:color="F2F2F2"/>
          <w:insideV w:val="nil"/>
        </w:tcBorders>
        <w:shd w:val="clear" w:color="auto" w:fill="EE7D11"/>
      </w:tcPr>
    </w:tblStylePr>
    <w:tblStylePr w:type="lastCol">
      <w:rPr>
        <w:b/>
        <w:bCs/>
        <w:color w:val="F2F2F2"/>
      </w:rPr>
      <w:tblPr/>
      <w:tcPr>
        <w:tcBorders>
          <w:top w:val="single" w:sz="4" w:space="0" w:color="F2F2F2"/>
          <w:bottom w:val="single" w:sz="4" w:space="0" w:color="F2F2F2"/>
          <w:right w:val="single" w:sz="4" w:space="0" w:color="F2F2F2"/>
          <w:insideV w:val="nil"/>
        </w:tcBorders>
        <w:shd w:val="clear" w:color="auto" w:fill="EE7D11"/>
      </w:tcPr>
    </w:tblStylePr>
    <w:tblStylePr w:type="band1Vert">
      <w:tblPr/>
      <w:tcPr>
        <w:shd w:val="clear" w:color="auto" w:fill="F8CA9F"/>
      </w:tcPr>
    </w:tblStylePr>
    <w:tblStylePr w:type="band1Horz">
      <w:tblPr/>
      <w:tcPr>
        <w:shd w:val="clear" w:color="auto" w:fill="F8CA9F"/>
      </w:tcPr>
    </w:tblStylePr>
  </w:style>
  <w:style w:type="table" w:styleId="Grigliatabella">
    <w:name w:val="Table Grid"/>
    <w:basedOn w:val="Tabellanormale"/>
    <w:uiPriority w:val="59"/>
    <w:rsid w:val="00246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FTitle3">
    <w:name w:val="CRIF Title 3"/>
    <w:basedOn w:val="CRIFTitle2"/>
    <w:link w:val="CRIFTitle3Carattere"/>
    <w:qFormat/>
    <w:rsid w:val="00CB1EDE"/>
    <w:rPr>
      <w:b w:val="0"/>
    </w:rPr>
  </w:style>
  <w:style w:type="character" w:customStyle="1" w:styleId="CRIFTitle2Carattere">
    <w:name w:val="CRIF Title 2 Carattere"/>
    <w:basedOn w:val="CRIFBodyTextChar"/>
    <w:link w:val="CRIFTitle2"/>
    <w:rsid w:val="00C431CE"/>
    <w:rPr>
      <w:rFonts w:eastAsiaTheme="minorEastAsia"/>
      <w:b/>
      <w:color w:val="003B79" w:themeColor="accent1"/>
      <w:sz w:val="20"/>
      <w:lang w:val="it-IT"/>
    </w:rPr>
  </w:style>
  <w:style w:type="paragraph" w:styleId="Sommario4">
    <w:name w:val="toc 4"/>
    <w:basedOn w:val="Normale"/>
    <w:next w:val="Normale"/>
    <w:autoRedefine/>
    <w:uiPriority w:val="39"/>
    <w:unhideWhenUsed/>
    <w:rsid w:val="000B1462"/>
    <w:pPr>
      <w:spacing w:after="0"/>
      <w:ind w:left="660"/>
    </w:pPr>
    <w:rPr>
      <w:sz w:val="18"/>
      <w:szCs w:val="18"/>
    </w:rPr>
  </w:style>
  <w:style w:type="character" w:customStyle="1" w:styleId="CRIFTitle3Carattere">
    <w:name w:val="CRIF Title 3 Carattere"/>
    <w:basedOn w:val="CRIFTitle2Carattere"/>
    <w:link w:val="CRIFTitle3"/>
    <w:rsid w:val="00CB1EDE"/>
    <w:rPr>
      <w:rFonts w:eastAsiaTheme="minorEastAsia"/>
      <w:b w:val="0"/>
      <w:color w:val="003B79" w:themeColor="accent1"/>
      <w:sz w:val="20"/>
      <w:lang w:val="it-IT"/>
    </w:rPr>
  </w:style>
  <w:style w:type="character" w:customStyle="1" w:styleId="Sommario1Carattere">
    <w:name w:val="Sommario 1 Carattere"/>
    <w:aliases w:val="CRIF Index Carattere"/>
    <w:basedOn w:val="Carpredefinitoparagrafo"/>
    <w:link w:val="Sommario1"/>
    <w:uiPriority w:val="39"/>
    <w:rsid w:val="007B316A"/>
    <w:rPr>
      <w:rFonts w:eastAsiaTheme="minorEastAsia"/>
      <w:b/>
      <w:bCs/>
      <w:caps/>
      <w:noProof/>
      <w:color w:val="003B79" w:themeColor="text1"/>
      <w:sz w:val="20"/>
      <w:szCs w:val="20"/>
      <w:lang w:val="it-IT" w:eastAsia="it-IT"/>
    </w:rPr>
  </w:style>
  <w:style w:type="table" w:styleId="Tabellasemplice1">
    <w:name w:val="Table Simple 1"/>
    <w:basedOn w:val="Tabellanormale"/>
    <w:uiPriority w:val="99"/>
    <w:semiHidden/>
    <w:unhideWhenUsed/>
    <w:rsid w:val="001F01C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ommario5">
    <w:name w:val="toc 5"/>
    <w:basedOn w:val="Normale"/>
    <w:next w:val="Normale"/>
    <w:autoRedefine/>
    <w:uiPriority w:val="39"/>
    <w:unhideWhenUsed/>
    <w:rsid w:val="00C13243"/>
    <w:pPr>
      <w:spacing w:after="0"/>
      <w:ind w:left="880"/>
    </w:pPr>
    <w:rPr>
      <w:sz w:val="18"/>
      <w:szCs w:val="18"/>
    </w:rPr>
  </w:style>
  <w:style w:type="paragraph" w:styleId="Sommario6">
    <w:name w:val="toc 6"/>
    <w:basedOn w:val="Normale"/>
    <w:next w:val="Normale"/>
    <w:autoRedefine/>
    <w:uiPriority w:val="39"/>
    <w:unhideWhenUsed/>
    <w:rsid w:val="00C13243"/>
    <w:pPr>
      <w:spacing w:after="0"/>
      <w:ind w:left="1100"/>
    </w:pPr>
    <w:rPr>
      <w:sz w:val="18"/>
      <w:szCs w:val="18"/>
    </w:rPr>
  </w:style>
  <w:style w:type="paragraph" w:styleId="Sommario7">
    <w:name w:val="toc 7"/>
    <w:basedOn w:val="Normale"/>
    <w:next w:val="Normale"/>
    <w:autoRedefine/>
    <w:uiPriority w:val="39"/>
    <w:unhideWhenUsed/>
    <w:rsid w:val="00C13243"/>
    <w:pPr>
      <w:spacing w:after="0"/>
      <w:ind w:left="1320"/>
    </w:pPr>
    <w:rPr>
      <w:sz w:val="18"/>
      <w:szCs w:val="18"/>
    </w:rPr>
  </w:style>
  <w:style w:type="paragraph" w:styleId="Sommario8">
    <w:name w:val="toc 8"/>
    <w:basedOn w:val="Normale"/>
    <w:next w:val="Normale"/>
    <w:autoRedefine/>
    <w:uiPriority w:val="39"/>
    <w:unhideWhenUsed/>
    <w:rsid w:val="00C13243"/>
    <w:pPr>
      <w:spacing w:after="0"/>
      <w:ind w:left="1540"/>
    </w:pPr>
    <w:rPr>
      <w:sz w:val="18"/>
      <w:szCs w:val="18"/>
    </w:rPr>
  </w:style>
  <w:style w:type="paragraph" w:styleId="Sommario9">
    <w:name w:val="toc 9"/>
    <w:basedOn w:val="Normale"/>
    <w:next w:val="Normale"/>
    <w:autoRedefine/>
    <w:uiPriority w:val="39"/>
    <w:unhideWhenUsed/>
    <w:rsid w:val="00C13243"/>
    <w:pPr>
      <w:spacing w:after="0"/>
      <w:ind w:left="1760"/>
    </w:pPr>
    <w:rPr>
      <w:sz w:val="18"/>
      <w:szCs w:val="18"/>
    </w:rPr>
  </w:style>
  <w:style w:type="character" w:customStyle="1" w:styleId="Titolo2Carattere">
    <w:name w:val="Titolo 2 Carattere"/>
    <w:basedOn w:val="Carpredefinitoparagrafo"/>
    <w:link w:val="Titolo2"/>
    <w:uiPriority w:val="9"/>
    <w:semiHidden/>
    <w:rsid w:val="000C7C51"/>
    <w:rPr>
      <w:rFonts w:asciiTheme="majorHAnsi" w:eastAsiaTheme="majorEastAsia" w:hAnsiTheme="majorHAnsi" w:cstheme="majorBidi"/>
      <w:b/>
      <w:bCs/>
      <w:color w:val="003B79" w:themeColor="accent1"/>
      <w:sz w:val="26"/>
      <w:szCs w:val="26"/>
    </w:rPr>
  </w:style>
  <w:style w:type="character" w:customStyle="1" w:styleId="Titolo3Carattere">
    <w:name w:val="Titolo 3 Carattere"/>
    <w:basedOn w:val="Carpredefinitoparagrafo"/>
    <w:link w:val="Titolo3"/>
    <w:uiPriority w:val="9"/>
    <w:semiHidden/>
    <w:rsid w:val="000C7C51"/>
    <w:rPr>
      <w:rFonts w:asciiTheme="majorHAnsi" w:eastAsiaTheme="majorEastAsia" w:hAnsiTheme="majorHAnsi" w:cstheme="majorBidi"/>
      <w:b/>
      <w:bCs/>
      <w:color w:val="003B79" w:themeColor="accent1"/>
    </w:rPr>
  </w:style>
  <w:style w:type="character" w:customStyle="1" w:styleId="Titolo4Carattere">
    <w:name w:val="Titolo 4 Carattere"/>
    <w:basedOn w:val="Carpredefinitoparagrafo"/>
    <w:link w:val="Titolo4"/>
    <w:uiPriority w:val="9"/>
    <w:semiHidden/>
    <w:rsid w:val="000C7C51"/>
    <w:rPr>
      <w:rFonts w:asciiTheme="majorHAnsi" w:eastAsiaTheme="majorEastAsia" w:hAnsiTheme="majorHAnsi" w:cstheme="majorBidi"/>
      <w:b/>
      <w:bCs/>
      <w:i/>
      <w:iCs/>
      <w:color w:val="003B79" w:themeColor="accent1"/>
    </w:rPr>
  </w:style>
  <w:style w:type="character" w:customStyle="1" w:styleId="Titolo5Carattere">
    <w:name w:val="Titolo 5 Carattere"/>
    <w:basedOn w:val="Carpredefinitoparagrafo"/>
    <w:link w:val="Titolo5"/>
    <w:uiPriority w:val="9"/>
    <w:semiHidden/>
    <w:rsid w:val="000C7C51"/>
    <w:rPr>
      <w:rFonts w:asciiTheme="majorHAnsi" w:eastAsiaTheme="majorEastAsia" w:hAnsiTheme="majorHAnsi" w:cstheme="majorBidi"/>
      <w:color w:val="001D3C" w:themeColor="accent1" w:themeShade="7F"/>
    </w:rPr>
  </w:style>
  <w:style w:type="character" w:customStyle="1" w:styleId="Titolo6Carattere">
    <w:name w:val="Titolo 6 Carattere"/>
    <w:basedOn w:val="Carpredefinitoparagrafo"/>
    <w:link w:val="Titolo6"/>
    <w:uiPriority w:val="9"/>
    <w:semiHidden/>
    <w:rsid w:val="000C7C51"/>
    <w:rPr>
      <w:rFonts w:asciiTheme="majorHAnsi" w:eastAsiaTheme="majorEastAsia" w:hAnsiTheme="majorHAnsi" w:cstheme="majorBidi"/>
      <w:i/>
      <w:iCs/>
      <w:color w:val="001D3C" w:themeColor="accent1" w:themeShade="7F"/>
    </w:rPr>
  </w:style>
  <w:style w:type="character" w:customStyle="1" w:styleId="Titolo7Carattere">
    <w:name w:val="Titolo 7 Carattere"/>
    <w:basedOn w:val="Carpredefinitoparagrafo"/>
    <w:link w:val="Titolo7"/>
    <w:uiPriority w:val="9"/>
    <w:semiHidden/>
    <w:rsid w:val="000C7C51"/>
    <w:rPr>
      <w:rFonts w:asciiTheme="majorHAnsi" w:eastAsiaTheme="majorEastAsia" w:hAnsiTheme="majorHAnsi" w:cstheme="majorBidi"/>
      <w:i/>
      <w:iCs/>
      <w:color w:val="006ADA" w:themeColor="text1" w:themeTint="BF"/>
    </w:rPr>
  </w:style>
  <w:style w:type="character" w:customStyle="1" w:styleId="Titolo8Carattere">
    <w:name w:val="Titolo 8 Carattere"/>
    <w:basedOn w:val="Carpredefinitoparagrafo"/>
    <w:link w:val="Titolo8"/>
    <w:uiPriority w:val="9"/>
    <w:semiHidden/>
    <w:rsid w:val="000C7C51"/>
    <w:rPr>
      <w:rFonts w:asciiTheme="majorHAnsi" w:eastAsiaTheme="majorEastAsia" w:hAnsiTheme="majorHAnsi" w:cstheme="majorBidi"/>
      <w:color w:val="006ADA" w:themeColor="text1" w:themeTint="BF"/>
      <w:sz w:val="20"/>
      <w:szCs w:val="20"/>
    </w:rPr>
  </w:style>
  <w:style w:type="character" w:customStyle="1" w:styleId="Titolo9Carattere">
    <w:name w:val="Titolo 9 Carattere"/>
    <w:basedOn w:val="Carpredefinitoparagrafo"/>
    <w:link w:val="Titolo9"/>
    <w:uiPriority w:val="9"/>
    <w:semiHidden/>
    <w:rsid w:val="000C7C51"/>
    <w:rPr>
      <w:rFonts w:asciiTheme="majorHAnsi" w:eastAsiaTheme="majorEastAsia" w:hAnsiTheme="majorHAnsi" w:cstheme="majorBidi"/>
      <w:i/>
      <w:iCs/>
      <w:color w:val="006ADA" w:themeColor="text1" w:themeTint="BF"/>
      <w:sz w:val="20"/>
      <w:szCs w:val="20"/>
    </w:rPr>
  </w:style>
  <w:style w:type="paragraph" w:customStyle="1" w:styleId="CRIF1Title">
    <w:name w:val="CRIF 1.Title"/>
    <w:basedOn w:val="CRIFTitle"/>
    <w:rsid w:val="00587C54"/>
    <w:rPr>
      <w:lang w:val="it-IT"/>
    </w:rPr>
  </w:style>
  <w:style w:type="table" w:styleId="Elencochiaro-Colore1">
    <w:name w:val="Light List Accent 1"/>
    <w:basedOn w:val="Tabellanormale"/>
    <w:uiPriority w:val="61"/>
    <w:rsid w:val="00C11AE6"/>
    <w:pPr>
      <w:spacing w:after="0" w:line="240" w:lineRule="auto"/>
    </w:pPr>
    <w:tblPr>
      <w:tblStyleRowBandSize w:val="1"/>
      <w:tblStyleColBandSize w:val="1"/>
      <w:tblInd w:w="0" w:type="dxa"/>
      <w:tblBorders>
        <w:top w:val="single" w:sz="8" w:space="0" w:color="003B79" w:themeColor="accent1"/>
        <w:left w:val="single" w:sz="8" w:space="0" w:color="003B79" w:themeColor="accent1"/>
        <w:bottom w:val="single" w:sz="8" w:space="0" w:color="003B79" w:themeColor="accent1"/>
        <w:right w:val="single" w:sz="8" w:space="0" w:color="003B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3B79" w:themeFill="accent1"/>
      </w:tcPr>
    </w:tblStylePr>
    <w:tblStylePr w:type="lastRow">
      <w:pPr>
        <w:spacing w:before="0" w:after="0" w:line="240" w:lineRule="auto"/>
      </w:pPr>
      <w:rPr>
        <w:b/>
        <w:bCs/>
      </w:rPr>
      <w:tblPr/>
      <w:tcPr>
        <w:tcBorders>
          <w:top w:val="double" w:sz="6" w:space="0" w:color="003B79" w:themeColor="accent1"/>
          <w:left w:val="single" w:sz="8" w:space="0" w:color="003B79" w:themeColor="accent1"/>
          <w:bottom w:val="single" w:sz="8" w:space="0" w:color="003B79" w:themeColor="accent1"/>
          <w:right w:val="single" w:sz="8" w:space="0" w:color="003B79" w:themeColor="accent1"/>
        </w:tcBorders>
      </w:tcPr>
    </w:tblStylePr>
    <w:tblStylePr w:type="firstCol">
      <w:rPr>
        <w:b/>
        <w:bCs/>
      </w:rPr>
    </w:tblStylePr>
    <w:tblStylePr w:type="lastCol">
      <w:rPr>
        <w:b/>
        <w:bCs/>
      </w:rPr>
    </w:tblStylePr>
    <w:tblStylePr w:type="band1Vert">
      <w:tblPr/>
      <w:tcPr>
        <w:tcBorders>
          <w:top w:val="single" w:sz="8" w:space="0" w:color="003B79" w:themeColor="accent1"/>
          <w:left w:val="single" w:sz="8" w:space="0" w:color="003B79" w:themeColor="accent1"/>
          <w:bottom w:val="single" w:sz="8" w:space="0" w:color="003B79" w:themeColor="accent1"/>
          <w:right w:val="single" w:sz="8" w:space="0" w:color="003B79" w:themeColor="accent1"/>
        </w:tcBorders>
      </w:tcPr>
    </w:tblStylePr>
    <w:tblStylePr w:type="band1Horz">
      <w:tblPr/>
      <w:tcPr>
        <w:tcBorders>
          <w:top w:val="single" w:sz="8" w:space="0" w:color="003B79" w:themeColor="accent1"/>
          <w:left w:val="single" w:sz="8" w:space="0" w:color="003B79" w:themeColor="accent1"/>
          <w:bottom w:val="single" w:sz="8" w:space="0" w:color="003B79" w:themeColor="accent1"/>
          <w:right w:val="single" w:sz="8" w:space="0" w:color="003B79" w:themeColor="accent1"/>
        </w:tcBorders>
      </w:tcPr>
    </w:tblStylePr>
  </w:style>
  <w:style w:type="table" w:styleId="Elencochiaro-Colore2">
    <w:name w:val="Light List Accent 2"/>
    <w:basedOn w:val="Tabellanormale"/>
    <w:uiPriority w:val="61"/>
    <w:rsid w:val="00B32D73"/>
    <w:pPr>
      <w:spacing w:after="0" w:line="240" w:lineRule="auto"/>
    </w:pPr>
    <w:tblPr>
      <w:tblStyleRowBandSize w:val="1"/>
      <w:tblStyleColBandSize w:val="1"/>
      <w:tblInd w:w="0" w:type="dxa"/>
      <w:tblBorders>
        <w:top w:val="single" w:sz="8" w:space="0" w:color="EE7D11" w:themeColor="accent2"/>
        <w:left w:val="single" w:sz="8" w:space="0" w:color="EE7D11" w:themeColor="accent2"/>
        <w:bottom w:val="single" w:sz="8" w:space="0" w:color="EE7D11" w:themeColor="accent2"/>
        <w:right w:val="single" w:sz="8" w:space="0" w:color="EE7D1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E7D11" w:themeFill="accent2"/>
      </w:tcPr>
    </w:tblStylePr>
    <w:tblStylePr w:type="lastRow">
      <w:pPr>
        <w:spacing w:before="0" w:after="0" w:line="240" w:lineRule="auto"/>
      </w:pPr>
      <w:rPr>
        <w:b/>
        <w:bCs/>
      </w:rPr>
      <w:tblPr/>
      <w:tcPr>
        <w:tcBorders>
          <w:top w:val="double" w:sz="6" w:space="0" w:color="EE7D11" w:themeColor="accent2"/>
          <w:left w:val="single" w:sz="8" w:space="0" w:color="EE7D11" w:themeColor="accent2"/>
          <w:bottom w:val="single" w:sz="8" w:space="0" w:color="EE7D11" w:themeColor="accent2"/>
          <w:right w:val="single" w:sz="8" w:space="0" w:color="EE7D11" w:themeColor="accent2"/>
        </w:tcBorders>
      </w:tcPr>
    </w:tblStylePr>
    <w:tblStylePr w:type="firstCol">
      <w:rPr>
        <w:b/>
        <w:bCs/>
      </w:rPr>
    </w:tblStylePr>
    <w:tblStylePr w:type="lastCol">
      <w:rPr>
        <w:b/>
        <w:bCs/>
      </w:rPr>
    </w:tblStylePr>
    <w:tblStylePr w:type="band1Vert">
      <w:tblPr/>
      <w:tcPr>
        <w:tcBorders>
          <w:top w:val="single" w:sz="8" w:space="0" w:color="EE7D11" w:themeColor="accent2"/>
          <w:left w:val="single" w:sz="8" w:space="0" w:color="EE7D11" w:themeColor="accent2"/>
          <w:bottom w:val="single" w:sz="8" w:space="0" w:color="EE7D11" w:themeColor="accent2"/>
          <w:right w:val="single" w:sz="8" w:space="0" w:color="EE7D11" w:themeColor="accent2"/>
        </w:tcBorders>
      </w:tcPr>
    </w:tblStylePr>
    <w:tblStylePr w:type="band1Horz">
      <w:tblPr/>
      <w:tcPr>
        <w:tcBorders>
          <w:top w:val="single" w:sz="8" w:space="0" w:color="EE7D11" w:themeColor="accent2"/>
          <w:left w:val="single" w:sz="8" w:space="0" w:color="EE7D11" w:themeColor="accent2"/>
          <w:bottom w:val="single" w:sz="8" w:space="0" w:color="EE7D11" w:themeColor="accent2"/>
          <w:right w:val="single" w:sz="8" w:space="0" w:color="EE7D11" w:themeColor="accent2"/>
        </w:tcBorders>
      </w:tcPr>
    </w:tblStylePr>
  </w:style>
  <w:style w:type="table" w:styleId="Sfondomedio1-Colore2">
    <w:name w:val="Medium Shading 1 Accent 2"/>
    <w:basedOn w:val="Tabellanormale"/>
    <w:uiPriority w:val="63"/>
    <w:rsid w:val="00C75F14"/>
    <w:pPr>
      <w:spacing w:after="0" w:line="240" w:lineRule="auto"/>
    </w:pPr>
    <w:tblPr>
      <w:tblStyleRowBandSize w:val="1"/>
      <w:tblStyleColBandSize w:val="1"/>
      <w:tblInd w:w="0" w:type="dxa"/>
      <w:tblBorders>
        <w:top w:val="single" w:sz="8"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single" w:sz="8" w:space="0" w:color="F29D4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nil"/>
          <w:insideV w:val="nil"/>
        </w:tcBorders>
        <w:shd w:val="clear" w:color="auto" w:fill="EE7D11" w:themeFill="accent2"/>
      </w:tcPr>
    </w:tblStylePr>
    <w:tblStylePr w:type="lastRow">
      <w:pPr>
        <w:spacing w:before="0" w:after="0" w:line="240" w:lineRule="auto"/>
      </w:pPr>
      <w:rPr>
        <w:b/>
        <w:bCs/>
      </w:rPr>
      <w:tblPr/>
      <w:tcPr>
        <w:tcBorders>
          <w:top w:val="double" w:sz="6"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4" w:themeFill="accent2" w:themeFillTint="3F"/>
      </w:tcPr>
    </w:tblStylePr>
    <w:tblStylePr w:type="band1Horz">
      <w:tblPr/>
      <w:tcPr>
        <w:tcBorders>
          <w:insideH w:val="nil"/>
          <w:insideV w:val="nil"/>
        </w:tcBorders>
        <w:shd w:val="clear" w:color="auto" w:fill="FADEC4" w:themeFill="accent2" w:themeFillTint="3F"/>
      </w:tcPr>
    </w:tblStylePr>
    <w:tblStylePr w:type="band2Horz">
      <w:tblPr/>
      <w:tcPr>
        <w:tcBorders>
          <w:insideH w:val="nil"/>
          <w:insideV w:val="nil"/>
        </w:tcBorders>
      </w:tcPr>
    </w:tblStylePr>
  </w:style>
  <w:style w:type="character" w:styleId="Enfasicorsivo">
    <w:name w:val="Emphasis"/>
    <w:basedOn w:val="Carpredefinitoparagrafo"/>
    <w:uiPriority w:val="20"/>
    <w:qFormat/>
    <w:rsid w:val="00076251"/>
    <w:rPr>
      <w:i/>
      <w:iCs/>
    </w:rPr>
  </w:style>
  <w:style w:type="paragraph" w:styleId="Revisione">
    <w:name w:val="Revision"/>
    <w:hidden/>
    <w:uiPriority w:val="99"/>
    <w:semiHidden/>
    <w:rsid w:val="002C53BF"/>
    <w:pPr>
      <w:spacing w:after="0" w:line="240" w:lineRule="auto"/>
    </w:pPr>
    <w:rPr>
      <w:rFonts w:eastAsiaTheme="minorEastAsia"/>
    </w:rPr>
  </w:style>
  <w:style w:type="paragraph" w:styleId="Mappadocumento">
    <w:name w:val="Document Map"/>
    <w:basedOn w:val="Normale"/>
    <w:link w:val="MappadocumentoCarattere"/>
    <w:semiHidden/>
    <w:rsid w:val="002C53BF"/>
    <w:pPr>
      <w:shd w:val="clear" w:color="auto" w:fill="000080"/>
      <w:spacing w:after="40" w:line="240" w:lineRule="auto"/>
      <w:ind w:firstLine="284"/>
      <w:jc w:val="both"/>
    </w:pPr>
    <w:rPr>
      <w:rFonts w:ascii="Tahoma" w:eastAsia="Times New Roman" w:hAnsi="Tahoma" w:cs="Times New Roman"/>
      <w:snapToGrid w:val="0"/>
      <w:sz w:val="20"/>
      <w:szCs w:val="20"/>
      <w:lang w:val="it-IT" w:eastAsia="it-IT"/>
    </w:rPr>
  </w:style>
  <w:style w:type="character" w:customStyle="1" w:styleId="MappadocumentoCarattere">
    <w:name w:val="Mappa documento Carattere"/>
    <w:basedOn w:val="Carpredefinitoparagrafo"/>
    <w:link w:val="Mappadocumento"/>
    <w:semiHidden/>
    <w:rsid w:val="002C53BF"/>
    <w:rPr>
      <w:rFonts w:ascii="Tahoma" w:eastAsia="Times New Roman" w:hAnsi="Tahoma" w:cs="Times New Roman"/>
      <w:snapToGrid w:val="0"/>
      <w:sz w:val="20"/>
      <w:szCs w:val="20"/>
      <w:shd w:val="clear" w:color="auto" w:fill="000080"/>
      <w:lang w:val="it-IT" w:eastAsia="it-IT"/>
    </w:rPr>
  </w:style>
  <w:style w:type="character" w:styleId="Rimandocommento">
    <w:name w:val="annotation reference"/>
    <w:uiPriority w:val="99"/>
    <w:semiHidden/>
    <w:unhideWhenUsed/>
    <w:rsid w:val="002C53BF"/>
    <w:rPr>
      <w:sz w:val="16"/>
      <w:szCs w:val="16"/>
    </w:rPr>
  </w:style>
  <w:style w:type="paragraph" w:styleId="Testocommento">
    <w:name w:val="annotation text"/>
    <w:basedOn w:val="Normale"/>
    <w:link w:val="TestocommentoCarattere"/>
    <w:uiPriority w:val="99"/>
    <w:semiHidden/>
    <w:unhideWhenUsed/>
    <w:rsid w:val="002C53BF"/>
    <w:pPr>
      <w:spacing w:after="40" w:line="240" w:lineRule="auto"/>
      <w:ind w:firstLine="284"/>
      <w:jc w:val="both"/>
    </w:pPr>
    <w:rPr>
      <w:rFonts w:ascii="Verdana" w:eastAsia="Times New Roman" w:hAnsi="Verdana" w:cs="Times New Roman"/>
      <w:snapToGrid w:val="0"/>
      <w:sz w:val="20"/>
      <w:szCs w:val="20"/>
    </w:rPr>
  </w:style>
  <w:style w:type="character" w:customStyle="1" w:styleId="TestocommentoCarattere">
    <w:name w:val="Testo commento Carattere"/>
    <w:basedOn w:val="Carpredefinitoparagrafo"/>
    <w:link w:val="Testocommento"/>
    <w:uiPriority w:val="99"/>
    <w:semiHidden/>
    <w:rsid w:val="002C53BF"/>
    <w:rPr>
      <w:rFonts w:ascii="Verdana" w:eastAsia="Times New Roman" w:hAnsi="Verdana" w:cs="Times New Roman"/>
      <w:snapToGrid w:val="0"/>
      <w:sz w:val="20"/>
      <w:szCs w:val="20"/>
    </w:rPr>
  </w:style>
  <w:style w:type="paragraph" w:styleId="Soggettocommento">
    <w:name w:val="annotation subject"/>
    <w:basedOn w:val="Testocommento"/>
    <w:next w:val="Testocommento"/>
    <w:link w:val="SoggettocommentoCarattere"/>
    <w:uiPriority w:val="99"/>
    <w:semiHidden/>
    <w:unhideWhenUsed/>
    <w:rsid w:val="002C53BF"/>
    <w:rPr>
      <w:b/>
      <w:bCs/>
    </w:rPr>
  </w:style>
  <w:style w:type="character" w:customStyle="1" w:styleId="SoggettocommentoCarattere">
    <w:name w:val="Soggetto commento Carattere"/>
    <w:basedOn w:val="TestocommentoCarattere"/>
    <w:link w:val="Soggettocommento"/>
    <w:uiPriority w:val="99"/>
    <w:semiHidden/>
    <w:rsid w:val="002C53BF"/>
    <w:rPr>
      <w:rFonts w:ascii="Verdana" w:eastAsia="Times New Roman" w:hAnsi="Verdana" w:cs="Times New Roman"/>
      <w:b/>
      <w:bCs/>
      <w:snapToGrid w:val="0"/>
      <w:sz w:val="20"/>
      <w:szCs w:val="20"/>
    </w:rPr>
  </w:style>
  <w:style w:type="paragraph" w:customStyle="1" w:styleId="Corpsdetexte1">
    <w:name w:val="Corps de texte1"/>
    <w:basedOn w:val="Normale"/>
    <w:uiPriority w:val="99"/>
    <w:rsid w:val="002C53BF"/>
    <w:pPr>
      <w:autoSpaceDE w:val="0"/>
      <w:autoSpaceDN w:val="0"/>
      <w:spacing w:after="216" w:line="288" w:lineRule="auto"/>
    </w:pPr>
    <w:rPr>
      <w:rFonts w:ascii="HendersonBCGSerif-Regular" w:eastAsia="Calibri" w:hAnsi="HendersonBCGSerif-Regular" w:cs="Times New Roman"/>
      <w:color w:val="000000"/>
      <w:sz w:val="19"/>
      <w:szCs w:val="19"/>
      <w:lang w:val="fr-FR" w:eastAsia="fr-FR"/>
    </w:rPr>
  </w:style>
  <w:style w:type="character" w:customStyle="1" w:styleId="postbody1">
    <w:name w:val="postbody1"/>
    <w:rsid w:val="002C53BF"/>
    <w:rPr>
      <w:vanish w:val="0"/>
      <w:webHidden w:val="0"/>
      <w:specVanish w:val="0"/>
    </w:rPr>
  </w:style>
  <w:style w:type="paragraph" w:customStyle="1" w:styleId="introcapitolo">
    <w:name w:val="intro capitolo"/>
    <w:basedOn w:val="Normale"/>
    <w:qFormat/>
    <w:rsid w:val="002C53BF"/>
    <w:pPr>
      <w:widowControl w:val="0"/>
      <w:adjustRightInd w:val="0"/>
      <w:spacing w:after="160" w:line="280" w:lineRule="exact"/>
      <w:jc w:val="both"/>
      <w:textAlignment w:val="baseline"/>
    </w:pPr>
    <w:rPr>
      <w:rFonts w:ascii="Apex New Book" w:eastAsia="Times New Roman" w:hAnsi="Apex New Book" w:cs="Apex New Book"/>
      <w:color w:val="003882"/>
      <w:sz w:val="20"/>
      <w:szCs w:val="20"/>
      <w:lang w:val="it-IT" w:eastAsia="it-IT"/>
    </w:rPr>
  </w:style>
  <w:style w:type="character" w:styleId="Enfasigrassetto">
    <w:name w:val="Strong"/>
    <w:uiPriority w:val="22"/>
    <w:qFormat/>
    <w:rsid w:val="002C53BF"/>
    <w:rPr>
      <w:b/>
      <w:bCs/>
    </w:rPr>
  </w:style>
  <w:style w:type="paragraph" w:styleId="NormaleWeb">
    <w:name w:val="Normal (Web)"/>
    <w:basedOn w:val="Normale"/>
    <w:uiPriority w:val="99"/>
    <w:semiHidden/>
    <w:unhideWhenUsed/>
    <w:rsid w:val="002C53B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rmale">
    <w:name w:val="Plain Text"/>
    <w:basedOn w:val="Normale"/>
    <w:link w:val="TestonormaleCarattere"/>
    <w:uiPriority w:val="99"/>
    <w:unhideWhenUsed/>
    <w:rsid w:val="002C53BF"/>
    <w:pPr>
      <w:spacing w:after="0" w:line="240" w:lineRule="auto"/>
    </w:pPr>
    <w:rPr>
      <w:rFonts w:ascii="Calibri" w:eastAsia="Calibri" w:hAnsi="Calibri" w:cs="Consolas"/>
      <w:szCs w:val="21"/>
      <w:lang w:val="it-IT"/>
    </w:rPr>
  </w:style>
  <w:style w:type="character" w:customStyle="1" w:styleId="TestonormaleCarattere">
    <w:name w:val="Testo normale Carattere"/>
    <w:basedOn w:val="Carpredefinitoparagrafo"/>
    <w:link w:val="Testonormale"/>
    <w:uiPriority w:val="99"/>
    <w:rsid w:val="002C53BF"/>
    <w:rPr>
      <w:rFonts w:ascii="Calibri" w:eastAsia="Calibri" w:hAnsi="Calibri" w:cs="Consolas"/>
      <w:szCs w:val="21"/>
      <w:lang w:val="it-IT"/>
    </w:rPr>
  </w:style>
  <w:style w:type="character" w:customStyle="1" w:styleId="postbody">
    <w:name w:val="postbody"/>
    <w:rsid w:val="002C53BF"/>
  </w:style>
  <w:style w:type="table" w:styleId="Grigliamedia1-Colore2">
    <w:name w:val="Medium Grid 1 Accent 2"/>
    <w:basedOn w:val="Tabellanormale"/>
    <w:uiPriority w:val="67"/>
    <w:rsid w:val="001D5789"/>
    <w:pPr>
      <w:spacing w:after="0" w:line="240" w:lineRule="auto"/>
    </w:pPr>
    <w:tblPr>
      <w:tblStyleRowBandSize w:val="1"/>
      <w:tblStyleColBandSize w:val="1"/>
      <w:tblInd w:w="0" w:type="dxa"/>
      <w:tblBorders>
        <w:top w:val="single" w:sz="8"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single" w:sz="8" w:space="0" w:color="F29D4C" w:themeColor="accent2" w:themeTint="BF"/>
        <w:insideV w:val="single" w:sz="8" w:space="0" w:color="F29D4C" w:themeColor="accent2" w:themeTint="BF"/>
      </w:tblBorders>
      <w:tblCellMar>
        <w:top w:w="0" w:type="dxa"/>
        <w:left w:w="108" w:type="dxa"/>
        <w:bottom w:w="0" w:type="dxa"/>
        <w:right w:w="108" w:type="dxa"/>
      </w:tblCellMar>
    </w:tblPr>
    <w:tcPr>
      <w:shd w:val="clear" w:color="auto" w:fill="FADEC4" w:themeFill="accent2" w:themeFillTint="3F"/>
    </w:tcPr>
    <w:tblStylePr w:type="firstRow">
      <w:rPr>
        <w:b/>
        <w:bCs/>
      </w:rPr>
    </w:tblStylePr>
    <w:tblStylePr w:type="lastRow">
      <w:rPr>
        <w:b/>
        <w:bCs/>
      </w:rPr>
      <w:tblPr/>
      <w:tcPr>
        <w:tcBorders>
          <w:top w:val="single" w:sz="18" w:space="0" w:color="F29D4C" w:themeColor="accent2" w:themeTint="BF"/>
        </w:tcBorders>
      </w:tcPr>
    </w:tblStylePr>
    <w:tblStylePr w:type="firstCol">
      <w:rPr>
        <w:b/>
        <w:bCs/>
      </w:rPr>
    </w:tblStylePr>
    <w:tblStylePr w:type="lastCol">
      <w:rPr>
        <w:b/>
        <w:bCs/>
      </w:rPr>
    </w:tblStylePr>
    <w:tblStylePr w:type="band1Vert">
      <w:tblPr/>
      <w:tcPr>
        <w:shd w:val="clear" w:color="auto" w:fill="F6BD88" w:themeFill="accent2" w:themeFillTint="7F"/>
      </w:tcPr>
    </w:tblStylePr>
    <w:tblStylePr w:type="band1Horz">
      <w:tblPr/>
      <w:tcPr>
        <w:shd w:val="clear" w:color="auto" w:fill="F6BD88" w:themeFill="accent2" w:themeFillTint="7F"/>
      </w:tcPr>
    </w:tblStylePr>
  </w:style>
  <w:style w:type="table" w:styleId="Grigliamedia3-Colore2">
    <w:name w:val="Medium Grid 3 Accent 2"/>
    <w:basedOn w:val="Tabellanormale"/>
    <w:uiPriority w:val="69"/>
    <w:rsid w:val="001D57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D1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D1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D1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D1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D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D88" w:themeFill="accent2" w:themeFillTint="7F"/>
      </w:tcPr>
    </w:tblStylePr>
  </w:style>
  <w:style w:type="character" w:customStyle="1" w:styleId="s56">
    <w:name w:val="s56"/>
    <w:basedOn w:val="Carpredefinitoparagrafo"/>
    <w:rsid w:val="001C5D53"/>
  </w:style>
  <w:style w:type="table" w:customStyle="1" w:styleId="Tabellagriglia5scura-colore21">
    <w:name w:val="Tabella griglia 5 scura - colore 21"/>
    <w:basedOn w:val="Tabellanormale"/>
    <w:uiPriority w:val="50"/>
    <w:rsid w:val="00C82CB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7D1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7D1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7D1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7D11" w:themeFill="accent2"/>
      </w:tcPr>
    </w:tblStylePr>
    <w:tblStylePr w:type="band1Vert">
      <w:tblPr/>
      <w:tcPr>
        <w:shd w:val="clear" w:color="auto" w:fill="F8CA9F" w:themeFill="accent2" w:themeFillTint="66"/>
      </w:tcPr>
    </w:tblStylePr>
    <w:tblStylePr w:type="band1Horz">
      <w:tblPr/>
      <w:tcPr>
        <w:shd w:val="clear" w:color="auto" w:fill="F8CA9F" w:themeFill="accent2" w:themeFillTint="66"/>
      </w:tcPr>
    </w:tblStylePr>
  </w:style>
  <w:style w:type="paragraph" w:customStyle="1" w:styleId="Nessunaspaziatura1">
    <w:name w:val="Nessuna spaziatura1"/>
    <w:rsid w:val="00957803"/>
    <w:pPr>
      <w:spacing w:after="0" w:line="240" w:lineRule="auto"/>
    </w:pPr>
    <w:rPr>
      <w:rFonts w:ascii="Times" w:eastAsia="Times New Roman" w:hAnsi="Times" w:cs="Times"/>
      <w:sz w:val="24"/>
      <w:szCs w:val="24"/>
      <w:lang w:val="it-IT" w:eastAsia="it-IT"/>
    </w:rPr>
  </w:style>
</w:styles>
</file>

<file path=word/webSettings.xml><?xml version="1.0" encoding="utf-8"?>
<w:webSettings xmlns:r="http://schemas.openxmlformats.org/officeDocument/2006/relationships" xmlns:w="http://schemas.openxmlformats.org/wordprocessingml/2006/main">
  <w:divs>
    <w:div w:id="3438202">
      <w:bodyDiv w:val="1"/>
      <w:marLeft w:val="0"/>
      <w:marRight w:val="0"/>
      <w:marTop w:val="0"/>
      <w:marBottom w:val="0"/>
      <w:divBdr>
        <w:top w:val="none" w:sz="0" w:space="0" w:color="auto"/>
        <w:left w:val="none" w:sz="0" w:space="0" w:color="auto"/>
        <w:bottom w:val="none" w:sz="0" w:space="0" w:color="auto"/>
        <w:right w:val="none" w:sz="0" w:space="0" w:color="auto"/>
      </w:divBdr>
    </w:div>
    <w:div w:id="19208958">
      <w:bodyDiv w:val="1"/>
      <w:marLeft w:val="0"/>
      <w:marRight w:val="0"/>
      <w:marTop w:val="0"/>
      <w:marBottom w:val="0"/>
      <w:divBdr>
        <w:top w:val="none" w:sz="0" w:space="0" w:color="auto"/>
        <w:left w:val="none" w:sz="0" w:space="0" w:color="auto"/>
        <w:bottom w:val="none" w:sz="0" w:space="0" w:color="auto"/>
        <w:right w:val="none" w:sz="0" w:space="0" w:color="auto"/>
      </w:divBdr>
    </w:div>
    <w:div w:id="43873952">
      <w:bodyDiv w:val="1"/>
      <w:marLeft w:val="0"/>
      <w:marRight w:val="0"/>
      <w:marTop w:val="0"/>
      <w:marBottom w:val="0"/>
      <w:divBdr>
        <w:top w:val="none" w:sz="0" w:space="0" w:color="auto"/>
        <w:left w:val="none" w:sz="0" w:space="0" w:color="auto"/>
        <w:bottom w:val="none" w:sz="0" w:space="0" w:color="auto"/>
        <w:right w:val="none" w:sz="0" w:space="0" w:color="auto"/>
      </w:divBdr>
    </w:div>
    <w:div w:id="69815751">
      <w:bodyDiv w:val="1"/>
      <w:marLeft w:val="0"/>
      <w:marRight w:val="0"/>
      <w:marTop w:val="0"/>
      <w:marBottom w:val="0"/>
      <w:divBdr>
        <w:top w:val="none" w:sz="0" w:space="0" w:color="auto"/>
        <w:left w:val="none" w:sz="0" w:space="0" w:color="auto"/>
        <w:bottom w:val="none" w:sz="0" w:space="0" w:color="auto"/>
        <w:right w:val="none" w:sz="0" w:space="0" w:color="auto"/>
      </w:divBdr>
    </w:div>
    <w:div w:id="102266161">
      <w:bodyDiv w:val="1"/>
      <w:marLeft w:val="0"/>
      <w:marRight w:val="0"/>
      <w:marTop w:val="0"/>
      <w:marBottom w:val="0"/>
      <w:divBdr>
        <w:top w:val="none" w:sz="0" w:space="0" w:color="auto"/>
        <w:left w:val="none" w:sz="0" w:space="0" w:color="auto"/>
        <w:bottom w:val="none" w:sz="0" w:space="0" w:color="auto"/>
        <w:right w:val="none" w:sz="0" w:space="0" w:color="auto"/>
      </w:divBdr>
    </w:div>
    <w:div w:id="113252955">
      <w:bodyDiv w:val="1"/>
      <w:marLeft w:val="0"/>
      <w:marRight w:val="0"/>
      <w:marTop w:val="0"/>
      <w:marBottom w:val="0"/>
      <w:divBdr>
        <w:top w:val="none" w:sz="0" w:space="0" w:color="auto"/>
        <w:left w:val="none" w:sz="0" w:space="0" w:color="auto"/>
        <w:bottom w:val="none" w:sz="0" w:space="0" w:color="auto"/>
        <w:right w:val="none" w:sz="0" w:space="0" w:color="auto"/>
      </w:divBdr>
    </w:div>
    <w:div w:id="119539763">
      <w:bodyDiv w:val="1"/>
      <w:marLeft w:val="0"/>
      <w:marRight w:val="0"/>
      <w:marTop w:val="0"/>
      <w:marBottom w:val="0"/>
      <w:divBdr>
        <w:top w:val="none" w:sz="0" w:space="0" w:color="auto"/>
        <w:left w:val="none" w:sz="0" w:space="0" w:color="auto"/>
        <w:bottom w:val="none" w:sz="0" w:space="0" w:color="auto"/>
        <w:right w:val="none" w:sz="0" w:space="0" w:color="auto"/>
      </w:divBdr>
    </w:div>
    <w:div w:id="138618392">
      <w:bodyDiv w:val="1"/>
      <w:marLeft w:val="0"/>
      <w:marRight w:val="0"/>
      <w:marTop w:val="0"/>
      <w:marBottom w:val="0"/>
      <w:divBdr>
        <w:top w:val="none" w:sz="0" w:space="0" w:color="auto"/>
        <w:left w:val="none" w:sz="0" w:space="0" w:color="auto"/>
        <w:bottom w:val="none" w:sz="0" w:space="0" w:color="auto"/>
        <w:right w:val="none" w:sz="0" w:space="0" w:color="auto"/>
      </w:divBdr>
    </w:div>
    <w:div w:id="158473316">
      <w:bodyDiv w:val="1"/>
      <w:marLeft w:val="0"/>
      <w:marRight w:val="0"/>
      <w:marTop w:val="0"/>
      <w:marBottom w:val="0"/>
      <w:divBdr>
        <w:top w:val="none" w:sz="0" w:space="0" w:color="auto"/>
        <w:left w:val="none" w:sz="0" w:space="0" w:color="auto"/>
        <w:bottom w:val="none" w:sz="0" w:space="0" w:color="auto"/>
        <w:right w:val="none" w:sz="0" w:space="0" w:color="auto"/>
      </w:divBdr>
    </w:div>
    <w:div w:id="166217508">
      <w:bodyDiv w:val="1"/>
      <w:marLeft w:val="0"/>
      <w:marRight w:val="0"/>
      <w:marTop w:val="0"/>
      <w:marBottom w:val="0"/>
      <w:divBdr>
        <w:top w:val="none" w:sz="0" w:space="0" w:color="auto"/>
        <w:left w:val="none" w:sz="0" w:space="0" w:color="auto"/>
        <w:bottom w:val="none" w:sz="0" w:space="0" w:color="auto"/>
        <w:right w:val="none" w:sz="0" w:space="0" w:color="auto"/>
      </w:divBdr>
    </w:div>
    <w:div w:id="180823893">
      <w:bodyDiv w:val="1"/>
      <w:marLeft w:val="0"/>
      <w:marRight w:val="0"/>
      <w:marTop w:val="0"/>
      <w:marBottom w:val="0"/>
      <w:divBdr>
        <w:top w:val="none" w:sz="0" w:space="0" w:color="auto"/>
        <w:left w:val="none" w:sz="0" w:space="0" w:color="auto"/>
        <w:bottom w:val="none" w:sz="0" w:space="0" w:color="auto"/>
        <w:right w:val="none" w:sz="0" w:space="0" w:color="auto"/>
      </w:divBdr>
    </w:div>
    <w:div w:id="186991353">
      <w:bodyDiv w:val="1"/>
      <w:marLeft w:val="0"/>
      <w:marRight w:val="0"/>
      <w:marTop w:val="0"/>
      <w:marBottom w:val="0"/>
      <w:divBdr>
        <w:top w:val="none" w:sz="0" w:space="0" w:color="auto"/>
        <w:left w:val="none" w:sz="0" w:space="0" w:color="auto"/>
        <w:bottom w:val="none" w:sz="0" w:space="0" w:color="auto"/>
        <w:right w:val="none" w:sz="0" w:space="0" w:color="auto"/>
      </w:divBdr>
    </w:div>
    <w:div w:id="189299486">
      <w:bodyDiv w:val="1"/>
      <w:marLeft w:val="0"/>
      <w:marRight w:val="0"/>
      <w:marTop w:val="0"/>
      <w:marBottom w:val="0"/>
      <w:divBdr>
        <w:top w:val="none" w:sz="0" w:space="0" w:color="auto"/>
        <w:left w:val="none" w:sz="0" w:space="0" w:color="auto"/>
        <w:bottom w:val="none" w:sz="0" w:space="0" w:color="auto"/>
        <w:right w:val="none" w:sz="0" w:space="0" w:color="auto"/>
      </w:divBdr>
    </w:div>
    <w:div w:id="204414900">
      <w:bodyDiv w:val="1"/>
      <w:marLeft w:val="0"/>
      <w:marRight w:val="0"/>
      <w:marTop w:val="0"/>
      <w:marBottom w:val="0"/>
      <w:divBdr>
        <w:top w:val="none" w:sz="0" w:space="0" w:color="auto"/>
        <w:left w:val="none" w:sz="0" w:space="0" w:color="auto"/>
        <w:bottom w:val="none" w:sz="0" w:space="0" w:color="auto"/>
        <w:right w:val="none" w:sz="0" w:space="0" w:color="auto"/>
      </w:divBdr>
    </w:div>
    <w:div w:id="213155474">
      <w:bodyDiv w:val="1"/>
      <w:marLeft w:val="0"/>
      <w:marRight w:val="0"/>
      <w:marTop w:val="0"/>
      <w:marBottom w:val="0"/>
      <w:divBdr>
        <w:top w:val="none" w:sz="0" w:space="0" w:color="auto"/>
        <w:left w:val="none" w:sz="0" w:space="0" w:color="auto"/>
        <w:bottom w:val="none" w:sz="0" w:space="0" w:color="auto"/>
        <w:right w:val="none" w:sz="0" w:space="0" w:color="auto"/>
      </w:divBdr>
    </w:div>
    <w:div w:id="258148580">
      <w:bodyDiv w:val="1"/>
      <w:marLeft w:val="0"/>
      <w:marRight w:val="0"/>
      <w:marTop w:val="0"/>
      <w:marBottom w:val="0"/>
      <w:divBdr>
        <w:top w:val="none" w:sz="0" w:space="0" w:color="auto"/>
        <w:left w:val="none" w:sz="0" w:space="0" w:color="auto"/>
        <w:bottom w:val="none" w:sz="0" w:space="0" w:color="auto"/>
        <w:right w:val="none" w:sz="0" w:space="0" w:color="auto"/>
      </w:divBdr>
    </w:div>
    <w:div w:id="270939152">
      <w:bodyDiv w:val="1"/>
      <w:marLeft w:val="0"/>
      <w:marRight w:val="0"/>
      <w:marTop w:val="0"/>
      <w:marBottom w:val="0"/>
      <w:divBdr>
        <w:top w:val="none" w:sz="0" w:space="0" w:color="auto"/>
        <w:left w:val="none" w:sz="0" w:space="0" w:color="auto"/>
        <w:bottom w:val="none" w:sz="0" w:space="0" w:color="auto"/>
        <w:right w:val="none" w:sz="0" w:space="0" w:color="auto"/>
      </w:divBdr>
    </w:div>
    <w:div w:id="294793548">
      <w:bodyDiv w:val="1"/>
      <w:marLeft w:val="0"/>
      <w:marRight w:val="0"/>
      <w:marTop w:val="0"/>
      <w:marBottom w:val="0"/>
      <w:divBdr>
        <w:top w:val="none" w:sz="0" w:space="0" w:color="auto"/>
        <w:left w:val="none" w:sz="0" w:space="0" w:color="auto"/>
        <w:bottom w:val="none" w:sz="0" w:space="0" w:color="auto"/>
        <w:right w:val="none" w:sz="0" w:space="0" w:color="auto"/>
      </w:divBdr>
    </w:div>
    <w:div w:id="312608550">
      <w:bodyDiv w:val="1"/>
      <w:marLeft w:val="0"/>
      <w:marRight w:val="0"/>
      <w:marTop w:val="0"/>
      <w:marBottom w:val="0"/>
      <w:divBdr>
        <w:top w:val="none" w:sz="0" w:space="0" w:color="auto"/>
        <w:left w:val="none" w:sz="0" w:space="0" w:color="auto"/>
        <w:bottom w:val="none" w:sz="0" w:space="0" w:color="auto"/>
        <w:right w:val="none" w:sz="0" w:space="0" w:color="auto"/>
      </w:divBdr>
    </w:div>
    <w:div w:id="341325219">
      <w:bodyDiv w:val="1"/>
      <w:marLeft w:val="0"/>
      <w:marRight w:val="0"/>
      <w:marTop w:val="0"/>
      <w:marBottom w:val="0"/>
      <w:divBdr>
        <w:top w:val="none" w:sz="0" w:space="0" w:color="auto"/>
        <w:left w:val="none" w:sz="0" w:space="0" w:color="auto"/>
        <w:bottom w:val="none" w:sz="0" w:space="0" w:color="auto"/>
        <w:right w:val="none" w:sz="0" w:space="0" w:color="auto"/>
      </w:divBdr>
    </w:div>
    <w:div w:id="382601269">
      <w:bodyDiv w:val="1"/>
      <w:marLeft w:val="0"/>
      <w:marRight w:val="0"/>
      <w:marTop w:val="0"/>
      <w:marBottom w:val="0"/>
      <w:divBdr>
        <w:top w:val="none" w:sz="0" w:space="0" w:color="auto"/>
        <w:left w:val="none" w:sz="0" w:space="0" w:color="auto"/>
        <w:bottom w:val="none" w:sz="0" w:space="0" w:color="auto"/>
        <w:right w:val="none" w:sz="0" w:space="0" w:color="auto"/>
      </w:divBdr>
    </w:div>
    <w:div w:id="401828344">
      <w:bodyDiv w:val="1"/>
      <w:marLeft w:val="0"/>
      <w:marRight w:val="0"/>
      <w:marTop w:val="0"/>
      <w:marBottom w:val="0"/>
      <w:divBdr>
        <w:top w:val="none" w:sz="0" w:space="0" w:color="auto"/>
        <w:left w:val="none" w:sz="0" w:space="0" w:color="auto"/>
        <w:bottom w:val="none" w:sz="0" w:space="0" w:color="auto"/>
        <w:right w:val="none" w:sz="0" w:space="0" w:color="auto"/>
      </w:divBdr>
    </w:div>
    <w:div w:id="426540917">
      <w:bodyDiv w:val="1"/>
      <w:marLeft w:val="0"/>
      <w:marRight w:val="0"/>
      <w:marTop w:val="0"/>
      <w:marBottom w:val="0"/>
      <w:divBdr>
        <w:top w:val="none" w:sz="0" w:space="0" w:color="auto"/>
        <w:left w:val="none" w:sz="0" w:space="0" w:color="auto"/>
        <w:bottom w:val="none" w:sz="0" w:space="0" w:color="auto"/>
        <w:right w:val="none" w:sz="0" w:space="0" w:color="auto"/>
      </w:divBdr>
    </w:div>
    <w:div w:id="439035726">
      <w:bodyDiv w:val="1"/>
      <w:marLeft w:val="0"/>
      <w:marRight w:val="0"/>
      <w:marTop w:val="0"/>
      <w:marBottom w:val="0"/>
      <w:divBdr>
        <w:top w:val="none" w:sz="0" w:space="0" w:color="auto"/>
        <w:left w:val="none" w:sz="0" w:space="0" w:color="auto"/>
        <w:bottom w:val="none" w:sz="0" w:space="0" w:color="auto"/>
        <w:right w:val="none" w:sz="0" w:space="0" w:color="auto"/>
      </w:divBdr>
    </w:div>
    <w:div w:id="456267027">
      <w:bodyDiv w:val="1"/>
      <w:marLeft w:val="0"/>
      <w:marRight w:val="0"/>
      <w:marTop w:val="0"/>
      <w:marBottom w:val="0"/>
      <w:divBdr>
        <w:top w:val="none" w:sz="0" w:space="0" w:color="auto"/>
        <w:left w:val="none" w:sz="0" w:space="0" w:color="auto"/>
        <w:bottom w:val="none" w:sz="0" w:space="0" w:color="auto"/>
        <w:right w:val="none" w:sz="0" w:space="0" w:color="auto"/>
      </w:divBdr>
    </w:div>
    <w:div w:id="464931559">
      <w:bodyDiv w:val="1"/>
      <w:marLeft w:val="0"/>
      <w:marRight w:val="0"/>
      <w:marTop w:val="0"/>
      <w:marBottom w:val="0"/>
      <w:divBdr>
        <w:top w:val="none" w:sz="0" w:space="0" w:color="auto"/>
        <w:left w:val="none" w:sz="0" w:space="0" w:color="auto"/>
        <w:bottom w:val="none" w:sz="0" w:space="0" w:color="auto"/>
        <w:right w:val="none" w:sz="0" w:space="0" w:color="auto"/>
      </w:divBdr>
    </w:div>
    <w:div w:id="490560223">
      <w:bodyDiv w:val="1"/>
      <w:marLeft w:val="0"/>
      <w:marRight w:val="0"/>
      <w:marTop w:val="0"/>
      <w:marBottom w:val="0"/>
      <w:divBdr>
        <w:top w:val="none" w:sz="0" w:space="0" w:color="auto"/>
        <w:left w:val="none" w:sz="0" w:space="0" w:color="auto"/>
        <w:bottom w:val="none" w:sz="0" w:space="0" w:color="auto"/>
        <w:right w:val="none" w:sz="0" w:space="0" w:color="auto"/>
      </w:divBdr>
    </w:div>
    <w:div w:id="497581788">
      <w:bodyDiv w:val="1"/>
      <w:marLeft w:val="0"/>
      <w:marRight w:val="0"/>
      <w:marTop w:val="0"/>
      <w:marBottom w:val="0"/>
      <w:divBdr>
        <w:top w:val="none" w:sz="0" w:space="0" w:color="auto"/>
        <w:left w:val="none" w:sz="0" w:space="0" w:color="auto"/>
        <w:bottom w:val="none" w:sz="0" w:space="0" w:color="auto"/>
        <w:right w:val="none" w:sz="0" w:space="0" w:color="auto"/>
      </w:divBdr>
    </w:div>
    <w:div w:id="541599245">
      <w:bodyDiv w:val="1"/>
      <w:marLeft w:val="0"/>
      <w:marRight w:val="0"/>
      <w:marTop w:val="0"/>
      <w:marBottom w:val="0"/>
      <w:divBdr>
        <w:top w:val="none" w:sz="0" w:space="0" w:color="auto"/>
        <w:left w:val="none" w:sz="0" w:space="0" w:color="auto"/>
        <w:bottom w:val="none" w:sz="0" w:space="0" w:color="auto"/>
        <w:right w:val="none" w:sz="0" w:space="0" w:color="auto"/>
      </w:divBdr>
    </w:div>
    <w:div w:id="560559082">
      <w:bodyDiv w:val="1"/>
      <w:marLeft w:val="0"/>
      <w:marRight w:val="0"/>
      <w:marTop w:val="0"/>
      <w:marBottom w:val="0"/>
      <w:divBdr>
        <w:top w:val="none" w:sz="0" w:space="0" w:color="auto"/>
        <w:left w:val="none" w:sz="0" w:space="0" w:color="auto"/>
        <w:bottom w:val="none" w:sz="0" w:space="0" w:color="auto"/>
        <w:right w:val="none" w:sz="0" w:space="0" w:color="auto"/>
      </w:divBdr>
      <w:divsChild>
        <w:div w:id="507410428">
          <w:marLeft w:val="0"/>
          <w:marRight w:val="0"/>
          <w:marTop w:val="100"/>
          <w:marBottom w:val="100"/>
          <w:divBdr>
            <w:top w:val="none" w:sz="0" w:space="0" w:color="auto"/>
            <w:left w:val="none" w:sz="0" w:space="0" w:color="auto"/>
            <w:bottom w:val="none" w:sz="0" w:space="0" w:color="auto"/>
            <w:right w:val="none" w:sz="0" w:space="0" w:color="auto"/>
          </w:divBdr>
          <w:divsChild>
            <w:div w:id="3477689">
              <w:marLeft w:val="0"/>
              <w:marRight w:val="0"/>
              <w:marTop w:val="0"/>
              <w:marBottom w:val="0"/>
              <w:divBdr>
                <w:top w:val="none" w:sz="0" w:space="0" w:color="auto"/>
                <w:left w:val="none" w:sz="0" w:space="0" w:color="auto"/>
                <w:bottom w:val="none" w:sz="0" w:space="0" w:color="auto"/>
                <w:right w:val="none" w:sz="0" w:space="0" w:color="auto"/>
              </w:divBdr>
              <w:divsChild>
                <w:div w:id="386225882">
                  <w:marLeft w:val="0"/>
                  <w:marRight w:val="0"/>
                  <w:marTop w:val="0"/>
                  <w:marBottom w:val="0"/>
                  <w:divBdr>
                    <w:top w:val="none" w:sz="0" w:space="0" w:color="auto"/>
                    <w:left w:val="none" w:sz="0" w:space="0" w:color="auto"/>
                    <w:bottom w:val="none" w:sz="0" w:space="0" w:color="auto"/>
                    <w:right w:val="none" w:sz="0" w:space="0" w:color="auto"/>
                  </w:divBdr>
                  <w:divsChild>
                    <w:div w:id="525677138">
                      <w:marLeft w:val="0"/>
                      <w:marRight w:val="0"/>
                      <w:marTop w:val="0"/>
                      <w:marBottom w:val="0"/>
                      <w:divBdr>
                        <w:top w:val="none" w:sz="0" w:space="0" w:color="auto"/>
                        <w:left w:val="none" w:sz="0" w:space="0" w:color="auto"/>
                        <w:bottom w:val="none" w:sz="0" w:space="0" w:color="auto"/>
                        <w:right w:val="none" w:sz="0" w:space="0" w:color="auto"/>
                      </w:divBdr>
                      <w:divsChild>
                        <w:div w:id="617760744">
                          <w:marLeft w:val="0"/>
                          <w:marRight w:val="0"/>
                          <w:marTop w:val="0"/>
                          <w:marBottom w:val="225"/>
                          <w:divBdr>
                            <w:top w:val="none" w:sz="0" w:space="0" w:color="auto"/>
                            <w:left w:val="none" w:sz="0" w:space="0" w:color="auto"/>
                            <w:bottom w:val="none" w:sz="0" w:space="0" w:color="auto"/>
                            <w:right w:val="none" w:sz="0" w:space="0" w:color="auto"/>
                          </w:divBdr>
                          <w:divsChild>
                            <w:div w:id="2079009195">
                              <w:marLeft w:val="0"/>
                              <w:marRight w:val="4800"/>
                              <w:marTop w:val="0"/>
                              <w:marBottom w:val="0"/>
                              <w:divBdr>
                                <w:top w:val="none" w:sz="0" w:space="0" w:color="auto"/>
                                <w:left w:val="none" w:sz="0" w:space="0" w:color="auto"/>
                                <w:bottom w:val="none" w:sz="0" w:space="0" w:color="auto"/>
                                <w:right w:val="none" w:sz="0" w:space="0" w:color="auto"/>
                              </w:divBdr>
                              <w:divsChild>
                                <w:div w:id="663817594">
                                  <w:marLeft w:val="0"/>
                                  <w:marRight w:val="0"/>
                                  <w:marTop w:val="0"/>
                                  <w:marBottom w:val="300"/>
                                  <w:divBdr>
                                    <w:top w:val="none" w:sz="0" w:space="0" w:color="auto"/>
                                    <w:left w:val="none" w:sz="0" w:space="0" w:color="auto"/>
                                    <w:bottom w:val="single" w:sz="6" w:space="0" w:color="CCCCCC"/>
                                    <w:right w:val="none" w:sz="0" w:space="0" w:color="auto"/>
                                  </w:divBdr>
                                  <w:divsChild>
                                    <w:div w:id="20297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149268">
      <w:bodyDiv w:val="1"/>
      <w:marLeft w:val="0"/>
      <w:marRight w:val="0"/>
      <w:marTop w:val="0"/>
      <w:marBottom w:val="0"/>
      <w:divBdr>
        <w:top w:val="none" w:sz="0" w:space="0" w:color="auto"/>
        <w:left w:val="none" w:sz="0" w:space="0" w:color="auto"/>
        <w:bottom w:val="none" w:sz="0" w:space="0" w:color="auto"/>
        <w:right w:val="none" w:sz="0" w:space="0" w:color="auto"/>
      </w:divBdr>
    </w:div>
    <w:div w:id="582225736">
      <w:bodyDiv w:val="1"/>
      <w:marLeft w:val="0"/>
      <w:marRight w:val="0"/>
      <w:marTop w:val="0"/>
      <w:marBottom w:val="0"/>
      <w:divBdr>
        <w:top w:val="none" w:sz="0" w:space="0" w:color="auto"/>
        <w:left w:val="none" w:sz="0" w:space="0" w:color="auto"/>
        <w:bottom w:val="none" w:sz="0" w:space="0" w:color="auto"/>
        <w:right w:val="none" w:sz="0" w:space="0" w:color="auto"/>
      </w:divBdr>
    </w:div>
    <w:div w:id="591821460">
      <w:bodyDiv w:val="1"/>
      <w:marLeft w:val="0"/>
      <w:marRight w:val="0"/>
      <w:marTop w:val="0"/>
      <w:marBottom w:val="0"/>
      <w:divBdr>
        <w:top w:val="none" w:sz="0" w:space="0" w:color="auto"/>
        <w:left w:val="none" w:sz="0" w:space="0" w:color="auto"/>
        <w:bottom w:val="none" w:sz="0" w:space="0" w:color="auto"/>
        <w:right w:val="none" w:sz="0" w:space="0" w:color="auto"/>
      </w:divBdr>
    </w:div>
    <w:div w:id="634140370">
      <w:bodyDiv w:val="1"/>
      <w:marLeft w:val="0"/>
      <w:marRight w:val="0"/>
      <w:marTop w:val="0"/>
      <w:marBottom w:val="0"/>
      <w:divBdr>
        <w:top w:val="none" w:sz="0" w:space="0" w:color="auto"/>
        <w:left w:val="none" w:sz="0" w:space="0" w:color="auto"/>
        <w:bottom w:val="none" w:sz="0" w:space="0" w:color="auto"/>
        <w:right w:val="none" w:sz="0" w:space="0" w:color="auto"/>
      </w:divBdr>
    </w:div>
    <w:div w:id="638994590">
      <w:bodyDiv w:val="1"/>
      <w:marLeft w:val="0"/>
      <w:marRight w:val="0"/>
      <w:marTop w:val="0"/>
      <w:marBottom w:val="0"/>
      <w:divBdr>
        <w:top w:val="none" w:sz="0" w:space="0" w:color="auto"/>
        <w:left w:val="none" w:sz="0" w:space="0" w:color="auto"/>
        <w:bottom w:val="none" w:sz="0" w:space="0" w:color="auto"/>
        <w:right w:val="none" w:sz="0" w:space="0" w:color="auto"/>
      </w:divBdr>
    </w:div>
    <w:div w:id="643315376">
      <w:bodyDiv w:val="1"/>
      <w:marLeft w:val="0"/>
      <w:marRight w:val="0"/>
      <w:marTop w:val="0"/>
      <w:marBottom w:val="0"/>
      <w:divBdr>
        <w:top w:val="none" w:sz="0" w:space="0" w:color="auto"/>
        <w:left w:val="none" w:sz="0" w:space="0" w:color="auto"/>
        <w:bottom w:val="none" w:sz="0" w:space="0" w:color="auto"/>
        <w:right w:val="none" w:sz="0" w:space="0" w:color="auto"/>
      </w:divBdr>
    </w:div>
    <w:div w:id="654338465">
      <w:bodyDiv w:val="1"/>
      <w:marLeft w:val="0"/>
      <w:marRight w:val="0"/>
      <w:marTop w:val="0"/>
      <w:marBottom w:val="0"/>
      <w:divBdr>
        <w:top w:val="none" w:sz="0" w:space="0" w:color="auto"/>
        <w:left w:val="none" w:sz="0" w:space="0" w:color="auto"/>
        <w:bottom w:val="none" w:sz="0" w:space="0" w:color="auto"/>
        <w:right w:val="none" w:sz="0" w:space="0" w:color="auto"/>
      </w:divBdr>
    </w:div>
    <w:div w:id="697314995">
      <w:bodyDiv w:val="1"/>
      <w:marLeft w:val="0"/>
      <w:marRight w:val="0"/>
      <w:marTop w:val="0"/>
      <w:marBottom w:val="0"/>
      <w:divBdr>
        <w:top w:val="none" w:sz="0" w:space="0" w:color="auto"/>
        <w:left w:val="none" w:sz="0" w:space="0" w:color="auto"/>
        <w:bottom w:val="none" w:sz="0" w:space="0" w:color="auto"/>
        <w:right w:val="none" w:sz="0" w:space="0" w:color="auto"/>
      </w:divBdr>
    </w:div>
    <w:div w:id="701441511">
      <w:bodyDiv w:val="1"/>
      <w:marLeft w:val="0"/>
      <w:marRight w:val="0"/>
      <w:marTop w:val="0"/>
      <w:marBottom w:val="0"/>
      <w:divBdr>
        <w:top w:val="none" w:sz="0" w:space="0" w:color="auto"/>
        <w:left w:val="none" w:sz="0" w:space="0" w:color="auto"/>
        <w:bottom w:val="none" w:sz="0" w:space="0" w:color="auto"/>
        <w:right w:val="none" w:sz="0" w:space="0" w:color="auto"/>
      </w:divBdr>
    </w:div>
    <w:div w:id="728580114">
      <w:bodyDiv w:val="1"/>
      <w:marLeft w:val="0"/>
      <w:marRight w:val="0"/>
      <w:marTop w:val="0"/>
      <w:marBottom w:val="0"/>
      <w:divBdr>
        <w:top w:val="none" w:sz="0" w:space="0" w:color="auto"/>
        <w:left w:val="none" w:sz="0" w:space="0" w:color="auto"/>
        <w:bottom w:val="none" w:sz="0" w:space="0" w:color="auto"/>
        <w:right w:val="none" w:sz="0" w:space="0" w:color="auto"/>
      </w:divBdr>
    </w:div>
    <w:div w:id="736636585">
      <w:bodyDiv w:val="1"/>
      <w:marLeft w:val="0"/>
      <w:marRight w:val="0"/>
      <w:marTop w:val="0"/>
      <w:marBottom w:val="0"/>
      <w:divBdr>
        <w:top w:val="none" w:sz="0" w:space="0" w:color="auto"/>
        <w:left w:val="none" w:sz="0" w:space="0" w:color="auto"/>
        <w:bottom w:val="none" w:sz="0" w:space="0" w:color="auto"/>
        <w:right w:val="none" w:sz="0" w:space="0" w:color="auto"/>
      </w:divBdr>
    </w:div>
    <w:div w:id="758334232">
      <w:bodyDiv w:val="1"/>
      <w:marLeft w:val="0"/>
      <w:marRight w:val="0"/>
      <w:marTop w:val="0"/>
      <w:marBottom w:val="0"/>
      <w:divBdr>
        <w:top w:val="none" w:sz="0" w:space="0" w:color="auto"/>
        <w:left w:val="none" w:sz="0" w:space="0" w:color="auto"/>
        <w:bottom w:val="none" w:sz="0" w:space="0" w:color="auto"/>
        <w:right w:val="none" w:sz="0" w:space="0" w:color="auto"/>
      </w:divBdr>
      <w:divsChild>
        <w:div w:id="298535295">
          <w:marLeft w:val="0"/>
          <w:marRight w:val="0"/>
          <w:marTop w:val="0"/>
          <w:marBottom w:val="0"/>
          <w:divBdr>
            <w:top w:val="none" w:sz="0" w:space="0" w:color="auto"/>
            <w:left w:val="none" w:sz="0" w:space="0" w:color="auto"/>
            <w:bottom w:val="none" w:sz="0" w:space="0" w:color="auto"/>
            <w:right w:val="none" w:sz="0" w:space="0" w:color="auto"/>
          </w:divBdr>
          <w:divsChild>
            <w:div w:id="2117409958">
              <w:marLeft w:val="0"/>
              <w:marRight w:val="0"/>
              <w:marTop w:val="100"/>
              <w:marBottom w:val="100"/>
              <w:divBdr>
                <w:top w:val="none" w:sz="0" w:space="0" w:color="auto"/>
                <w:left w:val="none" w:sz="0" w:space="0" w:color="auto"/>
                <w:bottom w:val="none" w:sz="0" w:space="0" w:color="auto"/>
                <w:right w:val="none" w:sz="0" w:space="0" w:color="auto"/>
              </w:divBdr>
              <w:divsChild>
                <w:div w:id="205022775">
                  <w:marLeft w:val="0"/>
                  <w:marRight w:val="0"/>
                  <w:marTop w:val="30"/>
                  <w:marBottom w:val="0"/>
                  <w:divBdr>
                    <w:top w:val="none" w:sz="0" w:space="0" w:color="auto"/>
                    <w:left w:val="none" w:sz="0" w:space="0" w:color="auto"/>
                    <w:bottom w:val="none" w:sz="0" w:space="0" w:color="auto"/>
                    <w:right w:val="none" w:sz="0" w:space="0" w:color="auto"/>
                  </w:divBdr>
                  <w:divsChild>
                    <w:div w:id="564725200">
                      <w:marLeft w:val="0"/>
                      <w:marRight w:val="0"/>
                      <w:marTop w:val="0"/>
                      <w:marBottom w:val="0"/>
                      <w:divBdr>
                        <w:top w:val="none" w:sz="0" w:space="0" w:color="auto"/>
                        <w:left w:val="none" w:sz="0" w:space="0" w:color="auto"/>
                        <w:bottom w:val="none" w:sz="0" w:space="0" w:color="auto"/>
                        <w:right w:val="none" w:sz="0" w:space="0" w:color="auto"/>
                      </w:divBdr>
                      <w:divsChild>
                        <w:div w:id="10551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984878">
      <w:bodyDiv w:val="1"/>
      <w:marLeft w:val="0"/>
      <w:marRight w:val="0"/>
      <w:marTop w:val="0"/>
      <w:marBottom w:val="0"/>
      <w:divBdr>
        <w:top w:val="none" w:sz="0" w:space="0" w:color="auto"/>
        <w:left w:val="none" w:sz="0" w:space="0" w:color="auto"/>
        <w:bottom w:val="none" w:sz="0" w:space="0" w:color="auto"/>
        <w:right w:val="none" w:sz="0" w:space="0" w:color="auto"/>
      </w:divBdr>
    </w:div>
    <w:div w:id="859129579">
      <w:bodyDiv w:val="1"/>
      <w:marLeft w:val="0"/>
      <w:marRight w:val="0"/>
      <w:marTop w:val="0"/>
      <w:marBottom w:val="0"/>
      <w:divBdr>
        <w:top w:val="none" w:sz="0" w:space="0" w:color="auto"/>
        <w:left w:val="none" w:sz="0" w:space="0" w:color="auto"/>
        <w:bottom w:val="none" w:sz="0" w:space="0" w:color="auto"/>
        <w:right w:val="none" w:sz="0" w:space="0" w:color="auto"/>
      </w:divBdr>
    </w:div>
    <w:div w:id="865482747">
      <w:bodyDiv w:val="1"/>
      <w:marLeft w:val="0"/>
      <w:marRight w:val="0"/>
      <w:marTop w:val="0"/>
      <w:marBottom w:val="0"/>
      <w:divBdr>
        <w:top w:val="none" w:sz="0" w:space="0" w:color="auto"/>
        <w:left w:val="none" w:sz="0" w:space="0" w:color="auto"/>
        <w:bottom w:val="none" w:sz="0" w:space="0" w:color="auto"/>
        <w:right w:val="none" w:sz="0" w:space="0" w:color="auto"/>
      </w:divBdr>
    </w:div>
    <w:div w:id="880049088">
      <w:bodyDiv w:val="1"/>
      <w:marLeft w:val="0"/>
      <w:marRight w:val="0"/>
      <w:marTop w:val="0"/>
      <w:marBottom w:val="0"/>
      <w:divBdr>
        <w:top w:val="none" w:sz="0" w:space="0" w:color="auto"/>
        <w:left w:val="none" w:sz="0" w:space="0" w:color="auto"/>
        <w:bottom w:val="none" w:sz="0" w:space="0" w:color="auto"/>
        <w:right w:val="none" w:sz="0" w:space="0" w:color="auto"/>
      </w:divBdr>
    </w:div>
    <w:div w:id="904611623">
      <w:bodyDiv w:val="1"/>
      <w:marLeft w:val="0"/>
      <w:marRight w:val="0"/>
      <w:marTop w:val="0"/>
      <w:marBottom w:val="0"/>
      <w:divBdr>
        <w:top w:val="none" w:sz="0" w:space="0" w:color="auto"/>
        <w:left w:val="none" w:sz="0" w:space="0" w:color="auto"/>
        <w:bottom w:val="none" w:sz="0" w:space="0" w:color="auto"/>
        <w:right w:val="none" w:sz="0" w:space="0" w:color="auto"/>
      </w:divBdr>
    </w:div>
    <w:div w:id="924919201">
      <w:bodyDiv w:val="1"/>
      <w:marLeft w:val="0"/>
      <w:marRight w:val="0"/>
      <w:marTop w:val="0"/>
      <w:marBottom w:val="0"/>
      <w:divBdr>
        <w:top w:val="none" w:sz="0" w:space="0" w:color="auto"/>
        <w:left w:val="none" w:sz="0" w:space="0" w:color="auto"/>
        <w:bottom w:val="none" w:sz="0" w:space="0" w:color="auto"/>
        <w:right w:val="none" w:sz="0" w:space="0" w:color="auto"/>
      </w:divBdr>
    </w:div>
    <w:div w:id="930969447">
      <w:bodyDiv w:val="1"/>
      <w:marLeft w:val="0"/>
      <w:marRight w:val="0"/>
      <w:marTop w:val="0"/>
      <w:marBottom w:val="0"/>
      <w:divBdr>
        <w:top w:val="none" w:sz="0" w:space="0" w:color="auto"/>
        <w:left w:val="none" w:sz="0" w:space="0" w:color="auto"/>
        <w:bottom w:val="none" w:sz="0" w:space="0" w:color="auto"/>
        <w:right w:val="none" w:sz="0" w:space="0" w:color="auto"/>
      </w:divBdr>
    </w:div>
    <w:div w:id="1020424952">
      <w:bodyDiv w:val="1"/>
      <w:marLeft w:val="0"/>
      <w:marRight w:val="0"/>
      <w:marTop w:val="0"/>
      <w:marBottom w:val="0"/>
      <w:divBdr>
        <w:top w:val="none" w:sz="0" w:space="0" w:color="auto"/>
        <w:left w:val="none" w:sz="0" w:space="0" w:color="auto"/>
        <w:bottom w:val="none" w:sz="0" w:space="0" w:color="auto"/>
        <w:right w:val="none" w:sz="0" w:space="0" w:color="auto"/>
      </w:divBdr>
    </w:div>
    <w:div w:id="1062480989">
      <w:bodyDiv w:val="1"/>
      <w:marLeft w:val="0"/>
      <w:marRight w:val="0"/>
      <w:marTop w:val="0"/>
      <w:marBottom w:val="0"/>
      <w:divBdr>
        <w:top w:val="none" w:sz="0" w:space="0" w:color="auto"/>
        <w:left w:val="none" w:sz="0" w:space="0" w:color="auto"/>
        <w:bottom w:val="none" w:sz="0" w:space="0" w:color="auto"/>
        <w:right w:val="none" w:sz="0" w:space="0" w:color="auto"/>
      </w:divBdr>
    </w:div>
    <w:div w:id="1069957876">
      <w:bodyDiv w:val="1"/>
      <w:marLeft w:val="0"/>
      <w:marRight w:val="0"/>
      <w:marTop w:val="0"/>
      <w:marBottom w:val="0"/>
      <w:divBdr>
        <w:top w:val="none" w:sz="0" w:space="0" w:color="auto"/>
        <w:left w:val="none" w:sz="0" w:space="0" w:color="auto"/>
        <w:bottom w:val="none" w:sz="0" w:space="0" w:color="auto"/>
        <w:right w:val="none" w:sz="0" w:space="0" w:color="auto"/>
      </w:divBdr>
    </w:div>
    <w:div w:id="1075475254">
      <w:bodyDiv w:val="1"/>
      <w:marLeft w:val="0"/>
      <w:marRight w:val="0"/>
      <w:marTop w:val="0"/>
      <w:marBottom w:val="0"/>
      <w:divBdr>
        <w:top w:val="none" w:sz="0" w:space="0" w:color="auto"/>
        <w:left w:val="none" w:sz="0" w:space="0" w:color="auto"/>
        <w:bottom w:val="none" w:sz="0" w:space="0" w:color="auto"/>
        <w:right w:val="none" w:sz="0" w:space="0" w:color="auto"/>
      </w:divBdr>
    </w:div>
    <w:div w:id="1081828065">
      <w:bodyDiv w:val="1"/>
      <w:marLeft w:val="0"/>
      <w:marRight w:val="0"/>
      <w:marTop w:val="0"/>
      <w:marBottom w:val="0"/>
      <w:divBdr>
        <w:top w:val="none" w:sz="0" w:space="0" w:color="auto"/>
        <w:left w:val="none" w:sz="0" w:space="0" w:color="auto"/>
        <w:bottom w:val="none" w:sz="0" w:space="0" w:color="auto"/>
        <w:right w:val="none" w:sz="0" w:space="0" w:color="auto"/>
      </w:divBdr>
    </w:div>
    <w:div w:id="1123495387">
      <w:bodyDiv w:val="1"/>
      <w:marLeft w:val="0"/>
      <w:marRight w:val="0"/>
      <w:marTop w:val="0"/>
      <w:marBottom w:val="0"/>
      <w:divBdr>
        <w:top w:val="none" w:sz="0" w:space="0" w:color="auto"/>
        <w:left w:val="none" w:sz="0" w:space="0" w:color="auto"/>
        <w:bottom w:val="none" w:sz="0" w:space="0" w:color="auto"/>
        <w:right w:val="none" w:sz="0" w:space="0" w:color="auto"/>
      </w:divBdr>
    </w:div>
    <w:div w:id="1128205792">
      <w:bodyDiv w:val="1"/>
      <w:marLeft w:val="0"/>
      <w:marRight w:val="0"/>
      <w:marTop w:val="0"/>
      <w:marBottom w:val="0"/>
      <w:divBdr>
        <w:top w:val="none" w:sz="0" w:space="0" w:color="auto"/>
        <w:left w:val="none" w:sz="0" w:space="0" w:color="auto"/>
        <w:bottom w:val="none" w:sz="0" w:space="0" w:color="auto"/>
        <w:right w:val="none" w:sz="0" w:space="0" w:color="auto"/>
      </w:divBdr>
    </w:div>
    <w:div w:id="1147895363">
      <w:bodyDiv w:val="1"/>
      <w:marLeft w:val="0"/>
      <w:marRight w:val="0"/>
      <w:marTop w:val="0"/>
      <w:marBottom w:val="0"/>
      <w:divBdr>
        <w:top w:val="none" w:sz="0" w:space="0" w:color="auto"/>
        <w:left w:val="none" w:sz="0" w:space="0" w:color="auto"/>
        <w:bottom w:val="none" w:sz="0" w:space="0" w:color="auto"/>
        <w:right w:val="none" w:sz="0" w:space="0" w:color="auto"/>
      </w:divBdr>
    </w:div>
    <w:div w:id="1158839385">
      <w:bodyDiv w:val="1"/>
      <w:marLeft w:val="0"/>
      <w:marRight w:val="0"/>
      <w:marTop w:val="0"/>
      <w:marBottom w:val="0"/>
      <w:divBdr>
        <w:top w:val="none" w:sz="0" w:space="0" w:color="auto"/>
        <w:left w:val="none" w:sz="0" w:space="0" w:color="auto"/>
        <w:bottom w:val="none" w:sz="0" w:space="0" w:color="auto"/>
        <w:right w:val="none" w:sz="0" w:space="0" w:color="auto"/>
      </w:divBdr>
    </w:div>
    <w:div w:id="1183979696">
      <w:bodyDiv w:val="1"/>
      <w:marLeft w:val="0"/>
      <w:marRight w:val="0"/>
      <w:marTop w:val="0"/>
      <w:marBottom w:val="0"/>
      <w:divBdr>
        <w:top w:val="none" w:sz="0" w:space="0" w:color="auto"/>
        <w:left w:val="none" w:sz="0" w:space="0" w:color="auto"/>
        <w:bottom w:val="none" w:sz="0" w:space="0" w:color="auto"/>
        <w:right w:val="none" w:sz="0" w:space="0" w:color="auto"/>
      </w:divBdr>
    </w:div>
    <w:div w:id="1190408031">
      <w:bodyDiv w:val="1"/>
      <w:marLeft w:val="0"/>
      <w:marRight w:val="0"/>
      <w:marTop w:val="0"/>
      <w:marBottom w:val="0"/>
      <w:divBdr>
        <w:top w:val="none" w:sz="0" w:space="0" w:color="auto"/>
        <w:left w:val="none" w:sz="0" w:space="0" w:color="auto"/>
        <w:bottom w:val="none" w:sz="0" w:space="0" w:color="auto"/>
        <w:right w:val="none" w:sz="0" w:space="0" w:color="auto"/>
      </w:divBdr>
    </w:div>
    <w:div w:id="1242175667">
      <w:bodyDiv w:val="1"/>
      <w:marLeft w:val="0"/>
      <w:marRight w:val="0"/>
      <w:marTop w:val="0"/>
      <w:marBottom w:val="0"/>
      <w:divBdr>
        <w:top w:val="none" w:sz="0" w:space="0" w:color="auto"/>
        <w:left w:val="none" w:sz="0" w:space="0" w:color="auto"/>
        <w:bottom w:val="none" w:sz="0" w:space="0" w:color="auto"/>
        <w:right w:val="none" w:sz="0" w:space="0" w:color="auto"/>
      </w:divBdr>
    </w:div>
    <w:div w:id="1246379797">
      <w:bodyDiv w:val="1"/>
      <w:marLeft w:val="0"/>
      <w:marRight w:val="0"/>
      <w:marTop w:val="0"/>
      <w:marBottom w:val="0"/>
      <w:divBdr>
        <w:top w:val="none" w:sz="0" w:space="0" w:color="auto"/>
        <w:left w:val="none" w:sz="0" w:space="0" w:color="auto"/>
        <w:bottom w:val="none" w:sz="0" w:space="0" w:color="auto"/>
        <w:right w:val="none" w:sz="0" w:space="0" w:color="auto"/>
      </w:divBdr>
    </w:div>
    <w:div w:id="1256135919">
      <w:bodyDiv w:val="1"/>
      <w:marLeft w:val="0"/>
      <w:marRight w:val="0"/>
      <w:marTop w:val="0"/>
      <w:marBottom w:val="0"/>
      <w:divBdr>
        <w:top w:val="none" w:sz="0" w:space="0" w:color="auto"/>
        <w:left w:val="none" w:sz="0" w:space="0" w:color="auto"/>
        <w:bottom w:val="none" w:sz="0" w:space="0" w:color="auto"/>
        <w:right w:val="none" w:sz="0" w:space="0" w:color="auto"/>
      </w:divBdr>
    </w:div>
    <w:div w:id="1309941766">
      <w:bodyDiv w:val="1"/>
      <w:marLeft w:val="0"/>
      <w:marRight w:val="0"/>
      <w:marTop w:val="0"/>
      <w:marBottom w:val="0"/>
      <w:divBdr>
        <w:top w:val="none" w:sz="0" w:space="0" w:color="auto"/>
        <w:left w:val="none" w:sz="0" w:space="0" w:color="auto"/>
        <w:bottom w:val="none" w:sz="0" w:space="0" w:color="auto"/>
        <w:right w:val="none" w:sz="0" w:space="0" w:color="auto"/>
      </w:divBdr>
    </w:div>
    <w:div w:id="1320496509">
      <w:bodyDiv w:val="1"/>
      <w:marLeft w:val="0"/>
      <w:marRight w:val="0"/>
      <w:marTop w:val="0"/>
      <w:marBottom w:val="0"/>
      <w:divBdr>
        <w:top w:val="none" w:sz="0" w:space="0" w:color="auto"/>
        <w:left w:val="none" w:sz="0" w:space="0" w:color="auto"/>
        <w:bottom w:val="none" w:sz="0" w:space="0" w:color="auto"/>
        <w:right w:val="none" w:sz="0" w:space="0" w:color="auto"/>
      </w:divBdr>
    </w:div>
    <w:div w:id="1369911813">
      <w:bodyDiv w:val="1"/>
      <w:marLeft w:val="0"/>
      <w:marRight w:val="0"/>
      <w:marTop w:val="0"/>
      <w:marBottom w:val="0"/>
      <w:divBdr>
        <w:top w:val="none" w:sz="0" w:space="0" w:color="auto"/>
        <w:left w:val="none" w:sz="0" w:space="0" w:color="auto"/>
        <w:bottom w:val="none" w:sz="0" w:space="0" w:color="auto"/>
        <w:right w:val="none" w:sz="0" w:space="0" w:color="auto"/>
      </w:divBdr>
    </w:div>
    <w:div w:id="1386100904">
      <w:bodyDiv w:val="1"/>
      <w:marLeft w:val="0"/>
      <w:marRight w:val="0"/>
      <w:marTop w:val="0"/>
      <w:marBottom w:val="0"/>
      <w:divBdr>
        <w:top w:val="none" w:sz="0" w:space="0" w:color="auto"/>
        <w:left w:val="none" w:sz="0" w:space="0" w:color="auto"/>
        <w:bottom w:val="none" w:sz="0" w:space="0" w:color="auto"/>
        <w:right w:val="none" w:sz="0" w:space="0" w:color="auto"/>
      </w:divBdr>
    </w:div>
    <w:div w:id="1407148826">
      <w:bodyDiv w:val="1"/>
      <w:marLeft w:val="0"/>
      <w:marRight w:val="0"/>
      <w:marTop w:val="0"/>
      <w:marBottom w:val="0"/>
      <w:divBdr>
        <w:top w:val="none" w:sz="0" w:space="0" w:color="auto"/>
        <w:left w:val="none" w:sz="0" w:space="0" w:color="auto"/>
        <w:bottom w:val="none" w:sz="0" w:space="0" w:color="auto"/>
        <w:right w:val="none" w:sz="0" w:space="0" w:color="auto"/>
      </w:divBdr>
    </w:div>
    <w:div w:id="1435860862">
      <w:bodyDiv w:val="1"/>
      <w:marLeft w:val="0"/>
      <w:marRight w:val="0"/>
      <w:marTop w:val="0"/>
      <w:marBottom w:val="0"/>
      <w:divBdr>
        <w:top w:val="none" w:sz="0" w:space="0" w:color="auto"/>
        <w:left w:val="none" w:sz="0" w:space="0" w:color="auto"/>
        <w:bottom w:val="none" w:sz="0" w:space="0" w:color="auto"/>
        <w:right w:val="none" w:sz="0" w:space="0" w:color="auto"/>
      </w:divBdr>
    </w:div>
    <w:div w:id="1446005185">
      <w:bodyDiv w:val="1"/>
      <w:marLeft w:val="0"/>
      <w:marRight w:val="0"/>
      <w:marTop w:val="0"/>
      <w:marBottom w:val="0"/>
      <w:divBdr>
        <w:top w:val="none" w:sz="0" w:space="0" w:color="auto"/>
        <w:left w:val="none" w:sz="0" w:space="0" w:color="auto"/>
        <w:bottom w:val="none" w:sz="0" w:space="0" w:color="auto"/>
        <w:right w:val="none" w:sz="0" w:space="0" w:color="auto"/>
      </w:divBdr>
    </w:div>
    <w:div w:id="1484736154">
      <w:bodyDiv w:val="1"/>
      <w:marLeft w:val="0"/>
      <w:marRight w:val="0"/>
      <w:marTop w:val="0"/>
      <w:marBottom w:val="0"/>
      <w:divBdr>
        <w:top w:val="none" w:sz="0" w:space="0" w:color="auto"/>
        <w:left w:val="none" w:sz="0" w:space="0" w:color="auto"/>
        <w:bottom w:val="none" w:sz="0" w:space="0" w:color="auto"/>
        <w:right w:val="none" w:sz="0" w:space="0" w:color="auto"/>
      </w:divBdr>
    </w:div>
    <w:div w:id="1524787511">
      <w:bodyDiv w:val="1"/>
      <w:marLeft w:val="0"/>
      <w:marRight w:val="0"/>
      <w:marTop w:val="0"/>
      <w:marBottom w:val="0"/>
      <w:divBdr>
        <w:top w:val="none" w:sz="0" w:space="0" w:color="auto"/>
        <w:left w:val="none" w:sz="0" w:space="0" w:color="auto"/>
        <w:bottom w:val="none" w:sz="0" w:space="0" w:color="auto"/>
        <w:right w:val="none" w:sz="0" w:space="0" w:color="auto"/>
      </w:divBdr>
    </w:div>
    <w:div w:id="1562983048">
      <w:bodyDiv w:val="1"/>
      <w:marLeft w:val="0"/>
      <w:marRight w:val="0"/>
      <w:marTop w:val="0"/>
      <w:marBottom w:val="0"/>
      <w:divBdr>
        <w:top w:val="none" w:sz="0" w:space="0" w:color="auto"/>
        <w:left w:val="none" w:sz="0" w:space="0" w:color="auto"/>
        <w:bottom w:val="none" w:sz="0" w:space="0" w:color="auto"/>
        <w:right w:val="none" w:sz="0" w:space="0" w:color="auto"/>
      </w:divBdr>
    </w:div>
    <w:div w:id="1572691751">
      <w:bodyDiv w:val="1"/>
      <w:marLeft w:val="0"/>
      <w:marRight w:val="0"/>
      <w:marTop w:val="0"/>
      <w:marBottom w:val="0"/>
      <w:divBdr>
        <w:top w:val="none" w:sz="0" w:space="0" w:color="auto"/>
        <w:left w:val="none" w:sz="0" w:space="0" w:color="auto"/>
        <w:bottom w:val="none" w:sz="0" w:space="0" w:color="auto"/>
        <w:right w:val="none" w:sz="0" w:space="0" w:color="auto"/>
      </w:divBdr>
    </w:div>
    <w:div w:id="1579291039">
      <w:bodyDiv w:val="1"/>
      <w:marLeft w:val="0"/>
      <w:marRight w:val="0"/>
      <w:marTop w:val="0"/>
      <w:marBottom w:val="0"/>
      <w:divBdr>
        <w:top w:val="none" w:sz="0" w:space="0" w:color="auto"/>
        <w:left w:val="none" w:sz="0" w:space="0" w:color="auto"/>
        <w:bottom w:val="none" w:sz="0" w:space="0" w:color="auto"/>
        <w:right w:val="none" w:sz="0" w:space="0" w:color="auto"/>
      </w:divBdr>
    </w:div>
    <w:div w:id="1599292735">
      <w:bodyDiv w:val="1"/>
      <w:marLeft w:val="0"/>
      <w:marRight w:val="0"/>
      <w:marTop w:val="0"/>
      <w:marBottom w:val="0"/>
      <w:divBdr>
        <w:top w:val="none" w:sz="0" w:space="0" w:color="auto"/>
        <w:left w:val="none" w:sz="0" w:space="0" w:color="auto"/>
        <w:bottom w:val="none" w:sz="0" w:space="0" w:color="auto"/>
        <w:right w:val="none" w:sz="0" w:space="0" w:color="auto"/>
      </w:divBdr>
    </w:div>
    <w:div w:id="1602450662">
      <w:bodyDiv w:val="1"/>
      <w:marLeft w:val="0"/>
      <w:marRight w:val="0"/>
      <w:marTop w:val="0"/>
      <w:marBottom w:val="0"/>
      <w:divBdr>
        <w:top w:val="none" w:sz="0" w:space="0" w:color="auto"/>
        <w:left w:val="none" w:sz="0" w:space="0" w:color="auto"/>
        <w:bottom w:val="none" w:sz="0" w:space="0" w:color="auto"/>
        <w:right w:val="none" w:sz="0" w:space="0" w:color="auto"/>
      </w:divBdr>
    </w:div>
    <w:div w:id="1626617984">
      <w:bodyDiv w:val="1"/>
      <w:marLeft w:val="0"/>
      <w:marRight w:val="0"/>
      <w:marTop w:val="0"/>
      <w:marBottom w:val="0"/>
      <w:divBdr>
        <w:top w:val="none" w:sz="0" w:space="0" w:color="auto"/>
        <w:left w:val="none" w:sz="0" w:space="0" w:color="auto"/>
        <w:bottom w:val="none" w:sz="0" w:space="0" w:color="auto"/>
        <w:right w:val="none" w:sz="0" w:space="0" w:color="auto"/>
      </w:divBdr>
    </w:div>
    <w:div w:id="1653749062">
      <w:bodyDiv w:val="1"/>
      <w:marLeft w:val="0"/>
      <w:marRight w:val="0"/>
      <w:marTop w:val="0"/>
      <w:marBottom w:val="0"/>
      <w:divBdr>
        <w:top w:val="none" w:sz="0" w:space="0" w:color="auto"/>
        <w:left w:val="none" w:sz="0" w:space="0" w:color="auto"/>
        <w:bottom w:val="none" w:sz="0" w:space="0" w:color="auto"/>
        <w:right w:val="none" w:sz="0" w:space="0" w:color="auto"/>
      </w:divBdr>
    </w:div>
    <w:div w:id="1699350739">
      <w:bodyDiv w:val="1"/>
      <w:marLeft w:val="0"/>
      <w:marRight w:val="0"/>
      <w:marTop w:val="0"/>
      <w:marBottom w:val="0"/>
      <w:divBdr>
        <w:top w:val="none" w:sz="0" w:space="0" w:color="auto"/>
        <w:left w:val="none" w:sz="0" w:space="0" w:color="auto"/>
        <w:bottom w:val="none" w:sz="0" w:space="0" w:color="auto"/>
        <w:right w:val="none" w:sz="0" w:space="0" w:color="auto"/>
      </w:divBdr>
    </w:div>
    <w:div w:id="1703700550">
      <w:bodyDiv w:val="1"/>
      <w:marLeft w:val="0"/>
      <w:marRight w:val="0"/>
      <w:marTop w:val="0"/>
      <w:marBottom w:val="0"/>
      <w:divBdr>
        <w:top w:val="none" w:sz="0" w:space="0" w:color="auto"/>
        <w:left w:val="none" w:sz="0" w:space="0" w:color="auto"/>
        <w:bottom w:val="none" w:sz="0" w:space="0" w:color="auto"/>
        <w:right w:val="none" w:sz="0" w:space="0" w:color="auto"/>
      </w:divBdr>
    </w:div>
    <w:div w:id="1704935603">
      <w:bodyDiv w:val="1"/>
      <w:marLeft w:val="0"/>
      <w:marRight w:val="0"/>
      <w:marTop w:val="0"/>
      <w:marBottom w:val="0"/>
      <w:divBdr>
        <w:top w:val="none" w:sz="0" w:space="0" w:color="auto"/>
        <w:left w:val="none" w:sz="0" w:space="0" w:color="auto"/>
        <w:bottom w:val="none" w:sz="0" w:space="0" w:color="auto"/>
        <w:right w:val="none" w:sz="0" w:space="0" w:color="auto"/>
      </w:divBdr>
    </w:div>
    <w:div w:id="1716808942">
      <w:bodyDiv w:val="1"/>
      <w:marLeft w:val="0"/>
      <w:marRight w:val="0"/>
      <w:marTop w:val="210"/>
      <w:marBottom w:val="0"/>
      <w:divBdr>
        <w:top w:val="none" w:sz="0" w:space="0" w:color="auto"/>
        <w:left w:val="none" w:sz="0" w:space="0" w:color="auto"/>
        <w:bottom w:val="none" w:sz="0" w:space="0" w:color="auto"/>
        <w:right w:val="none" w:sz="0" w:space="0" w:color="auto"/>
      </w:divBdr>
      <w:divsChild>
        <w:div w:id="531649581">
          <w:marLeft w:val="0"/>
          <w:marRight w:val="0"/>
          <w:marTop w:val="0"/>
          <w:marBottom w:val="0"/>
          <w:divBdr>
            <w:top w:val="none" w:sz="0" w:space="0" w:color="auto"/>
            <w:left w:val="none" w:sz="0" w:space="0" w:color="auto"/>
            <w:bottom w:val="none" w:sz="0" w:space="0" w:color="auto"/>
            <w:right w:val="none" w:sz="0" w:space="0" w:color="auto"/>
          </w:divBdr>
          <w:divsChild>
            <w:div w:id="960693196">
              <w:marLeft w:val="0"/>
              <w:marRight w:val="0"/>
              <w:marTop w:val="0"/>
              <w:marBottom w:val="0"/>
              <w:divBdr>
                <w:top w:val="none" w:sz="0" w:space="0" w:color="auto"/>
                <w:left w:val="none" w:sz="0" w:space="0" w:color="auto"/>
                <w:bottom w:val="none" w:sz="0" w:space="0" w:color="auto"/>
                <w:right w:val="none" w:sz="0" w:space="0" w:color="auto"/>
              </w:divBdr>
              <w:divsChild>
                <w:div w:id="1133132952">
                  <w:marLeft w:val="0"/>
                  <w:marRight w:val="0"/>
                  <w:marTop w:val="0"/>
                  <w:marBottom w:val="0"/>
                  <w:divBdr>
                    <w:top w:val="none" w:sz="0" w:space="0" w:color="auto"/>
                    <w:left w:val="none" w:sz="0" w:space="0" w:color="auto"/>
                    <w:bottom w:val="none" w:sz="0" w:space="0" w:color="auto"/>
                    <w:right w:val="none" w:sz="0" w:space="0" w:color="auto"/>
                  </w:divBdr>
                  <w:divsChild>
                    <w:div w:id="1831365147">
                      <w:marLeft w:val="150"/>
                      <w:marRight w:val="0"/>
                      <w:marTop w:val="75"/>
                      <w:marBottom w:val="0"/>
                      <w:divBdr>
                        <w:top w:val="none" w:sz="0" w:space="0" w:color="auto"/>
                        <w:left w:val="none" w:sz="0" w:space="0" w:color="auto"/>
                        <w:bottom w:val="none" w:sz="0" w:space="0" w:color="auto"/>
                        <w:right w:val="none" w:sz="0" w:space="0" w:color="auto"/>
                      </w:divBdr>
                      <w:divsChild>
                        <w:div w:id="2119717279">
                          <w:marLeft w:val="0"/>
                          <w:marRight w:val="0"/>
                          <w:marTop w:val="0"/>
                          <w:marBottom w:val="0"/>
                          <w:divBdr>
                            <w:top w:val="none" w:sz="0" w:space="0" w:color="auto"/>
                            <w:left w:val="none" w:sz="0" w:space="0" w:color="auto"/>
                            <w:bottom w:val="none" w:sz="0" w:space="0" w:color="auto"/>
                            <w:right w:val="none" w:sz="0" w:space="0" w:color="auto"/>
                          </w:divBdr>
                          <w:divsChild>
                            <w:div w:id="1282958493">
                              <w:marLeft w:val="0"/>
                              <w:marRight w:val="0"/>
                              <w:marTop w:val="0"/>
                              <w:marBottom w:val="0"/>
                              <w:divBdr>
                                <w:top w:val="none" w:sz="0" w:space="0" w:color="auto"/>
                                <w:left w:val="none" w:sz="0" w:space="0" w:color="auto"/>
                                <w:bottom w:val="none" w:sz="0" w:space="0" w:color="auto"/>
                                <w:right w:val="none" w:sz="0" w:space="0" w:color="auto"/>
                              </w:divBdr>
                              <w:divsChild>
                                <w:div w:id="402416946">
                                  <w:marLeft w:val="0"/>
                                  <w:marRight w:val="0"/>
                                  <w:marTop w:val="0"/>
                                  <w:marBottom w:val="0"/>
                                  <w:divBdr>
                                    <w:top w:val="none" w:sz="0" w:space="0" w:color="auto"/>
                                    <w:left w:val="none" w:sz="0" w:space="0" w:color="auto"/>
                                    <w:bottom w:val="none" w:sz="0" w:space="0" w:color="auto"/>
                                    <w:right w:val="none" w:sz="0" w:space="0" w:color="auto"/>
                                  </w:divBdr>
                                  <w:divsChild>
                                    <w:div w:id="408885193">
                                      <w:marLeft w:val="0"/>
                                      <w:marRight w:val="0"/>
                                      <w:marTop w:val="0"/>
                                      <w:marBottom w:val="0"/>
                                      <w:divBdr>
                                        <w:top w:val="none" w:sz="0" w:space="0" w:color="auto"/>
                                        <w:left w:val="none" w:sz="0" w:space="0" w:color="auto"/>
                                        <w:bottom w:val="none" w:sz="0" w:space="0" w:color="auto"/>
                                        <w:right w:val="none" w:sz="0" w:space="0" w:color="auto"/>
                                      </w:divBdr>
                                      <w:divsChild>
                                        <w:div w:id="1573782619">
                                          <w:marLeft w:val="0"/>
                                          <w:marRight w:val="0"/>
                                          <w:marTop w:val="0"/>
                                          <w:marBottom w:val="0"/>
                                          <w:divBdr>
                                            <w:top w:val="none" w:sz="0" w:space="0" w:color="auto"/>
                                            <w:left w:val="none" w:sz="0" w:space="0" w:color="auto"/>
                                            <w:bottom w:val="none" w:sz="0" w:space="0" w:color="auto"/>
                                            <w:right w:val="none" w:sz="0" w:space="0" w:color="auto"/>
                                          </w:divBdr>
                                          <w:divsChild>
                                            <w:div w:id="1287002750">
                                              <w:marLeft w:val="0"/>
                                              <w:marRight w:val="0"/>
                                              <w:marTop w:val="0"/>
                                              <w:marBottom w:val="0"/>
                                              <w:divBdr>
                                                <w:top w:val="none" w:sz="0" w:space="0" w:color="auto"/>
                                                <w:left w:val="none" w:sz="0" w:space="0" w:color="auto"/>
                                                <w:bottom w:val="none" w:sz="0" w:space="0" w:color="auto"/>
                                                <w:right w:val="none" w:sz="0" w:space="0" w:color="auto"/>
                                              </w:divBdr>
                                              <w:divsChild>
                                                <w:div w:id="1902982186">
                                                  <w:marLeft w:val="0"/>
                                                  <w:marRight w:val="0"/>
                                                  <w:marTop w:val="0"/>
                                                  <w:marBottom w:val="0"/>
                                                  <w:divBdr>
                                                    <w:top w:val="none" w:sz="0" w:space="0" w:color="auto"/>
                                                    <w:left w:val="none" w:sz="0" w:space="0" w:color="auto"/>
                                                    <w:bottom w:val="none" w:sz="0" w:space="0" w:color="auto"/>
                                                    <w:right w:val="none" w:sz="0" w:space="0" w:color="auto"/>
                                                  </w:divBdr>
                                                  <w:divsChild>
                                                    <w:div w:id="1198423202">
                                                      <w:marLeft w:val="0"/>
                                                      <w:marRight w:val="0"/>
                                                      <w:marTop w:val="0"/>
                                                      <w:marBottom w:val="150"/>
                                                      <w:divBdr>
                                                        <w:top w:val="none" w:sz="0" w:space="0" w:color="auto"/>
                                                        <w:left w:val="none" w:sz="0" w:space="0" w:color="auto"/>
                                                        <w:bottom w:val="none" w:sz="0" w:space="0" w:color="auto"/>
                                                        <w:right w:val="none" w:sz="0" w:space="0" w:color="auto"/>
                                                      </w:divBdr>
                                                      <w:divsChild>
                                                        <w:div w:id="323897501">
                                                          <w:marLeft w:val="0"/>
                                                          <w:marRight w:val="0"/>
                                                          <w:marTop w:val="0"/>
                                                          <w:marBottom w:val="0"/>
                                                          <w:divBdr>
                                                            <w:top w:val="none" w:sz="0" w:space="0" w:color="auto"/>
                                                            <w:left w:val="none" w:sz="0" w:space="0" w:color="auto"/>
                                                            <w:bottom w:val="none" w:sz="0" w:space="0" w:color="auto"/>
                                                            <w:right w:val="none" w:sz="0" w:space="0" w:color="auto"/>
                                                          </w:divBdr>
                                                          <w:divsChild>
                                                            <w:div w:id="738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046523">
      <w:bodyDiv w:val="1"/>
      <w:marLeft w:val="0"/>
      <w:marRight w:val="0"/>
      <w:marTop w:val="0"/>
      <w:marBottom w:val="0"/>
      <w:divBdr>
        <w:top w:val="none" w:sz="0" w:space="0" w:color="auto"/>
        <w:left w:val="none" w:sz="0" w:space="0" w:color="auto"/>
        <w:bottom w:val="none" w:sz="0" w:space="0" w:color="auto"/>
        <w:right w:val="none" w:sz="0" w:space="0" w:color="auto"/>
      </w:divBdr>
    </w:div>
    <w:div w:id="1718771361">
      <w:bodyDiv w:val="1"/>
      <w:marLeft w:val="0"/>
      <w:marRight w:val="0"/>
      <w:marTop w:val="0"/>
      <w:marBottom w:val="0"/>
      <w:divBdr>
        <w:top w:val="none" w:sz="0" w:space="0" w:color="auto"/>
        <w:left w:val="none" w:sz="0" w:space="0" w:color="auto"/>
        <w:bottom w:val="none" w:sz="0" w:space="0" w:color="auto"/>
        <w:right w:val="none" w:sz="0" w:space="0" w:color="auto"/>
      </w:divBdr>
    </w:div>
    <w:div w:id="1726641745">
      <w:bodyDiv w:val="1"/>
      <w:marLeft w:val="0"/>
      <w:marRight w:val="0"/>
      <w:marTop w:val="0"/>
      <w:marBottom w:val="0"/>
      <w:divBdr>
        <w:top w:val="none" w:sz="0" w:space="0" w:color="auto"/>
        <w:left w:val="none" w:sz="0" w:space="0" w:color="auto"/>
        <w:bottom w:val="none" w:sz="0" w:space="0" w:color="auto"/>
        <w:right w:val="none" w:sz="0" w:space="0" w:color="auto"/>
      </w:divBdr>
    </w:div>
    <w:div w:id="1753239154">
      <w:bodyDiv w:val="1"/>
      <w:marLeft w:val="0"/>
      <w:marRight w:val="0"/>
      <w:marTop w:val="0"/>
      <w:marBottom w:val="0"/>
      <w:divBdr>
        <w:top w:val="none" w:sz="0" w:space="0" w:color="auto"/>
        <w:left w:val="none" w:sz="0" w:space="0" w:color="auto"/>
        <w:bottom w:val="none" w:sz="0" w:space="0" w:color="auto"/>
        <w:right w:val="none" w:sz="0" w:space="0" w:color="auto"/>
      </w:divBdr>
    </w:div>
    <w:div w:id="1777554299">
      <w:bodyDiv w:val="1"/>
      <w:marLeft w:val="0"/>
      <w:marRight w:val="0"/>
      <w:marTop w:val="0"/>
      <w:marBottom w:val="0"/>
      <w:divBdr>
        <w:top w:val="none" w:sz="0" w:space="0" w:color="auto"/>
        <w:left w:val="none" w:sz="0" w:space="0" w:color="auto"/>
        <w:bottom w:val="none" w:sz="0" w:space="0" w:color="auto"/>
        <w:right w:val="none" w:sz="0" w:space="0" w:color="auto"/>
      </w:divBdr>
    </w:div>
    <w:div w:id="1781604129">
      <w:bodyDiv w:val="1"/>
      <w:marLeft w:val="0"/>
      <w:marRight w:val="0"/>
      <w:marTop w:val="0"/>
      <w:marBottom w:val="0"/>
      <w:divBdr>
        <w:top w:val="none" w:sz="0" w:space="0" w:color="auto"/>
        <w:left w:val="none" w:sz="0" w:space="0" w:color="auto"/>
        <w:bottom w:val="none" w:sz="0" w:space="0" w:color="auto"/>
        <w:right w:val="none" w:sz="0" w:space="0" w:color="auto"/>
      </w:divBdr>
    </w:div>
    <w:div w:id="1784958067">
      <w:bodyDiv w:val="1"/>
      <w:marLeft w:val="0"/>
      <w:marRight w:val="0"/>
      <w:marTop w:val="0"/>
      <w:marBottom w:val="0"/>
      <w:divBdr>
        <w:top w:val="none" w:sz="0" w:space="0" w:color="auto"/>
        <w:left w:val="none" w:sz="0" w:space="0" w:color="auto"/>
        <w:bottom w:val="none" w:sz="0" w:space="0" w:color="auto"/>
        <w:right w:val="none" w:sz="0" w:space="0" w:color="auto"/>
      </w:divBdr>
    </w:div>
    <w:div w:id="1799104269">
      <w:bodyDiv w:val="1"/>
      <w:marLeft w:val="0"/>
      <w:marRight w:val="0"/>
      <w:marTop w:val="0"/>
      <w:marBottom w:val="0"/>
      <w:divBdr>
        <w:top w:val="none" w:sz="0" w:space="0" w:color="auto"/>
        <w:left w:val="none" w:sz="0" w:space="0" w:color="auto"/>
        <w:bottom w:val="none" w:sz="0" w:space="0" w:color="auto"/>
        <w:right w:val="none" w:sz="0" w:space="0" w:color="auto"/>
      </w:divBdr>
    </w:div>
    <w:div w:id="1800955569">
      <w:bodyDiv w:val="1"/>
      <w:marLeft w:val="0"/>
      <w:marRight w:val="0"/>
      <w:marTop w:val="0"/>
      <w:marBottom w:val="0"/>
      <w:divBdr>
        <w:top w:val="none" w:sz="0" w:space="0" w:color="auto"/>
        <w:left w:val="none" w:sz="0" w:space="0" w:color="auto"/>
        <w:bottom w:val="none" w:sz="0" w:space="0" w:color="auto"/>
        <w:right w:val="none" w:sz="0" w:space="0" w:color="auto"/>
      </w:divBdr>
    </w:div>
    <w:div w:id="1837187996">
      <w:bodyDiv w:val="1"/>
      <w:marLeft w:val="0"/>
      <w:marRight w:val="0"/>
      <w:marTop w:val="0"/>
      <w:marBottom w:val="0"/>
      <w:divBdr>
        <w:top w:val="none" w:sz="0" w:space="0" w:color="auto"/>
        <w:left w:val="none" w:sz="0" w:space="0" w:color="auto"/>
        <w:bottom w:val="none" w:sz="0" w:space="0" w:color="auto"/>
        <w:right w:val="none" w:sz="0" w:space="0" w:color="auto"/>
      </w:divBdr>
    </w:div>
    <w:div w:id="1847402485">
      <w:bodyDiv w:val="1"/>
      <w:marLeft w:val="0"/>
      <w:marRight w:val="0"/>
      <w:marTop w:val="0"/>
      <w:marBottom w:val="0"/>
      <w:divBdr>
        <w:top w:val="none" w:sz="0" w:space="0" w:color="auto"/>
        <w:left w:val="none" w:sz="0" w:space="0" w:color="auto"/>
        <w:bottom w:val="none" w:sz="0" w:space="0" w:color="auto"/>
        <w:right w:val="none" w:sz="0" w:space="0" w:color="auto"/>
      </w:divBdr>
    </w:div>
    <w:div w:id="1856967016">
      <w:bodyDiv w:val="1"/>
      <w:marLeft w:val="0"/>
      <w:marRight w:val="0"/>
      <w:marTop w:val="0"/>
      <w:marBottom w:val="0"/>
      <w:divBdr>
        <w:top w:val="none" w:sz="0" w:space="0" w:color="auto"/>
        <w:left w:val="none" w:sz="0" w:space="0" w:color="auto"/>
        <w:bottom w:val="none" w:sz="0" w:space="0" w:color="auto"/>
        <w:right w:val="none" w:sz="0" w:space="0" w:color="auto"/>
      </w:divBdr>
    </w:div>
    <w:div w:id="1857694088">
      <w:bodyDiv w:val="1"/>
      <w:marLeft w:val="0"/>
      <w:marRight w:val="0"/>
      <w:marTop w:val="0"/>
      <w:marBottom w:val="0"/>
      <w:divBdr>
        <w:top w:val="none" w:sz="0" w:space="0" w:color="auto"/>
        <w:left w:val="none" w:sz="0" w:space="0" w:color="auto"/>
        <w:bottom w:val="none" w:sz="0" w:space="0" w:color="auto"/>
        <w:right w:val="none" w:sz="0" w:space="0" w:color="auto"/>
      </w:divBdr>
    </w:div>
    <w:div w:id="1892380524">
      <w:bodyDiv w:val="1"/>
      <w:marLeft w:val="0"/>
      <w:marRight w:val="0"/>
      <w:marTop w:val="0"/>
      <w:marBottom w:val="0"/>
      <w:divBdr>
        <w:top w:val="none" w:sz="0" w:space="0" w:color="auto"/>
        <w:left w:val="none" w:sz="0" w:space="0" w:color="auto"/>
        <w:bottom w:val="none" w:sz="0" w:space="0" w:color="auto"/>
        <w:right w:val="none" w:sz="0" w:space="0" w:color="auto"/>
      </w:divBdr>
    </w:div>
    <w:div w:id="1931622958">
      <w:bodyDiv w:val="1"/>
      <w:marLeft w:val="0"/>
      <w:marRight w:val="0"/>
      <w:marTop w:val="0"/>
      <w:marBottom w:val="0"/>
      <w:divBdr>
        <w:top w:val="none" w:sz="0" w:space="0" w:color="auto"/>
        <w:left w:val="none" w:sz="0" w:space="0" w:color="auto"/>
        <w:bottom w:val="none" w:sz="0" w:space="0" w:color="auto"/>
        <w:right w:val="none" w:sz="0" w:space="0" w:color="auto"/>
      </w:divBdr>
    </w:div>
    <w:div w:id="1946111498">
      <w:bodyDiv w:val="1"/>
      <w:marLeft w:val="0"/>
      <w:marRight w:val="0"/>
      <w:marTop w:val="0"/>
      <w:marBottom w:val="0"/>
      <w:divBdr>
        <w:top w:val="none" w:sz="0" w:space="0" w:color="auto"/>
        <w:left w:val="none" w:sz="0" w:space="0" w:color="auto"/>
        <w:bottom w:val="none" w:sz="0" w:space="0" w:color="auto"/>
        <w:right w:val="none" w:sz="0" w:space="0" w:color="auto"/>
      </w:divBdr>
    </w:div>
    <w:div w:id="1966303249">
      <w:bodyDiv w:val="1"/>
      <w:marLeft w:val="0"/>
      <w:marRight w:val="0"/>
      <w:marTop w:val="0"/>
      <w:marBottom w:val="0"/>
      <w:divBdr>
        <w:top w:val="none" w:sz="0" w:space="0" w:color="auto"/>
        <w:left w:val="none" w:sz="0" w:space="0" w:color="auto"/>
        <w:bottom w:val="none" w:sz="0" w:space="0" w:color="auto"/>
        <w:right w:val="none" w:sz="0" w:space="0" w:color="auto"/>
      </w:divBdr>
    </w:div>
    <w:div w:id="2008899902">
      <w:bodyDiv w:val="1"/>
      <w:marLeft w:val="0"/>
      <w:marRight w:val="0"/>
      <w:marTop w:val="0"/>
      <w:marBottom w:val="0"/>
      <w:divBdr>
        <w:top w:val="none" w:sz="0" w:space="0" w:color="auto"/>
        <w:left w:val="none" w:sz="0" w:space="0" w:color="auto"/>
        <w:bottom w:val="none" w:sz="0" w:space="0" w:color="auto"/>
        <w:right w:val="none" w:sz="0" w:space="0" w:color="auto"/>
      </w:divBdr>
    </w:div>
    <w:div w:id="2058702918">
      <w:bodyDiv w:val="1"/>
      <w:marLeft w:val="0"/>
      <w:marRight w:val="0"/>
      <w:marTop w:val="0"/>
      <w:marBottom w:val="0"/>
      <w:divBdr>
        <w:top w:val="none" w:sz="0" w:space="0" w:color="auto"/>
        <w:left w:val="none" w:sz="0" w:space="0" w:color="auto"/>
        <w:bottom w:val="none" w:sz="0" w:space="0" w:color="auto"/>
        <w:right w:val="none" w:sz="0" w:space="0" w:color="auto"/>
      </w:divBdr>
    </w:div>
    <w:div w:id="2063357511">
      <w:bodyDiv w:val="1"/>
      <w:marLeft w:val="0"/>
      <w:marRight w:val="0"/>
      <w:marTop w:val="0"/>
      <w:marBottom w:val="0"/>
      <w:divBdr>
        <w:top w:val="none" w:sz="0" w:space="0" w:color="auto"/>
        <w:left w:val="none" w:sz="0" w:space="0" w:color="auto"/>
        <w:bottom w:val="none" w:sz="0" w:space="0" w:color="auto"/>
        <w:right w:val="none" w:sz="0" w:space="0" w:color="auto"/>
      </w:divBdr>
    </w:div>
    <w:div w:id="2104715657">
      <w:bodyDiv w:val="1"/>
      <w:marLeft w:val="0"/>
      <w:marRight w:val="0"/>
      <w:marTop w:val="0"/>
      <w:marBottom w:val="0"/>
      <w:divBdr>
        <w:top w:val="none" w:sz="0" w:space="0" w:color="auto"/>
        <w:left w:val="none" w:sz="0" w:space="0" w:color="auto"/>
        <w:bottom w:val="none" w:sz="0" w:space="0" w:color="auto"/>
        <w:right w:val="none" w:sz="0" w:space="0" w:color="auto"/>
      </w:divBdr>
    </w:div>
    <w:div w:id="2136174835">
      <w:bodyDiv w:val="1"/>
      <w:marLeft w:val="0"/>
      <w:marRight w:val="0"/>
      <w:marTop w:val="0"/>
      <w:marBottom w:val="0"/>
      <w:divBdr>
        <w:top w:val="none" w:sz="0" w:space="0" w:color="auto"/>
        <w:left w:val="none" w:sz="0" w:space="0" w:color="auto"/>
        <w:bottom w:val="none" w:sz="0" w:space="0" w:color="auto"/>
        <w:right w:val="none" w:sz="0" w:space="0" w:color="auto"/>
      </w:divBdr>
    </w:div>
    <w:div w:id="21416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77marcorona\Desktop\Comunicato%20stampa.dotx" TargetMode="External"/></Relationships>
</file>

<file path=word/theme/theme1.xml><?xml version="1.0" encoding="utf-8"?>
<a:theme xmlns:a="http://schemas.openxmlformats.org/drawingml/2006/main" name="Crif Credit Solutions Theme">
  <a:themeElements>
    <a:clrScheme name="Personalizzato 1">
      <a:dk1>
        <a:srgbClr val="003B79"/>
      </a:dk1>
      <a:lt1>
        <a:sysClr val="window" lastClr="FFFFFF"/>
      </a:lt1>
      <a:dk2>
        <a:srgbClr val="EC7D11"/>
      </a:dk2>
      <a:lt2>
        <a:srgbClr val="EEECE1"/>
      </a:lt2>
      <a:accent1>
        <a:srgbClr val="003B79"/>
      </a:accent1>
      <a:accent2>
        <a:srgbClr val="EE7D11"/>
      </a:accent2>
      <a:accent3>
        <a:srgbClr val="B0CFED"/>
      </a:accent3>
      <a:accent4>
        <a:srgbClr val="D9E021"/>
      </a:accent4>
      <a:accent5>
        <a:srgbClr val="DDDDDD"/>
      </a:accent5>
      <a:accent6>
        <a:srgbClr val="FFFFFF"/>
      </a:accent6>
      <a:hlink>
        <a:srgbClr val="EC7D11"/>
      </a:hlink>
      <a:folHlink>
        <a:srgbClr val="800080"/>
      </a:folHlink>
    </a:clrScheme>
    <a:fontScheme name="Crif Credit Solution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8B3595741814786E02C542869F5AE" ma:contentTypeVersion="18" ma:contentTypeDescription="Create a new document." ma:contentTypeScope="" ma:versionID="5a46070866a63fdb6cb3b1f52a2ff492">
  <xsd:schema xmlns:xsd="http://www.w3.org/2001/XMLSchema" xmlns:xs="http://www.w3.org/2001/XMLSchema" xmlns:p="http://schemas.microsoft.com/office/2006/metadata/properties" xmlns:ns2="cf0fb631-49ae-44a5-8545-7e7e59db4641" xmlns:ns3="41b5ca3c-ba29-412d-bcc5-38227231e36f" targetNamespace="http://schemas.microsoft.com/office/2006/metadata/properties" ma:root="true" ma:fieldsID="3ad0b61f005f5f4e98ba0125bcd5a2ba" ns2:_="" ns3:_="">
    <xsd:import namespace="cf0fb631-49ae-44a5-8545-7e7e59db4641"/>
    <xsd:import namespace="41b5ca3c-ba29-412d-bcc5-38227231e36f"/>
    <xsd:element name="properties">
      <xsd:complexType>
        <xsd:sequence>
          <xsd:element name="documentManagement">
            <xsd:complexType>
              <xsd:all>
                <xsd:element ref="ns2:p0a2749f76bc40de8959b2237d098e2e" minOccurs="0"/>
                <xsd:element ref="ns3:TaxCatchAll" minOccurs="0"/>
                <xsd:element ref="ns2:b0991263f9e346e991433195435dbf79" minOccurs="0"/>
                <xsd:element ref="ns2:o057b056b35744d890f57b04607ba3fe" minOccurs="0"/>
                <xsd:element ref="ns2:f87c1b955ea24a15b99467e74c118700" minOccurs="0"/>
                <xsd:element ref="ns2:lb8fd312a2fb46c1895b1b8c5a7a74a3" minOccurs="0"/>
                <xsd:element ref="ns2:gf17117edf8044d9abc3de4921d71b80" minOccurs="0"/>
                <xsd:element ref="ns2:acf51d82acb642079b1ae678463879fe" minOccurs="0"/>
                <xsd:element ref="ns2:g8929d194f644aa889bcf860ae35ca8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fb631-49ae-44a5-8545-7e7e59db4641" elementFormDefault="qualified">
    <xsd:import namespace="http://schemas.microsoft.com/office/2006/documentManagement/types"/>
    <xsd:import namespace="http://schemas.microsoft.com/office/infopath/2007/PartnerControls"/>
    <xsd:element name="p0a2749f76bc40de8959b2237d098e2e" ma:index="9" ma:taxonomy="true" ma:internalName="p0a2749f76bc40de8959b2237d098e2e" ma:taxonomyFieldName="CRIFDPTDepartment" ma:displayName="Crif Department" ma:default="1;#Finance Italy|8ac120e4-5478-4208-851b-bc26a01850a1" ma:fieldId="{90a2749f-76bc-40de-8959-b2237d098e2e}" ma:sspId="73d35da6-a99a-44a4-943a-ec8cc720db12" ma:termSetId="e0ce38be-dfb6-4089-992f-ca18209c94cb" ma:anchorId="00000000-0000-0000-0000-000000000000" ma:open="false" ma:isKeyword="false">
      <xsd:complexType>
        <xsd:sequence>
          <xsd:element ref="pc:Terms" minOccurs="0" maxOccurs="1"/>
        </xsd:sequence>
      </xsd:complexType>
    </xsd:element>
    <xsd:element name="b0991263f9e346e991433195435dbf79" ma:index="12" nillable="true" ma:taxonomy="true" ma:internalName="b0991263f9e346e991433195435dbf79" ma:taxonomyFieldName="CRIFDPTArea" ma:displayName="DPT Area" ma:default="2;#Market 1.1|441ca0e4-2e5f-435a-8021-15dfaa6daa11" ma:fieldId="{b0991263-f9e3-46e9-9143-3195435dbf79}" ma:taxonomyMulti="true" ma:sspId="73d35da6-a99a-44a4-943a-ec8cc720db12" ma:termSetId="52783539-8a4a-4ca8-93c9-a37c51724971" ma:anchorId="8ac120e4-5478-4208-851b-bc26a01850a1" ma:open="false" ma:isKeyword="false">
      <xsd:complexType>
        <xsd:sequence>
          <xsd:element ref="pc:Terms" minOccurs="0" maxOccurs="1"/>
        </xsd:sequence>
      </xsd:complexType>
    </xsd:element>
    <xsd:element name="o057b056b35744d890f57b04607ba3fe" ma:index="14" nillable="true" ma:taxonomy="true" ma:internalName="o057b056b35744d890f57b04607ba3fe" ma:taxonomyFieldName="CRIFAdditionalDepartment" ma:displayName="Additional Departments" ma:default="" ma:fieldId="{8057b056-b357-44d8-90f5-7b04607ba3fe}" ma:taxonomyMulti="true" ma:sspId="73d35da6-a99a-44a4-943a-ec8cc720db12" ma:termSetId="e0ce38be-dfb6-4089-992f-ca18209c94cb" ma:anchorId="00000000-0000-0000-0000-000000000000" ma:open="false" ma:isKeyword="false">
      <xsd:complexType>
        <xsd:sequence>
          <xsd:element ref="pc:Terms" minOccurs="0" maxOccurs="1"/>
        </xsd:sequence>
      </xsd:complexType>
    </xsd:element>
    <xsd:element name="f87c1b955ea24a15b99467e74c118700" ma:index="16" nillable="true" ma:taxonomy="true" ma:internalName="f87c1b955ea24a15b99467e74c118700" ma:taxonomyFieldName="CRIFM1DocumentType" ma:displayName="Type of Document" ma:default="16;#Not Specified|73162123-f564-4ad0-9a77-69ff6eb3b967" ma:fieldId="{f87c1b95-5ea2-4a15-b994-67e74c118700}" ma:taxonomyMulti="true" ma:sspId="73d35da6-a99a-44a4-943a-ec8cc720db12" ma:termSetId="f616c682-0eff-4f85-9ead-ccde46866e6f" ma:anchorId="00000000-0000-0000-0000-000000000000" ma:open="false" ma:isKeyword="false">
      <xsd:complexType>
        <xsd:sequence>
          <xsd:element ref="pc:Terms" minOccurs="0" maxOccurs="1"/>
        </xsd:sequence>
      </xsd:complexType>
    </xsd:element>
    <xsd:element name="lb8fd312a2fb46c1895b1b8c5a7a74a3" ma:index="18" nillable="true" ma:taxonomy="true" ma:internalName="lb8fd312a2fb46c1895b1b8c5a7a74a3" ma:taxonomyFieldName="CRIFM1FrameworkPhase" ma:displayName="Framework Phase" ma:default="13;#Not Specified|d8f71dc2-db78-4d80-bad6-7109b72c9284" ma:fieldId="{5b8fd312-a2fb-46c1-895b-1b8c5a7a74a3}" ma:taxonomyMulti="true" ma:sspId="73d35da6-a99a-44a4-943a-ec8cc720db12" ma:termSetId="e10dd3b5-c09f-467f-bff5-340674e1b596" ma:anchorId="00000000-0000-0000-0000-000000000000" ma:open="false" ma:isKeyword="false">
      <xsd:complexType>
        <xsd:sequence>
          <xsd:element ref="pc:Terms" minOccurs="0" maxOccurs="1"/>
        </xsd:sequence>
      </xsd:complexType>
    </xsd:element>
    <xsd:element name="gf17117edf8044d9abc3de4921d71b80" ma:index="20" nillable="true" ma:taxonomy="true" ma:internalName="gf17117edf8044d9abc3de4921d71b80" ma:taxonomyFieldName="CRIFM1Line" ma:displayName="Line" ma:default="14;#Not Specified|fa1f6138-c0a1-4cb6-8089-b21b14d753aa" ma:fieldId="{0f17117e-df80-44d9-abc3-de4921d71b80}" ma:taxonomyMulti="true" ma:sspId="73d35da6-a99a-44a4-943a-ec8cc720db12" ma:termSetId="61c1dd05-b88d-44f8-bae3-d1a43186dba7" ma:anchorId="00000000-0000-0000-0000-000000000000" ma:open="false" ma:isKeyword="false">
      <xsd:complexType>
        <xsd:sequence>
          <xsd:element ref="pc:Terms" minOccurs="0" maxOccurs="1"/>
        </xsd:sequence>
      </xsd:complexType>
    </xsd:element>
    <xsd:element name="acf51d82acb642079b1ae678463879fe" ma:index="22" nillable="true" ma:taxonomy="true" ma:internalName="acf51d82acb642079b1ae678463879fe" ma:taxonomyFieldName="CRIFM1Service" ma:displayName="Service" ma:default="15;#Not Specified|a9223184-192f-4abe-b27b-541d42754eb0" ma:fieldId="{acf51d82-acb6-4207-9b1a-e678463879fe}" ma:taxonomyMulti="true" ma:sspId="b8dc9f9c-cac6-4d46-bcdb-2b31b11f0812" ma:termSetId="a6803e96-5783-47b8-bbd6-b61ceaaceb9b" ma:anchorId="00000000-0000-0000-0000-000000000000" ma:open="false" ma:isKeyword="false">
      <xsd:complexType>
        <xsd:sequence>
          <xsd:element ref="pc:Terms" minOccurs="0" maxOccurs="1"/>
        </xsd:sequence>
      </xsd:complexType>
    </xsd:element>
    <xsd:element name="g8929d194f644aa889bcf860ae35ca86" ma:index="24" nillable="true" ma:taxonomy="true" ma:internalName="g8929d194f644aa889bcf860ae35ca86" ma:taxonomyFieldName="CRIFM1Client" ma:displayName="Client" ma:default="12;#NOT SPECIFIED|01a83b45-1dfb-428f-9685-192f2e281a23" ma:fieldId="{08929d19-4f64-4aa8-89bc-f860ae35ca86}" ma:taxonomyMulti="true" ma:sspId="b8dc9f9c-cac6-4d46-bcdb-2b31b11f0812" ma:termSetId="ee2e9d7f-0f34-48d0-a325-d5a342fd45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5ca3c-ba29-412d-bcc5-38227231e36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b07979-064f-4365-a171-9ce3fabae022}" ma:internalName="TaxCatchAll" ma:showField="CatchAllData" ma:web="cf0fb631-49ae-44a5-8545-7e7e59db4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0a2749f76bc40de8959b2237d098e2e xmlns="cf0fb631-49ae-44a5-8545-7e7e59db4641">
      <Terms xmlns="http://schemas.microsoft.com/office/infopath/2007/PartnerControls">
        <TermInfo xmlns="http://schemas.microsoft.com/office/infopath/2007/PartnerControls">
          <TermName xmlns="http://schemas.microsoft.com/office/infopath/2007/PartnerControls">Finance Italy</TermName>
          <TermId xmlns="http://schemas.microsoft.com/office/infopath/2007/PartnerControls">8ac120e4-5478-4208-851b-bc26a01850a1</TermId>
        </TermInfo>
      </Terms>
    </p0a2749f76bc40de8959b2237d098e2e>
    <TaxCatchAll xmlns="41b5ca3c-ba29-412d-bcc5-38227231e36f">
      <Value>1</Value>
    </TaxCatchAll>
    <g8929d194f644aa889bcf860ae35ca86 xmlns="cf0fb631-49ae-44a5-8545-7e7e59db4641">
      <Terms xmlns="http://schemas.microsoft.com/office/infopath/2007/PartnerControls"/>
    </g8929d194f644aa889bcf860ae35ca86>
    <acf51d82acb642079b1ae678463879fe xmlns="cf0fb631-49ae-44a5-8545-7e7e59db4641">
      <Terms xmlns="http://schemas.microsoft.com/office/infopath/2007/PartnerControls"/>
    </acf51d82acb642079b1ae678463879fe>
    <gf17117edf8044d9abc3de4921d71b80 xmlns="cf0fb631-49ae-44a5-8545-7e7e59db4641">
      <Terms xmlns="http://schemas.microsoft.com/office/infopath/2007/PartnerControls"/>
    </gf17117edf8044d9abc3de4921d71b80>
    <f87c1b955ea24a15b99467e74c118700 xmlns="cf0fb631-49ae-44a5-8545-7e7e59db4641">
      <Terms xmlns="http://schemas.microsoft.com/office/infopath/2007/PartnerControls"/>
    </f87c1b955ea24a15b99467e74c118700>
    <b0991263f9e346e991433195435dbf79 xmlns="cf0fb631-49ae-44a5-8545-7e7e59db4641">
      <Terms xmlns="http://schemas.microsoft.com/office/infopath/2007/PartnerControls"/>
    </b0991263f9e346e991433195435dbf79>
    <lb8fd312a2fb46c1895b1b8c5a7a74a3 xmlns="cf0fb631-49ae-44a5-8545-7e7e59db4641">
      <Terms xmlns="http://schemas.microsoft.com/office/infopath/2007/PartnerControls"/>
    </lb8fd312a2fb46c1895b1b8c5a7a74a3>
    <o057b056b35744d890f57b04607ba3fe xmlns="cf0fb631-49ae-44a5-8545-7e7e59db4641">
      <Terms xmlns="http://schemas.microsoft.com/office/infopath/2007/PartnerControls"/>
    </o057b056b35744d890f57b04607ba3f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560DC8-749F-49B9-B268-C77E8B486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fb631-49ae-44a5-8545-7e7e59db4641"/>
    <ds:schemaRef ds:uri="41b5ca3c-ba29-412d-bcc5-38227231e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373165-87E4-4706-81E2-7300899BAD15}">
  <ds:schemaRefs>
    <ds:schemaRef ds:uri="http://schemas.microsoft.com/office/2006/metadata/properties"/>
    <ds:schemaRef ds:uri="http://schemas.microsoft.com/office/infopath/2007/PartnerControls"/>
    <ds:schemaRef ds:uri="cf0fb631-49ae-44a5-8545-7e7e59db4641"/>
    <ds:schemaRef ds:uri="41b5ca3c-ba29-412d-bcc5-38227231e36f"/>
  </ds:schemaRefs>
</ds:datastoreItem>
</file>

<file path=customXml/itemProps4.xml><?xml version="1.0" encoding="utf-8"?>
<ds:datastoreItem xmlns:ds="http://schemas.openxmlformats.org/officeDocument/2006/customXml" ds:itemID="{65C817FA-01B7-40EC-80B9-9A7A4ABB3122}">
  <ds:schemaRefs>
    <ds:schemaRef ds:uri="http://schemas.microsoft.com/sharepoint/v3/contenttype/forms"/>
  </ds:schemaRefs>
</ds:datastoreItem>
</file>

<file path=customXml/itemProps5.xml><?xml version="1.0" encoding="utf-8"?>
<ds:datastoreItem xmlns:ds="http://schemas.openxmlformats.org/officeDocument/2006/customXml" ds:itemID="{1FCB005C-59E0-4E40-AA5B-D83FE44B1AA3}">
  <ds:schemaRefs>
    <ds:schemaRef ds:uri="http://schemas.microsoft.com/sharepoint/v3/contenttype/forms"/>
  </ds:schemaRefs>
</ds:datastoreItem>
</file>

<file path=customXml/itemProps6.xml><?xml version="1.0" encoding="utf-8"?>
<ds:datastoreItem xmlns:ds="http://schemas.openxmlformats.org/officeDocument/2006/customXml" ds:itemID="{78C281BC-1387-4A08-B144-7409A738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Template>
  <TotalTime>83</TotalTime>
  <Pages>1</Pages>
  <Words>2359</Words>
  <Characters>13447</Characters>
  <Application>Microsoft Office Word</Application>
  <DocSecurity>0</DocSecurity>
  <Lines>112</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FFERTA COMMERCIALE/MANUALE PRODOTTO (SE POSSIBILE TITOLO NON PIÙ LUNGO DI TRE RIGHE)</vt:lpstr>
      <vt:lpstr>FFERTA COMMERCIALE/MANUALE PRODOTTO (SE POSSIBILE TITOLO NON PIÙ LUNGO DI TRE RIGHE)</vt:lpstr>
    </vt:vector>
  </TitlesOfParts>
  <Company>77Agency</Company>
  <LinksUpToDate>false</LinksUpToDate>
  <CharactersWithSpaces>15775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FFERTA COMMERCIALE/MANUALE PRODOTTO (SE POSSIBILE TITOLO NON PIÙ LUNGO DI TRE RIGHE)</dc:title>
  <dc:subject>Luogo, giorno/mese/anno o Versione xy</dc:subject>
  <dc:creator>Coronas Maria Grazia</dc:creator>
  <cp:lastModifiedBy>paola</cp:lastModifiedBy>
  <cp:revision>14</cp:revision>
  <dcterms:created xsi:type="dcterms:W3CDTF">2019-01-08T08:17:00Z</dcterms:created>
  <dcterms:modified xsi:type="dcterms:W3CDTF">2019-01-21T10:05:00Z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0x01010020F8B3595741814786E02C542869F5AE</vt:lpwstr>
  </property>
  <property fmtid="{D5CDD505-2E9C-101B-9397-08002B2CF9AE}" pid="3" name="IsMyDocuments">
    <vt:bool>true</vt:bool>
  </property>
  <property fmtid="{D5CDD505-2E9C-101B-9397-08002B2CF9AE}" pid="4" name="CRIFAdditionalDepartment">
    <vt:lpwstr/>
  </property>
  <property fmtid="{D5CDD505-2E9C-101B-9397-08002B2CF9AE}" pid="5" name="CRIFM1Line">
    <vt:lpwstr/>
  </property>
  <property fmtid="{D5CDD505-2E9C-101B-9397-08002B2CF9AE}" pid="6" name="CRIFM1Client">
    <vt:lpwstr/>
  </property>
  <property fmtid="{D5CDD505-2E9C-101B-9397-08002B2CF9AE}" pid="7" name="CRIFDPTDepartment">
    <vt:lpwstr>1;#Finance Italy|8ac120e4-5478-4208-851b-bc26a01850a1</vt:lpwstr>
  </property>
  <property fmtid="{D5CDD505-2E9C-101B-9397-08002B2CF9AE}" pid="8" name="CRIFM1Service">
    <vt:lpwstr/>
  </property>
  <property fmtid="{D5CDD505-2E9C-101B-9397-08002B2CF9AE}" pid="9" name="CRIFM1DocumentType">
    <vt:lpwstr/>
  </property>
  <property fmtid="{D5CDD505-2E9C-101B-9397-08002B2CF9AE}" pid="10" name="CRIFM1FrameworkPhase">
    <vt:lpwstr/>
  </property>
  <property fmtid="{D5CDD505-2E9C-101B-9397-08002B2CF9AE}" pid="11" name="CRIFDPTArea">
    <vt:lpwstr/>
  </property>
</Properties>
</file>