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35" w:rsidRPr="00EA0664" w:rsidRDefault="00E776E4" w:rsidP="00824FF6">
      <w:pPr>
        <w:spacing w:before="240" w:after="480" w:line="276" w:lineRule="auto"/>
        <w:jc w:val="center"/>
        <w:rPr>
          <w:rFonts w:ascii="Arial" w:eastAsia="Arial" w:hAnsi="Arial" w:cs="Arial"/>
          <w:b/>
          <w:bCs/>
          <w:sz w:val="32"/>
          <w:szCs w:val="28"/>
          <w:lang w:val="it-IT"/>
        </w:rPr>
      </w:pPr>
      <w:r>
        <w:rPr>
          <w:rFonts w:ascii="Arial" w:eastAsia="Arial" w:hAnsi="Arial" w:cs="Arial"/>
          <w:b/>
          <w:bCs/>
          <w:sz w:val="32"/>
          <w:szCs w:val="28"/>
          <w:lang w:val="it-IT"/>
        </w:rPr>
        <w:t xml:space="preserve">Investimenti alberghieri: </w:t>
      </w:r>
      <w:r>
        <w:rPr>
          <w:rFonts w:ascii="Arial" w:eastAsia="Arial" w:hAnsi="Arial" w:cs="Arial"/>
          <w:b/>
          <w:bCs/>
          <w:sz w:val="32"/>
          <w:szCs w:val="28"/>
          <w:lang w:val="it-IT"/>
        </w:rPr>
        <w:br/>
        <w:t>nel 2018 cresce il numero delle transazioni</w:t>
      </w:r>
    </w:p>
    <w:p w:rsidR="002C4067" w:rsidRDefault="003C337E" w:rsidP="00824FF6">
      <w:pPr>
        <w:pStyle w:val="Paragrafoelenco"/>
        <w:numPr>
          <w:ilvl w:val="0"/>
          <w:numId w:val="7"/>
        </w:numPr>
        <w:spacing w:after="180" w:line="276" w:lineRule="auto"/>
        <w:ind w:left="714" w:hanging="357"/>
        <w:contextualSpacing w:val="0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 xml:space="preserve">In Italia, </w:t>
      </w:r>
      <w:r w:rsidR="0079331D">
        <w:rPr>
          <w:rFonts w:ascii="Arial" w:hAnsi="Arial" w:cs="Arial"/>
          <w:b/>
          <w:szCs w:val="22"/>
          <w:lang w:val="it-IT"/>
        </w:rPr>
        <w:t>+ 24</w:t>
      </w:r>
      <w:r w:rsidR="00E776E4" w:rsidRPr="002C4067">
        <w:rPr>
          <w:rFonts w:ascii="Arial" w:hAnsi="Arial" w:cs="Arial"/>
          <w:b/>
          <w:szCs w:val="22"/>
          <w:lang w:val="it-IT"/>
        </w:rPr>
        <w:t xml:space="preserve">% il numero delle </w:t>
      </w:r>
      <w:r w:rsidR="002C4067" w:rsidRPr="002C4067">
        <w:rPr>
          <w:rFonts w:ascii="Arial" w:hAnsi="Arial" w:cs="Arial"/>
          <w:b/>
          <w:szCs w:val="22"/>
          <w:lang w:val="it-IT"/>
        </w:rPr>
        <w:t>vendite alb</w:t>
      </w:r>
      <w:r w:rsidR="002C4067">
        <w:rPr>
          <w:rFonts w:ascii="Arial" w:hAnsi="Arial" w:cs="Arial"/>
          <w:b/>
          <w:szCs w:val="22"/>
          <w:lang w:val="it-IT"/>
        </w:rPr>
        <w:t>erghiere (58 contro le 47 del 2017)</w:t>
      </w:r>
    </w:p>
    <w:p w:rsidR="00E776E4" w:rsidRPr="002C4067" w:rsidRDefault="00256C37" w:rsidP="00824FF6">
      <w:pPr>
        <w:pStyle w:val="Paragrafoelenco"/>
        <w:numPr>
          <w:ilvl w:val="0"/>
          <w:numId w:val="7"/>
        </w:numPr>
        <w:spacing w:after="180" w:line="276" w:lineRule="auto"/>
        <w:ind w:left="714" w:hanging="357"/>
        <w:contextualSpacing w:val="0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>N</w:t>
      </w:r>
      <w:r w:rsidR="002C4067" w:rsidRPr="002C4067">
        <w:rPr>
          <w:rFonts w:ascii="Arial" w:hAnsi="Arial" w:cs="Arial"/>
          <w:b/>
          <w:szCs w:val="22"/>
          <w:lang w:val="it-IT"/>
        </w:rPr>
        <w:t xml:space="preserve">el 2018 il volume degli </w:t>
      </w:r>
      <w:r w:rsidR="003C337E">
        <w:rPr>
          <w:rFonts w:ascii="Arial" w:hAnsi="Arial" w:cs="Arial"/>
          <w:b/>
          <w:szCs w:val="22"/>
          <w:lang w:val="it-IT"/>
        </w:rPr>
        <w:t xml:space="preserve">investimenti </w:t>
      </w:r>
      <w:r w:rsidR="00E776E4" w:rsidRPr="002C4067">
        <w:rPr>
          <w:rFonts w:ascii="Arial" w:hAnsi="Arial" w:cs="Arial"/>
          <w:b/>
          <w:szCs w:val="22"/>
          <w:lang w:val="it-IT"/>
        </w:rPr>
        <w:t>registra un</w:t>
      </w:r>
      <w:r w:rsidR="00C21A02">
        <w:rPr>
          <w:rFonts w:ascii="Arial" w:hAnsi="Arial" w:cs="Arial"/>
          <w:b/>
          <w:szCs w:val="22"/>
          <w:lang w:val="it-IT"/>
        </w:rPr>
        <w:t xml:space="preserve">a leggera flessione </w:t>
      </w:r>
      <w:r w:rsidR="00C21A02">
        <w:rPr>
          <w:rFonts w:ascii="Arial" w:hAnsi="Arial" w:cs="Arial"/>
          <w:b/>
          <w:szCs w:val="22"/>
          <w:lang w:val="it-IT"/>
        </w:rPr>
        <w:br/>
        <w:t>(-</w:t>
      </w:r>
      <w:r w:rsidR="002C4067" w:rsidRPr="002C4067">
        <w:rPr>
          <w:rFonts w:ascii="Arial" w:hAnsi="Arial" w:cs="Arial"/>
          <w:b/>
          <w:szCs w:val="22"/>
          <w:lang w:val="it-IT"/>
        </w:rPr>
        <w:t xml:space="preserve">20%), attestandosi su </w:t>
      </w:r>
      <w:r w:rsidR="00E776E4" w:rsidRPr="002C4067">
        <w:rPr>
          <w:rFonts w:ascii="Arial" w:hAnsi="Arial" w:cs="Arial"/>
          <w:b/>
          <w:szCs w:val="22"/>
          <w:lang w:val="it-IT"/>
        </w:rPr>
        <w:t>1,3 miliardi</w:t>
      </w:r>
      <w:r w:rsidR="002C4067" w:rsidRPr="002C4067">
        <w:rPr>
          <w:rFonts w:ascii="Arial" w:hAnsi="Arial" w:cs="Arial"/>
          <w:b/>
          <w:szCs w:val="22"/>
          <w:lang w:val="it-IT"/>
        </w:rPr>
        <w:t xml:space="preserve"> di euro</w:t>
      </w:r>
    </w:p>
    <w:p w:rsidR="002C4067" w:rsidRPr="00700208" w:rsidRDefault="002C4067" w:rsidP="00824FF6">
      <w:pPr>
        <w:pStyle w:val="Paragrafoelenco"/>
        <w:numPr>
          <w:ilvl w:val="0"/>
          <w:numId w:val="7"/>
        </w:numPr>
        <w:spacing w:after="180" w:line="276" w:lineRule="auto"/>
        <w:ind w:left="714" w:hanging="357"/>
        <w:contextualSpacing w:val="0"/>
        <w:rPr>
          <w:rFonts w:ascii="Arial" w:hAnsi="Arial" w:cs="Arial"/>
          <w:b/>
          <w:szCs w:val="22"/>
          <w:lang w:val="it-IT"/>
        </w:rPr>
      </w:pPr>
      <w:r w:rsidRPr="00700208">
        <w:rPr>
          <w:rFonts w:ascii="Arial" w:hAnsi="Arial" w:cs="Arial"/>
          <w:b/>
          <w:szCs w:val="22"/>
          <w:lang w:val="it-IT"/>
        </w:rPr>
        <w:t xml:space="preserve">Roma </w:t>
      </w:r>
      <w:r>
        <w:rPr>
          <w:rFonts w:ascii="Arial" w:hAnsi="Arial" w:cs="Arial"/>
          <w:b/>
          <w:szCs w:val="22"/>
          <w:lang w:val="it-IT"/>
        </w:rPr>
        <w:t>è la città più attrattiva per gli investitori: oltre 500</w:t>
      </w:r>
      <w:r w:rsidRPr="00700208">
        <w:rPr>
          <w:rFonts w:ascii="Arial" w:hAnsi="Arial" w:cs="Arial"/>
          <w:b/>
          <w:szCs w:val="22"/>
          <w:lang w:val="it-IT"/>
        </w:rPr>
        <w:t xml:space="preserve"> milioni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di euro</w:t>
      </w:r>
      <w:r w:rsidRPr="00EA066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3C337E">
        <w:rPr>
          <w:rFonts w:ascii="Arial" w:hAnsi="Arial" w:cs="Arial"/>
          <w:b/>
          <w:szCs w:val="22"/>
          <w:lang w:val="it-IT"/>
        </w:rPr>
        <w:t>il valore delle</w:t>
      </w:r>
      <w:r w:rsidRPr="00700208">
        <w:rPr>
          <w:rFonts w:ascii="Arial" w:hAnsi="Arial" w:cs="Arial"/>
          <w:b/>
          <w:szCs w:val="22"/>
          <w:lang w:val="it-IT"/>
        </w:rPr>
        <w:t xml:space="preserve"> transazioni</w:t>
      </w:r>
      <w:r>
        <w:rPr>
          <w:rFonts w:ascii="Arial" w:hAnsi="Arial" w:cs="Arial"/>
          <w:b/>
          <w:szCs w:val="22"/>
          <w:lang w:val="it-IT"/>
        </w:rPr>
        <w:t xml:space="preserve"> (4</w:t>
      </w:r>
      <w:r w:rsidRPr="00700208">
        <w:rPr>
          <w:rFonts w:ascii="Arial" w:hAnsi="Arial" w:cs="Arial"/>
          <w:b/>
          <w:szCs w:val="22"/>
          <w:lang w:val="it-IT"/>
        </w:rPr>
        <w:t xml:space="preserve">0% </w:t>
      </w:r>
      <w:r>
        <w:rPr>
          <w:rFonts w:ascii="Arial" w:hAnsi="Arial" w:cs="Arial"/>
          <w:b/>
          <w:szCs w:val="22"/>
          <w:lang w:val="it-IT"/>
        </w:rPr>
        <w:t>del totale</w:t>
      </w:r>
      <w:r w:rsidRPr="00700208">
        <w:rPr>
          <w:rFonts w:ascii="Arial" w:hAnsi="Arial" w:cs="Arial"/>
          <w:b/>
          <w:szCs w:val="22"/>
          <w:lang w:val="it-IT"/>
        </w:rPr>
        <w:t>)</w:t>
      </w:r>
      <w:r>
        <w:rPr>
          <w:rFonts w:ascii="Arial" w:hAnsi="Arial" w:cs="Arial"/>
          <w:b/>
          <w:szCs w:val="22"/>
          <w:lang w:val="it-IT"/>
        </w:rPr>
        <w:t xml:space="preserve"> e </w:t>
      </w:r>
      <w:r w:rsidRPr="00700208">
        <w:rPr>
          <w:rFonts w:ascii="Arial" w:hAnsi="Arial" w:cs="Arial"/>
          <w:b/>
          <w:szCs w:val="22"/>
          <w:lang w:val="it-IT"/>
        </w:rPr>
        <w:t xml:space="preserve">2.200 </w:t>
      </w:r>
      <w:r w:rsidR="003C337E">
        <w:rPr>
          <w:rFonts w:ascii="Arial" w:hAnsi="Arial" w:cs="Arial"/>
          <w:b/>
          <w:szCs w:val="22"/>
          <w:lang w:val="it-IT"/>
        </w:rPr>
        <w:t xml:space="preserve">le </w:t>
      </w:r>
      <w:r w:rsidRPr="00700208">
        <w:rPr>
          <w:rFonts w:ascii="Arial" w:hAnsi="Arial" w:cs="Arial"/>
          <w:b/>
          <w:szCs w:val="22"/>
          <w:lang w:val="it-IT"/>
        </w:rPr>
        <w:t>camere compravendute</w:t>
      </w:r>
    </w:p>
    <w:p w:rsidR="00E776E4" w:rsidRPr="00E776E4" w:rsidRDefault="00E776E4" w:rsidP="00824FF6">
      <w:pPr>
        <w:pStyle w:val="Paragrafoelenco"/>
        <w:numPr>
          <w:ilvl w:val="0"/>
          <w:numId w:val="7"/>
        </w:numPr>
        <w:spacing w:after="180" w:line="276" w:lineRule="auto"/>
        <w:ind w:left="714" w:hanging="357"/>
        <w:contextualSpacing w:val="0"/>
        <w:rPr>
          <w:rFonts w:ascii="Arial" w:hAnsi="Arial" w:cs="Arial"/>
          <w:b/>
          <w:szCs w:val="22"/>
          <w:lang w:val="it-IT"/>
        </w:rPr>
      </w:pPr>
      <w:r w:rsidRPr="00E776E4">
        <w:rPr>
          <w:rFonts w:ascii="Arial" w:hAnsi="Arial" w:cs="Arial"/>
          <w:b/>
          <w:szCs w:val="22"/>
          <w:lang w:val="it-IT"/>
        </w:rPr>
        <w:t>Tre quarti degli investimenti (78%) si sono concentrati nei 4 mercati principali (Roma, Milano, Venezia, Firenze)</w:t>
      </w:r>
    </w:p>
    <w:p w:rsidR="00E776E4" w:rsidRPr="002D374D" w:rsidRDefault="002D374D" w:rsidP="00824FF6">
      <w:pPr>
        <w:pStyle w:val="Paragrafoelenco"/>
        <w:numPr>
          <w:ilvl w:val="0"/>
          <w:numId w:val="7"/>
        </w:numPr>
        <w:spacing w:after="180" w:line="276" w:lineRule="auto"/>
        <w:ind w:left="714" w:hanging="357"/>
        <w:contextualSpacing w:val="0"/>
        <w:rPr>
          <w:rFonts w:ascii="Arial" w:hAnsi="Arial" w:cs="Arial"/>
          <w:b/>
          <w:szCs w:val="22"/>
          <w:lang w:val="it-IT"/>
        </w:rPr>
      </w:pPr>
      <w:r w:rsidRPr="002D374D">
        <w:rPr>
          <w:rFonts w:ascii="Arial" w:hAnsi="Arial" w:cs="Arial"/>
          <w:b/>
          <w:szCs w:val="22"/>
          <w:lang w:val="it-IT"/>
        </w:rPr>
        <w:t xml:space="preserve">Venezia è </w:t>
      </w:r>
      <w:r w:rsidR="003C337E">
        <w:rPr>
          <w:rFonts w:ascii="Arial" w:hAnsi="Arial" w:cs="Arial"/>
          <w:b/>
          <w:szCs w:val="22"/>
          <w:lang w:val="it-IT"/>
        </w:rPr>
        <w:t>la città con il valore d’</w:t>
      </w:r>
      <w:r w:rsidRPr="002D374D">
        <w:rPr>
          <w:rFonts w:ascii="Arial" w:hAnsi="Arial" w:cs="Arial"/>
          <w:b/>
          <w:szCs w:val="22"/>
          <w:lang w:val="it-IT"/>
        </w:rPr>
        <w:t>investimento per camera più elevato (</w:t>
      </w:r>
      <w:r>
        <w:rPr>
          <w:rFonts w:ascii="Arial" w:hAnsi="Arial" w:cs="Arial"/>
          <w:b/>
          <w:szCs w:val="22"/>
          <w:lang w:val="it-IT"/>
        </w:rPr>
        <w:t>500.000 euro)</w:t>
      </w:r>
    </w:p>
    <w:p w:rsidR="00E776E4" w:rsidRPr="00E776E4" w:rsidRDefault="00E776E4" w:rsidP="00A52C62">
      <w:pPr>
        <w:pStyle w:val="Paragrafoelenco"/>
        <w:numPr>
          <w:ilvl w:val="0"/>
          <w:numId w:val="7"/>
        </w:numPr>
        <w:spacing w:before="360" w:after="160" w:line="276" w:lineRule="auto"/>
        <w:rPr>
          <w:rFonts w:ascii="Arial" w:hAnsi="Arial" w:cs="Arial"/>
          <w:b/>
          <w:szCs w:val="22"/>
          <w:lang w:val="it-IT"/>
        </w:rPr>
      </w:pPr>
      <w:r w:rsidRPr="00E776E4">
        <w:rPr>
          <w:rFonts w:ascii="Arial" w:hAnsi="Arial" w:cs="Arial"/>
          <w:b/>
          <w:szCs w:val="22"/>
          <w:lang w:val="it-IT"/>
        </w:rPr>
        <w:t xml:space="preserve">Gli investitori internazionali </w:t>
      </w:r>
      <w:r w:rsidR="00CF125C">
        <w:rPr>
          <w:rFonts w:ascii="Arial" w:hAnsi="Arial" w:cs="Arial"/>
          <w:b/>
          <w:szCs w:val="22"/>
          <w:lang w:val="it-IT"/>
        </w:rPr>
        <w:t>sono quelli più attivi (</w:t>
      </w:r>
      <w:r w:rsidRPr="00E776E4">
        <w:rPr>
          <w:rFonts w:ascii="Arial" w:hAnsi="Arial" w:cs="Arial"/>
          <w:b/>
          <w:szCs w:val="22"/>
          <w:lang w:val="it-IT"/>
        </w:rPr>
        <w:t>53%</w:t>
      </w:r>
      <w:r w:rsidR="00CF125C">
        <w:rPr>
          <w:rFonts w:ascii="Arial" w:hAnsi="Arial" w:cs="Arial"/>
          <w:b/>
          <w:szCs w:val="22"/>
          <w:lang w:val="it-IT"/>
        </w:rPr>
        <w:t xml:space="preserve"> </w:t>
      </w:r>
      <w:r w:rsidR="0096516D">
        <w:rPr>
          <w:rFonts w:ascii="Arial" w:hAnsi="Arial" w:cs="Arial"/>
          <w:b/>
          <w:szCs w:val="22"/>
          <w:lang w:val="it-IT"/>
        </w:rPr>
        <w:t>degli investimenti)</w:t>
      </w:r>
    </w:p>
    <w:p w:rsidR="00EA0664" w:rsidRDefault="00176C99" w:rsidP="00824FF6">
      <w:pPr>
        <w:spacing w:before="480"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29</w:t>
      </w:r>
      <w:r w:rsidR="00C431E8" w:rsidRPr="00C1505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>gennaio</w:t>
      </w:r>
      <w:r w:rsidR="00C431E8" w:rsidRPr="00C1505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E1023F" w:rsidRPr="00C1505E">
        <w:rPr>
          <w:rFonts w:ascii="Arial" w:hAnsi="Arial" w:cs="Arial"/>
          <w:sz w:val="22"/>
          <w:szCs w:val="22"/>
          <w:shd w:val="clear" w:color="auto" w:fill="FFFFFF"/>
          <w:lang w:val="it-IT"/>
        </w:rPr>
        <w:t>2018.</w:t>
      </w:r>
      <w:r w:rsidR="00E1023F" w:rsidRPr="00C1505E">
        <w:rPr>
          <w:rFonts w:ascii="Arial" w:eastAsia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475F4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Dopo </w:t>
      </w:r>
      <w:r w:rsidR="00475F44" w:rsidRP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>3 anni consecutivi di crescita</w:t>
      </w:r>
      <w:r w:rsidR="00475F4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nel 2018 </w:t>
      </w:r>
      <w:r w:rsidR="00475F44">
        <w:rPr>
          <w:rFonts w:ascii="Arial" w:hAnsi="Arial" w:cs="Arial"/>
          <w:sz w:val="22"/>
          <w:szCs w:val="22"/>
          <w:shd w:val="clear" w:color="auto" w:fill="FFFFFF"/>
          <w:lang w:val="it-IT"/>
        </w:rPr>
        <w:t>i</w:t>
      </w:r>
      <w:r w:rsidR="00EA0664" w:rsidRPr="00EA066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 mercato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>immobiliare alberghiero</w:t>
      </w:r>
      <w:r w:rsidR="00EA0664" w:rsidRPr="00EA066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>nel nostro p</w:t>
      </w:r>
      <w:r w:rsidR="006760A5">
        <w:rPr>
          <w:rFonts w:ascii="Arial" w:hAnsi="Arial" w:cs="Arial"/>
          <w:sz w:val="22"/>
          <w:szCs w:val="22"/>
          <w:shd w:val="clear" w:color="auto" w:fill="FFFFFF"/>
          <w:lang w:val="it-IT"/>
        </w:rPr>
        <w:t>aese</w:t>
      </w:r>
      <w:r w:rsidR="00256C37" w:rsidRP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>h</w:t>
      </w:r>
      <w:r w:rsidR="006760A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>fatto registrare</w:t>
      </w:r>
      <w:r w:rsidR="006760A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una 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lieve </w:t>
      </w:r>
      <w:r w:rsidR="00256C37">
        <w:rPr>
          <w:rFonts w:ascii="Arial" w:hAnsi="Arial" w:cs="Arial"/>
          <w:sz w:val="22"/>
          <w:szCs w:val="22"/>
          <w:shd w:val="clear" w:color="auto" w:fill="FFFFFF"/>
          <w:lang w:val="it-IT"/>
        </w:rPr>
        <w:t>flessione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>del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volume complessivo degli investimenti 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rispetto al 2017 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>(1,3</w:t>
      </w:r>
      <w:r w:rsidR="00A81E02" w:rsidRPr="00EA066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miliardi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 euro contro 1,6), anno record</w:t>
      </w:r>
      <w:r w:rsidR="00A408A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delle transazioni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>. A</w:t>
      </w:r>
      <w:bookmarkStart w:id="0" w:name="_GoBack"/>
      <w:bookmarkEnd w:id="0"/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>llo stesso tempo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nel 2018 il numero delle </w:t>
      </w:r>
      <w:r w:rsidR="00254388">
        <w:rPr>
          <w:rFonts w:ascii="Arial" w:hAnsi="Arial" w:cs="Arial"/>
          <w:sz w:val="22"/>
          <w:szCs w:val="22"/>
          <w:shd w:val="clear" w:color="auto" w:fill="FFFFFF"/>
          <w:lang w:val="it-IT"/>
        </w:rPr>
        <w:t>compravendite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è aumentato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: 58 transazioni (contro le 47 del 2017) e </w:t>
      </w:r>
      <w:r w:rsidR="00824FF6" w:rsidRPr="00824FF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circa </w:t>
      </w:r>
      <w:r w:rsidR="00824FF6">
        <w:rPr>
          <w:rFonts w:ascii="Arial" w:hAnsi="Arial" w:cs="Arial"/>
          <w:sz w:val="22"/>
          <w:szCs w:val="22"/>
          <w:shd w:val="clear" w:color="auto" w:fill="FFFFFF"/>
          <w:lang w:val="it-IT"/>
        </w:rPr>
        <w:t>7.400</w:t>
      </w:r>
      <w:r w:rsidR="0096516D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camere d'albergo </w:t>
      </w:r>
      <w:r w:rsidR="00824FF6" w:rsidRPr="00824FF6">
        <w:rPr>
          <w:rFonts w:ascii="Arial" w:hAnsi="Arial" w:cs="Arial"/>
          <w:sz w:val="22"/>
          <w:szCs w:val="22"/>
          <w:shd w:val="clear" w:color="auto" w:fill="FFFFFF"/>
          <w:lang w:val="it-IT"/>
        </w:rPr>
        <w:t>vendute</w:t>
      </w:r>
      <w:r w:rsidR="00A81E02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  <w:r w:rsidR="00475F4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>E’ quanto emerge dallo studio di EY “</w:t>
      </w:r>
      <w:r w:rsidR="00913286"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Italy Hotel </w:t>
      </w:r>
      <w:proofErr w:type="spellStart"/>
      <w:r w:rsidR="00913286"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investment</w:t>
      </w:r>
      <w:proofErr w:type="spellEnd"/>
      <w:r w:rsidR="00913286"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913286"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snapshot</w:t>
      </w:r>
      <w:proofErr w:type="spellEnd"/>
      <w:r w:rsidR="00913286"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 201</w:t>
      </w:r>
      <w:r w:rsidR="00475F44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8</w:t>
      </w:r>
      <w:r w:rsid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>”</w:t>
      </w:r>
      <w:r w:rsidR="00F93508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che fotografa le </w:t>
      </w:r>
      <w:r w:rsidR="00913286" w:rsidRP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>performance</w:t>
      </w:r>
      <w:r w:rsid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del </w:t>
      </w:r>
      <w:r w:rsidR="00913286" w:rsidRP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>mercato alberghiero italiano</w:t>
      </w:r>
      <w:r w:rsidR="0091328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e traccia </w:t>
      </w:r>
      <w:r w:rsidR="00596615">
        <w:rPr>
          <w:rFonts w:ascii="Arial" w:hAnsi="Arial" w:cs="Arial"/>
          <w:sz w:val="22"/>
          <w:szCs w:val="22"/>
          <w:shd w:val="clear" w:color="auto" w:fill="FFFFFF"/>
          <w:lang w:val="it-IT"/>
        </w:rPr>
        <w:t>il trend degli investimenti nel settore.</w:t>
      </w:r>
    </w:p>
    <w:p w:rsidR="00475F44" w:rsidRPr="00824FF6" w:rsidRDefault="008F1770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Marco </w:t>
      </w:r>
      <w:proofErr w:type="spellStart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Zalamena</w:t>
      </w:r>
      <w:proofErr w:type="spellEnd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, Head </w:t>
      </w:r>
      <w:proofErr w:type="spellStart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of</w:t>
      </w:r>
      <w:proofErr w:type="spellEnd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Hospitality</w:t>
      </w:r>
      <w:proofErr w:type="spellEnd"/>
      <w:r w:rsidRPr="008F1770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 di EY </w:t>
      </w:r>
      <w:r w:rsidRPr="008F1770">
        <w:rPr>
          <w:rFonts w:ascii="Arial" w:hAnsi="Arial" w:cs="Arial"/>
          <w:sz w:val="22"/>
          <w:szCs w:val="22"/>
          <w:shd w:val="clear" w:color="auto" w:fill="FFFFFF"/>
          <w:lang w:val="it-IT"/>
        </w:rPr>
        <w:t>dichiara: “</w:t>
      </w:r>
      <w:r w:rsidRPr="008F1770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I risultat</w:t>
      </w:r>
      <w:r w:rsidR="00BF732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i del nostro studio</w:t>
      </w:r>
      <w:r w:rsidR="00475F44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, in particolare l’aumento del numero di operazioni, cre</w:t>
      </w:r>
      <w:r w:rsidR="0079331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sciuto del 24</w:t>
      </w:r>
      <w:r w:rsidR="00475F44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% rispetto al 2017, </w:t>
      </w:r>
      <w:r w:rsidR="00BF732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confermano</w:t>
      </w:r>
      <w:r w:rsidR="00475F44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475F44" w:rsidRPr="00BF732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il costante interesse da parte degli investitori</w:t>
      </w:r>
      <w:r w:rsidR="00BF732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BF732D" w:rsidRPr="008F1770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internazionali e nazionali</w:t>
      </w:r>
      <w:r w:rsidR="00BF732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. </w:t>
      </w:r>
      <w:r w:rsidR="00254388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La lieve flessione del </w:t>
      </w:r>
      <w:r w:rsidR="002E112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volume</w:t>
      </w:r>
      <w:r w:rsidR="00254388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totale degli investimenti nel 2018 è dovuta </w:t>
      </w:r>
      <w:r w:rsidR="0096516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essenzialmente </w:t>
      </w:r>
      <w:r w:rsidR="007F500C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alla mancanza di deal di valore significativo</w:t>
      </w:r>
      <w:r w:rsidR="00254388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, ma </w:t>
      </w:r>
      <w:r w:rsidR="00A64769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il </w:t>
      </w:r>
      <w:r w:rsidR="00A64769" w:rsidRPr="008F1770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mercato alberghiero italiano</w:t>
      </w:r>
      <w:r w:rsidR="007363D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si conferma </w:t>
      </w:r>
      <w:r w:rsidR="002E112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solido,</w:t>
      </w:r>
      <w:r w:rsidR="007363D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vivace</w:t>
      </w:r>
      <w:r w:rsidR="002E112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e attrattivo</w:t>
      </w:r>
      <w:r w:rsidR="00824FF6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,</w:t>
      </w:r>
      <w:r w:rsidR="0096516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soprattutto nelle grandi città</w:t>
      </w:r>
      <w:r w:rsidR="00824FF6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come Roma,</w:t>
      </w:r>
      <w:r w:rsidR="007363D5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Milano, Venezia e Firenze</w:t>
      </w:r>
      <w:r w:rsidR="009100E1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, dove si </w:t>
      </w:r>
      <w:r w:rsidR="0096516D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è concentrato</w:t>
      </w:r>
      <w:r w:rsidR="00E004A9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E004A9" w:rsidRPr="00C21A02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quasi</w:t>
      </w:r>
      <w:r w:rsidR="009100E1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824FF6">
        <w:rPr>
          <w:rFonts w:ascii="Arial" w:hAnsi="Arial" w:cs="Arial"/>
          <w:i/>
          <w:iCs/>
          <w:sz w:val="22"/>
          <w:szCs w:val="22"/>
          <w:shd w:val="clear" w:color="auto" w:fill="FFFFFF"/>
          <w:lang w:val="it-IT"/>
        </w:rPr>
        <w:t>l’80% delle transazioni</w:t>
      </w:r>
      <w:r w:rsidR="00824FF6">
        <w:rPr>
          <w:rFonts w:ascii="Arial" w:hAnsi="Arial" w:cs="Arial"/>
          <w:iCs/>
          <w:sz w:val="22"/>
          <w:szCs w:val="22"/>
          <w:shd w:val="clear" w:color="auto" w:fill="FFFFFF"/>
          <w:lang w:val="it-IT"/>
        </w:rPr>
        <w:t>”.</w:t>
      </w:r>
    </w:p>
    <w:p w:rsidR="00643BCE" w:rsidRDefault="00643BCE" w:rsidP="00A52C62">
      <w:pPr>
        <w:spacing w:before="360"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:rsidR="00824FF6" w:rsidRDefault="00824FF6">
      <w:pPr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br w:type="page"/>
      </w:r>
    </w:p>
    <w:p w:rsidR="00824FF6" w:rsidRPr="00824FF6" w:rsidRDefault="00824FF6" w:rsidP="00824FF6">
      <w:pPr>
        <w:spacing w:before="360" w:after="160" w:line="276" w:lineRule="auto"/>
        <w:jc w:val="center"/>
        <w:rPr>
          <w:rFonts w:ascii="Arial" w:hAnsi="Arial" w:cs="Arial"/>
          <w:b/>
          <w:color w:val="767171" w:themeColor="background2" w:themeShade="80"/>
          <w:sz w:val="20"/>
          <w:szCs w:val="22"/>
          <w:shd w:val="clear" w:color="auto" w:fill="FFFFFF"/>
          <w:lang w:val="it-IT"/>
        </w:rPr>
      </w:pPr>
      <w:r w:rsidRPr="00824FF6">
        <w:rPr>
          <w:rFonts w:ascii="Arial" w:hAnsi="Arial" w:cs="Arial"/>
          <w:b/>
          <w:color w:val="767171" w:themeColor="background2" w:themeShade="80"/>
          <w:sz w:val="20"/>
          <w:szCs w:val="22"/>
          <w:shd w:val="clear" w:color="auto" w:fill="FFFFFF"/>
          <w:lang w:val="it-IT"/>
        </w:rPr>
        <w:lastRenderedPageBreak/>
        <w:t>Volume degli investimenti alberghieri in Italia</w:t>
      </w:r>
    </w:p>
    <w:p w:rsidR="00C97D5D" w:rsidRPr="00C1505E" w:rsidRDefault="00824FF6" w:rsidP="00824FF6">
      <w:pPr>
        <w:spacing w:before="360" w:after="160" w:line="276" w:lineRule="auto"/>
        <w:jc w:val="center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824FF6">
        <w:rPr>
          <w:rFonts w:ascii="Arial" w:hAnsi="Arial" w:cs="Arial"/>
          <w:noProof/>
          <w:sz w:val="22"/>
          <w:szCs w:val="22"/>
          <w:shd w:val="clear" w:color="auto" w:fill="FFFFFF"/>
          <w:lang w:val="it-IT" w:eastAsia="it-IT"/>
        </w:rPr>
        <w:drawing>
          <wp:inline distT="0" distB="0" distL="0" distR="0">
            <wp:extent cx="5111338" cy="2205991"/>
            <wp:effectExtent l="0" t="0" r="0" b="3810"/>
            <wp:docPr id="3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FFADF0C-81DF-4DE8-A553-C53BAC8C5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FFADF0C-81DF-4DE8-A553-C53BAC8C56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338" cy="22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598" w:rsidRDefault="00981598" w:rsidP="00A52C62">
      <w:pPr>
        <w:spacing w:before="360"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Dopo un</w:t>
      </w:r>
      <w:r w:rsidR="007F46FD" w:rsidRPr="005D108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2017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dominato dall’attività dei </w:t>
      </w:r>
      <w:r w:rsidR="007F46FD" w:rsidRPr="005D108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fondi internazionali di Private </w:t>
      </w:r>
      <w:proofErr w:type="spellStart"/>
      <w:r w:rsidR="007F46FD" w:rsidRPr="005D1084">
        <w:rPr>
          <w:rFonts w:ascii="Arial" w:hAnsi="Arial" w:cs="Arial"/>
          <w:sz w:val="22"/>
          <w:szCs w:val="22"/>
          <w:shd w:val="clear" w:color="auto" w:fill="FFFFFF"/>
          <w:lang w:val="it-IT"/>
        </w:rPr>
        <w:t>Equity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, a cui si doveva il 6</w:t>
      </w:r>
      <w:r w:rsidR="007F46FD" w:rsidRPr="005D1084">
        <w:rPr>
          <w:rFonts w:ascii="Arial" w:hAnsi="Arial" w:cs="Arial"/>
          <w:sz w:val="22"/>
          <w:szCs w:val="22"/>
          <w:shd w:val="clear" w:color="auto" w:fill="FFFFFF"/>
          <w:lang w:val="it-IT"/>
        </w:rPr>
        <w:t>7% degli investimenti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complessivi, il 2018 ha fatto registrare un mix più bilanciato nella tipologia d’investitori, con una leggera prevalenza degli investitori istituzionali, sia italiani sia internazionali. </w:t>
      </w:r>
    </w:p>
    <w:p w:rsidR="00643BCE" w:rsidRPr="00032288" w:rsidRDefault="00032288" w:rsidP="00A52C62">
      <w:pPr>
        <w:spacing w:before="360" w:after="160" w:line="276" w:lineRule="auto"/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  <w:r w:rsidRPr="00032288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Le destinazioni più richieste dagli investitori</w:t>
      </w:r>
    </w:p>
    <w:p w:rsidR="00032288" w:rsidRPr="00032288" w:rsidRDefault="00182BB2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Nel 2018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>Roma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con 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2.200 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camere d'albergo 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>compravendute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 un volume di transazioni pari a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500 milioni di euro, ha raccolto il 4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0% degli investimenti alberghieri, 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seguita da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Milano (17%), Venezia (11</w:t>
      </w:r>
      <w:r w:rsidR="00C21A0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%) 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Firenze (10</w:t>
      </w:r>
      <w:r w:rsid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>%)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Complessivamente in questi quattro mercati si </w:t>
      </w:r>
      <w:r w:rsidR="002A4D9E">
        <w:rPr>
          <w:rFonts w:ascii="Arial" w:hAnsi="Arial" w:cs="Arial"/>
          <w:sz w:val="22"/>
          <w:szCs w:val="22"/>
          <w:shd w:val="clear" w:color="auto" w:fill="FFFFFF"/>
          <w:lang w:val="it-IT"/>
        </w:rPr>
        <w:t>è concentrato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311DC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circa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l’80% degli investimenti complessivi. </w:t>
      </w:r>
    </w:p>
    <w:p w:rsidR="00643BCE" w:rsidRPr="00032288" w:rsidRDefault="00C80923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Venezia è </w:t>
      </w:r>
      <w:r w:rsidRPr="00C80923">
        <w:rPr>
          <w:rFonts w:ascii="Arial" w:hAnsi="Arial" w:cs="Arial"/>
          <w:sz w:val="22"/>
          <w:szCs w:val="22"/>
          <w:shd w:val="clear" w:color="auto" w:fill="FFFFFF"/>
          <w:lang w:val="it-IT"/>
        </w:rPr>
        <w:t>la città con il valore di investimento per camera più elevato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: in media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500.000 euro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per camera, seguita da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Milano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245.000 euro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per camera) e 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Roma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</w:t>
      </w:r>
      <w:r w:rsid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>230.000 euro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per </w:t>
      </w:r>
      <w:r w:rsidR="00032288" w:rsidRPr="00032288">
        <w:rPr>
          <w:rFonts w:ascii="Arial" w:hAnsi="Arial" w:cs="Arial"/>
          <w:sz w:val="22"/>
          <w:szCs w:val="22"/>
          <w:shd w:val="clear" w:color="auto" w:fill="FFFFFF"/>
          <w:lang w:val="it-IT"/>
        </w:rPr>
        <w:t>camera).</w:t>
      </w:r>
    </w:p>
    <w:p w:rsidR="009100E1" w:rsidRDefault="009100E1" w:rsidP="009100E1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Se le maggiori città italiane </w:t>
      </w:r>
      <w:r w:rsidR="002A4D9E">
        <w:rPr>
          <w:rFonts w:ascii="Arial" w:hAnsi="Arial" w:cs="Arial"/>
          <w:sz w:val="22"/>
          <w:szCs w:val="22"/>
          <w:shd w:val="clear" w:color="auto" w:fill="FFFFFF"/>
          <w:lang w:val="it-IT"/>
        </w:rPr>
        <w:t>hanno catalizzato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l’interesse de</w:t>
      </w:r>
      <w:r w:rsidR="008A25BE">
        <w:rPr>
          <w:rFonts w:ascii="Arial" w:hAnsi="Arial" w:cs="Arial"/>
          <w:sz w:val="22"/>
          <w:szCs w:val="22"/>
          <w:shd w:val="clear" w:color="auto" w:fill="FFFFFF"/>
          <w:lang w:val="it-IT"/>
        </w:rPr>
        <w:t>g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li investitori, nel </w:t>
      </w:r>
      <w:r w:rsidR="008A25B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2018 </w:t>
      </w:r>
      <w:r w:rsidRP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le destinazioni turistiche </w:t>
      </w:r>
      <w:r w:rsidR="002A4D9E">
        <w:rPr>
          <w:rFonts w:ascii="Arial" w:hAnsi="Arial" w:cs="Arial"/>
          <w:sz w:val="22"/>
          <w:szCs w:val="22"/>
          <w:shd w:val="clear" w:color="auto" w:fill="FFFFFF"/>
          <w:lang w:val="it-IT"/>
        </w:rPr>
        <w:t>hanno fatto</w:t>
      </w:r>
      <w:r w:rsidR="008A25B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registrare una diminuzione significativa</w:t>
      </w:r>
      <w:r w:rsidRPr="009100E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8A25B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sia nel numero sia nel valore complessivo delle transazioni, soprattutto per </w:t>
      </w:r>
      <w:r w:rsidR="0058190C">
        <w:rPr>
          <w:rFonts w:ascii="Arial" w:hAnsi="Arial" w:cs="Arial"/>
          <w:sz w:val="22"/>
          <w:szCs w:val="22"/>
          <w:shd w:val="clear" w:color="auto" w:fill="FFFFFF"/>
          <w:lang w:val="it-IT"/>
        </w:rPr>
        <w:t>la ridotta offerta di strutture di qualità</w:t>
      </w:r>
      <w:r w:rsidR="008A25B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</w:t>
      </w:r>
    </w:p>
    <w:p w:rsidR="005B459F" w:rsidRPr="00032288" w:rsidRDefault="005B459F" w:rsidP="00A52C62">
      <w:pPr>
        <w:spacing w:before="360" w:after="160" w:line="276" w:lineRule="auto"/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Prospettive per il 201</w:t>
      </w:r>
      <w:r w:rsidR="0058190C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9</w:t>
      </w:r>
      <w:r w:rsidR="00241A42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 </w:t>
      </w:r>
    </w:p>
    <w:p w:rsidR="00241A42" w:rsidRDefault="00600D76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Per</w:t>
      </w:r>
      <w:r w:rsid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2019, nonostante l’instabilità del quadro macroeconomico,</w:t>
      </w:r>
      <w:r w:rsidR="0036048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si prevede un andamento positivo del settore, sostenuto da</w:t>
      </w:r>
      <w:r w:rsidR="006C6BDA" w:rsidRPr="006C6BD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fondamentali solidi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e dal numero</w:t>
      </w:r>
      <w:r w:rsidR="00241A42" w:rsidRP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>significativ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o</w:t>
      </w:r>
      <w:r w:rsid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41A42" w:rsidRP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di vendite alberghiere avviate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nel 2018</w:t>
      </w:r>
      <w:r w:rsidR="002A4D9E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241A42" w:rsidRP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che dovrebbero essere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completate nella prima metà dell’anno in corso</w:t>
      </w:r>
      <w:r w:rsidR="00241A42" w:rsidRPr="00241A42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:rsidR="007F500C" w:rsidRDefault="006C6BDA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Conclude </w:t>
      </w:r>
      <w:r w:rsidRPr="00913286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Marco Zalamena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: “</w:t>
      </w:r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 xml:space="preserve">Sulla base delle nostre analisi stimiamo che, entro la fine del 2019, il volume totale degli investimenti possa superare i 2 miliardi di euro, una cifra a cui contribuisce sia la conclusione dell'acquisto di </w:t>
      </w:r>
      <w:proofErr w:type="spellStart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>Belmond</w:t>
      </w:r>
      <w:proofErr w:type="spellEnd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 xml:space="preserve"> Hotels and </w:t>
      </w:r>
      <w:proofErr w:type="spellStart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>Resorts</w:t>
      </w:r>
      <w:proofErr w:type="spellEnd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 xml:space="preserve"> da parte di </w:t>
      </w:r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lastRenderedPageBreak/>
        <w:t xml:space="preserve">LWMH sia la vendita, già in corso, di un numero significativo di hotel e strutture ricettive nelle principali città e destinazioni turistiche italiane. Ci attendiamo un'attività crescente da parte degli investitori internazionali, sia istituzionali sia di Private </w:t>
      </w:r>
      <w:proofErr w:type="spellStart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>Equity</w:t>
      </w:r>
      <w:proofErr w:type="spellEnd"/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 xml:space="preserve">, soprattutto sulle </w:t>
      </w:r>
      <w:r w:rsidR="002A4D9E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>operazioni</w:t>
      </w:r>
      <w:r w:rsidR="0039556F" w:rsidRPr="0039556F">
        <w:rPr>
          <w:rFonts w:ascii="Arial" w:hAnsi="Arial" w:cs="Arial"/>
          <w:i/>
          <w:sz w:val="22"/>
          <w:szCs w:val="22"/>
          <w:shd w:val="clear" w:color="auto" w:fill="FFFFFF"/>
          <w:lang w:val="it-IT"/>
        </w:rPr>
        <w:t xml:space="preserve"> di maggior valore</w:t>
      </w:r>
      <w:r w:rsidR="0039556F">
        <w:rPr>
          <w:rFonts w:ascii="Arial" w:hAnsi="Arial" w:cs="Arial"/>
          <w:sz w:val="22"/>
          <w:szCs w:val="22"/>
          <w:shd w:val="clear" w:color="auto" w:fill="FFFFFF"/>
          <w:lang w:val="it-IT"/>
        </w:rPr>
        <w:t>”</w:t>
      </w:r>
      <w:r w:rsidR="0039556F" w:rsidRPr="0039556F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:rsidR="007F500C" w:rsidRDefault="007F500C" w:rsidP="00A52C62">
      <w:pPr>
        <w:spacing w:after="160" w:line="276" w:lineRule="auto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:rsidR="0092068C" w:rsidRPr="00772931" w:rsidRDefault="0092068C" w:rsidP="00A52C62">
      <w:pPr>
        <w:spacing w:line="276" w:lineRule="auto"/>
        <w:rPr>
          <w:rFonts w:ascii="Arial" w:eastAsiaTheme="minorHAnsi" w:hAnsi="Arial" w:cs="Arial"/>
          <w:szCs w:val="22"/>
          <w:lang w:val="it-IT" w:eastAsia="it-IT"/>
        </w:rPr>
      </w:pPr>
    </w:p>
    <w:p w:rsidR="002B1907" w:rsidRPr="00067195" w:rsidRDefault="0092068C" w:rsidP="00A52C62">
      <w:pPr>
        <w:spacing w:line="276" w:lineRule="auto"/>
        <w:rPr>
          <w:rFonts w:ascii="Arial" w:eastAsiaTheme="minorHAnsi" w:hAnsi="Arial" w:cs="Arial"/>
          <w:sz w:val="18"/>
          <w:szCs w:val="20"/>
          <w:lang w:val="it-IT" w:eastAsia="it-IT"/>
        </w:rPr>
      </w:pPr>
      <w:r w:rsidRPr="00772931">
        <w:rPr>
          <w:rFonts w:ascii="Arial" w:eastAsiaTheme="minorHAnsi" w:hAnsi="Arial" w:cs="Arial"/>
          <w:sz w:val="18"/>
          <w:szCs w:val="20"/>
          <w:lang w:val="it-IT" w:eastAsia="it-IT"/>
        </w:rPr>
        <w:t xml:space="preserve"> </w:t>
      </w:r>
    </w:p>
    <w:sectPr w:rsidR="002B1907" w:rsidRPr="00067195" w:rsidSect="00643BCE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F8" w:rsidRDefault="008E25F8">
      <w:r>
        <w:separator/>
      </w:r>
    </w:p>
  </w:endnote>
  <w:endnote w:type="continuationSeparator" w:id="0">
    <w:p w:rsidR="008E25F8" w:rsidRDefault="008E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245884"/>
      <w:docPartObj>
        <w:docPartGallery w:val="Page Numbers (Bottom of Page)"/>
        <w:docPartUnique/>
      </w:docPartObj>
    </w:sdtPr>
    <w:sdtContent>
      <w:p w:rsidR="00824FF6" w:rsidRDefault="00A93F76">
        <w:pPr>
          <w:pStyle w:val="Pidipagina"/>
          <w:jc w:val="right"/>
        </w:pPr>
        <w:r w:rsidRPr="00824FF6">
          <w:rPr>
            <w:rFonts w:ascii="Arial" w:hAnsi="Arial" w:cs="Arial"/>
            <w:sz w:val="22"/>
          </w:rPr>
          <w:fldChar w:fldCharType="begin"/>
        </w:r>
        <w:r w:rsidR="00824FF6" w:rsidRPr="00824FF6">
          <w:rPr>
            <w:rFonts w:ascii="Arial" w:hAnsi="Arial" w:cs="Arial"/>
            <w:sz w:val="22"/>
          </w:rPr>
          <w:instrText>PAGE   \* MERGEFORMAT</w:instrText>
        </w:r>
        <w:r w:rsidRPr="00824FF6">
          <w:rPr>
            <w:rFonts w:ascii="Arial" w:hAnsi="Arial" w:cs="Arial"/>
            <w:sz w:val="22"/>
          </w:rPr>
          <w:fldChar w:fldCharType="separate"/>
        </w:r>
        <w:r w:rsidR="0042531F" w:rsidRPr="0042531F">
          <w:rPr>
            <w:rFonts w:ascii="Arial" w:hAnsi="Arial" w:cs="Arial"/>
            <w:noProof/>
            <w:sz w:val="22"/>
            <w:lang w:val="it-IT"/>
          </w:rPr>
          <w:t>1</w:t>
        </w:r>
        <w:r w:rsidRPr="00824FF6">
          <w:rPr>
            <w:rFonts w:ascii="Arial" w:hAnsi="Arial" w:cs="Arial"/>
            <w:sz w:val="22"/>
          </w:rPr>
          <w:fldChar w:fldCharType="end"/>
        </w:r>
      </w:p>
    </w:sdtContent>
  </w:sdt>
  <w:p w:rsidR="00824FF6" w:rsidRDefault="00824F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F8" w:rsidRDefault="008E25F8">
      <w:r>
        <w:separator/>
      </w:r>
    </w:p>
  </w:footnote>
  <w:footnote w:type="continuationSeparator" w:id="0">
    <w:p w:rsidR="008E25F8" w:rsidRDefault="008E2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E8" w:rsidRDefault="00C431E8" w:rsidP="00C431E8">
    <w:pPr>
      <w:pStyle w:val="Intestazione"/>
      <w:rPr>
        <w:sz w:val="32"/>
      </w:rPr>
    </w:pPr>
  </w:p>
  <w:p w:rsidR="00C431E8" w:rsidRDefault="00C431E8" w:rsidP="00C431E8">
    <w:pPr>
      <w:pStyle w:val="Intestazione"/>
      <w:rPr>
        <w:sz w:val="32"/>
      </w:rPr>
    </w:pPr>
  </w:p>
  <w:p w:rsidR="00C431E8" w:rsidRDefault="00C431E8" w:rsidP="00C431E8">
    <w:pPr>
      <w:pStyle w:val="Intestazione"/>
      <w:rPr>
        <w:sz w:val="32"/>
      </w:rPr>
    </w:pPr>
  </w:p>
  <w:p w:rsidR="00C431E8" w:rsidRDefault="00C431E8" w:rsidP="00C431E8">
    <w:pPr>
      <w:pStyle w:val="Intestazione"/>
      <w:rPr>
        <w:sz w:val="32"/>
      </w:rPr>
    </w:pPr>
  </w:p>
  <w:p w:rsidR="002B1907" w:rsidRPr="00C431E8" w:rsidRDefault="00C431E8" w:rsidP="00C431E8">
    <w:pPr>
      <w:pStyle w:val="Intestazione"/>
      <w:rPr>
        <w:sz w:val="32"/>
      </w:rPr>
    </w:pPr>
    <w:r w:rsidRPr="006066B6">
      <w:rPr>
        <w:noProof/>
        <w:sz w:val="32"/>
        <w:lang w:val="it-IT" w:eastAsia="it-IT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172085</wp:posOffset>
          </wp:positionV>
          <wp:extent cx="871220" cy="1021080"/>
          <wp:effectExtent l="0" t="0" r="508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6EF"/>
    <w:multiLevelType w:val="hybridMultilevel"/>
    <w:tmpl w:val="FBF0AC20"/>
    <w:lvl w:ilvl="0" w:tplc="EA3A49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705C"/>
    <w:multiLevelType w:val="hybridMultilevel"/>
    <w:tmpl w:val="92D46A76"/>
    <w:lvl w:ilvl="0" w:tplc="AB06A944">
      <w:start w:val="1"/>
      <w:numFmt w:val="bullet"/>
      <w:lvlText w:val=""/>
      <w:lvlJc w:val="left"/>
      <w:pPr>
        <w:ind w:left="1077" w:hanging="360"/>
      </w:pPr>
      <w:rPr>
        <w:rFonts w:ascii="Wingdings 3" w:hAnsi="Wingdings 3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085548C"/>
    <w:multiLevelType w:val="hybridMultilevel"/>
    <w:tmpl w:val="6FC2C446"/>
    <w:lvl w:ilvl="0" w:tplc="AB06A944">
      <w:start w:val="1"/>
      <w:numFmt w:val="bullet"/>
      <w:lvlText w:val=""/>
      <w:lvlJc w:val="left"/>
      <w:pPr>
        <w:ind w:left="1077" w:hanging="360"/>
      </w:pPr>
      <w:rPr>
        <w:rFonts w:ascii="Wingdings 3" w:hAnsi="Wingdings 3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943CE6"/>
    <w:multiLevelType w:val="hybridMultilevel"/>
    <w:tmpl w:val="21CAA92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6EF2E72"/>
    <w:multiLevelType w:val="hybridMultilevel"/>
    <w:tmpl w:val="7AB628F2"/>
    <w:lvl w:ilvl="0" w:tplc="6078578E">
      <w:numFmt w:val="bullet"/>
      <w:lvlText w:val=""/>
      <w:lvlJc w:val="left"/>
      <w:pPr>
        <w:ind w:left="717" w:hanging="360"/>
      </w:pPr>
      <w:rPr>
        <w:rFonts w:ascii="Wingdings 3" w:eastAsia="Wingdings 3" w:hAnsi="Wingdings 3" w:cs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515E3B84"/>
    <w:multiLevelType w:val="hybridMultilevel"/>
    <w:tmpl w:val="F6EEBD56"/>
    <w:lvl w:ilvl="0" w:tplc="AB06A944">
      <w:start w:val="1"/>
      <w:numFmt w:val="bullet"/>
      <w:lvlText w:val=""/>
      <w:lvlJc w:val="left"/>
      <w:pPr>
        <w:ind w:left="1077" w:hanging="360"/>
      </w:pPr>
      <w:rPr>
        <w:rFonts w:ascii="Wingdings 3" w:hAnsi="Wingdings 3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F376E1B"/>
    <w:multiLevelType w:val="hybridMultilevel"/>
    <w:tmpl w:val="BF025188"/>
    <w:lvl w:ilvl="0" w:tplc="EA3A49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907"/>
    <w:rsid w:val="000064CD"/>
    <w:rsid w:val="0001272B"/>
    <w:rsid w:val="000243FC"/>
    <w:rsid w:val="000307C7"/>
    <w:rsid w:val="00032288"/>
    <w:rsid w:val="00065121"/>
    <w:rsid w:val="00067195"/>
    <w:rsid w:val="000A36C7"/>
    <w:rsid w:val="000F005B"/>
    <w:rsid w:val="00167067"/>
    <w:rsid w:val="00176C99"/>
    <w:rsid w:val="00182BB2"/>
    <w:rsid w:val="001B376E"/>
    <w:rsid w:val="001D341A"/>
    <w:rsid w:val="001D46C5"/>
    <w:rsid w:val="00203311"/>
    <w:rsid w:val="00204A00"/>
    <w:rsid w:val="00230D36"/>
    <w:rsid w:val="00241A42"/>
    <w:rsid w:val="00254388"/>
    <w:rsid w:val="00256C37"/>
    <w:rsid w:val="00280B09"/>
    <w:rsid w:val="002A4D9E"/>
    <w:rsid w:val="002A6F2C"/>
    <w:rsid w:val="002B1907"/>
    <w:rsid w:val="002C20E6"/>
    <w:rsid w:val="002C4067"/>
    <w:rsid w:val="002D374D"/>
    <w:rsid w:val="002E1125"/>
    <w:rsid w:val="00311DCF"/>
    <w:rsid w:val="00327F50"/>
    <w:rsid w:val="0033486B"/>
    <w:rsid w:val="00337F0F"/>
    <w:rsid w:val="003453B5"/>
    <w:rsid w:val="00360482"/>
    <w:rsid w:val="0036688A"/>
    <w:rsid w:val="00367BDB"/>
    <w:rsid w:val="0039556F"/>
    <w:rsid w:val="003C337E"/>
    <w:rsid w:val="003E76A0"/>
    <w:rsid w:val="0042531F"/>
    <w:rsid w:val="004502C6"/>
    <w:rsid w:val="004754B4"/>
    <w:rsid w:val="00475F44"/>
    <w:rsid w:val="00485413"/>
    <w:rsid w:val="004A20E9"/>
    <w:rsid w:val="004C4A30"/>
    <w:rsid w:val="004C6307"/>
    <w:rsid w:val="004F0035"/>
    <w:rsid w:val="00500997"/>
    <w:rsid w:val="00525464"/>
    <w:rsid w:val="00531B69"/>
    <w:rsid w:val="00531F43"/>
    <w:rsid w:val="0056554C"/>
    <w:rsid w:val="0058190C"/>
    <w:rsid w:val="0058410D"/>
    <w:rsid w:val="00596615"/>
    <w:rsid w:val="005B459F"/>
    <w:rsid w:val="005D1084"/>
    <w:rsid w:val="00600D76"/>
    <w:rsid w:val="00603536"/>
    <w:rsid w:val="00643BCE"/>
    <w:rsid w:val="006736C7"/>
    <w:rsid w:val="006760A5"/>
    <w:rsid w:val="0069311B"/>
    <w:rsid w:val="006C6BDA"/>
    <w:rsid w:val="006D0E6A"/>
    <w:rsid w:val="006D3745"/>
    <w:rsid w:val="00700208"/>
    <w:rsid w:val="007148BD"/>
    <w:rsid w:val="00721D26"/>
    <w:rsid w:val="00722ADF"/>
    <w:rsid w:val="00722B16"/>
    <w:rsid w:val="007309FF"/>
    <w:rsid w:val="007363D5"/>
    <w:rsid w:val="0075223E"/>
    <w:rsid w:val="00772931"/>
    <w:rsid w:val="0079038C"/>
    <w:rsid w:val="0079331D"/>
    <w:rsid w:val="007D3227"/>
    <w:rsid w:val="007F46FD"/>
    <w:rsid w:val="007F500C"/>
    <w:rsid w:val="00805B35"/>
    <w:rsid w:val="00815A09"/>
    <w:rsid w:val="00824FF6"/>
    <w:rsid w:val="008444D0"/>
    <w:rsid w:val="008533A6"/>
    <w:rsid w:val="008A096E"/>
    <w:rsid w:val="008A25BE"/>
    <w:rsid w:val="008B4B47"/>
    <w:rsid w:val="008C0178"/>
    <w:rsid w:val="008E19D4"/>
    <w:rsid w:val="008E2149"/>
    <w:rsid w:val="008E25F8"/>
    <w:rsid w:val="008E6EA5"/>
    <w:rsid w:val="008E7248"/>
    <w:rsid w:val="008F1770"/>
    <w:rsid w:val="008F61B6"/>
    <w:rsid w:val="009035AD"/>
    <w:rsid w:val="009100E1"/>
    <w:rsid w:val="00913286"/>
    <w:rsid w:val="00914CA4"/>
    <w:rsid w:val="009163FF"/>
    <w:rsid w:val="0092068C"/>
    <w:rsid w:val="00926C93"/>
    <w:rsid w:val="0096125E"/>
    <w:rsid w:val="00962457"/>
    <w:rsid w:val="0096254D"/>
    <w:rsid w:val="0096516D"/>
    <w:rsid w:val="00972782"/>
    <w:rsid w:val="00976D2F"/>
    <w:rsid w:val="00981598"/>
    <w:rsid w:val="009973C9"/>
    <w:rsid w:val="009A2360"/>
    <w:rsid w:val="009A2B86"/>
    <w:rsid w:val="009E7D99"/>
    <w:rsid w:val="009F057A"/>
    <w:rsid w:val="00A026AD"/>
    <w:rsid w:val="00A110BD"/>
    <w:rsid w:val="00A225A5"/>
    <w:rsid w:val="00A32FB4"/>
    <w:rsid w:val="00A408A6"/>
    <w:rsid w:val="00A52C62"/>
    <w:rsid w:val="00A62EAA"/>
    <w:rsid w:val="00A64769"/>
    <w:rsid w:val="00A73A2A"/>
    <w:rsid w:val="00A81E02"/>
    <w:rsid w:val="00A81F72"/>
    <w:rsid w:val="00A93F76"/>
    <w:rsid w:val="00AA1362"/>
    <w:rsid w:val="00AA46FF"/>
    <w:rsid w:val="00AB3DB4"/>
    <w:rsid w:val="00B05118"/>
    <w:rsid w:val="00B14A33"/>
    <w:rsid w:val="00B23BC4"/>
    <w:rsid w:val="00B43DBA"/>
    <w:rsid w:val="00B452B5"/>
    <w:rsid w:val="00B93254"/>
    <w:rsid w:val="00BD2DD2"/>
    <w:rsid w:val="00BD5360"/>
    <w:rsid w:val="00BF422B"/>
    <w:rsid w:val="00BF732D"/>
    <w:rsid w:val="00C1505E"/>
    <w:rsid w:val="00C21A02"/>
    <w:rsid w:val="00C431E8"/>
    <w:rsid w:val="00C75E9B"/>
    <w:rsid w:val="00C80923"/>
    <w:rsid w:val="00C97747"/>
    <w:rsid w:val="00C97D5D"/>
    <w:rsid w:val="00CA6269"/>
    <w:rsid w:val="00CC248D"/>
    <w:rsid w:val="00CC5A1E"/>
    <w:rsid w:val="00CE4B1B"/>
    <w:rsid w:val="00CE7EFA"/>
    <w:rsid w:val="00CF0F63"/>
    <w:rsid w:val="00CF125C"/>
    <w:rsid w:val="00D22EF9"/>
    <w:rsid w:val="00D235BE"/>
    <w:rsid w:val="00D252AF"/>
    <w:rsid w:val="00D31B2D"/>
    <w:rsid w:val="00D32986"/>
    <w:rsid w:val="00D71904"/>
    <w:rsid w:val="00D855F8"/>
    <w:rsid w:val="00DB2FD9"/>
    <w:rsid w:val="00DE7921"/>
    <w:rsid w:val="00DF6807"/>
    <w:rsid w:val="00E004A9"/>
    <w:rsid w:val="00E1023F"/>
    <w:rsid w:val="00E2093F"/>
    <w:rsid w:val="00E2107C"/>
    <w:rsid w:val="00E236FB"/>
    <w:rsid w:val="00E34DFB"/>
    <w:rsid w:val="00E405BA"/>
    <w:rsid w:val="00E776E4"/>
    <w:rsid w:val="00EA0664"/>
    <w:rsid w:val="00EA688A"/>
    <w:rsid w:val="00EA6F1E"/>
    <w:rsid w:val="00EC23B1"/>
    <w:rsid w:val="00EC46CE"/>
    <w:rsid w:val="00EC5244"/>
    <w:rsid w:val="00EC79C8"/>
    <w:rsid w:val="00EE61B3"/>
    <w:rsid w:val="00F35FF4"/>
    <w:rsid w:val="00F41EF8"/>
    <w:rsid w:val="00F57E98"/>
    <w:rsid w:val="00F81135"/>
    <w:rsid w:val="00F93508"/>
    <w:rsid w:val="00FC219C"/>
    <w:rsid w:val="00FC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B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Titolo3">
    <w:name w:val="heading 3"/>
    <w:basedOn w:val="Normale"/>
    <w:next w:val="Normale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rsid w:val="00805B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F7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F7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6A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6AD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54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54D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43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1E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3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1E8"/>
    <w:rPr>
      <w:sz w:val="24"/>
      <w:szCs w:val="24"/>
    </w:rPr>
  </w:style>
  <w:style w:type="character" w:customStyle="1" w:styleId="EYBodytextwithparaspaceChar">
    <w:name w:val="EY Body text (with para space) Char"/>
    <w:basedOn w:val="Carpredefinitoparagrafo"/>
    <w:link w:val="EYBodytextwithparaspace"/>
    <w:rsid w:val="0092068C"/>
    <w:rPr>
      <w:rFonts w:ascii="Arial" w:hAnsi="Arial"/>
      <w:kern w:val="12"/>
      <w:szCs w:val="24"/>
    </w:rPr>
  </w:style>
  <w:style w:type="paragraph" w:customStyle="1" w:styleId="EYBodytextwithparaspace">
    <w:name w:val="EY Body text (with para space)"/>
    <w:basedOn w:val="Normale"/>
    <w:link w:val="EYBodytextwithparaspaceChar"/>
    <w:rsid w:val="0092068C"/>
    <w:pPr>
      <w:tabs>
        <w:tab w:val="left" w:pos="907"/>
      </w:tabs>
      <w:suppressAutoHyphens/>
      <w:spacing w:after="400" w:line="360" w:lineRule="auto"/>
    </w:pPr>
    <w:rPr>
      <w:rFonts w:ascii="Arial" w:hAnsi="Arial"/>
      <w:kern w:val="12"/>
      <w:sz w:val="20"/>
    </w:rPr>
  </w:style>
  <w:style w:type="paragraph" w:styleId="Paragrafoelenco">
    <w:name w:val="List Paragraph"/>
    <w:basedOn w:val="Normale"/>
    <w:uiPriority w:val="34"/>
    <w:qFormat/>
    <w:rsid w:val="00F8113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1135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Maher</dc:creator>
  <cp:lastModifiedBy>paola</cp:lastModifiedBy>
  <cp:revision>6</cp:revision>
  <cp:lastPrinted>2019-01-29T12:04:00Z</cp:lastPrinted>
  <dcterms:created xsi:type="dcterms:W3CDTF">2019-01-24T17:03:00Z</dcterms:created>
  <dcterms:modified xsi:type="dcterms:W3CDTF">2019-01-29T12:05:00Z</dcterms:modified>
</cp:coreProperties>
</file>