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868" w:rsidRPr="00681505" w:rsidRDefault="00E86868" w:rsidP="00E86868">
      <w:pPr>
        <w:jc w:val="center"/>
        <w:rPr>
          <w:rFonts w:ascii="Arial" w:hAnsi="Arial" w:cs="Arial"/>
          <w:b/>
          <w:lang w:val="it-IT"/>
        </w:rPr>
      </w:pPr>
      <w:r w:rsidRPr="00681505">
        <w:rPr>
          <w:rFonts w:ascii="Arial" w:hAnsi="Arial" w:cs="Arial"/>
          <w:b/>
          <w:lang w:val="it-IT"/>
        </w:rPr>
        <w:t xml:space="preserve">COIMA RES </w:t>
      </w:r>
      <w:r w:rsidR="00E42613" w:rsidRPr="00681505">
        <w:rPr>
          <w:rFonts w:ascii="Arial" w:hAnsi="Arial" w:cs="Arial"/>
          <w:b/>
          <w:lang w:val="it-IT"/>
        </w:rPr>
        <w:t>-</w:t>
      </w:r>
      <w:r w:rsidRPr="00681505">
        <w:rPr>
          <w:rFonts w:ascii="Arial" w:hAnsi="Arial" w:cs="Arial"/>
          <w:b/>
          <w:lang w:val="it-IT"/>
        </w:rPr>
        <w:t xml:space="preserve"> </w:t>
      </w:r>
      <w:r w:rsidR="00E42613" w:rsidRPr="00681505">
        <w:rPr>
          <w:rFonts w:ascii="Arial" w:hAnsi="Arial" w:cs="Arial"/>
          <w:b/>
          <w:lang w:val="it-IT"/>
        </w:rPr>
        <w:t>COMUNICATO STAMPA</w:t>
      </w:r>
    </w:p>
    <w:p w:rsidR="00647BEF" w:rsidRPr="00681505" w:rsidRDefault="00E42613" w:rsidP="00E86868">
      <w:pPr>
        <w:jc w:val="center"/>
        <w:rPr>
          <w:rFonts w:ascii="Arial" w:hAnsi="Arial" w:cs="Arial"/>
          <w:b/>
          <w:lang w:val="it-IT"/>
        </w:rPr>
      </w:pPr>
      <w:r w:rsidRPr="00681505">
        <w:rPr>
          <w:rFonts w:ascii="Arial" w:hAnsi="Arial" w:cs="Arial"/>
          <w:b/>
          <w:lang w:val="it-IT"/>
        </w:rPr>
        <w:t>RISULTATI FINAZIARI SOLIDI NEL</w:t>
      </w:r>
      <w:r w:rsidR="00E86868" w:rsidRPr="00681505">
        <w:rPr>
          <w:rFonts w:ascii="Arial" w:hAnsi="Arial" w:cs="Arial"/>
          <w:b/>
          <w:lang w:val="it-IT"/>
        </w:rPr>
        <w:t xml:space="preserve"> 2018</w:t>
      </w:r>
    </w:p>
    <w:p w:rsidR="00E86868" w:rsidRPr="00681505" w:rsidRDefault="00BE3430" w:rsidP="00E86868">
      <w:pPr>
        <w:jc w:val="center"/>
        <w:rPr>
          <w:rFonts w:ascii="Arial" w:hAnsi="Arial" w:cs="Arial"/>
          <w:b/>
          <w:lang w:val="it-IT"/>
        </w:rPr>
      </w:pPr>
      <w:r w:rsidRPr="00681505">
        <w:rPr>
          <w:rFonts w:ascii="Arial" w:hAnsi="Arial" w:cs="Arial"/>
          <w:b/>
          <w:lang w:val="it-IT"/>
        </w:rPr>
        <w:t>RETURN ON EQUITY</w:t>
      </w:r>
      <w:r w:rsidR="00E42613" w:rsidRPr="00681505">
        <w:rPr>
          <w:rFonts w:ascii="Arial" w:hAnsi="Arial" w:cs="Arial"/>
          <w:b/>
          <w:lang w:val="it-IT"/>
        </w:rPr>
        <w:t xml:space="preserve"> DEL 12%</w:t>
      </w:r>
      <w:r w:rsidR="00647BEF" w:rsidRPr="00681505">
        <w:rPr>
          <w:rFonts w:ascii="Arial" w:hAnsi="Arial" w:cs="Arial"/>
          <w:b/>
          <w:lang w:val="it-IT"/>
        </w:rPr>
        <w:t xml:space="preserve">, NAV </w:t>
      </w:r>
      <w:r w:rsidR="00525867">
        <w:rPr>
          <w:rFonts w:ascii="Arial" w:hAnsi="Arial" w:cs="Arial"/>
          <w:b/>
          <w:lang w:val="it-IT"/>
        </w:rPr>
        <w:t xml:space="preserve">PER </w:t>
      </w:r>
      <w:r w:rsidR="00E42613" w:rsidRPr="00681505">
        <w:rPr>
          <w:rFonts w:ascii="Arial" w:hAnsi="Arial" w:cs="Arial"/>
          <w:b/>
          <w:lang w:val="it-IT"/>
        </w:rPr>
        <w:t>AZIONE IN CRESCITA DEL 10%</w:t>
      </w:r>
    </w:p>
    <w:p w:rsidR="00175147" w:rsidRPr="00681505" w:rsidRDefault="00E42613" w:rsidP="00175147">
      <w:pPr>
        <w:jc w:val="center"/>
        <w:rPr>
          <w:rFonts w:ascii="Arial" w:hAnsi="Arial" w:cs="Arial"/>
          <w:b/>
          <w:lang w:val="it-IT"/>
        </w:rPr>
      </w:pPr>
      <w:r w:rsidRPr="00681505">
        <w:rPr>
          <w:rFonts w:ascii="Arial" w:hAnsi="Arial" w:cs="Arial"/>
          <w:b/>
          <w:lang w:val="it-IT"/>
        </w:rPr>
        <w:t>ROTAZIONE DEL PORTAFOGLIO CRISTALLIZZA IL VALORE</w:t>
      </w:r>
    </w:p>
    <w:p w:rsidR="00E86868" w:rsidRPr="00681505" w:rsidRDefault="00525867" w:rsidP="00E86868">
      <w:pPr>
        <w:jc w:val="center"/>
        <w:rPr>
          <w:rFonts w:ascii="Arial" w:hAnsi="Arial" w:cs="Arial"/>
          <w:b/>
          <w:lang w:val="it-IT"/>
        </w:rPr>
      </w:pPr>
      <w:r>
        <w:rPr>
          <w:rFonts w:ascii="Arial" w:hAnsi="Arial" w:cs="Arial"/>
          <w:b/>
          <w:lang w:val="it-IT"/>
        </w:rPr>
        <w:t xml:space="preserve">90% DEL </w:t>
      </w:r>
      <w:r w:rsidR="00E42613" w:rsidRPr="00681505">
        <w:rPr>
          <w:rFonts w:ascii="Arial" w:hAnsi="Arial" w:cs="Arial"/>
          <w:b/>
          <w:lang w:val="it-IT"/>
        </w:rPr>
        <w:t>PORTAFOGLIO A MILANO CON RILEVANTE COMPONENTE DI CRESCITA</w:t>
      </w:r>
    </w:p>
    <w:p w:rsidR="00E86868" w:rsidRPr="00681505" w:rsidRDefault="00E42613" w:rsidP="00E86868">
      <w:pPr>
        <w:jc w:val="center"/>
        <w:rPr>
          <w:rFonts w:ascii="Arial" w:hAnsi="Arial" w:cs="Arial"/>
          <w:b/>
          <w:lang w:val="it-IT"/>
        </w:rPr>
      </w:pPr>
      <w:r w:rsidRPr="00681505">
        <w:rPr>
          <w:rFonts w:ascii="Arial" w:hAnsi="Arial" w:cs="Arial"/>
          <w:b/>
          <w:lang w:val="it-IT"/>
        </w:rPr>
        <w:t xml:space="preserve">DIVIDENDO </w:t>
      </w:r>
      <w:r w:rsidR="00B7734A" w:rsidRPr="00681505">
        <w:rPr>
          <w:rFonts w:ascii="Arial" w:hAnsi="Arial" w:cs="Arial"/>
          <w:b/>
          <w:lang w:val="it-IT"/>
        </w:rPr>
        <w:t xml:space="preserve">2018 </w:t>
      </w:r>
      <w:r w:rsidR="00525867">
        <w:rPr>
          <w:rFonts w:ascii="Arial" w:hAnsi="Arial" w:cs="Arial"/>
          <w:b/>
          <w:lang w:val="it-IT"/>
        </w:rPr>
        <w:t>IN AUMENTO DELL’</w:t>
      </w:r>
      <w:r w:rsidR="0035143F" w:rsidRPr="00681505">
        <w:rPr>
          <w:rFonts w:ascii="Arial" w:hAnsi="Arial" w:cs="Arial"/>
          <w:b/>
          <w:lang w:val="it-IT"/>
        </w:rPr>
        <w:t xml:space="preserve">11% </w:t>
      </w:r>
      <w:r w:rsidRPr="00681505">
        <w:rPr>
          <w:rFonts w:ascii="Arial" w:hAnsi="Arial" w:cs="Arial"/>
          <w:b/>
          <w:lang w:val="it-IT"/>
        </w:rPr>
        <w:t>RISPETTO AL</w:t>
      </w:r>
      <w:r w:rsidR="00B7734A" w:rsidRPr="00681505">
        <w:rPr>
          <w:rFonts w:ascii="Arial" w:hAnsi="Arial" w:cs="Arial"/>
          <w:b/>
          <w:lang w:val="it-IT"/>
        </w:rPr>
        <w:t xml:space="preserve"> 2017 </w:t>
      </w:r>
      <w:r w:rsidRPr="00681505">
        <w:rPr>
          <w:rFonts w:ascii="Arial" w:hAnsi="Arial" w:cs="Arial"/>
          <w:b/>
          <w:lang w:val="it-IT"/>
        </w:rPr>
        <w:t>A</w:t>
      </w:r>
      <w:r w:rsidR="0052046F">
        <w:rPr>
          <w:rFonts w:ascii="Arial" w:hAnsi="Arial" w:cs="Arial"/>
          <w:b/>
          <w:lang w:val="it-IT"/>
        </w:rPr>
        <w:t>D</w:t>
      </w:r>
      <w:r w:rsidR="0035143F" w:rsidRPr="00681505">
        <w:rPr>
          <w:rFonts w:ascii="Arial" w:hAnsi="Arial" w:cs="Arial"/>
          <w:b/>
          <w:lang w:val="it-IT"/>
        </w:rPr>
        <w:t xml:space="preserve"> </w:t>
      </w:r>
      <w:r w:rsidR="00E86868" w:rsidRPr="00681505">
        <w:rPr>
          <w:rFonts w:ascii="Arial" w:hAnsi="Arial" w:cs="Arial"/>
          <w:b/>
          <w:lang w:val="it-IT"/>
        </w:rPr>
        <w:t xml:space="preserve">EURO </w:t>
      </w:r>
      <w:r w:rsidR="003201F5" w:rsidRPr="00681505">
        <w:rPr>
          <w:rFonts w:ascii="Arial" w:hAnsi="Arial" w:cs="Arial"/>
          <w:b/>
          <w:lang w:val="it-IT"/>
        </w:rPr>
        <w:t>0</w:t>
      </w:r>
      <w:r w:rsidRPr="00681505">
        <w:rPr>
          <w:rFonts w:ascii="Arial" w:hAnsi="Arial" w:cs="Arial"/>
          <w:b/>
          <w:lang w:val="it-IT"/>
        </w:rPr>
        <w:t>,</w:t>
      </w:r>
      <w:r w:rsidR="003201F5" w:rsidRPr="00681505">
        <w:rPr>
          <w:rFonts w:ascii="Arial" w:hAnsi="Arial" w:cs="Arial"/>
          <w:b/>
          <w:lang w:val="it-IT"/>
        </w:rPr>
        <w:t>30</w:t>
      </w:r>
      <w:r w:rsidR="00E86868" w:rsidRPr="00681505">
        <w:rPr>
          <w:rFonts w:ascii="Arial" w:hAnsi="Arial" w:cs="Arial"/>
          <w:b/>
          <w:lang w:val="it-IT"/>
        </w:rPr>
        <w:t xml:space="preserve"> PER </w:t>
      </w:r>
      <w:r w:rsidRPr="00681505">
        <w:rPr>
          <w:rFonts w:ascii="Arial" w:hAnsi="Arial" w:cs="Arial"/>
          <w:b/>
          <w:lang w:val="it-IT"/>
        </w:rPr>
        <w:t>AZIONE</w:t>
      </w:r>
    </w:p>
    <w:p w:rsidR="00E86868" w:rsidRPr="00681505" w:rsidRDefault="00E42613" w:rsidP="00E86868">
      <w:pPr>
        <w:jc w:val="center"/>
        <w:rPr>
          <w:rFonts w:ascii="Arial" w:hAnsi="Arial" w:cs="Arial"/>
          <w:b/>
          <w:lang w:val="it-IT"/>
        </w:rPr>
      </w:pPr>
      <w:r w:rsidRPr="00681505">
        <w:rPr>
          <w:rFonts w:ascii="Arial" w:hAnsi="Arial" w:cs="Arial"/>
          <w:b/>
          <w:lang w:val="it-IT"/>
        </w:rPr>
        <w:t>IL CONSIGLIO DI AMMINISTRAZIONE APPROVA I RISULTATI AL 31 DICEMBRE 2018</w:t>
      </w:r>
    </w:p>
    <w:p w:rsidR="00E86868" w:rsidRPr="00681505" w:rsidRDefault="00E86868" w:rsidP="00E86868">
      <w:pPr>
        <w:rPr>
          <w:rFonts w:ascii="Arial" w:hAnsi="Arial" w:cs="Arial"/>
          <w:b/>
          <w:lang w:val="it-IT"/>
        </w:rPr>
      </w:pPr>
    </w:p>
    <w:p w:rsidR="00E86868" w:rsidRPr="00681505" w:rsidRDefault="00E42613" w:rsidP="00954DB3">
      <w:pPr>
        <w:spacing w:after="0" w:line="240" w:lineRule="auto"/>
        <w:rPr>
          <w:rFonts w:ascii="Arial" w:hAnsi="Arial" w:cs="Arial"/>
          <w:b/>
          <w:lang w:val="it-IT"/>
        </w:rPr>
      </w:pPr>
      <w:r w:rsidRPr="00681505">
        <w:rPr>
          <w:rFonts w:ascii="Arial" w:hAnsi="Arial" w:cs="Arial"/>
          <w:b/>
          <w:lang w:val="it-IT"/>
        </w:rPr>
        <w:t>Risultati finanziari solidi nel</w:t>
      </w:r>
      <w:r w:rsidR="0035143F" w:rsidRPr="00681505">
        <w:rPr>
          <w:rFonts w:ascii="Arial" w:hAnsi="Arial" w:cs="Arial"/>
          <w:b/>
          <w:lang w:val="it-IT"/>
        </w:rPr>
        <w:t xml:space="preserve"> 2018</w:t>
      </w:r>
    </w:p>
    <w:p w:rsidR="00E86868" w:rsidRPr="00681505" w:rsidRDefault="00E42613" w:rsidP="00954DB3">
      <w:pPr>
        <w:pStyle w:val="Paragrafoelenco"/>
        <w:numPr>
          <w:ilvl w:val="0"/>
          <w:numId w:val="1"/>
        </w:numPr>
        <w:spacing w:after="0" w:line="240" w:lineRule="auto"/>
        <w:rPr>
          <w:rFonts w:ascii="Arial" w:hAnsi="Arial" w:cs="Arial"/>
          <w:lang w:val="it-IT"/>
        </w:rPr>
      </w:pPr>
      <w:r w:rsidRPr="00681505">
        <w:rPr>
          <w:rFonts w:ascii="Arial" w:hAnsi="Arial" w:cs="Arial"/>
          <w:lang w:val="it-IT"/>
        </w:rPr>
        <w:t>Canoni di locazione in crescita del</w:t>
      </w:r>
      <w:r w:rsidR="00E86868" w:rsidRPr="00681505">
        <w:rPr>
          <w:rFonts w:ascii="Arial" w:hAnsi="Arial" w:cs="Arial"/>
          <w:lang w:val="it-IT"/>
        </w:rPr>
        <w:t xml:space="preserve"> </w:t>
      </w:r>
      <w:r w:rsidR="00B7734A" w:rsidRPr="00681505">
        <w:rPr>
          <w:rFonts w:ascii="Arial" w:hAnsi="Arial" w:cs="Arial"/>
          <w:lang w:val="it-IT"/>
        </w:rPr>
        <w:t>5</w:t>
      </w:r>
      <w:r w:rsidRPr="00681505">
        <w:rPr>
          <w:rFonts w:ascii="Arial" w:hAnsi="Arial" w:cs="Arial"/>
          <w:lang w:val="it-IT"/>
        </w:rPr>
        <w:t>,</w:t>
      </w:r>
      <w:r w:rsidR="00B7734A" w:rsidRPr="00681505">
        <w:rPr>
          <w:rFonts w:ascii="Arial" w:hAnsi="Arial" w:cs="Arial"/>
          <w:lang w:val="it-IT"/>
        </w:rPr>
        <w:t>9</w:t>
      </w:r>
      <w:r w:rsidR="00E86868" w:rsidRPr="00681505">
        <w:rPr>
          <w:rFonts w:ascii="Arial" w:hAnsi="Arial" w:cs="Arial"/>
          <w:lang w:val="it-IT"/>
        </w:rPr>
        <w:t xml:space="preserve">% </w:t>
      </w:r>
      <w:r w:rsidRPr="00681505">
        <w:rPr>
          <w:rFonts w:ascii="Arial" w:hAnsi="Arial" w:cs="Arial"/>
          <w:lang w:val="it-IT"/>
        </w:rPr>
        <w:t>a</w:t>
      </w:r>
      <w:r w:rsidR="0002067B">
        <w:rPr>
          <w:rFonts w:ascii="Arial" w:hAnsi="Arial" w:cs="Arial"/>
          <w:lang w:val="it-IT"/>
        </w:rPr>
        <w:t>d</w:t>
      </w:r>
      <w:r w:rsidR="00E86868" w:rsidRPr="00681505">
        <w:rPr>
          <w:rFonts w:ascii="Arial" w:hAnsi="Arial" w:cs="Arial"/>
          <w:lang w:val="it-IT"/>
        </w:rPr>
        <w:t xml:space="preserve"> Euro </w:t>
      </w:r>
      <w:r w:rsidR="00B912BC" w:rsidRPr="00681505">
        <w:rPr>
          <w:rFonts w:ascii="Arial" w:hAnsi="Arial" w:cs="Arial"/>
          <w:lang w:val="it-IT"/>
        </w:rPr>
        <w:t>36</w:t>
      </w:r>
      <w:r w:rsidRPr="00681505">
        <w:rPr>
          <w:rFonts w:ascii="Arial" w:hAnsi="Arial" w:cs="Arial"/>
          <w:lang w:val="it-IT"/>
        </w:rPr>
        <w:t>,</w:t>
      </w:r>
      <w:r w:rsidR="00B912BC" w:rsidRPr="00681505">
        <w:rPr>
          <w:rFonts w:ascii="Arial" w:hAnsi="Arial" w:cs="Arial"/>
          <w:lang w:val="it-IT"/>
        </w:rPr>
        <w:t>3</w:t>
      </w:r>
      <w:r w:rsidRPr="00681505">
        <w:rPr>
          <w:rFonts w:ascii="Arial" w:hAnsi="Arial" w:cs="Arial"/>
          <w:lang w:val="it-IT"/>
        </w:rPr>
        <w:t xml:space="preserve"> mi</w:t>
      </w:r>
      <w:r w:rsidR="00E86868" w:rsidRPr="00681505">
        <w:rPr>
          <w:rFonts w:ascii="Arial" w:hAnsi="Arial" w:cs="Arial"/>
          <w:lang w:val="it-IT"/>
        </w:rPr>
        <w:t>lion</w:t>
      </w:r>
      <w:r w:rsidRPr="00681505">
        <w:rPr>
          <w:rFonts w:ascii="Arial" w:hAnsi="Arial" w:cs="Arial"/>
          <w:lang w:val="it-IT"/>
        </w:rPr>
        <w:t>i</w:t>
      </w:r>
    </w:p>
    <w:p w:rsidR="00E86868" w:rsidRPr="00681505" w:rsidRDefault="00E42613" w:rsidP="00954DB3">
      <w:pPr>
        <w:pStyle w:val="Paragrafoelenco"/>
        <w:numPr>
          <w:ilvl w:val="0"/>
          <w:numId w:val="1"/>
        </w:numPr>
        <w:spacing w:after="0" w:line="240" w:lineRule="auto"/>
        <w:rPr>
          <w:rFonts w:ascii="Arial" w:hAnsi="Arial" w:cs="Arial"/>
          <w:lang w:val="it-IT"/>
        </w:rPr>
      </w:pPr>
      <w:r w:rsidRPr="00681505">
        <w:rPr>
          <w:rFonts w:ascii="Arial" w:hAnsi="Arial" w:cs="Arial"/>
          <w:lang w:val="it-IT"/>
        </w:rPr>
        <w:t>Crescita dei canoni su base l</w:t>
      </w:r>
      <w:r w:rsidR="00E86868" w:rsidRPr="00681505">
        <w:rPr>
          <w:rFonts w:ascii="Arial" w:hAnsi="Arial" w:cs="Arial"/>
          <w:lang w:val="it-IT"/>
        </w:rPr>
        <w:t xml:space="preserve">ike for like </w:t>
      </w:r>
      <w:r w:rsidRPr="00681505">
        <w:rPr>
          <w:rFonts w:ascii="Arial" w:hAnsi="Arial" w:cs="Arial"/>
          <w:lang w:val="it-IT"/>
        </w:rPr>
        <w:t xml:space="preserve">del </w:t>
      </w:r>
      <w:r w:rsidR="009851BA" w:rsidRPr="00681505">
        <w:rPr>
          <w:rFonts w:ascii="Arial" w:hAnsi="Arial" w:cs="Arial"/>
          <w:lang w:val="it-IT"/>
        </w:rPr>
        <w:t>2</w:t>
      </w:r>
      <w:r w:rsidRPr="00681505">
        <w:rPr>
          <w:rFonts w:ascii="Arial" w:hAnsi="Arial" w:cs="Arial"/>
          <w:lang w:val="it-IT"/>
        </w:rPr>
        <w:t>,</w:t>
      </w:r>
      <w:r w:rsidR="009851BA" w:rsidRPr="00681505">
        <w:rPr>
          <w:rFonts w:ascii="Arial" w:hAnsi="Arial" w:cs="Arial"/>
          <w:lang w:val="it-IT"/>
        </w:rPr>
        <w:t>5</w:t>
      </w:r>
      <w:r w:rsidR="00E86868" w:rsidRPr="00681505">
        <w:rPr>
          <w:rFonts w:ascii="Arial" w:hAnsi="Arial" w:cs="Arial"/>
          <w:lang w:val="it-IT"/>
        </w:rPr>
        <w:t xml:space="preserve">% </w:t>
      </w:r>
      <w:r w:rsidR="004F6367">
        <w:rPr>
          <w:rFonts w:ascii="Arial" w:hAnsi="Arial" w:cs="Arial"/>
          <w:lang w:val="it-IT"/>
        </w:rPr>
        <w:t>(2,6% ex filiali bancarie)</w:t>
      </w:r>
    </w:p>
    <w:p w:rsidR="001A562D" w:rsidRDefault="001A562D" w:rsidP="00954DB3">
      <w:pPr>
        <w:pStyle w:val="Paragrafoelenco"/>
        <w:numPr>
          <w:ilvl w:val="0"/>
          <w:numId w:val="1"/>
        </w:numPr>
        <w:spacing w:after="0" w:line="240" w:lineRule="auto"/>
        <w:rPr>
          <w:rFonts w:ascii="Arial" w:hAnsi="Arial" w:cs="Arial"/>
          <w:lang w:val="it-IT"/>
        </w:rPr>
      </w:pPr>
      <w:r>
        <w:rPr>
          <w:rFonts w:ascii="Arial" w:hAnsi="Arial" w:cs="Arial"/>
          <w:lang w:val="it-IT"/>
        </w:rPr>
        <w:t>Margine NOI stabile all’89,1%</w:t>
      </w:r>
    </w:p>
    <w:p w:rsidR="00E86868" w:rsidRPr="00681505" w:rsidRDefault="00715A59" w:rsidP="00954DB3">
      <w:pPr>
        <w:pStyle w:val="Paragrafoelenco"/>
        <w:numPr>
          <w:ilvl w:val="0"/>
          <w:numId w:val="1"/>
        </w:numPr>
        <w:spacing w:after="0" w:line="240" w:lineRule="auto"/>
        <w:rPr>
          <w:rFonts w:ascii="Arial" w:hAnsi="Arial" w:cs="Arial"/>
          <w:lang w:val="it-IT"/>
        </w:rPr>
      </w:pPr>
      <w:r w:rsidRPr="00681505">
        <w:rPr>
          <w:rFonts w:ascii="Arial" w:hAnsi="Arial" w:cs="Arial"/>
          <w:lang w:val="it-IT"/>
        </w:rPr>
        <w:t xml:space="preserve">Utile netto in crescita del </w:t>
      </w:r>
      <w:r w:rsidR="00B7734A" w:rsidRPr="00681505">
        <w:rPr>
          <w:rFonts w:ascii="Arial" w:hAnsi="Arial" w:cs="Arial"/>
          <w:lang w:val="it-IT"/>
        </w:rPr>
        <w:t>60</w:t>
      </w:r>
      <w:r w:rsidRPr="00681505">
        <w:rPr>
          <w:rFonts w:ascii="Arial" w:hAnsi="Arial" w:cs="Arial"/>
          <w:lang w:val="it-IT"/>
        </w:rPr>
        <w:t>,</w:t>
      </w:r>
      <w:r w:rsidR="00B7734A" w:rsidRPr="00681505">
        <w:rPr>
          <w:rFonts w:ascii="Arial" w:hAnsi="Arial" w:cs="Arial"/>
          <w:lang w:val="it-IT"/>
        </w:rPr>
        <w:t>2</w:t>
      </w:r>
      <w:r w:rsidR="00E86868" w:rsidRPr="00681505">
        <w:rPr>
          <w:rFonts w:ascii="Arial" w:hAnsi="Arial" w:cs="Arial"/>
          <w:lang w:val="it-IT"/>
        </w:rPr>
        <w:t xml:space="preserve">% </w:t>
      </w:r>
      <w:r w:rsidRPr="00681505">
        <w:rPr>
          <w:rFonts w:ascii="Arial" w:hAnsi="Arial" w:cs="Arial"/>
          <w:lang w:val="it-IT"/>
        </w:rPr>
        <w:t>a</w:t>
      </w:r>
      <w:r w:rsidR="0002067B">
        <w:rPr>
          <w:rFonts w:ascii="Arial" w:hAnsi="Arial" w:cs="Arial"/>
          <w:lang w:val="it-IT"/>
        </w:rPr>
        <w:t>d</w:t>
      </w:r>
      <w:r w:rsidR="00E86868" w:rsidRPr="00681505">
        <w:rPr>
          <w:rFonts w:ascii="Arial" w:hAnsi="Arial" w:cs="Arial"/>
          <w:lang w:val="it-IT"/>
        </w:rPr>
        <w:t xml:space="preserve"> Euro </w:t>
      </w:r>
      <w:r w:rsidR="00B912BC" w:rsidRPr="00681505">
        <w:rPr>
          <w:rFonts w:ascii="Arial" w:hAnsi="Arial" w:cs="Arial"/>
          <w:lang w:val="it-IT"/>
        </w:rPr>
        <w:t>4</w:t>
      </w:r>
      <w:r w:rsidR="00B7734A" w:rsidRPr="00681505">
        <w:rPr>
          <w:rFonts w:ascii="Arial" w:hAnsi="Arial" w:cs="Arial"/>
          <w:lang w:val="it-IT"/>
        </w:rPr>
        <w:t>6</w:t>
      </w:r>
      <w:r w:rsidRPr="00681505">
        <w:rPr>
          <w:rFonts w:ascii="Arial" w:hAnsi="Arial" w:cs="Arial"/>
          <w:lang w:val="it-IT"/>
        </w:rPr>
        <w:t>,</w:t>
      </w:r>
      <w:r w:rsidR="00B7734A" w:rsidRPr="00681505">
        <w:rPr>
          <w:rFonts w:ascii="Arial" w:hAnsi="Arial" w:cs="Arial"/>
          <w:lang w:val="it-IT"/>
        </w:rPr>
        <w:t>3</w:t>
      </w:r>
      <w:r w:rsidR="00B912BC" w:rsidRPr="00681505">
        <w:rPr>
          <w:rFonts w:ascii="Arial" w:hAnsi="Arial" w:cs="Arial"/>
          <w:lang w:val="it-IT"/>
        </w:rPr>
        <w:t xml:space="preserve"> milion</w:t>
      </w:r>
      <w:r w:rsidRPr="00681505">
        <w:rPr>
          <w:rFonts w:ascii="Arial" w:hAnsi="Arial" w:cs="Arial"/>
          <w:lang w:val="it-IT"/>
        </w:rPr>
        <w:t>i</w:t>
      </w:r>
    </w:p>
    <w:p w:rsidR="00E86868" w:rsidRPr="00681505" w:rsidRDefault="00E86868" w:rsidP="00954DB3">
      <w:pPr>
        <w:pStyle w:val="Paragrafoelenco"/>
        <w:numPr>
          <w:ilvl w:val="0"/>
          <w:numId w:val="1"/>
        </w:numPr>
        <w:spacing w:after="0" w:line="240" w:lineRule="auto"/>
        <w:rPr>
          <w:rFonts w:ascii="Arial" w:hAnsi="Arial" w:cs="Arial"/>
          <w:lang w:val="it-IT"/>
        </w:rPr>
      </w:pPr>
      <w:r w:rsidRPr="00681505">
        <w:rPr>
          <w:rFonts w:ascii="Arial" w:hAnsi="Arial" w:cs="Arial"/>
          <w:lang w:val="it-IT"/>
        </w:rPr>
        <w:t xml:space="preserve">FFO </w:t>
      </w:r>
      <w:r w:rsidR="00715A59" w:rsidRPr="00681505">
        <w:rPr>
          <w:rFonts w:ascii="Arial" w:hAnsi="Arial" w:cs="Arial"/>
          <w:lang w:val="it-IT"/>
        </w:rPr>
        <w:t>Ricorrente per azione in crescita del</w:t>
      </w:r>
      <w:r w:rsidR="00B7734A" w:rsidRPr="00681505">
        <w:rPr>
          <w:rFonts w:ascii="Arial" w:hAnsi="Arial" w:cs="Arial"/>
          <w:lang w:val="it-IT"/>
        </w:rPr>
        <w:t xml:space="preserve"> 5</w:t>
      </w:r>
      <w:r w:rsidR="00715A59" w:rsidRPr="00681505">
        <w:rPr>
          <w:rFonts w:ascii="Arial" w:hAnsi="Arial" w:cs="Arial"/>
          <w:lang w:val="it-IT"/>
        </w:rPr>
        <w:t>,</w:t>
      </w:r>
      <w:r w:rsidR="00B7734A" w:rsidRPr="00681505">
        <w:rPr>
          <w:rFonts w:ascii="Arial" w:hAnsi="Arial" w:cs="Arial"/>
          <w:lang w:val="it-IT"/>
        </w:rPr>
        <w:t xml:space="preserve">0% </w:t>
      </w:r>
      <w:r w:rsidR="00715A59" w:rsidRPr="00681505">
        <w:rPr>
          <w:rFonts w:ascii="Arial" w:hAnsi="Arial" w:cs="Arial"/>
          <w:lang w:val="it-IT"/>
        </w:rPr>
        <w:t>a</w:t>
      </w:r>
      <w:r w:rsidR="0002067B">
        <w:rPr>
          <w:rFonts w:ascii="Arial" w:hAnsi="Arial" w:cs="Arial"/>
          <w:lang w:val="it-IT"/>
        </w:rPr>
        <w:t>d</w:t>
      </w:r>
      <w:r w:rsidR="00715A59" w:rsidRPr="00681505">
        <w:rPr>
          <w:rFonts w:ascii="Arial" w:hAnsi="Arial" w:cs="Arial"/>
          <w:lang w:val="it-IT"/>
        </w:rPr>
        <w:t xml:space="preserve"> </w:t>
      </w:r>
      <w:r w:rsidRPr="00681505">
        <w:rPr>
          <w:rFonts w:ascii="Arial" w:hAnsi="Arial" w:cs="Arial"/>
          <w:lang w:val="it-IT"/>
        </w:rPr>
        <w:t xml:space="preserve">Euro </w:t>
      </w:r>
      <w:r w:rsidR="003201F5" w:rsidRPr="00681505">
        <w:rPr>
          <w:rFonts w:ascii="Arial" w:hAnsi="Arial" w:cs="Arial"/>
          <w:lang w:val="it-IT"/>
        </w:rPr>
        <w:t>0</w:t>
      </w:r>
      <w:r w:rsidR="00715A59" w:rsidRPr="00681505">
        <w:rPr>
          <w:rFonts w:ascii="Arial" w:hAnsi="Arial" w:cs="Arial"/>
          <w:lang w:val="it-IT"/>
        </w:rPr>
        <w:t>,</w:t>
      </w:r>
      <w:r w:rsidR="003201F5" w:rsidRPr="00681505">
        <w:rPr>
          <w:rFonts w:ascii="Arial" w:hAnsi="Arial" w:cs="Arial"/>
          <w:lang w:val="it-IT"/>
        </w:rPr>
        <w:t>4</w:t>
      </w:r>
      <w:r w:rsidR="00B7734A" w:rsidRPr="00681505">
        <w:rPr>
          <w:rFonts w:ascii="Arial" w:hAnsi="Arial" w:cs="Arial"/>
          <w:lang w:val="it-IT"/>
        </w:rPr>
        <w:t>9</w:t>
      </w:r>
    </w:p>
    <w:p w:rsidR="00E86868" w:rsidRPr="00681505" w:rsidRDefault="00E86868" w:rsidP="00954DB3">
      <w:pPr>
        <w:pStyle w:val="Paragrafoelenco"/>
        <w:numPr>
          <w:ilvl w:val="0"/>
          <w:numId w:val="1"/>
        </w:numPr>
        <w:spacing w:after="0" w:line="240" w:lineRule="auto"/>
        <w:rPr>
          <w:rFonts w:ascii="Arial" w:hAnsi="Arial" w:cs="Arial"/>
          <w:lang w:val="it-IT"/>
        </w:rPr>
      </w:pPr>
      <w:r w:rsidRPr="00681505">
        <w:rPr>
          <w:rFonts w:ascii="Arial" w:hAnsi="Arial" w:cs="Arial"/>
          <w:lang w:val="it-IT"/>
        </w:rPr>
        <w:t xml:space="preserve">EPRA NAV </w:t>
      </w:r>
      <w:r w:rsidR="00715A59" w:rsidRPr="00681505">
        <w:rPr>
          <w:rFonts w:ascii="Arial" w:hAnsi="Arial" w:cs="Arial"/>
          <w:lang w:val="it-IT"/>
        </w:rPr>
        <w:t>per azione in crescita del 9,</w:t>
      </w:r>
      <w:r w:rsidR="00B7734A" w:rsidRPr="00681505">
        <w:rPr>
          <w:rFonts w:ascii="Arial" w:hAnsi="Arial" w:cs="Arial"/>
          <w:lang w:val="it-IT"/>
        </w:rPr>
        <w:t>6</w:t>
      </w:r>
      <w:r w:rsidRPr="00681505">
        <w:rPr>
          <w:rFonts w:ascii="Arial" w:hAnsi="Arial" w:cs="Arial"/>
          <w:lang w:val="it-IT"/>
        </w:rPr>
        <w:t xml:space="preserve">% </w:t>
      </w:r>
      <w:r w:rsidR="00715A59" w:rsidRPr="00681505">
        <w:rPr>
          <w:rFonts w:ascii="Arial" w:hAnsi="Arial" w:cs="Arial"/>
          <w:lang w:val="it-IT"/>
        </w:rPr>
        <w:t>a</w:t>
      </w:r>
      <w:r w:rsidR="0002067B">
        <w:rPr>
          <w:rFonts w:ascii="Arial" w:hAnsi="Arial" w:cs="Arial"/>
          <w:lang w:val="it-IT"/>
        </w:rPr>
        <w:t>d</w:t>
      </w:r>
      <w:r w:rsidR="00715A59" w:rsidRPr="00681505">
        <w:rPr>
          <w:rFonts w:ascii="Arial" w:hAnsi="Arial" w:cs="Arial"/>
          <w:lang w:val="it-IT"/>
        </w:rPr>
        <w:t xml:space="preserve"> </w:t>
      </w:r>
      <w:r w:rsidRPr="00681505">
        <w:rPr>
          <w:rFonts w:ascii="Arial" w:hAnsi="Arial" w:cs="Arial"/>
          <w:lang w:val="it-IT"/>
        </w:rPr>
        <w:t xml:space="preserve">Euro </w:t>
      </w:r>
      <w:r w:rsidR="003201F5" w:rsidRPr="00681505">
        <w:rPr>
          <w:rFonts w:ascii="Arial" w:hAnsi="Arial" w:cs="Arial"/>
          <w:lang w:val="it-IT"/>
        </w:rPr>
        <w:t>11</w:t>
      </w:r>
      <w:r w:rsidR="00715A59" w:rsidRPr="00681505">
        <w:rPr>
          <w:rFonts w:ascii="Arial" w:hAnsi="Arial" w:cs="Arial"/>
          <w:lang w:val="it-IT"/>
        </w:rPr>
        <w:t>,</w:t>
      </w:r>
      <w:r w:rsidR="003201F5" w:rsidRPr="00681505">
        <w:rPr>
          <w:rFonts w:ascii="Arial" w:hAnsi="Arial" w:cs="Arial"/>
          <w:lang w:val="it-IT"/>
        </w:rPr>
        <w:t>71</w:t>
      </w:r>
    </w:p>
    <w:p w:rsidR="00E86868" w:rsidRPr="00525867" w:rsidRDefault="00E86868" w:rsidP="00954DB3">
      <w:pPr>
        <w:pStyle w:val="Paragrafoelenco"/>
        <w:numPr>
          <w:ilvl w:val="0"/>
          <w:numId w:val="1"/>
        </w:numPr>
        <w:spacing w:after="0" w:line="240" w:lineRule="auto"/>
        <w:rPr>
          <w:rFonts w:ascii="Arial" w:hAnsi="Arial" w:cs="Arial"/>
        </w:rPr>
      </w:pPr>
      <w:r w:rsidRPr="00525867">
        <w:rPr>
          <w:rFonts w:ascii="Arial" w:hAnsi="Arial" w:cs="Arial"/>
        </w:rPr>
        <w:t xml:space="preserve">Return on Equity </w:t>
      </w:r>
      <w:r w:rsidR="00715A59" w:rsidRPr="00525867">
        <w:rPr>
          <w:rFonts w:ascii="Arial" w:hAnsi="Arial" w:cs="Arial"/>
        </w:rPr>
        <w:t>del</w:t>
      </w:r>
      <w:r w:rsidR="0002067B">
        <w:rPr>
          <w:rFonts w:ascii="Arial" w:hAnsi="Arial" w:cs="Arial"/>
        </w:rPr>
        <w:t>l’</w:t>
      </w:r>
      <w:r w:rsidR="003201F5" w:rsidRPr="00525867">
        <w:rPr>
          <w:rFonts w:ascii="Arial" w:hAnsi="Arial" w:cs="Arial"/>
        </w:rPr>
        <w:t>1</w:t>
      </w:r>
      <w:r w:rsidR="00B7734A" w:rsidRPr="00525867">
        <w:rPr>
          <w:rFonts w:ascii="Arial" w:hAnsi="Arial" w:cs="Arial"/>
        </w:rPr>
        <w:t>1</w:t>
      </w:r>
      <w:r w:rsidR="00715A59" w:rsidRPr="00525867">
        <w:rPr>
          <w:rFonts w:ascii="Arial" w:hAnsi="Arial" w:cs="Arial"/>
        </w:rPr>
        <w:t>,</w:t>
      </w:r>
      <w:r w:rsidR="00B7734A" w:rsidRPr="00525867">
        <w:rPr>
          <w:rFonts w:ascii="Arial" w:hAnsi="Arial" w:cs="Arial"/>
        </w:rPr>
        <w:t>8</w:t>
      </w:r>
      <w:r w:rsidRPr="00525867">
        <w:rPr>
          <w:rFonts w:ascii="Arial" w:hAnsi="Arial" w:cs="Arial"/>
        </w:rPr>
        <w:t>%</w:t>
      </w:r>
      <w:r w:rsidR="0035143F" w:rsidRPr="00525867">
        <w:rPr>
          <w:rFonts w:ascii="Arial" w:hAnsi="Arial" w:cs="Arial"/>
        </w:rPr>
        <w:t xml:space="preserve"> (vs 8</w:t>
      </w:r>
      <w:r w:rsidR="00715A59" w:rsidRPr="00525867">
        <w:rPr>
          <w:rFonts w:ascii="Arial" w:hAnsi="Arial" w:cs="Arial"/>
        </w:rPr>
        <w:t>,</w:t>
      </w:r>
      <w:r w:rsidR="0035143F" w:rsidRPr="00525867">
        <w:rPr>
          <w:rFonts w:ascii="Arial" w:hAnsi="Arial" w:cs="Arial"/>
        </w:rPr>
        <w:t xml:space="preserve">0% </w:t>
      </w:r>
      <w:r w:rsidR="00715A59" w:rsidRPr="00525867">
        <w:rPr>
          <w:rFonts w:ascii="Arial" w:hAnsi="Arial" w:cs="Arial"/>
        </w:rPr>
        <w:t>nel</w:t>
      </w:r>
      <w:r w:rsidR="0035143F" w:rsidRPr="00525867">
        <w:rPr>
          <w:rFonts w:ascii="Arial" w:hAnsi="Arial" w:cs="Arial"/>
        </w:rPr>
        <w:t xml:space="preserve"> 2017)</w:t>
      </w:r>
    </w:p>
    <w:p w:rsidR="001A562D" w:rsidRPr="001A562D" w:rsidRDefault="001A562D" w:rsidP="00954DB3">
      <w:pPr>
        <w:pStyle w:val="Paragrafoelenco"/>
        <w:numPr>
          <w:ilvl w:val="0"/>
          <w:numId w:val="1"/>
        </w:numPr>
        <w:spacing w:after="0" w:line="240" w:lineRule="auto"/>
        <w:rPr>
          <w:rFonts w:ascii="Arial" w:hAnsi="Arial" w:cs="Arial"/>
        </w:rPr>
      </w:pPr>
      <w:r w:rsidRPr="001A562D">
        <w:rPr>
          <w:rFonts w:ascii="Arial" w:hAnsi="Arial" w:cs="Arial"/>
        </w:rPr>
        <w:t>Return on Equity dall’IPO pari a</w:t>
      </w:r>
      <w:r w:rsidR="008C7FAA">
        <w:rPr>
          <w:rFonts w:ascii="Arial" w:hAnsi="Arial" w:cs="Arial"/>
        </w:rPr>
        <w:t>l</w:t>
      </w:r>
      <w:r w:rsidRPr="001A562D">
        <w:rPr>
          <w:rFonts w:ascii="Arial" w:hAnsi="Arial" w:cs="Arial"/>
        </w:rPr>
        <w:t xml:space="preserve"> 21,1%</w:t>
      </w:r>
    </w:p>
    <w:p w:rsidR="00E86868" w:rsidRPr="00681505" w:rsidRDefault="00715A59" w:rsidP="00954DB3">
      <w:pPr>
        <w:pStyle w:val="Paragrafoelenco"/>
        <w:numPr>
          <w:ilvl w:val="0"/>
          <w:numId w:val="1"/>
        </w:numPr>
        <w:spacing w:after="0" w:line="240" w:lineRule="auto"/>
        <w:rPr>
          <w:rFonts w:ascii="Arial" w:hAnsi="Arial" w:cs="Arial"/>
          <w:lang w:val="it-IT"/>
        </w:rPr>
      </w:pPr>
      <w:r w:rsidRPr="00681505">
        <w:rPr>
          <w:rFonts w:ascii="Arial" w:hAnsi="Arial" w:cs="Arial"/>
          <w:lang w:val="it-IT"/>
        </w:rPr>
        <w:t xml:space="preserve">Dividendo proposto per il </w:t>
      </w:r>
      <w:r w:rsidR="00E86868" w:rsidRPr="00681505">
        <w:rPr>
          <w:rFonts w:ascii="Arial" w:hAnsi="Arial" w:cs="Arial"/>
          <w:lang w:val="it-IT"/>
        </w:rPr>
        <w:t xml:space="preserve">2018 </w:t>
      </w:r>
      <w:r w:rsidRPr="00681505">
        <w:rPr>
          <w:rFonts w:ascii="Arial" w:hAnsi="Arial" w:cs="Arial"/>
          <w:lang w:val="it-IT"/>
        </w:rPr>
        <w:t>in crescita dell’</w:t>
      </w:r>
      <w:r w:rsidR="003201F5" w:rsidRPr="00681505">
        <w:rPr>
          <w:rFonts w:ascii="Arial" w:hAnsi="Arial" w:cs="Arial"/>
          <w:lang w:val="it-IT"/>
        </w:rPr>
        <w:t>11</w:t>
      </w:r>
      <w:r w:rsidRPr="00681505">
        <w:rPr>
          <w:rFonts w:ascii="Arial" w:hAnsi="Arial" w:cs="Arial"/>
          <w:lang w:val="it-IT"/>
        </w:rPr>
        <w:t>,</w:t>
      </w:r>
      <w:r w:rsidR="003201F5" w:rsidRPr="00681505">
        <w:rPr>
          <w:rFonts w:ascii="Arial" w:hAnsi="Arial" w:cs="Arial"/>
          <w:lang w:val="it-IT"/>
        </w:rPr>
        <w:t>1</w:t>
      </w:r>
      <w:r w:rsidR="00BE3430" w:rsidRPr="00681505">
        <w:rPr>
          <w:rFonts w:ascii="Arial" w:hAnsi="Arial" w:cs="Arial"/>
          <w:lang w:val="it-IT"/>
        </w:rPr>
        <w:t xml:space="preserve">% </w:t>
      </w:r>
      <w:r w:rsidRPr="00681505">
        <w:rPr>
          <w:rFonts w:ascii="Arial" w:hAnsi="Arial" w:cs="Arial"/>
          <w:lang w:val="it-IT"/>
        </w:rPr>
        <w:t>a</w:t>
      </w:r>
      <w:r w:rsidR="0052046F">
        <w:rPr>
          <w:rFonts w:ascii="Arial" w:hAnsi="Arial" w:cs="Arial"/>
          <w:lang w:val="it-IT"/>
        </w:rPr>
        <w:t>d</w:t>
      </w:r>
      <w:r w:rsidR="00BE3430" w:rsidRPr="00681505">
        <w:rPr>
          <w:rFonts w:ascii="Arial" w:hAnsi="Arial" w:cs="Arial"/>
          <w:lang w:val="it-IT"/>
        </w:rPr>
        <w:t xml:space="preserve"> Euro </w:t>
      </w:r>
      <w:r w:rsidR="003201F5" w:rsidRPr="00681505">
        <w:rPr>
          <w:rFonts w:ascii="Arial" w:hAnsi="Arial" w:cs="Arial"/>
          <w:lang w:val="it-IT"/>
        </w:rPr>
        <w:t>0</w:t>
      </w:r>
      <w:r w:rsidRPr="00681505">
        <w:rPr>
          <w:rFonts w:ascii="Arial" w:hAnsi="Arial" w:cs="Arial"/>
          <w:lang w:val="it-IT"/>
        </w:rPr>
        <w:t>,</w:t>
      </w:r>
      <w:r w:rsidR="003201F5" w:rsidRPr="00681505">
        <w:rPr>
          <w:rFonts w:ascii="Arial" w:hAnsi="Arial" w:cs="Arial"/>
          <w:lang w:val="it-IT"/>
        </w:rPr>
        <w:t>30</w:t>
      </w:r>
      <w:r w:rsidR="00BE3430" w:rsidRPr="00681505">
        <w:rPr>
          <w:rFonts w:ascii="Arial" w:hAnsi="Arial" w:cs="Arial"/>
          <w:lang w:val="it-IT"/>
        </w:rPr>
        <w:t xml:space="preserve"> per </w:t>
      </w:r>
      <w:r w:rsidRPr="00681505">
        <w:rPr>
          <w:rFonts w:ascii="Arial" w:hAnsi="Arial" w:cs="Arial"/>
          <w:lang w:val="it-IT"/>
        </w:rPr>
        <w:t>azione</w:t>
      </w:r>
    </w:p>
    <w:p w:rsidR="00E86868" w:rsidRPr="00681505" w:rsidRDefault="00E86868" w:rsidP="00954DB3">
      <w:pPr>
        <w:pStyle w:val="Paragrafoelenco"/>
        <w:numPr>
          <w:ilvl w:val="0"/>
          <w:numId w:val="1"/>
        </w:numPr>
        <w:spacing w:after="0" w:line="240" w:lineRule="auto"/>
        <w:rPr>
          <w:rFonts w:ascii="Arial" w:hAnsi="Arial" w:cs="Arial"/>
          <w:lang w:val="it-IT"/>
        </w:rPr>
      </w:pPr>
      <w:r w:rsidRPr="00681505">
        <w:rPr>
          <w:rFonts w:ascii="Arial" w:hAnsi="Arial" w:cs="Arial"/>
          <w:lang w:val="it-IT"/>
        </w:rPr>
        <w:t xml:space="preserve">LTV </w:t>
      </w:r>
      <w:r w:rsidR="00715A59" w:rsidRPr="00681505">
        <w:rPr>
          <w:rFonts w:ascii="Arial" w:hAnsi="Arial" w:cs="Arial"/>
          <w:lang w:val="it-IT"/>
        </w:rPr>
        <w:t xml:space="preserve">mantenuto ad un livello </w:t>
      </w:r>
      <w:r w:rsidR="00E83D4E" w:rsidRPr="00681505">
        <w:rPr>
          <w:rFonts w:ascii="Arial" w:hAnsi="Arial" w:cs="Arial"/>
          <w:lang w:val="it-IT"/>
        </w:rPr>
        <w:t>prudente</w:t>
      </w:r>
      <w:r w:rsidR="00715A59" w:rsidRPr="00681505">
        <w:rPr>
          <w:rFonts w:ascii="Arial" w:hAnsi="Arial" w:cs="Arial"/>
          <w:lang w:val="it-IT"/>
        </w:rPr>
        <w:t xml:space="preserve"> pari al </w:t>
      </w:r>
      <w:r w:rsidR="003201F5" w:rsidRPr="00681505">
        <w:rPr>
          <w:rFonts w:ascii="Arial" w:hAnsi="Arial" w:cs="Arial"/>
          <w:lang w:val="it-IT"/>
        </w:rPr>
        <w:t>34</w:t>
      </w:r>
      <w:r w:rsidR="00715A59" w:rsidRPr="00681505">
        <w:rPr>
          <w:rFonts w:ascii="Arial" w:hAnsi="Arial" w:cs="Arial"/>
          <w:lang w:val="it-IT"/>
        </w:rPr>
        <w:t>,</w:t>
      </w:r>
      <w:r w:rsidR="003201F5" w:rsidRPr="00681505">
        <w:rPr>
          <w:rFonts w:ascii="Arial" w:hAnsi="Arial" w:cs="Arial"/>
          <w:lang w:val="it-IT"/>
        </w:rPr>
        <w:t>5</w:t>
      </w:r>
      <w:r w:rsidRPr="00681505">
        <w:rPr>
          <w:rFonts w:ascii="Arial" w:hAnsi="Arial" w:cs="Arial"/>
          <w:lang w:val="it-IT"/>
        </w:rPr>
        <w:t>%</w:t>
      </w:r>
    </w:p>
    <w:p w:rsidR="00954DB3" w:rsidRPr="00681505" w:rsidRDefault="00954DB3" w:rsidP="00954DB3">
      <w:pPr>
        <w:spacing w:after="0" w:line="240" w:lineRule="auto"/>
        <w:rPr>
          <w:rFonts w:ascii="Arial" w:hAnsi="Arial" w:cs="Arial"/>
          <w:b/>
          <w:lang w:val="it-IT"/>
        </w:rPr>
      </w:pPr>
    </w:p>
    <w:p w:rsidR="00E86868" w:rsidRPr="00681505" w:rsidRDefault="00715A59" w:rsidP="00954DB3">
      <w:pPr>
        <w:spacing w:after="0" w:line="240" w:lineRule="auto"/>
        <w:rPr>
          <w:rFonts w:ascii="Arial" w:hAnsi="Arial" w:cs="Arial"/>
          <w:b/>
          <w:lang w:val="it-IT"/>
        </w:rPr>
      </w:pPr>
      <w:r w:rsidRPr="00681505">
        <w:rPr>
          <w:rFonts w:ascii="Arial" w:hAnsi="Arial" w:cs="Arial"/>
          <w:b/>
          <w:lang w:val="it-IT"/>
        </w:rPr>
        <w:t>Portafoglio uffici concentrato a Milano e con componente di crescita</w:t>
      </w:r>
    </w:p>
    <w:p w:rsidR="00E86868" w:rsidRPr="00681505" w:rsidRDefault="00715A59" w:rsidP="00954DB3">
      <w:pPr>
        <w:pStyle w:val="Paragrafoelenco"/>
        <w:numPr>
          <w:ilvl w:val="0"/>
          <w:numId w:val="2"/>
        </w:numPr>
        <w:spacing w:after="0" w:line="240" w:lineRule="auto"/>
        <w:rPr>
          <w:rFonts w:ascii="Arial" w:hAnsi="Arial" w:cs="Arial"/>
          <w:lang w:val="it-IT"/>
        </w:rPr>
      </w:pPr>
      <w:r w:rsidRPr="00681505">
        <w:rPr>
          <w:rFonts w:ascii="Arial" w:hAnsi="Arial" w:cs="Arial"/>
          <w:lang w:val="it-IT"/>
        </w:rPr>
        <w:t xml:space="preserve">Esposizione a </w:t>
      </w:r>
      <w:r w:rsidR="00E86868" w:rsidRPr="00681505">
        <w:rPr>
          <w:rFonts w:ascii="Arial" w:hAnsi="Arial" w:cs="Arial"/>
          <w:lang w:val="it-IT"/>
        </w:rPr>
        <w:t>Milan</w:t>
      </w:r>
      <w:r w:rsidRPr="00681505">
        <w:rPr>
          <w:rFonts w:ascii="Arial" w:hAnsi="Arial" w:cs="Arial"/>
          <w:lang w:val="it-IT"/>
        </w:rPr>
        <w:t>o pari a</w:t>
      </w:r>
      <w:r w:rsidR="00525867">
        <w:rPr>
          <w:rFonts w:ascii="Arial" w:hAnsi="Arial" w:cs="Arial"/>
          <w:lang w:val="it-IT"/>
        </w:rPr>
        <w:t>l</w:t>
      </w:r>
      <w:r w:rsidR="00E86868" w:rsidRPr="00681505">
        <w:rPr>
          <w:rFonts w:ascii="Arial" w:hAnsi="Arial" w:cs="Arial"/>
          <w:lang w:val="it-IT"/>
        </w:rPr>
        <w:t xml:space="preserve"> 90% </w:t>
      </w:r>
      <w:r w:rsidRPr="00681505">
        <w:rPr>
          <w:rFonts w:ascii="Arial" w:hAnsi="Arial" w:cs="Arial"/>
          <w:lang w:val="it-IT"/>
        </w:rPr>
        <w:t>e</w:t>
      </w:r>
      <w:r w:rsidR="00525867">
        <w:rPr>
          <w:rFonts w:ascii="Arial" w:hAnsi="Arial" w:cs="Arial"/>
          <w:lang w:val="it-IT"/>
        </w:rPr>
        <w:t>d</w:t>
      </w:r>
      <w:r w:rsidRPr="00681505">
        <w:rPr>
          <w:rFonts w:ascii="Arial" w:hAnsi="Arial" w:cs="Arial"/>
          <w:lang w:val="it-IT"/>
        </w:rPr>
        <w:t xml:space="preserve"> a </w:t>
      </w:r>
      <w:r w:rsidR="00E86868" w:rsidRPr="00681505">
        <w:rPr>
          <w:rFonts w:ascii="Arial" w:hAnsi="Arial" w:cs="Arial"/>
          <w:lang w:val="it-IT"/>
        </w:rPr>
        <w:t xml:space="preserve">Porta Nuova </w:t>
      </w:r>
      <w:r w:rsidRPr="00681505">
        <w:rPr>
          <w:rFonts w:ascii="Arial" w:hAnsi="Arial" w:cs="Arial"/>
          <w:lang w:val="it-IT"/>
        </w:rPr>
        <w:t>pari a</w:t>
      </w:r>
      <w:r w:rsidR="00525867">
        <w:rPr>
          <w:rFonts w:ascii="Arial" w:hAnsi="Arial" w:cs="Arial"/>
          <w:lang w:val="it-IT"/>
        </w:rPr>
        <w:t>l</w:t>
      </w:r>
      <w:r w:rsidRPr="00681505">
        <w:rPr>
          <w:rFonts w:ascii="Arial" w:hAnsi="Arial" w:cs="Arial"/>
          <w:lang w:val="it-IT"/>
        </w:rPr>
        <w:t xml:space="preserve"> </w:t>
      </w:r>
      <w:r w:rsidR="00E61C71" w:rsidRPr="00681505">
        <w:rPr>
          <w:rFonts w:ascii="Arial" w:hAnsi="Arial" w:cs="Arial"/>
          <w:lang w:val="it-IT"/>
        </w:rPr>
        <w:t>40</w:t>
      </w:r>
      <w:r w:rsidR="00E86868" w:rsidRPr="00681505">
        <w:rPr>
          <w:rFonts w:ascii="Arial" w:hAnsi="Arial" w:cs="Arial"/>
          <w:lang w:val="it-IT"/>
        </w:rPr>
        <w:t>%</w:t>
      </w:r>
    </w:p>
    <w:p w:rsidR="00E86868" w:rsidRPr="00681505" w:rsidRDefault="00715A59" w:rsidP="00954DB3">
      <w:pPr>
        <w:pStyle w:val="Paragrafoelenco"/>
        <w:numPr>
          <w:ilvl w:val="0"/>
          <w:numId w:val="2"/>
        </w:numPr>
        <w:spacing w:after="0" w:line="240" w:lineRule="auto"/>
        <w:rPr>
          <w:rFonts w:ascii="Arial" w:hAnsi="Arial" w:cs="Arial"/>
          <w:lang w:val="it-IT"/>
        </w:rPr>
      </w:pPr>
      <w:r w:rsidRPr="00681505">
        <w:rPr>
          <w:rFonts w:ascii="Arial" w:hAnsi="Arial" w:cs="Arial"/>
          <w:lang w:val="it-IT"/>
        </w:rPr>
        <w:t xml:space="preserve">Componente di crescita del portafoglio pari al </w:t>
      </w:r>
      <w:r w:rsidR="00E61C71" w:rsidRPr="00681505">
        <w:rPr>
          <w:rFonts w:ascii="Arial" w:hAnsi="Arial" w:cs="Arial"/>
          <w:lang w:val="it-IT"/>
        </w:rPr>
        <w:t>50</w:t>
      </w:r>
      <w:r w:rsidR="00E86868" w:rsidRPr="00681505">
        <w:rPr>
          <w:rFonts w:ascii="Arial" w:hAnsi="Arial" w:cs="Arial"/>
          <w:lang w:val="it-IT"/>
        </w:rPr>
        <w:t>%</w:t>
      </w:r>
    </w:p>
    <w:p w:rsidR="00954DB3" w:rsidRPr="00681505" w:rsidRDefault="00954DB3" w:rsidP="00954DB3">
      <w:pPr>
        <w:spacing w:after="0" w:line="240" w:lineRule="auto"/>
        <w:rPr>
          <w:rFonts w:ascii="Arial" w:hAnsi="Arial" w:cs="Arial"/>
          <w:b/>
          <w:lang w:val="it-IT"/>
        </w:rPr>
      </w:pPr>
    </w:p>
    <w:p w:rsidR="00E86868" w:rsidRPr="00681505" w:rsidRDefault="00715A59" w:rsidP="00954DB3">
      <w:pPr>
        <w:spacing w:after="0" w:line="240" w:lineRule="auto"/>
        <w:rPr>
          <w:rFonts w:ascii="Arial" w:hAnsi="Arial" w:cs="Arial"/>
          <w:b/>
          <w:lang w:val="it-IT"/>
        </w:rPr>
      </w:pPr>
      <w:r w:rsidRPr="00681505">
        <w:rPr>
          <w:rFonts w:ascii="Arial" w:hAnsi="Arial" w:cs="Arial"/>
          <w:b/>
          <w:lang w:val="it-IT"/>
        </w:rPr>
        <w:t xml:space="preserve">Gestione attiva degli </w:t>
      </w:r>
      <w:r w:rsidR="00525867">
        <w:rPr>
          <w:rFonts w:ascii="Arial" w:hAnsi="Arial" w:cs="Arial"/>
          <w:b/>
          <w:lang w:val="it-IT"/>
        </w:rPr>
        <w:t>immobili</w:t>
      </w:r>
      <w:r w:rsidRPr="00681505">
        <w:rPr>
          <w:rFonts w:ascii="Arial" w:hAnsi="Arial" w:cs="Arial"/>
          <w:b/>
          <w:lang w:val="it-IT"/>
        </w:rPr>
        <w:t xml:space="preserve"> e rotazione del portafoglio</w:t>
      </w:r>
    </w:p>
    <w:p w:rsidR="00E86868" w:rsidRPr="00681505" w:rsidRDefault="004F6367" w:rsidP="00954DB3">
      <w:pPr>
        <w:pStyle w:val="Paragrafoelenco"/>
        <w:numPr>
          <w:ilvl w:val="0"/>
          <w:numId w:val="3"/>
        </w:numPr>
        <w:spacing w:after="0" w:line="240" w:lineRule="auto"/>
        <w:rPr>
          <w:rFonts w:ascii="Arial" w:hAnsi="Arial" w:cs="Arial"/>
          <w:lang w:val="it-IT"/>
        </w:rPr>
      </w:pPr>
      <w:r>
        <w:rPr>
          <w:rFonts w:ascii="Arial" w:hAnsi="Arial" w:cs="Arial"/>
          <w:lang w:val="it-IT"/>
        </w:rPr>
        <w:t>N</w:t>
      </w:r>
      <w:r w:rsidR="00715A59" w:rsidRPr="00681505">
        <w:rPr>
          <w:rFonts w:ascii="Arial" w:hAnsi="Arial" w:cs="Arial"/>
          <w:lang w:val="it-IT"/>
        </w:rPr>
        <w:t xml:space="preserve">uovi contratti di locazione </w:t>
      </w:r>
      <w:r w:rsidR="00525867">
        <w:rPr>
          <w:rFonts w:ascii="Arial" w:hAnsi="Arial" w:cs="Arial"/>
          <w:lang w:val="it-IT"/>
        </w:rPr>
        <w:t xml:space="preserve">per </w:t>
      </w:r>
      <w:r w:rsidR="00525867" w:rsidRPr="00681505">
        <w:rPr>
          <w:rFonts w:ascii="Arial" w:hAnsi="Arial" w:cs="Arial"/>
          <w:lang w:val="it-IT"/>
        </w:rPr>
        <w:t>Euro 4,3 milioni</w:t>
      </w:r>
      <w:r w:rsidR="00525867">
        <w:rPr>
          <w:rFonts w:ascii="Arial" w:hAnsi="Arial" w:cs="Arial"/>
          <w:lang w:val="it-IT"/>
        </w:rPr>
        <w:t xml:space="preserve"> </w:t>
      </w:r>
      <w:r w:rsidR="001A562D">
        <w:rPr>
          <w:rFonts w:ascii="Arial" w:hAnsi="Arial" w:cs="Arial"/>
          <w:lang w:val="it-IT"/>
        </w:rPr>
        <w:t>con reversion del 18%</w:t>
      </w:r>
    </w:p>
    <w:p w:rsidR="001A562D" w:rsidRDefault="001A562D" w:rsidP="00954DB3">
      <w:pPr>
        <w:pStyle w:val="Paragrafoelenco"/>
        <w:numPr>
          <w:ilvl w:val="0"/>
          <w:numId w:val="3"/>
        </w:numPr>
        <w:spacing w:after="0" w:line="240" w:lineRule="auto"/>
        <w:rPr>
          <w:rFonts w:ascii="Arial" w:hAnsi="Arial" w:cs="Arial"/>
          <w:lang w:val="it-IT"/>
        </w:rPr>
      </w:pPr>
      <w:r>
        <w:rPr>
          <w:rFonts w:ascii="Arial" w:hAnsi="Arial" w:cs="Arial"/>
          <w:lang w:val="it-IT"/>
        </w:rPr>
        <w:t>Livello di occupancy aumentato di 70 bps a 95,9%</w:t>
      </w:r>
    </w:p>
    <w:p w:rsidR="001A562D" w:rsidRDefault="001A562D" w:rsidP="00954DB3">
      <w:pPr>
        <w:pStyle w:val="Paragrafoelenco"/>
        <w:numPr>
          <w:ilvl w:val="0"/>
          <w:numId w:val="3"/>
        </w:numPr>
        <w:spacing w:after="0" w:line="240" w:lineRule="auto"/>
        <w:rPr>
          <w:rFonts w:ascii="Arial" w:hAnsi="Arial" w:cs="Arial"/>
          <w:lang w:val="it-IT"/>
        </w:rPr>
      </w:pPr>
      <w:r>
        <w:rPr>
          <w:rFonts w:ascii="Arial" w:hAnsi="Arial" w:cs="Arial"/>
          <w:lang w:val="it-IT"/>
        </w:rPr>
        <w:t xml:space="preserve">Crescita del capital value pari al 2,0% (2,7% </w:t>
      </w:r>
      <w:r w:rsidR="004F6367">
        <w:rPr>
          <w:rFonts w:ascii="Arial" w:hAnsi="Arial" w:cs="Arial"/>
          <w:lang w:val="it-IT"/>
        </w:rPr>
        <w:t xml:space="preserve">ex </w:t>
      </w:r>
      <w:r>
        <w:rPr>
          <w:rFonts w:ascii="Arial" w:hAnsi="Arial" w:cs="Arial"/>
          <w:lang w:val="it-IT"/>
        </w:rPr>
        <w:t>filiali bancarie)</w:t>
      </w:r>
    </w:p>
    <w:p w:rsidR="00BE3430" w:rsidRPr="00681505" w:rsidRDefault="00715A59" w:rsidP="00954DB3">
      <w:pPr>
        <w:pStyle w:val="Paragrafoelenco"/>
        <w:numPr>
          <w:ilvl w:val="0"/>
          <w:numId w:val="3"/>
        </w:numPr>
        <w:spacing w:after="0" w:line="240" w:lineRule="auto"/>
        <w:rPr>
          <w:rFonts w:ascii="Arial" w:hAnsi="Arial" w:cs="Arial"/>
          <w:lang w:val="it-IT"/>
        </w:rPr>
      </w:pPr>
      <w:r w:rsidRPr="00681505">
        <w:rPr>
          <w:rFonts w:ascii="Arial" w:hAnsi="Arial" w:cs="Arial"/>
          <w:lang w:val="it-IT"/>
        </w:rPr>
        <w:t>Acquisto di immobili con</w:t>
      </w:r>
      <w:r w:rsidR="00BE3430" w:rsidRPr="00681505">
        <w:rPr>
          <w:rFonts w:ascii="Arial" w:hAnsi="Arial" w:cs="Arial"/>
          <w:lang w:val="it-IT"/>
        </w:rPr>
        <w:t xml:space="preserve"> </w:t>
      </w:r>
      <w:r w:rsidR="0002067B">
        <w:rPr>
          <w:rFonts w:ascii="Arial" w:hAnsi="Arial" w:cs="Arial"/>
          <w:lang w:val="it-IT"/>
        </w:rPr>
        <w:t xml:space="preserve">potenziale di </w:t>
      </w:r>
      <w:r w:rsidRPr="00681505">
        <w:rPr>
          <w:rFonts w:ascii="Arial" w:hAnsi="Arial" w:cs="Arial"/>
          <w:lang w:val="it-IT"/>
        </w:rPr>
        <w:t>crescita</w:t>
      </w:r>
      <w:r w:rsidR="0035143F" w:rsidRPr="00681505">
        <w:rPr>
          <w:rFonts w:ascii="Arial" w:hAnsi="Arial" w:cs="Arial"/>
          <w:lang w:val="it-IT"/>
        </w:rPr>
        <w:t xml:space="preserve"> </w:t>
      </w:r>
      <w:r w:rsidRPr="00681505">
        <w:rPr>
          <w:rFonts w:ascii="Arial" w:hAnsi="Arial" w:cs="Arial"/>
          <w:lang w:val="it-IT"/>
        </w:rPr>
        <w:t xml:space="preserve">a </w:t>
      </w:r>
      <w:r w:rsidR="001A1CB1" w:rsidRPr="00681505">
        <w:rPr>
          <w:rFonts w:ascii="Arial" w:hAnsi="Arial" w:cs="Arial"/>
          <w:lang w:val="it-IT"/>
        </w:rPr>
        <w:t>Milan</w:t>
      </w:r>
      <w:r w:rsidRPr="00681505">
        <w:rPr>
          <w:rFonts w:ascii="Arial" w:hAnsi="Arial" w:cs="Arial"/>
          <w:lang w:val="it-IT"/>
        </w:rPr>
        <w:t>o</w:t>
      </w:r>
      <w:r w:rsidR="001A1CB1" w:rsidRPr="00681505">
        <w:rPr>
          <w:rFonts w:ascii="Arial" w:hAnsi="Arial" w:cs="Arial"/>
          <w:lang w:val="it-IT"/>
        </w:rPr>
        <w:t xml:space="preserve"> Porta Nuova </w:t>
      </w:r>
      <w:r w:rsidR="0002067B">
        <w:rPr>
          <w:rFonts w:ascii="Arial" w:hAnsi="Arial" w:cs="Arial"/>
          <w:lang w:val="it-IT"/>
        </w:rPr>
        <w:t>(</w:t>
      </w:r>
      <w:r w:rsidR="00BE3430" w:rsidRPr="00681505">
        <w:rPr>
          <w:rFonts w:ascii="Arial" w:hAnsi="Arial" w:cs="Arial"/>
          <w:lang w:val="it-IT"/>
        </w:rPr>
        <w:t>Euro 10</w:t>
      </w:r>
      <w:r w:rsidR="00A86A3E" w:rsidRPr="00681505">
        <w:rPr>
          <w:rFonts w:ascii="Arial" w:hAnsi="Arial" w:cs="Arial"/>
          <w:lang w:val="it-IT"/>
        </w:rPr>
        <w:t>3</w:t>
      </w:r>
      <w:r w:rsidRPr="00681505">
        <w:rPr>
          <w:rFonts w:ascii="Arial" w:hAnsi="Arial" w:cs="Arial"/>
          <w:lang w:val="it-IT"/>
        </w:rPr>
        <w:t>,</w:t>
      </w:r>
      <w:r w:rsidR="00A86A3E" w:rsidRPr="00681505">
        <w:rPr>
          <w:rFonts w:ascii="Arial" w:hAnsi="Arial" w:cs="Arial"/>
          <w:lang w:val="it-IT"/>
        </w:rPr>
        <w:t>7</w:t>
      </w:r>
      <w:r w:rsidRPr="00681505">
        <w:rPr>
          <w:rFonts w:ascii="Arial" w:hAnsi="Arial" w:cs="Arial"/>
          <w:lang w:val="it-IT"/>
        </w:rPr>
        <w:t xml:space="preserve"> milioni</w:t>
      </w:r>
      <w:r w:rsidR="0002067B">
        <w:rPr>
          <w:rFonts w:ascii="Arial" w:hAnsi="Arial" w:cs="Arial"/>
          <w:lang w:val="it-IT"/>
        </w:rPr>
        <w:t>)</w:t>
      </w:r>
    </w:p>
    <w:p w:rsidR="00BE3430" w:rsidRPr="00681505" w:rsidRDefault="00715A59" w:rsidP="00954DB3">
      <w:pPr>
        <w:pStyle w:val="Paragrafoelenco"/>
        <w:numPr>
          <w:ilvl w:val="0"/>
          <w:numId w:val="3"/>
        </w:numPr>
        <w:spacing w:after="0" w:line="240" w:lineRule="auto"/>
        <w:rPr>
          <w:rFonts w:ascii="Arial" w:hAnsi="Arial" w:cs="Arial"/>
          <w:lang w:val="it-IT"/>
        </w:rPr>
      </w:pPr>
      <w:r w:rsidRPr="00681505">
        <w:rPr>
          <w:rFonts w:ascii="Arial" w:hAnsi="Arial" w:cs="Arial"/>
          <w:lang w:val="it-IT"/>
        </w:rPr>
        <w:t>Cessioni</w:t>
      </w:r>
      <w:r w:rsidR="0035143F" w:rsidRPr="00681505">
        <w:rPr>
          <w:rFonts w:ascii="Arial" w:hAnsi="Arial" w:cs="Arial"/>
          <w:lang w:val="it-IT"/>
        </w:rPr>
        <w:t xml:space="preserve"> </w:t>
      </w:r>
      <w:r w:rsidRPr="00681505">
        <w:rPr>
          <w:rFonts w:ascii="Arial" w:hAnsi="Arial" w:cs="Arial"/>
          <w:lang w:val="it-IT"/>
        </w:rPr>
        <w:t xml:space="preserve">per </w:t>
      </w:r>
      <w:r w:rsidR="00BE3430" w:rsidRPr="00681505">
        <w:rPr>
          <w:rFonts w:ascii="Arial" w:hAnsi="Arial" w:cs="Arial"/>
          <w:lang w:val="it-IT"/>
        </w:rPr>
        <w:t>Euro 9</w:t>
      </w:r>
      <w:r w:rsidR="00A86A3E" w:rsidRPr="00681505">
        <w:rPr>
          <w:rFonts w:ascii="Arial" w:hAnsi="Arial" w:cs="Arial"/>
          <w:lang w:val="it-IT"/>
        </w:rPr>
        <w:t>1</w:t>
      </w:r>
      <w:r w:rsidRPr="00681505">
        <w:rPr>
          <w:rFonts w:ascii="Arial" w:hAnsi="Arial" w:cs="Arial"/>
          <w:lang w:val="it-IT"/>
        </w:rPr>
        <w:t>,</w:t>
      </w:r>
      <w:r w:rsidR="00ED1991" w:rsidRPr="00681505">
        <w:rPr>
          <w:rFonts w:ascii="Arial" w:hAnsi="Arial" w:cs="Arial"/>
          <w:lang w:val="it-IT"/>
        </w:rPr>
        <w:t>8</w:t>
      </w:r>
      <w:r w:rsidR="00BE3430" w:rsidRPr="00681505">
        <w:rPr>
          <w:rFonts w:ascii="Arial" w:hAnsi="Arial" w:cs="Arial"/>
          <w:lang w:val="it-IT"/>
        </w:rPr>
        <w:t xml:space="preserve"> milion</w:t>
      </w:r>
      <w:r w:rsidRPr="00681505">
        <w:rPr>
          <w:rFonts w:ascii="Arial" w:hAnsi="Arial" w:cs="Arial"/>
          <w:lang w:val="it-IT"/>
        </w:rPr>
        <w:t>i</w:t>
      </w:r>
      <w:r w:rsidR="00BE3430" w:rsidRPr="00681505">
        <w:rPr>
          <w:rFonts w:ascii="Arial" w:hAnsi="Arial" w:cs="Arial"/>
          <w:lang w:val="it-IT"/>
        </w:rPr>
        <w:t xml:space="preserve"> </w:t>
      </w:r>
      <w:r w:rsidR="00ED44B9" w:rsidRPr="00681505">
        <w:rPr>
          <w:rFonts w:ascii="Arial" w:hAnsi="Arial" w:cs="Arial"/>
          <w:lang w:val="it-IT"/>
        </w:rPr>
        <w:t xml:space="preserve">(14% </w:t>
      </w:r>
      <w:r w:rsidRPr="00681505">
        <w:rPr>
          <w:rFonts w:ascii="Arial" w:hAnsi="Arial" w:cs="Arial"/>
          <w:lang w:val="it-IT"/>
        </w:rPr>
        <w:t xml:space="preserve">del </w:t>
      </w:r>
      <w:r w:rsidR="00ED44B9" w:rsidRPr="00681505">
        <w:rPr>
          <w:rFonts w:ascii="Arial" w:hAnsi="Arial" w:cs="Arial"/>
          <w:lang w:val="it-IT"/>
        </w:rPr>
        <w:t xml:space="preserve">portfolio) </w:t>
      </w:r>
      <w:r w:rsidRPr="00681505">
        <w:rPr>
          <w:rFonts w:ascii="Arial" w:hAnsi="Arial" w:cs="Arial"/>
          <w:lang w:val="it-IT"/>
        </w:rPr>
        <w:t>ad un premio del</w:t>
      </w:r>
      <w:r w:rsidR="00A86A3E" w:rsidRPr="00681505">
        <w:rPr>
          <w:rFonts w:ascii="Arial" w:hAnsi="Arial" w:cs="Arial"/>
          <w:lang w:val="it-IT"/>
        </w:rPr>
        <w:t xml:space="preserve"> 12% </w:t>
      </w:r>
    </w:p>
    <w:p w:rsidR="003201F5" w:rsidRPr="00681505" w:rsidRDefault="00525867" w:rsidP="00954DB3">
      <w:pPr>
        <w:pStyle w:val="Paragrafoelenco"/>
        <w:numPr>
          <w:ilvl w:val="0"/>
          <w:numId w:val="3"/>
        </w:numPr>
        <w:spacing w:after="0" w:line="240" w:lineRule="auto"/>
        <w:rPr>
          <w:rFonts w:ascii="Arial" w:hAnsi="Arial" w:cs="Arial"/>
          <w:lang w:val="it-IT"/>
        </w:rPr>
      </w:pPr>
      <w:r>
        <w:rPr>
          <w:rFonts w:ascii="Arial" w:hAnsi="Arial" w:cs="Arial"/>
          <w:lang w:val="it-IT"/>
        </w:rPr>
        <w:t>N</w:t>
      </w:r>
      <w:r w:rsidR="00715A59" w:rsidRPr="00681505">
        <w:rPr>
          <w:rFonts w:ascii="Arial" w:hAnsi="Arial" w:cs="Arial"/>
          <w:lang w:val="it-IT"/>
        </w:rPr>
        <w:t xml:space="preserve">uovi finanziamenti e rifinanziamenti </w:t>
      </w:r>
      <w:r>
        <w:rPr>
          <w:rFonts w:ascii="Arial" w:hAnsi="Arial" w:cs="Arial"/>
          <w:lang w:val="it-IT"/>
        </w:rPr>
        <w:t xml:space="preserve">per </w:t>
      </w:r>
      <w:r w:rsidRPr="00681505">
        <w:rPr>
          <w:rFonts w:ascii="Arial" w:hAnsi="Arial" w:cs="Arial"/>
          <w:lang w:val="it-IT"/>
        </w:rPr>
        <w:t>Euro 246,3 milion</w:t>
      </w:r>
      <w:r>
        <w:rPr>
          <w:rFonts w:ascii="Arial" w:hAnsi="Arial" w:cs="Arial"/>
          <w:lang w:val="it-IT"/>
        </w:rPr>
        <w:t>i</w:t>
      </w:r>
    </w:p>
    <w:p w:rsidR="00954DB3" w:rsidRPr="00681505" w:rsidRDefault="00954DB3" w:rsidP="00954DB3">
      <w:pPr>
        <w:spacing w:after="0" w:line="240" w:lineRule="auto"/>
        <w:rPr>
          <w:rFonts w:ascii="Arial" w:hAnsi="Arial" w:cs="Arial"/>
          <w:b/>
          <w:lang w:val="it-IT"/>
        </w:rPr>
      </w:pPr>
    </w:p>
    <w:p w:rsidR="00E86868" w:rsidRPr="00681505" w:rsidRDefault="00525867" w:rsidP="00954DB3">
      <w:pPr>
        <w:spacing w:after="0" w:line="240" w:lineRule="auto"/>
        <w:rPr>
          <w:rFonts w:ascii="Arial" w:hAnsi="Arial" w:cs="Arial"/>
          <w:b/>
          <w:lang w:val="it-IT"/>
        </w:rPr>
      </w:pPr>
      <w:r>
        <w:rPr>
          <w:rFonts w:ascii="Arial" w:hAnsi="Arial" w:cs="Arial"/>
          <w:b/>
          <w:lang w:val="it-IT"/>
        </w:rPr>
        <w:t>O</w:t>
      </w:r>
      <w:r w:rsidR="00715A59" w:rsidRPr="00681505">
        <w:rPr>
          <w:rFonts w:ascii="Arial" w:hAnsi="Arial" w:cs="Arial"/>
          <w:b/>
          <w:lang w:val="it-IT"/>
        </w:rPr>
        <w:t xml:space="preserve">utlook di mercato </w:t>
      </w:r>
      <w:r>
        <w:rPr>
          <w:rFonts w:ascii="Arial" w:hAnsi="Arial" w:cs="Arial"/>
          <w:b/>
          <w:lang w:val="it-IT"/>
        </w:rPr>
        <w:t xml:space="preserve">solido </w:t>
      </w:r>
      <w:r w:rsidR="00715A59" w:rsidRPr="00681505">
        <w:rPr>
          <w:rFonts w:ascii="Arial" w:hAnsi="Arial" w:cs="Arial"/>
          <w:b/>
          <w:lang w:val="it-IT"/>
        </w:rPr>
        <w:t>a Milano supporta l’</w:t>
      </w:r>
      <w:r w:rsidR="00B7734A" w:rsidRPr="00681505">
        <w:rPr>
          <w:rFonts w:ascii="Arial" w:hAnsi="Arial" w:cs="Arial"/>
          <w:b/>
          <w:lang w:val="it-IT"/>
        </w:rPr>
        <w:t>investment</w:t>
      </w:r>
      <w:r w:rsidR="0035143F" w:rsidRPr="00681505">
        <w:rPr>
          <w:rFonts w:ascii="Arial" w:hAnsi="Arial" w:cs="Arial"/>
          <w:b/>
          <w:lang w:val="it-IT"/>
        </w:rPr>
        <w:t xml:space="preserve"> case</w:t>
      </w:r>
      <w:r w:rsidR="00715A59" w:rsidRPr="00681505">
        <w:rPr>
          <w:rFonts w:ascii="Arial" w:hAnsi="Arial" w:cs="Arial"/>
          <w:b/>
          <w:lang w:val="it-IT"/>
        </w:rPr>
        <w:t xml:space="preserve"> di COIMA RES</w:t>
      </w:r>
    </w:p>
    <w:p w:rsidR="00E86868" w:rsidRPr="00681505" w:rsidRDefault="0002067B" w:rsidP="00954DB3">
      <w:pPr>
        <w:pStyle w:val="Paragrafoelenco"/>
        <w:numPr>
          <w:ilvl w:val="0"/>
          <w:numId w:val="5"/>
        </w:numPr>
        <w:spacing w:after="0" w:line="240" w:lineRule="auto"/>
        <w:rPr>
          <w:rFonts w:ascii="Arial" w:hAnsi="Arial" w:cs="Arial"/>
          <w:lang w:val="it-IT"/>
        </w:rPr>
      </w:pPr>
      <w:r>
        <w:rPr>
          <w:rFonts w:ascii="Arial" w:hAnsi="Arial" w:cs="Arial"/>
          <w:lang w:val="it-IT"/>
        </w:rPr>
        <w:t>Take up</w:t>
      </w:r>
      <w:r w:rsidR="00715A59" w:rsidRPr="00681505">
        <w:rPr>
          <w:rFonts w:ascii="Arial" w:hAnsi="Arial" w:cs="Arial"/>
          <w:lang w:val="it-IT"/>
        </w:rPr>
        <w:t xml:space="preserve"> record a Milano pari a </w:t>
      </w:r>
      <w:r w:rsidR="00E86868" w:rsidRPr="00681505">
        <w:rPr>
          <w:rFonts w:ascii="Arial" w:hAnsi="Arial" w:cs="Arial"/>
          <w:lang w:val="it-IT"/>
        </w:rPr>
        <w:t>400</w:t>
      </w:r>
      <w:r w:rsidR="00715A59" w:rsidRPr="00681505">
        <w:rPr>
          <w:rFonts w:ascii="Arial" w:hAnsi="Arial" w:cs="Arial"/>
          <w:lang w:val="it-IT"/>
        </w:rPr>
        <w:t>.</w:t>
      </w:r>
      <w:r w:rsidR="00E86868" w:rsidRPr="00681505">
        <w:rPr>
          <w:rFonts w:ascii="Arial" w:hAnsi="Arial" w:cs="Arial"/>
          <w:lang w:val="it-IT"/>
        </w:rPr>
        <w:t xml:space="preserve">000 </w:t>
      </w:r>
      <w:r w:rsidR="00715A59" w:rsidRPr="00681505">
        <w:rPr>
          <w:rFonts w:ascii="Arial" w:hAnsi="Arial" w:cs="Arial"/>
          <w:lang w:val="it-IT"/>
        </w:rPr>
        <w:t>mq nel</w:t>
      </w:r>
      <w:r w:rsidR="00E86868" w:rsidRPr="00681505">
        <w:rPr>
          <w:rFonts w:ascii="Arial" w:hAnsi="Arial" w:cs="Arial"/>
          <w:lang w:val="it-IT"/>
        </w:rPr>
        <w:t xml:space="preserve"> 2018</w:t>
      </w:r>
    </w:p>
    <w:p w:rsidR="00E86868" w:rsidRPr="00681505" w:rsidRDefault="00715A59" w:rsidP="00954DB3">
      <w:pPr>
        <w:pStyle w:val="Paragrafoelenco"/>
        <w:numPr>
          <w:ilvl w:val="0"/>
          <w:numId w:val="5"/>
        </w:numPr>
        <w:spacing w:after="0" w:line="240" w:lineRule="auto"/>
        <w:rPr>
          <w:rFonts w:ascii="Arial" w:hAnsi="Arial" w:cs="Arial"/>
          <w:lang w:val="it-IT"/>
        </w:rPr>
      </w:pPr>
      <w:r w:rsidRPr="00681505">
        <w:rPr>
          <w:rFonts w:ascii="Arial" w:hAnsi="Arial" w:cs="Arial"/>
          <w:lang w:val="it-IT"/>
        </w:rPr>
        <w:t xml:space="preserve">Livello di </w:t>
      </w:r>
      <w:r w:rsidR="0002067B">
        <w:rPr>
          <w:rFonts w:ascii="Arial" w:hAnsi="Arial" w:cs="Arial"/>
          <w:lang w:val="it-IT"/>
        </w:rPr>
        <w:t>sfitto</w:t>
      </w:r>
      <w:r w:rsidRPr="00681505">
        <w:rPr>
          <w:rFonts w:ascii="Arial" w:hAnsi="Arial" w:cs="Arial"/>
          <w:lang w:val="it-IT"/>
        </w:rPr>
        <w:t xml:space="preserve"> ai minimi storici</w:t>
      </w:r>
      <w:r w:rsidR="00E86868" w:rsidRPr="00681505">
        <w:rPr>
          <w:rFonts w:ascii="Arial" w:hAnsi="Arial" w:cs="Arial"/>
          <w:lang w:val="it-IT"/>
        </w:rPr>
        <w:t xml:space="preserve"> (2%) </w:t>
      </w:r>
      <w:r w:rsidRPr="00681505">
        <w:rPr>
          <w:rFonts w:ascii="Arial" w:hAnsi="Arial" w:cs="Arial"/>
          <w:lang w:val="it-IT"/>
        </w:rPr>
        <w:t xml:space="preserve">per immobili di </w:t>
      </w:r>
      <w:r w:rsidR="00E86868" w:rsidRPr="00681505">
        <w:rPr>
          <w:rFonts w:ascii="Arial" w:hAnsi="Arial" w:cs="Arial"/>
          <w:lang w:val="it-IT"/>
        </w:rPr>
        <w:t>Grad</w:t>
      </w:r>
      <w:r w:rsidRPr="00681505">
        <w:rPr>
          <w:rFonts w:ascii="Arial" w:hAnsi="Arial" w:cs="Arial"/>
          <w:lang w:val="it-IT"/>
        </w:rPr>
        <w:t>o</w:t>
      </w:r>
      <w:r w:rsidR="00E86868" w:rsidRPr="00681505">
        <w:rPr>
          <w:rFonts w:ascii="Arial" w:hAnsi="Arial" w:cs="Arial"/>
          <w:lang w:val="it-IT"/>
        </w:rPr>
        <w:t xml:space="preserve"> A </w:t>
      </w:r>
      <w:r w:rsidRPr="00681505">
        <w:rPr>
          <w:rFonts w:ascii="Arial" w:hAnsi="Arial" w:cs="Arial"/>
          <w:lang w:val="it-IT"/>
        </w:rPr>
        <w:t xml:space="preserve">a </w:t>
      </w:r>
      <w:r w:rsidR="00E86868" w:rsidRPr="00681505">
        <w:rPr>
          <w:rFonts w:ascii="Arial" w:hAnsi="Arial" w:cs="Arial"/>
          <w:lang w:val="it-IT"/>
        </w:rPr>
        <w:t>Milan</w:t>
      </w:r>
      <w:r w:rsidRPr="00681505">
        <w:rPr>
          <w:rFonts w:ascii="Arial" w:hAnsi="Arial" w:cs="Arial"/>
          <w:lang w:val="it-IT"/>
        </w:rPr>
        <w:t>o</w:t>
      </w:r>
    </w:p>
    <w:p w:rsidR="0035143F" w:rsidRPr="00681505" w:rsidRDefault="00715A59" w:rsidP="00715A59">
      <w:pPr>
        <w:pStyle w:val="Paragrafoelenco"/>
        <w:numPr>
          <w:ilvl w:val="0"/>
          <w:numId w:val="5"/>
        </w:numPr>
        <w:spacing w:after="0" w:line="240" w:lineRule="auto"/>
        <w:rPr>
          <w:rFonts w:ascii="Arial" w:hAnsi="Arial" w:cs="Arial"/>
          <w:lang w:val="it-IT"/>
        </w:rPr>
      </w:pPr>
      <w:r w:rsidRPr="00681505">
        <w:rPr>
          <w:rFonts w:ascii="Arial" w:hAnsi="Arial" w:cs="Arial"/>
          <w:lang w:val="it-IT"/>
        </w:rPr>
        <w:t>Canoni per uffici prime a Milano in aumento del 6% nel 2018</w:t>
      </w:r>
    </w:p>
    <w:p w:rsidR="00E86868" w:rsidRPr="00681505" w:rsidRDefault="00715A59" w:rsidP="00715A59">
      <w:pPr>
        <w:pStyle w:val="Paragrafoelenco"/>
        <w:numPr>
          <w:ilvl w:val="0"/>
          <w:numId w:val="5"/>
        </w:numPr>
        <w:spacing w:after="0" w:line="240" w:lineRule="auto"/>
        <w:rPr>
          <w:rFonts w:ascii="Arial" w:hAnsi="Arial" w:cs="Arial"/>
          <w:lang w:val="it-IT"/>
        </w:rPr>
      </w:pPr>
      <w:r w:rsidRPr="00681505">
        <w:rPr>
          <w:rFonts w:ascii="Arial" w:hAnsi="Arial" w:cs="Arial"/>
          <w:lang w:val="it-IT"/>
        </w:rPr>
        <w:t xml:space="preserve">Outlook positivo </w:t>
      </w:r>
      <w:r w:rsidR="00525867">
        <w:rPr>
          <w:rFonts w:ascii="Arial" w:hAnsi="Arial" w:cs="Arial"/>
          <w:lang w:val="it-IT"/>
        </w:rPr>
        <w:t>per la</w:t>
      </w:r>
      <w:r w:rsidRPr="00681505">
        <w:rPr>
          <w:rFonts w:ascii="Arial" w:hAnsi="Arial" w:cs="Arial"/>
          <w:lang w:val="it-IT"/>
        </w:rPr>
        <w:t xml:space="preserve"> crescita </w:t>
      </w:r>
      <w:r w:rsidR="00525867">
        <w:rPr>
          <w:rFonts w:ascii="Arial" w:hAnsi="Arial" w:cs="Arial"/>
          <w:lang w:val="it-IT"/>
        </w:rPr>
        <w:t xml:space="preserve">dei </w:t>
      </w:r>
      <w:r w:rsidRPr="00681505">
        <w:rPr>
          <w:rFonts w:ascii="Arial" w:hAnsi="Arial" w:cs="Arial"/>
          <w:lang w:val="it-IT"/>
        </w:rPr>
        <w:t>canoni, in particolare a Porta Nuova</w:t>
      </w:r>
    </w:p>
    <w:p w:rsidR="00BE3430" w:rsidRPr="00681505" w:rsidRDefault="00BE3430" w:rsidP="00E86868">
      <w:pPr>
        <w:rPr>
          <w:rFonts w:ascii="Arial" w:hAnsi="Arial" w:cs="Arial"/>
          <w:b/>
          <w:lang w:val="it-IT"/>
        </w:rPr>
      </w:pPr>
    </w:p>
    <w:p w:rsidR="00B259EC" w:rsidRPr="00681505" w:rsidRDefault="00E86868" w:rsidP="0035143F">
      <w:pPr>
        <w:jc w:val="both"/>
        <w:rPr>
          <w:rFonts w:ascii="Arial" w:hAnsi="Arial" w:cs="Arial"/>
          <w:i/>
          <w:lang w:val="it-IT"/>
        </w:rPr>
      </w:pPr>
      <w:r w:rsidRPr="00681505">
        <w:rPr>
          <w:rFonts w:ascii="Arial" w:hAnsi="Arial" w:cs="Arial"/>
          <w:b/>
          <w:lang w:val="it-IT"/>
        </w:rPr>
        <w:t>Manfredi Catella</w:t>
      </w:r>
      <w:r w:rsidRPr="00681505">
        <w:rPr>
          <w:rFonts w:ascii="Arial" w:hAnsi="Arial" w:cs="Arial"/>
          <w:lang w:val="it-IT"/>
        </w:rPr>
        <w:t xml:space="preserve">, </w:t>
      </w:r>
      <w:r w:rsidR="00715A59" w:rsidRPr="00681505">
        <w:rPr>
          <w:rFonts w:ascii="Arial" w:hAnsi="Arial" w:cs="Arial"/>
          <w:lang w:val="it-IT"/>
        </w:rPr>
        <w:t>Fondatore e Amministratore Delegato di COIMA RES, ha commentato</w:t>
      </w:r>
      <w:r w:rsidR="00954DB3" w:rsidRPr="00681505">
        <w:rPr>
          <w:rFonts w:ascii="Arial" w:hAnsi="Arial" w:cs="Arial"/>
          <w:lang w:val="it-IT"/>
        </w:rPr>
        <w:t xml:space="preserve">: </w:t>
      </w:r>
      <w:r w:rsidR="00BE3430" w:rsidRPr="00681505">
        <w:rPr>
          <w:rFonts w:ascii="Arial" w:hAnsi="Arial" w:cs="Arial"/>
          <w:lang w:val="it-IT"/>
        </w:rPr>
        <w:t>“</w:t>
      </w:r>
      <w:r w:rsidR="00715A59" w:rsidRPr="00681505">
        <w:rPr>
          <w:rFonts w:ascii="Arial" w:hAnsi="Arial" w:cs="Arial"/>
          <w:i/>
          <w:lang w:val="it-IT"/>
        </w:rPr>
        <w:t xml:space="preserve">Il nostro focus nel 2018 è stato l'acquisto di immobili con </w:t>
      </w:r>
      <w:r w:rsidR="0002067B">
        <w:rPr>
          <w:rFonts w:ascii="Arial" w:hAnsi="Arial" w:cs="Arial"/>
          <w:i/>
          <w:lang w:val="it-IT"/>
        </w:rPr>
        <w:t>potenziale</w:t>
      </w:r>
      <w:r w:rsidR="00715A59" w:rsidRPr="00681505">
        <w:rPr>
          <w:rFonts w:ascii="Arial" w:hAnsi="Arial" w:cs="Arial"/>
          <w:i/>
          <w:lang w:val="it-IT"/>
        </w:rPr>
        <w:t xml:space="preserve"> di crescita a Milano Porta Nuova e la vendita di asset maturi e non core cristallizza</w:t>
      </w:r>
      <w:r w:rsidR="00E83D4E" w:rsidRPr="00681505">
        <w:rPr>
          <w:rFonts w:ascii="Arial" w:hAnsi="Arial" w:cs="Arial"/>
          <w:i/>
          <w:lang w:val="it-IT"/>
        </w:rPr>
        <w:t>ndo</w:t>
      </w:r>
      <w:r w:rsidR="00715A59" w:rsidRPr="00681505">
        <w:rPr>
          <w:rFonts w:ascii="Arial" w:hAnsi="Arial" w:cs="Arial"/>
          <w:i/>
          <w:lang w:val="it-IT"/>
        </w:rPr>
        <w:t xml:space="preserve"> la creazione di valore. L'acquisizione del </w:t>
      </w:r>
      <w:r w:rsidR="00E83D4E" w:rsidRPr="00681505">
        <w:rPr>
          <w:rFonts w:ascii="Arial" w:hAnsi="Arial" w:cs="Arial"/>
          <w:i/>
          <w:lang w:val="it-IT"/>
        </w:rPr>
        <w:t xml:space="preserve">Pavilion a </w:t>
      </w:r>
      <w:r w:rsidR="00715A59" w:rsidRPr="00681505">
        <w:rPr>
          <w:rFonts w:ascii="Arial" w:hAnsi="Arial" w:cs="Arial"/>
          <w:i/>
          <w:lang w:val="it-IT"/>
        </w:rPr>
        <w:t>Milano e la cessione dell</w:t>
      </w:r>
      <w:r w:rsidR="00E83D4E" w:rsidRPr="00681505">
        <w:rPr>
          <w:rFonts w:ascii="Arial" w:hAnsi="Arial" w:cs="Arial"/>
          <w:i/>
          <w:lang w:val="it-IT"/>
        </w:rPr>
        <w:t>’</w:t>
      </w:r>
      <w:r w:rsidR="00715A59" w:rsidRPr="00681505">
        <w:rPr>
          <w:rFonts w:ascii="Arial" w:hAnsi="Arial" w:cs="Arial"/>
          <w:i/>
          <w:lang w:val="it-IT"/>
        </w:rPr>
        <w:t xml:space="preserve">Eurcenter a Roma sono importanti </w:t>
      </w:r>
      <w:r w:rsidR="00E83D4E" w:rsidRPr="00681505">
        <w:rPr>
          <w:rFonts w:ascii="Arial" w:hAnsi="Arial" w:cs="Arial"/>
          <w:i/>
          <w:lang w:val="it-IT"/>
        </w:rPr>
        <w:t xml:space="preserve">elementi </w:t>
      </w:r>
      <w:r w:rsidR="00715A59" w:rsidRPr="00681505">
        <w:rPr>
          <w:rFonts w:ascii="Arial" w:hAnsi="Arial" w:cs="Arial"/>
          <w:i/>
          <w:lang w:val="it-IT"/>
        </w:rPr>
        <w:t xml:space="preserve">che rafforzano il nostro track record e la nostra proposta di creazione di valore. In prospettiva, continueremo a concentrarci sulla gestione </w:t>
      </w:r>
      <w:r w:rsidR="00E83D4E" w:rsidRPr="00681505">
        <w:rPr>
          <w:rFonts w:ascii="Arial" w:hAnsi="Arial" w:cs="Arial"/>
          <w:i/>
          <w:lang w:val="it-IT"/>
        </w:rPr>
        <w:t>immobiliare</w:t>
      </w:r>
      <w:r w:rsidR="00525867">
        <w:rPr>
          <w:rFonts w:ascii="Arial" w:hAnsi="Arial" w:cs="Arial"/>
          <w:i/>
          <w:lang w:val="it-IT"/>
        </w:rPr>
        <w:t>,</w:t>
      </w:r>
      <w:r w:rsidR="00715A59" w:rsidRPr="00681505">
        <w:rPr>
          <w:rFonts w:ascii="Arial" w:hAnsi="Arial" w:cs="Arial"/>
          <w:i/>
          <w:lang w:val="it-IT"/>
        </w:rPr>
        <w:t xml:space="preserve"> sulla valutazione attenta e selettiva </w:t>
      </w:r>
      <w:r w:rsidR="00E83D4E" w:rsidRPr="00681505">
        <w:rPr>
          <w:rFonts w:ascii="Arial" w:hAnsi="Arial" w:cs="Arial"/>
          <w:i/>
          <w:lang w:val="it-IT"/>
        </w:rPr>
        <w:t xml:space="preserve">di nuove </w:t>
      </w:r>
      <w:r w:rsidR="00715A59" w:rsidRPr="00681505">
        <w:rPr>
          <w:rFonts w:ascii="Arial" w:hAnsi="Arial" w:cs="Arial"/>
          <w:i/>
          <w:lang w:val="it-IT"/>
        </w:rPr>
        <w:t xml:space="preserve">opportunità di investimento, </w:t>
      </w:r>
      <w:r w:rsidR="00E83D4E" w:rsidRPr="00681505">
        <w:rPr>
          <w:rFonts w:ascii="Arial" w:hAnsi="Arial" w:cs="Arial"/>
          <w:i/>
          <w:lang w:val="it-IT"/>
        </w:rPr>
        <w:t xml:space="preserve">sempre </w:t>
      </w:r>
      <w:r w:rsidR="00715A59" w:rsidRPr="00681505">
        <w:rPr>
          <w:rFonts w:ascii="Arial" w:hAnsi="Arial" w:cs="Arial"/>
          <w:i/>
          <w:lang w:val="it-IT"/>
        </w:rPr>
        <w:t>mantenendo un livello prudente di leva finanziaria.</w:t>
      </w:r>
      <w:r w:rsidRPr="00681505">
        <w:rPr>
          <w:rFonts w:ascii="Arial" w:hAnsi="Arial" w:cs="Arial"/>
          <w:lang w:val="it-IT"/>
        </w:rPr>
        <w:t>”</w:t>
      </w:r>
      <w:r w:rsidR="00B259EC" w:rsidRPr="00681505">
        <w:rPr>
          <w:rFonts w:ascii="Arial" w:hAnsi="Arial" w:cs="Arial"/>
          <w:i/>
          <w:lang w:val="it-IT"/>
        </w:rPr>
        <w:br w:type="page"/>
      </w:r>
    </w:p>
    <w:p w:rsidR="00107035" w:rsidRPr="00681505" w:rsidRDefault="00954DB3" w:rsidP="00F71B67">
      <w:pPr>
        <w:jc w:val="both"/>
        <w:rPr>
          <w:rFonts w:ascii="Arial" w:hAnsi="Arial" w:cs="Arial"/>
          <w:lang w:val="it-IT"/>
        </w:rPr>
      </w:pPr>
      <w:r w:rsidRPr="00681505">
        <w:rPr>
          <w:rFonts w:ascii="Arial" w:hAnsi="Arial" w:cs="Arial"/>
          <w:i/>
          <w:lang w:val="it-IT"/>
        </w:rPr>
        <w:lastRenderedPageBreak/>
        <w:t>Milan</w:t>
      </w:r>
      <w:r w:rsidR="00E83D4E" w:rsidRPr="00681505">
        <w:rPr>
          <w:rFonts w:ascii="Arial" w:hAnsi="Arial" w:cs="Arial"/>
          <w:i/>
          <w:lang w:val="it-IT"/>
        </w:rPr>
        <w:t>o</w:t>
      </w:r>
      <w:r w:rsidRPr="00681505">
        <w:rPr>
          <w:rFonts w:ascii="Arial" w:hAnsi="Arial" w:cs="Arial"/>
          <w:i/>
          <w:lang w:val="it-IT"/>
        </w:rPr>
        <w:t xml:space="preserve">, </w:t>
      </w:r>
      <w:r w:rsidR="00E83D4E" w:rsidRPr="00681505">
        <w:rPr>
          <w:rFonts w:ascii="Arial" w:hAnsi="Arial" w:cs="Arial"/>
          <w:i/>
          <w:lang w:val="it-IT"/>
        </w:rPr>
        <w:t xml:space="preserve">22 febbraio </w:t>
      </w:r>
      <w:r w:rsidR="00A551C8" w:rsidRPr="00681505">
        <w:rPr>
          <w:rFonts w:ascii="Arial" w:hAnsi="Arial" w:cs="Arial"/>
          <w:i/>
          <w:lang w:val="it-IT"/>
        </w:rPr>
        <w:t>201</w:t>
      </w:r>
      <w:r w:rsidR="00E83D4E" w:rsidRPr="00681505">
        <w:rPr>
          <w:rFonts w:ascii="Arial" w:hAnsi="Arial" w:cs="Arial"/>
          <w:i/>
          <w:lang w:val="it-IT"/>
        </w:rPr>
        <w:t>9</w:t>
      </w:r>
      <w:r w:rsidR="00A551C8" w:rsidRPr="00681505">
        <w:rPr>
          <w:rFonts w:ascii="Arial" w:hAnsi="Arial" w:cs="Arial"/>
          <w:lang w:val="it-IT"/>
        </w:rPr>
        <w:t xml:space="preserve"> – </w:t>
      </w:r>
      <w:r w:rsidR="00E83D4E" w:rsidRPr="00681505">
        <w:rPr>
          <w:rFonts w:ascii="Arial" w:hAnsi="Arial" w:cs="Arial"/>
          <w:lang w:val="it-IT"/>
        </w:rPr>
        <w:t xml:space="preserve">Il Consiglio di Amministrazione di COIMA RES, riunitosi ieri sotto la presidenza di Massimo Capuano, ha approvato </w:t>
      </w:r>
      <w:r w:rsidR="0002067B">
        <w:rPr>
          <w:rFonts w:ascii="Arial" w:hAnsi="Arial" w:cs="Arial"/>
          <w:lang w:val="it-IT"/>
        </w:rPr>
        <w:t>il progetto di Bilancio d’Esercizio e Consolidato</w:t>
      </w:r>
      <w:r w:rsidR="00E83D4E" w:rsidRPr="00681505">
        <w:rPr>
          <w:rFonts w:ascii="Arial" w:hAnsi="Arial" w:cs="Arial"/>
          <w:lang w:val="it-IT"/>
        </w:rPr>
        <w:t xml:space="preserve"> al 31 dicembre 2018</w:t>
      </w:r>
      <w:r w:rsidR="00A551C8" w:rsidRPr="00681505">
        <w:rPr>
          <w:rFonts w:ascii="Arial" w:hAnsi="Arial" w:cs="Arial"/>
          <w:lang w:val="it-IT"/>
        </w:rPr>
        <w:t>.</w:t>
      </w:r>
    </w:p>
    <w:p w:rsidR="00107035" w:rsidRPr="00681505" w:rsidRDefault="00107035">
      <w:pPr>
        <w:rPr>
          <w:rFonts w:ascii="Arial" w:hAnsi="Arial" w:cs="Arial"/>
          <w:lang w:val="it-IT"/>
        </w:rPr>
      </w:pPr>
    </w:p>
    <w:p w:rsidR="00BE3430" w:rsidRPr="00681505" w:rsidRDefault="00E83D4E">
      <w:pPr>
        <w:rPr>
          <w:rFonts w:ascii="Arial" w:hAnsi="Arial" w:cs="Arial"/>
          <w:b/>
          <w:lang w:val="it-IT"/>
        </w:rPr>
      </w:pPr>
      <w:r w:rsidRPr="00681505">
        <w:rPr>
          <w:rFonts w:ascii="Arial" w:hAnsi="Arial" w:cs="Arial"/>
          <w:b/>
          <w:lang w:val="it-IT"/>
        </w:rPr>
        <w:t xml:space="preserve">Sintesi dei </w:t>
      </w:r>
      <w:r w:rsidR="004F6367" w:rsidRPr="00681505">
        <w:rPr>
          <w:rFonts w:ascii="Arial" w:hAnsi="Arial" w:cs="Arial"/>
          <w:b/>
          <w:lang w:val="it-IT"/>
        </w:rPr>
        <w:t xml:space="preserve">Dati Finanziari </w:t>
      </w:r>
      <w:r w:rsidRPr="00681505">
        <w:rPr>
          <w:rFonts w:ascii="Arial" w:hAnsi="Arial" w:cs="Arial"/>
          <w:b/>
          <w:lang w:val="it-IT"/>
        </w:rPr>
        <w:t>al 31 dicembre 2018</w:t>
      </w:r>
    </w:p>
    <w:p w:rsidR="00BE3430" w:rsidRPr="00681505" w:rsidRDefault="00BE3430">
      <w:pPr>
        <w:rPr>
          <w:rFonts w:ascii="Arial" w:hAnsi="Arial" w:cs="Arial"/>
          <w:lang w:val="it-IT"/>
        </w:rPr>
      </w:pPr>
    </w:p>
    <w:tbl>
      <w:tblPr>
        <w:tblW w:w="9545" w:type="dxa"/>
        <w:jc w:val="center"/>
        <w:tblLayout w:type="fixed"/>
        <w:tblCellMar>
          <w:top w:w="15" w:type="dxa"/>
          <w:bottom w:w="15" w:type="dxa"/>
        </w:tblCellMar>
        <w:tblLook w:val="04A0"/>
      </w:tblPr>
      <w:tblGrid>
        <w:gridCol w:w="4007"/>
        <w:gridCol w:w="1384"/>
        <w:gridCol w:w="1385"/>
        <w:gridCol w:w="1384"/>
        <w:gridCol w:w="1385"/>
      </w:tblGrid>
      <w:tr w:rsidR="00107035" w:rsidRPr="00681505" w:rsidTr="00BE3430">
        <w:trPr>
          <w:trHeight w:hRule="exact" w:val="340"/>
          <w:jc w:val="center"/>
        </w:trPr>
        <w:tc>
          <w:tcPr>
            <w:tcW w:w="4007" w:type="dxa"/>
            <w:tcBorders>
              <w:top w:val="nil"/>
              <w:left w:val="nil"/>
              <w:bottom w:val="single" w:sz="4" w:space="0" w:color="auto"/>
              <w:right w:val="nil"/>
            </w:tcBorders>
            <w:noWrap/>
            <w:vAlign w:val="center"/>
            <w:hideMark/>
          </w:tcPr>
          <w:p w:rsidR="00107035" w:rsidRPr="00681505" w:rsidRDefault="00E83D4E" w:rsidP="00A32FAF">
            <w:pPr>
              <w:rPr>
                <w:rFonts w:ascii="Arial" w:hAnsi="Arial" w:cs="Arial"/>
                <w:b/>
                <w:bCs/>
                <w:color w:val="000000"/>
                <w:sz w:val="18"/>
                <w:szCs w:val="18"/>
                <w:lang w:val="it-IT"/>
              </w:rPr>
            </w:pPr>
            <w:r w:rsidRPr="00681505">
              <w:rPr>
                <w:rFonts w:ascii="Arial" w:hAnsi="Arial" w:cs="Arial"/>
                <w:b/>
                <w:bCs/>
                <w:color w:val="000000"/>
                <w:sz w:val="18"/>
                <w:szCs w:val="18"/>
                <w:lang w:val="it-IT"/>
              </w:rPr>
              <w:t>Stato Patrimoniale (Euro milioni)</w:t>
            </w:r>
          </w:p>
        </w:tc>
        <w:tc>
          <w:tcPr>
            <w:tcW w:w="1384" w:type="dxa"/>
            <w:tcBorders>
              <w:top w:val="nil"/>
              <w:left w:val="nil"/>
              <w:bottom w:val="single" w:sz="4" w:space="0" w:color="auto"/>
              <w:right w:val="nil"/>
            </w:tcBorders>
            <w:noWrap/>
            <w:vAlign w:val="center"/>
            <w:hideMark/>
          </w:tcPr>
          <w:p w:rsidR="00107035" w:rsidRPr="00681505" w:rsidRDefault="00E83D4E" w:rsidP="00BE3430">
            <w:pPr>
              <w:jc w:val="right"/>
              <w:rPr>
                <w:rFonts w:ascii="Arial" w:hAnsi="Arial" w:cs="Arial"/>
                <w:b/>
                <w:bCs/>
                <w:color w:val="000000"/>
                <w:sz w:val="18"/>
                <w:szCs w:val="18"/>
                <w:lang w:val="it-IT"/>
              </w:rPr>
            </w:pPr>
            <w:r w:rsidRPr="00681505">
              <w:rPr>
                <w:rFonts w:ascii="Arial" w:hAnsi="Arial" w:cs="Arial"/>
                <w:b/>
                <w:bCs/>
                <w:color w:val="000000"/>
                <w:sz w:val="18"/>
                <w:szCs w:val="18"/>
                <w:lang w:val="it-IT"/>
              </w:rPr>
              <w:t>di</w:t>
            </w:r>
            <w:r w:rsidR="00107035" w:rsidRPr="00681505">
              <w:rPr>
                <w:rFonts w:ascii="Arial" w:hAnsi="Arial" w:cs="Arial"/>
                <w:b/>
                <w:bCs/>
                <w:color w:val="000000"/>
                <w:sz w:val="18"/>
                <w:szCs w:val="18"/>
                <w:lang w:val="it-IT"/>
              </w:rPr>
              <w:t>c-18</w:t>
            </w:r>
          </w:p>
        </w:tc>
        <w:tc>
          <w:tcPr>
            <w:tcW w:w="1385" w:type="dxa"/>
            <w:tcBorders>
              <w:top w:val="nil"/>
              <w:left w:val="nil"/>
              <w:bottom w:val="single" w:sz="4" w:space="0" w:color="auto"/>
              <w:right w:val="nil"/>
            </w:tcBorders>
            <w:noWrap/>
            <w:vAlign w:val="center"/>
            <w:hideMark/>
          </w:tcPr>
          <w:p w:rsidR="00107035" w:rsidRPr="00681505" w:rsidRDefault="00E83D4E" w:rsidP="00BE3430">
            <w:pPr>
              <w:jc w:val="right"/>
              <w:rPr>
                <w:rFonts w:ascii="Arial" w:hAnsi="Arial" w:cs="Arial"/>
                <w:b/>
                <w:bCs/>
                <w:color w:val="000000"/>
                <w:sz w:val="18"/>
                <w:szCs w:val="18"/>
                <w:lang w:val="it-IT"/>
              </w:rPr>
            </w:pPr>
            <w:r w:rsidRPr="00681505">
              <w:rPr>
                <w:rFonts w:ascii="Arial" w:hAnsi="Arial" w:cs="Arial"/>
                <w:b/>
                <w:bCs/>
                <w:color w:val="000000"/>
                <w:sz w:val="18"/>
                <w:szCs w:val="18"/>
                <w:lang w:val="it-IT"/>
              </w:rPr>
              <w:t>di</w:t>
            </w:r>
            <w:r w:rsidR="00107035" w:rsidRPr="00681505">
              <w:rPr>
                <w:rFonts w:ascii="Arial" w:hAnsi="Arial" w:cs="Arial"/>
                <w:b/>
                <w:bCs/>
                <w:color w:val="000000"/>
                <w:sz w:val="18"/>
                <w:szCs w:val="18"/>
                <w:lang w:val="it-IT"/>
              </w:rPr>
              <w:t>c-17</w:t>
            </w:r>
          </w:p>
        </w:tc>
        <w:tc>
          <w:tcPr>
            <w:tcW w:w="1384" w:type="dxa"/>
            <w:tcBorders>
              <w:top w:val="nil"/>
              <w:left w:val="nil"/>
              <w:bottom w:val="single" w:sz="4" w:space="0" w:color="auto"/>
              <w:right w:val="nil"/>
            </w:tcBorders>
            <w:noWrap/>
            <w:vAlign w:val="center"/>
          </w:tcPr>
          <w:p w:rsidR="00107035" w:rsidRPr="00681505" w:rsidRDefault="00107035" w:rsidP="00BE3430">
            <w:pPr>
              <w:jc w:val="right"/>
              <w:rPr>
                <w:rFonts w:ascii="Arial" w:hAnsi="Arial" w:cs="Arial"/>
                <w:b/>
                <w:bCs/>
                <w:color w:val="000000"/>
                <w:sz w:val="18"/>
                <w:szCs w:val="18"/>
                <w:lang w:val="it-IT"/>
              </w:rPr>
            </w:pPr>
            <w:r w:rsidRPr="00681505">
              <w:rPr>
                <w:rFonts w:ascii="Arial" w:hAnsi="Arial" w:cs="Arial"/>
                <w:b/>
                <w:bCs/>
                <w:color w:val="000000"/>
                <w:sz w:val="18"/>
                <w:szCs w:val="18"/>
                <w:lang w:val="it-IT"/>
              </w:rPr>
              <w:t>Delta (%)</w:t>
            </w:r>
          </w:p>
        </w:tc>
        <w:tc>
          <w:tcPr>
            <w:tcW w:w="1385" w:type="dxa"/>
            <w:tcBorders>
              <w:top w:val="nil"/>
              <w:left w:val="nil"/>
              <w:bottom w:val="single" w:sz="4" w:space="0" w:color="auto"/>
              <w:right w:val="nil"/>
            </w:tcBorders>
            <w:noWrap/>
            <w:vAlign w:val="center"/>
          </w:tcPr>
          <w:p w:rsidR="00107035" w:rsidRPr="00681505" w:rsidRDefault="00107035" w:rsidP="00BE3430">
            <w:pPr>
              <w:jc w:val="right"/>
              <w:rPr>
                <w:rFonts w:ascii="Arial" w:hAnsi="Arial" w:cs="Arial"/>
                <w:b/>
                <w:bCs/>
                <w:color w:val="000000"/>
                <w:sz w:val="18"/>
                <w:szCs w:val="18"/>
                <w:lang w:val="it-IT"/>
              </w:rPr>
            </w:pPr>
            <w:r w:rsidRPr="00681505">
              <w:rPr>
                <w:rFonts w:ascii="Arial" w:hAnsi="Arial" w:cs="Arial"/>
                <w:b/>
                <w:bCs/>
                <w:color w:val="000000"/>
                <w:sz w:val="18"/>
                <w:szCs w:val="18"/>
                <w:lang w:val="it-IT"/>
              </w:rPr>
              <w:t>Delta</w:t>
            </w:r>
          </w:p>
        </w:tc>
      </w:tr>
      <w:tr w:rsidR="00107035" w:rsidRPr="00681505" w:rsidTr="00BE3430">
        <w:trPr>
          <w:trHeight w:hRule="exact" w:val="340"/>
          <w:jc w:val="center"/>
        </w:trPr>
        <w:tc>
          <w:tcPr>
            <w:tcW w:w="4007" w:type="dxa"/>
            <w:tcBorders>
              <w:top w:val="nil"/>
              <w:left w:val="nil"/>
              <w:bottom w:val="nil"/>
              <w:right w:val="nil"/>
            </w:tcBorders>
            <w:noWrap/>
            <w:vAlign w:val="center"/>
            <w:hideMark/>
          </w:tcPr>
          <w:p w:rsidR="00107035" w:rsidRPr="00681505" w:rsidRDefault="00E83D4E" w:rsidP="00BE3430">
            <w:pPr>
              <w:rPr>
                <w:rFonts w:ascii="Arial" w:hAnsi="Arial" w:cs="Arial"/>
                <w:color w:val="000000"/>
                <w:sz w:val="18"/>
                <w:szCs w:val="18"/>
                <w:lang w:val="it-IT"/>
              </w:rPr>
            </w:pPr>
            <w:r w:rsidRPr="00681505">
              <w:rPr>
                <w:rFonts w:ascii="Arial" w:hAnsi="Arial" w:cs="Arial"/>
                <w:color w:val="000000"/>
                <w:sz w:val="18"/>
                <w:szCs w:val="18"/>
                <w:lang w:val="it-IT"/>
              </w:rPr>
              <w:t>Gross Asset Value</w:t>
            </w:r>
            <w:r w:rsidR="00A32FAF" w:rsidRPr="00681505">
              <w:rPr>
                <w:rFonts w:ascii="Arial" w:hAnsi="Arial" w:cs="Arial"/>
                <w:color w:val="000000"/>
                <w:sz w:val="18"/>
                <w:szCs w:val="18"/>
                <w:lang w:val="it-IT"/>
              </w:rPr>
              <w:t xml:space="preserve"> </w:t>
            </w:r>
            <w:r w:rsidR="00A32FAF" w:rsidRPr="00681505">
              <w:rPr>
                <w:rFonts w:ascii="Arial" w:hAnsi="Arial" w:cs="Arial"/>
                <w:color w:val="000000"/>
                <w:sz w:val="12"/>
                <w:szCs w:val="12"/>
                <w:lang w:val="it-IT"/>
              </w:rPr>
              <w:t xml:space="preserve">(Bonnet </w:t>
            </w:r>
            <w:r w:rsidRPr="00681505">
              <w:rPr>
                <w:rFonts w:ascii="Arial" w:hAnsi="Arial" w:cs="Arial"/>
                <w:color w:val="000000"/>
                <w:sz w:val="12"/>
                <w:szCs w:val="12"/>
                <w:lang w:val="it-IT"/>
              </w:rPr>
              <w:t>su base</w:t>
            </w:r>
            <w:r w:rsidR="00A32FAF" w:rsidRPr="00681505">
              <w:rPr>
                <w:rFonts w:ascii="Arial" w:hAnsi="Arial" w:cs="Arial"/>
                <w:color w:val="000000"/>
                <w:sz w:val="12"/>
                <w:szCs w:val="12"/>
                <w:lang w:val="it-IT"/>
              </w:rPr>
              <w:t xml:space="preserve"> pro rata)</w:t>
            </w:r>
          </w:p>
        </w:tc>
        <w:tc>
          <w:tcPr>
            <w:tcW w:w="1384" w:type="dxa"/>
            <w:tcBorders>
              <w:top w:val="nil"/>
              <w:left w:val="nil"/>
              <w:bottom w:val="nil"/>
              <w:right w:val="nil"/>
            </w:tcBorders>
            <w:noWrap/>
            <w:vAlign w:val="center"/>
            <w:hideMark/>
          </w:tcPr>
          <w:p w:rsidR="00107035" w:rsidRPr="00681505" w:rsidRDefault="00107035" w:rsidP="00BE3430">
            <w:pPr>
              <w:jc w:val="right"/>
              <w:rPr>
                <w:rFonts w:ascii="Arial" w:hAnsi="Arial" w:cs="Arial"/>
                <w:color w:val="000000"/>
                <w:sz w:val="18"/>
                <w:szCs w:val="18"/>
                <w:lang w:val="it-IT"/>
              </w:rPr>
            </w:pPr>
            <w:r w:rsidRPr="00681505">
              <w:rPr>
                <w:rFonts w:ascii="Arial" w:hAnsi="Arial" w:cs="Arial"/>
                <w:color w:val="000000"/>
                <w:sz w:val="18"/>
                <w:szCs w:val="18"/>
                <w:lang w:val="it-IT"/>
              </w:rPr>
              <w:t>6</w:t>
            </w:r>
            <w:r w:rsidR="0035143F" w:rsidRPr="00681505">
              <w:rPr>
                <w:rFonts w:ascii="Arial" w:hAnsi="Arial" w:cs="Arial"/>
                <w:color w:val="000000"/>
                <w:sz w:val="18"/>
                <w:szCs w:val="18"/>
                <w:lang w:val="it-IT"/>
              </w:rPr>
              <w:t>6</w:t>
            </w:r>
            <w:r w:rsidR="00B7734A" w:rsidRPr="00681505">
              <w:rPr>
                <w:rFonts w:ascii="Arial" w:hAnsi="Arial" w:cs="Arial"/>
                <w:color w:val="000000"/>
                <w:sz w:val="18"/>
                <w:szCs w:val="18"/>
                <w:lang w:val="it-IT"/>
              </w:rPr>
              <w:t>3</w:t>
            </w:r>
            <w:r w:rsidR="00E83D4E" w:rsidRPr="00681505">
              <w:rPr>
                <w:rFonts w:ascii="Arial" w:hAnsi="Arial" w:cs="Arial"/>
                <w:color w:val="000000"/>
                <w:sz w:val="18"/>
                <w:szCs w:val="18"/>
                <w:lang w:val="it-IT"/>
              </w:rPr>
              <w:t>,</w:t>
            </w:r>
            <w:r w:rsidR="00B7734A" w:rsidRPr="00681505">
              <w:rPr>
                <w:rFonts w:ascii="Arial" w:hAnsi="Arial" w:cs="Arial"/>
                <w:color w:val="000000"/>
                <w:sz w:val="18"/>
                <w:szCs w:val="18"/>
                <w:lang w:val="it-IT"/>
              </w:rPr>
              <w:t>9</w:t>
            </w:r>
            <w:r w:rsidRPr="00681505">
              <w:rPr>
                <w:rFonts w:ascii="Arial" w:hAnsi="Arial" w:cs="Arial"/>
                <w:color w:val="000000"/>
                <w:sz w:val="18"/>
                <w:szCs w:val="18"/>
                <w:lang w:val="it-IT"/>
              </w:rPr>
              <w:t xml:space="preserve"> </w:t>
            </w:r>
          </w:p>
        </w:tc>
        <w:tc>
          <w:tcPr>
            <w:tcW w:w="1385" w:type="dxa"/>
            <w:tcBorders>
              <w:top w:val="nil"/>
              <w:left w:val="nil"/>
              <w:bottom w:val="nil"/>
              <w:right w:val="nil"/>
            </w:tcBorders>
            <w:noWrap/>
            <w:vAlign w:val="center"/>
            <w:hideMark/>
          </w:tcPr>
          <w:p w:rsidR="00107035" w:rsidRPr="00681505" w:rsidRDefault="00107035" w:rsidP="00BE3430">
            <w:pPr>
              <w:jc w:val="right"/>
              <w:rPr>
                <w:rFonts w:ascii="Arial" w:hAnsi="Arial" w:cs="Arial"/>
                <w:color w:val="000000"/>
                <w:sz w:val="18"/>
                <w:szCs w:val="18"/>
                <w:lang w:val="it-IT"/>
              </w:rPr>
            </w:pPr>
            <w:r w:rsidRPr="00681505">
              <w:rPr>
                <w:rFonts w:ascii="Arial" w:hAnsi="Arial" w:cs="Arial"/>
                <w:color w:val="000000"/>
                <w:sz w:val="18"/>
                <w:szCs w:val="18"/>
                <w:lang w:val="it-IT"/>
              </w:rPr>
              <w:t>610</w:t>
            </w:r>
            <w:r w:rsidR="00E83D4E" w:rsidRPr="00681505">
              <w:rPr>
                <w:rFonts w:ascii="Arial" w:hAnsi="Arial" w:cs="Arial"/>
                <w:color w:val="000000"/>
                <w:sz w:val="18"/>
                <w:szCs w:val="18"/>
                <w:lang w:val="it-IT"/>
              </w:rPr>
              <w:t>,</w:t>
            </w:r>
            <w:r w:rsidRPr="00681505">
              <w:rPr>
                <w:rFonts w:ascii="Arial" w:hAnsi="Arial" w:cs="Arial"/>
                <w:color w:val="000000"/>
                <w:sz w:val="18"/>
                <w:szCs w:val="18"/>
                <w:lang w:val="it-IT"/>
              </w:rPr>
              <w:t xml:space="preserve">7 </w:t>
            </w:r>
          </w:p>
        </w:tc>
        <w:tc>
          <w:tcPr>
            <w:tcW w:w="1384" w:type="dxa"/>
            <w:tcBorders>
              <w:top w:val="nil"/>
              <w:left w:val="nil"/>
              <w:bottom w:val="nil"/>
              <w:right w:val="nil"/>
            </w:tcBorders>
            <w:noWrap/>
            <w:vAlign w:val="center"/>
          </w:tcPr>
          <w:p w:rsidR="00107035" w:rsidRPr="00681505" w:rsidRDefault="0035143F" w:rsidP="00BE3430">
            <w:pPr>
              <w:jc w:val="right"/>
              <w:rPr>
                <w:rFonts w:ascii="Arial" w:hAnsi="Arial" w:cs="Arial"/>
                <w:color w:val="000000"/>
                <w:sz w:val="18"/>
                <w:szCs w:val="18"/>
                <w:lang w:val="it-IT"/>
              </w:rPr>
            </w:pPr>
            <w:r w:rsidRPr="00681505">
              <w:rPr>
                <w:rFonts w:ascii="Arial" w:hAnsi="Arial" w:cs="Arial"/>
                <w:color w:val="000000"/>
                <w:sz w:val="18"/>
                <w:szCs w:val="18"/>
                <w:lang w:val="it-IT"/>
              </w:rPr>
              <w:t>8</w:t>
            </w:r>
            <w:r w:rsidR="00E83D4E" w:rsidRPr="00681505">
              <w:rPr>
                <w:rFonts w:ascii="Arial" w:hAnsi="Arial" w:cs="Arial"/>
                <w:color w:val="000000"/>
                <w:sz w:val="18"/>
                <w:szCs w:val="18"/>
                <w:lang w:val="it-IT"/>
              </w:rPr>
              <w:t>,</w:t>
            </w:r>
            <w:r w:rsidR="00B7734A" w:rsidRPr="00681505">
              <w:rPr>
                <w:rFonts w:ascii="Arial" w:hAnsi="Arial" w:cs="Arial"/>
                <w:color w:val="000000"/>
                <w:sz w:val="18"/>
                <w:szCs w:val="18"/>
                <w:lang w:val="it-IT"/>
              </w:rPr>
              <w:t>7</w:t>
            </w:r>
            <w:r w:rsidR="00107035" w:rsidRPr="00681505">
              <w:rPr>
                <w:rFonts w:ascii="Arial" w:hAnsi="Arial" w:cs="Arial"/>
                <w:color w:val="000000"/>
                <w:sz w:val="18"/>
                <w:szCs w:val="18"/>
                <w:lang w:val="it-IT"/>
              </w:rPr>
              <w:t>%</w:t>
            </w:r>
          </w:p>
        </w:tc>
        <w:tc>
          <w:tcPr>
            <w:tcW w:w="1385" w:type="dxa"/>
            <w:tcBorders>
              <w:top w:val="nil"/>
              <w:left w:val="nil"/>
              <w:bottom w:val="nil"/>
              <w:right w:val="nil"/>
            </w:tcBorders>
            <w:noWrap/>
            <w:vAlign w:val="center"/>
          </w:tcPr>
          <w:p w:rsidR="00107035" w:rsidRPr="00681505" w:rsidRDefault="0035143F" w:rsidP="00BE3430">
            <w:pPr>
              <w:jc w:val="right"/>
              <w:rPr>
                <w:rFonts w:ascii="Arial" w:hAnsi="Arial" w:cs="Arial"/>
                <w:color w:val="000000"/>
                <w:sz w:val="18"/>
                <w:szCs w:val="18"/>
                <w:lang w:val="it-IT"/>
              </w:rPr>
            </w:pPr>
            <w:r w:rsidRPr="00681505">
              <w:rPr>
                <w:rFonts w:ascii="Arial" w:hAnsi="Arial" w:cs="Arial"/>
                <w:color w:val="000000"/>
                <w:sz w:val="18"/>
                <w:szCs w:val="18"/>
                <w:lang w:val="it-IT"/>
              </w:rPr>
              <w:t>5</w:t>
            </w:r>
            <w:r w:rsidR="00B7734A" w:rsidRPr="00681505">
              <w:rPr>
                <w:rFonts w:ascii="Arial" w:hAnsi="Arial" w:cs="Arial"/>
                <w:color w:val="000000"/>
                <w:sz w:val="18"/>
                <w:szCs w:val="18"/>
                <w:lang w:val="it-IT"/>
              </w:rPr>
              <w:t>3</w:t>
            </w:r>
            <w:r w:rsidR="00E83D4E" w:rsidRPr="00681505">
              <w:rPr>
                <w:rFonts w:ascii="Arial" w:hAnsi="Arial" w:cs="Arial"/>
                <w:color w:val="000000"/>
                <w:sz w:val="18"/>
                <w:szCs w:val="18"/>
                <w:lang w:val="it-IT"/>
              </w:rPr>
              <w:t>,</w:t>
            </w:r>
            <w:r w:rsidR="00B7734A" w:rsidRPr="00681505">
              <w:rPr>
                <w:rFonts w:ascii="Arial" w:hAnsi="Arial" w:cs="Arial"/>
                <w:color w:val="000000"/>
                <w:sz w:val="18"/>
                <w:szCs w:val="18"/>
                <w:lang w:val="it-IT"/>
              </w:rPr>
              <w:t>2</w:t>
            </w:r>
          </w:p>
        </w:tc>
      </w:tr>
      <w:tr w:rsidR="00107035" w:rsidRPr="00681505" w:rsidTr="00BE3430">
        <w:trPr>
          <w:trHeight w:hRule="exact" w:val="340"/>
          <w:jc w:val="center"/>
        </w:trPr>
        <w:tc>
          <w:tcPr>
            <w:tcW w:w="4007" w:type="dxa"/>
            <w:tcBorders>
              <w:top w:val="nil"/>
              <w:left w:val="nil"/>
              <w:bottom w:val="nil"/>
              <w:right w:val="nil"/>
            </w:tcBorders>
            <w:noWrap/>
            <w:vAlign w:val="center"/>
            <w:hideMark/>
          </w:tcPr>
          <w:p w:rsidR="00107035" w:rsidRPr="00681505" w:rsidRDefault="00107035" w:rsidP="00BE3430">
            <w:pPr>
              <w:rPr>
                <w:rFonts w:ascii="Arial" w:hAnsi="Arial" w:cs="Arial"/>
                <w:color w:val="000000"/>
                <w:sz w:val="18"/>
                <w:szCs w:val="18"/>
                <w:lang w:val="it-IT"/>
              </w:rPr>
            </w:pPr>
            <w:r w:rsidRPr="00681505">
              <w:rPr>
                <w:rFonts w:ascii="Arial" w:hAnsi="Arial" w:cs="Arial"/>
                <w:color w:val="000000"/>
                <w:sz w:val="18"/>
                <w:szCs w:val="18"/>
                <w:lang w:val="it-IT"/>
              </w:rPr>
              <w:t>EPRA NAV</w:t>
            </w:r>
          </w:p>
        </w:tc>
        <w:tc>
          <w:tcPr>
            <w:tcW w:w="1384" w:type="dxa"/>
            <w:tcBorders>
              <w:top w:val="nil"/>
              <w:left w:val="nil"/>
              <w:bottom w:val="nil"/>
              <w:right w:val="nil"/>
            </w:tcBorders>
            <w:noWrap/>
            <w:vAlign w:val="center"/>
            <w:hideMark/>
          </w:tcPr>
          <w:p w:rsidR="00107035" w:rsidRPr="00681505" w:rsidRDefault="00E83D4E" w:rsidP="00BE3430">
            <w:pPr>
              <w:jc w:val="right"/>
              <w:rPr>
                <w:rFonts w:ascii="Arial" w:hAnsi="Arial" w:cs="Arial"/>
                <w:color w:val="000000"/>
                <w:sz w:val="18"/>
                <w:szCs w:val="18"/>
                <w:lang w:val="it-IT"/>
              </w:rPr>
            </w:pPr>
            <w:r w:rsidRPr="00681505">
              <w:rPr>
                <w:rFonts w:ascii="Arial" w:hAnsi="Arial" w:cs="Arial"/>
                <w:color w:val="000000"/>
                <w:sz w:val="18"/>
                <w:szCs w:val="18"/>
                <w:lang w:val="it-IT"/>
              </w:rPr>
              <w:t>421,</w:t>
            </w:r>
            <w:r w:rsidR="00B7734A" w:rsidRPr="00681505">
              <w:rPr>
                <w:rFonts w:ascii="Arial" w:hAnsi="Arial" w:cs="Arial"/>
                <w:color w:val="000000"/>
                <w:sz w:val="18"/>
                <w:szCs w:val="18"/>
                <w:lang w:val="it-IT"/>
              </w:rPr>
              <w:t>6</w:t>
            </w:r>
          </w:p>
        </w:tc>
        <w:tc>
          <w:tcPr>
            <w:tcW w:w="1385" w:type="dxa"/>
            <w:tcBorders>
              <w:top w:val="nil"/>
              <w:left w:val="nil"/>
              <w:bottom w:val="nil"/>
              <w:right w:val="nil"/>
            </w:tcBorders>
            <w:noWrap/>
            <w:vAlign w:val="center"/>
            <w:hideMark/>
          </w:tcPr>
          <w:p w:rsidR="00107035" w:rsidRPr="00681505" w:rsidRDefault="00E83D4E" w:rsidP="00BE3430">
            <w:pPr>
              <w:jc w:val="right"/>
              <w:rPr>
                <w:rFonts w:ascii="Arial" w:hAnsi="Arial" w:cs="Arial"/>
                <w:color w:val="000000"/>
                <w:sz w:val="18"/>
                <w:szCs w:val="18"/>
                <w:lang w:val="it-IT"/>
              </w:rPr>
            </w:pPr>
            <w:r w:rsidRPr="00681505">
              <w:rPr>
                <w:rFonts w:ascii="Arial" w:hAnsi="Arial" w:cs="Arial"/>
                <w:color w:val="000000"/>
                <w:sz w:val="18"/>
                <w:szCs w:val="18"/>
                <w:lang w:val="it-IT"/>
              </w:rPr>
              <w:t>384,</w:t>
            </w:r>
            <w:r w:rsidR="00107035" w:rsidRPr="00681505">
              <w:rPr>
                <w:rFonts w:ascii="Arial" w:hAnsi="Arial" w:cs="Arial"/>
                <w:color w:val="000000"/>
                <w:sz w:val="18"/>
                <w:szCs w:val="18"/>
                <w:lang w:val="it-IT"/>
              </w:rPr>
              <w:t xml:space="preserve">6 </w:t>
            </w:r>
          </w:p>
        </w:tc>
        <w:tc>
          <w:tcPr>
            <w:tcW w:w="1384" w:type="dxa"/>
            <w:tcBorders>
              <w:top w:val="nil"/>
              <w:left w:val="nil"/>
              <w:bottom w:val="nil"/>
              <w:right w:val="nil"/>
            </w:tcBorders>
            <w:noWrap/>
            <w:vAlign w:val="center"/>
          </w:tcPr>
          <w:p w:rsidR="00107035" w:rsidRPr="00681505" w:rsidRDefault="00E83D4E" w:rsidP="00BE3430">
            <w:pPr>
              <w:jc w:val="right"/>
              <w:rPr>
                <w:rFonts w:ascii="Arial" w:hAnsi="Arial" w:cs="Arial"/>
                <w:color w:val="000000"/>
                <w:sz w:val="18"/>
                <w:szCs w:val="18"/>
                <w:lang w:val="it-IT"/>
              </w:rPr>
            </w:pPr>
            <w:r w:rsidRPr="00681505">
              <w:rPr>
                <w:rFonts w:ascii="Arial" w:hAnsi="Arial" w:cs="Arial"/>
                <w:color w:val="000000"/>
                <w:sz w:val="18"/>
                <w:szCs w:val="18"/>
                <w:lang w:val="it-IT"/>
              </w:rPr>
              <w:t>9,</w:t>
            </w:r>
            <w:r w:rsidR="00B7734A" w:rsidRPr="00681505">
              <w:rPr>
                <w:rFonts w:ascii="Arial" w:hAnsi="Arial" w:cs="Arial"/>
                <w:color w:val="000000"/>
                <w:sz w:val="18"/>
                <w:szCs w:val="18"/>
                <w:lang w:val="it-IT"/>
              </w:rPr>
              <w:t>6</w:t>
            </w:r>
            <w:r w:rsidR="00107035" w:rsidRPr="00681505">
              <w:rPr>
                <w:rFonts w:ascii="Arial" w:hAnsi="Arial" w:cs="Arial"/>
                <w:color w:val="000000"/>
                <w:sz w:val="18"/>
                <w:szCs w:val="18"/>
                <w:lang w:val="it-IT"/>
              </w:rPr>
              <w:t>%</w:t>
            </w:r>
          </w:p>
        </w:tc>
        <w:tc>
          <w:tcPr>
            <w:tcW w:w="1385" w:type="dxa"/>
            <w:tcBorders>
              <w:top w:val="nil"/>
              <w:left w:val="nil"/>
              <w:bottom w:val="nil"/>
              <w:right w:val="nil"/>
            </w:tcBorders>
            <w:noWrap/>
            <w:vAlign w:val="center"/>
          </w:tcPr>
          <w:p w:rsidR="00107035" w:rsidRPr="00681505" w:rsidRDefault="00B912BC" w:rsidP="00BE3430">
            <w:pPr>
              <w:jc w:val="right"/>
              <w:rPr>
                <w:rFonts w:ascii="Arial" w:hAnsi="Arial" w:cs="Arial"/>
                <w:color w:val="000000"/>
                <w:sz w:val="18"/>
                <w:szCs w:val="18"/>
                <w:lang w:val="it-IT"/>
              </w:rPr>
            </w:pPr>
            <w:r w:rsidRPr="00681505">
              <w:rPr>
                <w:rFonts w:ascii="Arial" w:hAnsi="Arial" w:cs="Arial"/>
                <w:color w:val="000000"/>
                <w:sz w:val="18"/>
                <w:szCs w:val="18"/>
                <w:lang w:val="it-IT"/>
              </w:rPr>
              <w:t>37</w:t>
            </w:r>
            <w:r w:rsidR="00E83D4E" w:rsidRPr="00681505">
              <w:rPr>
                <w:rFonts w:ascii="Arial" w:hAnsi="Arial" w:cs="Arial"/>
                <w:color w:val="000000"/>
                <w:sz w:val="18"/>
                <w:szCs w:val="18"/>
                <w:lang w:val="it-IT"/>
              </w:rPr>
              <w:t>,</w:t>
            </w:r>
            <w:r w:rsidR="00B7734A" w:rsidRPr="00681505">
              <w:rPr>
                <w:rFonts w:ascii="Arial" w:hAnsi="Arial" w:cs="Arial"/>
                <w:color w:val="000000"/>
                <w:sz w:val="18"/>
                <w:szCs w:val="18"/>
                <w:lang w:val="it-IT"/>
              </w:rPr>
              <w:t>0</w:t>
            </w:r>
          </w:p>
        </w:tc>
      </w:tr>
      <w:tr w:rsidR="00107035" w:rsidRPr="00681505" w:rsidTr="00BE3430">
        <w:trPr>
          <w:trHeight w:hRule="exact" w:val="340"/>
          <w:jc w:val="center"/>
        </w:trPr>
        <w:tc>
          <w:tcPr>
            <w:tcW w:w="4007" w:type="dxa"/>
            <w:tcBorders>
              <w:top w:val="nil"/>
              <w:left w:val="nil"/>
              <w:bottom w:val="nil"/>
              <w:right w:val="nil"/>
            </w:tcBorders>
            <w:noWrap/>
            <w:vAlign w:val="center"/>
            <w:hideMark/>
          </w:tcPr>
          <w:p w:rsidR="00107035" w:rsidRPr="00681505" w:rsidRDefault="00107035" w:rsidP="00BE3430">
            <w:pPr>
              <w:rPr>
                <w:rFonts w:ascii="Arial" w:hAnsi="Arial" w:cs="Arial"/>
                <w:color w:val="000000"/>
                <w:sz w:val="18"/>
                <w:szCs w:val="18"/>
                <w:lang w:val="it-IT"/>
              </w:rPr>
            </w:pPr>
            <w:r w:rsidRPr="00681505">
              <w:rPr>
                <w:rFonts w:ascii="Arial" w:hAnsi="Arial" w:cs="Arial"/>
                <w:color w:val="000000"/>
                <w:sz w:val="18"/>
                <w:szCs w:val="18"/>
                <w:lang w:val="it-IT"/>
              </w:rPr>
              <w:t>EPRA NNNAV</w:t>
            </w:r>
          </w:p>
        </w:tc>
        <w:tc>
          <w:tcPr>
            <w:tcW w:w="1384" w:type="dxa"/>
            <w:tcBorders>
              <w:top w:val="nil"/>
              <w:left w:val="nil"/>
              <w:bottom w:val="nil"/>
              <w:right w:val="nil"/>
            </w:tcBorders>
            <w:noWrap/>
            <w:vAlign w:val="center"/>
            <w:hideMark/>
          </w:tcPr>
          <w:p w:rsidR="00107035" w:rsidRPr="00681505" w:rsidRDefault="00E83D4E" w:rsidP="00BE3430">
            <w:pPr>
              <w:jc w:val="right"/>
              <w:rPr>
                <w:rFonts w:ascii="Arial" w:hAnsi="Arial" w:cs="Arial"/>
                <w:color w:val="000000"/>
                <w:sz w:val="18"/>
                <w:szCs w:val="18"/>
                <w:lang w:val="it-IT"/>
              </w:rPr>
            </w:pPr>
            <w:r w:rsidRPr="00681505">
              <w:rPr>
                <w:rFonts w:ascii="Arial" w:hAnsi="Arial" w:cs="Arial"/>
                <w:color w:val="000000"/>
                <w:sz w:val="18"/>
                <w:szCs w:val="18"/>
                <w:lang w:val="it-IT"/>
              </w:rPr>
              <w:t>415,</w:t>
            </w:r>
            <w:r w:rsidR="00B7734A" w:rsidRPr="00681505">
              <w:rPr>
                <w:rFonts w:ascii="Arial" w:hAnsi="Arial" w:cs="Arial"/>
                <w:color w:val="000000"/>
                <w:sz w:val="18"/>
                <w:szCs w:val="18"/>
                <w:lang w:val="it-IT"/>
              </w:rPr>
              <w:t>4</w:t>
            </w:r>
          </w:p>
        </w:tc>
        <w:tc>
          <w:tcPr>
            <w:tcW w:w="1385" w:type="dxa"/>
            <w:tcBorders>
              <w:top w:val="nil"/>
              <w:left w:val="nil"/>
              <w:bottom w:val="nil"/>
              <w:right w:val="nil"/>
            </w:tcBorders>
            <w:noWrap/>
            <w:vAlign w:val="center"/>
            <w:hideMark/>
          </w:tcPr>
          <w:p w:rsidR="00107035" w:rsidRPr="00681505" w:rsidRDefault="00E83D4E" w:rsidP="00BE3430">
            <w:pPr>
              <w:jc w:val="right"/>
              <w:rPr>
                <w:rFonts w:ascii="Arial" w:hAnsi="Arial" w:cs="Arial"/>
                <w:color w:val="000000"/>
                <w:sz w:val="18"/>
                <w:szCs w:val="18"/>
                <w:lang w:val="it-IT"/>
              </w:rPr>
            </w:pPr>
            <w:r w:rsidRPr="00681505">
              <w:rPr>
                <w:rFonts w:ascii="Arial" w:hAnsi="Arial" w:cs="Arial"/>
                <w:color w:val="000000"/>
                <w:sz w:val="18"/>
                <w:szCs w:val="18"/>
                <w:lang w:val="it-IT"/>
              </w:rPr>
              <w:t>380,</w:t>
            </w:r>
            <w:r w:rsidR="00107035" w:rsidRPr="00681505">
              <w:rPr>
                <w:rFonts w:ascii="Arial" w:hAnsi="Arial" w:cs="Arial"/>
                <w:color w:val="000000"/>
                <w:sz w:val="18"/>
                <w:szCs w:val="18"/>
                <w:lang w:val="it-IT"/>
              </w:rPr>
              <w:t xml:space="preserve">2 </w:t>
            </w:r>
          </w:p>
        </w:tc>
        <w:tc>
          <w:tcPr>
            <w:tcW w:w="1384" w:type="dxa"/>
            <w:tcBorders>
              <w:top w:val="nil"/>
              <w:left w:val="nil"/>
              <w:bottom w:val="nil"/>
              <w:right w:val="nil"/>
            </w:tcBorders>
            <w:noWrap/>
            <w:vAlign w:val="center"/>
          </w:tcPr>
          <w:p w:rsidR="00107035" w:rsidRPr="00681505" w:rsidRDefault="00B912BC" w:rsidP="00BE3430">
            <w:pPr>
              <w:jc w:val="right"/>
              <w:rPr>
                <w:rFonts w:ascii="Arial" w:hAnsi="Arial" w:cs="Arial"/>
                <w:color w:val="000000"/>
                <w:sz w:val="18"/>
                <w:szCs w:val="18"/>
                <w:lang w:val="it-IT"/>
              </w:rPr>
            </w:pPr>
            <w:r w:rsidRPr="00681505">
              <w:rPr>
                <w:rFonts w:ascii="Arial" w:hAnsi="Arial" w:cs="Arial"/>
                <w:color w:val="000000"/>
                <w:sz w:val="18"/>
                <w:szCs w:val="18"/>
                <w:lang w:val="it-IT"/>
              </w:rPr>
              <w:t>9</w:t>
            </w:r>
            <w:r w:rsidR="00E83D4E" w:rsidRPr="00681505">
              <w:rPr>
                <w:rFonts w:ascii="Arial" w:hAnsi="Arial" w:cs="Arial"/>
                <w:color w:val="000000"/>
                <w:sz w:val="18"/>
                <w:szCs w:val="18"/>
                <w:lang w:val="it-IT"/>
              </w:rPr>
              <w:t>,</w:t>
            </w:r>
            <w:r w:rsidRPr="00681505">
              <w:rPr>
                <w:rFonts w:ascii="Arial" w:hAnsi="Arial" w:cs="Arial"/>
                <w:color w:val="000000"/>
                <w:sz w:val="18"/>
                <w:szCs w:val="18"/>
                <w:lang w:val="it-IT"/>
              </w:rPr>
              <w:t>2</w:t>
            </w:r>
            <w:r w:rsidR="00107035" w:rsidRPr="00681505">
              <w:rPr>
                <w:rFonts w:ascii="Arial" w:hAnsi="Arial" w:cs="Arial"/>
                <w:color w:val="000000"/>
                <w:sz w:val="18"/>
                <w:szCs w:val="18"/>
                <w:lang w:val="it-IT"/>
              </w:rPr>
              <w:t>%</w:t>
            </w:r>
          </w:p>
        </w:tc>
        <w:tc>
          <w:tcPr>
            <w:tcW w:w="1385" w:type="dxa"/>
            <w:tcBorders>
              <w:top w:val="nil"/>
              <w:left w:val="nil"/>
              <w:bottom w:val="nil"/>
              <w:right w:val="nil"/>
            </w:tcBorders>
            <w:noWrap/>
            <w:vAlign w:val="center"/>
          </w:tcPr>
          <w:p w:rsidR="00107035" w:rsidRPr="00681505" w:rsidRDefault="00B912BC" w:rsidP="00BE3430">
            <w:pPr>
              <w:jc w:val="right"/>
              <w:rPr>
                <w:rFonts w:ascii="Arial" w:hAnsi="Arial" w:cs="Arial"/>
                <w:color w:val="000000"/>
                <w:sz w:val="18"/>
                <w:szCs w:val="18"/>
                <w:lang w:val="it-IT"/>
              </w:rPr>
            </w:pPr>
            <w:r w:rsidRPr="00681505">
              <w:rPr>
                <w:rFonts w:ascii="Arial" w:hAnsi="Arial" w:cs="Arial"/>
                <w:color w:val="000000"/>
                <w:sz w:val="18"/>
                <w:szCs w:val="18"/>
                <w:lang w:val="it-IT"/>
              </w:rPr>
              <w:t>35</w:t>
            </w:r>
            <w:r w:rsidR="00E83D4E" w:rsidRPr="00681505">
              <w:rPr>
                <w:rFonts w:ascii="Arial" w:hAnsi="Arial" w:cs="Arial"/>
                <w:color w:val="000000"/>
                <w:sz w:val="18"/>
                <w:szCs w:val="18"/>
                <w:lang w:val="it-IT"/>
              </w:rPr>
              <w:t>,</w:t>
            </w:r>
            <w:r w:rsidR="00B7734A" w:rsidRPr="00681505">
              <w:rPr>
                <w:rFonts w:ascii="Arial" w:hAnsi="Arial" w:cs="Arial"/>
                <w:color w:val="000000"/>
                <w:sz w:val="18"/>
                <w:szCs w:val="18"/>
                <w:lang w:val="it-IT"/>
              </w:rPr>
              <w:t>2</w:t>
            </w:r>
            <w:r w:rsidR="00107035" w:rsidRPr="00681505">
              <w:rPr>
                <w:rFonts w:ascii="Arial" w:hAnsi="Arial" w:cs="Arial"/>
                <w:color w:val="000000"/>
                <w:sz w:val="18"/>
                <w:szCs w:val="18"/>
                <w:lang w:val="it-IT"/>
              </w:rPr>
              <w:t xml:space="preserve"> </w:t>
            </w:r>
          </w:p>
        </w:tc>
      </w:tr>
      <w:tr w:rsidR="00B912BC" w:rsidRPr="00681505" w:rsidTr="00BE3430">
        <w:trPr>
          <w:trHeight w:hRule="exact" w:val="340"/>
          <w:jc w:val="center"/>
        </w:trPr>
        <w:tc>
          <w:tcPr>
            <w:tcW w:w="4007" w:type="dxa"/>
            <w:tcBorders>
              <w:top w:val="nil"/>
              <w:left w:val="nil"/>
              <w:right w:val="nil"/>
            </w:tcBorders>
            <w:shd w:val="clear" w:color="000000" w:fill="F2F2F2"/>
            <w:noWrap/>
            <w:vAlign w:val="center"/>
            <w:hideMark/>
          </w:tcPr>
          <w:p w:rsidR="00B912BC" w:rsidRPr="00681505" w:rsidRDefault="00B912BC" w:rsidP="00B912BC">
            <w:pPr>
              <w:rPr>
                <w:rFonts w:ascii="Arial" w:hAnsi="Arial" w:cs="Arial"/>
                <w:color w:val="000000"/>
                <w:sz w:val="18"/>
                <w:szCs w:val="18"/>
                <w:lang w:val="it-IT"/>
              </w:rPr>
            </w:pPr>
            <w:r w:rsidRPr="00681505">
              <w:rPr>
                <w:rFonts w:ascii="Arial" w:hAnsi="Arial" w:cs="Arial"/>
                <w:color w:val="000000"/>
                <w:sz w:val="18"/>
                <w:szCs w:val="18"/>
                <w:lang w:val="it-IT"/>
              </w:rPr>
              <w:t xml:space="preserve">EPRA NAV per </w:t>
            </w:r>
            <w:r w:rsidR="00E83D4E" w:rsidRPr="00681505">
              <w:rPr>
                <w:rFonts w:ascii="Arial" w:hAnsi="Arial" w:cs="Arial"/>
                <w:color w:val="000000"/>
                <w:sz w:val="18"/>
                <w:szCs w:val="18"/>
                <w:lang w:val="it-IT"/>
              </w:rPr>
              <w:t xml:space="preserve">azione </w:t>
            </w:r>
            <w:r w:rsidRPr="00681505">
              <w:rPr>
                <w:rFonts w:ascii="Arial" w:hAnsi="Arial" w:cs="Arial"/>
                <w:color w:val="000000"/>
                <w:sz w:val="18"/>
                <w:szCs w:val="18"/>
                <w:lang w:val="it-IT"/>
              </w:rPr>
              <w:t>(Euro)</w:t>
            </w:r>
          </w:p>
        </w:tc>
        <w:tc>
          <w:tcPr>
            <w:tcW w:w="1384" w:type="dxa"/>
            <w:tcBorders>
              <w:top w:val="nil"/>
              <w:left w:val="nil"/>
              <w:right w:val="nil"/>
            </w:tcBorders>
            <w:shd w:val="clear" w:color="000000" w:fill="F2F2F2"/>
            <w:noWrap/>
            <w:vAlign w:val="center"/>
            <w:hideMark/>
          </w:tcPr>
          <w:p w:rsidR="00B912BC" w:rsidRPr="00681505" w:rsidRDefault="00E83D4E" w:rsidP="00B912BC">
            <w:pPr>
              <w:jc w:val="right"/>
              <w:rPr>
                <w:rFonts w:ascii="Arial" w:hAnsi="Arial" w:cs="Arial"/>
                <w:color w:val="000000"/>
                <w:sz w:val="18"/>
                <w:szCs w:val="18"/>
                <w:lang w:val="it-IT"/>
              </w:rPr>
            </w:pPr>
            <w:r w:rsidRPr="00681505">
              <w:rPr>
                <w:rFonts w:ascii="Arial" w:hAnsi="Arial" w:cs="Arial"/>
                <w:color w:val="000000"/>
                <w:sz w:val="18"/>
                <w:szCs w:val="18"/>
                <w:lang w:val="it-IT"/>
              </w:rPr>
              <w:t>11,7</w:t>
            </w:r>
            <w:r w:rsidR="00B912BC" w:rsidRPr="00681505">
              <w:rPr>
                <w:rFonts w:ascii="Arial" w:hAnsi="Arial" w:cs="Arial"/>
                <w:color w:val="000000"/>
                <w:sz w:val="18"/>
                <w:szCs w:val="18"/>
                <w:lang w:val="it-IT"/>
              </w:rPr>
              <w:t xml:space="preserve">1 </w:t>
            </w:r>
          </w:p>
        </w:tc>
        <w:tc>
          <w:tcPr>
            <w:tcW w:w="1385" w:type="dxa"/>
            <w:tcBorders>
              <w:top w:val="nil"/>
              <w:left w:val="nil"/>
              <w:right w:val="nil"/>
            </w:tcBorders>
            <w:shd w:val="clear" w:color="000000" w:fill="F2F2F2"/>
            <w:noWrap/>
            <w:vAlign w:val="center"/>
            <w:hideMark/>
          </w:tcPr>
          <w:p w:rsidR="00B912BC" w:rsidRPr="00681505" w:rsidRDefault="00E83D4E" w:rsidP="00B912BC">
            <w:pPr>
              <w:jc w:val="right"/>
              <w:rPr>
                <w:rFonts w:ascii="Arial" w:hAnsi="Arial" w:cs="Arial"/>
                <w:color w:val="000000"/>
                <w:sz w:val="18"/>
                <w:szCs w:val="18"/>
                <w:lang w:val="it-IT"/>
              </w:rPr>
            </w:pPr>
            <w:r w:rsidRPr="00681505">
              <w:rPr>
                <w:rFonts w:ascii="Arial" w:hAnsi="Arial" w:cs="Arial"/>
                <w:color w:val="000000"/>
                <w:sz w:val="18"/>
                <w:szCs w:val="18"/>
                <w:lang w:val="it-IT"/>
              </w:rPr>
              <w:t>10,</w:t>
            </w:r>
            <w:r w:rsidR="00B912BC" w:rsidRPr="00681505">
              <w:rPr>
                <w:rFonts w:ascii="Arial" w:hAnsi="Arial" w:cs="Arial"/>
                <w:color w:val="000000"/>
                <w:sz w:val="18"/>
                <w:szCs w:val="18"/>
                <w:lang w:val="it-IT"/>
              </w:rPr>
              <w:t xml:space="preserve">68 </w:t>
            </w:r>
          </w:p>
        </w:tc>
        <w:tc>
          <w:tcPr>
            <w:tcW w:w="1384" w:type="dxa"/>
            <w:tcBorders>
              <w:top w:val="nil"/>
              <w:left w:val="nil"/>
              <w:right w:val="nil"/>
            </w:tcBorders>
            <w:shd w:val="clear" w:color="000000" w:fill="F2F2F2"/>
            <w:noWrap/>
            <w:vAlign w:val="center"/>
          </w:tcPr>
          <w:p w:rsidR="00B912BC" w:rsidRPr="00681505" w:rsidRDefault="00E83D4E" w:rsidP="00B912BC">
            <w:pPr>
              <w:jc w:val="right"/>
              <w:rPr>
                <w:rFonts w:ascii="Arial" w:hAnsi="Arial" w:cs="Arial"/>
                <w:color w:val="000000"/>
                <w:sz w:val="18"/>
                <w:szCs w:val="18"/>
                <w:lang w:val="it-IT"/>
              </w:rPr>
            </w:pPr>
            <w:r w:rsidRPr="00681505">
              <w:rPr>
                <w:rFonts w:ascii="Arial" w:hAnsi="Arial" w:cs="Arial"/>
                <w:color w:val="000000"/>
                <w:sz w:val="18"/>
                <w:szCs w:val="18"/>
                <w:lang w:val="it-IT"/>
              </w:rPr>
              <w:t>9,</w:t>
            </w:r>
            <w:r w:rsidR="00B7734A" w:rsidRPr="00681505">
              <w:rPr>
                <w:rFonts w:ascii="Arial" w:hAnsi="Arial" w:cs="Arial"/>
                <w:color w:val="000000"/>
                <w:sz w:val="18"/>
                <w:szCs w:val="18"/>
                <w:lang w:val="it-IT"/>
              </w:rPr>
              <w:t>6</w:t>
            </w:r>
            <w:r w:rsidR="00B912BC" w:rsidRPr="00681505">
              <w:rPr>
                <w:rFonts w:ascii="Arial" w:hAnsi="Arial" w:cs="Arial"/>
                <w:color w:val="000000"/>
                <w:sz w:val="18"/>
                <w:szCs w:val="18"/>
                <w:lang w:val="it-IT"/>
              </w:rPr>
              <w:t>%</w:t>
            </w:r>
          </w:p>
        </w:tc>
        <w:tc>
          <w:tcPr>
            <w:tcW w:w="1385" w:type="dxa"/>
            <w:tcBorders>
              <w:top w:val="nil"/>
              <w:left w:val="nil"/>
              <w:right w:val="nil"/>
            </w:tcBorders>
            <w:shd w:val="clear" w:color="000000" w:fill="F2F2F2"/>
            <w:noWrap/>
            <w:vAlign w:val="center"/>
          </w:tcPr>
          <w:p w:rsidR="00B912BC" w:rsidRPr="00681505" w:rsidRDefault="00E83D4E" w:rsidP="00B912BC">
            <w:pPr>
              <w:jc w:val="right"/>
              <w:rPr>
                <w:rFonts w:ascii="Arial" w:hAnsi="Arial" w:cs="Arial"/>
                <w:color w:val="000000"/>
                <w:sz w:val="18"/>
                <w:szCs w:val="18"/>
                <w:highlight w:val="yellow"/>
                <w:lang w:val="it-IT"/>
              </w:rPr>
            </w:pPr>
            <w:r w:rsidRPr="00681505">
              <w:rPr>
                <w:rFonts w:ascii="Arial" w:hAnsi="Arial" w:cs="Arial"/>
                <w:color w:val="000000"/>
                <w:sz w:val="18"/>
                <w:szCs w:val="18"/>
                <w:lang w:val="it-IT"/>
              </w:rPr>
              <w:t>1,</w:t>
            </w:r>
            <w:r w:rsidR="00B912BC" w:rsidRPr="00681505">
              <w:rPr>
                <w:rFonts w:ascii="Arial" w:hAnsi="Arial" w:cs="Arial"/>
                <w:color w:val="000000"/>
                <w:sz w:val="18"/>
                <w:szCs w:val="18"/>
                <w:lang w:val="it-IT"/>
              </w:rPr>
              <w:t>03</w:t>
            </w:r>
            <w:r w:rsidR="00B912BC" w:rsidRPr="00681505">
              <w:rPr>
                <w:rFonts w:ascii="Arial" w:hAnsi="Arial" w:cs="Arial"/>
                <w:color w:val="000000"/>
                <w:sz w:val="18"/>
                <w:szCs w:val="18"/>
                <w:highlight w:val="yellow"/>
                <w:lang w:val="it-IT"/>
              </w:rPr>
              <w:t xml:space="preserve"> </w:t>
            </w:r>
          </w:p>
        </w:tc>
      </w:tr>
      <w:tr w:rsidR="00B912BC" w:rsidRPr="00681505" w:rsidTr="00BE3430">
        <w:trPr>
          <w:trHeight w:hRule="exact" w:val="340"/>
          <w:jc w:val="center"/>
        </w:trPr>
        <w:tc>
          <w:tcPr>
            <w:tcW w:w="4007" w:type="dxa"/>
            <w:tcBorders>
              <w:top w:val="nil"/>
              <w:left w:val="nil"/>
              <w:right w:val="nil"/>
            </w:tcBorders>
            <w:shd w:val="clear" w:color="000000" w:fill="F2F2F2"/>
            <w:noWrap/>
            <w:vAlign w:val="center"/>
            <w:hideMark/>
          </w:tcPr>
          <w:p w:rsidR="00B912BC" w:rsidRPr="00681505" w:rsidRDefault="00B912BC" w:rsidP="00B912BC">
            <w:pPr>
              <w:rPr>
                <w:rFonts w:ascii="Arial" w:hAnsi="Arial" w:cs="Arial"/>
                <w:color w:val="000000"/>
                <w:sz w:val="18"/>
                <w:szCs w:val="18"/>
                <w:lang w:val="it-IT"/>
              </w:rPr>
            </w:pPr>
            <w:r w:rsidRPr="00681505">
              <w:rPr>
                <w:rFonts w:ascii="Arial" w:hAnsi="Arial" w:cs="Arial"/>
                <w:color w:val="000000"/>
                <w:sz w:val="18"/>
                <w:szCs w:val="18"/>
                <w:lang w:val="it-IT"/>
              </w:rPr>
              <w:t xml:space="preserve">EPRA NNNAV per </w:t>
            </w:r>
            <w:r w:rsidR="00E83D4E" w:rsidRPr="00681505">
              <w:rPr>
                <w:rFonts w:ascii="Arial" w:hAnsi="Arial" w:cs="Arial"/>
                <w:color w:val="000000"/>
                <w:sz w:val="18"/>
                <w:szCs w:val="18"/>
                <w:lang w:val="it-IT"/>
              </w:rPr>
              <w:t>azione</w:t>
            </w:r>
            <w:r w:rsidRPr="00681505">
              <w:rPr>
                <w:rFonts w:ascii="Arial" w:hAnsi="Arial" w:cs="Arial"/>
                <w:color w:val="000000"/>
                <w:sz w:val="18"/>
                <w:szCs w:val="18"/>
                <w:lang w:val="it-IT"/>
              </w:rPr>
              <w:t xml:space="preserve"> (Euro)</w:t>
            </w:r>
          </w:p>
        </w:tc>
        <w:tc>
          <w:tcPr>
            <w:tcW w:w="1384" w:type="dxa"/>
            <w:tcBorders>
              <w:top w:val="nil"/>
              <w:left w:val="nil"/>
              <w:right w:val="nil"/>
            </w:tcBorders>
            <w:shd w:val="clear" w:color="000000" w:fill="F2F2F2"/>
            <w:noWrap/>
            <w:vAlign w:val="center"/>
            <w:hideMark/>
          </w:tcPr>
          <w:p w:rsidR="00B912BC" w:rsidRPr="00681505" w:rsidRDefault="00B912BC" w:rsidP="00B912BC">
            <w:pPr>
              <w:jc w:val="right"/>
              <w:rPr>
                <w:rFonts w:ascii="Arial" w:hAnsi="Arial" w:cs="Arial"/>
                <w:color w:val="000000"/>
                <w:sz w:val="18"/>
                <w:szCs w:val="18"/>
                <w:lang w:val="it-IT"/>
              </w:rPr>
            </w:pPr>
            <w:r w:rsidRPr="00681505">
              <w:rPr>
                <w:rFonts w:ascii="Arial" w:hAnsi="Arial" w:cs="Arial"/>
                <w:color w:val="000000"/>
                <w:sz w:val="18"/>
                <w:szCs w:val="18"/>
                <w:lang w:val="it-IT"/>
              </w:rPr>
              <w:t>11</w:t>
            </w:r>
            <w:r w:rsidR="00E83D4E" w:rsidRPr="00681505">
              <w:rPr>
                <w:rFonts w:ascii="Arial" w:hAnsi="Arial" w:cs="Arial"/>
                <w:color w:val="000000"/>
                <w:sz w:val="18"/>
                <w:szCs w:val="18"/>
                <w:lang w:val="it-IT"/>
              </w:rPr>
              <w:t>,</w:t>
            </w:r>
            <w:r w:rsidRPr="00681505">
              <w:rPr>
                <w:rFonts w:ascii="Arial" w:hAnsi="Arial" w:cs="Arial"/>
                <w:color w:val="000000"/>
                <w:sz w:val="18"/>
                <w:szCs w:val="18"/>
                <w:lang w:val="it-IT"/>
              </w:rPr>
              <w:t>5</w:t>
            </w:r>
            <w:r w:rsidR="00B7734A" w:rsidRPr="00681505">
              <w:rPr>
                <w:rFonts w:ascii="Arial" w:hAnsi="Arial" w:cs="Arial"/>
                <w:color w:val="000000"/>
                <w:sz w:val="18"/>
                <w:szCs w:val="18"/>
                <w:lang w:val="it-IT"/>
              </w:rPr>
              <w:t>4</w:t>
            </w:r>
            <w:r w:rsidRPr="00681505">
              <w:rPr>
                <w:rFonts w:ascii="Arial" w:hAnsi="Arial" w:cs="Arial"/>
                <w:color w:val="000000"/>
                <w:sz w:val="18"/>
                <w:szCs w:val="18"/>
                <w:lang w:val="it-IT"/>
              </w:rPr>
              <w:t xml:space="preserve"> </w:t>
            </w:r>
          </w:p>
        </w:tc>
        <w:tc>
          <w:tcPr>
            <w:tcW w:w="1385" w:type="dxa"/>
            <w:tcBorders>
              <w:top w:val="nil"/>
              <w:left w:val="nil"/>
              <w:right w:val="nil"/>
            </w:tcBorders>
            <w:shd w:val="clear" w:color="000000" w:fill="F2F2F2"/>
            <w:noWrap/>
            <w:vAlign w:val="center"/>
            <w:hideMark/>
          </w:tcPr>
          <w:p w:rsidR="00B912BC" w:rsidRPr="00681505" w:rsidRDefault="00B912BC" w:rsidP="00B912BC">
            <w:pPr>
              <w:jc w:val="right"/>
              <w:rPr>
                <w:rFonts w:ascii="Arial" w:hAnsi="Arial" w:cs="Arial"/>
                <w:color w:val="000000"/>
                <w:sz w:val="18"/>
                <w:szCs w:val="18"/>
                <w:lang w:val="it-IT"/>
              </w:rPr>
            </w:pPr>
            <w:r w:rsidRPr="00681505">
              <w:rPr>
                <w:rFonts w:ascii="Arial" w:hAnsi="Arial" w:cs="Arial"/>
                <w:color w:val="000000"/>
                <w:sz w:val="18"/>
                <w:szCs w:val="18"/>
                <w:lang w:val="it-IT"/>
              </w:rPr>
              <w:t>10</w:t>
            </w:r>
            <w:r w:rsidR="00E83D4E" w:rsidRPr="00681505">
              <w:rPr>
                <w:rFonts w:ascii="Arial" w:hAnsi="Arial" w:cs="Arial"/>
                <w:color w:val="000000"/>
                <w:sz w:val="18"/>
                <w:szCs w:val="18"/>
                <w:lang w:val="it-IT"/>
              </w:rPr>
              <w:t>,</w:t>
            </w:r>
            <w:r w:rsidRPr="00681505">
              <w:rPr>
                <w:rFonts w:ascii="Arial" w:hAnsi="Arial" w:cs="Arial"/>
                <w:color w:val="000000"/>
                <w:sz w:val="18"/>
                <w:szCs w:val="18"/>
                <w:lang w:val="it-IT"/>
              </w:rPr>
              <w:t xml:space="preserve">56 </w:t>
            </w:r>
          </w:p>
        </w:tc>
        <w:tc>
          <w:tcPr>
            <w:tcW w:w="1384" w:type="dxa"/>
            <w:tcBorders>
              <w:top w:val="nil"/>
              <w:left w:val="nil"/>
              <w:right w:val="nil"/>
            </w:tcBorders>
            <w:shd w:val="clear" w:color="000000" w:fill="F2F2F2"/>
            <w:noWrap/>
            <w:vAlign w:val="center"/>
          </w:tcPr>
          <w:p w:rsidR="00B912BC" w:rsidRPr="00681505" w:rsidRDefault="00E83D4E" w:rsidP="00B912BC">
            <w:pPr>
              <w:jc w:val="right"/>
              <w:rPr>
                <w:rFonts w:ascii="Arial" w:hAnsi="Arial" w:cs="Arial"/>
                <w:color w:val="000000"/>
                <w:sz w:val="18"/>
                <w:szCs w:val="18"/>
                <w:lang w:val="it-IT"/>
              </w:rPr>
            </w:pPr>
            <w:r w:rsidRPr="00681505">
              <w:rPr>
                <w:rFonts w:ascii="Arial" w:hAnsi="Arial" w:cs="Arial"/>
                <w:color w:val="000000"/>
                <w:sz w:val="18"/>
                <w:szCs w:val="18"/>
                <w:lang w:val="it-IT"/>
              </w:rPr>
              <w:t>9,</w:t>
            </w:r>
            <w:r w:rsidR="00B912BC" w:rsidRPr="00681505">
              <w:rPr>
                <w:rFonts w:ascii="Arial" w:hAnsi="Arial" w:cs="Arial"/>
                <w:color w:val="000000"/>
                <w:sz w:val="18"/>
                <w:szCs w:val="18"/>
                <w:lang w:val="it-IT"/>
              </w:rPr>
              <w:t>2%</w:t>
            </w:r>
          </w:p>
        </w:tc>
        <w:tc>
          <w:tcPr>
            <w:tcW w:w="1385" w:type="dxa"/>
            <w:tcBorders>
              <w:top w:val="nil"/>
              <w:left w:val="nil"/>
              <w:right w:val="nil"/>
            </w:tcBorders>
            <w:shd w:val="clear" w:color="000000" w:fill="F2F2F2"/>
            <w:noWrap/>
            <w:vAlign w:val="center"/>
          </w:tcPr>
          <w:p w:rsidR="00B912BC" w:rsidRPr="00681505" w:rsidRDefault="00E83D4E" w:rsidP="00B912BC">
            <w:pPr>
              <w:jc w:val="right"/>
              <w:rPr>
                <w:rFonts w:ascii="Arial" w:hAnsi="Arial" w:cs="Arial"/>
                <w:color w:val="000000"/>
                <w:sz w:val="18"/>
                <w:szCs w:val="18"/>
                <w:highlight w:val="yellow"/>
                <w:lang w:val="it-IT"/>
              </w:rPr>
            </w:pPr>
            <w:r w:rsidRPr="00681505">
              <w:rPr>
                <w:rFonts w:ascii="Arial" w:hAnsi="Arial" w:cs="Arial"/>
                <w:color w:val="000000"/>
                <w:sz w:val="18"/>
                <w:szCs w:val="18"/>
                <w:lang w:val="it-IT"/>
              </w:rPr>
              <w:t>0,</w:t>
            </w:r>
            <w:r w:rsidR="00B912BC" w:rsidRPr="00681505">
              <w:rPr>
                <w:rFonts w:ascii="Arial" w:hAnsi="Arial" w:cs="Arial"/>
                <w:color w:val="000000"/>
                <w:sz w:val="18"/>
                <w:szCs w:val="18"/>
                <w:lang w:val="it-IT"/>
              </w:rPr>
              <w:t>9</w:t>
            </w:r>
            <w:r w:rsidR="00B7734A" w:rsidRPr="00681505">
              <w:rPr>
                <w:rFonts w:ascii="Arial" w:hAnsi="Arial" w:cs="Arial"/>
                <w:color w:val="000000"/>
                <w:sz w:val="18"/>
                <w:szCs w:val="18"/>
                <w:lang w:val="it-IT"/>
              </w:rPr>
              <w:t>8</w:t>
            </w:r>
            <w:r w:rsidR="00B912BC" w:rsidRPr="00681505">
              <w:rPr>
                <w:rFonts w:ascii="Arial" w:hAnsi="Arial" w:cs="Arial"/>
                <w:color w:val="000000"/>
                <w:sz w:val="18"/>
                <w:szCs w:val="18"/>
                <w:highlight w:val="yellow"/>
                <w:lang w:val="it-IT"/>
              </w:rPr>
              <w:t xml:space="preserve"> </w:t>
            </w:r>
          </w:p>
        </w:tc>
      </w:tr>
      <w:tr w:rsidR="00107035" w:rsidRPr="00681505" w:rsidTr="00BE3430">
        <w:trPr>
          <w:trHeight w:hRule="exact" w:val="340"/>
          <w:jc w:val="center"/>
        </w:trPr>
        <w:tc>
          <w:tcPr>
            <w:tcW w:w="4007" w:type="dxa"/>
            <w:tcBorders>
              <w:top w:val="nil"/>
              <w:left w:val="nil"/>
              <w:bottom w:val="single" w:sz="4" w:space="0" w:color="auto"/>
              <w:right w:val="nil"/>
            </w:tcBorders>
            <w:noWrap/>
            <w:vAlign w:val="center"/>
            <w:hideMark/>
          </w:tcPr>
          <w:p w:rsidR="00107035" w:rsidRPr="00681505" w:rsidRDefault="00107035" w:rsidP="00BE3430">
            <w:pPr>
              <w:rPr>
                <w:rFonts w:ascii="Arial" w:hAnsi="Arial" w:cs="Arial"/>
                <w:color w:val="000000"/>
                <w:sz w:val="18"/>
                <w:szCs w:val="18"/>
                <w:lang w:val="it-IT"/>
              </w:rPr>
            </w:pPr>
            <w:r w:rsidRPr="00681505">
              <w:rPr>
                <w:rFonts w:ascii="Arial" w:hAnsi="Arial" w:cs="Arial"/>
                <w:color w:val="000000"/>
                <w:sz w:val="18"/>
                <w:szCs w:val="18"/>
                <w:lang w:val="it-IT"/>
              </w:rPr>
              <w:t>LTV</w:t>
            </w:r>
            <w:r w:rsidR="00A32FAF" w:rsidRPr="00681505">
              <w:rPr>
                <w:rFonts w:ascii="Arial" w:hAnsi="Arial" w:cs="Arial"/>
                <w:color w:val="000000"/>
                <w:sz w:val="18"/>
                <w:szCs w:val="18"/>
                <w:lang w:val="it-IT"/>
              </w:rPr>
              <w:t xml:space="preserve"> </w:t>
            </w:r>
            <w:r w:rsidR="00A32FAF" w:rsidRPr="00681505">
              <w:rPr>
                <w:rFonts w:ascii="Arial" w:hAnsi="Arial" w:cs="Arial"/>
                <w:color w:val="000000"/>
                <w:sz w:val="12"/>
                <w:szCs w:val="12"/>
                <w:lang w:val="it-IT"/>
              </w:rPr>
              <w:t>(</w:t>
            </w:r>
            <w:r w:rsidR="00E83D4E" w:rsidRPr="00681505">
              <w:rPr>
                <w:rFonts w:ascii="Arial" w:hAnsi="Arial" w:cs="Arial"/>
                <w:color w:val="000000"/>
                <w:sz w:val="12"/>
                <w:szCs w:val="12"/>
                <w:lang w:val="it-IT"/>
              </w:rPr>
              <w:t>Bonnet su base pro rata</w:t>
            </w:r>
            <w:r w:rsidR="00A32FAF" w:rsidRPr="00681505">
              <w:rPr>
                <w:rFonts w:ascii="Arial" w:hAnsi="Arial" w:cs="Arial"/>
                <w:color w:val="000000"/>
                <w:sz w:val="12"/>
                <w:szCs w:val="12"/>
                <w:lang w:val="it-IT"/>
              </w:rPr>
              <w:t>)</w:t>
            </w:r>
          </w:p>
        </w:tc>
        <w:tc>
          <w:tcPr>
            <w:tcW w:w="1384" w:type="dxa"/>
            <w:tcBorders>
              <w:top w:val="nil"/>
              <w:left w:val="nil"/>
              <w:bottom w:val="single" w:sz="4" w:space="0" w:color="auto"/>
              <w:right w:val="nil"/>
            </w:tcBorders>
            <w:noWrap/>
            <w:vAlign w:val="center"/>
            <w:hideMark/>
          </w:tcPr>
          <w:p w:rsidR="00107035" w:rsidRPr="00681505" w:rsidRDefault="00B912BC" w:rsidP="00BE3430">
            <w:pPr>
              <w:jc w:val="right"/>
              <w:rPr>
                <w:rFonts w:ascii="Arial" w:hAnsi="Arial" w:cs="Arial"/>
                <w:color w:val="000000"/>
                <w:sz w:val="18"/>
                <w:szCs w:val="18"/>
                <w:lang w:val="it-IT"/>
              </w:rPr>
            </w:pPr>
            <w:r w:rsidRPr="00681505">
              <w:rPr>
                <w:rFonts w:ascii="Arial" w:hAnsi="Arial" w:cs="Arial"/>
                <w:color w:val="000000"/>
                <w:sz w:val="18"/>
                <w:szCs w:val="18"/>
                <w:lang w:val="it-IT"/>
              </w:rPr>
              <w:t>34</w:t>
            </w:r>
            <w:r w:rsidR="00E83D4E" w:rsidRPr="00681505">
              <w:rPr>
                <w:rFonts w:ascii="Arial" w:hAnsi="Arial" w:cs="Arial"/>
                <w:color w:val="000000"/>
                <w:sz w:val="18"/>
                <w:szCs w:val="18"/>
                <w:lang w:val="it-IT"/>
              </w:rPr>
              <w:t>,</w:t>
            </w:r>
            <w:r w:rsidRPr="00681505">
              <w:rPr>
                <w:rFonts w:ascii="Arial" w:hAnsi="Arial" w:cs="Arial"/>
                <w:color w:val="000000"/>
                <w:sz w:val="18"/>
                <w:szCs w:val="18"/>
                <w:lang w:val="it-IT"/>
              </w:rPr>
              <w:t>5</w:t>
            </w:r>
            <w:r w:rsidR="00107035" w:rsidRPr="00681505">
              <w:rPr>
                <w:rFonts w:ascii="Arial" w:hAnsi="Arial" w:cs="Arial"/>
                <w:color w:val="000000"/>
                <w:sz w:val="18"/>
                <w:szCs w:val="18"/>
                <w:lang w:val="it-IT"/>
              </w:rPr>
              <w:t>%</w:t>
            </w:r>
          </w:p>
        </w:tc>
        <w:tc>
          <w:tcPr>
            <w:tcW w:w="1385" w:type="dxa"/>
            <w:tcBorders>
              <w:top w:val="nil"/>
              <w:left w:val="nil"/>
              <w:bottom w:val="single" w:sz="4" w:space="0" w:color="auto"/>
              <w:right w:val="nil"/>
            </w:tcBorders>
            <w:noWrap/>
            <w:vAlign w:val="center"/>
            <w:hideMark/>
          </w:tcPr>
          <w:p w:rsidR="00107035" w:rsidRPr="00681505" w:rsidRDefault="00E83D4E" w:rsidP="00BE3430">
            <w:pPr>
              <w:jc w:val="right"/>
              <w:rPr>
                <w:rFonts w:ascii="Arial" w:hAnsi="Arial" w:cs="Arial"/>
                <w:color w:val="000000"/>
                <w:sz w:val="18"/>
                <w:szCs w:val="18"/>
                <w:lang w:val="it-IT"/>
              </w:rPr>
            </w:pPr>
            <w:r w:rsidRPr="00681505">
              <w:rPr>
                <w:rFonts w:ascii="Arial" w:hAnsi="Arial" w:cs="Arial"/>
                <w:color w:val="000000"/>
                <w:sz w:val="18"/>
                <w:szCs w:val="18"/>
                <w:lang w:val="it-IT"/>
              </w:rPr>
              <w:t>38,</w:t>
            </w:r>
            <w:r w:rsidR="00107035" w:rsidRPr="00681505">
              <w:rPr>
                <w:rFonts w:ascii="Arial" w:hAnsi="Arial" w:cs="Arial"/>
                <w:color w:val="000000"/>
                <w:sz w:val="18"/>
                <w:szCs w:val="18"/>
                <w:lang w:val="it-IT"/>
              </w:rPr>
              <w:t>1%</w:t>
            </w:r>
          </w:p>
        </w:tc>
        <w:tc>
          <w:tcPr>
            <w:tcW w:w="1384" w:type="dxa"/>
            <w:tcBorders>
              <w:top w:val="nil"/>
              <w:left w:val="nil"/>
              <w:bottom w:val="single" w:sz="4" w:space="0" w:color="auto"/>
              <w:right w:val="nil"/>
            </w:tcBorders>
            <w:noWrap/>
            <w:vAlign w:val="center"/>
          </w:tcPr>
          <w:p w:rsidR="00107035" w:rsidRPr="00681505" w:rsidRDefault="00995968" w:rsidP="00BE3430">
            <w:pPr>
              <w:jc w:val="right"/>
              <w:rPr>
                <w:rFonts w:ascii="Arial" w:hAnsi="Arial" w:cs="Arial"/>
                <w:color w:val="000000"/>
                <w:sz w:val="18"/>
                <w:szCs w:val="18"/>
                <w:lang w:val="it-IT"/>
              </w:rPr>
            </w:pPr>
            <w:r>
              <w:rPr>
                <w:rFonts w:ascii="Arial" w:hAnsi="Arial" w:cs="Arial"/>
                <w:color w:val="000000"/>
                <w:sz w:val="18"/>
                <w:szCs w:val="18"/>
                <w:lang w:val="it-IT"/>
              </w:rPr>
              <w:t>n.s</w:t>
            </w:r>
            <w:r w:rsidR="00107035" w:rsidRPr="00681505">
              <w:rPr>
                <w:rFonts w:ascii="Arial" w:hAnsi="Arial" w:cs="Arial"/>
                <w:color w:val="000000"/>
                <w:sz w:val="18"/>
                <w:szCs w:val="18"/>
                <w:lang w:val="it-IT"/>
              </w:rPr>
              <w:t>.</w:t>
            </w:r>
          </w:p>
        </w:tc>
        <w:tc>
          <w:tcPr>
            <w:tcW w:w="1385" w:type="dxa"/>
            <w:tcBorders>
              <w:top w:val="nil"/>
              <w:left w:val="nil"/>
              <w:bottom w:val="single" w:sz="4" w:space="0" w:color="auto"/>
              <w:right w:val="nil"/>
            </w:tcBorders>
            <w:noWrap/>
            <w:vAlign w:val="center"/>
          </w:tcPr>
          <w:p w:rsidR="00107035" w:rsidRPr="00681505" w:rsidRDefault="00B912BC" w:rsidP="00BE3430">
            <w:pPr>
              <w:jc w:val="right"/>
              <w:rPr>
                <w:rFonts w:ascii="Arial" w:hAnsi="Arial" w:cs="Arial"/>
                <w:color w:val="000000"/>
                <w:sz w:val="18"/>
                <w:szCs w:val="18"/>
                <w:lang w:val="it-IT"/>
              </w:rPr>
            </w:pPr>
            <w:r w:rsidRPr="00681505">
              <w:rPr>
                <w:rFonts w:ascii="Arial" w:hAnsi="Arial" w:cs="Arial"/>
                <w:color w:val="000000"/>
                <w:sz w:val="18"/>
                <w:szCs w:val="18"/>
                <w:lang w:val="it-IT"/>
              </w:rPr>
              <w:t>(360)</w:t>
            </w:r>
            <w:r w:rsidR="00107035" w:rsidRPr="00681505">
              <w:rPr>
                <w:rFonts w:ascii="Arial" w:hAnsi="Arial" w:cs="Arial"/>
                <w:color w:val="000000"/>
                <w:sz w:val="18"/>
                <w:szCs w:val="18"/>
                <w:lang w:val="it-IT"/>
              </w:rPr>
              <w:t xml:space="preserve"> bps</w:t>
            </w:r>
          </w:p>
        </w:tc>
      </w:tr>
      <w:tr w:rsidR="00107035" w:rsidRPr="00681505" w:rsidTr="00BE3430">
        <w:trPr>
          <w:trHeight w:hRule="exact" w:val="340"/>
          <w:jc w:val="center"/>
        </w:trPr>
        <w:tc>
          <w:tcPr>
            <w:tcW w:w="4007" w:type="dxa"/>
            <w:tcBorders>
              <w:top w:val="single" w:sz="4" w:space="0" w:color="auto"/>
              <w:left w:val="nil"/>
              <w:bottom w:val="nil"/>
              <w:right w:val="nil"/>
            </w:tcBorders>
            <w:noWrap/>
            <w:vAlign w:val="center"/>
            <w:hideMark/>
          </w:tcPr>
          <w:p w:rsidR="00107035" w:rsidRPr="00681505" w:rsidRDefault="00107035" w:rsidP="00BE3430">
            <w:pPr>
              <w:rPr>
                <w:rFonts w:ascii="Arial" w:hAnsi="Arial" w:cs="Arial"/>
                <w:color w:val="000000"/>
                <w:sz w:val="18"/>
                <w:szCs w:val="18"/>
                <w:lang w:val="it-IT"/>
              </w:rPr>
            </w:pPr>
          </w:p>
        </w:tc>
        <w:tc>
          <w:tcPr>
            <w:tcW w:w="1384" w:type="dxa"/>
            <w:tcBorders>
              <w:top w:val="single" w:sz="4" w:space="0" w:color="auto"/>
              <w:left w:val="nil"/>
              <w:bottom w:val="nil"/>
              <w:right w:val="nil"/>
            </w:tcBorders>
            <w:noWrap/>
            <w:vAlign w:val="center"/>
            <w:hideMark/>
          </w:tcPr>
          <w:p w:rsidR="00107035" w:rsidRPr="00681505" w:rsidRDefault="00107035" w:rsidP="00BE3430">
            <w:pPr>
              <w:jc w:val="right"/>
              <w:rPr>
                <w:rFonts w:ascii="Arial" w:hAnsi="Arial" w:cs="Arial"/>
                <w:sz w:val="18"/>
                <w:szCs w:val="18"/>
                <w:highlight w:val="yellow"/>
                <w:lang w:val="it-IT"/>
              </w:rPr>
            </w:pPr>
          </w:p>
        </w:tc>
        <w:tc>
          <w:tcPr>
            <w:tcW w:w="1385" w:type="dxa"/>
            <w:tcBorders>
              <w:top w:val="single" w:sz="4" w:space="0" w:color="auto"/>
              <w:left w:val="nil"/>
              <w:bottom w:val="nil"/>
              <w:right w:val="nil"/>
            </w:tcBorders>
            <w:noWrap/>
            <w:vAlign w:val="center"/>
            <w:hideMark/>
          </w:tcPr>
          <w:p w:rsidR="00107035" w:rsidRPr="00681505" w:rsidRDefault="00107035" w:rsidP="00BE3430">
            <w:pPr>
              <w:jc w:val="right"/>
              <w:rPr>
                <w:rFonts w:ascii="Arial" w:hAnsi="Arial" w:cs="Arial"/>
                <w:sz w:val="18"/>
                <w:szCs w:val="18"/>
                <w:highlight w:val="yellow"/>
                <w:lang w:val="it-IT"/>
              </w:rPr>
            </w:pPr>
          </w:p>
        </w:tc>
        <w:tc>
          <w:tcPr>
            <w:tcW w:w="1384" w:type="dxa"/>
            <w:tcBorders>
              <w:top w:val="single" w:sz="4" w:space="0" w:color="auto"/>
              <w:left w:val="nil"/>
              <w:bottom w:val="nil"/>
              <w:right w:val="nil"/>
            </w:tcBorders>
            <w:noWrap/>
            <w:vAlign w:val="center"/>
            <w:hideMark/>
          </w:tcPr>
          <w:p w:rsidR="00107035" w:rsidRPr="00681505" w:rsidRDefault="00107035" w:rsidP="00BE3430">
            <w:pPr>
              <w:jc w:val="right"/>
              <w:rPr>
                <w:rFonts w:ascii="Arial" w:hAnsi="Arial" w:cs="Arial"/>
                <w:sz w:val="18"/>
                <w:szCs w:val="18"/>
                <w:highlight w:val="yellow"/>
                <w:lang w:val="it-IT"/>
              </w:rPr>
            </w:pPr>
          </w:p>
        </w:tc>
        <w:tc>
          <w:tcPr>
            <w:tcW w:w="1385" w:type="dxa"/>
            <w:tcBorders>
              <w:top w:val="single" w:sz="4" w:space="0" w:color="auto"/>
              <w:left w:val="nil"/>
              <w:bottom w:val="nil"/>
              <w:right w:val="nil"/>
            </w:tcBorders>
            <w:noWrap/>
            <w:vAlign w:val="center"/>
            <w:hideMark/>
          </w:tcPr>
          <w:p w:rsidR="00107035" w:rsidRPr="00681505" w:rsidRDefault="00107035" w:rsidP="00BE3430">
            <w:pPr>
              <w:jc w:val="right"/>
              <w:rPr>
                <w:rFonts w:ascii="Arial" w:hAnsi="Arial" w:cs="Arial"/>
                <w:sz w:val="18"/>
                <w:szCs w:val="18"/>
                <w:highlight w:val="yellow"/>
                <w:lang w:val="it-IT"/>
              </w:rPr>
            </w:pPr>
          </w:p>
        </w:tc>
      </w:tr>
      <w:tr w:rsidR="00107035" w:rsidRPr="00681505" w:rsidTr="00BE3430">
        <w:trPr>
          <w:trHeight w:hRule="exact" w:val="340"/>
          <w:jc w:val="center"/>
        </w:trPr>
        <w:tc>
          <w:tcPr>
            <w:tcW w:w="4007" w:type="dxa"/>
            <w:tcBorders>
              <w:top w:val="nil"/>
              <w:left w:val="nil"/>
              <w:bottom w:val="single" w:sz="4" w:space="0" w:color="auto"/>
              <w:right w:val="nil"/>
            </w:tcBorders>
            <w:noWrap/>
            <w:vAlign w:val="center"/>
            <w:hideMark/>
          </w:tcPr>
          <w:p w:rsidR="00107035" w:rsidRPr="00681505" w:rsidRDefault="00E83D4E" w:rsidP="00BE3430">
            <w:pPr>
              <w:rPr>
                <w:rFonts w:ascii="Arial" w:hAnsi="Arial" w:cs="Arial"/>
                <w:b/>
                <w:bCs/>
                <w:color w:val="000000"/>
                <w:sz w:val="18"/>
                <w:szCs w:val="18"/>
                <w:lang w:val="it-IT"/>
              </w:rPr>
            </w:pPr>
            <w:r w:rsidRPr="00681505">
              <w:rPr>
                <w:rFonts w:ascii="Arial" w:hAnsi="Arial" w:cs="Arial"/>
                <w:b/>
                <w:bCs/>
                <w:color w:val="000000"/>
                <w:sz w:val="18"/>
                <w:szCs w:val="18"/>
                <w:lang w:val="it-IT"/>
              </w:rPr>
              <w:t>Conto Economico (Euro milioni)</w:t>
            </w:r>
          </w:p>
        </w:tc>
        <w:tc>
          <w:tcPr>
            <w:tcW w:w="1384" w:type="dxa"/>
            <w:tcBorders>
              <w:top w:val="nil"/>
              <w:left w:val="nil"/>
              <w:bottom w:val="single" w:sz="4" w:space="0" w:color="auto"/>
              <w:right w:val="nil"/>
            </w:tcBorders>
            <w:noWrap/>
            <w:vAlign w:val="center"/>
            <w:hideMark/>
          </w:tcPr>
          <w:p w:rsidR="00107035" w:rsidRPr="00681505" w:rsidRDefault="00107035" w:rsidP="00BE3430">
            <w:pPr>
              <w:jc w:val="right"/>
              <w:rPr>
                <w:rFonts w:ascii="Arial" w:hAnsi="Arial" w:cs="Arial"/>
                <w:b/>
                <w:bCs/>
                <w:color w:val="000000"/>
                <w:sz w:val="18"/>
                <w:szCs w:val="18"/>
                <w:lang w:val="it-IT"/>
              </w:rPr>
            </w:pPr>
            <w:r w:rsidRPr="00681505">
              <w:rPr>
                <w:rFonts w:ascii="Arial" w:hAnsi="Arial" w:cs="Arial"/>
                <w:b/>
                <w:bCs/>
                <w:color w:val="000000"/>
                <w:sz w:val="18"/>
                <w:szCs w:val="18"/>
                <w:lang w:val="it-IT"/>
              </w:rPr>
              <w:t>2018</w:t>
            </w:r>
          </w:p>
        </w:tc>
        <w:tc>
          <w:tcPr>
            <w:tcW w:w="1385" w:type="dxa"/>
            <w:tcBorders>
              <w:top w:val="nil"/>
              <w:left w:val="nil"/>
              <w:bottom w:val="single" w:sz="4" w:space="0" w:color="auto"/>
              <w:right w:val="nil"/>
            </w:tcBorders>
            <w:noWrap/>
            <w:vAlign w:val="center"/>
            <w:hideMark/>
          </w:tcPr>
          <w:p w:rsidR="00107035" w:rsidRPr="00681505" w:rsidRDefault="00107035" w:rsidP="00BE3430">
            <w:pPr>
              <w:jc w:val="right"/>
              <w:rPr>
                <w:rFonts w:ascii="Arial" w:hAnsi="Arial" w:cs="Arial"/>
                <w:b/>
                <w:bCs/>
                <w:color w:val="000000"/>
                <w:sz w:val="18"/>
                <w:szCs w:val="18"/>
                <w:lang w:val="it-IT"/>
              </w:rPr>
            </w:pPr>
            <w:r w:rsidRPr="00681505">
              <w:rPr>
                <w:rFonts w:ascii="Arial" w:hAnsi="Arial" w:cs="Arial"/>
                <w:b/>
                <w:bCs/>
                <w:color w:val="000000"/>
                <w:sz w:val="18"/>
                <w:szCs w:val="18"/>
                <w:lang w:val="it-IT"/>
              </w:rPr>
              <w:t>2017</w:t>
            </w:r>
          </w:p>
        </w:tc>
        <w:tc>
          <w:tcPr>
            <w:tcW w:w="1384" w:type="dxa"/>
            <w:tcBorders>
              <w:top w:val="nil"/>
              <w:left w:val="nil"/>
              <w:bottom w:val="single" w:sz="4" w:space="0" w:color="auto"/>
              <w:right w:val="nil"/>
            </w:tcBorders>
            <w:noWrap/>
            <w:vAlign w:val="center"/>
          </w:tcPr>
          <w:p w:rsidR="00107035" w:rsidRPr="00681505" w:rsidRDefault="00107035" w:rsidP="00BE3430">
            <w:pPr>
              <w:jc w:val="right"/>
              <w:rPr>
                <w:rFonts w:ascii="Arial" w:hAnsi="Arial" w:cs="Arial"/>
                <w:b/>
                <w:bCs/>
                <w:color w:val="000000"/>
                <w:sz w:val="18"/>
                <w:szCs w:val="18"/>
                <w:lang w:val="it-IT"/>
              </w:rPr>
            </w:pPr>
            <w:r w:rsidRPr="00681505">
              <w:rPr>
                <w:rFonts w:ascii="Arial" w:hAnsi="Arial" w:cs="Arial"/>
                <w:b/>
                <w:bCs/>
                <w:color w:val="000000"/>
                <w:sz w:val="18"/>
                <w:szCs w:val="18"/>
                <w:lang w:val="it-IT"/>
              </w:rPr>
              <w:t>Delta (%)</w:t>
            </w:r>
          </w:p>
        </w:tc>
        <w:tc>
          <w:tcPr>
            <w:tcW w:w="1385" w:type="dxa"/>
            <w:tcBorders>
              <w:top w:val="nil"/>
              <w:left w:val="nil"/>
              <w:bottom w:val="single" w:sz="4" w:space="0" w:color="auto"/>
              <w:right w:val="nil"/>
            </w:tcBorders>
            <w:noWrap/>
            <w:vAlign w:val="center"/>
          </w:tcPr>
          <w:p w:rsidR="00107035" w:rsidRPr="00681505" w:rsidRDefault="00107035" w:rsidP="00BE3430">
            <w:pPr>
              <w:jc w:val="right"/>
              <w:rPr>
                <w:rFonts w:ascii="Arial" w:hAnsi="Arial" w:cs="Arial"/>
                <w:b/>
                <w:bCs/>
                <w:color w:val="000000"/>
                <w:sz w:val="18"/>
                <w:szCs w:val="18"/>
                <w:lang w:val="it-IT"/>
              </w:rPr>
            </w:pPr>
            <w:r w:rsidRPr="00681505">
              <w:rPr>
                <w:rFonts w:ascii="Arial" w:hAnsi="Arial" w:cs="Arial"/>
                <w:b/>
                <w:bCs/>
                <w:color w:val="000000"/>
                <w:sz w:val="18"/>
                <w:szCs w:val="18"/>
                <w:lang w:val="it-IT"/>
              </w:rPr>
              <w:t>Delta</w:t>
            </w:r>
          </w:p>
        </w:tc>
      </w:tr>
      <w:tr w:rsidR="00107035" w:rsidRPr="00681505" w:rsidTr="00BE3430">
        <w:trPr>
          <w:trHeight w:hRule="exact" w:val="340"/>
          <w:jc w:val="center"/>
        </w:trPr>
        <w:tc>
          <w:tcPr>
            <w:tcW w:w="4007" w:type="dxa"/>
            <w:tcBorders>
              <w:top w:val="nil"/>
              <w:left w:val="nil"/>
              <w:bottom w:val="nil"/>
              <w:right w:val="nil"/>
            </w:tcBorders>
            <w:noWrap/>
            <w:vAlign w:val="center"/>
            <w:hideMark/>
          </w:tcPr>
          <w:p w:rsidR="00107035" w:rsidRPr="00681505" w:rsidRDefault="00E83D4E" w:rsidP="00BE3430">
            <w:pPr>
              <w:rPr>
                <w:rFonts w:ascii="Arial" w:hAnsi="Arial" w:cs="Arial"/>
                <w:color w:val="000000"/>
                <w:sz w:val="18"/>
                <w:szCs w:val="18"/>
                <w:lang w:val="it-IT"/>
              </w:rPr>
            </w:pPr>
            <w:r w:rsidRPr="00681505">
              <w:rPr>
                <w:rFonts w:ascii="Arial" w:hAnsi="Arial" w:cs="Arial"/>
                <w:color w:val="000000"/>
                <w:sz w:val="18"/>
                <w:szCs w:val="18"/>
                <w:lang w:val="it-IT"/>
              </w:rPr>
              <w:t>Canoni di locazione</w:t>
            </w:r>
          </w:p>
        </w:tc>
        <w:tc>
          <w:tcPr>
            <w:tcW w:w="1384" w:type="dxa"/>
            <w:tcBorders>
              <w:top w:val="nil"/>
              <w:left w:val="nil"/>
              <w:bottom w:val="nil"/>
              <w:right w:val="nil"/>
            </w:tcBorders>
            <w:noWrap/>
            <w:vAlign w:val="center"/>
            <w:hideMark/>
          </w:tcPr>
          <w:p w:rsidR="00107035" w:rsidRPr="00681505" w:rsidRDefault="00B912BC" w:rsidP="00BE3430">
            <w:pPr>
              <w:jc w:val="right"/>
              <w:rPr>
                <w:rFonts w:ascii="Arial" w:hAnsi="Arial" w:cs="Arial"/>
                <w:color w:val="000000"/>
                <w:sz w:val="18"/>
                <w:szCs w:val="18"/>
                <w:lang w:val="it-IT"/>
              </w:rPr>
            </w:pPr>
            <w:r w:rsidRPr="00681505">
              <w:rPr>
                <w:rFonts w:ascii="Arial" w:hAnsi="Arial" w:cs="Arial"/>
                <w:color w:val="000000"/>
                <w:sz w:val="18"/>
                <w:szCs w:val="18"/>
                <w:lang w:val="it-IT"/>
              </w:rPr>
              <w:t>36</w:t>
            </w:r>
            <w:r w:rsidR="00E83D4E" w:rsidRPr="00681505">
              <w:rPr>
                <w:rFonts w:ascii="Arial" w:hAnsi="Arial" w:cs="Arial"/>
                <w:color w:val="000000"/>
                <w:sz w:val="18"/>
                <w:szCs w:val="18"/>
                <w:lang w:val="it-IT"/>
              </w:rPr>
              <w:t>,</w:t>
            </w:r>
            <w:r w:rsidRPr="00681505">
              <w:rPr>
                <w:rFonts w:ascii="Arial" w:hAnsi="Arial" w:cs="Arial"/>
                <w:color w:val="000000"/>
                <w:sz w:val="18"/>
                <w:szCs w:val="18"/>
                <w:lang w:val="it-IT"/>
              </w:rPr>
              <w:t>3</w:t>
            </w:r>
          </w:p>
        </w:tc>
        <w:tc>
          <w:tcPr>
            <w:tcW w:w="1385" w:type="dxa"/>
            <w:tcBorders>
              <w:top w:val="nil"/>
              <w:left w:val="nil"/>
              <w:bottom w:val="nil"/>
              <w:right w:val="nil"/>
            </w:tcBorders>
            <w:noWrap/>
            <w:vAlign w:val="center"/>
            <w:hideMark/>
          </w:tcPr>
          <w:p w:rsidR="00107035" w:rsidRPr="00681505" w:rsidRDefault="00E83D4E" w:rsidP="00BE3430">
            <w:pPr>
              <w:jc w:val="right"/>
              <w:rPr>
                <w:rFonts w:ascii="Arial" w:hAnsi="Arial" w:cs="Arial"/>
                <w:color w:val="000000"/>
                <w:sz w:val="18"/>
                <w:szCs w:val="18"/>
                <w:lang w:val="it-IT"/>
              </w:rPr>
            </w:pPr>
            <w:r w:rsidRPr="00681505">
              <w:rPr>
                <w:rFonts w:ascii="Arial" w:hAnsi="Arial" w:cs="Arial"/>
                <w:color w:val="000000"/>
                <w:sz w:val="18"/>
                <w:szCs w:val="18"/>
                <w:lang w:val="it-IT"/>
              </w:rPr>
              <w:t>34,</w:t>
            </w:r>
            <w:r w:rsidR="00B912BC" w:rsidRPr="00681505">
              <w:rPr>
                <w:rFonts w:ascii="Arial" w:hAnsi="Arial" w:cs="Arial"/>
                <w:color w:val="000000"/>
                <w:sz w:val="18"/>
                <w:szCs w:val="18"/>
                <w:lang w:val="it-IT"/>
              </w:rPr>
              <w:t>2</w:t>
            </w:r>
            <w:r w:rsidR="00107035" w:rsidRPr="00681505">
              <w:rPr>
                <w:rFonts w:ascii="Arial" w:hAnsi="Arial" w:cs="Arial"/>
                <w:color w:val="000000"/>
                <w:sz w:val="18"/>
                <w:szCs w:val="18"/>
                <w:lang w:val="it-IT"/>
              </w:rPr>
              <w:t xml:space="preserve"> </w:t>
            </w:r>
          </w:p>
        </w:tc>
        <w:tc>
          <w:tcPr>
            <w:tcW w:w="1384" w:type="dxa"/>
            <w:tcBorders>
              <w:top w:val="nil"/>
              <w:left w:val="nil"/>
              <w:bottom w:val="nil"/>
              <w:right w:val="nil"/>
            </w:tcBorders>
            <w:noWrap/>
            <w:vAlign w:val="center"/>
          </w:tcPr>
          <w:p w:rsidR="00107035" w:rsidRPr="00681505" w:rsidRDefault="00B7734A" w:rsidP="00BE3430">
            <w:pPr>
              <w:jc w:val="right"/>
              <w:rPr>
                <w:rFonts w:ascii="Arial" w:hAnsi="Arial" w:cs="Arial"/>
                <w:color w:val="000000"/>
                <w:sz w:val="18"/>
                <w:szCs w:val="18"/>
                <w:lang w:val="it-IT"/>
              </w:rPr>
            </w:pPr>
            <w:r w:rsidRPr="00681505">
              <w:rPr>
                <w:rFonts w:ascii="Arial" w:hAnsi="Arial" w:cs="Arial"/>
                <w:color w:val="000000"/>
                <w:sz w:val="18"/>
                <w:szCs w:val="18"/>
                <w:lang w:val="it-IT"/>
              </w:rPr>
              <w:t>5</w:t>
            </w:r>
            <w:r w:rsidR="00E83D4E" w:rsidRPr="00681505">
              <w:rPr>
                <w:rFonts w:ascii="Arial" w:hAnsi="Arial" w:cs="Arial"/>
                <w:color w:val="000000"/>
                <w:sz w:val="18"/>
                <w:szCs w:val="18"/>
                <w:lang w:val="it-IT"/>
              </w:rPr>
              <w:t>,</w:t>
            </w:r>
            <w:r w:rsidRPr="00681505">
              <w:rPr>
                <w:rFonts w:ascii="Arial" w:hAnsi="Arial" w:cs="Arial"/>
                <w:color w:val="000000"/>
                <w:sz w:val="18"/>
                <w:szCs w:val="18"/>
                <w:lang w:val="it-IT"/>
              </w:rPr>
              <w:t>9</w:t>
            </w:r>
            <w:r w:rsidR="00107035" w:rsidRPr="00681505">
              <w:rPr>
                <w:rFonts w:ascii="Arial" w:hAnsi="Arial" w:cs="Arial"/>
                <w:color w:val="000000"/>
                <w:sz w:val="18"/>
                <w:szCs w:val="18"/>
                <w:lang w:val="it-IT"/>
              </w:rPr>
              <w:t>%</w:t>
            </w:r>
          </w:p>
        </w:tc>
        <w:tc>
          <w:tcPr>
            <w:tcW w:w="1385" w:type="dxa"/>
            <w:tcBorders>
              <w:top w:val="nil"/>
              <w:left w:val="nil"/>
              <w:bottom w:val="nil"/>
              <w:right w:val="nil"/>
            </w:tcBorders>
            <w:noWrap/>
            <w:vAlign w:val="center"/>
          </w:tcPr>
          <w:p w:rsidR="00107035" w:rsidRPr="00681505" w:rsidRDefault="00E83D4E" w:rsidP="00BE3430">
            <w:pPr>
              <w:jc w:val="right"/>
              <w:rPr>
                <w:rFonts w:ascii="Arial" w:hAnsi="Arial" w:cs="Arial"/>
                <w:color w:val="000000"/>
                <w:sz w:val="18"/>
                <w:szCs w:val="18"/>
                <w:lang w:val="it-IT"/>
              </w:rPr>
            </w:pPr>
            <w:r w:rsidRPr="00681505">
              <w:rPr>
                <w:rFonts w:ascii="Arial" w:hAnsi="Arial" w:cs="Arial"/>
                <w:color w:val="000000"/>
                <w:sz w:val="18"/>
                <w:szCs w:val="18"/>
                <w:lang w:val="it-IT"/>
              </w:rPr>
              <w:t>2,</w:t>
            </w:r>
            <w:r w:rsidR="00B912BC" w:rsidRPr="00681505">
              <w:rPr>
                <w:rFonts w:ascii="Arial" w:hAnsi="Arial" w:cs="Arial"/>
                <w:color w:val="000000"/>
                <w:sz w:val="18"/>
                <w:szCs w:val="18"/>
                <w:lang w:val="it-IT"/>
              </w:rPr>
              <w:t>1</w:t>
            </w:r>
            <w:r w:rsidR="00107035" w:rsidRPr="00681505">
              <w:rPr>
                <w:rFonts w:ascii="Arial" w:hAnsi="Arial" w:cs="Arial"/>
                <w:color w:val="000000"/>
                <w:sz w:val="18"/>
                <w:szCs w:val="18"/>
                <w:lang w:val="it-IT"/>
              </w:rPr>
              <w:t xml:space="preserve"> </w:t>
            </w:r>
          </w:p>
        </w:tc>
      </w:tr>
      <w:tr w:rsidR="00107035" w:rsidRPr="00681505" w:rsidTr="00BE3430">
        <w:trPr>
          <w:trHeight w:hRule="exact" w:val="340"/>
          <w:jc w:val="center"/>
        </w:trPr>
        <w:tc>
          <w:tcPr>
            <w:tcW w:w="4007" w:type="dxa"/>
            <w:tcBorders>
              <w:top w:val="nil"/>
              <w:left w:val="nil"/>
              <w:bottom w:val="nil"/>
              <w:right w:val="nil"/>
            </w:tcBorders>
            <w:noWrap/>
            <w:vAlign w:val="center"/>
            <w:hideMark/>
          </w:tcPr>
          <w:p w:rsidR="00107035" w:rsidRPr="00681505" w:rsidRDefault="00AC52D9" w:rsidP="00BE3430">
            <w:pPr>
              <w:rPr>
                <w:rFonts w:ascii="Arial" w:hAnsi="Arial" w:cs="Arial"/>
                <w:color w:val="000000"/>
                <w:sz w:val="18"/>
                <w:szCs w:val="18"/>
                <w:lang w:val="it-IT"/>
              </w:rPr>
            </w:pPr>
            <w:r w:rsidRPr="00681505">
              <w:rPr>
                <w:rFonts w:ascii="Arial" w:hAnsi="Arial" w:cs="Arial"/>
                <w:color w:val="000000"/>
                <w:sz w:val="18"/>
                <w:szCs w:val="18"/>
                <w:lang w:val="it-IT"/>
              </w:rPr>
              <w:t>Net Operating Income (NOI)</w:t>
            </w:r>
          </w:p>
        </w:tc>
        <w:tc>
          <w:tcPr>
            <w:tcW w:w="1384" w:type="dxa"/>
            <w:tcBorders>
              <w:top w:val="nil"/>
              <w:left w:val="nil"/>
              <w:bottom w:val="nil"/>
              <w:right w:val="nil"/>
            </w:tcBorders>
            <w:noWrap/>
            <w:vAlign w:val="center"/>
            <w:hideMark/>
          </w:tcPr>
          <w:p w:rsidR="00107035" w:rsidRPr="00681505" w:rsidRDefault="00E83D4E" w:rsidP="00BE3430">
            <w:pPr>
              <w:jc w:val="right"/>
              <w:rPr>
                <w:rFonts w:ascii="Arial" w:hAnsi="Arial" w:cs="Arial"/>
                <w:color w:val="000000"/>
                <w:sz w:val="18"/>
                <w:szCs w:val="18"/>
                <w:lang w:val="it-IT"/>
              </w:rPr>
            </w:pPr>
            <w:r w:rsidRPr="00681505">
              <w:rPr>
                <w:rFonts w:ascii="Arial" w:hAnsi="Arial" w:cs="Arial"/>
                <w:color w:val="000000"/>
                <w:sz w:val="18"/>
                <w:szCs w:val="18"/>
                <w:lang w:val="it-IT"/>
              </w:rPr>
              <w:t>32,</w:t>
            </w:r>
            <w:r w:rsidR="00B912BC" w:rsidRPr="00681505">
              <w:rPr>
                <w:rFonts w:ascii="Arial" w:hAnsi="Arial" w:cs="Arial"/>
                <w:color w:val="000000"/>
                <w:sz w:val="18"/>
                <w:szCs w:val="18"/>
                <w:lang w:val="it-IT"/>
              </w:rPr>
              <w:t>3</w:t>
            </w:r>
          </w:p>
        </w:tc>
        <w:tc>
          <w:tcPr>
            <w:tcW w:w="1385" w:type="dxa"/>
            <w:tcBorders>
              <w:top w:val="nil"/>
              <w:left w:val="nil"/>
              <w:bottom w:val="nil"/>
              <w:right w:val="nil"/>
            </w:tcBorders>
            <w:noWrap/>
            <w:vAlign w:val="center"/>
            <w:hideMark/>
          </w:tcPr>
          <w:p w:rsidR="00107035" w:rsidRPr="00681505" w:rsidRDefault="00E83D4E" w:rsidP="00BE3430">
            <w:pPr>
              <w:jc w:val="right"/>
              <w:rPr>
                <w:rFonts w:ascii="Arial" w:hAnsi="Arial" w:cs="Arial"/>
                <w:color w:val="000000"/>
                <w:sz w:val="18"/>
                <w:szCs w:val="18"/>
                <w:lang w:val="it-IT"/>
              </w:rPr>
            </w:pPr>
            <w:r w:rsidRPr="00681505">
              <w:rPr>
                <w:rFonts w:ascii="Arial" w:hAnsi="Arial" w:cs="Arial"/>
                <w:color w:val="000000"/>
                <w:sz w:val="18"/>
                <w:szCs w:val="18"/>
                <w:lang w:val="it-IT"/>
              </w:rPr>
              <w:t>30,</w:t>
            </w:r>
            <w:r w:rsidR="00B912BC" w:rsidRPr="00681505">
              <w:rPr>
                <w:rFonts w:ascii="Arial" w:hAnsi="Arial" w:cs="Arial"/>
                <w:color w:val="000000"/>
                <w:sz w:val="18"/>
                <w:szCs w:val="18"/>
                <w:lang w:val="it-IT"/>
              </w:rPr>
              <w:t>5</w:t>
            </w:r>
            <w:r w:rsidR="00107035" w:rsidRPr="00681505">
              <w:rPr>
                <w:rFonts w:ascii="Arial" w:hAnsi="Arial" w:cs="Arial"/>
                <w:color w:val="000000"/>
                <w:sz w:val="18"/>
                <w:szCs w:val="18"/>
                <w:lang w:val="it-IT"/>
              </w:rPr>
              <w:t xml:space="preserve"> </w:t>
            </w:r>
          </w:p>
        </w:tc>
        <w:tc>
          <w:tcPr>
            <w:tcW w:w="1384" w:type="dxa"/>
            <w:tcBorders>
              <w:top w:val="nil"/>
              <w:left w:val="nil"/>
              <w:bottom w:val="nil"/>
              <w:right w:val="nil"/>
            </w:tcBorders>
            <w:noWrap/>
            <w:vAlign w:val="center"/>
          </w:tcPr>
          <w:p w:rsidR="00107035" w:rsidRPr="00681505" w:rsidRDefault="00E83D4E" w:rsidP="00BE3430">
            <w:pPr>
              <w:jc w:val="right"/>
              <w:rPr>
                <w:rFonts w:ascii="Arial" w:hAnsi="Arial" w:cs="Arial"/>
                <w:color w:val="000000"/>
                <w:sz w:val="18"/>
                <w:szCs w:val="18"/>
                <w:lang w:val="it-IT"/>
              </w:rPr>
            </w:pPr>
            <w:r w:rsidRPr="00681505">
              <w:rPr>
                <w:rFonts w:ascii="Arial" w:hAnsi="Arial" w:cs="Arial"/>
                <w:color w:val="000000"/>
                <w:sz w:val="18"/>
                <w:szCs w:val="18"/>
                <w:lang w:val="it-IT"/>
              </w:rPr>
              <w:t>5,</w:t>
            </w:r>
            <w:r w:rsidR="00B912BC" w:rsidRPr="00681505">
              <w:rPr>
                <w:rFonts w:ascii="Arial" w:hAnsi="Arial" w:cs="Arial"/>
                <w:color w:val="000000"/>
                <w:sz w:val="18"/>
                <w:szCs w:val="18"/>
                <w:lang w:val="it-IT"/>
              </w:rPr>
              <w:t>9</w:t>
            </w:r>
            <w:r w:rsidR="00107035" w:rsidRPr="00681505">
              <w:rPr>
                <w:rFonts w:ascii="Arial" w:hAnsi="Arial" w:cs="Arial"/>
                <w:color w:val="000000"/>
                <w:sz w:val="18"/>
                <w:szCs w:val="18"/>
                <w:lang w:val="it-IT"/>
              </w:rPr>
              <w:t>%</w:t>
            </w:r>
          </w:p>
        </w:tc>
        <w:tc>
          <w:tcPr>
            <w:tcW w:w="1385" w:type="dxa"/>
            <w:tcBorders>
              <w:top w:val="nil"/>
              <w:left w:val="nil"/>
              <w:bottom w:val="nil"/>
              <w:right w:val="nil"/>
            </w:tcBorders>
            <w:noWrap/>
            <w:vAlign w:val="center"/>
          </w:tcPr>
          <w:p w:rsidR="00107035" w:rsidRPr="00681505" w:rsidRDefault="00E83D4E" w:rsidP="00BE3430">
            <w:pPr>
              <w:jc w:val="right"/>
              <w:rPr>
                <w:rFonts w:ascii="Arial" w:hAnsi="Arial" w:cs="Arial"/>
                <w:color w:val="000000"/>
                <w:sz w:val="18"/>
                <w:szCs w:val="18"/>
                <w:lang w:val="it-IT"/>
              </w:rPr>
            </w:pPr>
            <w:r w:rsidRPr="00681505">
              <w:rPr>
                <w:rFonts w:ascii="Arial" w:hAnsi="Arial" w:cs="Arial"/>
                <w:color w:val="000000"/>
                <w:sz w:val="18"/>
                <w:szCs w:val="18"/>
                <w:lang w:val="it-IT"/>
              </w:rPr>
              <w:t>1,</w:t>
            </w:r>
            <w:r w:rsidR="00B912BC" w:rsidRPr="00681505">
              <w:rPr>
                <w:rFonts w:ascii="Arial" w:hAnsi="Arial" w:cs="Arial"/>
                <w:color w:val="000000"/>
                <w:sz w:val="18"/>
                <w:szCs w:val="18"/>
                <w:lang w:val="it-IT"/>
              </w:rPr>
              <w:t>8</w:t>
            </w:r>
            <w:r w:rsidR="00107035" w:rsidRPr="00681505">
              <w:rPr>
                <w:rFonts w:ascii="Arial" w:hAnsi="Arial" w:cs="Arial"/>
                <w:color w:val="000000"/>
                <w:sz w:val="18"/>
                <w:szCs w:val="18"/>
                <w:lang w:val="it-IT"/>
              </w:rPr>
              <w:t xml:space="preserve"> </w:t>
            </w:r>
          </w:p>
        </w:tc>
      </w:tr>
      <w:tr w:rsidR="00107035" w:rsidRPr="00681505" w:rsidTr="00BE3430">
        <w:trPr>
          <w:trHeight w:hRule="exact" w:val="340"/>
          <w:jc w:val="center"/>
        </w:trPr>
        <w:tc>
          <w:tcPr>
            <w:tcW w:w="4007" w:type="dxa"/>
            <w:tcBorders>
              <w:top w:val="nil"/>
              <w:left w:val="nil"/>
              <w:bottom w:val="nil"/>
              <w:right w:val="nil"/>
            </w:tcBorders>
            <w:noWrap/>
            <w:vAlign w:val="center"/>
          </w:tcPr>
          <w:p w:rsidR="00107035" w:rsidRPr="00681505" w:rsidRDefault="00E83D4E" w:rsidP="00BE3430">
            <w:pPr>
              <w:rPr>
                <w:rFonts w:ascii="Arial" w:hAnsi="Arial" w:cs="Arial"/>
                <w:color w:val="000000"/>
                <w:sz w:val="18"/>
                <w:szCs w:val="18"/>
                <w:lang w:val="it-IT"/>
              </w:rPr>
            </w:pPr>
            <w:r w:rsidRPr="00681505">
              <w:rPr>
                <w:rFonts w:ascii="Arial" w:hAnsi="Arial" w:cs="Arial"/>
                <w:color w:val="000000"/>
                <w:sz w:val="18"/>
                <w:szCs w:val="18"/>
                <w:lang w:val="it-IT"/>
              </w:rPr>
              <w:t>Margine NOI</w:t>
            </w:r>
          </w:p>
        </w:tc>
        <w:tc>
          <w:tcPr>
            <w:tcW w:w="1384" w:type="dxa"/>
            <w:tcBorders>
              <w:top w:val="nil"/>
              <w:left w:val="nil"/>
              <w:bottom w:val="nil"/>
              <w:right w:val="nil"/>
            </w:tcBorders>
            <w:noWrap/>
            <w:vAlign w:val="center"/>
          </w:tcPr>
          <w:p w:rsidR="00107035" w:rsidRPr="00681505" w:rsidRDefault="00107035" w:rsidP="00BE3430">
            <w:pPr>
              <w:jc w:val="right"/>
              <w:rPr>
                <w:rFonts w:ascii="Arial" w:hAnsi="Arial" w:cs="Arial"/>
                <w:color w:val="000000"/>
                <w:sz w:val="18"/>
                <w:szCs w:val="18"/>
                <w:lang w:val="it-IT"/>
              </w:rPr>
            </w:pPr>
            <w:r w:rsidRPr="00681505">
              <w:rPr>
                <w:rFonts w:ascii="Arial" w:hAnsi="Arial" w:cs="Arial"/>
                <w:color w:val="000000"/>
                <w:sz w:val="18"/>
                <w:szCs w:val="18"/>
                <w:lang w:val="it-IT"/>
              </w:rPr>
              <w:t>8</w:t>
            </w:r>
            <w:r w:rsidR="009942BF" w:rsidRPr="00681505">
              <w:rPr>
                <w:rFonts w:ascii="Arial" w:hAnsi="Arial" w:cs="Arial"/>
                <w:color w:val="000000"/>
                <w:sz w:val="18"/>
                <w:szCs w:val="18"/>
                <w:lang w:val="it-IT"/>
              </w:rPr>
              <w:t>9</w:t>
            </w:r>
            <w:r w:rsidR="00E83D4E" w:rsidRPr="00681505">
              <w:rPr>
                <w:rFonts w:ascii="Arial" w:hAnsi="Arial" w:cs="Arial"/>
                <w:color w:val="000000"/>
                <w:sz w:val="18"/>
                <w:szCs w:val="18"/>
                <w:lang w:val="it-IT"/>
              </w:rPr>
              <w:t>,</w:t>
            </w:r>
            <w:r w:rsidR="009942BF" w:rsidRPr="00681505">
              <w:rPr>
                <w:rFonts w:ascii="Arial" w:hAnsi="Arial" w:cs="Arial"/>
                <w:color w:val="000000"/>
                <w:sz w:val="18"/>
                <w:szCs w:val="18"/>
                <w:lang w:val="it-IT"/>
              </w:rPr>
              <w:t>1</w:t>
            </w:r>
            <w:r w:rsidRPr="00681505">
              <w:rPr>
                <w:rFonts w:ascii="Arial" w:hAnsi="Arial" w:cs="Arial"/>
                <w:color w:val="000000"/>
                <w:sz w:val="18"/>
                <w:szCs w:val="18"/>
                <w:lang w:val="it-IT"/>
              </w:rPr>
              <w:t>%</w:t>
            </w:r>
          </w:p>
        </w:tc>
        <w:tc>
          <w:tcPr>
            <w:tcW w:w="1385" w:type="dxa"/>
            <w:tcBorders>
              <w:top w:val="nil"/>
              <w:left w:val="nil"/>
              <w:bottom w:val="nil"/>
              <w:right w:val="nil"/>
            </w:tcBorders>
            <w:noWrap/>
            <w:vAlign w:val="center"/>
          </w:tcPr>
          <w:p w:rsidR="00107035" w:rsidRPr="00681505" w:rsidRDefault="00E83D4E" w:rsidP="00BE3430">
            <w:pPr>
              <w:jc w:val="right"/>
              <w:rPr>
                <w:rFonts w:ascii="Arial" w:hAnsi="Arial" w:cs="Arial"/>
                <w:color w:val="000000"/>
                <w:sz w:val="18"/>
                <w:szCs w:val="18"/>
                <w:lang w:val="it-IT"/>
              </w:rPr>
            </w:pPr>
            <w:r w:rsidRPr="00681505">
              <w:rPr>
                <w:rFonts w:ascii="Arial" w:hAnsi="Arial" w:cs="Arial"/>
                <w:color w:val="000000"/>
                <w:sz w:val="18"/>
                <w:szCs w:val="18"/>
                <w:lang w:val="it-IT"/>
              </w:rPr>
              <w:t>89,</w:t>
            </w:r>
            <w:r w:rsidR="00B912BC" w:rsidRPr="00681505">
              <w:rPr>
                <w:rFonts w:ascii="Arial" w:hAnsi="Arial" w:cs="Arial"/>
                <w:color w:val="000000"/>
                <w:sz w:val="18"/>
                <w:szCs w:val="18"/>
                <w:lang w:val="it-IT"/>
              </w:rPr>
              <w:t>1</w:t>
            </w:r>
            <w:r w:rsidR="00107035" w:rsidRPr="00681505">
              <w:rPr>
                <w:rFonts w:ascii="Arial" w:hAnsi="Arial" w:cs="Arial"/>
                <w:color w:val="000000"/>
                <w:sz w:val="18"/>
                <w:szCs w:val="18"/>
                <w:lang w:val="it-IT"/>
              </w:rPr>
              <w:t>%</w:t>
            </w:r>
          </w:p>
        </w:tc>
        <w:tc>
          <w:tcPr>
            <w:tcW w:w="1384" w:type="dxa"/>
            <w:tcBorders>
              <w:top w:val="nil"/>
              <w:left w:val="nil"/>
              <w:bottom w:val="nil"/>
              <w:right w:val="nil"/>
            </w:tcBorders>
            <w:noWrap/>
            <w:vAlign w:val="center"/>
          </w:tcPr>
          <w:p w:rsidR="00107035" w:rsidRPr="00681505" w:rsidRDefault="00995968" w:rsidP="00BE3430">
            <w:pPr>
              <w:jc w:val="right"/>
              <w:rPr>
                <w:rFonts w:ascii="Arial" w:hAnsi="Arial" w:cs="Arial"/>
                <w:color w:val="000000"/>
                <w:sz w:val="18"/>
                <w:szCs w:val="18"/>
                <w:lang w:val="it-IT"/>
              </w:rPr>
            </w:pPr>
            <w:r>
              <w:rPr>
                <w:rFonts w:ascii="Arial" w:hAnsi="Arial" w:cs="Arial"/>
                <w:color w:val="000000"/>
                <w:sz w:val="18"/>
                <w:szCs w:val="18"/>
                <w:lang w:val="it-IT"/>
              </w:rPr>
              <w:t>n.s</w:t>
            </w:r>
            <w:r w:rsidR="00107035" w:rsidRPr="00681505">
              <w:rPr>
                <w:rFonts w:ascii="Arial" w:hAnsi="Arial" w:cs="Arial"/>
                <w:color w:val="000000"/>
                <w:sz w:val="18"/>
                <w:szCs w:val="18"/>
                <w:lang w:val="it-IT"/>
              </w:rPr>
              <w:t>.</w:t>
            </w:r>
          </w:p>
        </w:tc>
        <w:tc>
          <w:tcPr>
            <w:tcW w:w="1385" w:type="dxa"/>
            <w:tcBorders>
              <w:top w:val="nil"/>
              <w:left w:val="nil"/>
              <w:bottom w:val="nil"/>
              <w:right w:val="nil"/>
            </w:tcBorders>
            <w:noWrap/>
            <w:vAlign w:val="center"/>
          </w:tcPr>
          <w:p w:rsidR="00107035" w:rsidRPr="00681505" w:rsidRDefault="00525867" w:rsidP="00BE3430">
            <w:pPr>
              <w:jc w:val="right"/>
              <w:rPr>
                <w:rFonts w:ascii="Arial" w:hAnsi="Arial" w:cs="Arial"/>
                <w:color w:val="000000"/>
                <w:sz w:val="18"/>
                <w:szCs w:val="18"/>
                <w:lang w:val="it-IT"/>
              </w:rPr>
            </w:pPr>
            <w:r>
              <w:rPr>
                <w:rFonts w:ascii="Arial" w:hAnsi="Arial" w:cs="Arial"/>
                <w:color w:val="000000"/>
                <w:sz w:val="18"/>
                <w:szCs w:val="18"/>
                <w:lang w:val="it-IT"/>
              </w:rPr>
              <w:t>stabile</w:t>
            </w:r>
          </w:p>
        </w:tc>
      </w:tr>
      <w:tr w:rsidR="00107035" w:rsidRPr="00681505" w:rsidTr="00BE3430">
        <w:trPr>
          <w:trHeight w:hRule="exact" w:val="340"/>
          <w:jc w:val="center"/>
        </w:trPr>
        <w:tc>
          <w:tcPr>
            <w:tcW w:w="4007" w:type="dxa"/>
            <w:tcBorders>
              <w:top w:val="nil"/>
              <w:left w:val="nil"/>
              <w:bottom w:val="nil"/>
              <w:right w:val="nil"/>
            </w:tcBorders>
            <w:noWrap/>
            <w:vAlign w:val="center"/>
            <w:hideMark/>
          </w:tcPr>
          <w:p w:rsidR="00107035" w:rsidRPr="00681505" w:rsidRDefault="00E83D4E" w:rsidP="00BE3430">
            <w:pPr>
              <w:rPr>
                <w:rFonts w:ascii="Arial" w:hAnsi="Arial" w:cs="Arial"/>
                <w:color w:val="000000"/>
                <w:sz w:val="18"/>
                <w:szCs w:val="18"/>
                <w:lang w:val="it-IT"/>
              </w:rPr>
            </w:pPr>
            <w:r w:rsidRPr="00681505">
              <w:rPr>
                <w:rFonts w:ascii="Arial" w:hAnsi="Arial" w:cs="Arial"/>
                <w:color w:val="000000"/>
                <w:sz w:val="18"/>
                <w:szCs w:val="18"/>
                <w:lang w:val="it-IT"/>
              </w:rPr>
              <w:t>Utile netto</w:t>
            </w:r>
          </w:p>
        </w:tc>
        <w:tc>
          <w:tcPr>
            <w:tcW w:w="1384" w:type="dxa"/>
            <w:tcBorders>
              <w:top w:val="nil"/>
              <w:left w:val="nil"/>
              <w:bottom w:val="nil"/>
              <w:right w:val="nil"/>
            </w:tcBorders>
            <w:noWrap/>
            <w:vAlign w:val="center"/>
            <w:hideMark/>
          </w:tcPr>
          <w:p w:rsidR="00107035" w:rsidRPr="00681505" w:rsidRDefault="00B912BC" w:rsidP="00BE3430">
            <w:pPr>
              <w:jc w:val="right"/>
              <w:rPr>
                <w:rFonts w:ascii="Arial" w:hAnsi="Arial" w:cs="Arial"/>
                <w:color w:val="000000"/>
                <w:sz w:val="18"/>
                <w:szCs w:val="18"/>
                <w:lang w:val="it-IT"/>
              </w:rPr>
            </w:pPr>
            <w:r w:rsidRPr="00681505">
              <w:rPr>
                <w:rFonts w:ascii="Arial" w:hAnsi="Arial" w:cs="Arial"/>
                <w:color w:val="000000"/>
                <w:sz w:val="18"/>
                <w:szCs w:val="18"/>
                <w:lang w:val="it-IT"/>
              </w:rPr>
              <w:t>4</w:t>
            </w:r>
            <w:r w:rsidR="0057020A" w:rsidRPr="00681505">
              <w:rPr>
                <w:rFonts w:ascii="Arial" w:hAnsi="Arial" w:cs="Arial"/>
                <w:color w:val="000000"/>
                <w:sz w:val="18"/>
                <w:szCs w:val="18"/>
                <w:lang w:val="it-IT"/>
              </w:rPr>
              <w:t>6</w:t>
            </w:r>
            <w:r w:rsidR="00E83D4E" w:rsidRPr="00681505">
              <w:rPr>
                <w:rFonts w:ascii="Arial" w:hAnsi="Arial" w:cs="Arial"/>
                <w:color w:val="000000"/>
                <w:sz w:val="18"/>
                <w:szCs w:val="18"/>
                <w:lang w:val="it-IT"/>
              </w:rPr>
              <w:t>,</w:t>
            </w:r>
            <w:r w:rsidR="0057020A" w:rsidRPr="00681505">
              <w:rPr>
                <w:rFonts w:ascii="Arial" w:hAnsi="Arial" w:cs="Arial"/>
                <w:color w:val="000000"/>
                <w:sz w:val="18"/>
                <w:szCs w:val="18"/>
                <w:lang w:val="it-IT"/>
              </w:rPr>
              <w:t>3</w:t>
            </w:r>
            <w:r w:rsidR="00107035" w:rsidRPr="00681505">
              <w:rPr>
                <w:rFonts w:ascii="Arial" w:hAnsi="Arial" w:cs="Arial"/>
                <w:color w:val="000000"/>
                <w:sz w:val="18"/>
                <w:szCs w:val="18"/>
                <w:lang w:val="it-IT"/>
              </w:rPr>
              <w:t xml:space="preserve"> </w:t>
            </w:r>
          </w:p>
        </w:tc>
        <w:tc>
          <w:tcPr>
            <w:tcW w:w="1385" w:type="dxa"/>
            <w:tcBorders>
              <w:top w:val="nil"/>
              <w:left w:val="nil"/>
              <w:bottom w:val="nil"/>
              <w:right w:val="nil"/>
            </w:tcBorders>
            <w:noWrap/>
            <w:vAlign w:val="center"/>
            <w:hideMark/>
          </w:tcPr>
          <w:p w:rsidR="00107035" w:rsidRPr="00681505" w:rsidRDefault="00B912BC" w:rsidP="00BE3430">
            <w:pPr>
              <w:jc w:val="right"/>
              <w:rPr>
                <w:rFonts w:ascii="Arial" w:hAnsi="Arial" w:cs="Arial"/>
                <w:color w:val="000000"/>
                <w:sz w:val="18"/>
                <w:szCs w:val="18"/>
                <w:lang w:val="it-IT"/>
              </w:rPr>
            </w:pPr>
            <w:r w:rsidRPr="00681505">
              <w:rPr>
                <w:rFonts w:ascii="Arial" w:hAnsi="Arial" w:cs="Arial"/>
                <w:color w:val="000000"/>
                <w:sz w:val="18"/>
                <w:szCs w:val="18"/>
                <w:lang w:val="it-IT"/>
              </w:rPr>
              <w:t>28</w:t>
            </w:r>
            <w:r w:rsidR="00E83D4E" w:rsidRPr="00681505">
              <w:rPr>
                <w:rFonts w:ascii="Arial" w:hAnsi="Arial" w:cs="Arial"/>
                <w:color w:val="000000"/>
                <w:sz w:val="18"/>
                <w:szCs w:val="18"/>
                <w:lang w:val="it-IT"/>
              </w:rPr>
              <w:t>,</w:t>
            </w:r>
            <w:r w:rsidRPr="00681505">
              <w:rPr>
                <w:rFonts w:ascii="Arial" w:hAnsi="Arial" w:cs="Arial"/>
                <w:color w:val="000000"/>
                <w:sz w:val="18"/>
                <w:szCs w:val="18"/>
                <w:lang w:val="it-IT"/>
              </w:rPr>
              <w:t>9</w:t>
            </w:r>
          </w:p>
        </w:tc>
        <w:tc>
          <w:tcPr>
            <w:tcW w:w="1384" w:type="dxa"/>
            <w:tcBorders>
              <w:top w:val="nil"/>
              <w:left w:val="nil"/>
              <w:bottom w:val="nil"/>
              <w:right w:val="nil"/>
            </w:tcBorders>
            <w:noWrap/>
            <w:vAlign w:val="center"/>
          </w:tcPr>
          <w:p w:rsidR="00107035" w:rsidRPr="00681505" w:rsidRDefault="00B912BC" w:rsidP="00BE3430">
            <w:pPr>
              <w:jc w:val="right"/>
              <w:rPr>
                <w:rFonts w:ascii="Arial" w:hAnsi="Arial" w:cs="Arial"/>
                <w:color w:val="000000"/>
                <w:sz w:val="18"/>
                <w:szCs w:val="18"/>
                <w:lang w:val="it-IT"/>
              </w:rPr>
            </w:pPr>
            <w:r w:rsidRPr="00681505">
              <w:rPr>
                <w:rFonts w:ascii="Arial" w:hAnsi="Arial" w:cs="Arial"/>
                <w:color w:val="000000"/>
                <w:sz w:val="18"/>
                <w:szCs w:val="18"/>
                <w:lang w:val="it-IT"/>
              </w:rPr>
              <w:t>6</w:t>
            </w:r>
            <w:r w:rsidR="0057020A" w:rsidRPr="00681505">
              <w:rPr>
                <w:rFonts w:ascii="Arial" w:hAnsi="Arial" w:cs="Arial"/>
                <w:color w:val="000000"/>
                <w:sz w:val="18"/>
                <w:szCs w:val="18"/>
                <w:lang w:val="it-IT"/>
              </w:rPr>
              <w:t>0</w:t>
            </w:r>
            <w:r w:rsidR="00E83D4E" w:rsidRPr="00681505">
              <w:rPr>
                <w:rFonts w:ascii="Arial" w:hAnsi="Arial" w:cs="Arial"/>
                <w:color w:val="000000"/>
                <w:sz w:val="18"/>
                <w:szCs w:val="18"/>
                <w:lang w:val="it-IT"/>
              </w:rPr>
              <w:t>,</w:t>
            </w:r>
            <w:r w:rsidR="0057020A" w:rsidRPr="00681505">
              <w:rPr>
                <w:rFonts w:ascii="Arial" w:hAnsi="Arial" w:cs="Arial"/>
                <w:color w:val="000000"/>
                <w:sz w:val="18"/>
                <w:szCs w:val="18"/>
                <w:lang w:val="it-IT"/>
              </w:rPr>
              <w:t>2</w:t>
            </w:r>
            <w:r w:rsidR="00107035" w:rsidRPr="00681505">
              <w:rPr>
                <w:rFonts w:ascii="Arial" w:hAnsi="Arial" w:cs="Arial"/>
                <w:color w:val="000000"/>
                <w:sz w:val="18"/>
                <w:szCs w:val="18"/>
                <w:lang w:val="it-IT"/>
              </w:rPr>
              <w:t>%</w:t>
            </w:r>
          </w:p>
        </w:tc>
        <w:tc>
          <w:tcPr>
            <w:tcW w:w="1385" w:type="dxa"/>
            <w:tcBorders>
              <w:top w:val="nil"/>
              <w:left w:val="nil"/>
              <w:bottom w:val="nil"/>
              <w:right w:val="nil"/>
            </w:tcBorders>
            <w:noWrap/>
            <w:vAlign w:val="center"/>
          </w:tcPr>
          <w:p w:rsidR="00107035" w:rsidRPr="00681505" w:rsidRDefault="00B912BC" w:rsidP="00BE3430">
            <w:pPr>
              <w:jc w:val="right"/>
              <w:rPr>
                <w:rFonts w:ascii="Arial" w:hAnsi="Arial" w:cs="Arial"/>
                <w:color w:val="000000"/>
                <w:sz w:val="18"/>
                <w:szCs w:val="18"/>
                <w:lang w:val="it-IT"/>
              </w:rPr>
            </w:pPr>
            <w:r w:rsidRPr="00681505">
              <w:rPr>
                <w:rFonts w:ascii="Arial" w:hAnsi="Arial" w:cs="Arial"/>
                <w:color w:val="000000"/>
                <w:sz w:val="18"/>
                <w:szCs w:val="18"/>
                <w:lang w:val="it-IT"/>
              </w:rPr>
              <w:t>1</w:t>
            </w:r>
            <w:r w:rsidR="0057020A" w:rsidRPr="00681505">
              <w:rPr>
                <w:rFonts w:ascii="Arial" w:hAnsi="Arial" w:cs="Arial"/>
                <w:color w:val="000000"/>
                <w:sz w:val="18"/>
                <w:szCs w:val="18"/>
                <w:lang w:val="it-IT"/>
              </w:rPr>
              <w:t>7</w:t>
            </w:r>
            <w:r w:rsidR="00E83D4E" w:rsidRPr="00681505">
              <w:rPr>
                <w:rFonts w:ascii="Arial" w:hAnsi="Arial" w:cs="Arial"/>
                <w:color w:val="000000"/>
                <w:sz w:val="18"/>
                <w:szCs w:val="18"/>
                <w:lang w:val="it-IT"/>
              </w:rPr>
              <w:t>,</w:t>
            </w:r>
            <w:r w:rsidR="0057020A" w:rsidRPr="00681505">
              <w:rPr>
                <w:rFonts w:ascii="Arial" w:hAnsi="Arial" w:cs="Arial"/>
                <w:color w:val="000000"/>
                <w:sz w:val="18"/>
                <w:szCs w:val="18"/>
                <w:lang w:val="it-IT"/>
              </w:rPr>
              <w:t>4</w:t>
            </w:r>
          </w:p>
        </w:tc>
      </w:tr>
      <w:tr w:rsidR="00107035" w:rsidRPr="00681505" w:rsidTr="00BE3430">
        <w:trPr>
          <w:trHeight w:hRule="exact" w:val="340"/>
          <w:jc w:val="center"/>
        </w:trPr>
        <w:tc>
          <w:tcPr>
            <w:tcW w:w="4007" w:type="dxa"/>
            <w:tcBorders>
              <w:top w:val="nil"/>
              <w:left w:val="nil"/>
              <w:bottom w:val="nil"/>
              <w:right w:val="nil"/>
            </w:tcBorders>
            <w:noWrap/>
            <w:vAlign w:val="center"/>
            <w:hideMark/>
          </w:tcPr>
          <w:p w:rsidR="00107035" w:rsidRPr="00681505" w:rsidRDefault="00107035" w:rsidP="00BE3430">
            <w:pPr>
              <w:rPr>
                <w:rFonts w:ascii="Arial" w:hAnsi="Arial" w:cs="Arial"/>
                <w:color w:val="000000"/>
                <w:sz w:val="18"/>
                <w:szCs w:val="18"/>
                <w:lang w:val="it-IT"/>
              </w:rPr>
            </w:pPr>
            <w:r w:rsidRPr="00681505">
              <w:rPr>
                <w:rFonts w:ascii="Arial" w:hAnsi="Arial" w:cs="Arial"/>
                <w:color w:val="000000"/>
                <w:sz w:val="18"/>
                <w:szCs w:val="18"/>
                <w:lang w:val="it-IT"/>
              </w:rPr>
              <w:t>EPRA Earnings</w:t>
            </w:r>
          </w:p>
        </w:tc>
        <w:tc>
          <w:tcPr>
            <w:tcW w:w="1384" w:type="dxa"/>
            <w:tcBorders>
              <w:top w:val="nil"/>
              <w:left w:val="nil"/>
              <w:bottom w:val="nil"/>
              <w:right w:val="nil"/>
            </w:tcBorders>
            <w:noWrap/>
            <w:vAlign w:val="center"/>
            <w:hideMark/>
          </w:tcPr>
          <w:p w:rsidR="00107035" w:rsidRPr="00681505" w:rsidRDefault="00107035" w:rsidP="00BE3430">
            <w:pPr>
              <w:jc w:val="right"/>
              <w:rPr>
                <w:rFonts w:ascii="Arial" w:hAnsi="Arial" w:cs="Arial"/>
                <w:color w:val="000000"/>
                <w:sz w:val="18"/>
                <w:szCs w:val="18"/>
                <w:lang w:val="it-IT"/>
              </w:rPr>
            </w:pPr>
            <w:r w:rsidRPr="00681505">
              <w:rPr>
                <w:rFonts w:ascii="Arial" w:hAnsi="Arial" w:cs="Arial"/>
                <w:color w:val="000000"/>
                <w:sz w:val="18"/>
                <w:szCs w:val="18"/>
                <w:lang w:val="it-IT"/>
              </w:rPr>
              <w:t>1</w:t>
            </w:r>
            <w:r w:rsidR="00B912BC" w:rsidRPr="00681505">
              <w:rPr>
                <w:rFonts w:ascii="Arial" w:hAnsi="Arial" w:cs="Arial"/>
                <w:color w:val="000000"/>
                <w:sz w:val="18"/>
                <w:szCs w:val="18"/>
                <w:lang w:val="it-IT"/>
              </w:rPr>
              <w:t>5</w:t>
            </w:r>
            <w:r w:rsidR="00E83D4E" w:rsidRPr="00681505">
              <w:rPr>
                <w:rFonts w:ascii="Arial" w:hAnsi="Arial" w:cs="Arial"/>
                <w:color w:val="000000"/>
                <w:sz w:val="18"/>
                <w:szCs w:val="18"/>
                <w:lang w:val="it-IT"/>
              </w:rPr>
              <w:t>,</w:t>
            </w:r>
            <w:r w:rsidR="0057020A" w:rsidRPr="00681505">
              <w:rPr>
                <w:rFonts w:ascii="Arial" w:hAnsi="Arial" w:cs="Arial"/>
                <w:color w:val="000000"/>
                <w:sz w:val="18"/>
                <w:szCs w:val="18"/>
                <w:lang w:val="it-IT"/>
              </w:rPr>
              <w:t>1</w:t>
            </w:r>
          </w:p>
        </w:tc>
        <w:tc>
          <w:tcPr>
            <w:tcW w:w="1385" w:type="dxa"/>
            <w:tcBorders>
              <w:top w:val="nil"/>
              <w:left w:val="nil"/>
              <w:bottom w:val="nil"/>
              <w:right w:val="nil"/>
            </w:tcBorders>
            <w:noWrap/>
            <w:vAlign w:val="center"/>
            <w:hideMark/>
          </w:tcPr>
          <w:p w:rsidR="00107035" w:rsidRPr="00681505" w:rsidRDefault="00107035" w:rsidP="00BE3430">
            <w:pPr>
              <w:jc w:val="right"/>
              <w:rPr>
                <w:rFonts w:ascii="Arial" w:hAnsi="Arial" w:cs="Arial"/>
                <w:color w:val="000000"/>
                <w:sz w:val="18"/>
                <w:szCs w:val="18"/>
                <w:lang w:val="it-IT"/>
              </w:rPr>
            </w:pPr>
            <w:r w:rsidRPr="00681505">
              <w:rPr>
                <w:rFonts w:ascii="Arial" w:hAnsi="Arial" w:cs="Arial"/>
                <w:color w:val="000000"/>
                <w:sz w:val="18"/>
                <w:szCs w:val="18"/>
                <w:lang w:val="it-IT"/>
              </w:rPr>
              <w:t>1</w:t>
            </w:r>
            <w:r w:rsidR="00B912BC" w:rsidRPr="00681505">
              <w:rPr>
                <w:rFonts w:ascii="Arial" w:hAnsi="Arial" w:cs="Arial"/>
                <w:color w:val="000000"/>
                <w:sz w:val="18"/>
                <w:szCs w:val="18"/>
                <w:lang w:val="it-IT"/>
              </w:rPr>
              <w:t>5</w:t>
            </w:r>
            <w:r w:rsidR="00E83D4E" w:rsidRPr="00681505">
              <w:rPr>
                <w:rFonts w:ascii="Arial" w:hAnsi="Arial" w:cs="Arial"/>
                <w:color w:val="000000"/>
                <w:sz w:val="18"/>
                <w:szCs w:val="18"/>
                <w:lang w:val="it-IT"/>
              </w:rPr>
              <w:t>,</w:t>
            </w:r>
            <w:r w:rsidR="00B912BC" w:rsidRPr="00681505">
              <w:rPr>
                <w:rFonts w:ascii="Arial" w:hAnsi="Arial" w:cs="Arial"/>
                <w:color w:val="000000"/>
                <w:sz w:val="18"/>
                <w:szCs w:val="18"/>
                <w:lang w:val="it-IT"/>
              </w:rPr>
              <w:t>3</w:t>
            </w:r>
            <w:r w:rsidRPr="00681505">
              <w:rPr>
                <w:rFonts w:ascii="Arial" w:hAnsi="Arial" w:cs="Arial"/>
                <w:color w:val="000000"/>
                <w:sz w:val="18"/>
                <w:szCs w:val="18"/>
                <w:lang w:val="it-IT"/>
              </w:rPr>
              <w:t xml:space="preserve"> </w:t>
            </w:r>
          </w:p>
        </w:tc>
        <w:tc>
          <w:tcPr>
            <w:tcW w:w="1384" w:type="dxa"/>
            <w:tcBorders>
              <w:top w:val="nil"/>
              <w:left w:val="nil"/>
              <w:bottom w:val="nil"/>
              <w:right w:val="nil"/>
            </w:tcBorders>
            <w:noWrap/>
            <w:vAlign w:val="center"/>
          </w:tcPr>
          <w:p w:rsidR="00107035" w:rsidRPr="00681505" w:rsidRDefault="00B912BC" w:rsidP="00BE3430">
            <w:pPr>
              <w:jc w:val="right"/>
              <w:rPr>
                <w:rFonts w:ascii="Arial" w:hAnsi="Arial" w:cs="Arial"/>
                <w:color w:val="000000"/>
                <w:sz w:val="18"/>
                <w:szCs w:val="18"/>
                <w:lang w:val="it-IT"/>
              </w:rPr>
            </w:pPr>
            <w:r w:rsidRPr="00681505">
              <w:rPr>
                <w:rFonts w:ascii="Arial" w:hAnsi="Arial" w:cs="Arial"/>
                <w:color w:val="000000"/>
                <w:sz w:val="18"/>
                <w:szCs w:val="18"/>
                <w:lang w:val="it-IT"/>
              </w:rPr>
              <w:t>(</w:t>
            </w:r>
            <w:r w:rsidR="0057020A" w:rsidRPr="00681505">
              <w:rPr>
                <w:rFonts w:ascii="Arial" w:hAnsi="Arial" w:cs="Arial"/>
                <w:color w:val="000000"/>
                <w:sz w:val="18"/>
                <w:szCs w:val="18"/>
                <w:lang w:val="it-IT"/>
              </w:rPr>
              <w:t>1</w:t>
            </w:r>
            <w:r w:rsidR="00E83D4E" w:rsidRPr="00681505">
              <w:rPr>
                <w:rFonts w:ascii="Arial" w:hAnsi="Arial" w:cs="Arial"/>
                <w:color w:val="000000"/>
                <w:sz w:val="18"/>
                <w:szCs w:val="18"/>
                <w:lang w:val="it-IT"/>
              </w:rPr>
              <w:t>,</w:t>
            </w:r>
            <w:r w:rsidR="0057020A" w:rsidRPr="00681505">
              <w:rPr>
                <w:rFonts w:ascii="Arial" w:hAnsi="Arial" w:cs="Arial"/>
                <w:color w:val="000000"/>
                <w:sz w:val="18"/>
                <w:szCs w:val="18"/>
                <w:lang w:val="it-IT"/>
              </w:rPr>
              <w:t>3</w:t>
            </w:r>
            <w:r w:rsidRPr="00681505">
              <w:rPr>
                <w:rFonts w:ascii="Arial" w:hAnsi="Arial" w:cs="Arial"/>
                <w:color w:val="000000"/>
                <w:sz w:val="18"/>
                <w:szCs w:val="18"/>
                <w:lang w:val="it-IT"/>
              </w:rPr>
              <w:t>)</w:t>
            </w:r>
            <w:r w:rsidR="00107035" w:rsidRPr="00681505">
              <w:rPr>
                <w:rFonts w:ascii="Arial" w:hAnsi="Arial" w:cs="Arial"/>
                <w:color w:val="000000"/>
                <w:sz w:val="18"/>
                <w:szCs w:val="18"/>
                <w:lang w:val="it-IT"/>
              </w:rPr>
              <w:t>%</w:t>
            </w:r>
          </w:p>
        </w:tc>
        <w:tc>
          <w:tcPr>
            <w:tcW w:w="1385" w:type="dxa"/>
            <w:tcBorders>
              <w:top w:val="nil"/>
              <w:left w:val="nil"/>
              <w:bottom w:val="nil"/>
              <w:right w:val="nil"/>
            </w:tcBorders>
            <w:noWrap/>
            <w:vAlign w:val="center"/>
          </w:tcPr>
          <w:p w:rsidR="00107035" w:rsidRPr="00681505" w:rsidRDefault="00B912BC" w:rsidP="00BE3430">
            <w:pPr>
              <w:jc w:val="right"/>
              <w:rPr>
                <w:rFonts w:ascii="Arial" w:hAnsi="Arial" w:cs="Arial"/>
                <w:color w:val="000000"/>
                <w:sz w:val="18"/>
                <w:szCs w:val="18"/>
                <w:lang w:val="it-IT"/>
              </w:rPr>
            </w:pPr>
            <w:r w:rsidRPr="00681505">
              <w:rPr>
                <w:rFonts w:ascii="Arial" w:hAnsi="Arial" w:cs="Arial"/>
                <w:color w:val="000000"/>
                <w:sz w:val="18"/>
                <w:szCs w:val="18"/>
                <w:lang w:val="it-IT"/>
              </w:rPr>
              <w:t>(0</w:t>
            </w:r>
            <w:r w:rsidR="00E83D4E" w:rsidRPr="00681505">
              <w:rPr>
                <w:rFonts w:ascii="Arial" w:hAnsi="Arial" w:cs="Arial"/>
                <w:color w:val="000000"/>
                <w:sz w:val="18"/>
                <w:szCs w:val="18"/>
                <w:lang w:val="it-IT"/>
              </w:rPr>
              <w:t>,</w:t>
            </w:r>
            <w:r w:rsidR="0057020A" w:rsidRPr="00681505">
              <w:rPr>
                <w:rFonts w:ascii="Arial" w:hAnsi="Arial" w:cs="Arial"/>
                <w:color w:val="000000"/>
                <w:sz w:val="18"/>
                <w:szCs w:val="18"/>
                <w:lang w:val="it-IT"/>
              </w:rPr>
              <w:t>2</w:t>
            </w:r>
            <w:r w:rsidRPr="00681505">
              <w:rPr>
                <w:rFonts w:ascii="Arial" w:hAnsi="Arial" w:cs="Arial"/>
                <w:color w:val="000000"/>
                <w:sz w:val="18"/>
                <w:szCs w:val="18"/>
                <w:lang w:val="it-IT"/>
              </w:rPr>
              <w:t>)</w:t>
            </w:r>
            <w:r w:rsidR="00107035" w:rsidRPr="00681505">
              <w:rPr>
                <w:rFonts w:ascii="Arial" w:hAnsi="Arial" w:cs="Arial"/>
                <w:color w:val="000000"/>
                <w:sz w:val="18"/>
                <w:szCs w:val="18"/>
                <w:lang w:val="it-IT"/>
              </w:rPr>
              <w:t xml:space="preserve"> </w:t>
            </w:r>
          </w:p>
        </w:tc>
      </w:tr>
      <w:tr w:rsidR="00107035" w:rsidRPr="00681505" w:rsidTr="00BE3430">
        <w:trPr>
          <w:trHeight w:hRule="exact" w:val="340"/>
          <w:jc w:val="center"/>
        </w:trPr>
        <w:tc>
          <w:tcPr>
            <w:tcW w:w="4007" w:type="dxa"/>
            <w:tcBorders>
              <w:top w:val="nil"/>
              <w:left w:val="nil"/>
              <w:bottom w:val="nil"/>
              <w:right w:val="nil"/>
            </w:tcBorders>
            <w:noWrap/>
            <w:vAlign w:val="center"/>
            <w:hideMark/>
          </w:tcPr>
          <w:p w:rsidR="00107035" w:rsidRPr="00681505" w:rsidRDefault="00107035" w:rsidP="00BE3430">
            <w:pPr>
              <w:rPr>
                <w:rFonts w:ascii="Arial" w:hAnsi="Arial" w:cs="Arial"/>
                <w:color w:val="000000"/>
                <w:sz w:val="18"/>
                <w:szCs w:val="18"/>
                <w:lang w:val="it-IT"/>
              </w:rPr>
            </w:pPr>
            <w:r w:rsidRPr="00681505">
              <w:rPr>
                <w:rFonts w:ascii="Arial" w:hAnsi="Arial" w:cs="Arial"/>
                <w:color w:val="000000"/>
                <w:sz w:val="18"/>
                <w:szCs w:val="18"/>
                <w:lang w:val="it-IT"/>
              </w:rPr>
              <w:t>FFO</w:t>
            </w:r>
            <w:r w:rsidR="00E83D4E" w:rsidRPr="00681505">
              <w:rPr>
                <w:rFonts w:ascii="Arial" w:hAnsi="Arial" w:cs="Arial"/>
                <w:color w:val="000000"/>
                <w:sz w:val="18"/>
                <w:szCs w:val="18"/>
                <w:lang w:val="it-IT"/>
              </w:rPr>
              <w:t xml:space="preserve"> Ricorrente</w:t>
            </w:r>
          </w:p>
        </w:tc>
        <w:tc>
          <w:tcPr>
            <w:tcW w:w="1384" w:type="dxa"/>
            <w:tcBorders>
              <w:top w:val="nil"/>
              <w:left w:val="nil"/>
              <w:bottom w:val="nil"/>
              <w:right w:val="nil"/>
            </w:tcBorders>
            <w:noWrap/>
            <w:vAlign w:val="center"/>
            <w:hideMark/>
          </w:tcPr>
          <w:p w:rsidR="00107035" w:rsidRPr="00681505" w:rsidRDefault="00107035" w:rsidP="00BE3430">
            <w:pPr>
              <w:jc w:val="right"/>
              <w:rPr>
                <w:rFonts w:ascii="Arial" w:hAnsi="Arial" w:cs="Arial"/>
                <w:color w:val="000000"/>
                <w:sz w:val="18"/>
                <w:szCs w:val="18"/>
                <w:lang w:val="it-IT"/>
              </w:rPr>
            </w:pPr>
            <w:r w:rsidRPr="00681505">
              <w:rPr>
                <w:rFonts w:ascii="Arial" w:hAnsi="Arial" w:cs="Arial"/>
                <w:color w:val="000000"/>
                <w:sz w:val="18"/>
                <w:szCs w:val="18"/>
                <w:lang w:val="it-IT"/>
              </w:rPr>
              <w:t>1</w:t>
            </w:r>
            <w:r w:rsidR="0057020A" w:rsidRPr="00681505">
              <w:rPr>
                <w:rFonts w:ascii="Arial" w:hAnsi="Arial" w:cs="Arial"/>
                <w:color w:val="000000"/>
                <w:sz w:val="18"/>
                <w:szCs w:val="18"/>
                <w:lang w:val="it-IT"/>
              </w:rPr>
              <w:t>7</w:t>
            </w:r>
            <w:r w:rsidR="00E83D4E" w:rsidRPr="00681505">
              <w:rPr>
                <w:rFonts w:ascii="Arial" w:hAnsi="Arial" w:cs="Arial"/>
                <w:color w:val="000000"/>
                <w:sz w:val="18"/>
                <w:szCs w:val="18"/>
                <w:lang w:val="it-IT"/>
              </w:rPr>
              <w:t>,</w:t>
            </w:r>
            <w:r w:rsidR="0057020A" w:rsidRPr="00681505">
              <w:rPr>
                <w:rFonts w:ascii="Arial" w:hAnsi="Arial" w:cs="Arial"/>
                <w:color w:val="000000"/>
                <w:sz w:val="18"/>
                <w:szCs w:val="18"/>
                <w:lang w:val="it-IT"/>
              </w:rPr>
              <w:t>7</w:t>
            </w:r>
          </w:p>
        </w:tc>
        <w:tc>
          <w:tcPr>
            <w:tcW w:w="1385" w:type="dxa"/>
            <w:tcBorders>
              <w:top w:val="nil"/>
              <w:left w:val="nil"/>
              <w:bottom w:val="nil"/>
              <w:right w:val="nil"/>
            </w:tcBorders>
            <w:noWrap/>
            <w:vAlign w:val="center"/>
            <w:hideMark/>
          </w:tcPr>
          <w:p w:rsidR="00107035" w:rsidRPr="00681505" w:rsidRDefault="00107035" w:rsidP="00BE3430">
            <w:pPr>
              <w:jc w:val="right"/>
              <w:rPr>
                <w:rFonts w:ascii="Arial" w:hAnsi="Arial" w:cs="Arial"/>
                <w:color w:val="000000"/>
                <w:sz w:val="18"/>
                <w:szCs w:val="18"/>
                <w:lang w:val="it-IT"/>
              </w:rPr>
            </w:pPr>
            <w:r w:rsidRPr="00681505">
              <w:rPr>
                <w:rFonts w:ascii="Arial" w:hAnsi="Arial" w:cs="Arial"/>
                <w:color w:val="000000"/>
                <w:sz w:val="18"/>
                <w:szCs w:val="18"/>
                <w:lang w:val="it-IT"/>
              </w:rPr>
              <w:t>1</w:t>
            </w:r>
            <w:r w:rsidR="00B912BC" w:rsidRPr="00681505">
              <w:rPr>
                <w:rFonts w:ascii="Arial" w:hAnsi="Arial" w:cs="Arial"/>
                <w:color w:val="000000"/>
                <w:sz w:val="18"/>
                <w:szCs w:val="18"/>
                <w:lang w:val="it-IT"/>
              </w:rPr>
              <w:t>6</w:t>
            </w:r>
            <w:r w:rsidR="00E83D4E" w:rsidRPr="00681505">
              <w:rPr>
                <w:rFonts w:ascii="Arial" w:hAnsi="Arial" w:cs="Arial"/>
                <w:color w:val="000000"/>
                <w:sz w:val="18"/>
                <w:szCs w:val="18"/>
                <w:lang w:val="it-IT"/>
              </w:rPr>
              <w:t>,</w:t>
            </w:r>
            <w:r w:rsidR="00B912BC" w:rsidRPr="00681505">
              <w:rPr>
                <w:rFonts w:ascii="Arial" w:hAnsi="Arial" w:cs="Arial"/>
                <w:color w:val="000000"/>
                <w:sz w:val="18"/>
                <w:szCs w:val="18"/>
                <w:lang w:val="it-IT"/>
              </w:rPr>
              <w:t>8</w:t>
            </w:r>
          </w:p>
        </w:tc>
        <w:tc>
          <w:tcPr>
            <w:tcW w:w="1384" w:type="dxa"/>
            <w:tcBorders>
              <w:top w:val="nil"/>
              <w:left w:val="nil"/>
              <w:bottom w:val="nil"/>
              <w:right w:val="nil"/>
            </w:tcBorders>
            <w:noWrap/>
            <w:vAlign w:val="center"/>
          </w:tcPr>
          <w:p w:rsidR="00107035" w:rsidRPr="00681505" w:rsidRDefault="0057020A" w:rsidP="00BE3430">
            <w:pPr>
              <w:jc w:val="right"/>
              <w:rPr>
                <w:rFonts w:ascii="Arial" w:hAnsi="Arial" w:cs="Arial"/>
                <w:color w:val="000000"/>
                <w:sz w:val="18"/>
                <w:szCs w:val="18"/>
                <w:lang w:val="it-IT"/>
              </w:rPr>
            </w:pPr>
            <w:r w:rsidRPr="00681505">
              <w:rPr>
                <w:rFonts w:ascii="Arial" w:hAnsi="Arial" w:cs="Arial"/>
                <w:color w:val="000000"/>
                <w:sz w:val="18"/>
                <w:szCs w:val="18"/>
                <w:lang w:val="it-IT"/>
              </w:rPr>
              <w:t>5</w:t>
            </w:r>
            <w:r w:rsidR="00E83D4E" w:rsidRPr="00681505">
              <w:rPr>
                <w:rFonts w:ascii="Arial" w:hAnsi="Arial" w:cs="Arial"/>
                <w:color w:val="000000"/>
                <w:sz w:val="18"/>
                <w:szCs w:val="18"/>
                <w:lang w:val="it-IT"/>
              </w:rPr>
              <w:t>,</w:t>
            </w:r>
            <w:r w:rsidRPr="00681505">
              <w:rPr>
                <w:rFonts w:ascii="Arial" w:hAnsi="Arial" w:cs="Arial"/>
                <w:color w:val="000000"/>
                <w:sz w:val="18"/>
                <w:szCs w:val="18"/>
                <w:lang w:val="it-IT"/>
              </w:rPr>
              <w:t>0</w:t>
            </w:r>
            <w:r w:rsidR="00107035" w:rsidRPr="00681505">
              <w:rPr>
                <w:rFonts w:ascii="Arial" w:hAnsi="Arial" w:cs="Arial"/>
                <w:color w:val="000000"/>
                <w:sz w:val="18"/>
                <w:szCs w:val="18"/>
                <w:lang w:val="it-IT"/>
              </w:rPr>
              <w:t>%</w:t>
            </w:r>
          </w:p>
        </w:tc>
        <w:tc>
          <w:tcPr>
            <w:tcW w:w="1385" w:type="dxa"/>
            <w:tcBorders>
              <w:top w:val="nil"/>
              <w:left w:val="nil"/>
              <w:bottom w:val="nil"/>
              <w:right w:val="nil"/>
            </w:tcBorders>
            <w:noWrap/>
            <w:vAlign w:val="center"/>
          </w:tcPr>
          <w:p w:rsidR="00107035" w:rsidRPr="00681505" w:rsidRDefault="00E83D4E" w:rsidP="00BE3430">
            <w:pPr>
              <w:jc w:val="right"/>
              <w:rPr>
                <w:rFonts w:ascii="Arial" w:hAnsi="Arial" w:cs="Arial"/>
                <w:color w:val="000000"/>
                <w:sz w:val="18"/>
                <w:szCs w:val="18"/>
                <w:lang w:val="it-IT"/>
              </w:rPr>
            </w:pPr>
            <w:r w:rsidRPr="00681505">
              <w:rPr>
                <w:rFonts w:ascii="Arial" w:hAnsi="Arial" w:cs="Arial"/>
                <w:color w:val="000000"/>
                <w:sz w:val="18"/>
                <w:szCs w:val="18"/>
                <w:lang w:val="it-IT"/>
              </w:rPr>
              <w:t>0,</w:t>
            </w:r>
            <w:r w:rsidR="0057020A" w:rsidRPr="00681505">
              <w:rPr>
                <w:rFonts w:ascii="Arial" w:hAnsi="Arial" w:cs="Arial"/>
                <w:color w:val="000000"/>
                <w:sz w:val="18"/>
                <w:szCs w:val="18"/>
                <w:lang w:val="it-IT"/>
              </w:rPr>
              <w:t>9</w:t>
            </w:r>
            <w:r w:rsidR="00107035" w:rsidRPr="00681505">
              <w:rPr>
                <w:rFonts w:ascii="Arial" w:hAnsi="Arial" w:cs="Arial"/>
                <w:color w:val="000000"/>
                <w:sz w:val="18"/>
                <w:szCs w:val="18"/>
                <w:lang w:val="it-IT"/>
              </w:rPr>
              <w:t xml:space="preserve"> </w:t>
            </w:r>
          </w:p>
        </w:tc>
      </w:tr>
      <w:tr w:rsidR="0057020A" w:rsidRPr="00681505" w:rsidTr="00BE3430">
        <w:trPr>
          <w:trHeight w:hRule="exact" w:val="340"/>
          <w:jc w:val="center"/>
        </w:trPr>
        <w:tc>
          <w:tcPr>
            <w:tcW w:w="4007" w:type="dxa"/>
            <w:tcBorders>
              <w:top w:val="nil"/>
              <w:left w:val="nil"/>
              <w:right w:val="nil"/>
            </w:tcBorders>
            <w:shd w:val="clear" w:color="000000" w:fill="F2F2F2"/>
            <w:noWrap/>
            <w:vAlign w:val="center"/>
            <w:hideMark/>
          </w:tcPr>
          <w:p w:rsidR="0057020A" w:rsidRPr="00681505" w:rsidRDefault="0057020A" w:rsidP="0057020A">
            <w:pPr>
              <w:rPr>
                <w:rFonts w:ascii="Arial" w:hAnsi="Arial" w:cs="Arial"/>
                <w:color w:val="000000"/>
                <w:sz w:val="18"/>
                <w:szCs w:val="18"/>
                <w:lang w:val="it-IT"/>
              </w:rPr>
            </w:pPr>
            <w:r w:rsidRPr="00681505">
              <w:rPr>
                <w:rFonts w:ascii="Arial" w:hAnsi="Arial" w:cs="Arial"/>
                <w:color w:val="000000"/>
                <w:sz w:val="18"/>
                <w:szCs w:val="18"/>
                <w:lang w:val="it-IT"/>
              </w:rPr>
              <w:t xml:space="preserve">EPRA Earnings per </w:t>
            </w:r>
            <w:r w:rsidR="00E83D4E" w:rsidRPr="00681505">
              <w:rPr>
                <w:rFonts w:ascii="Arial" w:hAnsi="Arial" w:cs="Arial"/>
                <w:color w:val="000000"/>
                <w:sz w:val="18"/>
                <w:szCs w:val="18"/>
                <w:lang w:val="it-IT"/>
              </w:rPr>
              <w:t xml:space="preserve">azione </w:t>
            </w:r>
            <w:r w:rsidRPr="00681505">
              <w:rPr>
                <w:rFonts w:ascii="Arial" w:hAnsi="Arial" w:cs="Arial"/>
                <w:color w:val="000000"/>
                <w:sz w:val="18"/>
                <w:szCs w:val="18"/>
                <w:lang w:val="it-IT"/>
              </w:rPr>
              <w:t>(Euro)</w:t>
            </w:r>
          </w:p>
        </w:tc>
        <w:tc>
          <w:tcPr>
            <w:tcW w:w="1384" w:type="dxa"/>
            <w:tcBorders>
              <w:top w:val="nil"/>
              <w:left w:val="nil"/>
              <w:right w:val="nil"/>
            </w:tcBorders>
            <w:shd w:val="clear" w:color="000000" w:fill="F2F2F2"/>
            <w:noWrap/>
            <w:vAlign w:val="center"/>
            <w:hideMark/>
          </w:tcPr>
          <w:p w:rsidR="0057020A" w:rsidRPr="00681505" w:rsidRDefault="00E83D4E" w:rsidP="0057020A">
            <w:pPr>
              <w:jc w:val="right"/>
              <w:rPr>
                <w:rFonts w:ascii="Arial" w:hAnsi="Arial" w:cs="Arial"/>
                <w:color w:val="000000"/>
                <w:sz w:val="18"/>
                <w:szCs w:val="18"/>
                <w:lang w:val="it-IT"/>
              </w:rPr>
            </w:pPr>
            <w:r w:rsidRPr="00681505">
              <w:rPr>
                <w:rFonts w:ascii="Arial" w:hAnsi="Arial" w:cs="Arial"/>
                <w:color w:val="000000"/>
                <w:sz w:val="18"/>
                <w:szCs w:val="18"/>
                <w:lang w:val="it-IT"/>
              </w:rPr>
              <w:t>0,</w:t>
            </w:r>
            <w:r w:rsidR="0057020A" w:rsidRPr="00681505">
              <w:rPr>
                <w:rFonts w:ascii="Arial" w:hAnsi="Arial" w:cs="Arial"/>
                <w:color w:val="000000"/>
                <w:sz w:val="18"/>
                <w:szCs w:val="18"/>
                <w:lang w:val="it-IT"/>
              </w:rPr>
              <w:t xml:space="preserve">42 </w:t>
            </w:r>
          </w:p>
        </w:tc>
        <w:tc>
          <w:tcPr>
            <w:tcW w:w="1385" w:type="dxa"/>
            <w:tcBorders>
              <w:top w:val="nil"/>
              <w:left w:val="nil"/>
              <w:right w:val="nil"/>
            </w:tcBorders>
            <w:shd w:val="clear" w:color="000000" w:fill="F2F2F2"/>
            <w:noWrap/>
            <w:vAlign w:val="center"/>
            <w:hideMark/>
          </w:tcPr>
          <w:p w:rsidR="0057020A" w:rsidRPr="00681505" w:rsidRDefault="00E83D4E" w:rsidP="0057020A">
            <w:pPr>
              <w:jc w:val="right"/>
              <w:rPr>
                <w:rFonts w:ascii="Arial" w:hAnsi="Arial" w:cs="Arial"/>
                <w:color w:val="000000"/>
                <w:sz w:val="18"/>
                <w:szCs w:val="18"/>
                <w:lang w:val="it-IT"/>
              </w:rPr>
            </w:pPr>
            <w:r w:rsidRPr="00681505">
              <w:rPr>
                <w:rFonts w:ascii="Arial" w:hAnsi="Arial" w:cs="Arial"/>
                <w:color w:val="000000"/>
                <w:sz w:val="18"/>
                <w:szCs w:val="18"/>
                <w:lang w:val="it-IT"/>
              </w:rPr>
              <w:t>0,</w:t>
            </w:r>
            <w:r w:rsidR="0057020A" w:rsidRPr="00681505">
              <w:rPr>
                <w:rFonts w:ascii="Arial" w:hAnsi="Arial" w:cs="Arial"/>
                <w:color w:val="000000"/>
                <w:sz w:val="18"/>
                <w:szCs w:val="18"/>
                <w:lang w:val="it-IT"/>
              </w:rPr>
              <w:t xml:space="preserve">42 </w:t>
            </w:r>
          </w:p>
        </w:tc>
        <w:tc>
          <w:tcPr>
            <w:tcW w:w="1384" w:type="dxa"/>
            <w:tcBorders>
              <w:top w:val="nil"/>
              <w:left w:val="nil"/>
              <w:right w:val="nil"/>
            </w:tcBorders>
            <w:shd w:val="clear" w:color="000000" w:fill="F2F2F2"/>
            <w:noWrap/>
            <w:vAlign w:val="center"/>
          </w:tcPr>
          <w:p w:rsidR="0057020A" w:rsidRPr="00681505" w:rsidRDefault="0057020A" w:rsidP="0057020A">
            <w:pPr>
              <w:jc w:val="right"/>
              <w:rPr>
                <w:rFonts w:ascii="Arial" w:hAnsi="Arial" w:cs="Arial"/>
                <w:color w:val="000000"/>
                <w:sz w:val="18"/>
                <w:szCs w:val="18"/>
                <w:lang w:val="it-IT"/>
              </w:rPr>
            </w:pPr>
            <w:r w:rsidRPr="00681505">
              <w:rPr>
                <w:rFonts w:ascii="Arial" w:hAnsi="Arial" w:cs="Arial"/>
                <w:color w:val="000000"/>
                <w:sz w:val="18"/>
                <w:szCs w:val="18"/>
                <w:lang w:val="it-IT"/>
              </w:rPr>
              <w:t>(1</w:t>
            </w:r>
            <w:r w:rsidR="00E83D4E" w:rsidRPr="00681505">
              <w:rPr>
                <w:rFonts w:ascii="Arial" w:hAnsi="Arial" w:cs="Arial"/>
                <w:color w:val="000000"/>
                <w:sz w:val="18"/>
                <w:szCs w:val="18"/>
                <w:lang w:val="it-IT"/>
              </w:rPr>
              <w:t>,</w:t>
            </w:r>
            <w:r w:rsidRPr="00681505">
              <w:rPr>
                <w:rFonts w:ascii="Arial" w:hAnsi="Arial" w:cs="Arial"/>
                <w:color w:val="000000"/>
                <w:sz w:val="18"/>
                <w:szCs w:val="18"/>
                <w:lang w:val="it-IT"/>
              </w:rPr>
              <w:t>3)%</w:t>
            </w:r>
          </w:p>
        </w:tc>
        <w:tc>
          <w:tcPr>
            <w:tcW w:w="1385" w:type="dxa"/>
            <w:tcBorders>
              <w:top w:val="nil"/>
              <w:left w:val="nil"/>
              <w:right w:val="nil"/>
            </w:tcBorders>
            <w:shd w:val="clear" w:color="000000" w:fill="F2F2F2"/>
            <w:noWrap/>
            <w:vAlign w:val="center"/>
          </w:tcPr>
          <w:p w:rsidR="0057020A" w:rsidRPr="00681505" w:rsidRDefault="00995968" w:rsidP="0057020A">
            <w:pPr>
              <w:jc w:val="right"/>
              <w:rPr>
                <w:rFonts w:ascii="Arial" w:hAnsi="Arial" w:cs="Arial"/>
                <w:color w:val="000000"/>
                <w:sz w:val="18"/>
                <w:szCs w:val="18"/>
                <w:lang w:val="it-IT"/>
              </w:rPr>
            </w:pPr>
            <w:r>
              <w:rPr>
                <w:rFonts w:ascii="Arial" w:hAnsi="Arial" w:cs="Arial"/>
                <w:color w:val="000000"/>
                <w:sz w:val="18"/>
                <w:szCs w:val="18"/>
                <w:lang w:val="it-IT"/>
              </w:rPr>
              <w:t>n.s</w:t>
            </w:r>
            <w:r w:rsidR="0057020A" w:rsidRPr="00681505">
              <w:rPr>
                <w:rFonts w:ascii="Arial" w:hAnsi="Arial" w:cs="Arial"/>
                <w:color w:val="000000"/>
                <w:sz w:val="18"/>
                <w:szCs w:val="18"/>
                <w:lang w:val="it-IT"/>
              </w:rPr>
              <w:t>.</w:t>
            </w:r>
          </w:p>
        </w:tc>
      </w:tr>
      <w:tr w:rsidR="0057020A" w:rsidRPr="00681505" w:rsidTr="00BE3430">
        <w:trPr>
          <w:trHeight w:hRule="exact" w:val="340"/>
          <w:jc w:val="center"/>
        </w:trPr>
        <w:tc>
          <w:tcPr>
            <w:tcW w:w="4007" w:type="dxa"/>
            <w:tcBorders>
              <w:top w:val="nil"/>
              <w:left w:val="nil"/>
              <w:right w:val="nil"/>
            </w:tcBorders>
            <w:shd w:val="clear" w:color="000000" w:fill="F2F2F2"/>
            <w:noWrap/>
            <w:vAlign w:val="center"/>
            <w:hideMark/>
          </w:tcPr>
          <w:p w:rsidR="0057020A" w:rsidRPr="00681505" w:rsidRDefault="0057020A" w:rsidP="0057020A">
            <w:pPr>
              <w:rPr>
                <w:rFonts w:ascii="Arial" w:hAnsi="Arial" w:cs="Arial"/>
                <w:color w:val="000000"/>
                <w:sz w:val="18"/>
                <w:szCs w:val="18"/>
                <w:lang w:val="it-IT"/>
              </w:rPr>
            </w:pPr>
            <w:r w:rsidRPr="00681505">
              <w:rPr>
                <w:rFonts w:ascii="Arial" w:hAnsi="Arial" w:cs="Arial"/>
                <w:color w:val="000000"/>
                <w:sz w:val="18"/>
                <w:szCs w:val="18"/>
                <w:lang w:val="it-IT"/>
              </w:rPr>
              <w:t xml:space="preserve">FFO </w:t>
            </w:r>
            <w:r w:rsidR="00E83D4E" w:rsidRPr="00681505">
              <w:rPr>
                <w:rFonts w:ascii="Arial" w:hAnsi="Arial" w:cs="Arial"/>
                <w:color w:val="000000"/>
                <w:sz w:val="18"/>
                <w:szCs w:val="18"/>
                <w:lang w:val="it-IT"/>
              </w:rPr>
              <w:t xml:space="preserve">Ricorrente </w:t>
            </w:r>
            <w:r w:rsidRPr="00681505">
              <w:rPr>
                <w:rFonts w:ascii="Arial" w:hAnsi="Arial" w:cs="Arial"/>
                <w:color w:val="000000"/>
                <w:sz w:val="18"/>
                <w:szCs w:val="18"/>
                <w:lang w:val="it-IT"/>
              </w:rPr>
              <w:t xml:space="preserve">per </w:t>
            </w:r>
            <w:r w:rsidR="00E83D4E" w:rsidRPr="00681505">
              <w:rPr>
                <w:rFonts w:ascii="Arial" w:hAnsi="Arial" w:cs="Arial"/>
                <w:color w:val="000000"/>
                <w:sz w:val="18"/>
                <w:szCs w:val="18"/>
                <w:lang w:val="it-IT"/>
              </w:rPr>
              <w:t xml:space="preserve">azione </w:t>
            </w:r>
            <w:r w:rsidRPr="00681505">
              <w:rPr>
                <w:rFonts w:ascii="Arial" w:hAnsi="Arial" w:cs="Arial"/>
                <w:color w:val="000000"/>
                <w:sz w:val="18"/>
                <w:szCs w:val="18"/>
                <w:lang w:val="it-IT"/>
              </w:rPr>
              <w:t>(Euro)</w:t>
            </w:r>
          </w:p>
        </w:tc>
        <w:tc>
          <w:tcPr>
            <w:tcW w:w="1384" w:type="dxa"/>
            <w:tcBorders>
              <w:top w:val="nil"/>
              <w:left w:val="nil"/>
              <w:right w:val="nil"/>
            </w:tcBorders>
            <w:shd w:val="clear" w:color="000000" w:fill="F2F2F2"/>
            <w:noWrap/>
            <w:vAlign w:val="center"/>
            <w:hideMark/>
          </w:tcPr>
          <w:p w:rsidR="0057020A" w:rsidRPr="00681505" w:rsidRDefault="00E83D4E" w:rsidP="0057020A">
            <w:pPr>
              <w:jc w:val="right"/>
              <w:rPr>
                <w:rFonts w:ascii="Arial" w:hAnsi="Arial" w:cs="Arial"/>
                <w:color w:val="000000"/>
                <w:sz w:val="18"/>
                <w:szCs w:val="18"/>
                <w:lang w:val="it-IT"/>
              </w:rPr>
            </w:pPr>
            <w:r w:rsidRPr="00681505">
              <w:rPr>
                <w:rFonts w:ascii="Arial" w:hAnsi="Arial" w:cs="Arial"/>
                <w:color w:val="000000"/>
                <w:sz w:val="18"/>
                <w:szCs w:val="18"/>
                <w:lang w:val="it-IT"/>
              </w:rPr>
              <w:t>0,</w:t>
            </w:r>
            <w:r w:rsidR="0057020A" w:rsidRPr="00681505">
              <w:rPr>
                <w:rFonts w:ascii="Arial" w:hAnsi="Arial" w:cs="Arial"/>
                <w:color w:val="000000"/>
                <w:sz w:val="18"/>
                <w:szCs w:val="18"/>
                <w:lang w:val="it-IT"/>
              </w:rPr>
              <w:t xml:space="preserve">49 </w:t>
            </w:r>
          </w:p>
        </w:tc>
        <w:tc>
          <w:tcPr>
            <w:tcW w:w="1385" w:type="dxa"/>
            <w:tcBorders>
              <w:top w:val="nil"/>
              <w:left w:val="nil"/>
              <w:right w:val="nil"/>
            </w:tcBorders>
            <w:shd w:val="clear" w:color="000000" w:fill="F2F2F2"/>
            <w:noWrap/>
            <w:vAlign w:val="center"/>
            <w:hideMark/>
          </w:tcPr>
          <w:p w:rsidR="0057020A" w:rsidRPr="00681505" w:rsidRDefault="00E83D4E" w:rsidP="0057020A">
            <w:pPr>
              <w:jc w:val="right"/>
              <w:rPr>
                <w:rFonts w:ascii="Arial" w:hAnsi="Arial" w:cs="Arial"/>
                <w:color w:val="000000"/>
                <w:sz w:val="18"/>
                <w:szCs w:val="18"/>
                <w:lang w:val="it-IT"/>
              </w:rPr>
            </w:pPr>
            <w:r w:rsidRPr="00681505">
              <w:rPr>
                <w:rFonts w:ascii="Arial" w:hAnsi="Arial" w:cs="Arial"/>
                <w:color w:val="000000"/>
                <w:sz w:val="18"/>
                <w:szCs w:val="18"/>
                <w:lang w:val="it-IT"/>
              </w:rPr>
              <w:t>0,</w:t>
            </w:r>
            <w:r w:rsidR="0057020A" w:rsidRPr="00681505">
              <w:rPr>
                <w:rFonts w:ascii="Arial" w:hAnsi="Arial" w:cs="Arial"/>
                <w:color w:val="000000"/>
                <w:sz w:val="18"/>
                <w:szCs w:val="18"/>
                <w:lang w:val="it-IT"/>
              </w:rPr>
              <w:t xml:space="preserve">47 </w:t>
            </w:r>
          </w:p>
        </w:tc>
        <w:tc>
          <w:tcPr>
            <w:tcW w:w="1384" w:type="dxa"/>
            <w:tcBorders>
              <w:top w:val="nil"/>
              <w:left w:val="nil"/>
              <w:right w:val="nil"/>
            </w:tcBorders>
            <w:shd w:val="clear" w:color="000000" w:fill="F2F2F2"/>
            <w:noWrap/>
            <w:vAlign w:val="center"/>
          </w:tcPr>
          <w:p w:rsidR="0057020A" w:rsidRPr="00681505" w:rsidRDefault="0057020A" w:rsidP="0057020A">
            <w:pPr>
              <w:jc w:val="right"/>
              <w:rPr>
                <w:rFonts w:ascii="Arial" w:hAnsi="Arial" w:cs="Arial"/>
                <w:color w:val="000000"/>
                <w:sz w:val="18"/>
                <w:szCs w:val="18"/>
                <w:lang w:val="it-IT"/>
              </w:rPr>
            </w:pPr>
            <w:r w:rsidRPr="00681505">
              <w:rPr>
                <w:rFonts w:ascii="Arial" w:hAnsi="Arial" w:cs="Arial"/>
                <w:color w:val="000000"/>
                <w:sz w:val="18"/>
                <w:szCs w:val="18"/>
                <w:lang w:val="it-IT"/>
              </w:rPr>
              <w:t>5</w:t>
            </w:r>
            <w:r w:rsidR="00E83D4E" w:rsidRPr="00681505">
              <w:rPr>
                <w:rFonts w:ascii="Arial" w:hAnsi="Arial" w:cs="Arial"/>
                <w:color w:val="000000"/>
                <w:sz w:val="18"/>
                <w:szCs w:val="18"/>
                <w:lang w:val="it-IT"/>
              </w:rPr>
              <w:t>,</w:t>
            </w:r>
            <w:r w:rsidRPr="00681505">
              <w:rPr>
                <w:rFonts w:ascii="Arial" w:hAnsi="Arial" w:cs="Arial"/>
                <w:color w:val="000000"/>
                <w:sz w:val="18"/>
                <w:szCs w:val="18"/>
                <w:lang w:val="it-IT"/>
              </w:rPr>
              <w:t>0%</w:t>
            </w:r>
          </w:p>
        </w:tc>
        <w:tc>
          <w:tcPr>
            <w:tcW w:w="1385" w:type="dxa"/>
            <w:tcBorders>
              <w:top w:val="nil"/>
              <w:left w:val="nil"/>
              <w:right w:val="nil"/>
            </w:tcBorders>
            <w:shd w:val="clear" w:color="000000" w:fill="F2F2F2"/>
            <w:noWrap/>
            <w:vAlign w:val="center"/>
          </w:tcPr>
          <w:p w:rsidR="0057020A" w:rsidRPr="00681505" w:rsidRDefault="00E83D4E" w:rsidP="0057020A">
            <w:pPr>
              <w:jc w:val="right"/>
              <w:rPr>
                <w:rFonts w:ascii="Arial" w:hAnsi="Arial" w:cs="Arial"/>
                <w:color w:val="000000"/>
                <w:sz w:val="18"/>
                <w:szCs w:val="18"/>
                <w:lang w:val="it-IT"/>
              </w:rPr>
            </w:pPr>
            <w:r w:rsidRPr="00681505">
              <w:rPr>
                <w:rFonts w:ascii="Arial" w:hAnsi="Arial" w:cs="Arial"/>
                <w:color w:val="000000"/>
                <w:sz w:val="18"/>
                <w:szCs w:val="18"/>
                <w:lang w:val="it-IT"/>
              </w:rPr>
              <w:t>0,</w:t>
            </w:r>
            <w:r w:rsidR="0057020A" w:rsidRPr="00681505">
              <w:rPr>
                <w:rFonts w:ascii="Arial" w:hAnsi="Arial" w:cs="Arial"/>
                <w:color w:val="000000"/>
                <w:sz w:val="18"/>
                <w:szCs w:val="18"/>
                <w:lang w:val="it-IT"/>
              </w:rPr>
              <w:t>02</w:t>
            </w:r>
          </w:p>
        </w:tc>
      </w:tr>
      <w:tr w:rsidR="00107035" w:rsidRPr="00681505" w:rsidTr="00BE3430">
        <w:trPr>
          <w:trHeight w:hRule="exact" w:val="340"/>
          <w:jc w:val="center"/>
        </w:trPr>
        <w:tc>
          <w:tcPr>
            <w:tcW w:w="4007" w:type="dxa"/>
            <w:tcBorders>
              <w:top w:val="single" w:sz="4" w:space="0" w:color="auto"/>
              <w:left w:val="nil"/>
              <w:right w:val="nil"/>
            </w:tcBorders>
            <w:noWrap/>
            <w:vAlign w:val="center"/>
          </w:tcPr>
          <w:p w:rsidR="00107035" w:rsidRPr="00681505" w:rsidRDefault="00107035" w:rsidP="00BE3430">
            <w:pPr>
              <w:rPr>
                <w:rFonts w:ascii="Arial" w:hAnsi="Arial" w:cs="Arial"/>
                <w:color w:val="000000"/>
                <w:sz w:val="18"/>
                <w:szCs w:val="18"/>
                <w:lang w:val="it-IT"/>
              </w:rPr>
            </w:pPr>
          </w:p>
        </w:tc>
        <w:tc>
          <w:tcPr>
            <w:tcW w:w="1384" w:type="dxa"/>
            <w:tcBorders>
              <w:top w:val="single" w:sz="4" w:space="0" w:color="auto"/>
              <w:left w:val="nil"/>
              <w:right w:val="nil"/>
            </w:tcBorders>
            <w:noWrap/>
            <w:vAlign w:val="center"/>
          </w:tcPr>
          <w:p w:rsidR="00107035" w:rsidRPr="00681505" w:rsidRDefault="00107035" w:rsidP="00BE3430">
            <w:pPr>
              <w:jc w:val="right"/>
              <w:rPr>
                <w:rFonts w:ascii="Arial" w:hAnsi="Arial" w:cs="Arial"/>
                <w:color w:val="000000"/>
                <w:sz w:val="18"/>
                <w:szCs w:val="18"/>
                <w:highlight w:val="yellow"/>
                <w:lang w:val="it-IT"/>
              </w:rPr>
            </w:pPr>
          </w:p>
        </w:tc>
        <w:tc>
          <w:tcPr>
            <w:tcW w:w="1385" w:type="dxa"/>
            <w:tcBorders>
              <w:top w:val="single" w:sz="4" w:space="0" w:color="auto"/>
              <w:left w:val="nil"/>
              <w:right w:val="nil"/>
            </w:tcBorders>
            <w:noWrap/>
            <w:vAlign w:val="center"/>
          </w:tcPr>
          <w:p w:rsidR="00107035" w:rsidRPr="00681505" w:rsidRDefault="00107035" w:rsidP="00BE3430">
            <w:pPr>
              <w:jc w:val="right"/>
              <w:rPr>
                <w:rFonts w:ascii="Arial" w:hAnsi="Arial" w:cs="Arial"/>
                <w:color w:val="000000"/>
                <w:sz w:val="18"/>
                <w:szCs w:val="18"/>
                <w:highlight w:val="yellow"/>
                <w:lang w:val="it-IT"/>
              </w:rPr>
            </w:pPr>
          </w:p>
        </w:tc>
        <w:tc>
          <w:tcPr>
            <w:tcW w:w="1384" w:type="dxa"/>
            <w:tcBorders>
              <w:top w:val="single" w:sz="4" w:space="0" w:color="auto"/>
              <w:left w:val="nil"/>
              <w:right w:val="nil"/>
            </w:tcBorders>
            <w:noWrap/>
            <w:vAlign w:val="center"/>
          </w:tcPr>
          <w:p w:rsidR="00107035" w:rsidRPr="00681505" w:rsidRDefault="00107035" w:rsidP="00BE3430">
            <w:pPr>
              <w:jc w:val="right"/>
              <w:rPr>
                <w:rFonts w:ascii="Arial" w:hAnsi="Arial" w:cs="Arial"/>
                <w:color w:val="000000"/>
                <w:sz w:val="18"/>
                <w:szCs w:val="18"/>
                <w:highlight w:val="yellow"/>
                <w:lang w:val="it-IT"/>
              </w:rPr>
            </w:pPr>
          </w:p>
        </w:tc>
        <w:tc>
          <w:tcPr>
            <w:tcW w:w="1385" w:type="dxa"/>
            <w:tcBorders>
              <w:top w:val="single" w:sz="4" w:space="0" w:color="auto"/>
              <w:left w:val="nil"/>
              <w:right w:val="nil"/>
            </w:tcBorders>
            <w:noWrap/>
            <w:vAlign w:val="center"/>
          </w:tcPr>
          <w:p w:rsidR="00107035" w:rsidRPr="00681505" w:rsidRDefault="00107035" w:rsidP="00BE3430">
            <w:pPr>
              <w:jc w:val="right"/>
              <w:rPr>
                <w:rFonts w:ascii="Arial" w:hAnsi="Arial" w:cs="Arial"/>
                <w:color w:val="000000"/>
                <w:sz w:val="18"/>
                <w:szCs w:val="18"/>
                <w:highlight w:val="yellow"/>
                <w:lang w:val="it-IT"/>
              </w:rPr>
            </w:pPr>
          </w:p>
        </w:tc>
      </w:tr>
      <w:tr w:rsidR="00107035" w:rsidRPr="00681505" w:rsidTr="00BE3430">
        <w:trPr>
          <w:trHeight w:hRule="exact" w:val="340"/>
          <w:jc w:val="center"/>
        </w:trPr>
        <w:tc>
          <w:tcPr>
            <w:tcW w:w="4007" w:type="dxa"/>
            <w:tcBorders>
              <w:top w:val="nil"/>
              <w:left w:val="nil"/>
              <w:bottom w:val="single" w:sz="4" w:space="0" w:color="auto"/>
              <w:right w:val="nil"/>
            </w:tcBorders>
            <w:noWrap/>
            <w:vAlign w:val="center"/>
          </w:tcPr>
          <w:p w:rsidR="00107035" w:rsidRPr="00681505" w:rsidRDefault="00E83D4E" w:rsidP="00BE3430">
            <w:pPr>
              <w:rPr>
                <w:rFonts w:ascii="Arial" w:hAnsi="Arial" w:cs="Arial"/>
                <w:b/>
                <w:color w:val="000000"/>
                <w:sz w:val="18"/>
                <w:szCs w:val="18"/>
                <w:lang w:val="it-IT"/>
              </w:rPr>
            </w:pPr>
            <w:r w:rsidRPr="00681505">
              <w:rPr>
                <w:rFonts w:ascii="Arial" w:hAnsi="Arial" w:cs="Arial"/>
                <w:b/>
                <w:color w:val="000000"/>
                <w:sz w:val="18"/>
                <w:szCs w:val="18"/>
                <w:lang w:val="it-IT"/>
              </w:rPr>
              <w:t>Altri dati</w:t>
            </w:r>
            <w:r w:rsidR="00A32FAF" w:rsidRPr="00681505">
              <w:rPr>
                <w:rFonts w:ascii="Arial" w:hAnsi="Arial" w:cs="Arial"/>
                <w:b/>
                <w:color w:val="000000"/>
                <w:sz w:val="18"/>
                <w:szCs w:val="18"/>
                <w:lang w:val="it-IT"/>
              </w:rPr>
              <w:t xml:space="preserve"> </w:t>
            </w:r>
            <w:r w:rsidR="00A32FAF" w:rsidRPr="00681505">
              <w:rPr>
                <w:rFonts w:ascii="Arial" w:hAnsi="Arial" w:cs="Arial"/>
                <w:b/>
                <w:color w:val="000000"/>
                <w:sz w:val="12"/>
                <w:szCs w:val="12"/>
                <w:lang w:val="it-IT"/>
              </w:rPr>
              <w:t>(</w:t>
            </w:r>
            <w:r w:rsidRPr="00681505">
              <w:rPr>
                <w:rFonts w:ascii="Arial" w:hAnsi="Arial" w:cs="Arial"/>
                <w:b/>
                <w:color w:val="000000"/>
                <w:sz w:val="12"/>
                <w:szCs w:val="12"/>
                <w:lang w:val="it-IT"/>
              </w:rPr>
              <w:t xml:space="preserve">dati </w:t>
            </w:r>
            <w:r w:rsidR="00A32FAF" w:rsidRPr="00681505">
              <w:rPr>
                <w:rFonts w:ascii="Arial" w:hAnsi="Arial" w:cs="Arial"/>
                <w:b/>
                <w:color w:val="000000"/>
                <w:sz w:val="12"/>
                <w:szCs w:val="12"/>
                <w:lang w:val="it-IT"/>
              </w:rPr>
              <w:t xml:space="preserve">2018 pro forma </w:t>
            </w:r>
            <w:r w:rsidRPr="00681505">
              <w:rPr>
                <w:rFonts w:ascii="Arial" w:hAnsi="Arial" w:cs="Arial"/>
                <w:b/>
                <w:color w:val="000000"/>
                <w:sz w:val="12"/>
                <w:szCs w:val="12"/>
                <w:lang w:val="it-IT"/>
              </w:rPr>
              <w:t>per la locazione ad IBM</w:t>
            </w:r>
            <w:r w:rsidR="00A32FAF" w:rsidRPr="00681505">
              <w:rPr>
                <w:rFonts w:ascii="Arial" w:hAnsi="Arial" w:cs="Arial"/>
                <w:b/>
                <w:color w:val="000000"/>
                <w:sz w:val="12"/>
                <w:szCs w:val="12"/>
                <w:lang w:val="it-IT"/>
              </w:rPr>
              <w:t>)</w:t>
            </w:r>
          </w:p>
        </w:tc>
        <w:tc>
          <w:tcPr>
            <w:tcW w:w="1384" w:type="dxa"/>
            <w:tcBorders>
              <w:top w:val="nil"/>
              <w:left w:val="nil"/>
              <w:bottom w:val="single" w:sz="4" w:space="0" w:color="auto"/>
              <w:right w:val="nil"/>
            </w:tcBorders>
            <w:noWrap/>
            <w:vAlign w:val="center"/>
          </w:tcPr>
          <w:p w:rsidR="00107035" w:rsidRPr="00681505" w:rsidRDefault="00107035" w:rsidP="00BE3430">
            <w:pPr>
              <w:jc w:val="right"/>
              <w:rPr>
                <w:rFonts w:ascii="Arial" w:hAnsi="Arial" w:cs="Arial"/>
                <w:b/>
                <w:bCs/>
                <w:color w:val="000000"/>
                <w:sz w:val="18"/>
                <w:szCs w:val="18"/>
                <w:lang w:val="it-IT"/>
              </w:rPr>
            </w:pPr>
            <w:r w:rsidRPr="00681505">
              <w:rPr>
                <w:rFonts w:ascii="Arial" w:hAnsi="Arial" w:cs="Arial"/>
                <w:b/>
                <w:bCs/>
                <w:color w:val="000000"/>
                <w:sz w:val="18"/>
                <w:szCs w:val="18"/>
                <w:lang w:val="it-IT"/>
              </w:rPr>
              <w:t>2018</w:t>
            </w:r>
          </w:p>
        </w:tc>
        <w:tc>
          <w:tcPr>
            <w:tcW w:w="1385" w:type="dxa"/>
            <w:tcBorders>
              <w:top w:val="nil"/>
              <w:left w:val="nil"/>
              <w:bottom w:val="single" w:sz="4" w:space="0" w:color="auto"/>
              <w:right w:val="nil"/>
            </w:tcBorders>
            <w:noWrap/>
            <w:vAlign w:val="center"/>
          </w:tcPr>
          <w:p w:rsidR="00107035" w:rsidRPr="00681505" w:rsidRDefault="00107035" w:rsidP="00BE3430">
            <w:pPr>
              <w:jc w:val="right"/>
              <w:rPr>
                <w:rFonts w:ascii="Arial" w:hAnsi="Arial" w:cs="Arial"/>
                <w:b/>
                <w:bCs/>
                <w:color w:val="000000"/>
                <w:sz w:val="18"/>
                <w:szCs w:val="18"/>
                <w:lang w:val="it-IT"/>
              </w:rPr>
            </w:pPr>
            <w:r w:rsidRPr="00681505">
              <w:rPr>
                <w:rFonts w:ascii="Arial" w:hAnsi="Arial" w:cs="Arial"/>
                <w:b/>
                <w:bCs/>
                <w:color w:val="000000"/>
                <w:sz w:val="18"/>
                <w:szCs w:val="18"/>
                <w:lang w:val="it-IT"/>
              </w:rPr>
              <w:t>2017</w:t>
            </w:r>
          </w:p>
        </w:tc>
        <w:tc>
          <w:tcPr>
            <w:tcW w:w="1384" w:type="dxa"/>
            <w:tcBorders>
              <w:top w:val="nil"/>
              <w:left w:val="nil"/>
              <w:bottom w:val="single" w:sz="4" w:space="0" w:color="auto"/>
              <w:right w:val="nil"/>
            </w:tcBorders>
            <w:noWrap/>
            <w:vAlign w:val="center"/>
          </w:tcPr>
          <w:p w:rsidR="00107035" w:rsidRPr="00681505" w:rsidRDefault="00107035" w:rsidP="00BE3430">
            <w:pPr>
              <w:jc w:val="right"/>
              <w:rPr>
                <w:rFonts w:ascii="Arial" w:hAnsi="Arial" w:cs="Arial"/>
                <w:b/>
                <w:bCs/>
                <w:color w:val="000000"/>
                <w:sz w:val="18"/>
                <w:szCs w:val="18"/>
                <w:lang w:val="it-IT"/>
              </w:rPr>
            </w:pPr>
            <w:r w:rsidRPr="00681505">
              <w:rPr>
                <w:rFonts w:ascii="Arial" w:hAnsi="Arial" w:cs="Arial"/>
                <w:b/>
                <w:bCs/>
                <w:color w:val="000000"/>
                <w:sz w:val="18"/>
                <w:szCs w:val="18"/>
                <w:lang w:val="it-IT"/>
              </w:rPr>
              <w:t>Delta (%)</w:t>
            </w:r>
          </w:p>
        </w:tc>
        <w:tc>
          <w:tcPr>
            <w:tcW w:w="1385" w:type="dxa"/>
            <w:tcBorders>
              <w:top w:val="nil"/>
              <w:left w:val="nil"/>
              <w:bottom w:val="single" w:sz="4" w:space="0" w:color="auto"/>
              <w:right w:val="nil"/>
            </w:tcBorders>
            <w:noWrap/>
            <w:vAlign w:val="center"/>
          </w:tcPr>
          <w:p w:rsidR="00107035" w:rsidRPr="00681505" w:rsidRDefault="00107035" w:rsidP="00BE3430">
            <w:pPr>
              <w:jc w:val="right"/>
              <w:rPr>
                <w:rFonts w:ascii="Arial" w:hAnsi="Arial" w:cs="Arial"/>
                <w:b/>
                <w:bCs/>
                <w:color w:val="000000"/>
                <w:sz w:val="18"/>
                <w:szCs w:val="18"/>
                <w:lang w:val="it-IT"/>
              </w:rPr>
            </w:pPr>
            <w:r w:rsidRPr="00681505">
              <w:rPr>
                <w:rFonts w:ascii="Arial" w:hAnsi="Arial" w:cs="Arial"/>
                <w:b/>
                <w:bCs/>
                <w:color w:val="000000"/>
                <w:sz w:val="18"/>
                <w:szCs w:val="18"/>
                <w:lang w:val="it-IT"/>
              </w:rPr>
              <w:t>Delta</w:t>
            </w:r>
          </w:p>
        </w:tc>
      </w:tr>
      <w:tr w:rsidR="00107035" w:rsidRPr="00681505" w:rsidTr="00BE3430">
        <w:trPr>
          <w:trHeight w:hRule="exact" w:val="340"/>
          <w:jc w:val="center"/>
        </w:trPr>
        <w:tc>
          <w:tcPr>
            <w:tcW w:w="4007" w:type="dxa"/>
            <w:tcBorders>
              <w:top w:val="single" w:sz="4" w:space="0" w:color="auto"/>
              <w:left w:val="nil"/>
              <w:bottom w:val="nil"/>
              <w:right w:val="nil"/>
            </w:tcBorders>
            <w:noWrap/>
            <w:vAlign w:val="center"/>
            <w:hideMark/>
          </w:tcPr>
          <w:p w:rsidR="00107035" w:rsidRPr="00681505" w:rsidRDefault="00107035" w:rsidP="00BE3430">
            <w:pPr>
              <w:rPr>
                <w:rFonts w:ascii="Arial" w:hAnsi="Arial" w:cs="Arial"/>
                <w:color w:val="000000"/>
                <w:sz w:val="18"/>
                <w:szCs w:val="18"/>
                <w:lang w:val="it-IT"/>
              </w:rPr>
            </w:pPr>
            <w:r w:rsidRPr="00681505">
              <w:rPr>
                <w:rFonts w:ascii="Arial" w:hAnsi="Arial" w:cs="Arial"/>
                <w:color w:val="000000"/>
                <w:sz w:val="18"/>
                <w:szCs w:val="18"/>
                <w:lang w:val="it-IT"/>
              </w:rPr>
              <w:t>EPRA Net Initial Yield</w:t>
            </w:r>
          </w:p>
        </w:tc>
        <w:tc>
          <w:tcPr>
            <w:tcW w:w="1384" w:type="dxa"/>
            <w:tcBorders>
              <w:top w:val="single" w:sz="4" w:space="0" w:color="auto"/>
              <w:left w:val="nil"/>
              <w:bottom w:val="nil"/>
              <w:right w:val="nil"/>
            </w:tcBorders>
            <w:noWrap/>
            <w:vAlign w:val="center"/>
            <w:hideMark/>
          </w:tcPr>
          <w:p w:rsidR="00107035" w:rsidRPr="00681505" w:rsidRDefault="00E83D4E" w:rsidP="00BE3430">
            <w:pPr>
              <w:jc w:val="right"/>
              <w:rPr>
                <w:rFonts w:ascii="Arial" w:hAnsi="Arial" w:cs="Arial"/>
                <w:color w:val="000000"/>
                <w:sz w:val="18"/>
                <w:szCs w:val="18"/>
                <w:lang w:val="it-IT"/>
              </w:rPr>
            </w:pPr>
            <w:r w:rsidRPr="00681505">
              <w:rPr>
                <w:rFonts w:ascii="Arial" w:hAnsi="Arial" w:cs="Arial"/>
                <w:color w:val="000000"/>
                <w:sz w:val="18"/>
                <w:szCs w:val="18"/>
                <w:lang w:val="it-IT"/>
              </w:rPr>
              <w:t>4,</w:t>
            </w:r>
            <w:r w:rsidR="00AC52D9" w:rsidRPr="00681505">
              <w:rPr>
                <w:rFonts w:ascii="Arial" w:hAnsi="Arial" w:cs="Arial"/>
                <w:color w:val="000000"/>
                <w:sz w:val="18"/>
                <w:szCs w:val="18"/>
                <w:lang w:val="it-IT"/>
              </w:rPr>
              <w:t>8</w:t>
            </w:r>
            <w:r w:rsidR="00107035" w:rsidRPr="00681505">
              <w:rPr>
                <w:rFonts w:ascii="Arial" w:hAnsi="Arial" w:cs="Arial"/>
                <w:color w:val="000000"/>
                <w:sz w:val="18"/>
                <w:szCs w:val="18"/>
                <w:lang w:val="it-IT"/>
              </w:rPr>
              <w:t>%</w:t>
            </w:r>
          </w:p>
        </w:tc>
        <w:tc>
          <w:tcPr>
            <w:tcW w:w="1385" w:type="dxa"/>
            <w:tcBorders>
              <w:top w:val="single" w:sz="4" w:space="0" w:color="auto"/>
              <w:left w:val="nil"/>
              <w:bottom w:val="nil"/>
              <w:right w:val="nil"/>
            </w:tcBorders>
            <w:noWrap/>
            <w:vAlign w:val="center"/>
            <w:hideMark/>
          </w:tcPr>
          <w:p w:rsidR="00107035" w:rsidRPr="00681505" w:rsidRDefault="00E83D4E" w:rsidP="00BE3430">
            <w:pPr>
              <w:jc w:val="right"/>
              <w:rPr>
                <w:rFonts w:ascii="Arial" w:hAnsi="Arial" w:cs="Arial"/>
                <w:color w:val="000000"/>
                <w:sz w:val="18"/>
                <w:szCs w:val="18"/>
                <w:lang w:val="it-IT"/>
              </w:rPr>
            </w:pPr>
            <w:r w:rsidRPr="00681505">
              <w:rPr>
                <w:rFonts w:ascii="Arial" w:hAnsi="Arial" w:cs="Arial"/>
                <w:color w:val="000000"/>
                <w:sz w:val="18"/>
                <w:szCs w:val="18"/>
                <w:lang w:val="it-IT"/>
              </w:rPr>
              <w:t>5,</w:t>
            </w:r>
            <w:r w:rsidR="00AC52D9" w:rsidRPr="00681505">
              <w:rPr>
                <w:rFonts w:ascii="Arial" w:hAnsi="Arial" w:cs="Arial"/>
                <w:color w:val="000000"/>
                <w:sz w:val="18"/>
                <w:szCs w:val="18"/>
                <w:lang w:val="it-IT"/>
              </w:rPr>
              <w:t>3</w:t>
            </w:r>
            <w:r w:rsidR="00107035" w:rsidRPr="00681505">
              <w:rPr>
                <w:rFonts w:ascii="Arial" w:hAnsi="Arial" w:cs="Arial"/>
                <w:color w:val="000000"/>
                <w:sz w:val="18"/>
                <w:szCs w:val="18"/>
                <w:lang w:val="it-IT"/>
              </w:rPr>
              <w:t>%</w:t>
            </w:r>
          </w:p>
        </w:tc>
        <w:tc>
          <w:tcPr>
            <w:tcW w:w="1384" w:type="dxa"/>
            <w:tcBorders>
              <w:top w:val="single" w:sz="4" w:space="0" w:color="auto"/>
              <w:left w:val="nil"/>
              <w:bottom w:val="nil"/>
              <w:right w:val="nil"/>
            </w:tcBorders>
            <w:noWrap/>
            <w:vAlign w:val="center"/>
          </w:tcPr>
          <w:p w:rsidR="00107035" w:rsidRPr="00681505" w:rsidRDefault="00995968" w:rsidP="00BE3430">
            <w:pPr>
              <w:jc w:val="right"/>
              <w:rPr>
                <w:rFonts w:ascii="Arial" w:hAnsi="Arial" w:cs="Arial"/>
                <w:color w:val="000000"/>
                <w:sz w:val="18"/>
                <w:szCs w:val="18"/>
                <w:lang w:val="it-IT"/>
              </w:rPr>
            </w:pPr>
            <w:r>
              <w:rPr>
                <w:rFonts w:ascii="Arial" w:hAnsi="Arial" w:cs="Arial"/>
                <w:color w:val="000000"/>
                <w:sz w:val="18"/>
                <w:szCs w:val="18"/>
                <w:lang w:val="it-IT"/>
              </w:rPr>
              <w:t>n.s</w:t>
            </w:r>
            <w:r w:rsidR="00107035" w:rsidRPr="00681505">
              <w:rPr>
                <w:rFonts w:ascii="Arial" w:hAnsi="Arial" w:cs="Arial"/>
                <w:color w:val="000000"/>
                <w:sz w:val="18"/>
                <w:szCs w:val="18"/>
                <w:lang w:val="it-IT"/>
              </w:rPr>
              <w:t>.</w:t>
            </w:r>
          </w:p>
        </w:tc>
        <w:tc>
          <w:tcPr>
            <w:tcW w:w="1385" w:type="dxa"/>
            <w:tcBorders>
              <w:top w:val="single" w:sz="4" w:space="0" w:color="auto"/>
              <w:left w:val="nil"/>
              <w:bottom w:val="nil"/>
              <w:right w:val="nil"/>
            </w:tcBorders>
            <w:noWrap/>
            <w:vAlign w:val="center"/>
          </w:tcPr>
          <w:p w:rsidR="00107035" w:rsidRPr="00681505" w:rsidRDefault="00107035" w:rsidP="00BE3430">
            <w:pPr>
              <w:jc w:val="right"/>
              <w:rPr>
                <w:rFonts w:ascii="Arial" w:hAnsi="Arial" w:cs="Arial"/>
                <w:color w:val="000000"/>
                <w:sz w:val="18"/>
                <w:szCs w:val="18"/>
                <w:lang w:val="it-IT"/>
              </w:rPr>
            </w:pPr>
            <w:r w:rsidRPr="00681505">
              <w:rPr>
                <w:rFonts w:ascii="Arial" w:hAnsi="Arial" w:cs="Arial"/>
                <w:color w:val="000000"/>
                <w:sz w:val="18"/>
                <w:szCs w:val="18"/>
                <w:lang w:val="it-IT"/>
              </w:rPr>
              <w:t>(</w:t>
            </w:r>
            <w:r w:rsidR="00AC52D9" w:rsidRPr="00681505">
              <w:rPr>
                <w:rFonts w:ascii="Arial" w:hAnsi="Arial" w:cs="Arial"/>
                <w:color w:val="000000"/>
                <w:sz w:val="18"/>
                <w:szCs w:val="18"/>
                <w:lang w:val="it-IT"/>
              </w:rPr>
              <w:t>5</w:t>
            </w:r>
            <w:r w:rsidRPr="00681505">
              <w:rPr>
                <w:rFonts w:ascii="Arial" w:hAnsi="Arial" w:cs="Arial"/>
                <w:color w:val="000000"/>
                <w:sz w:val="18"/>
                <w:szCs w:val="18"/>
                <w:lang w:val="it-IT"/>
              </w:rPr>
              <w:t>0) bps</w:t>
            </w:r>
          </w:p>
        </w:tc>
      </w:tr>
      <w:tr w:rsidR="009851BA" w:rsidRPr="00681505" w:rsidTr="00BE3430">
        <w:trPr>
          <w:trHeight w:hRule="exact" w:val="340"/>
          <w:jc w:val="center"/>
        </w:trPr>
        <w:tc>
          <w:tcPr>
            <w:tcW w:w="4007" w:type="dxa"/>
            <w:tcBorders>
              <w:top w:val="nil"/>
              <w:left w:val="nil"/>
              <w:bottom w:val="nil"/>
              <w:right w:val="nil"/>
            </w:tcBorders>
            <w:noWrap/>
            <w:vAlign w:val="center"/>
            <w:hideMark/>
          </w:tcPr>
          <w:p w:rsidR="009851BA" w:rsidRPr="00525867" w:rsidRDefault="009851BA" w:rsidP="009851BA">
            <w:pPr>
              <w:rPr>
                <w:rFonts w:ascii="Arial" w:hAnsi="Arial" w:cs="Arial"/>
                <w:color w:val="000000"/>
                <w:sz w:val="18"/>
                <w:szCs w:val="18"/>
              </w:rPr>
            </w:pPr>
            <w:r w:rsidRPr="00525867">
              <w:rPr>
                <w:rFonts w:ascii="Arial" w:hAnsi="Arial" w:cs="Arial"/>
                <w:color w:val="000000"/>
                <w:sz w:val="18"/>
                <w:szCs w:val="18"/>
              </w:rPr>
              <w:t>EPRA Topped-up Net Initial Yield</w:t>
            </w:r>
          </w:p>
        </w:tc>
        <w:tc>
          <w:tcPr>
            <w:tcW w:w="1384" w:type="dxa"/>
            <w:tcBorders>
              <w:top w:val="nil"/>
              <w:left w:val="nil"/>
              <w:bottom w:val="nil"/>
              <w:right w:val="nil"/>
            </w:tcBorders>
            <w:noWrap/>
            <w:vAlign w:val="center"/>
            <w:hideMark/>
          </w:tcPr>
          <w:p w:rsidR="009851BA" w:rsidRPr="00681505" w:rsidRDefault="00E83D4E" w:rsidP="009851BA">
            <w:pPr>
              <w:jc w:val="right"/>
              <w:rPr>
                <w:rFonts w:ascii="Arial" w:hAnsi="Arial" w:cs="Arial"/>
                <w:color w:val="000000"/>
                <w:sz w:val="18"/>
                <w:szCs w:val="18"/>
                <w:lang w:val="it-IT"/>
              </w:rPr>
            </w:pPr>
            <w:r w:rsidRPr="00681505">
              <w:rPr>
                <w:rFonts w:ascii="Arial" w:hAnsi="Arial" w:cs="Arial"/>
                <w:color w:val="000000"/>
                <w:sz w:val="18"/>
                <w:szCs w:val="18"/>
                <w:lang w:val="it-IT"/>
              </w:rPr>
              <w:t>5,</w:t>
            </w:r>
            <w:r w:rsidR="00B259EC" w:rsidRPr="00681505">
              <w:rPr>
                <w:rFonts w:ascii="Arial" w:hAnsi="Arial" w:cs="Arial"/>
                <w:color w:val="000000"/>
                <w:sz w:val="18"/>
                <w:szCs w:val="18"/>
                <w:lang w:val="it-IT"/>
              </w:rPr>
              <w:t>2</w:t>
            </w:r>
            <w:r w:rsidR="009851BA" w:rsidRPr="00681505">
              <w:rPr>
                <w:rFonts w:ascii="Arial" w:hAnsi="Arial" w:cs="Arial"/>
                <w:color w:val="000000"/>
                <w:sz w:val="18"/>
                <w:szCs w:val="18"/>
                <w:lang w:val="it-IT"/>
              </w:rPr>
              <w:t>%</w:t>
            </w:r>
          </w:p>
        </w:tc>
        <w:tc>
          <w:tcPr>
            <w:tcW w:w="1385" w:type="dxa"/>
            <w:tcBorders>
              <w:top w:val="nil"/>
              <w:left w:val="nil"/>
              <w:bottom w:val="nil"/>
              <w:right w:val="nil"/>
            </w:tcBorders>
            <w:noWrap/>
            <w:vAlign w:val="center"/>
            <w:hideMark/>
          </w:tcPr>
          <w:p w:rsidR="009851BA" w:rsidRPr="00681505" w:rsidRDefault="00E83D4E" w:rsidP="009851BA">
            <w:pPr>
              <w:jc w:val="right"/>
              <w:rPr>
                <w:rFonts w:ascii="Arial" w:hAnsi="Arial" w:cs="Arial"/>
                <w:color w:val="000000"/>
                <w:sz w:val="18"/>
                <w:szCs w:val="18"/>
                <w:lang w:val="it-IT"/>
              </w:rPr>
            </w:pPr>
            <w:r w:rsidRPr="00681505">
              <w:rPr>
                <w:rFonts w:ascii="Arial" w:hAnsi="Arial" w:cs="Arial"/>
                <w:color w:val="000000"/>
                <w:sz w:val="18"/>
                <w:szCs w:val="18"/>
                <w:lang w:val="it-IT"/>
              </w:rPr>
              <w:t>5,</w:t>
            </w:r>
            <w:r w:rsidR="009851BA" w:rsidRPr="00681505">
              <w:rPr>
                <w:rFonts w:ascii="Arial" w:hAnsi="Arial" w:cs="Arial"/>
                <w:color w:val="000000"/>
                <w:sz w:val="18"/>
                <w:szCs w:val="18"/>
                <w:lang w:val="it-IT"/>
              </w:rPr>
              <w:t>5%</w:t>
            </w:r>
          </w:p>
        </w:tc>
        <w:tc>
          <w:tcPr>
            <w:tcW w:w="1384" w:type="dxa"/>
            <w:tcBorders>
              <w:top w:val="nil"/>
              <w:left w:val="nil"/>
              <w:bottom w:val="nil"/>
              <w:right w:val="nil"/>
            </w:tcBorders>
            <w:noWrap/>
            <w:vAlign w:val="center"/>
          </w:tcPr>
          <w:p w:rsidR="009851BA" w:rsidRPr="00681505" w:rsidRDefault="00995968" w:rsidP="009851BA">
            <w:pPr>
              <w:jc w:val="right"/>
              <w:rPr>
                <w:rFonts w:ascii="Arial" w:hAnsi="Arial" w:cs="Arial"/>
                <w:color w:val="000000"/>
                <w:sz w:val="18"/>
                <w:szCs w:val="18"/>
                <w:lang w:val="it-IT"/>
              </w:rPr>
            </w:pPr>
            <w:r>
              <w:rPr>
                <w:rFonts w:ascii="Arial" w:hAnsi="Arial" w:cs="Arial"/>
                <w:color w:val="000000"/>
                <w:sz w:val="18"/>
                <w:szCs w:val="18"/>
                <w:lang w:val="it-IT"/>
              </w:rPr>
              <w:t>n.s</w:t>
            </w:r>
            <w:r w:rsidR="009851BA" w:rsidRPr="00681505">
              <w:rPr>
                <w:rFonts w:ascii="Arial" w:hAnsi="Arial" w:cs="Arial"/>
                <w:color w:val="000000"/>
                <w:sz w:val="18"/>
                <w:szCs w:val="18"/>
                <w:lang w:val="it-IT"/>
              </w:rPr>
              <w:t>.</w:t>
            </w:r>
          </w:p>
        </w:tc>
        <w:tc>
          <w:tcPr>
            <w:tcW w:w="1385" w:type="dxa"/>
            <w:tcBorders>
              <w:top w:val="nil"/>
              <w:left w:val="nil"/>
              <w:bottom w:val="nil"/>
              <w:right w:val="nil"/>
            </w:tcBorders>
            <w:noWrap/>
            <w:vAlign w:val="center"/>
          </w:tcPr>
          <w:p w:rsidR="009851BA" w:rsidRPr="00681505" w:rsidRDefault="00B259EC" w:rsidP="009851BA">
            <w:pPr>
              <w:jc w:val="right"/>
              <w:rPr>
                <w:rFonts w:ascii="Arial" w:hAnsi="Arial" w:cs="Arial"/>
                <w:color w:val="000000"/>
                <w:sz w:val="18"/>
                <w:szCs w:val="18"/>
                <w:lang w:val="it-IT"/>
              </w:rPr>
            </w:pPr>
            <w:r w:rsidRPr="00681505">
              <w:rPr>
                <w:rFonts w:ascii="Arial" w:hAnsi="Arial" w:cs="Arial"/>
                <w:color w:val="000000"/>
                <w:sz w:val="18"/>
                <w:szCs w:val="18"/>
                <w:lang w:val="it-IT"/>
              </w:rPr>
              <w:t>(3</w:t>
            </w:r>
            <w:r w:rsidR="009851BA" w:rsidRPr="00681505">
              <w:rPr>
                <w:rFonts w:ascii="Arial" w:hAnsi="Arial" w:cs="Arial"/>
                <w:color w:val="000000"/>
                <w:sz w:val="18"/>
                <w:szCs w:val="18"/>
                <w:lang w:val="it-IT"/>
              </w:rPr>
              <w:t>0</w:t>
            </w:r>
            <w:r w:rsidRPr="00681505">
              <w:rPr>
                <w:rFonts w:ascii="Arial" w:hAnsi="Arial" w:cs="Arial"/>
                <w:color w:val="000000"/>
                <w:sz w:val="18"/>
                <w:szCs w:val="18"/>
                <w:lang w:val="it-IT"/>
              </w:rPr>
              <w:t>)</w:t>
            </w:r>
            <w:r w:rsidR="009851BA" w:rsidRPr="00681505">
              <w:rPr>
                <w:rFonts w:ascii="Arial" w:hAnsi="Arial" w:cs="Arial"/>
                <w:color w:val="000000"/>
                <w:sz w:val="18"/>
                <w:szCs w:val="18"/>
                <w:lang w:val="it-IT"/>
              </w:rPr>
              <w:t xml:space="preserve"> bps</w:t>
            </w:r>
          </w:p>
        </w:tc>
      </w:tr>
      <w:tr w:rsidR="009851BA" w:rsidRPr="00681505" w:rsidTr="00BE3430">
        <w:trPr>
          <w:trHeight w:hRule="exact" w:val="340"/>
          <w:jc w:val="center"/>
        </w:trPr>
        <w:tc>
          <w:tcPr>
            <w:tcW w:w="4007" w:type="dxa"/>
            <w:tcBorders>
              <w:top w:val="nil"/>
              <w:left w:val="nil"/>
              <w:bottom w:val="nil"/>
              <w:right w:val="nil"/>
            </w:tcBorders>
            <w:noWrap/>
            <w:vAlign w:val="center"/>
          </w:tcPr>
          <w:p w:rsidR="009851BA" w:rsidRPr="00681505" w:rsidRDefault="009851BA" w:rsidP="009851BA">
            <w:pPr>
              <w:rPr>
                <w:rFonts w:ascii="Arial" w:hAnsi="Arial" w:cs="Arial"/>
                <w:color w:val="000000"/>
                <w:sz w:val="18"/>
                <w:szCs w:val="18"/>
                <w:lang w:val="it-IT"/>
              </w:rPr>
            </w:pPr>
            <w:r w:rsidRPr="00681505">
              <w:rPr>
                <w:rFonts w:ascii="Arial" w:hAnsi="Arial" w:cs="Arial"/>
                <w:color w:val="000000"/>
                <w:sz w:val="18"/>
                <w:szCs w:val="18"/>
                <w:lang w:val="it-IT"/>
              </w:rPr>
              <w:t>Expected Net Stabilised Yield</w:t>
            </w:r>
          </w:p>
        </w:tc>
        <w:tc>
          <w:tcPr>
            <w:tcW w:w="1384" w:type="dxa"/>
            <w:tcBorders>
              <w:top w:val="nil"/>
              <w:left w:val="nil"/>
              <w:bottom w:val="nil"/>
              <w:right w:val="nil"/>
            </w:tcBorders>
            <w:noWrap/>
            <w:vAlign w:val="center"/>
          </w:tcPr>
          <w:p w:rsidR="009851BA" w:rsidRPr="00681505" w:rsidRDefault="00E83D4E" w:rsidP="009851BA">
            <w:pPr>
              <w:jc w:val="right"/>
              <w:rPr>
                <w:rFonts w:ascii="Arial" w:hAnsi="Arial" w:cs="Arial"/>
                <w:color w:val="000000"/>
                <w:sz w:val="18"/>
                <w:szCs w:val="18"/>
                <w:lang w:val="it-IT"/>
              </w:rPr>
            </w:pPr>
            <w:r w:rsidRPr="00681505">
              <w:rPr>
                <w:rFonts w:ascii="Arial" w:hAnsi="Arial" w:cs="Arial"/>
                <w:color w:val="000000"/>
                <w:sz w:val="18"/>
                <w:szCs w:val="18"/>
                <w:lang w:val="it-IT"/>
              </w:rPr>
              <w:t>5,</w:t>
            </w:r>
            <w:r w:rsidR="00AC52D9" w:rsidRPr="00681505">
              <w:rPr>
                <w:rFonts w:ascii="Arial" w:hAnsi="Arial" w:cs="Arial"/>
                <w:color w:val="000000"/>
                <w:sz w:val="18"/>
                <w:szCs w:val="18"/>
                <w:lang w:val="it-IT"/>
              </w:rPr>
              <w:t>6</w:t>
            </w:r>
            <w:r w:rsidR="009851BA" w:rsidRPr="00681505">
              <w:rPr>
                <w:rFonts w:ascii="Arial" w:hAnsi="Arial" w:cs="Arial"/>
                <w:color w:val="000000"/>
                <w:sz w:val="18"/>
                <w:szCs w:val="18"/>
                <w:lang w:val="it-IT"/>
              </w:rPr>
              <w:t>%</w:t>
            </w:r>
          </w:p>
        </w:tc>
        <w:tc>
          <w:tcPr>
            <w:tcW w:w="1385" w:type="dxa"/>
            <w:tcBorders>
              <w:top w:val="nil"/>
              <w:left w:val="nil"/>
              <w:bottom w:val="nil"/>
              <w:right w:val="nil"/>
            </w:tcBorders>
            <w:noWrap/>
            <w:vAlign w:val="center"/>
          </w:tcPr>
          <w:p w:rsidR="009851BA" w:rsidRPr="00681505" w:rsidRDefault="00E83D4E" w:rsidP="009851BA">
            <w:pPr>
              <w:jc w:val="right"/>
              <w:rPr>
                <w:rFonts w:ascii="Arial" w:hAnsi="Arial" w:cs="Arial"/>
                <w:color w:val="000000"/>
                <w:sz w:val="18"/>
                <w:szCs w:val="18"/>
                <w:lang w:val="it-IT"/>
              </w:rPr>
            </w:pPr>
            <w:r w:rsidRPr="00681505">
              <w:rPr>
                <w:rFonts w:ascii="Arial" w:hAnsi="Arial" w:cs="Arial"/>
                <w:color w:val="000000"/>
                <w:sz w:val="18"/>
                <w:szCs w:val="18"/>
                <w:lang w:val="it-IT"/>
              </w:rPr>
              <w:t>5,</w:t>
            </w:r>
            <w:r w:rsidR="00AC52D9" w:rsidRPr="00681505">
              <w:rPr>
                <w:rFonts w:ascii="Arial" w:hAnsi="Arial" w:cs="Arial"/>
                <w:color w:val="000000"/>
                <w:sz w:val="18"/>
                <w:szCs w:val="18"/>
                <w:lang w:val="it-IT"/>
              </w:rPr>
              <w:t>7</w:t>
            </w:r>
            <w:r w:rsidR="009851BA" w:rsidRPr="00681505">
              <w:rPr>
                <w:rFonts w:ascii="Arial" w:hAnsi="Arial" w:cs="Arial"/>
                <w:color w:val="000000"/>
                <w:sz w:val="18"/>
                <w:szCs w:val="18"/>
                <w:lang w:val="it-IT"/>
              </w:rPr>
              <w:t>%</w:t>
            </w:r>
          </w:p>
        </w:tc>
        <w:tc>
          <w:tcPr>
            <w:tcW w:w="1384" w:type="dxa"/>
            <w:tcBorders>
              <w:top w:val="nil"/>
              <w:left w:val="nil"/>
              <w:bottom w:val="nil"/>
              <w:right w:val="nil"/>
            </w:tcBorders>
            <w:noWrap/>
            <w:vAlign w:val="center"/>
          </w:tcPr>
          <w:p w:rsidR="009851BA" w:rsidRPr="00681505" w:rsidRDefault="00995968" w:rsidP="009851BA">
            <w:pPr>
              <w:jc w:val="right"/>
              <w:rPr>
                <w:rFonts w:ascii="Arial" w:hAnsi="Arial" w:cs="Arial"/>
                <w:color w:val="000000"/>
                <w:sz w:val="18"/>
                <w:szCs w:val="18"/>
                <w:lang w:val="it-IT"/>
              </w:rPr>
            </w:pPr>
            <w:r>
              <w:rPr>
                <w:rFonts w:ascii="Arial" w:hAnsi="Arial" w:cs="Arial"/>
                <w:color w:val="000000"/>
                <w:sz w:val="18"/>
                <w:szCs w:val="18"/>
                <w:lang w:val="it-IT"/>
              </w:rPr>
              <w:t>n.s</w:t>
            </w:r>
            <w:r w:rsidR="009851BA" w:rsidRPr="00681505">
              <w:rPr>
                <w:rFonts w:ascii="Arial" w:hAnsi="Arial" w:cs="Arial"/>
                <w:color w:val="000000"/>
                <w:sz w:val="18"/>
                <w:szCs w:val="18"/>
                <w:lang w:val="it-IT"/>
              </w:rPr>
              <w:t>.</w:t>
            </w:r>
          </w:p>
        </w:tc>
        <w:tc>
          <w:tcPr>
            <w:tcW w:w="1385" w:type="dxa"/>
            <w:tcBorders>
              <w:top w:val="nil"/>
              <w:left w:val="nil"/>
              <w:bottom w:val="nil"/>
              <w:right w:val="nil"/>
            </w:tcBorders>
            <w:noWrap/>
            <w:vAlign w:val="center"/>
          </w:tcPr>
          <w:p w:rsidR="009851BA" w:rsidRPr="00681505" w:rsidRDefault="00AC52D9" w:rsidP="009851BA">
            <w:pPr>
              <w:jc w:val="right"/>
              <w:rPr>
                <w:rFonts w:ascii="Arial" w:hAnsi="Arial" w:cs="Arial"/>
                <w:color w:val="000000"/>
                <w:sz w:val="18"/>
                <w:szCs w:val="18"/>
                <w:lang w:val="it-IT"/>
              </w:rPr>
            </w:pPr>
            <w:r w:rsidRPr="00681505">
              <w:rPr>
                <w:rFonts w:ascii="Arial" w:hAnsi="Arial" w:cs="Arial"/>
                <w:color w:val="000000"/>
                <w:sz w:val="18"/>
                <w:szCs w:val="18"/>
                <w:lang w:val="it-IT"/>
              </w:rPr>
              <w:t>(1</w:t>
            </w:r>
            <w:r w:rsidR="009851BA" w:rsidRPr="00681505">
              <w:rPr>
                <w:rFonts w:ascii="Arial" w:hAnsi="Arial" w:cs="Arial"/>
                <w:color w:val="000000"/>
                <w:sz w:val="18"/>
                <w:szCs w:val="18"/>
                <w:lang w:val="it-IT"/>
              </w:rPr>
              <w:t>0</w:t>
            </w:r>
            <w:r w:rsidRPr="00681505">
              <w:rPr>
                <w:rFonts w:ascii="Arial" w:hAnsi="Arial" w:cs="Arial"/>
                <w:color w:val="000000"/>
                <w:sz w:val="18"/>
                <w:szCs w:val="18"/>
                <w:lang w:val="it-IT"/>
              </w:rPr>
              <w:t>)</w:t>
            </w:r>
            <w:r w:rsidR="009851BA" w:rsidRPr="00681505">
              <w:rPr>
                <w:rFonts w:ascii="Arial" w:hAnsi="Arial" w:cs="Arial"/>
                <w:color w:val="000000"/>
                <w:sz w:val="18"/>
                <w:szCs w:val="18"/>
                <w:lang w:val="it-IT"/>
              </w:rPr>
              <w:t xml:space="preserve"> bps</w:t>
            </w:r>
          </w:p>
        </w:tc>
      </w:tr>
      <w:tr w:rsidR="00107035" w:rsidRPr="00681505" w:rsidTr="00BE3430">
        <w:trPr>
          <w:trHeight w:hRule="exact" w:val="340"/>
          <w:jc w:val="center"/>
        </w:trPr>
        <w:tc>
          <w:tcPr>
            <w:tcW w:w="4007" w:type="dxa"/>
            <w:tcBorders>
              <w:top w:val="nil"/>
              <w:left w:val="nil"/>
              <w:bottom w:val="nil"/>
              <w:right w:val="nil"/>
            </w:tcBorders>
            <w:noWrap/>
            <w:vAlign w:val="center"/>
          </w:tcPr>
          <w:p w:rsidR="00107035" w:rsidRPr="00681505" w:rsidRDefault="009851BA" w:rsidP="00BE3430">
            <w:pPr>
              <w:rPr>
                <w:rFonts w:ascii="Arial" w:hAnsi="Arial" w:cs="Arial"/>
                <w:color w:val="000000"/>
                <w:sz w:val="18"/>
                <w:szCs w:val="18"/>
                <w:lang w:val="it-IT"/>
              </w:rPr>
            </w:pPr>
            <w:r w:rsidRPr="00681505">
              <w:rPr>
                <w:rFonts w:ascii="Arial" w:hAnsi="Arial" w:cs="Arial"/>
                <w:color w:val="000000"/>
                <w:sz w:val="18"/>
                <w:szCs w:val="18"/>
                <w:lang w:val="it-IT"/>
              </w:rPr>
              <w:t>EPRA V</w:t>
            </w:r>
            <w:r w:rsidR="00107035" w:rsidRPr="00681505">
              <w:rPr>
                <w:rFonts w:ascii="Arial" w:hAnsi="Arial" w:cs="Arial"/>
                <w:color w:val="000000"/>
                <w:sz w:val="18"/>
                <w:szCs w:val="18"/>
                <w:lang w:val="it-IT"/>
              </w:rPr>
              <w:t xml:space="preserve">acancy </w:t>
            </w:r>
            <w:r w:rsidRPr="00681505">
              <w:rPr>
                <w:rFonts w:ascii="Arial" w:hAnsi="Arial" w:cs="Arial"/>
                <w:color w:val="000000"/>
                <w:sz w:val="18"/>
                <w:szCs w:val="18"/>
                <w:lang w:val="it-IT"/>
              </w:rPr>
              <w:t>R</w:t>
            </w:r>
            <w:r w:rsidR="00107035" w:rsidRPr="00681505">
              <w:rPr>
                <w:rFonts w:ascii="Arial" w:hAnsi="Arial" w:cs="Arial"/>
                <w:color w:val="000000"/>
                <w:sz w:val="18"/>
                <w:szCs w:val="18"/>
                <w:lang w:val="it-IT"/>
              </w:rPr>
              <w:t>ate</w:t>
            </w:r>
          </w:p>
        </w:tc>
        <w:tc>
          <w:tcPr>
            <w:tcW w:w="1384" w:type="dxa"/>
            <w:tcBorders>
              <w:top w:val="nil"/>
              <w:left w:val="nil"/>
              <w:bottom w:val="nil"/>
              <w:right w:val="nil"/>
            </w:tcBorders>
            <w:noWrap/>
            <w:vAlign w:val="center"/>
          </w:tcPr>
          <w:p w:rsidR="00107035" w:rsidRPr="00681505" w:rsidRDefault="00E83D4E" w:rsidP="00BE3430">
            <w:pPr>
              <w:jc w:val="right"/>
              <w:rPr>
                <w:rFonts w:ascii="Arial" w:hAnsi="Arial" w:cs="Arial"/>
                <w:color w:val="000000"/>
                <w:sz w:val="18"/>
                <w:szCs w:val="18"/>
                <w:lang w:val="it-IT"/>
              </w:rPr>
            </w:pPr>
            <w:r w:rsidRPr="00681505">
              <w:rPr>
                <w:rFonts w:ascii="Arial" w:hAnsi="Arial" w:cs="Arial"/>
                <w:color w:val="000000"/>
                <w:sz w:val="18"/>
                <w:szCs w:val="18"/>
                <w:lang w:val="it-IT"/>
              </w:rPr>
              <w:t>4,</w:t>
            </w:r>
            <w:r w:rsidR="00AC52D9" w:rsidRPr="00681505">
              <w:rPr>
                <w:rFonts w:ascii="Arial" w:hAnsi="Arial" w:cs="Arial"/>
                <w:color w:val="000000"/>
                <w:sz w:val="18"/>
                <w:szCs w:val="18"/>
                <w:lang w:val="it-IT"/>
              </w:rPr>
              <w:t>1</w:t>
            </w:r>
            <w:r w:rsidR="00107035" w:rsidRPr="00681505">
              <w:rPr>
                <w:rFonts w:ascii="Arial" w:hAnsi="Arial" w:cs="Arial"/>
                <w:color w:val="000000"/>
                <w:sz w:val="18"/>
                <w:szCs w:val="18"/>
                <w:lang w:val="it-IT"/>
              </w:rPr>
              <w:t>%</w:t>
            </w:r>
          </w:p>
        </w:tc>
        <w:tc>
          <w:tcPr>
            <w:tcW w:w="1385" w:type="dxa"/>
            <w:tcBorders>
              <w:top w:val="nil"/>
              <w:left w:val="nil"/>
              <w:bottom w:val="nil"/>
              <w:right w:val="nil"/>
            </w:tcBorders>
            <w:noWrap/>
            <w:vAlign w:val="center"/>
          </w:tcPr>
          <w:p w:rsidR="00107035" w:rsidRPr="00681505" w:rsidRDefault="00E83D4E" w:rsidP="00BE3430">
            <w:pPr>
              <w:jc w:val="right"/>
              <w:rPr>
                <w:rFonts w:ascii="Arial" w:hAnsi="Arial" w:cs="Arial"/>
                <w:color w:val="000000"/>
                <w:sz w:val="18"/>
                <w:szCs w:val="18"/>
                <w:lang w:val="it-IT"/>
              </w:rPr>
            </w:pPr>
            <w:r w:rsidRPr="00681505">
              <w:rPr>
                <w:rFonts w:ascii="Arial" w:hAnsi="Arial" w:cs="Arial"/>
                <w:color w:val="000000"/>
                <w:sz w:val="18"/>
                <w:szCs w:val="18"/>
                <w:lang w:val="it-IT"/>
              </w:rPr>
              <w:t>4,</w:t>
            </w:r>
            <w:r w:rsidR="00AC52D9" w:rsidRPr="00681505">
              <w:rPr>
                <w:rFonts w:ascii="Arial" w:hAnsi="Arial" w:cs="Arial"/>
                <w:color w:val="000000"/>
                <w:sz w:val="18"/>
                <w:szCs w:val="18"/>
                <w:lang w:val="it-IT"/>
              </w:rPr>
              <w:t>8</w:t>
            </w:r>
            <w:r w:rsidR="00107035" w:rsidRPr="00681505">
              <w:rPr>
                <w:rFonts w:ascii="Arial" w:hAnsi="Arial" w:cs="Arial"/>
                <w:color w:val="000000"/>
                <w:sz w:val="18"/>
                <w:szCs w:val="18"/>
                <w:lang w:val="it-IT"/>
              </w:rPr>
              <w:t>%</w:t>
            </w:r>
          </w:p>
        </w:tc>
        <w:tc>
          <w:tcPr>
            <w:tcW w:w="1384" w:type="dxa"/>
            <w:tcBorders>
              <w:top w:val="nil"/>
              <w:left w:val="nil"/>
              <w:bottom w:val="nil"/>
              <w:right w:val="nil"/>
            </w:tcBorders>
            <w:noWrap/>
            <w:vAlign w:val="center"/>
          </w:tcPr>
          <w:p w:rsidR="00107035" w:rsidRPr="00681505" w:rsidRDefault="00995968" w:rsidP="00BE3430">
            <w:pPr>
              <w:jc w:val="right"/>
              <w:rPr>
                <w:rFonts w:ascii="Arial" w:hAnsi="Arial" w:cs="Arial"/>
                <w:color w:val="000000"/>
                <w:sz w:val="18"/>
                <w:szCs w:val="18"/>
                <w:lang w:val="it-IT"/>
              </w:rPr>
            </w:pPr>
            <w:r>
              <w:rPr>
                <w:rFonts w:ascii="Arial" w:hAnsi="Arial" w:cs="Arial"/>
                <w:color w:val="000000"/>
                <w:sz w:val="18"/>
                <w:szCs w:val="18"/>
                <w:lang w:val="it-IT"/>
              </w:rPr>
              <w:t>n.s</w:t>
            </w:r>
            <w:r w:rsidR="00107035" w:rsidRPr="00681505">
              <w:rPr>
                <w:rFonts w:ascii="Arial" w:hAnsi="Arial" w:cs="Arial"/>
                <w:color w:val="000000"/>
                <w:sz w:val="18"/>
                <w:szCs w:val="18"/>
                <w:lang w:val="it-IT"/>
              </w:rPr>
              <w:t>.</w:t>
            </w:r>
          </w:p>
        </w:tc>
        <w:tc>
          <w:tcPr>
            <w:tcW w:w="1385" w:type="dxa"/>
            <w:tcBorders>
              <w:top w:val="nil"/>
              <w:left w:val="nil"/>
              <w:bottom w:val="nil"/>
              <w:right w:val="nil"/>
            </w:tcBorders>
            <w:noWrap/>
            <w:vAlign w:val="center"/>
          </w:tcPr>
          <w:p w:rsidR="00107035" w:rsidRPr="00681505" w:rsidRDefault="00107035" w:rsidP="00BE3430">
            <w:pPr>
              <w:jc w:val="right"/>
              <w:rPr>
                <w:rFonts w:ascii="Arial" w:hAnsi="Arial" w:cs="Arial"/>
                <w:color w:val="000000"/>
                <w:sz w:val="18"/>
                <w:szCs w:val="18"/>
                <w:lang w:val="it-IT"/>
              </w:rPr>
            </w:pPr>
            <w:r w:rsidRPr="00681505">
              <w:rPr>
                <w:rFonts w:ascii="Arial" w:hAnsi="Arial" w:cs="Arial"/>
                <w:color w:val="000000"/>
                <w:sz w:val="18"/>
                <w:szCs w:val="18"/>
                <w:lang w:val="it-IT"/>
              </w:rPr>
              <w:t>(</w:t>
            </w:r>
            <w:r w:rsidR="00AC52D9" w:rsidRPr="00681505">
              <w:rPr>
                <w:rFonts w:ascii="Arial" w:hAnsi="Arial" w:cs="Arial"/>
                <w:color w:val="000000"/>
                <w:sz w:val="18"/>
                <w:szCs w:val="18"/>
                <w:lang w:val="it-IT"/>
              </w:rPr>
              <w:t>7</w:t>
            </w:r>
            <w:r w:rsidRPr="00681505">
              <w:rPr>
                <w:rFonts w:ascii="Arial" w:hAnsi="Arial" w:cs="Arial"/>
                <w:color w:val="000000"/>
                <w:sz w:val="18"/>
                <w:szCs w:val="18"/>
                <w:lang w:val="it-IT"/>
              </w:rPr>
              <w:t>0) bps</w:t>
            </w:r>
          </w:p>
        </w:tc>
      </w:tr>
      <w:tr w:rsidR="00107035" w:rsidRPr="00681505" w:rsidTr="00BE3430">
        <w:trPr>
          <w:trHeight w:hRule="exact" w:val="340"/>
          <w:jc w:val="center"/>
        </w:trPr>
        <w:tc>
          <w:tcPr>
            <w:tcW w:w="4007" w:type="dxa"/>
            <w:tcBorders>
              <w:top w:val="nil"/>
              <w:left w:val="nil"/>
              <w:bottom w:val="nil"/>
              <w:right w:val="nil"/>
            </w:tcBorders>
            <w:noWrap/>
            <w:vAlign w:val="center"/>
          </w:tcPr>
          <w:p w:rsidR="00107035" w:rsidRPr="00681505" w:rsidRDefault="00E83D4E" w:rsidP="00BE3430">
            <w:pPr>
              <w:rPr>
                <w:rFonts w:ascii="Arial" w:hAnsi="Arial" w:cs="Arial"/>
                <w:color w:val="000000"/>
                <w:sz w:val="18"/>
                <w:szCs w:val="18"/>
                <w:lang w:val="it-IT"/>
              </w:rPr>
            </w:pPr>
            <w:r w:rsidRPr="00681505">
              <w:rPr>
                <w:rFonts w:ascii="Arial" w:hAnsi="Arial" w:cs="Arial"/>
                <w:color w:val="000000"/>
                <w:sz w:val="18"/>
                <w:szCs w:val="18"/>
                <w:lang w:val="it-IT"/>
              </w:rPr>
              <w:t>Crescita canoni like for like</w:t>
            </w:r>
          </w:p>
        </w:tc>
        <w:tc>
          <w:tcPr>
            <w:tcW w:w="1384" w:type="dxa"/>
            <w:tcBorders>
              <w:top w:val="nil"/>
              <w:left w:val="nil"/>
              <w:bottom w:val="nil"/>
              <w:right w:val="nil"/>
            </w:tcBorders>
            <w:noWrap/>
            <w:vAlign w:val="center"/>
          </w:tcPr>
          <w:p w:rsidR="00107035" w:rsidRPr="00681505" w:rsidRDefault="00E83D4E" w:rsidP="00BE3430">
            <w:pPr>
              <w:jc w:val="right"/>
              <w:rPr>
                <w:rFonts w:ascii="Arial" w:hAnsi="Arial" w:cs="Arial"/>
                <w:color w:val="000000"/>
                <w:sz w:val="18"/>
                <w:szCs w:val="18"/>
                <w:lang w:val="it-IT"/>
              </w:rPr>
            </w:pPr>
            <w:r w:rsidRPr="00681505">
              <w:rPr>
                <w:rFonts w:ascii="Arial" w:hAnsi="Arial" w:cs="Arial"/>
                <w:color w:val="000000"/>
                <w:sz w:val="18"/>
                <w:szCs w:val="18"/>
                <w:lang w:val="it-IT"/>
              </w:rPr>
              <w:t>2,</w:t>
            </w:r>
            <w:r w:rsidR="00107035" w:rsidRPr="00681505">
              <w:rPr>
                <w:rFonts w:ascii="Arial" w:hAnsi="Arial" w:cs="Arial"/>
                <w:color w:val="000000"/>
                <w:sz w:val="18"/>
                <w:szCs w:val="18"/>
                <w:lang w:val="it-IT"/>
              </w:rPr>
              <w:t>5%</w:t>
            </w:r>
          </w:p>
        </w:tc>
        <w:tc>
          <w:tcPr>
            <w:tcW w:w="1385" w:type="dxa"/>
            <w:tcBorders>
              <w:top w:val="nil"/>
              <w:left w:val="nil"/>
              <w:bottom w:val="nil"/>
              <w:right w:val="nil"/>
            </w:tcBorders>
            <w:noWrap/>
            <w:vAlign w:val="center"/>
          </w:tcPr>
          <w:p w:rsidR="00107035" w:rsidRPr="00681505" w:rsidRDefault="00E83D4E" w:rsidP="00BE3430">
            <w:pPr>
              <w:jc w:val="right"/>
              <w:rPr>
                <w:rFonts w:ascii="Arial" w:hAnsi="Arial" w:cs="Arial"/>
                <w:color w:val="000000"/>
                <w:sz w:val="18"/>
                <w:szCs w:val="18"/>
                <w:lang w:val="it-IT"/>
              </w:rPr>
            </w:pPr>
            <w:r w:rsidRPr="00681505">
              <w:rPr>
                <w:rFonts w:ascii="Arial" w:hAnsi="Arial" w:cs="Arial"/>
                <w:color w:val="000000"/>
                <w:sz w:val="18"/>
                <w:szCs w:val="18"/>
                <w:lang w:val="it-IT"/>
              </w:rPr>
              <w:t>1,</w:t>
            </w:r>
            <w:r w:rsidR="00B259EC" w:rsidRPr="00681505">
              <w:rPr>
                <w:rFonts w:ascii="Arial" w:hAnsi="Arial" w:cs="Arial"/>
                <w:color w:val="000000"/>
                <w:sz w:val="18"/>
                <w:szCs w:val="18"/>
                <w:lang w:val="it-IT"/>
              </w:rPr>
              <w:t>4</w:t>
            </w:r>
            <w:r w:rsidR="00107035" w:rsidRPr="00681505">
              <w:rPr>
                <w:rFonts w:ascii="Arial" w:hAnsi="Arial" w:cs="Arial"/>
                <w:color w:val="000000"/>
                <w:sz w:val="18"/>
                <w:szCs w:val="18"/>
                <w:lang w:val="it-IT"/>
              </w:rPr>
              <w:t>%</w:t>
            </w:r>
          </w:p>
        </w:tc>
        <w:tc>
          <w:tcPr>
            <w:tcW w:w="1384" w:type="dxa"/>
            <w:tcBorders>
              <w:top w:val="nil"/>
              <w:left w:val="nil"/>
              <w:bottom w:val="nil"/>
              <w:right w:val="nil"/>
            </w:tcBorders>
            <w:noWrap/>
            <w:vAlign w:val="center"/>
          </w:tcPr>
          <w:p w:rsidR="00107035" w:rsidRPr="00681505" w:rsidRDefault="00995968" w:rsidP="00BE3430">
            <w:pPr>
              <w:jc w:val="right"/>
              <w:rPr>
                <w:rFonts w:ascii="Arial" w:hAnsi="Arial" w:cs="Arial"/>
                <w:color w:val="000000"/>
                <w:sz w:val="18"/>
                <w:szCs w:val="18"/>
                <w:lang w:val="it-IT"/>
              </w:rPr>
            </w:pPr>
            <w:r>
              <w:rPr>
                <w:rFonts w:ascii="Arial" w:hAnsi="Arial" w:cs="Arial"/>
                <w:color w:val="000000"/>
                <w:sz w:val="18"/>
                <w:szCs w:val="18"/>
                <w:lang w:val="it-IT"/>
              </w:rPr>
              <w:t>n.s</w:t>
            </w:r>
            <w:r w:rsidR="00107035" w:rsidRPr="00681505">
              <w:rPr>
                <w:rFonts w:ascii="Arial" w:hAnsi="Arial" w:cs="Arial"/>
                <w:color w:val="000000"/>
                <w:sz w:val="18"/>
                <w:szCs w:val="18"/>
                <w:lang w:val="it-IT"/>
              </w:rPr>
              <w:t>.</w:t>
            </w:r>
          </w:p>
        </w:tc>
        <w:tc>
          <w:tcPr>
            <w:tcW w:w="1385" w:type="dxa"/>
            <w:tcBorders>
              <w:top w:val="nil"/>
              <w:left w:val="nil"/>
              <w:bottom w:val="nil"/>
              <w:right w:val="nil"/>
            </w:tcBorders>
            <w:noWrap/>
            <w:vAlign w:val="center"/>
          </w:tcPr>
          <w:p w:rsidR="00107035" w:rsidRPr="00681505" w:rsidRDefault="00B259EC" w:rsidP="00BE3430">
            <w:pPr>
              <w:jc w:val="right"/>
              <w:rPr>
                <w:rFonts w:ascii="Arial" w:hAnsi="Arial" w:cs="Arial"/>
                <w:color w:val="000000"/>
                <w:sz w:val="18"/>
                <w:szCs w:val="18"/>
                <w:lang w:val="it-IT"/>
              </w:rPr>
            </w:pPr>
            <w:r w:rsidRPr="00681505">
              <w:rPr>
                <w:rFonts w:ascii="Arial" w:hAnsi="Arial" w:cs="Arial"/>
                <w:color w:val="000000"/>
                <w:sz w:val="18"/>
                <w:szCs w:val="18"/>
                <w:lang w:val="it-IT"/>
              </w:rPr>
              <w:t>11</w:t>
            </w:r>
            <w:r w:rsidR="00107035" w:rsidRPr="00681505">
              <w:rPr>
                <w:rFonts w:ascii="Arial" w:hAnsi="Arial" w:cs="Arial"/>
                <w:color w:val="000000"/>
                <w:sz w:val="18"/>
                <w:szCs w:val="18"/>
                <w:lang w:val="it-IT"/>
              </w:rPr>
              <w:t>0 bps</w:t>
            </w:r>
          </w:p>
        </w:tc>
      </w:tr>
      <w:tr w:rsidR="00107035" w:rsidRPr="00681505" w:rsidTr="00BE3430">
        <w:trPr>
          <w:trHeight w:hRule="exact" w:val="340"/>
          <w:jc w:val="center"/>
        </w:trPr>
        <w:tc>
          <w:tcPr>
            <w:tcW w:w="4007" w:type="dxa"/>
            <w:tcBorders>
              <w:top w:val="nil"/>
              <w:left w:val="nil"/>
              <w:bottom w:val="nil"/>
              <w:right w:val="nil"/>
            </w:tcBorders>
            <w:noWrap/>
            <w:vAlign w:val="center"/>
          </w:tcPr>
          <w:p w:rsidR="00107035" w:rsidRPr="00681505" w:rsidRDefault="00E83D4E" w:rsidP="00BE3430">
            <w:pPr>
              <w:rPr>
                <w:rFonts w:ascii="Arial" w:hAnsi="Arial" w:cs="Arial"/>
                <w:color w:val="000000"/>
                <w:sz w:val="18"/>
                <w:szCs w:val="18"/>
                <w:lang w:val="it-IT"/>
              </w:rPr>
            </w:pPr>
            <w:r w:rsidRPr="00681505">
              <w:rPr>
                <w:rFonts w:ascii="Arial" w:hAnsi="Arial" w:cs="Arial"/>
                <w:color w:val="000000"/>
                <w:sz w:val="18"/>
                <w:szCs w:val="18"/>
                <w:lang w:val="it-IT"/>
              </w:rPr>
              <w:t>Crescita canoni like for like</w:t>
            </w:r>
            <w:r w:rsidR="00107035" w:rsidRPr="00681505">
              <w:rPr>
                <w:rFonts w:ascii="Arial" w:hAnsi="Arial" w:cs="Arial"/>
                <w:color w:val="000000"/>
                <w:sz w:val="18"/>
                <w:szCs w:val="18"/>
                <w:lang w:val="it-IT"/>
              </w:rPr>
              <w:t xml:space="preserve"> (ex-</w:t>
            </w:r>
            <w:r w:rsidRPr="00681505">
              <w:rPr>
                <w:rFonts w:ascii="Arial" w:hAnsi="Arial" w:cs="Arial"/>
                <w:color w:val="000000"/>
                <w:sz w:val="18"/>
                <w:szCs w:val="18"/>
                <w:lang w:val="it-IT"/>
              </w:rPr>
              <w:t>filiali bancarie</w:t>
            </w:r>
            <w:r w:rsidR="00107035" w:rsidRPr="00681505">
              <w:rPr>
                <w:rFonts w:ascii="Arial" w:hAnsi="Arial" w:cs="Arial"/>
                <w:color w:val="000000"/>
                <w:sz w:val="18"/>
                <w:szCs w:val="18"/>
                <w:lang w:val="it-IT"/>
              </w:rPr>
              <w:t>)</w:t>
            </w:r>
          </w:p>
        </w:tc>
        <w:tc>
          <w:tcPr>
            <w:tcW w:w="1384" w:type="dxa"/>
            <w:tcBorders>
              <w:top w:val="nil"/>
              <w:left w:val="nil"/>
              <w:bottom w:val="nil"/>
              <w:right w:val="nil"/>
            </w:tcBorders>
            <w:noWrap/>
            <w:vAlign w:val="center"/>
          </w:tcPr>
          <w:p w:rsidR="00107035" w:rsidRPr="00681505" w:rsidRDefault="00E83D4E" w:rsidP="00BE3430">
            <w:pPr>
              <w:jc w:val="right"/>
              <w:rPr>
                <w:rFonts w:ascii="Arial" w:hAnsi="Arial" w:cs="Arial"/>
                <w:color w:val="000000"/>
                <w:sz w:val="18"/>
                <w:szCs w:val="18"/>
                <w:lang w:val="it-IT"/>
              </w:rPr>
            </w:pPr>
            <w:r w:rsidRPr="00681505">
              <w:rPr>
                <w:rFonts w:ascii="Arial" w:hAnsi="Arial" w:cs="Arial"/>
                <w:color w:val="000000"/>
                <w:sz w:val="18"/>
                <w:szCs w:val="18"/>
                <w:lang w:val="it-IT"/>
              </w:rPr>
              <w:t>2,</w:t>
            </w:r>
            <w:r w:rsidR="009851BA" w:rsidRPr="00681505">
              <w:rPr>
                <w:rFonts w:ascii="Arial" w:hAnsi="Arial" w:cs="Arial"/>
                <w:color w:val="000000"/>
                <w:sz w:val="18"/>
                <w:szCs w:val="18"/>
                <w:lang w:val="it-IT"/>
              </w:rPr>
              <w:t>6</w:t>
            </w:r>
            <w:r w:rsidR="00107035" w:rsidRPr="00681505">
              <w:rPr>
                <w:rFonts w:ascii="Arial" w:hAnsi="Arial" w:cs="Arial"/>
                <w:color w:val="000000"/>
                <w:sz w:val="18"/>
                <w:szCs w:val="18"/>
                <w:lang w:val="it-IT"/>
              </w:rPr>
              <w:t>%</w:t>
            </w:r>
          </w:p>
        </w:tc>
        <w:tc>
          <w:tcPr>
            <w:tcW w:w="1385" w:type="dxa"/>
            <w:tcBorders>
              <w:top w:val="nil"/>
              <w:left w:val="nil"/>
              <w:bottom w:val="nil"/>
              <w:right w:val="nil"/>
            </w:tcBorders>
            <w:noWrap/>
            <w:vAlign w:val="center"/>
          </w:tcPr>
          <w:p w:rsidR="00107035" w:rsidRPr="00681505" w:rsidRDefault="00E83D4E" w:rsidP="00BE3430">
            <w:pPr>
              <w:jc w:val="right"/>
              <w:rPr>
                <w:rFonts w:ascii="Arial" w:hAnsi="Arial" w:cs="Arial"/>
                <w:color w:val="000000"/>
                <w:sz w:val="18"/>
                <w:szCs w:val="18"/>
                <w:lang w:val="it-IT"/>
              </w:rPr>
            </w:pPr>
            <w:r w:rsidRPr="00681505">
              <w:rPr>
                <w:rFonts w:ascii="Arial" w:hAnsi="Arial" w:cs="Arial"/>
                <w:color w:val="000000"/>
                <w:sz w:val="18"/>
                <w:szCs w:val="18"/>
                <w:lang w:val="it-IT"/>
              </w:rPr>
              <w:t>3,</w:t>
            </w:r>
            <w:r w:rsidR="00B259EC" w:rsidRPr="00681505">
              <w:rPr>
                <w:rFonts w:ascii="Arial" w:hAnsi="Arial" w:cs="Arial"/>
                <w:color w:val="000000"/>
                <w:sz w:val="18"/>
                <w:szCs w:val="18"/>
                <w:lang w:val="it-IT"/>
              </w:rPr>
              <w:t>6</w:t>
            </w:r>
            <w:r w:rsidR="00107035" w:rsidRPr="00681505">
              <w:rPr>
                <w:rFonts w:ascii="Arial" w:hAnsi="Arial" w:cs="Arial"/>
                <w:color w:val="000000"/>
                <w:sz w:val="18"/>
                <w:szCs w:val="18"/>
                <w:lang w:val="it-IT"/>
              </w:rPr>
              <w:t>%</w:t>
            </w:r>
          </w:p>
        </w:tc>
        <w:tc>
          <w:tcPr>
            <w:tcW w:w="1384" w:type="dxa"/>
            <w:tcBorders>
              <w:top w:val="nil"/>
              <w:left w:val="nil"/>
              <w:bottom w:val="nil"/>
              <w:right w:val="nil"/>
            </w:tcBorders>
            <w:noWrap/>
            <w:vAlign w:val="center"/>
          </w:tcPr>
          <w:p w:rsidR="00107035" w:rsidRPr="00681505" w:rsidRDefault="00995968" w:rsidP="00BE3430">
            <w:pPr>
              <w:jc w:val="right"/>
              <w:rPr>
                <w:rFonts w:ascii="Arial" w:hAnsi="Arial" w:cs="Arial"/>
                <w:color w:val="000000"/>
                <w:sz w:val="18"/>
                <w:szCs w:val="18"/>
                <w:lang w:val="it-IT"/>
              </w:rPr>
            </w:pPr>
            <w:r>
              <w:rPr>
                <w:rFonts w:ascii="Arial" w:hAnsi="Arial" w:cs="Arial"/>
                <w:color w:val="000000"/>
                <w:sz w:val="18"/>
                <w:szCs w:val="18"/>
                <w:lang w:val="it-IT"/>
              </w:rPr>
              <w:t>n.s</w:t>
            </w:r>
            <w:r w:rsidR="00107035" w:rsidRPr="00681505">
              <w:rPr>
                <w:rFonts w:ascii="Arial" w:hAnsi="Arial" w:cs="Arial"/>
                <w:color w:val="000000"/>
                <w:sz w:val="18"/>
                <w:szCs w:val="18"/>
                <w:lang w:val="it-IT"/>
              </w:rPr>
              <w:t>.</w:t>
            </w:r>
          </w:p>
        </w:tc>
        <w:tc>
          <w:tcPr>
            <w:tcW w:w="1385" w:type="dxa"/>
            <w:tcBorders>
              <w:top w:val="nil"/>
              <w:left w:val="nil"/>
              <w:bottom w:val="nil"/>
              <w:right w:val="nil"/>
            </w:tcBorders>
            <w:noWrap/>
            <w:vAlign w:val="center"/>
          </w:tcPr>
          <w:p w:rsidR="00107035" w:rsidRPr="00681505" w:rsidRDefault="00107035" w:rsidP="00BE3430">
            <w:pPr>
              <w:jc w:val="right"/>
              <w:rPr>
                <w:rFonts w:ascii="Arial" w:hAnsi="Arial" w:cs="Arial"/>
                <w:color w:val="000000"/>
                <w:sz w:val="18"/>
                <w:szCs w:val="18"/>
                <w:lang w:val="it-IT"/>
              </w:rPr>
            </w:pPr>
            <w:r w:rsidRPr="00681505">
              <w:rPr>
                <w:rFonts w:ascii="Arial" w:hAnsi="Arial" w:cs="Arial"/>
                <w:color w:val="000000"/>
                <w:sz w:val="18"/>
                <w:szCs w:val="18"/>
                <w:lang w:val="it-IT"/>
              </w:rPr>
              <w:t>(</w:t>
            </w:r>
            <w:r w:rsidR="00B259EC" w:rsidRPr="00681505">
              <w:rPr>
                <w:rFonts w:ascii="Arial" w:hAnsi="Arial" w:cs="Arial"/>
                <w:color w:val="000000"/>
                <w:sz w:val="18"/>
                <w:szCs w:val="18"/>
                <w:lang w:val="it-IT"/>
              </w:rPr>
              <w:t>10</w:t>
            </w:r>
            <w:r w:rsidRPr="00681505">
              <w:rPr>
                <w:rFonts w:ascii="Arial" w:hAnsi="Arial" w:cs="Arial"/>
                <w:color w:val="000000"/>
                <w:sz w:val="18"/>
                <w:szCs w:val="18"/>
                <w:lang w:val="it-IT"/>
              </w:rPr>
              <w:t>0) bps</w:t>
            </w:r>
          </w:p>
        </w:tc>
      </w:tr>
      <w:tr w:rsidR="00107035" w:rsidRPr="00681505" w:rsidTr="00BE3430">
        <w:trPr>
          <w:trHeight w:hRule="exact" w:val="340"/>
          <w:jc w:val="center"/>
        </w:trPr>
        <w:tc>
          <w:tcPr>
            <w:tcW w:w="4007" w:type="dxa"/>
            <w:tcBorders>
              <w:top w:val="nil"/>
              <w:left w:val="nil"/>
              <w:bottom w:val="single" w:sz="4" w:space="0" w:color="auto"/>
              <w:right w:val="nil"/>
            </w:tcBorders>
            <w:noWrap/>
            <w:vAlign w:val="center"/>
          </w:tcPr>
          <w:p w:rsidR="00107035" w:rsidRPr="00681505" w:rsidRDefault="00107035" w:rsidP="00BE3430">
            <w:pPr>
              <w:rPr>
                <w:rFonts w:ascii="Arial" w:hAnsi="Arial" w:cs="Arial"/>
                <w:color w:val="000000"/>
                <w:sz w:val="18"/>
                <w:szCs w:val="18"/>
                <w:lang w:val="it-IT"/>
              </w:rPr>
            </w:pPr>
            <w:r w:rsidRPr="00681505">
              <w:rPr>
                <w:rFonts w:ascii="Arial" w:hAnsi="Arial" w:cs="Arial"/>
                <w:color w:val="000000"/>
                <w:sz w:val="18"/>
                <w:szCs w:val="18"/>
                <w:lang w:val="it-IT"/>
              </w:rPr>
              <w:t>WALT (</w:t>
            </w:r>
            <w:r w:rsidR="00525867">
              <w:rPr>
                <w:rFonts w:ascii="Arial" w:hAnsi="Arial" w:cs="Arial"/>
                <w:color w:val="000000"/>
                <w:sz w:val="18"/>
                <w:szCs w:val="18"/>
                <w:lang w:val="it-IT"/>
              </w:rPr>
              <w:t>an</w:t>
            </w:r>
            <w:r w:rsidR="00E83D4E" w:rsidRPr="00681505">
              <w:rPr>
                <w:rFonts w:ascii="Arial" w:hAnsi="Arial" w:cs="Arial"/>
                <w:color w:val="000000"/>
                <w:sz w:val="18"/>
                <w:szCs w:val="18"/>
                <w:lang w:val="it-IT"/>
              </w:rPr>
              <w:t>ni</w:t>
            </w:r>
            <w:r w:rsidRPr="00681505">
              <w:rPr>
                <w:rFonts w:ascii="Arial" w:hAnsi="Arial" w:cs="Arial"/>
                <w:color w:val="000000"/>
                <w:sz w:val="18"/>
                <w:szCs w:val="18"/>
                <w:lang w:val="it-IT"/>
              </w:rPr>
              <w:t>)</w:t>
            </w:r>
          </w:p>
        </w:tc>
        <w:tc>
          <w:tcPr>
            <w:tcW w:w="1384" w:type="dxa"/>
            <w:tcBorders>
              <w:top w:val="nil"/>
              <w:left w:val="nil"/>
              <w:bottom w:val="single" w:sz="4" w:space="0" w:color="auto"/>
              <w:right w:val="nil"/>
            </w:tcBorders>
            <w:noWrap/>
            <w:vAlign w:val="center"/>
          </w:tcPr>
          <w:p w:rsidR="00107035" w:rsidRPr="00681505" w:rsidRDefault="00E83D4E" w:rsidP="00BE3430">
            <w:pPr>
              <w:jc w:val="right"/>
              <w:rPr>
                <w:rFonts w:ascii="Arial" w:hAnsi="Arial" w:cs="Arial"/>
                <w:color w:val="000000"/>
                <w:sz w:val="18"/>
                <w:szCs w:val="18"/>
                <w:lang w:val="it-IT"/>
              </w:rPr>
            </w:pPr>
            <w:r w:rsidRPr="00681505">
              <w:rPr>
                <w:rFonts w:ascii="Arial" w:hAnsi="Arial" w:cs="Arial"/>
                <w:color w:val="000000"/>
                <w:sz w:val="18"/>
                <w:szCs w:val="18"/>
                <w:lang w:val="it-IT"/>
              </w:rPr>
              <w:t>6,</w:t>
            </w:r>
            <w:r w:rsidR="00B259EC" w:rsidRPr="00681505">
              <w:rPr>
                <w:rFonts w:ascii="Arial" w:hAnsi="Arial" w:cs="Arial"/>
                <w:color w:val="000000"/>
                <w:sz w:val="18"/>
                <w:szCs w:val="18"/>
                <w:lang w:val="it-IT"/>
              </w:rPr>
              <w:t>5</w:t>
            </w:r>
            <w:r w:rsidR="00107035" w:rsidRPr="00681505">
              <w:rPr>
                <w:rFonts w:ascii="Arial" w:hAnsi="Arial" w:cs="Arial"/>
                <w:color w:val="000000"/>
                <w:sz w:val="18"/>
                <w:szCs w:val="18"/>
                <w:lang w:val="it-IT"/>
              </w:rPr>
              <w:t xml:space="preserve"> </w:t>
            </w:r>
          </w:p>
        </w:tc>
        <w:tc>
          <w:tcPr>
            <w:tcW w:w="1385" w:type="dxa"/>
            <w:tcBorders>
              <w:top w:val="nil"/>
              <w:left w:val="nil"/>
              <w:bottom w:val="single" w:sz="4" w:space="0" w:color="auto"/>
              <w:right w:val="nil"/>
            </w:tcBorders>
            <w:noWrap/>
            <w:vAlign w:val="center"/>
          </w:tcPr>
          <w:p w:rsidR="00107035" w:rsidRPr="00681505" w:rsidRDefault="00E83D4E" w:rsidP="00BE3430">
            <w:pPr>
              <w:jc w:val="right"/>
              <w:rPr>
                <w:rFonts w:ascii="Arial" w:hAnsi="Arial" w:cs="Arial"/>
                <w:color w:val="000000"/>
                <w:sz w:val="18"/>
                <w:szCs w:val="18"/>
                <w:lang w:val="it-IT"/>
              </w:rPr>
            </w:pPr>
            <w:r w:rsidRPr="00681505">
              <w:rPr>
                <w:rFonts w:ascii="Arial" w:hAnsi="Arial" w:cs="Arial"/>
                <w:color w:val="000000"/>
                <w:sz w:val="18"/>
                <w:szCs w:val="18"/>
                <w:lang w:val="it-IT"/>
              </w:rPr>
              <w:t>7,</w:t>
            </w:r>
            <w:r w:rsidR="00B259EC" w:rsidRPr="00681505">
              <w:rPr>
                <w:rFonts w:ascii="Arial" w:hAnsi="Arial" w:cs="Arial"/>
                <w:color w:val="000000"/>
                <w:sz w:val="18"/>
                <w:szCs w:val="18"/>
                <w:lang w:val="it-IT"/>
              </w:rPr>
              <w:t>2</w:t>
            </w:r>
            <w:r w:rsidR="00107035" w:rsidRPr="00681505">
              <w:rPr>
                <w:rFonts w:ascii="Arial" w:hAnsi="Arial" w:cs="Arial"/>
                <w:color w:val="000000"/>
                <w:sz w:val="18"/>
                <w:szCs w:val="18"/>
                <w:lang w:val="it-IT"/>
              </w:rPr>
              <w:t xml:space="preserve"> </w:t>
            </w:r>
          </w:p>
        </w:tc>
        <w:tc>
          <w:tcPr>
            <w:tcW w:w="1384" w:type="dxa"/>
            <w:tcBorders>
              <w:top w:val="nil"/>
              <w:left w:val="nil"/>
              <w:bottom w:val="single" w:sz="4" w:space="0" w:color="auto"/>
              <w:right w:val="nil"/>
            </w:tcBorders>
            <w:noWrap/>
            <w:vAlign w:val="center"/>
          </w:tcPr>
          <w:p w:rsidR="00107035" w:rsidRPr="00681505" w:rsidRDefault="00995968" w:rsidP="00BE3430">
            <w:pPr>
              <w:jc w:val="right"/>
              <w:rPr>
                <w:rFonts w:ascii="Arial" w:hAnsi="Arial" w:cs="Arial"/>
                <w:color w:val="000000"/>
                <w:sz w:val="18"/>
                <w:szCs w:val="18"/>
                <w:lang w:val="it-IT"/>
              </w:rPr>
            </w:pPr>
            <w:r>
              <w:rPr>
                <w:rFonts w:ascii="Arial" w:hAnsi="Arial" w:cs="Arial"/>
                <w:color w:val="000000"/>
                <w:sz w:val="18"/>
                <w:szCs w:val="18"/>
                <w:lang w:val="it-IT"/>
              </w:rPr>
              <w:t>n.s</w:t>
            </w:r>
            <w:r w:rsidR="00107035" w:rsidRPr="00681505">
              <w:rPr>
                <w:rFonts w:ascii="Arial" w:hAnsi="Arial" w:cs="Arial"/>
                <w:color w:val="000000"/>
                <w:sz w:val="18"/>
                <w:szCs w:val="18"/>
                <w:lang w:val="it-IT"/>
              </w:rPr>
              <w:t>.</w:t>
            </w:r>
          </w:p>
        </w:tc>
        <w:tc>
          <w:tcPr>
            <w:tcW w:w="1385" w:type="dxa"/>
            <w:tcBorders>
              <w:top w:val="nil"/>
              <w:left w:val="nil"/>
              <w:bottom w:val="single" w:sz="4" w:space="0" w:color="auto"/>
              <w:right w:val="nil"/>
            </w:tcBorders>
            <w:noWrap/>
            <w:vAlign w:val="center"/>
          </w:tcPr>
          <w:p w:rsidR="00107035" w:rsidRPr="00681505" w:rsidRDefault="00D61C90" w:rsidP="00BE3430">
            <w:pPr>
              <w:jc w:val="right"/>
              <w:rPr>
                <w:rFonts w:ascii="Arial" w:hAnsi="Arial" w:cs="Arial"/>
                <w:color w:val="000000"/>
                <w:sz w:val="18"/>
                <w:szCs w:val="18"/>
                <w:lang w:val="it-IT"/>
              </w:rPr>
            </w:pPr>
            <w:r>
              <w:rPr>
                <w:rFonts w:ascii="Arial" w:hAnsi="Arial" w:cs="Arial"/>
                <w:color w:val="000000"/>
                <w:sz w:val="18"/>
                <w:szCs w:val="18"/>
                <w:lang w:val="it-IT"/>
              </w:rPr>
              <w:t>(0,</w:t>
            </w:r>
            <w:r w:rsidR="00B259EC" w:rsidRPr="00681505">
              <w:rPr>
                <w:rFonts w:ascii="Arial" w:hAnsi="Arial" w:cs="Arial"/>
                <w:color w:val="000000"/>
                <w:sz w:val="18"/>
                <w:szCs w:val="18"/>
                <w:lang w:val="it-IT"/>
              </w:rPr>
              <w:t>7)</w:t>
            </w:r>
          </w:p>
        </w:tc>
      </w:tr>
    </w:tbl>
    <w:p w:rsidR="00107035" w:rsidRPr="00681505" w:rsidRDefault="00107035">
      <w:pPr>
        <w:rPr>
          <w:rFonts w:ascii="Arial" w:hAnsi="Arial" w:cs="Arial"/>
          <w:lang w:val="it-IT"/>
        </w:rPr>
      </w:pPr>
    </w:p>
    <w:p w:rsidR="00A551C8" w:rsidRPr="00681505" w:rsidRDefault="00A551C8">
      <w:pPr>
        <w:rPr>
          <w:rFonts w:ascii="Arial" w:hAnsi="Arial" w:cs="Arial"/>
          <w:lang w:val="it-IT"/>
        </w:rPr>
      </w:pPr>
      <w:r w:rsidRPr="00681505">
        <w:rPr>
          <w:rFonts w:ascii="Arial" w:hAnsi="Arial" w:cs="Arial"/>
          <w:lang w:val="it-IT"/>
        </w:rPr>
        <w:br w:type="page"/>
      </w:r>
    </w:p>
    <w:p w:rsidR="00E86868" w:rsidRPr="00681505" w:rsidRDefault="00E83D4E" w:rsidP="00E86868">
      <w:pPr>
        <w:jc w:val="both"/>
        <w:rPr>
          <w:rFonts w:ascii="Arial" w:hAnsi="Arial" w:cs="Arial"/>
          <w:b/>
          <w:lang w:val="it-IT"/>
        </w:rPr>
      </w:pPr>
      <w:r w:rsidRPr="00681505">
        <w:rPr>
          <w:rFonts w:ascii="Arial" w:hAnsi="Arial" w:cs="Arial"/>
          <w:b/>
          <w:lang w:val="it-IT"/>
        </w:rPr>
        <w:lastRenderedPageBreak/>
        <w:t>Risultati fina</w:t>
      </w:r>
      <w:r w:rsidR="008C7FAA">
        <w:rPr>
          <w:rFonts w:ascii="Arial" w:hAnsi="Arial" w:cs="Arial"/>
          <w:b/>
          <w:lang w:val="it-IT"/>
        </w:rPr>
        <w:t>n</w:t>
      </w:r>
      <w:r w:rsidRPr="00681505">
        <w:rPr>
          <w:rFonts w:ascii="Arial" w:hAnsi="Arial" w:cs="Arial"/>
          <w:b/>
          <w:lang w:val="it-IT"/>
        </w:rPr>
        <w:t xml:space="preserve">ziari solidi nel </w:t>
      </w:r>
      <w:r w:rsidR="00887AFB" w:rsidRPr="00681505">
        <w:rPr>
          <w:rFonts w:ascii="Arial" w:hAnsi="Arial" w:cs="Arial"/>
          <w:b/>
          <w:lang w:val="it-IT"/>
        </w:rPr>
        <w:t>2018</w:t>
      </w:r>
    </w:p>
    <w:p w:rsidR="00E83D4E" w:rsidRPr="00681505" w:rsidRDefault="00E83D4E" w:rsidP="00E83D4E">
      <w:pPr>
        <w:jc w:val="both"/>
        <w:rPr>
          <w:rFonts w:ascii="Arial" w:hAnsi="Arial" w:cs="Arial"/>
          <w:lang w:val="it-IT"/>
        </w:rPr>
      </w:pPr>
      <w:r w:rsidRPr="00681505">
        <w:rPr>
          <w:rFonts w:ascii="Arial" w:hAnsi="Arial" w:cs="Arial"/>
          <w:lang w:val="it-IT"/>
        </w:rPr>
        <w:t>I canoni lordi sono cresciuti del 5,9% a</w:t>
      </w:r>
      <w:r w:rsidR="0002067B">
        <w:rPr>
          <w:rFonts w:ascii="Arial" w:hAnsi="Arial" w:cs="Arial"/>
          <w:lang w:val="it-IT"/>
        </w:rPr>
        <w:t>d</w:t>
      </w:r>
      <w:r w:rsidRPr="00681505">
        <w:rPr>
          <w:rFonts w:ascii="Arial" w:hAnsi="Arial" w:cs="Arial"/>
          <w:lang w:val="it-IT"/>
        </w:rPr>
        <w:t xml:space="preserve"> Euro 36,3 milioni nel 2018 (da Euro 34,2 </w:t>
      </w:r>
      <w:r w:rsidR="0002067B">
        <w:rPr>
          <w:rFonts w:ascii="Arial" w:hAnsi="Arial" w:cs="Arial"/>
          <w:lang w:val="it-IT"/>
        </w:rPr>
        <w:t xml:space="preserve">milioni </w:t>
      </w:r>
      <w:r w:rsidRPr="00681505">
        <w:rPr>
          <w:rFonts w:ascii="Arial" w:hAnsi="Arial" w:cs="Arial"/>
          <w:lang w:val="it-IT"/>
        </w:rPr>
        <w:t>nel 2017) principalmente per il contributo di Monte Rosa (acquisito nel Q4 2017) e di Tocqueville (acquisito nel Q3 2018), parzialmente compensati dalla cessione del portafoglio delle filiali Deutsche Bank situato nel Sud Italia completata nel gennaio 2018.</w:t>
      </w:r>
    </w:p>
    <w:p w:rsidR="00E83D4E" w:rsidRPr="00681505" w:rsidRDefault="00E83D4E" w:rsidP="00E83D4E">
      <w:pPr>
        <w:jc w:val="both"/>
        <w:rPr>
          <w:rFonts w:ascii="Arial" w:hAnsi="Arial" w:cs="Arial"/>
          <w:lang w:val="it-IT"/>
        </w:rPr>
      </w:pPr>
      <w:r w:rsidRPr="00681505">
        <w:rPr>
          <w:rFonts w:ascii="Arial" w:hAnsi="Arial" w:cs="Arial"/>
          <w:lang w:val="it-IT"/>
        </w:rPr>
        <w:t>Il margine NOI è rimasto stabile a</w:t>
      </w:r>
      <w:r w:rsidR="0002067B">
        <w:rPr>
          <w:rFonts w:ascii="Arial" w:hAnsi="Arial" w:cs="Arial"/>
          <w:lang w:val="it-IT"/>
        </w:rPr>
        <w:t>ll’</w:t>
      </w:r>
      <w:r w:rsidRPr="00681505">
        <w:rPr>
          <w:rFonts w:ascii="Arial" w:hAnsi="Arial" w:cs="Arial"/>
          <w:lang w:val="it-IT"/>
        </w:rPr>
        <w:t>89,1% nel 2018 dato che gli effetti del diverso perimetro del portafoglio sono stati compensati dal contributo positivo di varie attività di gestione immobiliare effettuate sui costi operativi del portafoglio Deutsche Bank e del Vodafone Village.</w:t>
      </w:r>
    </w:p>
    <w:p w:rsidR="001A562D" w:rsidRDefault="0002067B" w:rsidP="0002067B">
      <w:pPr>
        <w:jc w:val="both"/>
        <w:rPr>
          <w:rFonts w:ascii="Arial" w:hAnsi="Arial" w:cs="Arial"/>
          <w:lang w:val="it-IT"/>
        </w:rPr>
      </w:pPr>
      <w:r w:rsidRPr="0002067B">
        <w:rPr>
          <w:rFonts w:ascii="Arial" w:hAnsi="Arial" w:cs="Arial"/>
          <w:lang w:val="it-IT"/>
        </w:rPr>
        <w:t>Il Recurring FFO per azione è cresciuto del 5,0% ad Euro 0,49 nel 2018 in funzione di maggiori canoni lordi e dell'impatto positivo del trattamento contabile relativo al rifinanziamento firmato nel luglio 2018, parzialmente compensati da maggiori costi di struttura.</w:t>
      </w:r>
      <w:r>
        <w:rPr>
          <w:rFonts w:ascii="Arial" w:hAnsi="Arial" w:cs="Arial"/>
          <w:lang w:val="it-IT"/>
        </w:rPr>
        <w:t xml:space="preserve"> </w:t>
      </w:r>
    </w:p>
    <w:p w:rsidR="001A562D" w:rsidRDefault="004F6367" w:rsidP="0002067B">
      <w:pPr>
        <w:jc w:val="both"/>
        <w:rPr>
          <w:rFonts w:ascii="Arial" w:hAnsi="Arial" w:cs="Arial"/>
          <w:lang w:val="it-IT"/>
        </w:rPr>
      </w:pPr>
      <w:r>
        <w:rPr>
          <w:rFonts w:ascii="Arial" w:hAnsi="Arial" w:cs="Arial"/>
          <w:lang w:val="it-IT"/>
        </w:rPr>
        <w:t>L’</w:t>
      </w:r>
      <w:r w:rsidR="0002067B" w:rsidRPr="0002067B">
        <w:rPr>
          <w:rFonts w:ascii="Arial" w:hAnsi="Arial" w:cs="Arial"/>
          <w:lang w:val="it-IT"/>
        </w:rPr>
        <w:t>EPRA Earnings per azione è diminuito marginalmente del 1,3% a</w:t>
      </w:r>
      <w:r w:rsidR="0002067B">
        <w:rPr>
          <w:rFonts w:ascii="Arial" w:hAnsi="Arial" w:cs="Arial"/>
          <w:lang w:val="it-IT"/>
        </w:rPr>
        <w:t>d</w:t>
      </w:r>
      <w:r w:rsidR="0002067B" w:rsidRPr="0002067B">
        <w:rPr>
          <w:rFonts w:ascii="Arial" w:hAnsi="Arial" w:cs="Arial"/>
          <w:lang w:val="it-IT"/>
        </w:rPr>
        <w:t xml:space="preserve"> Euro 0,42, principalmente per effetto della promote fee relativa all’anno 2018, una posta “one off” relativa alla svalutazione di credit</w:t>
      </w:r>
      <w:r w:rsidR="008C7FAA">
        <w:rPr>
          <w:rFonts w:ascii="Arial" w:hAnsi="Arial" w:cs="Arial"/>
          <w:lang w:val="it-IT"/>
        </w:rPr>
        <w:t>i</w:t>
      </w:r>
      <w:r w:rsidR="0002067B" w:rsidRPr="0002067B">
        <w:rPr>
          <w:rFonts w:ascii="Arial" w:hAnsi="Arial" w:cs="Arial"/>
          <w:lang w:val="it-IT"/>
        </w:rPr>
        <w:t xml:space="preserve"> nei confronti di conduttor</w:t>
      </w:r>
      <w:r w:rsidR="008C7FAA">
        <w:rPr>
          <w:rFonts w:ascii="Arial" w:hAnsi="Arial" w:cs="Arial"/>
          <w:lang w:val="it-IT"/>
        </w:rPr>
        <w:t>i</w:t>
      </w:r>
      <w:r w:rsidR="0002067B" w:rsidRPr="0002067B">
        <w:rPr>
          <w:rFonts w:ascii="Arial" w:hAnsi="Arial" w:cs="Arial"/>
          <w:lang w:val="it-IT"/>
        </w:rPr>
        <w:t xml:space="preserve"> ed altri costi non ricorrenti.</w:t>
      </w:r>
      <w:r w:rsidR="0002067B">
        <w:rPr>
          <w:rFonts w:ascii="Arial" w:hAnsi="Arial" w:cs="Arial"/>
          <w:lang w:val="it-IT"/>
        </w:rPr>
        <w:t xml:space="preserve"> </w:t>
      </w:r>
      <w:r w:rsidR="0002067B" w:rsidRPr="0002067B">
        <w:rPr>
          <w:rFonts w:ascii="Arial" w:hAnsi="Arial" w:cs="Arial"/>
          <w:lang w:val="it-IT"/>
        </w:rPr>
        <w:t>Se escludiamo l’impatto della promote fee gli EPRA Earnings per azione sarebbero ammontati a</w:t>
      </w:r>
      <w:r w:rsidR="0002067B">
        <w:rPr>
          <w:rFonts w:ascii="Arial" w:hAnsi="Arial" w:cs="Arial"/>
          <w:lang w:val="it-IT"/>
        </w:rPr>
        <w:t>d</w:t>
      </w:r>
      <w:r w:rsidR="0002067B" w:rsidRPr="0002067B">
        <w:rPr>
          <w:rFonts w:ascii="Arial" w:hAnsi="Arial" w:cs="Arial"/>
          <w:lang w:val="it-IT"/>
        </w:rPr>
        <w:t xml:space="preserve"> Euro 0,45 (in crescita del 5,4% rispetto al 2017).</w:t>
      </w:r>
    </w:p>
    <w:p w:rsidR="006242CA" w:rsidRPr="00681505" w:rsidRDefault="0002067B" w:rsidP="0002067B">
      <w:pPr>
        <w:jc w:val="both"/>
        <w:rPr>
          <w:rFonts w:ascii="Arial" w:hAnsi="Arial" w:cs="Arial"/>
          <w:lang w:val="it-IT"/>
        </w:rPr>
      </w:pPr>
      <w:r w:rsidRPr="0002067B">
        <w:rPr>
          <w:rFonts w:ascii="Arial" w:hAnsi="Arial" w:cs="Arial"/>
          <w:lang w:val="it-IT"/>
        </w:rPr>
        <w:t>Il costo del finanziamento è rimasto pari al 2,0% nel 2018 (in linea col 2017), con 70% del nostro debito coperto rispetto alle fluttuazioni nei tassi di interesse al 31 dicembre 2018.</w:t>
      </w:r>
    </w:p>
    <w:p w:rsidR="00E86868" w:rsidRPr="00681505" w:rsidRDefault="006242CA" w:rsidP="006242CA">
      <w:pPr>
        <w:jc w:val="both"/>
        <w:rPr>
          <w:rFonts w:ascii="Arial" w:hAnsi="Arial" w:cs="Arial"/>
          <w:lang w:val="it-IT"/>
        </w:rPr>
      </w:pPr>
      <w:r w:rsidRPr="00681505">
        <w:rPr>
          <w:rFonts w:ascii="Arial" w:hAnsi="Arial" w:cs="Arial"/>
          <w:lang w:val="it-IT"/>
        </w:rPr>
        <w:t>L’EPRA NAV al 31 dicembre 2018 era pari a</w:t>
      </w:r>
      <w:r w:rsidR="0002067B">
        <w:rPr>
          <w:rFonts w:ascii="Arial" w:hAnsi="Arial" w:cs="Arial"/>
          <w:lang w:val="it-IT"/>
        </w:rPr>
        <w:t>d</w:t>
      </w:r>
      <w:r w:rsidRPr="00681505">
        <w:rPr>
          <w:rFonts w:ascii="Arial" w:hAnsi="Arial" w:cs="Arial"/>
          <w:lang w:val="it-IT"/>
        </w:rPr>
        <w:t xml:space="preserve"> Euro 421,6 milioni (pari a</w:t>
      </w:r>
      <w:r w:rsidR="0002067B">
        <w:rPr>
          <w:rFonts w:ascii="Arial" w:hAnsi="Arial" w:cs="Arial"/>
          <w:lang w:val="it-IT"/>
        </w:rPr>
        <w:t>d</w:t>
      </w:r>
      <w:r w:rsidRPr="00681505">
        <w:rPr>
          <w:rFonts w:ascii="Arial" w:hAnsi="Arial" w:cs="Arial"/>
          <w:lang w:val="it-IT"/>
        </w:rPr>
        <w:t xml:space="preserve"> Euro 11,71 per azione), con un incremento nel 2018 pari al 9,6%. L'aumento è principalmente legato agli EPRA Earnings pari a</w:t>
      </w:r>
      <w:r w:rsidR="0052046F">
        <w:rPr>
          <w:rFonts w:ascii="Arial" w:hAnsi="Arial" w:cs="Arial"/>
          <w:lang w:val="it-IT"/>
        </w:rPr>
        <w:t>d</w:t>
      </w:r>
      <w:r w:rsidRPr="00681505">
        <w:rPr>
          <w:rFonts w:ascii="Arial" w:hAnsi="Arial" w:cs="Arial"/>
          <w:lang w:val="it-IT"/>
        </w:rPr>
        <w:t xml:space="preserve"> Euro 15,1 milioni, le rivalutazioni degli immobili e capital gain per Euro 35,7 milioni, parzialmente compensati da</w:t>
      </w:r>
      <w:r w:rsidR="00525867">
        <w:rPr>
          <w:rFonts w:ascii="Arial" w:hAnsi="Arial" w:cs="Arial"/>
          <w:lang w:val="it-IT"/>
        </w:rPr>
        <w:t>i</w:t>
      </w:r>
      <w:r w:rsidRPr="00681505">
        <w:rPr>
          <w:rFonts w:ascii="Arial" w:hAnsi="Arial" w:cs="Arial"/>
          <w:lang w:val="it-IT"/>
        </w:rPr>
        <w:t xml:space="preserve"> dividend</w:t>
      </w:r>
      <w:r w:rsidR="00525867">
        <w:rPr>
          <w:rFonts w:ascii="Arial" w:hAnsi="Arial" w:cs="Arial"/>
          <w:lang w:val="it-IT"/>
        </w:rPr>
        <w:t>i</w:t>
      </w:r>
      <w:r w:rsidRPr="00681505">
        <w:rPr>
          <w:rFonts w:ascii="Arial" w:hAnsi="Arial" w:cs="Arial"/>
          <w:lang w:val="it-IT"/>
        </w:rPr>
        <w:t xml:space="preserve"> pagat</w:t>
      </w:r>
      <w:r w:rsidR="00525867">
        <w:rPr>
          <w:rFonts w:ascii="Arial" w:hAnsi="Arial" w:cs="Arial"/>
          <w:lang w:val="it-IT"/>
        </w:rPr>
        <w:t xml:space="preserve">i nel </w:t>
      </w:r>
      <w:r w:rsidRPr="00681505">
        <w:rPr>
          <w:rFonts w:ascii="Arial" w:hAnsi="Arial" w:cs="Arial"/>
          <w:lang w:val="it-IT"/>
        </w:rPr>
        <w:t>2018 pari a</w:t>
      </w:r>
      <w:r w:rsidR="0002067B">
        <w:rPr>
          <w:rFonts w:ascii="Arial" w:hAnsi="Arial" w:cs="Arial"/>
          <w:lang w:val="it-IT"/>
        </w:rPr>
        <w:t>d</w:t>
      </w:r>
      <w:r w:rsidRPr="00681505">
        <w:rPr>
          <w:rFonts w:ascii="Arial" w:hAnsi="Arial" w:cs="Arial"/>
          <w:lang w:val="it-IT"/>
        </w:rPr>
        <w:t xml:space="preserve"> Euro 10,1 milioni e da altre poste per Euro 3,7 milioni (principalmente re</w:t>
      </w:r>
      <w:r w:rsidR="00525867">
        <w:rPr>
          <w:rFonts w:ascii="Arial" w:hAnsi="Arial" w:cs="Arial"/>
          <w:lang w:val="it-IT"/>
        </w:rPr>
        <w:t>lative al patrimonio di terzi e</w:t>
      </w:r>
      <w:r w:rsidRPr="00681505">
        <w:rPr>
          <w:rFonts w:ascii="Arial" w:hAnsi="Arial" w:cs="Arial"/>
          <w:lang w:val="it-IT"/>
        </w:rPr>
        <w:t xml:space="preserve"> allo strumento finanziario detenuto dai key manager</w:t>
      </w:r>
      <w:r w:rsidR="00525867">
        <w:rPr>
          <w:rFonts w:ascii="Arial" w:hAnsi="Arial" w:cs="Arial"/>
          <w:lang w:val="it-IT"/>
        </w:rPr>
        <w:t xml:space="preserve"> di COIMA RES</w:t>
      </w:r>
      <w:r w:rsidRPr="00681505">
        <w:rPr>
          <w:rFonts w:ascii="Arial" w:hAnsi="Arial" w:cs="Arial"/>
          <w:lang w:val="it-IT"/>
        </w:rPr>
        <w:t>).</w:t>
      </w:r>
    </w:p>
    <w:p w:rsidR="00E86868" w:rsidRPr="00525867" w:rsidRDefault="00525867" w:rsidP="00E86868">
      <w:pPr>
        <w:jc w:val="both"/>
        <w:rPr>
          <w:rFonts w:ascii="Arial" w:hAnsi="Arial" w:cs="Arial"/>
          <w:lang w:val="it-IT"/>
        </w:rPr>
      </w:pPr>
      <w:r>
        <w:rPr>
          <w:rFonts w:ascii="Arial" w:hAnsi="Arial" w:cs="Arial"/>
          <w:lang w:val="it-IT"/>
        </w:rPr>
        <w:t>In base all'Asset Management Agreement tra COIMA RES e COIMA SGR e alla luce dei positivi risultati finanziari e industriali conseguiti da COIMA RES nel 2018, COIMA RES corrisponderà una pro</w:t>
      </w:r>
      <w:r w:rsidR="0002067B">
        <w:rPr>
          <w:rFonts w:ascii="Arial" w:hAnsi="Arial" w:cs="Arial"/>
          <w:lang w:val="it-IT"/>
        </w:rPr>
        <w:t>mote fee complessiva di Euro 2,55</w:t>
      </w:r>
      <w:r>
        <w:rPr>
          <w:rFonts w:ascii="Arial" w:hAnsi="Arial" w:cs="Arial"/>
          <w:lang w:val="it-IT"/>
        </w:rPr>
        <w:t xml:space="preserve"> milioni</w:t>
      </w:r>
      <w:r w:rsidR="004F6367">
        <w:rPr>
          <w:rFonts w:ascii="Arial" w:hAnsi="Arial" w:cs="Arial"/>
          <w:lang w:val="it-IT"/>
        </w:rPr>
        <w:t xml:space="preserve"> a COIMA SGR ed ai suoi key managers</w:t>
      </w:r>
      <w:r>
        <w:rPr>
          <w:rFonts w:ascii="Arial" w:hAnsi="Arial" w:cs="Arial"/>
          <w:lang w:val="it-IT"/>
        </w:rPr>
        <w:t>. I meccanismi ed i tempi del pagamento saranno comunicati a tempo debito da COIMA RES.</w:t>
      </w:r>
    </w:p>
    <w:p w:rsidR="00E86868" w:rsidRPr="00525867" w:rsidRDefault="00E86868" w:rsidP="00E86868">
      <w:pPr>
        <w:jc w:val="both"/>
        <w:rPr>
          <w:rFonts w:ascii="Arial" w:hAnsi="Arial" w:cs="Arial"/>
          <w:lang w:val="it-IT"/>
        </w:rPr>
      </w:pPr>
    </w:p>
    <w:p w:rsidR="00E86868" w:rsidRPr="00681505" w:rsidRDefault="00E86868" w:rsidP="00E86868">
      <w:pPr>
        <w:jc w:val="both"/>
        <w:rPr>
          <w:rFonts w:ascii="Arial" w:hAnsi="Arial" w:cs="Arial"/>
          <w:b/>
          <w:lang w:val="it-IT"/>
        </w:rPr>
      </w:pPr>
      <w:r w:rsidRPr="00681505">
        <w:rPr>
          <w:rFonts w:ascii="Arial" w:hAnsi="Arial" w:cs="Arial"/>
          <w:b/>
          <w:lang w:val="it-IT"/>
        </w:rPr>
        <w:t xml:space="preserve">LTV </w:t>
      </w:r>
      <w:r w:rsidR="006242CA" w:rsidRPr="00681505">
        <w:rPr>
          <w:rFonts w:ascii="Arial" w:hAnsi="Arial" w:cs="Arial"/>
          <w:b/>
          <w:lang w:val="it-IT"/>
        </w:rPr>
        <w:t>pari al</w:t>
      </w:r>
      <w:r w:rsidRPr="00681505">
        <w:rPr>
          <w:rFonts w:ascii="Arial" w:hAnsi="Arial" w:cs="Arial"/>
          <w:b/>
          <w:lang w:val="it-IT"/>
        </w:rPr>
        <w:t xml:space="preserve"> </w:t>
      </w:r>
      <w:r w:rsidR="00502AD8" w:rsidRPr="00681505">
        <w:rPr>
          <w:rFonts w:ascii="Arial" w:hAnsi="Arial" w:cs="Arial"/>
          <w:b/>
          <w:lang w:val="it-IT"/>
        </w:rPr>
        <w:t>34</w:t>
      </w:r>
      <w:r w:rsidR="006242CA" w:rsidRPr="00681505">
        <w:rPr>
          <w:rFonts w:ascii="Arial" w:hAnsi="Arial" w:cs="Arial"/>
          <w:b/>
          <w:lang w:val="it-IT"/>
        </w:rPr>
        <w:t>,</w:t>
      </w:r>
      <w:r w:rsidR="00502AD8" w:rsidRPr="00681505">
        <w:rPr>
          <w:rFonts w:ascii="Arial" w:hAnsi="Arial" w:cs="Arial"/>
          <w:b/>
          <w:lang w:val="it-IT"/>
        </w:rPr>
        <w:t>5</w:t>
      </w:r>
      <w:r w:rsidRPr="00681505">
        <w:rPr>
          <w:rFonts w:ascii="Arial" w:hAnsi="Arial" w:cs="Arial"/>
          <w:b/>
          <w:lang w:val="it-IT"/>
        </w:rPr>
        <w:t xml:space="preserve">% </w:t>
      </w:r>
      <w:r w:rsidR="006242CA" w:rsidRPr="00681505">
        <w:rPr>
          <w:rFonts w:ascii="Arial" w:hAnsi="Arial" w:cs="Arial"/>
          <w:b/>
          <w:lang w:val="it-IT"/>
        </w:rPr>
        <w:t>al</w:t>
      </w:r>
      <w:r w:rsidR="00BE3430" w:rsidRPr="00681505">
        <w:rPr>
          <w:rFonts w:ascii="Arial" w:hAnsi="Arial" w:cs="Arial"/>
          <w:b/>
          <w:lang w:val="it-IT"/>
        </w:rPr>
        <w:t xml:space="preserve"> </w:t>
      </w:r>
      <w:r w:rsidR="006242CA" w:rsidRPr="00681505">
        <w:rPr>
          <w:rFonts w:ascii="Arial" w:hAnsi="Arial" w:cs="Arial"/>
          <w:b/>
          <w:lang w:val="it-IT"/>
        </w:rPr>
        <w:t xml:space="preserve">31 dicembre 2018, mantenuto un costo </w:t>
      </w:r>
      <w:r w:rsidR="00525867">
        <w:rPr>
          <w:rFonts w:ascii="Arial" w:hAnsi="Arial" w:cs="Arial"/>
          <w:b/>
          <w:lang w:val="it-IT"/>
        </w:rPr>
        <w:t xml:space="preserve">del debito </w:t>
      </w:r>
      <w:r w:rsidR="006242CA" w:rsidRPr="00681505">
        <w:rPr>
          <w:rFonts w:ascii="Arial" w:hAnsi="Arial" w:cs="Arial"/>
          <w:b/>
          <w:lang w:val="it-IT"/>
        </w:rPr>
        <w:t>vantaggioso</w:t>
      </w:r>
    </w:p>
    <w:p w:rsidR="00552798" w:rsidRPr="00681505" w:rsidRDefault="006242CA" w:rsidP="006242CA">
      <w:pPr>
        <w:jc w:val="both"/>
        <w:rPr>
          <w:rFonts w:ascii="Arial" w:hAnsi="Arial" w:cs="Arial"/>
          <w:lang w:val="it-IT"/>
        </w:rPr>
      </w:pPr>
      <w:r w:rsidRPr="00681505">
        <w:rPr>
          <w:rFonts w:ascii="Arial" w:hAnsi="Arial" w:cs="Arial"/>
          <w:lang w:val="it-IT"/>
        </w:rPr>
        <w:t xml:space="preserve">In un anno volatile per i mercati dei capitali e per l'Italia, e al fine di </w:t>
      </w:r>
      <w:r w:rsidR="00525867">
        <w:rPr>
          <w:rFonts w:ascii="Arial" w:hAnsi="Arial" w:cs="Arial"/>
          <w:lang w:val="it-IT"/>
        </w:rPr>
        <w:t xml:space="preserve">proteggere </w:t>
      </w:r>
      <w:r w:rsidRPr="00681505">
        <w:rPr>
          <w:rFonts w:ascii="Arial" w:hAnsi="Arial" w:cs="Arial"/>
          <w:lang w:val="it-IT"/>
        </w:rPr>
        <w:t xml:space="preserve">COIMA RES dagli andamenti macroeconomici </w:t>
      </w:r>
      <w:r w:rsidR="00525867">
        <w:rPr>
          <w:rFonts w:ascii="Arial" w:hAnsi="Arial" w:cs="Arial"/>
          <w:lang w:val="it-IT"/>
        </w:rPr>
        <w:t xml:space="preserve">al momento </w:t>
      </w:r>
      <w:r w:rsidR="00D92120" w:rsidRPr="00681505">
        <w:rPr>
          <w:rFonts w:ascii="Arial" w:hAnsi="Arial" w:cs="Arial"/>
          <w:lang w:val="it-IT"/>
        </w:rPr>
        <w:t>sfavorevoli</w:t>
      </w:r>
      <w:r w:rsidR="00525867">
        <w:rPr>
          <w:rFonts w:ascii="Arial" w:hAnsi="Arial" w:cs="Arial"/>
          <w:lang w:val="it-IT"/>
        </w:rPr>
        <w:t xml:space="preserve"> per l’Italia</w:t>
      </w:r>
      <w:r w:rsidRPr="00681505">
        <w:rPr>
          <w:rFonts w:ascii="Arial" w:hAnsi="Arial" w:cs="Arial"/>
          <w:lang w:val="it-IT"/>
        </w:rPr>
        <w:t xml:space="preserve">, </w:t>
      </w:r>
      <w:r w:rsidR="00D92120" w:rsidRPr="00681505">
        <w:rPr>
          <w:rFonts w:ascii="Arial" w:hAnsi="Arial" w:cs="Arial"/>
          <w:lang w:val="it-IT"/>
        </w:rPr>
        <w:t xml:space="preserve">il management ha </w:t>
      </w:r>
      <w:r w:rsidRPr="00681505">
        <w:rPr>
          <w:rFonts w:ascii="Arial" w:hAnsi="Arial" w:cs="Arial"/>
          <w:lang w:val="it-IT"/>
        </w:rPr>
        <w:t xml:space="preserve">optato per una posizione più prudente sulla leva finanziaria, </w:t>
      </w:r>
      <w:r w:rsidR="00D92120" w:rsidRPr="00681505">
        <w:rPr>
          <w:rFonts w:ascii="Arial" w:hAnsi="Arial" w:cs="Arial"/>
          <w:lang w:val="it-IT"/>
        </w:rPr>
        <w:t xml:space="preserve">con l’obiettivo di mantenere un LTV al di sotto </w:t>
      </w:r>
      <w:r w:rsidRPr="00681505">
        <w:rPr>
          <w:rFonts w:ascii="Arial" w:hAnsi="Arial" w:cs="Arial"/>
          <w:lang w:val="it-IT"/>
        </w:rPr>
        <w:t xml:space="preserve">della soglia del 40%. A titolo di promemoria, la nostra struttura di finanziamento è sostanzialmente fissata per i prossimi anni, senza scadenze prima del 2022. Nel 2018, abbiamo mantenuto una leva prudente, </w:t>
      </w:r>
      <w:r w:rsidR="0002067B">
        <w:rPr>
          <w:rFonts w:ascii="Arial" w:hAnsi="Arial" w:cs="Arial"/>
          <w:lang w:val="it-IT"/>
        </w:rPr>
        <w:t>esteso</w:t>
      </w:r>
      <w:r w:rsidRPr="00681505">
        <w:rPr>
          <w:rFonts w:ascii="Arial" w:hAnsi="Arial" w:cs="Arial"/>
          <w:lang w:val="it-IT"/>
        </w:rPr>
        <w:t xml:space="preserve"> la scadenza media del debito e mantenuto condizioni di finanziamento </w:t>
      </w:r>
      <w:r w:rsidR="00D92120" w:rsidRPr="00681505">
        <w:rPr>
          <w:rFonts w:ascii="Arial" w:hAnsi="Arial" w:cs="Arial"/>
          <w:lang w:val="it-IT"/>
        </w:rPr>
        <w:t>vantaggiose</w:t>
      </w:r>
      <w:r w:rsidRPr="00681505">
        <w:rPr>
          <w:rFonts w:ascii="Arial" w:hAnsi="Arial" w:cs="Arial"/>
          <w:lang w:val="it-IT"/>
        </w:rPr>
        <w:t>.</w:t>
      </w:r>
    </w:p>
    <w:p w:rsidR="00D92120" w:rsidRPr="00681505" w:rsidRDefault="00D92120" w:rsidP="00D92120">
      <w:pPr>
        <w:jc w:val="both"/>
        <w:rPr>
          <w:rFonts w:ascii="Arial" w:hAnsi="Arial" w:cs="Arial"/>
          <w:lang w:val="it-IT"/>
        </w:rPr>
      </w:pPr>
      <w:r w:rsidRPr="00681505">
        <w:rPr>
          <w:rFonts w:ascii="Arial" w:hAnsi="Arial" w:cs="Arial"/>
          <w:lang w:val="it-IT"/>
        </w:rPr>
        <w:t>Al 31 dicembre 2018, l’LTV di COIMA RES è pari al 34,5%</w:t>
      </w:r>
      <w:r w:rsidR="00525867">
        <w:rPr>
          <w:rFonts w:ascii="Arial" w:hAnsi="Arial" w:cs="Arial"/>
          <w:lang w:val="it-IT"/>
        </w:rPr>
        <w:t xml:space="preserve"> (</w:t>
      </w:r>
      <w:r w:rsidR="0002067B">
        <w:rPr>
          <w:rFonts w:ascii="Arial" w:hAnsi="Arial" w:cs="Arial"/>
          <w:lang w:val="it-IT"/>
        </w:rPr>
        <w:t>consolidando</w:t>
      </w:r>
      <w:r w:rsidR="00525867">
        <w:rPr>
          <w:rFonts w:ascii="Arial" w:hAnsi="Arial" w:cs="Arial"/>
          <w:lang w:val="it-IT"/>
        </w:rPr>
        <w:t xml:space="preserve"> Bonnet su base pro rata)</w:t>
      </w:r>
      <w:r w:rsidRPr="00681505">
        <w:rPr>
          <w:rFonts w:ascii="Arial" w:hAnsi="Arial" w:cs="Arial"/>
          <w:lang w:val="it-IT"/>
        </w:rPr>
        <w:t xml:space="preserve">, la scadenza media ponderata del debito è pari a 4,4 anni, il costo medio ponderato </w:t>
      </w:r>
      <w:r w:rsidR="006C5975">
        <w:rPr>
          <w:rFonts w:ascii="Arial" w:hAnsi="Arial" w:cs="Arial"/>
          <w:lang w:val="it-IT"/>
        </w:rPr>
        <w:t>del debito "all-in" è pari a</w:t>
      </w:r>
      <w:r w:rsidRPr="00681505">
        <w:rPr>
          <w:rFonts w:ascii="Arial" w:hAnsi="Arial" w:cs="Arial"/>
          <w:lang w:val="it-IT"/>
        </w:rPr>
        <w:t>l 2,0% ed il debito è coperto al 70% rispetto alle fluttuazioni dei tassi di interesse.</w:t>
      </w:r>
      <w:r w:rsidR="001A562D">
        <w:rPr>
          <w:rFonts w:ascii="Arial" w:hAnsi="Arial" w:cs="Arial"/>
          <w:lang w:val="it-IT"/>
        </w:rPr>
        <w:t xml:space="preserve"> Il livello di leva attuale ci consente flessibilità nel valutare ulteriori acquisizioni.</w:t>
      </w:r>
    </w:p>
    <w:p w:rsidR="00E86868" w:rsidRPr="00681505" w:rsidRDefault="00E86868" w:rsidP="00E86868">
      <w:pPr>
        <w:jc w:val="both"/>
        <w:rPr>
          <w:rFonts w:ascii="Arial" w:hAnsi="Arial" w:cs="Arial"/>
          <w:lang w:val="it-IT"/>
        </w:rPr>
      </w:pPr>
    </w:p>
    <w:p w:rsidR="00E86868" w:rsidRPr="00681505" w:rsidRDefault="00D92120" w:rsidP="00E86868">
      <w:pPr>
        <w:jc w:val="both"/>
        <w:rPr>
          <w:rFonts w:ascii="Arial" w:hAnsi="Arial" w:cs="Arial"/>
          <w:b/>
          <w:lang w:val="it-IT"/>
        </w:rPr>
      </w:pPr>
      <w:r w:rsidRPr="00681505">
        <w:rPr>
          <w:rFonts w:ascii="Arial" w:hAnsi="Arial" w:cs="Arial"/>
          <w:b/>
          <w:lang w:val="it-IT"/>
        </w:rPr>
        <w:lastRenderedPageBreak/>
        <w:t>Dividendo per l’anno 2018 pari a</w:t>
      </w:r>
      <w:r w:rsidR="0052046F">
        <w:rPr>
          <w:rFonts w:ascii="Arial" w:hAnsi="Arial" w:cs="Arial"/>
          <w:b/>
          <w:lang w:val="it-IT"/>
        </w:rPr>
        <w:t>d</w:t>
      </w:r>
      <w:r w:rsidRPr="00681505">
        <w:rPr>
          <w:rFonts w:ascii="Arial" w:hAnsi="Arial" w:cs="Arial"/>
          <w:b/>
          <w:lang w:val="it-IT"/>
        </w:rPr>
        <w:t xml:space="preserve"> </w:t>
      </w:r>
      <w:r w:rsidR="000A711B" w:rsidRPr="00681505">
        <w:rPr>
          <w:rFonts w:ascii="Arial" w:hAnsi="Arial" w:cs="Arial"/>
          <w:b/>
          <w:lang w:val="it-IT"/>
        </w:rPr>
        <w:t xml:space="preserve">Euro </w:t>
      </w:r>
      <w:r w:rsidR="00502AD8" w:rsidRPr="00681505">
        <w:rPr>
          <w:rFonts w:ascii="Arial" w:hAnsi="Arial" w:cs="Arial"/>
          <w:b/>
          <w:lang w:val="it-IT"/>
        </w:rPr>
        <w:t>0</w:t>
      </w:r>
      <w:r w:rsidRPr="00681505">
        <w:rPr>
          <w:rFonts w:ascii="Arial" w:hAnsi="Arial" w:cs="Arial"/>
          <w:b/>
          <w:lang w:val="it-IT"/>
        </w:rPr>
        <w:t>,</w:t>
      </w:r>
      <w:r w:rsidR="00502AD8" w:rsidRPr="00681505">
        <w:rPr>
          <w:rFonts w:ascii="Arial" w:hAnsi="Arial" w:cs="Arial"/>
          <w:b/>
          <w:lang w:val="it-IT"/>
        </w:rPr>
        <w:t>30</w:t>
      </w:r>
      <w:r w:rsidR="00E86868" w:rsidRPr="00681505">
        <w:rPr>
          <w:rFonts w:ascii="Arial" w:hAnsi="Arial" w:cs="Arial"/>
          <w:b/>
          <w:lang w:val="it-IT"/>
        </w:rPr>
        <w:t xml:space="preserve"> per </w:t>
      </w:r>
      <w:r w:rsidRPr="00681505">
        <w:rPr>
          <w:rFonts w:ascii="Arial" w:hAnsi="Arial" w:cs="Arial"/>
          <w:b/>
          <w:lang w:val="it-IT"/>
        </w:rPr>
        <w:t>azione</w:t>
      </w:r>
    </w:p>
    <w:p w:rsidR="00D92120" w:rsidRPr="00681505" w:rsidRDefault="00D92120" w:rsidP="00E86868">
      <w:pPr>
        <w:jc w:val="both"/>
        <w:rPr>
          <w:rFonts w:ascii="Arial" w:hAnsi="Arial" w:cs="Arial"/>
          <w:lang w:val="it-IT"/>
        </w:rPr>
      </w:pPr>
      <w:r w:rsidRPr="00681505">
        <w:rPr>
          <w:rFonts w:ascii="Arial" w:hAnsi="Arial" w:cs="Arial"/>
          <w:lang w:val="it-IT"/>
        </w:rPr>
        <w:t xml:space="preserve">Il Consiglio di Amministrazione di COIMA RES ha deliberato di distribuire </w:t>
      </w:r>
      <w:r w:rsidR="0002067B">
        <w:rPr>
          <w:rFonts w:ascii="Arial" w:hAnsi="Arial" w:cs="Arial"/>
          <w:lang w:val="it-IT"/>
        </w:rPr>
        <w:t xml:space="preserve">agli azionisti </w:t>
      </w:r>
      <w:r w:rsidRPr="00681505">
        <w:rPr>
          <w:rFonts w:ascii="Arial" w:hAnsi="Arial" w:cs="Arial"/>
          <w:lang w:val="it-IT"/>
        </w:rPr>
        <w:t>un dividendo relativo all’esercizio 2018 pari a</w:t>
      </w:r>
      <w:r w:rsidR="0052046F">
        <w:rPr>
          <w:rFonts w:ascii="Arial" w:hAnsi="Arial" w:cs="Arial"/>
          <w:lang w:val="it-IT"/>
        </w:rPr>
        <w:t>d</w:t>
      </w:r>
      <w:r w:rsidRPr="00681505">
        <w:rPr>
          <w:rFonts w:ascii="Arial" w:hAnsi="Arial" w:cs="Arial"/>
          <w:lang w:val="it-IT"/>
        </w:rPr>
        <w:t xml:space="preserve"> Euro 10.802.100 (o Euro 0,30 per azione) previa approvazione dell’Assemblea degli Azionisti prevista per il 17 aprile 2019. Il dividendo proposto</w:t>
      </w:r>
      <w:r w:rsidR="0002067B">
        <w:rPr>
          <w:rFonts w:ascii="Arial" w:hAnsi="Arial" w:cs="Arial"/>
          <w:lang w:val="it-IT"/>
        </w:rPr>
        <w:t>,</w:t>
      </w:r>
      <w:r w:rsidRPr="00681505">
        <w:rPr>
          <w:rFonts w:ascii="Arial" w:hAnsi="Arial" w:cs="Arial"/>
          <w:lang w:val="it-IT"/>
        </w:rPr>
        <w:t xml:space="preserve"> pari a</w:t>
      </w:r>
      <w:r w:rsidR="0002067B">
        <w:rPr>
          <w:rFonts w:ascii="Arial" w:hAnsi="Arial" w:cs="Arial"/>
          <w:lang w:val="it-IT"/>
        </w:rPr>
        <w:t>d</w:t>
      </w:r>
      <w:r w:rsidRPr="00681505">
        <w:rPr>
          <w:rFonts w:ascii="Arial" w:hAnsi="Arial" w:cs="Arial"/>
          <w:lang w:val="it-IT"/>
        </w:rPr>
        <w:t xml:space="preserve"> Euro 0,30 per azione</w:t>
      </w:r>
      <w:r w:rsidR="0002067B">
        <w:rPr>
          <w:rFonts w:ascii="Arial" w:hAnsi="Arial" w:cs="Arial"/>
          <w:lang w:val="it-IT"/>
        </w:rPr>
        <w:t>,</w:t>
      </w:r>
      <w:r w:rsidRPr="00681505">
        <w:rPr>
          <w:rFonts w:ascii="Arial" w:hAnsi="Arial" w:cs="Arial"/>
          <w:lang w:val="it-IT"/>
        </w:rPr>
        <w:t xml:space="preserve"> rappresenta un incremento pari all’11,1% rispetto al dividendo relativo all’esercizio 2017</w:t>
      </w:r>
      <w:r w:rsidR="0002067B">
        <w:rPr>
          <w:rFonts w:ascii="Arial" w:hAnsi="Arial" w:cs="Arial"/>
          <w:lang w:val="it-IT"/>
        </w:rPr>
        <w:t>,</w:t>
      </w:r>
      <w:r w:rsidRPr="00681505">
        <w:rPr>
          <w:rFonts w:ascii="Arial" w:hAnsi="Arial" w:cs="Arial"/>
          <w:lang w:val="it-IT"/>
        </w:rPr>
        <w:t xml:space="preserve"> pari a</w:t>
      </w:r>
      <w:r w:rsidR="0002067B">
        <w:rPr>
          <w:rFonts w:ascii="Arial" w:hAnsi="Arial" w:cs="Arial"/>
          <w:lang w:val="it-IT"/>
        </w:rPr>
        <w:t>d</w:t>
      </w:r>
      <w:r w:rsidRPr="00681505">
        <w:rPr>
          <w:rFonts w:ascii="Arial" w:hAnsi="Arial" w:cs="Arial"/>
          <w:lang w:val="it-IT"/>
        </w:rPr>
        <w:t xml:space="preserve"> Euro 0,27 per azione. Il dividendo proposto rappresenta un payout di circa il 72% rispetto agli EPRA Earnings consolidati per il 2018 (vs 64% nel 2017). L’acconto </w:t>
      </w:r>
      <w:r w:rsidR="00525867">
        <w:rPr>
          <w:rFonts w:ascii="Arial" w:hAnsi="Arial" w:cs="Arial"/>
          <w:lang w:val="it-IT"/>
        </w:rPr>
        <w:t>di dividendo pari a</w:t>
      </w:r>
      <w:r w:rsidR="0052046F">
        <w:rPr>
          <w:rFonts w:ascii="Arial" w:hAnsi="Arial" w:cs="Arial"/>
          <w:lang w:val="it-IT"/>
        </w:rPr>
        <w:t>d</w:t>
      </w:r>
      <w:r w:rsidR="00525867">
        <w:rPr>
          <w:rFonts w:ascii="Arial" w:hAnsi="Arial" w:cs="Arial"/>
          <w:lang w:val="it-IT"/>
        </w:rPr>
        <w:t xml:space="preserve"> Euro 3.600.</w:t>
      </w:r>
      <w:r w:rsidRPr="00681505">
        <w:rPr>
          <w:rFonts w:ascii="Arial" w:hAnsi="Arial" w:cs="Arial"/>
          <w:lang w:val="it-IT"/>
        </w:rPr>
        <w:t>700 (Euro 0,10 per azione) è già stato pagato il 21 novembre 2018 ed il saldo pari a</w:t>
      </w:r>
      <w:r w:rsidR="0052046F">
        <w:rPr>
          <w:rFonts w:ascii="Arial" w:hAnsi="Arial" w:cs="Arial"/>
          <w:lang w:val="it-IT"/>
        </w:rPr>
        <w:t>d</w:t>
      </w:r>
      <w:r w:rsidRPr="00681505">
        <w:rPr>
          <w:rFonts w:ascii="Arial" w:hAnsi="Arial" w:cs="Arial"/>
          <w:lang w:val="it-IT"/>
        </w:rPr>
        <w:t xml:space="preserve"> Euro 7.201.400 (Euro 0,20 per azione) sarà pagato con data di stacco il 23 aprile 2019, record date il 24 aprile 2019 e data di pagamento il 25 aprile 2019.</w:t>
      </w:r>
    </w:p>
    <w:p w:rsidR="00E86868" w:rsidRPr="00681505" w:rsidRDefault="00E86868" w:rsidP="00E86868">
      <w:pPr>
        <w:jc w:val="both"/>
        <w:rPr>
          <w:rFonts w:ascii="Arial" w:hAnsi="Arial" w:cs="Arial"/>
          <w:lang w:val="it-IT"/>
        </w:rPr>
      </w:pPr>
    </w:p>
    <w:p w:rsidR="00E86868" w:rsidRPr="00681505" w:rsidRDefault="00E86868" w:rsidP="00E86868">
      <w:pPr>
        <w:jc w:val="both"/>
        <w:rPr>
          <w:rFonts w:ascii="Arial" w:hAnsi="Arial" w:cs="Arial"/>
          <w:b/>
          <w:lang w:val="it-IT"/>
        </w:rPr>
      </w:pPr>
      <w:r w:rsidRPr="00681505">
        <w:rPr>
          <w:rFonts w:ascii="Arial" w:hAnsi="Arial" w:cs="Arial"/>
          <w:b/>
          <w:lang w:val="it-IT"/>
        </w:rPr>
        <w:t xml:space="preserve">Guidance </w:t>
      </w:r>
      <w:r w:rsidR="00D92120" w:rsidRPr="00681505">
        <w:rPr>
          <w:rFonts w:ascii="Arial" w:hAnsi="Arial" w:cs="Arial"/>
          <w:b/>
          <w:lang w:val="it-IT"/>
        </w:rPr>
        <w:t xml:space="preserve">per il </w:t>
      </w:r>
      <w:r w:rsidRPr="00681505">
        <w:rPr>
          <w:rFonts w:ascii="Arial" w:hAnsi="Arial" w:cs="Arial"/>
          <w:b/>
          <w:lang w:val="it-IT"/>
        </w:rPr>
        <w:t>2019</w:t>
      </w:r>
    </w:p>
    <w:p w:rsidR="00E86868" w:rsidRPr="00681505" w:rsidRDefault="00D92120" w:rsidP="00E86868">
      <w:pPr>
        <w:jc w:val="both"/>
        <w:rPr>
          <w:rFonts w:ascii="Arial" w:hAnsi="Arial" w:cs="Arial"/>
          <w:lang w:val="it-IT"/>
        </w:rPr>
      </w:pPr>
      <w:r w:rsidRPr="00681505">
        <w:rPr>
          <w:rFonts w:ascii="Arial" w:hAnsi="Arial" w:cs="Arial"/>
          <w:lang w:val="it-IT"/>
        </w:rPr>
        <w:t xml:space="preserve">Sulla base dell'attuale perimetro del portafoglio, COIMA RES </w:t>
      </w:r>
      <w:r w:rsidR="0083077A" w:rsidRPr="00681505">
        <w:rPr>
          <w:rFonts w:ascii="Arial" w:hAnsi="Arial" w:cs="Arial"/>
          <w:lang w:val="it-IT"/>
        </w:rPr>
        <w:t xml:space="preserve">stima </w:t>
      </w:r>
      <w:r w:rsidRPr="00681505">
        <w:rPr>
          <w:rFonts w:ascii="Arial" w:hAnsi="Arial" w:cs="Arial"/>
          <w:lang w:val="it-IT"/>
        </w:rPr>
        <w:t xml:space="preserve">per il 2019 </w:t>
      </w:r>
      <w:r w:rsidR="0083077A" w:rsidRPr="00681505">
        <w:rPr>
          <w:rFonts w:ascii="Arial" w:hAnsi="Arial" w:cs="Arial"/>
          <w:lang w:val="it-IT"/>
        </w:rPr>
        <w:t xml:space="preserve">di </w:t>
      </w:r>
      <w:r w:rsidRPr="00681505">
        <w:rPr>
          <w:rFonts w:ascii="Arial" w:hAnsi="Arial" w:cs="Arial"/>
          <w:lang w:val="it-IT"/>
        </w:rPr>
        <w:t>raggiunger</w:t>
      </w:r>
      <w:r w:rsidR="0083077A" w:rsidRPr="00681505">
        <w:rPr>
          <w:rFonts w:ascii="Arial" w:hAnsi="Arial" w:cs="Arial"/>
          <w:lang w:val="it-IT"/>
        </w:rPr>
        <w:t>e</w:t>
      </w:r>
      <w:r w:rsidRPr="00681505">
        <w:rPr>
          <w:rFonts w:ascii="Arial" w:hAnsi="Arial" w:cs="Arial"/>
          <w:lang w:val="it-IT"/>
        </w:rPr>
        <w:t xml:space="preserve"> </w:t>
      </w:r>
      <w:r w:rsidR="0083077A" w:rsidRPr="00681505">
        <w:rPr>
          <w:rFonts w:ascii="Arial" w:hAnsi="Arial" w:cs="Arial"/>
          <w:lang w:val="it-IT"/>
        </w:rPr>
        <w:t xml:space="preserve">un livello di EPRA Earnings </w:t>
      </w:r>
      <w:r w:rsidRPr="00681505">
        <w:rPr>
          <w:rFonts w:ascii="Arial" w:hAnsi="Arial" w:cs="Arial"/>
          <w:lang w:val="it-IT"/>
        </w:rPr>
        <w:t xml:space="preserve">per azione </w:t>
      </w:r>
      <w:r w:rsidR="0083077A" w:rsidRPr="00681505">
        <w:rPr>
          <w:rFonts w:ascii="Arial" w:hAnsi="Arial" w:cs="Arial"/>
          <w:lang w:val="it-IT"/>
        </w:rPr>
        <w:t>pari a</w:t>
      </w:r>
      <w:r w:rsidR="001A562D">
        <w:rPr>
          <w:rFonts w:ascii="Arial" w:hAnsi="Arial" w:cs="Arial"/>
          <w:lang w:val="it-IT"/>
        </w:rPr>
        <w:t xml:space="preserve"> circa</w:t>
      </w:r>
      <w:r w:rsidR="0083077A" w:rsidRPr="00681505">
        <w:rPr>
          <w:rFonts w:ascii="Arial" w:hAnsi="Arial" w:cs="Arial"/>
          <w:lang w:val="it-IT"/>
        </w:rPr>
        <w:t xml:space="preserve"> </w:t>
      </w:r>
      <w:r w:rsidR="007B1AA1" w:rsidRPr="00681505">
        <w:rPr>
          <w:rFonts w:ascii="Arial" w:hAnsi="Arial" w:cs="Arial"/>
          <w:lang w:val="it-IT"/>
        </w:rPr>
        <w:t>Euro 0,42</w:t>
      </w:r>
      <w:r w:rsidRPr="00681505">
        <w:rPr>
          <w:rFonts w:ascii="Arial" w:hAnsi="Arial" w:cs="Arial"/>
          <w:lang w:val="it-IT"/>
        </w:rPr>
        <w:t xml:space="preserve">. La </w:t>
      </w:r>
      <w:r w:rsidR="0083077A" w:rsidRPr="00681505">
        <w:rPr>
          <w:rFonts w:ascii="Arial" w:hAnsi="Arial" w:cs="Arial"/>
          <w:lang w:val="it-IT"/>
        </w:rPr>
        <w:t xml:space="preserve">guidance </w:t>
      </w:r>
      <w:r w:rsidRPr="00681505">
        <w:rPr>
          <w:rFonts w:ascii="Arial" w:hAnsi="Arial" w:cs="Arial"/>
          <w:lang w:val="it-IT"/>
        </w:rPr>
        <w:t xml:space="preserve">verrà aggiornata nel corso del 2019 per riflettere eventuali </w:t>
      </w:r>
      <w:r w:rsidR="00525867">
        <w:rPr>
          <w:rFonts w:ascii="Arial" w:hAnsi="Arial" w:cs="Arial"/>
          <w:lang w:val="it-IT"/>
        </w:rPr>
        <w:t>aggiornamenti</w:t>
      </w:r>
      <w:r w:rsidR="0083077A" w:rsidRPr="00681505">
        <w:rPr>
          <w:rFonts w:ascii="Arial" w:hAnsi="Arial" w:cs="Arial"/>
          <w:lang w:val="it-IT"/>
        </w:rPr>
        <w:t xml:space="preserve"> </w:t>
      </w:r>
      <w:r w:rsidRPr="00681505">
        <w:rPr>
          <w:rFonts w:ascii="Arial" w:hAnsi="Arial" w:cs="Arial"/>
          <w:lang w:val="it-IT"/>
        </w:rPr>
        <w:t>significativi.</w:t>
      </w:r>
    </w:p>
    <w:p w:rsidR="00E86868" w:rsidRPr="00681505" w:rsidRDefault="00E86868" w:rsidP="00E86868">
      <w:pPr>
        <w:jc w:val="both"/>
        <w:rPr>
          <w:rFonts w:ascii="Arial" w:hAnsi="Arial" w:cs="Arial"/>
          <w:lang w:val="it-IT"/>
        </w:rPr>
      </w:pPr>
    </w:p>
    <w:p w:rsidR="00E86868" w:rsidRPr="00681505" w:rsidRDefault="00E86868" w:rsidP="00E86868">
      <w:pPr>
        <w:jc w:val="both"/>
        <w:rPr>
          <w:rFonts w:ascii="Arial" w:hAnsi="Arial" w:cs="Arial"/>
          <w:b/>
          <w:lang w:val="it-IT"/>
        </w:rPr>
      </w:pPr>
      <w:r w:rsidRPr="00681505">
        <w:rPr>
          <w:rFonts w:ascii="Arial" w:hAnsi="Arial" w:cs="Arial"/>
          <w:b/>
          <w:lang w:val="it-IT"/>
        </w:rPr>
        <w:t>P</w:t>
      </w:r>
      <w:r w:rsidR="00525867">
        <w:rPr>
          <w:rFonts w:ascii="Arial" w:hAnsi="Arial" w:cs="Arial"/>
          <w:b/>
          <w:lang w:val="it-IT"/>
        </w:rPr>
        <w:t xml:space="preserve">anoramica </w:t>
      </w:r>
      <w:r w:rsidR="004F6367">
        <w:rPr>
          <w:rFonts w:ascii="Arial" w:hAnsi="Arial" w:cs="Arial"/>
          <w:b/>
          <w:lang w:val="it-IT"/>
        </w:rPr>
        <w:t>e</w:t>
      </w:r>
      <w:r w:rsidR="001A562D">
        <w:rPr>
          <w:rFonts w:ascii="Arial" w:hAnsi="Arial" w:cs="Arial"/>
          <w:b/>
          <w:lang w:val="it-IT"/>
        </w:rPr>
        <w:t xml:space="preserve"> performance </w:t>
      </w:r>
      <w:r w:rsidR="00525867">
        <w:rPr>
          <w:rFonts w:ascii="Arial" w:hAnsi="Arial" w:cs="Arial"/>
          <w:b/>
          <w:lang w:val="it-IT"/>
        </w:rPr>
        <w:t>del portafoglio immobiliare</w:t>
      </w:r>
    </w:p>
    <w:p w:rsidR="007B1AA1" w:rsidRPr="00681505" w:rsidRDefault="007B1AA1" w:rsidP="00E86868">
      <w:pPr>
        <w:jc w:val="both"/>
        <w:rPr>
          <w:rFonts w:ascii="Arial" w:hAnsi="Arial" w:cs="Arial"/>
          <w:lang w:val="it-IT"/>
        </w:rPr>
      </w:pPr>
      <w:r w:rsidRPr="00681505">
        <w:rPr>
          <w:rFonts w:ascii="Arial" w:hAnsi="Arial" w:cs="Arial"/>
          <w:lang w:val="it-IT"/>
        </w:rPr>
        <w:t>Al 31 dicembre 2018, il portafoglio COIMA RES consiste in 77 immobili (70 filiali bancarie</w:t>
      </w:r>
      <w:r w:rsidR="00525867">
        <w:rPr>
          <w:rFonts w:ascii="Arial" w:hAnsi="Arial" w:cs="Arial"/>
          <w:lang w:val="it-IT"/>
        </w:rPr>
        <w:t xml:space="preserve"> nel Nord e Centro Italia</w:t>
      </w:r>
      <w:r w:rsidRPr="00681505">
        <w:rPr>
          <w:rFonts w:ascii="Arial" w:hAnsi="Arial" w:cs="Arial"/>
          <w:lang w:val="it-IT"/>
        </w:rPr>
        <w:t xml:space="preserve"> e 7 complessi ad uso ufficio</w:t>
      </w:r>
      <w:r w:rsidR="00525867">
        <w:rPr>
          <w:rFonts w:ascii="Arial" w:hAnsi="Arial" w:cs="Arial"/>
          <w:lang w:val="it-IT"/>
        </w:rPr>
        <w:t xml:space="preserve"> a Milano</w:t>
      </w:r>
      <w:r w:rsidRPr="00681505">
        <w:rPr>
          <w:rFonts w:ascii="Arial" w:hAnsi="Arial" w:cs="Arial"/>
          <w:lang w:val="it-IT"/>
        </w:rPr>
        <w:t xml:space="preserve">) per </w:t>
      </w:r>
      <w:r w:rsidR="00525867">
        <w:rPr>
          <w:rFonts w:ascii="Arial" w:hAnsi="Arial" w:cs="Arial"/>
          <w:lang w:val="it-IT"/>
        </w:rPr>
        <w:t xml:space="preserve">superfici commerciali pari a </w:t>
      </w:r>
      <w:r w:rsidRPr="00681505">
        <w:rPr>
          <w:rFonts w:ascii="Arial" w:hAnsi="Arial" w:cs="Arial"/>
          <w:lang w:val="it-IT"/>
        </w:rPr>
        <w:t>circa 189.000 mq. Il portafoglio ha u</w:t>
      </w:r>
      <w:r w:rsidR="00525867">
        <w:rPr>
          <w:rFonts w:ascii="Arial" w:hAnsi="Arial" w:cs="Arial"/>
          <w:lang w:val="it-IT"/>
        </w:rPr>
        <w:t xml:space="preserve">n valore di Euro 665,0 milioni (di cui </w:t>
      </w:r>
      <w:r w:rsidRPr="00681505">
        <w:rPr>
          <w:rFonts w:ascii="Arial" w:hAnsi="Arial" w:cs="Arial"/>
          <w:lang w:val="it-IT"/>
        </w:rPr>
        <w:t xml:space="preserve">il 90% è a Milano, il 40% a Milano Porta Nuova e l’80% è ad uso uffici). </w:t>
      </w:r>
    </w:p>
    <w:p w:rsidR="007B1AA1" w:rsidRDefault="007B1AA1" w:rsidP="00E86868">
      <w:pPr>
        <w:jc w:val="both"/>
        <w:rPr>
          <w:rFonts w:ascii="Arial" w:hAnsi="Arial" w:cs="Arial"/>
          <w:lang w:val="it-IT"/>
        </w:rPr>
      </w:pPr>
      <w:r w:rsidRPr="00681505">
        <w:rPr>
          <w:rFonts w:ascii="Arial" w:hAnsi="Arial" w:cs="Arial"/>
          <w:lang w:val="it-IT"/>
        </w:rPr>
        <w:t xml:space="preserve">Il valore del portafoglio è aumentato di Euro 54,4 milioni </w:t>
      </w:r>
      <w:r w:rsidR="0002067B">
        <w:rPr>
          <w:rFonts w:ascii="Arial" w:hAnsi="Arial" w:cs="Arial"/>
          <w:lang w:val="it-IT"/>
        </w:rPr>
        <w:t>rispetto al</w:t>
      </w:r>
      <w:r w:rsidRPr="00681505">
        <w:rPr>
          <w:rFonts w:ascii="Arial" w:hAnsi="Arial" w:cs="Arial"/>
          <w:lang w:val="it-IT"/>
        </w:rPr>
        <w:t xml:space="preserve"> 31 dicembre 2017 per effetto delle acquisizioni di Pavilion e Tocqueville per Euro 103,7 milioni, rivalutazioni del portafoglio pari a</w:t>
      </w:r>
      <w:r w:rsidR="0002067B">
        <w:rPr>
          <w:rFonts w:ascii="Arial" w:hAnsi="Arial" w:cs="Arial"/>
          <w:lang w:val="it-IT"/>
        </w:rPr>
        <w:t>d</w:t>
      </w:r>
      <w:r w:rsidRPr="00681505">
        <w:rPr>
          <w:rFonts w:ascii="Arial" w:hAnsi="Arial" w:cs="Arial"/>
          <w:lang w:val="it-IT"/>
        </w:rPr>
        <w:t xml:space="preserve"> Euro 31,2 milioni e capex per Euro 4,6 milioni, parzialmente compensato dalle cessioni di filiali Deutsche Bank per Euro 1,5 milioni e per Euro 83,8 milioni relativi all</w:t>
      </w:r>
      <w:r w:rsidR="00995968">
        <w:rPr>
          <w:rFonts w:ascii="Arial" w:hAnsi="Arial" w:cs="Arial"/>
          <w:lang w:val="it-IT"/>
        </w:rPr>
        <w:t>a</w:t>
      </w:r>
      <w:r w:rsidRPr="00681505">
        <w:rPr>
          <w:rFonts w:ascii="Arial" w:hAnsi="Arial" w:cs="Arial"/>
          <w:lang w:val="it-IT"/>
        </w:rPr>
        <w:t xml:space="preserve"> v</w:t>
      </w:r>
      <w:r w:rsidR="001A562D">
        <w:rPr>
          <w:rFonts w:ascii="Arial" w:hAnsi="Arial" w:cs="Arial"/>
          <w:lang w:val="it-IT"/>
        </w:rPr>
        <w:t>endita dell’immobile Eurcenter.</w:t>
      </w:r>
    </w:p>
    <w:p w:rsidR="001A562D" w:rsidRPr="00681505" w:rsidRDefault="001A562D" w:rsidP="00E86868">
      <w:pPr>
        <w:jc w:val="both"/>
        <w:rPr>
          <w:rFonts w:ascii="Arial" w:hAnsi="Arial" w:cs="Arial"/>
          <w:lang w:val="it-IT"/>
        </w:rPr>
      </w:pPr>
      <w:r>
        <w:rPr>
          <w:rFonts w:ascii="Arial" w:hAnsi="Arial" w:cs="Arial"/>
          <w:lang w:val="it-IT"/>
        </w:rPr>
        <w:t>La crescita del capital value su base like for like è stata del 2,0% nel 2018 (2,7% se si escludono le filiali bancarie).</w:t>
      </w:r>
    </w:p>
    <w:p w:rsidR="007B1AA1" w:rsidRPr="00681505" w:rsidRDefault="007B1AA1" w:rsidP="00E86868">
      <w:pPr>
        <w:jc w:val="both"/>
        <w:rPr>
          <w:rFonts w:ascii="Arial" w:hAnsi="Arial" w:cs="Arial"/>
          <w:lang w:val="it-IT"/>
        </w:rPr>
      </w:pPr>
      <w:r w:rsidRPr="00681505">
        <w:rPr>
          <w:rFonts w:ascii="Arial" w:hAnsi="Arial" w:cs="Arial"/>
          <w:lang w:val="it-IT"/>
        </w:rPr>
        <w:t>Circa il 50% del nostro portafoglio è caratterizzato da immobili con profilo di crescita in termini di potenziale incremento dei canoni. Circa il 54% del portafoglio è certificato LEED, cifra che aumenta al 60% includendo il progetto Bonnet dove abbiamo l’obiettivo di raggiungere il livello di certificazione LEED Gold.</w:t>
      </w:r>
    </w:p>
    <w:p w:rsidR="001A562D" w:rsidRDefault="001A562D" w:rsidP="00E86868">
      <w:pPr>
        <w:jc w:val="both"/>
        <w:rPr>
          <w:rFonts w:ascii="Arial" w:hAnsi="Arial" w:cs="Arial"/>
          <w:b/>
          <w:lang w:val="it-IT"/>
        </w:rPr>
      </w:pPr>
    </w:p>
    <w:p w:rsidR="00E86868" w:rsidRPr="00681505" w:rsidRDefault="001A562D" w:rsidP="00E86868">
      <w:pPr>
        <w:jc w:val="both"/>
        <w:rPr>
          <w:rFonts w:ascii="Arial" w:hAnsi="Arial" w:cs="Arial"/>
          <w:b/>
          <w:lang w:val="it-IT"/>
        </w:rPr>
      </w:pPr>
      <w:r>
        <w:rPr>
          <w:rFonts w:ascii="Arial" w:hAnsi="Arial" w:cs="Arial"/>
          <w:b/>
          <w:lang w:val="it-IT"/>
        </w:rPr>
        <w:t>Stipula di nuovi contratti di locazione</w:t>
      </w:r>
    </w:p>
    <w:p w:rsidR="001A562D" w:rsidRDefault="001A562D" w:rsidP="007B1AA1">
      <w:pPr>
        <w:jc w:val="both"/>
        <w:rPr>
          <w:rFonts w:ascii="Arial" w:hAnsi="Arial" w:cs="Arial"/>
          <w:lang w:val="it-IT"/>
        </w:rPr>
      </w:pPr>
      <w:r>
        <w:rPr>
          <w:rFonts w:ascii="Arial" w:hAnsi="Arial" w:cs="Arial"/>
          <w:lang w:val="it-IT"/>
        </w:rPr>
        <w:t xml:space="preserve">Nel 2018, abbiamo firmato nuovi contratti di locazione per un totale di Euro 4,3 milioni su base stabilizzata, </w:t>
      </w:r>
      <w:r w:rsidR="005857CF">
        <w:rPr>
          <w:rFonts w:ascii="Arial" w:hAnsi="Arial" w:cs="Arial"/>
          <w:lang w:val="it-IT"/>
        </w:rPr>
        <w:t>con</w:t>
      </w:r>
      <w:r>
        <w:rPr>
          <w:rFonts w:ascii="Arial" w:hAnsi="Arial" w:cs="Arial"/>
          <w:lang w:val="it-IT"/>
        </w:rPr>
        <w:t xml:space="preserve"> una reversion positiva del 18% ed una crescita dei </w:t>
      </w:r>
      <w:r w:rsidRPr="00681505">
        <w:rPr>
          <w:rFonts w:ascii="Arial" w:hAnsi="Arial" w:cs="Arial"/>
          <w:lang w:val="it-IT"/>
        </w:rPr>
        <w:t>canoni su base “like-for-like” del 2,5% nel 2018</w:t>
      </w:r>
      <w:r>
        <w:rPr>
          <w:rFonts w:ascii="Arial" w:hAnsi="Arial" w:cs="Arial"/>
          <w:lang w:val="it-IT"/>
        </w:rPr>
        <w:t xml:space="preserve"> (o </w:t>
      </w:r>
      <w:r w:rsidRPr="00681505">
        <w:rPr>
          <w:rFonts w:ascii="Arial" w:hAnsi="Arial" w:cs="Arial"/>
          <w:lang w:val="it-IT"/>
        </w:rPr>
        <w:t>2,6% escludendo le filiali bancarie</w:t>
      </w:r>
      <w:r>
        <w:rPr>
          <w:rFonts w:ascii="Arial" w:hAnsi="Arial" w:cs="Arial"/>
          <w:lang w:val="it-IT"/>
        </w:rPr>
        <w:t>)</w:t>
      </w:r>
      <w:r w:rsidRPr="00681505">
        <w:rPr>
          <w:rFonts w:ascii="Arial" w:hAnsi="Arial" w:cs="Arial"/>
          <w:lang w:val="it-IT"/>
        </w:rPr>
        <w:t>.</w:t>
      </w:r>
    </w:p>
    <w:p w:rsidR="001A562D" w:rsidRDefault="001A562D" w:rsidP="007B1AA1">
      <w:pPr>
        <w:jc w:val="both"/>
        <w:rPr>
          <w:rFonts w:ascii="Arial" w:hAnsi="Arial" w:cs="Arial"/>
          <w:b/>
          <w:lang w:val="it-IT"/>
        </w:rPr>
      </w:pPr>
      <w:r>
        <w:rPr>
          <w:rFonts w:ascii="Arial" w:hAnsi="Arial" w:cs="Arial"/>
          <w:b/>
          <w:lang w:val="it-IT"/>
        </w:rPr>
        <w:t>Pavilion</w:t>
      </w:r>
      <w:r w:rsidRPr="001A562D">
        <w:rPr>
          <w:rFonts w:ascii="Arial" w:hAnsi="Arial" w:cs="Arial"/>
          <w:lang w:val="it-IT"/>
        </w:rPr>
        <w:t xml:space="preserve">: </w:t>
      </w:r>
      <w:r>
        <w:rPr>
          <w:rFonts w:ascii="Arial" w:hAnsi="Arial" w:cs="Arial"/>
          <w:lang w:val="it-IT"/>
        </w:rPr>
        <w:t xml:space="preserve">in </w:t>
      </w:r>
      <w:r w:rsidRPr="001A562D">
        <w:rPr>
          <w:rFonts w:ascii="Arial" w:hAnsi="Arial" w:cs="Arial"/>
          <w:lang w:val="it-IT"/>
        </w:rPr>
        <w:t xml:space="preserve">agosto 2018, COIMA RES ha stipulato un accordo di locazione con IBM, per il 100% del Pavilion. Il contratto di locazione è efficace dal </w:t>
      </w:r>
      <w:r w:rsidR="008C7FAA">
        <w:rPr>
          <w:rFonts w:ascii="Arial" w:hAnsi="Arial" w:cs="Arial"/>
          <w:lang w:val="it-IT"/>
        </w:rPr>
        <w:t>febbraio</w:t>
      </w:r>
      <w:r w:rsidRPr="001A562D">
        <w:rPr>
          <w:rFonts w:ascii="Arial" w:hAnsi="Arial" w:cs="Arial"/>
          <w:lang w:val="it-IT"/>
        </w:rPr>
        <w:t xml:space="preserve"> 2019 ed è caratterizzato da una durata di 9 anni + 6 anni, è indicizzato all'inflazione per il 100%, prevede un canone iniziale lordo di Euro 1,25 milioni (per i primi 12 mesi) ed un canone contrattuale lordo stabilizzato di Euro 3,5 milioni </w:t>
      </w:r>
      <w:r w:rsidRPr="001A562D">
        <w:rPr>
          <w:rFonts w:ascii="Arial" w:hAnsi="Arial" w:cs="Arial"/>
          <w:lang w:val="it-IT"/>
        </w:rPr>
        <w:lastRenderedPageBreak/>
        <w:t>(successivamente ai primi 12 mesi). IBM è l’unico conduttore del Pavilion ed occupa l’intero complesso. Non sarà necessario alcun investimento significativo da parte di COIMA RES per ospitare IBM nel Pavilion.</w:t>
      </w:r>
    </w:p>
    <w:p w:rsidR="001A562D" w:rsidRDefault="001A562D" w:rsidP="007B1AA1">
      <w:pPr>
        <w:jc w:val="both"/>
        <w:rPr>
          <w:rFonts w:ascii="Arial" w:hAnsi="Arial" w:cs="Arial"/>
          <w:lang w:val="it-IT"/>
        </w:rPr>
      </w:pPr>
      <w:r w:rsidRPr="001A562D">
        <w:rPr>
          <w:rFonts w:ascii="Arial" w:hAnsi="Arial" w:cs="Arial"/>
          <w:b/>
          <w:lang w:val="it-IT"/>
        </w:rPr>
        <w:t>Gioiaotto</w:t>
      </w:r>
      <w:r>
        <w:rPr>
          <w:rFonts w:ascii="Arial" w:hAnsi="Arial" w:cs="Arial"/>
          <w:lang w:val="it-IT"/>
        </w:rPr>
        <w:t>:</w:t>
      </w:r>
      <w:r w:rsidRPr="001A562D">
        <w:rPr>
          <w:rFonts w:ascii="Arial" w:hAnsi="Arial" w:cs="Arial"/>
          <w:lang w:val="it-IT"/>
        </w:rPr>
        <w:t xml:space="preserve"> </w:t>
      </w:r>
      <w:r w:rsidRPr="00681505">
        <w:rPr>
          <w:rFonts w:ascii="Arial" w:hAnsi="Arial" w:cs="Arial"/>
          <w:lang w:val="it-IT"/>
        </w:rPr>
        <w:t>d</w:t>
      </w:r>
      <w:r>
        <w:rPr>
          <w:rFonts w:ascii="Arial" w:hAnsi="Arial" w:cs="Arial"/>
          <w:lang w:val="it-IT"/>
        </w:rPr>
        <w:t xml:space="preserve">ue conduttori hanno rilasciato 1.400 mq complessivi nel </w:t>
      </w:r>
      <w:r w:rsidRPr="00681505">
        <w:rPr>
          <w:rFonts w:ascii="Arial" w:hAnsi="Arial" w:cs="Arial"/>
          <w:lang w:val="it-IT"/>
        </w:rPr>
        <w:t>2018 e sono stati sostituiti da due nuovi conduttori che hanno firmato contratti di locazione ad un premio aggregato del 21% rispetto al precedente affitto (su base stabilizzata)</w:t>
      </w:r>
      <w:r>
        <w:rPr>
          <w:rFonts w:ascii="Arial" w:hAnsi="Arial" w:cs="Arial"/>
          <w:lang w:val="it-IT"/>
        </w:rPr>
        <w:t>.</w:t>
      </w:r>
    </w:p>
    <w:p w:rsidR="001A562D" w:rsidRDefault="001A562D" w:rsidP="007B1AA1">
      <w:pPr>
        <w:jc w:val="both"/>
        <w:rPr>
          <w:rFonts w:ascii="Arial" w:hAnsi="Arial" w:cs="Arial"/>
          <w:lang w:val="it-IT"/>
        </w:rPr>
      </w:pPr>
      <w:r w:rsidRPr="001A562D">
        <w:rPr>
          <w:rFonts w:ascii="Arial" w:hAnsi="Arial" w:cs="Arial"/>
          <w:b/>
          <w:lang w:val="it-IT"/>
        </w:rPr>
        <w:t>Monte Rosa</w:t>
      </w:r>
      <w:r>
        <w:rPr>
          <w:rFonts w:ascii="Arial" w:hAnsi="Arial" w:cs="Arial"/>
          <w:lang w:val="it-IT"/>
        </w:rPr>
        <w:t xml:space="preserve">: </w:t>
      </w:r>
      <w:r w:rsidRPr="00681505">
        <w:rPr>
          <w:rFonts w:ascii="Arial" w:hAnsi="Arial" w:cs="Arial"/>
          <w:lang w:val="it-IT"/>
        </w:rPr>
        <w:t xml:space="preserve">COIMA RES ha stipulato </w:t>
      </w:r>
      <w:r>
        <w:rPr>
          <w:rFonts w:ascii="Arial" w:hAnsi="Arial" w:cs="Arial"/>
          <w:lang w:val="it-IT"/>
        </w:rPr>
        <w:t xml:space="preserve">nel primo trimestre del 2018 </w:t>
      </w:r>
      <w:r w:rsidRPr="00681505">
        <w:rPr>
          <w:rFonts w:ascii="Arial" w:hAnsi="Arial" w:cs="Arial"/>
          <w:lang w:val="it-IT"/>
        </w:rPr>
        <w:t>un contratto di locazione addizionale con PwC per Euro 154.000 annui. Incluso questo nuovo contratto, PwC occupa circa il 46% della NRA dell’immobile. Il contratto è stato firmato</w:t>
      </w:r>
      <w:r>
        <w:rPr>
          <w:rFonts w:ascii="Arial" w:hAnsi="Arial" w:cs="Arial"/>
          <w:lang w:val="it-IT"/>
        </w:rPr>
        <w:t xml:space="preserve"> ad un livello di Euro 280 / mq, i.e. ad un premio de</w:t>
      </w:r>
      <w:r w:rsidRPr="00681505">
        <w:rPr>
          <w:rFonts w:ascii="Arial" w:hAnsi="Arial" w:cs="Arial"/>
          <w:lang w:val="it-IT"/>
        </w:rPr>
        <w:t>l</w:t>
      </w:r>
      <w:r>
        <w:rPr>
          <w:rFonts w:ascii="Arial" w:hAnsi="Arial" w:cs="Arial"/>
          <w:lang w:val="it-IT"/>
        </w:rPr>
        <w:t>l’</w:t>
      </w:r>
      <w:r w:rsidRPr="00681505">
        <w:rPr>
          <w:rFonts w:ascii="Arial" w:hAnsi="Arial" w:cs="Arial"/>
          <w:lang w:val="it-IT"/>
        </w:rPr>
        <w:t>8% rispetto al canone di locazione medio di Monte Rosa al momento della firma del contratto.</w:t>
      </w:r>
    </w:p>
    <w:p w:rsidR="001A562D" w:rsidRPr="00681505" w:rsidRDefault="001A562D" w:rsidP="001A562D">
      <w:pPr>
        <w:jc w:val="both"/>
        <w:rPr>
          <w:rFonts w:ascii="Arial" w:hAnsi="Arial" w:cs="Arial"/>
          <w:lang w:val="it-IT"/>
        </w:rPr>
      </w:pPr>
      <w:r w:rsidRPr="001A562D">
        <w:rPr>
          <w:rFonts w:ascii="Arial" w:hAnsi="Arial" w:cs="Arial"/>
          <w:b/>
          <w:lang w:val="it-IT"/>
        </w:rPr>
        <w:t>Filiali bancarie</w:t>
      </w:r>
      <w:r>
        <w:rPr>
          <w:rFonts w:ascii="Arial" w:hAnsi="Arial" w:cs="Arial"/>
          <w:lang w:val="it-IT"/>
        </w:rPr>
        <w:t>: in</w:t>
      </w:r>
      <w:r w:rsidRPr="00681505">
        <w:rPr>
          <w:rFonts w:ascii="Arial" w:hAnsi="Arial" w:cs="Arial"/>
          <w:lang w:val="it-IT"/>
        </w:rPr>
        <w:t xml:space="preserve"> febbraio 2019, COIMA RES ha firmato un contratto di locazione della durata di 9 anni per una filiale bancaria situata a Milano precedentemente sfitta. Il nuovo conduttore è attivo nel settore della sanità e dei relativi ser</w:t>
      </w:r>
      <w:r>
        <w:rPr>
          <w:rFonts w:ascii="Arial" w:hAnsi="Arial" w:cs="Arial"/>
          <w:lang w:val="it-IT"/>
        </w:rPr>
        <w:t xml:space="preserve">vizi. La filiale rappresenta </w:t>
      </w:r>
      <w:r w:rsidRPr="00681505">
        <w:rPr>
          <w:rFonts w:ascii="Arial" w:hAnsi="Arial" w:cs="Arial"/>
          <w:lang w:val="it-IT"/>
        </w:rPr>
        <w:t xml:space="preserve">1.700 mq, vale a dire </w:t>
      </w:r>
      <w:r>
        <w:rPr>
          <w:rFonts w:ascii="Arial" w:hAnsi="Arial" w:cs="Arial"/>
          <w:lang w:val="it-IT"/>
        </w:rPr>
        <w:t xml:space="preserve">il </w:t>
      </w:r>
      <w:r w:rsidRPr="00681505">
        <w:rPr>
          <w:rFonts w:ascii="Arial" w:hAnsi="Arial" w:cs="Arial"/>
          <w:lang w:val="it-IT"/>
        </w:rPr>
        <w:t xml:space="preserve">18% della superficie totale sfitta del portafoglio di filiali Deutsche Bank. Il nuovo contratto di locazione contribuirà </w:t>
      </w:r>
      <w:r>
        <w:rPr>
          <w:rFonts w:ascii="Arial" w:hAnsi="Arial" w:cs="Arial"/>
          <w:lang w:val="it-IT"/>
        </w:rPr>
        <w:t xml:space="preserve">per </w:t>
      </w:r>
      <w:r w:rsidRPr="00681505">
        <w:rPr>
          <w:rFonts w:ascii="Arial" w:hAnsi="Arial" w:cs="Arial"/>
          <w:lang w:val="it-IT"/>
        </w:rPr>
        <w:t xml:space="preserve">Euro 240.000 di </w:t>
      </w:r>
      <w:r>
        <w:rPr>
          <w:rFonts w:ascii="Arial" w:hAnsi="Arial" w:cs="Arial"/>
          <w:lang w:val="it-IT"/>
        </w:rPr>
        <w:t>canone</w:t>
      </w:r>
      <w:r w:rsidRPr="00681505">
        <w:rPr>
          <w:rFonts w:ascii="Arial" w:hAnsi="Arial" w:cs="Arial"/>
          <w:lang w:val="it-IT"/>
        </w:rPr>
        <w:t xml:space="preserve"> lordo </w:t>
      </w:r>
      <w:r>
        <w:rPr>
          <w:rFonts w:ascii="Arial" w:hAnsi="Arial" w:cs="Arial"/>
          <w:lang w:val="it-IT"/>
        </w:rPr>
        <w:t xml:space="preserve">annuale </w:t>
      </w:r>
      <w:r w:rsidRPr="00681505">
        <w:rPr>
          <w:rFonts w:ascii="Arial" w:hAnsi="Arial" w:cs="Arial"/>
          <w:lang w:val="it-IT"/>
        </w:rPr>
        <w:t xml:space="preserve">aggiuntivo per COIMA RES su base stabilizzata. Un ammontare pari ad un massimo di Euro 50.000 euro sarà speso da COIMA RES </w:t>
      </w:r>
      <w:r>
        <w:rPr>
          <w:rFonts w:ascii="Arial" w:hAnsi="Arial" w:cs="Arial"/>
          <w:lang w:val="it-IT"/>
        </w:rPr>
        <w:t>per riadattare gli spazi</w:t>
      </w:r>
      <w:r w:rsidRPr="00681505">
        <w:rPr>
          <w:rFonts w:ascii="Arial" w:hAnsi="Arial" w:cs="Arial"/>
          <w:lang w:val="it-IT"/>
        </w:rPr>
        <w:t xml:space="preserve">. </w:t>
      </w:r>
    </w:p>
    <w:p w:rsidR="001A562D" w:rsidRDefault="001A562D" w:rsidP="007B1AA1">
      <w:pPr>
        <w:jc w:val="both"/>
        <w:rPr>
          <w:rFonts w:ascii="Arial" w:hAnsi="Arial" w:cs="Arial"/>
          <w:lang w:val="it-IT"/>
        </w:rPr>
      </w:pPr>
    </w:p>
    <w:p w:rsidR="001A562D" w:rsidRDefault="001A562D" w:rsidP="007B1AA1">
      <w:pPr>
        <w:jc w:val="both"/>
        <w:rPr>
          <w:rFonts w:ascii="Arial" w:hAnsi="Arial" w:cs="Arial"/>
          <w:b/>
          <w:lang w:val="it-IT"/>
        </w:rPr>
      </w:pPr>
      <w:r w:rsidRPr="001A562D">
        <w:rPr>
          <w:rFonts w:ascii="Arial" w:hAnsi="Arial" w:cs="Arial"/>
          <w:b/>
          <w:lang w:val="it-IT"/>
        </w:rPr>
        <w:t>Acquisizioni</w:t>
      </w:r>
    </w:p>
    <w:p w:rsidR="001A562D" w:rsidRPr="001A562D" w:rsidRDefault="001A562D" w:rsidP="001A562D">
      <w:pPr>
        <w:jc w:val="both"/>
        <w:rPr>
          <w:rFonts w:ascii="Arial" w:hAnsi="Arial" w:cs="Arial"/>
          <w:b/>
          <w:lang w:val="it-IT"/>
        </w:rPr>
      </w:pPr>
      <w:r>
        <w:rPr>
          <w:rFonts w:ascii="Arial" w:hAnsi="Arial" w:cs="Arial"/>
          <w:b/>
          <w:lang w:val="it-IT"/>
        </w:rPr>
        <w:t>Tocqueville</w:t>
      </w:r>
      <w:r w:rsidRPr="001A562D">
        <w:rPr>
          <w:rFonts w:ascii="Arial" w:hAnsi="Arial" w:cs="Arial"/>
          <w:lang w:val="it-IT"/>
        </w:rPr>
        <w:t>:</w:t>
      </w:r>
      <w:r>
        <w:rPr>
          <w:rFonts w:ascii="Arial" w:hAnsi="Arial" w:cs="Arial"/>
          <w:lang w:val="it-IT"/>
        </w:rPr>
        <w:t xml:space="preserve"> nel</w:t>
      </w:r>
      <w:r w:rsidRPr="00681505">
        <w:rPr>
          <w:rFonts w:ascii="Arial" w:hAnsi="Arial" w:cs="Arial"/>
          <w:lang w:val="it-IT"/>
        </w:rPr>
        <w:t xml:space="preserve"> luglio 2018, COIMA RES ha concluso l’acquisizione del complesso Tocqueville per Euro 56,0 milioni ad un EPRA Net Initial Yield pari al 3,5%. Tocqueville è un edificio di 10 piani con una s</w:t>
      </w:r>
      <w:r>
        <w:rPr>
          <w:rFonts w:ascii="Arial" w:hAnsi="Arial" w:cs="Arial"/>
          <w:lang w:val="it-IT"/>
        </w:rPr>
        <w:t xml:space="preserve">uperficie commerciale pari a </w:t>
      </w:r>
      <w:r w:rsidRPr="00681505">
        <w:rPr>
          <w:rFonts w:ascii="Arial" w:hAnsi="Arial" w:cs="Arial"/>
          <w:lang w:val="it-IT"/>
        </w:rPr>
        <w:t>10.922 mq ed è posizionato nell'area di Milano Porta Nuova, situato tra la sede di Microsoft e la sede di UniCredit. L’asset, che è completamente occupato, genera un canone lordo annuale di Euro 2,4 milioni e rappresenta un asset Core + di buone dimensioni: il</w:t>
      </w:r>
      <w:r>
        <w:rPr>
          <w:rFonts w:ascii="Arial" w:hAnsi="Arial" w:cs="Arial"/>
          <w:lang w:val="it-IT"/>
        </w:rPr>
        <w:t xml:space="preserve"> canone medio attuale pari ad </w:t>
      </w:r>
      <w:r w:rsidRPr="00681505">
        <w:rPr>
          <w:rFonts w:ascii="Arial" w:hAnsi="Arial" w:cs="Arial"/>
          <w:lang w:val="it-IT"/>
        </w:rPr>
        <w:t xml:space="preserve">Euro 245 / mq, è inferiore per più del 50% rispetto al Prime Rent in Porta Nuova. Il </w:t>
      </w:r>
      <w:r>
        <w:rPr>
          <w:rFonts w:ascii="Arial" w:hAnsi="Arial" w:cs="Arial"/>
          <w:lang w:val="it-IT"/>
        </w:rPr>
        <w:t xml:space="preserve">conduttore principale occupa </w:t>
      </w:r>
      <w:r w:rsidRPr="00681505">
        <w:rPr>
          <w:rFonts w:ascii="Arial" w:hAnsi="Arial" w:cs="Arial"/>
          <w:lang w:val="it-IT"/>
        </w:rPr>
        <w:t>l'89% delle superfici con scadenza all’inizio del 2021.</w:t>
      </w:r>
      <w:r>
        <w:rPr>
          <w:rFonts w:ascii="Arial" w:hAnsi="Arial" w:cs="Arial"/>
          <w:lang w:val="it-IT"/>
        </w:rPr>
        <w:t xml:space="preserve"> </w:t>
      </w:r>
      <w:r w:rsidRPr="00681505">
        <w:rPr>
          <w:rFonts w:ascii="Arial" w:hAnsi="Arial" w:cs="Arial"/>
          <w:lang w:val="it-IT"/>
        </w:rPr>
        <w:t>L'acquisizione prevede un piano di investimenti a medio termine che porterebbe il rendimento stabilizzato ne</w:t>
      </w:r>
      <w:r>
        <w:rPr>
          <w:rFonts w:ascii="Arial" w:hAnsi="Arial" w:cs="Arial"/>
          <w:lang w:val="it-IT"/>
        </w:rPr>
        <w:t xml:space="preserve">tto stimato di Tocqueville al </w:t>
      </w:r>
      <w:r w:rsidRPr="00681505">
        <w:rPr>
          <w:rFonts w:ascii="Arial" w:hAnsi="Arial" w:cs="Arial"/>
          <w:lang w:val="it-IT"/>
        </w:rPr>
        <w:t>5% (in base ai canoni netti attesi dopo la ristrutturazione, il prezzo di acquisizione e le capex).</w:t>
      </w:r>
    </w:p>
    <w:p w:rsidR="001A562D" w:rsidRPr="00681505" w:rsidRDefault="001A562D" w:rsidP="001A562D">
      <w:pPr>
        <w:jc w:val="both"/>
        <w:rPr>
          <w:rFonts w:ascii="Arial" w:hAnsi="Arial" w:cs="Arial"/>
          <w:lang w:val="it-IT"/>
        </w:rPr>
      </w:pPr>
      <w:r w:rsidRPr="001A562D">
        <w:rPr>
          <w:rFonts w:ascii="Arial" w:hAnsi="Arial" w:cs="Arial"/>
          <w:b/>
          <w:lang w:val="it-IT"/>
        </w:rPr>
        <w:t>Pavilion</w:t>
      </w:r>
      <w:r>
        <w:rPr>
          <w:rFonts w:ascii="Arial" w:hAnsi="Arial" w:cs="Arial"/>
          <w:lang w:val="it-IT"/>
        </w:rPr>
        <w:t xml:space="preserve">: nel </w:t>
      </w:r>
      <w:r w:rsidRPr="00681505">
        <w:rPr>
          <w:rFonts w:ascii="Arial" w:hAnsi="Arial" w:cs="Arial"/>
          <w:lang w:val="it-IT"/>
        </w:rPr>
        <w:t xml:space="preserve">maggio 2018, COIMA RES ha siglato con UniCredit un contratto preliminare di acquisto per l’immobile Pavilion a Milano Porta Nuova per Euro 45,0 milioni. L’acquisizione è stata finalizzata </w:t>
      </w:r>
      <w:r>
        <w:rPr>
          <w:rFonts w:ascii="Arial" w:hAnsi="Arial" w:cs="Arial"/>
          <w:lang w:val="it-IT"/>
        </w:rPr>
        <w:t xml:space="preserve">nel </w:t>
      </w:r>
      <w:r w:rsidRPr="00681505">
        <w:rPr>
          <w:rFonts w:ascii="Arial" w:hAnsi="Arial" w:cs="Arial"/>
          <w:lang w:val="it-IT"/>
        </w:rPr>
        <w:t>novembre 201</w:t>
      </w:r>
      <w:r>
        <w:rPr>
          <w:rFonts w:ascii="Arial" w:hAnsi="Arial" w:cs="Arial"/>
          <w:lang w:val="it-IT"/>
        </w:rPr>
        <w:t>8</w:t>
      </w:r>
      <w:r w:rsidRPr="00681505">
        <w:rPr>
          <w:rFonts w:ascii="Arial" w:hAnsi="Arial" w:cs="Arial"/>
          <w:lang w:val="it-IT"/>
        </w:rPr>
        <w:t>.</w:t>
      </w:r>
      <w:r>
        <w:rPr>
          <w:rFonts w:ascii="Arial" w:hAnsi="Arial" w:cs="Arial"/>
          <w:lang w:val="it-IT"/>
        </w:rPr>
        <w:t xml:space="preserve"> Il piano di underwriting prevedeva la possibilità di cambiare destinazione d’uso dell’immobile per riconvertirlo ad uso misto uffici e high street retail con l’aspettativa di un periodo di ristrutturazione fino a due anni seguito da una fase di leasing. L’immobile è stato successivamente affittato ad IBM nell’agosto 2018 ad un </w:t>
      </w:r>
      <w:r w:rsidRPr="00681505">
        <w:rPr>
          <w:rFonts w:ascii="Arial" w:hAnsi="Arial" w:cs="Arial"/>
          <w:lang w:val="it-IT"/>
        </w:rPr>
        <w:t>EPRA Topped-up Net Yield del 7,2%. Una rivalutazione pari a</w:t>
      </w:r>
      <w:r>
        <w:rPr>
          <w:rFonts w:ascii="Arial" w:hAnsi="Arial" w:cs="Arial"/>
          <w:lang w:val="it-IT"/>
        </w:rPr>
        <w:t>d</w:t>
      </w:r>
      <w:r w:rsidRPr="00681505">
        <w:rPr>
          <w:rFonts w:ascii="Arial" w:hAnsi="Arial" w:cs="Arial"/>
          <w:lang w:val="it-IT"/>
        </w:rPr>
        <w:t xml:space="preserve"> Euro 23,9 milioni è stata registrata nel Q4 2018 per l’immobile</w:t>
      </w:r>
      <w:r w:rsidR="008C7FAA">
        <w:rPr>
          <w:rFonts w:ascii="Arial" w:hAnsi="Arial" w:cs="Arial"/>
          <w:lang w:val="it-IT"/>
        </w:rPr>
        <w:t>,</w:t>
      </w:r>
      <w:r w:rsidRPr="00681505">
        <w:rPr>
          <w:rFonts w:ascii="Arial" w:hAnsi="Arial" w:cs="Arial"/>
          <w:lang w:val="it-IT"/>
        </w:rPr>
        <w:t xml:space="preserve"> valutato </w:t>
      </w:r>
      <w:r w:rsidR="008C7FAA">
        <w:rPr>
          <w:rFonts w:ascii="Arial" w:hAnsi="Arial" w:cs="Arial"/>
          <w:lang w:val="it-IT"/>
        </w:rPr>
        <w:t xml:space="preserve">dall’esperto </w:t>
      </w:r>
      <w:r w:rsidRPr="00681505">
        <w:rPr>
          <w:rFonts w:ascii="Arial" w:hAnsi="Arial" w:cs="Arial"/>
          <w:lang w:val="it-IT"/>
        </w:rPr>
        <w:t>indipendente CBRE a</w:t>
      </w:r>
      <w:r>
        <w:rPr>
          <w:rFonts w:ascii="Arial" w:hAnsi="Arial" w:cs="Arial"/>
          <w:lang w:val="it-IT"/>
        </w:rPr>
        <w:t>d</w:t>
      </w:r>
      <w:r w:rsidRPr="00681505">
        <w:rPr>
          <w:rFonts w:ascii="Arial" w:hAnsi="Arial" w:cs="Arial"/>
          <w:lang w:val="it-IT"/>
        </w:rPr>
        <w:t xml:space="preserve"> Euro 70,0 milioni, il che rappresenta per i termini del contratto di locazione con IB</w:t>
      </w:r>
      <w:r>
        <w:rPr>
          <w:rFonts w:ascii="Arial" w:hAnsi="Arial" w:cs="Arial"/>
          <w:lang w:val="it-IT"/>
        </w:rPr>
        <w:t xml:space="preserve">M un </w:t>
      </w:r>
      <w:r w:rsidRPr="00681505">
        <w:rPr>
          <w:rFonts w:ascii="Arial" w:hAnsi="Arial" w:cs="Arial"/>
          <w:lang w:val="it-IT"/>
        </w:rPr>
        <w:t>EPRA Topped-up Net Yield del 4,8%.</w:t>
      </w:r>
    </w:p>
    <w:p w:rsidR="001A562D" w:rsidRDefault="001A562D" w:rsidP="007B1AA1">
      <w:pPr>
        <w:jc w:val="both"/>
        <w:rPr>
          <w:rFonts w:ascii="Arial" w:hAnsi="Arial" w:cs="Arial"/>
          <w:lang w:val="it-IT"/>
        </w:rPr>
      </w:pPr>
    </w:p>
    <w:p w:rsidR="004F6367" w:rsidRDefault="004F6367" w:rsidP="007B1AA1">
      <w:pPr>
        <w:jc w:val="both"/>
        <w:rPr>
          <w:rFonts w:ascii="Arial" w:hAnsi="Arial" w:cs="Arial"/>
          <w:b/>
          <w:lang w:val="it-IT"/>
        </w:rPr>
      </w:pPr>
    </w:p>
    <w:p w:rsidR="004F6367" w:rsidRDefault="004F6367" w:rsidP="007B1AA1">
      <w:pPr>
        <w:jc w:val="both"/>
        <w:rPr>
          <w:rFonts w:ascii="Arial" w:hAnsi="Arial" w:cs="Arial"/>
          <w:b/>
          <w:lang w:val="it-IT"/>
        </w:rPr>
      </w:pPr>
    </w:p>
    <w:p w:rsidR="004F6367" w:rsidRDefault="004F6367" w:rsidP="007B1AA1">
      <w:pPr>
        <w:jc w:val="both"/>
        <w:rPr>
          <w:rFonts w:ascii="Arial" w:hAnsi="Arial" w:cs="Arial"/>
          <w:b/>
          <w:lang w:val="it-IT"/>
        </w:rPr>
      </w:pPr>
    </w:p>
    <w:p w:rsidR="001A562D" w:rsidRPr="001A562D" w:rsidRDefault="001A562D" w:rsidP="007B1AA1">
      <w:pPr>
        <w:jc w:val="both"/>
        <w:rPr>
          <w:rFonts w:ascii="Arial" w:hAnsi="Arial" w:cs="Arial"/>
          <w:b/>
          <w:lang w:val="it-IT"/>
        </w:rPr>
      </w:pPr>
      <w:r w:rsidRPr="001A562D">
        <w:rPr>
          <w:rFonts w:ascii="Arial" w:hAnsi="Arial" w:cs="Arial"/>
          <w:b/>
          <w:lang w:val="it-IT"/>
        </w:rPr>
        <w:lastRenderedPageBreak/>
        <w:t>Cessioni</w:t>
      </w:r>
    </w:p>
    <w:p w:rsidR="001A562D" w:rsidRPr="00681505" w:rsidRDefault="001A562D" w:rsidP="001A562D">
      <w:pPr>
        <w:jc w:val="both"/>
        <w:rPr>
          <w:rFonts w:ascii="Arial" w:hAnsi="Arial" w:cs="Arial"/>
          <w:lang w:val="it-IT"/>
        </w:rPr>
      </w:pPr>
      <w:r w:rsidRPr="00681505">
        <w:rPr>
          <w:rFonts w:ascii="Arial" w:hAnsi="Arial" w:cs="Arial"/>
          <w:lang w:val="it-IT"/>
        </w:rPr>
        <w:t>Dall'IPO, COIMA RES ha effettuato cessioni pari al 18% del portafoglio a un premio medio rispetto al prezzo di acquisto dell’8%. Le recenti acquisizioni e cessioni mostrano l'attrattività della strategia di investimento di COIMA RES</w:t>
      </w:r>
      <w:r>
        <w:rPr>
          <w:rFonts w:ascii="Arial" w:hAnsi="Arial" w:cs="Arial"/>
          <w:lang w:val="it-IT"/>
        </w:rPr>
        <w:t>:</w:t>
      </w:r>
      <w:r w:rsidRPr="00681505">
        <w:rPr>
          <w:rFonts w:ascii="Arial" w:hAnsi="Arial" w:cs="Arial"/>
          <w:lang w:val="it-IT"/>
        </w:rPr>
        <w:t xml:space="preserve"> creare valore attraverso la gestione attiva di </w:t>
      </w:r>
      <w:r>
        <w:rPr>
          <w:rFonts w:ascii="Arial" w:hAnsi="Arial" w:cs="Arial"/>
          <w:lang w:val="it-IT"/>
        </w:rPr>
        <w:t xml:space="preserve">portafoglio </w:t>
      </w:r>
      <w:r w:rsidRPr="00681505">
        <w:rPr>
          <w:rFonts w:ascii="Arial" w:hAnsi="Arial" w:cs="Arial"/>
          <w:lang w:val="it-IT"/>
        </w:rPr>
        <w:t>di alta qualità, controllando attentamente i rischi.</w:t>
      </w:r>
    </w:p>
    <w:p w:rsidR="001A562D" w:rsidRDefault="001A562D" w:rsidP="001A562D">
      <w:pPr>
        <w:jc w:val="both"/>
        <w:rPr>
          <w:rFonts w:ascii="Arial" w:hAnsi="Arial" w:cs="Arial"/>
          <w:lang w:val="it-IT"/>
        </w:rPr>
      </w:pPr>
      <w:r w:rsidRPr="001A562D">
        <w:rPr>
          <w:rFonts w:ascii="Arial" w:hAnsi="Arial" w:cs="Arial"/>
          <w:b/>
          <w:lang w:val="it-IT"/>
        </w:rPr>
        <w:t>Eurcenter</w:t>
      </w:r>
      <w:r>
        <w:rPr>
          <w:rFonts w:ascii="Arial" w:hAnsi="Arial" w:cs="Arial"/>
          <w:lang w:val="it-IT"/>
        </w:rPr>
        <w:t xml:space="preserve">: a </w:t>
      </w:r>
      <w:r w:rsidRPr="00681505">
        <w:rPr>
          <w:rFonts w:ascii="Arial" w:hAnsi="Arial" w:cs="Arial"/>
          <w:lang w:val="it-IT"/>
        </w:rPr>
        <w:t>dicembre 2018, COIMA RES ha ceduto l’immobile Eurcenter ubicato a Roma ad un prezzo di Euro 90,3 milioni a Zurich Italy Real Estate Fund.</w:t>
      </w:r>
      <w:r>
        <w:rPr>
          <w:rFonts w:ascii="Arial" w:hAnsi="Arial" w:cs="Arial"/>
          <w:lang w:val="it-IT"/>
        </w:rPr>
        <w:t xml:space="preserve"> </w:t>
      </w:r>
      <w:r w:rsidRPr="00681505">
        <w:rPr>
          <w:rFonts w:ascii="Arial" w:hAnsi="Arial" w:cs="Arial"/>
          <w:lang w:val="it-IT"/>
        </w:rPr>
        <w:t>Il prezzo di vendita rappresenta un premio del 13% rispetto al prezzo di acquisizione dell’immobile (agosto 2016) ed un premio del 4% rispetto all'ultimo valore contabile dell’immobile al 30 giugno 2018. Il "roundtrip" levered IRR realizzato da COIMA RES sull'investimento nell’immobile Eurcenter è pari al 20% (unlevered IRR di circa l'11%). Il prezzo di vendita rappresenta un rendimento netto stabilizzato in linea con il rendimento netto per asset prime dell'area EUR a Roma pari a</w:t>
      </w:r>
      <w:r>
        <w:rPr>
          <w:rFonts w:ascii="Arial" w:hAnsi="Arial" w:cs="Arial"/>
          <w:lang w:val="it-IT"/>
        </w:rPr>
        <w:t>l</w:t>
      </w:r>
      <w:r w:rsidRPr="00681505">
        <w:rPr>
          <w:rFonts w:ascii="Arial" w:hAnsi="Arial" w:cs="Arial"/>
          <w:lang w:val="it-IT"/>
        </w:rPr>
        <w:t xml:space="preserve"> 4,75%.</w:t>
      </w:r>
      <w:r w:rsidR="008C7FAA">
        <w:rPr>
          <w:rFonts w:ascii="Arial" w:hAnsi="Arial" w:cs="Arial"/>
          <w:lang w:val="it-IT"/>
        </w:rPr>
        <w:t xml:space="preserve"> </w:t>
      </w:r>
      <w:r w:rsidRPr="00681505">
        <w:rPr>
          <w:rFonts w:ascii="Arial" w:hAnsi="Arial" w:cs="Arial"/>
          <w:lang w:val="it-IT"/>
        </w:rPr>
        <w:t>La cessione dell’Eurcenter rappresenta la più grande operazione di compravendita di un singolo immobile ad uso uffici a Roma nel 2018, un mercato caratterizzato da una minore liquidità rispetto a Milano. Al momento della vendita, l'Eurcenter rappresentava il secondo immobile più grande nel portafoglio di COIMA RES per il 12% del valore totale del portafoglio.</w:t>
      </w:r>
    </w:p>
    <w:p w:rsidR="007B1AA1" w:rsidRPr="00681505" w:rsidRDefault="001A562D" w:rsidP="007B1AA1">
      <w:pPr>
        <w:jc w:val="both"/>
        <w:rPr>
          <w:rFonts w:ascii="Arial" w:hAnsi="Arial" w:cs="Arial"/>
          <w:lang w:val="it-IT"/>
        </w:rPr>
      </w:pPr>
      <w:r w:rsidRPr="001A562D">
        <w:rPr>
          <w:rFonts w:ascii="Arial" w:hAnsi="Arial" w:cs="Arial"/>
          <w:b/>
          <w:lang w:val="it-IT"/>
        </w:rPr>
        <w:t>Filiali bancarie</w:t>
      </w:r>
      <w:r>
        <w:rPr>
          <w:rFonts w:ascii="Arial" w:hAnsi="Arial" w:cs="Arial"/>
          <w:lang w:val="it-IT"/>
        </w:rPr>
        <w:t xml:space="preserve">: </w:t>
      </w:r>
      <w:r w:rsidR="007B1AA1" w:rsidRPr="00681505">
        <w:rPr>
          <w:rFonts w:ascii="Arial" w:hAnsi="Arial" w:cs="Arial"/>
          <w:lang w:val="it-IT"/>
        </w:rPr>
        <w:t>A settembre 2018, COIMA RES ha chiuso, tramite il fondo COIMA CORE FUND IV, la vendita di 2 filiali Deutsche Bank per un prezzo di Euro 1,5 milioni, che rappresenta un premio del 6,2% sull’ultimo valore contabile. Le due filiali sono a Desio e Varenna (location secondarie in Lombardia, Nord Italia).</w:t>
      </w:r>
      <w:r>
        <w:rPr>
          <w:rFonts w:ascii="Arial" w:hAnsi="Arial" w:cs="Arial"/>
          <w:lang w:val="it-IT"/>
        </w:rPr>
        <w:t xml:space="preserve"> </w:t>
      </w:r>
      <w:r w:rsidR="007B1AA1" w:rsidRPr="00681505">
        <w:rPr>
          <w:rFonts w:ascii="Arial" w:hAnsi="Arial" w:cs="Arial"/>
          <w:lang w:val="it-IT"/>
        </w:rPr>
        <w:t xml:space="preserve">Dall’IPO ad oggi, COIMA RES ha venduto 26 filiali Deutsche Bank per un valore complessivo di Euro 41,5 milioni che risulta in linea rispetto al valore di contribuzione all’IPO. </w:t>
      </w:r>
    </w:p>
    <w:p w:rsidR="00E86868" w:rsidRPr="00681505" w:rsidRDefault="00E86868" w:rsidP="00E86868">
      <w:pPr>
        <w:jc w:val="both"/>
        <w:rPr>
          <w:rFonts w:ascii="Arial" w:hAnsi="Arial" w:cs="Arial"/>
          <w:lang w:val="it-IT"/>
        </w:rPr>
      </w:pPr>
    </w:p>
    <w:p w:rsidR="00E86868" w:rsidRPr="001A562D" w:rsidRDefault="001A562D" w:rsidP="00E86868">
      <w:pPr>
        <w:jc w:val="both"/>
        <w:rPr>
          <w:rFonts w:ascii="Arial" w:hAnsi="Arial" w:cs="Arial"/>
          <w:b/>
          <w:lang w:val="it-IT"/>
        </w:rPr>
      </w:pPr>
      <w:r w:rsidRPr="001A562D">
        <w:rPr>
          <w:rFonts w:ascii="Arial" w:hAnsi="Arial" w:cs="Arial"/>
          <w:b/>
          <w:lang w:val="it-IT"/>
        </w:rPr>
        <w:t>Progetti di ristrutturazione</w:t>
      </w:r>
    </w:p>
    <w:p w:rsidR="001A562D" w:rsidRPr="00681505" w:rsidRDefault="001A562D" w:rsidP="001A562D">
      <w:pPr>
        <w:jc w:val="both"/>
        <w:rPr>
          <w:rFonts w:ascii="Arial" w:hAnsi="Arial" w:cs="Arial"/>
          <w:lang w:val="it-IT"/>
        </w:rPr>
      </w:pPr>
      <w:r>
        <w:rPr>
          <w:rFonts w:ascii="Arial" w:hAnsi="Arial" w:cs="Arial"/>
          <w:b/>
          <w:lang w:val="it-IT"/>
        </w:rPr>
        <w:t>Bonnet</w:t>
      </w:r>
      <w:r w:rsidRPr="001A562D">
        <w:rPr>
          <w:rFonts w:ascii="Arial" w:hAnsi="Arial" w:cs="Arial"/>
          <w:lang w:val="it-IT"/>
        </w:rPr>
        <w:t>:</w:t>
      </w:r>
      <w:r>
        <w:rPr>
          <w:rFonts w:ascii="Arial" w:hAnsi="Arial" w:cs="Arial"/>
          <w:b/>
          <w:lang w:val="it-IT"/>
        </w:rPr>
        <w:t xml:space="preserve"> </w:t>
      </w:r>
      <w:r>
        <w:rPr>
          <w:rFonts w:ascii="Arial" w:hAnsi="Arial" w:cs="Arial"/>
          <w:lang w:val="it-IT"/>
        </w:rPr>
        <w:t>i</w:t>
      </w:r>
      <w:r w:rsidRPr="00681505">
        <w:rPr>
          <w:rFonts w:ascii="Arial" w:hAnsi="Arial" w:cs="Arial"/>
          <w:lang w:val="it-IT"/>
        </w:rPr>
        <w:t xml:space="preserve">l progetto prosegue secondo i tempi pianificati con consegna prevista per il 2020 e su costi stimati complessivi di Euro 164 milioni, inclusivi del prezzo </w:t>
      </w:r>
      <w:r>
        <w:rPr>
          <w:rFonts w:ascii="Arial" w:hAnsi="Arial" w:cs="Arial"/>
          <w:lang w:val="it-IT"/>
        </w:rPr>
        <w:t xml:space="preserve">di </w:t>
      </w:r>
      <w:r w:rsidRPr="00681505">
        <w:rPr>
          <w:rFonts w:ascii="Arial" w:hAnsi="Arial" w:cs="Arial"/>
          <w:lang w:val="it-IT"/>
        </w:rPr>
        <w:t>acquisizione pari a</w:t>
      </w:r>
      <w:r>
        <w:rPr>
          <w:rFonts w:ascii="Arial" w:hAnsi="Arial" w:cs="Arial"/>
          <w:lang w:val="it-IT"/>
        </w:rPr>
        <w:t>d</w:t>
      </w:r>
      <w:r w:rsidRPr="00681505">
        <w:rPr>
          <w:rFonts w:ascii="Arial" w:hAnsi="Arial" w:cs="Arial"/>
          <w:lang w:val="it-IT"/>
        </w:rPr>
        <w:t xml:space="preserve"> Euro 89 milioni</w:t>
      </w:r>
      <w:r>
        <w:rPr>
          <w:rFonts w:ascii="Arial" w:hAnsi="Arial" w:cs="Arial"/>
          <w:lang w:val="it-IT"/>
        </w:rPr>
        <w:t xml:space="preserve"> e </w:t>
      </w:r>
      <w:r w:rsidRPr="00681505">
        <w:rPr>
          <w:rFonts w:ascii="Arial" w:hAnsi="Arial" w:cs="Arial"/>
          <w:lang w:val="it-IT"/>
        </w:rPr>
        <w:t xml:space="preserve">di capex e altri costi </w:t>
      </w:r>
      <w:r>
        <w:rPr>
          <w:rFonts w:ascii="Arial" w:hAnsi="Arial" w:cs="Arial"/>
          <w:lang w:val="it-IT"/>
        </w:rPr>
        <w:t xml:space="preserve">capitalizzati </w:t>
      </w:r>
      <w:r w:rsidRPr="00681505">
        <w:rPr>
          <w:rFonts w:ascii="Arial" w:hAnsi="Arial" w:cs="Arial"/>
          <w:lang w:val="it-IT"/>
        </w:rPr>
        <w:t>pari a</w:t>
      </w:r>
      <w:r>
        <w:rPr>
          <w:rFonts w:ascii="Arial" w:hAnsi="Arial" w:cs="Arial"/>
          <w:lang w:val="it-IT"/>
        </w:rPr>
        <w:t>d</w:t>
      </w:r>
      <w:r w:rsidRPr="00681505">
        <w:rPr>
          <w:rFonts w:ascii="Arial" w:hAnsi="Arial" w:cs="Arial"/>
          <w:lang w:val="it-IT"/>
        </w:rPr>
        <w:t xml:space="preserve"> Euro 75 milioni. Complessivamente</w:t>
      </w:r>
      <w:r>
        <w:rPr>
          <w:rFonts w:ascii="Arial" w:hAnsi="Arial" w:cs="Arial"/>
          <w:lang w:val="it-IT"/>
        </w:rPr>
        <w:t>,</w:t>
      </w:r>
      <w:r w:rsidRPr="00681505">
        <w:rPr>
          <w:rFonts w:ascii="Arial" w:hAnsi="Arial" w:cs="Arial"/>
          <w:lang w:val="it-IT"/>
        </w:rPr>
        <w:t xml:space="preserve"> in termini di capex e altri costi</w:t>
      </w:r>
      <w:r>
        <w:rPr>
          <w:rFonts w:ascii="Arial" w:hAnsi="Arial" w:cs="Arial"/>
          <w:lang w:val="it-IT"/>
        </w:rPr>
        <w:t>,</w:t>
      </w:r>
      <w:r w:rsidRPr="00681505">
        <w:rPr>
          <w:rFonts w:ascii="Arial" w:hAnsi="Arial" w:cs="Arial"/>
          <w:lang w:val="it-IT"/>
        </w:rPr>
        <w:t xml:space="preserve"> è già stato speso nel periodo 2016-2017 un ammontare pari a</w:t>
      </w:r>
      <w:r>
        <w:rPr>
          <w:rFonts w:ascii="Arial" w:hAnsi="Arial" w:cs="Arial"/>
          <w:lang w:val="it-IT"/>
        </w:rPr>
        <w:t>d</w:t>
      </w:r>
      <w:r w:rsidRPr="00681505">
        <w:rPr>
          <w:rFonts w:ascii="Arial" w:hAnsi="Arial" w:cs="Arial"/>
          <w:lang w:val="it-IT"/>
        </w:rPr>
        <w:t xml:space="preserve"> Euro 12,7 milioni con ulterior</w:t>
      </w:r>
      <w:r>
        <w:rPr>
          <w:rFonts w:ascii="Arial" w:hAnsi="Arial" w:cs="Arial"/>
          <w:lang w:val="it-IT"/>
        </w:rPr>
        <w:t>i</w:t>
      </w:r>
      <w:r w:rsidRPr="00681505">
        <w:rPr>
          <w:rFonts w:ascii="Arial" w:hAnsi="Arial" w:cs="Arial"/>
          <w:lang w:val="it-IT"/>
        </w:rPr>
        <w:t xml:space="preserve"> Euro 62,3 milioni da spendere nel periodo 2019-2020 (di cui la quota di COIMA RES ammonta a</w:t>
      </w:r>
      <w:r>
        <w:rPr>
          <w:rFonts w:ascii="Arial" w:hAnsi="Arial" w:cs="Arial"/>
          <w:lang w:val="it-IT"/>
        </w:rPr>
        <w:t>d</w:t>
      </w:r>
      <w:r w:rsidRPr="00681505">
        <w:rPr>
          <w:rFonts w:ascii="Arial" w:hAnsi="Arial" w:cs="Arial"/>
          <w:lang w:val="it-IT"/>
        </w:rPr>
        <w:t xml:space="preserve"> Euro 22,2 milioni data la partecipazione del 35,7% detenuta nel progetto).</w:t>
      </w:r>
      <w:r>
        <w:rPr>
          <w:rFonts w:ascii="Arial" w:hAnsi="Arial" w:cs="Arial"/>
          <w:lang w:val="it-IT"/>
        </w:rPr>
        <w:t xml:space="preserve"> </w:t>
      </w:r>
      <w:r w:rsidRPr="00681505">
        <w:rPr>
          <w:rFonts w:ascii="Arial" w:hAnsi="Arial" w:cs="Arial"/>
          <w:lang w:val="it-IT"/>
        </w:rPr>
        <w:t>Si prevede il completamento dell’intero progetto nel 2020. L’attività di locazione è iniziata formalmente a settembre 2018, ed i brokers sono già stati incaricati. Il feedback preliminare da parte di potenziali conduttori è positivo.</w:t>
      </w:r>
    </w:p>
    <w:p w:rsidR="007B1AA1" w:rsidRPr="00681505" w:rsidRDefault="00DE515A" w:rsidP="007B1AA1">
      <w:pPr>
        <w:jc w:val="both"/>
        <w:rPr>
          <w:rFonts w:ascii="Arial" w:hAnsi="Arial" w:cs="Arial"/>
          <w:lang w:val="it-IT"/>
        </w:rPr>
      </w:pPr>
      <w:r>
        <w:rPr>
          <w:rFonts w:ascii="Arial" w:hAnsi="Arial" w:cs="Arial"/>
          <w:b/>
          <w:lang w:val="it-IT"/>
        </w:rPr>
        <w:t>Gioiaotto</w:t>
      </w:r>
      <w:r w:rsidRPr="008C7FAA">
        <w:rPr>
          <w:rFonts w:ascii="Arial" w:hAnsi="Arial" w:cs="Arial"/>
          <w:lang w:val="it-IT"/>
        </w:rPr>
        <w:t>: c</w:t>
      </w:r>
      <w:r w:rsidR="007B1AA1" w:rsidRPr="00681505">
        <w:rPr>
          <w:rFonts w:ascii="Arial" w:hAnsi="Arial" w:cs="Arial"/>
          <w:lang w:val="it-IT"/>
        </w:rPr>
        <w:t>on l'obiettivo di aggiornare gli standard dell'hotel al livello NH Collection, NH Hotel Group ha eseguito la</w:t>
      </w:r>
      <w:r w:rsidR="006C5975">
        <w:rPr>
          <w:rFonts w:ascii="Arial" w:hAnsi="Arial" w:cs="Arial"/>
          <w:lang w:val="it-IT"/>
        </w:rPr>
        <w:t xml:space="preserve">vori di ristrutturazione per </w:t>
      </w:r>
      <w:r w:rsidR="007B1AA1" w:rsidRPr="00681505">
        <w:rPr>
          <w:rFonts w:ascii="Arial" w:hAnsi="Arial" w:cs="Arial"/>
          <w:lang w:val="it-IT"/>
        </w:rPr>
        <w:t>Euro 4,0 milioni. Il fondo che possiede Gioiaotto</w:t>
      </w:r>
      <w:r w:rsidR="00ED5F97">
        <w:rPr>
          <w:rFonts w:ascii="Arial" w:hAnsi="Arial" w:cs="Arial"/>
          <w:lang w:val="it-IT"/>
        </w:rPr>
        <w:t>,</w:t>
      </w:r>
      <w:r w:rsidR="007B1AA1" w:rsidRPr="00681505">
        <w:rPr>
          <w:rFonts w:ascii="Arial" w:hAnsi="Arial" w:cs="Arial"/>
          <w:lang w:val="it-IT"/>
        </w:rPr>
        <w:t xml:space="preserve"> che è</w:t>
      </w:r>
      <w:r w:rsidR="00ED5F97">
        <w:rPr>
          <w:rFonts w:ascii="Arial" w:hAnsi="Arial" w:cs="Arial"/>
          <w:lang w:val="it-IT"/>
        </w:rPr>
        <w:t xml:space="preserve"> posseduto all'87% da COIMA RES,</w:t>
      </w:r>
      <w:r w:rsidR="007B1AA1" w:rsidRPr="00681505">
        <w:rPr>
          <w:rFonts w:ascii="Arial" w:hAnsi="Arial" w:cs="Arial"/>
          <w:lang w:val="it-IT"/>
        </w:rPr>
        <w:t xml:space="preserve"> </w:t>
      </w:r>
      <w:r w:rsidR="006C5975">
        <w:rPr>
          <w:rFonts w:ascii="Arial" w:hAnsi="Arial" w:cs="Arial"/>
          <w:lang w:val="it-IT"/>
        </w:rPr>
        <w:t xml:space="preserve">ha contribuito </w:t>
      </w:r>
      <w:r w:rsidR="007B1AA1" w:rsidRPr="00681505">
        <w:rPr>
          <w:rFonts w:ascii="Arial" w:hAnsi="Arial" w:cs="Arial"/>
          <w:lang w:val="it-IT"/>
        </w:rPr>
        <w:t xml:space="preserve">per Euro 1,4 milioni a questo importo. I lavori sono iniziati nel Q4 2017 e sono stati completati a luglio 2018. </w:t>
      </w:r>
    </w:p>
    <w:p w:rsidR="0094039E" w:rsidRPr="00681505" w:rsidRDefault="0094039E" w:rsidP="00E86868">
      <w:pPr>
        <w:jc w:val="both"/>
        <w:rPr>
          <w:rFonts w:ascii="Arial" w:hAnsi="Arial" w:cs="Arial"/>
          <w:b/>
          <w:lang w:val="it-IT"/>
        </w:rPr>
      </w:pPr>
    </w:p>
    <w:p w:rsidR="00207944" w:rsidRDefault="00207944" w:rsidP="00E86868">
      <w:pPr>
        <w:jc w:val="both"/>
        <w:rPr>
          <w:rFonts w:ascii="Arial" w:hAnsi="Arial" w:cs="Arial"/>
          <w:b/>
          <w:lang w:val="it-IT"/>
        </w:rPr>
      </w:pPr>
    </w:p>
    <w:p w:rsidR="00207944" w:rsidRDefault="00207944" w:rsidP="00E86868">
      <w:pPr>
        <w:jc w:val="both"/>
        <w:rPr>
          <w:rFonts w:ascii="Arial" w:hAnsi="Arial" w:cs="Arial"/>
          <w:b/>
          <w:lang w:val="it-IT"/>
        </w:rPr>
      </w:pPr>
    </w:p>
    <w:p w:rsidR="00207944" w:rsidRDefault="00207944" w:rsidP="00E86868">
      <w:pPr>
        <w:jc w:val="both"/>
        <w:rPr>
          <w:rFonts w:ascii="Arial" w:hAnsi="Arial" w:cs="Arial"/>
          <w:b/>
          <w:lang w:val="it-IT"/>
        </w:rPr>
      </w:pPr>
    </w:p>
    <w:p w:rsidR="00207944" w:rsidRDefault="00207944" w:rsidP="00E86868">
      <w:pPr>
        <w:jc w:val="both"/>
        <w:rPr>
          <w:rFonts w:ascii="Arial" w:hAnsi="Arial" w:cs="Arial"/>
          <w:b/>
          <w:lang w:val="it-IT"/>
        </w:rPr>
      </w:pPr>
    </w:p>
    <w:p w:rsidR="00E86868" w:rsidRPr="00681505" w:rsidRDefault="0094039E" w:rsidP="00E86868">
      <w:pPr>
        <w:jc w:val="both"/>
        <w:rPr>
          <w:rFonts w:ascii="Arial" w:hAnsi="Arial" w:cs="Arial"/>
          <w:b/>
          <w:lang w:val="it-IT"/>
        </w:rPr>
      </w:pPr>
      <w:r w:rsidRPr="00681505">
        <w:rPr>
          <w:rFonts w:ascii="Arial" w:hAnsi="Arial" w:cs="Arial"/>
          <w:b/>
          <w:lang w:val="it-IT"/>
        </w:rPr>
        <w:lastRenderedPageBreak/>
        <w:t>Meccanismo di rinnovo del Consiglio di Amministrazione</w:t>
      </w:r>
    </w:p>
    <w:p w:rsidR="00E86868" w:rsidRPr="00681505" w:rsidRDefault="0094039E" w:rsidP="00E86868">
      <w:pPr>
        <w:jc w:val="both"/>
        <w:rPr>
          <w:rFonts w:ascii="Arial" w:hAnsi="Arial" w:cs="Arial"/>
          <w:lang w:val="it-IT"/>
        </w:rPr>
      </w:pPr>
      <w:r w:rsidRPr="00681505">
        <w:rPr>
          <w:rFonts w:ascii="Arial" w:hAnsi="Arial" w:cs="Arial"/>
          <w:lang w:val="it-IT"/>
        </w:rPr>
        <w:t>Il 12 aprile 2018, l'</w:t>
      </w:r>
      <w:r w:rsidR="00782724">
        <w:rPr>
          <w:rFonts w:ascii="Arial" w:hAnsi="Arial" w:cs="Arial"/>
          <w:lang w:val="it-IT"/>
        </w:rPr>
        <w:t>A</w:t>
      </w:r>
      <w:r w:rsidRPr="00681505">
        <w:rPr>
          <w:rFonts w:ascii="Arial" w:hAnsi="Arial" w:cs="Arial"/>
          <w:lang w:val="it-IT"/>
        </w:rPr>
        <w:t xml:space="preserve">ssemblea degli </w:t>
      </w:r>
      <w:r w:rsidR="00782724">
        <w:rPr>
          <w:rFonts w:ascii="Arial" w:hAnsi="Arial" w:cs="Arial"/>
          <w:lang w:val="it-IT"/>
        </w:rPr>
        <w:t>A</w:t>
      </w:r>
      <w:r w:rsidRPr="00681505">
        <w:rPr>
          <w:rFonts w:ascii="Arial" w:hAnsi="Arial" w:cs="Arial"/>
          <w:lang w:val="it-IT"/>
        </w:rPr>
        <w:t xml:space="preserve">zionisti ha approvato </w:t>
      </w:r>
      <w:r w:rsidR="00782724">
        <w:rPr>
          <w:rFonts w:ascii="Arial" w:hAnsi="Arial" w:cs="Arial"/>
          <w:lang w:val="it-IT"/>
        </w:rPr>
        <w:t xml:space="preserve">un nuovo meccanismo di </w:t>
      </w:r>
      <w:r w:rsidRPr="00681505">
        <w:rPr>
          <w:rFonts w:ascii="Arial" w:hAnsi="Arial" w:cs="Arial"/>
          <w:lang w:val="it-IT"/>
        </w:rPr>
        <w:t xml:space="preserve">nomina </w:t>
      </w:r>
      <w:r w:rsidR="00782724">
        <w:rPr>
          <w:rFonts w:ascii="Arial" w:hAnsi="Arial" w:cs="Arial"/>
          <w:lang w:val="it-IT"/>
        </w:rPr>
        <w:t xml:space="preserve">del Consiglio di Amministrazione che prevede un mandato </w:t>
      </w:r>
      <w:r w:rsidRPr="00681505">
        <w:rPr>
          <w:rFonts w:ascii="Arial" w:hAnsi="Arial" w:cs="Arial"/>
          <w:lang w:val="it-IT"/>
        </w:rPr>
        <w:t xml:space="preserve">per un periodo di un anno </w:t>
      </w:r>
      <w:r w:rsidR="00782724">
        <w:rPr>
          <w:rFonts w:ascii="Arial" w:hAnsi="Arial" w:cs="Arial"/>
          <w:lang w:val="it-IT"/>
        </w:rPr>
        <w:t>per</w:t>
      </w:r>
      <w:r w:rsidRPr="00681505">
        <w:rPr>
          <w:rFonts w:ascii="Arial" w:hAnsi="Arial" w:cs="Arial"/>
          <w:lang w:val="it-IT"/>
        </w:rPr>
        <w:t xml:space="preserve"> tutti i membri del consiglio di amministrazione (rispetto </w:t>
      </w:r>
      <w:r w:rsidR="00782724">
        <w:rPr>
          <w:rFonts w:ascii="Arial" w:hAnsi="Arial" w:cs="Arial"/>
          <w:lang w:val="it-IT"/>
        </w:rPr>
        <w:t>al mandato triennale in essere precedentemente</w:t>
      </w:r>
      <w:r w:rsidRPr="00681505">
        <w:rPr>
          <w:rFonts w:ascii="Arial" w:hAnsi="Arial" w:cs="Arial"/>
          <w:lang w:val="it-IT"/>
        </w:rPr>
        <w:t xml:space="preserve">). L'attuale Consiglio di </w:t>
      </w:r>
      <w:r w:rsidR="004F6367" w:rsidRPr="00681505">
        <w:rPr>
          <w:rFonts w:ascii="Arial" w:hAnsi="Arial" w:cs="Arial"/>
          <w:lang w:val="it-IT"/>
        </w:rPr>
        <w:t xml:space="preserve">Amministrazione </w:t>
      </w:r>
      <w:r w:rsidRPr="00681505">
        <w:rPr>
          <w:rFonts w:ascii="Arial" w:hAnsi="Arial" w:cs="Arial"/>
          <w:lang w:val="it-IT"/>
        </w:rPr>
        <w:t xml:space="preserve">è operativo dal 12 aprile 2018 e sarà operativo fino all'approvazione dell'Assemblea </w:t>
      </w:r>
      <w:r w:rsidR="00ED5F97">
        <w:rPr>
          <w:rFonts w:ascii="Arial" w:hAnsi="Arial" w:cs="Arial"/>
          <w:lang w:val="it-IT"/>
        </w:rPr>
        <w:t xml:space="preserve">degli Azionisti che approverà i </w:t>
      </w:r>
      <w:r w:rsidRPr="00681505">
        <w:rPr>
          <w:rFonts w:ascii="Arial" w:hAnsi="Arial" w:cs="Arial"/>
          <w:lang w:val="it-IT"/>
        </w:rPr>
        <w:t>risultati finanziari del 2018 attualmente prevista per il 17 aprile 2019.</w:t>
      </w:r>
    </w:p>
    <w:p w:rsidR="00E86868" w:rsidRPr="00681505" w:rsidRDefault="00E86868" w:rsidP="00E86868">
      <w:pPr>
        <w:jc w:val="both"/>
        <w:rPr>
          <w:rFonts w:ascii="Arial" w:hAnsi="Arial" w:cs="Arial"/>
          <w:lang w:val="it-IT"/>
        </w:rPr>
      </w:pPr>
    </w:p>
    <w:p w:rsidR="00E86868" w:rsidRPr="00681505" w:rsidRDefault="0094039E" w:rsidP="00E86868">
      <w:pPr>
        <w:jc w:val="both"/>
        <w:rPr>
          <w:rFonts w:ascii="Arial" w:hAnsi="Arial" w:cs="Arial"/>
          <w:b/>
          <w:lang w:val="it-IT"/>
        </w:rPr>
      </w:pPr>
      <w:r w:rsidRPr="00681505">
        <w:rPr>
          <w:rFonts w:ascii="Arial" w:hAnsi="Arial" w:cs="Arial"/>
          <w:b/>
          <w:lang w:val="it-IT"/>
        </w:rPr>
        <w:t>Patto di sindacato rinnovato per ulteriori 3 anni</w:t>
      </w:r>
    </w:p>
    <w:p w:rsidR="00E86868" w:rsidRPr="00681505" w:rsidRDefault="0094039E" w:rsidP="00E86868">
      <w:pPr>
        <w:jc w:val="both"/>
        <w:rPr>
          <w:rFonts w:ascii="Arial" w:hAnsi="Arial" w:cs="Arial"/>
          <w:lang w:val="it-IT"/>
        </w:rPr>
      </w:pPr>
      <w:r w:rsidRPr="00681505">
        <w:rPr>
          <w:rFonts w:ascii="Arial" w:hAnsi="Arial" w:cs="Arial"/>
          <w:lang w:val="it-IT"/>
        </w:rPr>
        <w:t xml:space="preserve">Con riferimento alla compagine azionaria di COIMA RES, il patto parasociale tra Qatar Holding LLC e gli azionisti fondatori Manfredi Catella, COIMA SGR S.p.A. e COIMA S.r.l. è stato rinnovato automaticamente per altri 3 anni fino al 30 novembre 2021. </w:t>
      </w:r>
    </w:p>
    <w:p w:rsidR="00DE515A" w:rsidRDefault="00DE515A" w:rsidP="00E86868">
      <w:pPr>
        <w:jc w:val="both"/>
        <w:rPr>
          <w:rFonts w:ascii="Arial" w:hAnsi="Arial" w:cs="Arial"/>
          <w:b/>
          <w:lang w:val="it-IT"/>
        </w:rPr>
      </w:pPr>
    </w:p>
    <w:p w:rsidR="00E86868" w:rsidRPr="00681505" w:rsidRDefault="00E86868" w:rsidP="00E86868">
      <w:pPr>
        <w:jc w:val="both"/>
        <w:rPr>
          <w:rFonts w:ascii="Arial" w:hAnsi="Arial" w:cs="Arial"/>
          <w:b/>
          <w:lang w:val="it-IT"/>
        </w:rPr>
      </w:pPr>
      <w:r w:rsidRPr="00681505">
        <w:rPr>
          <w:rFonts w:ascii="Arial" w:hAnsi="Arial" w:cs="Arial"/>
          <w:b/>
          <w:lang w:val="it-IT"/>
        </w:rPr>
        <w:t>Outlook</w:t>
      </w:r>
    </w:p>
    <w:p w:rsidR="0094039E" w:rsidRPr="00681505" w:rsidRDefault="0094039E" w:rsidP="00E86868">
      <w:pPr>
        <w:jc w:val="both"/>
        <w:rPr>
          <w:rFonts w:ascii="Arial" w:hAnsi="Arial" w:cs="Arial"/>
          <w:lang w:val="it-IT"/>
        </w:rPr>
      </w:pPr>
      <w:r w:rsidRPr="00681505">
        <w:rPr>
          <w:rFonts w:ascii="Arial" w:hAnsi="Arial" w:cs="Arial"/>
          <w:lang w:val="it-IT"/>
        </w:rPr>
        <w:t xml:space="preserve">In questo momento di incertezza sia in Italia che in Europa, abbiamo deciso di concentrarci </w:t>
      </w:r>
      <w:r w:rsidR="00782724">
        <w:rPr>
          <w:rFonts w:ascii="Arial" w:hAnsi="Arial" w:cs="Arial"/>
          <w:lang w:val="it-IT"/>
        </w:rPr>
        <w:t>a</w:t>
      </w:r>
      <w:r w:rsidRPr="00681505">
        <w:rPr>
          <w:rFonts w:ascii="Arial" w:hAnsi="Arial" w:cs="Arial"/>
          <w:lang w:val="it-IT"/>
        </w:rPr>
        <w:t xml:space="preserve"> Milano, il mercato degli uffici più grande, trasparente e liquido d'Italia. Milano ha rappresentato oltre il 60% del mercato degli uffici in Italia, sia per numero di transazioni e volumi di investimenti negli ultimi quattro anni. Milano è caratterizzata da solidi fondamentali tra domanda e offerta, in particolare a causa della scarsità di immobili di </w:t>
      </w:r>
      <w:r w:rsidR="00ED5F97" w:rsidRPr="00681505">
        <w:rPr>
          <w:rFonts w:ascii="Arial" w:hAnsi="Arial" w:cs="Arial"/>
          <w:lang w:val="it-IT"/>
        </w:rPr>
        <w:t xml:space="preserve">Grado </w:t>
      </w:r>
      <w:r w:rsidRPr="00681505">
        <w:rPr>
          <w:rFonts w:ascii="Arial" w:hAnsi="Arial" w:cs="Arial"/>
          <w:lang w:val="it-IT"/>
        </w:rPr>
        <w:t>A, che rappresentano solo il 10% del totale stock ad uso ufficio, ma rappresentano oltre il 70% della domanda da parte dei conduttori. Questo squilibrio suggerisce che la domanda potrebbe superare di 2-3 volte l'offerta nei prossimi anni</w:t>
      </w:r>
      <w:r w:rsidR="00782724">
        <w:rPr>
          <w:rFonts w:ascii="Arial" w:hAnsi="Arial" w:cs="Arial"/>
          <w:lang w:val="it-IT"/>
        </w:rPr>
        <w:t>,</w:t>
      </w:r>
      <w:r w:rsidRPr="00681505">
        <w:rPr>
          <w:rFonts w:ascii="Arial" w:hAnsi="Arial" w:cs="Arial"/>
          <w:lang w:val="it-IT"/>
        </w:rPr>
        <w:t xml:space="preserve"> il che sosterrà la crescita dei canoni a breve e medio termine.</w:t>
      </w:r>
    </w:p>
    <w:p w:rsidR="00D91C28" w:rsidRPr="00681505" w:rsidRDefault="0094039E" w:rsidP="00E86868">
      <w:pPr>
        <w:jc w:val="both"/>
        <w:rPr>
          <w:rFonts w:ascii="Arial" w:hAnsi="Arial" w:cs="Arial"/>
          <w:lang w:val="it-IT"/>
        </w:rPr>
      </w:pPr>
      <w:r w:rsidRPr="00681505">
        <w:rPr>
          <w:rFonts w:ascii="Arial" w:hAnsi="Arial" w:cs="Arial"/>
          <w:lang w:val="it-IT"/>
        </w:rPr>
        <w:t>Per quanto riguarda il portafoglio attuale, COIMA RES valut</w:t>
      </w:r>
      <w:r w:rsidR="00782724">
        <w:rPr>
          <w:rFonts w:ascii="Arial" w:hAnsi="Arial" w:cs="Arial"/>
          <w:lang w:val="it-IT"/>
        </w:rPr>
        <w:t>erà</w:t>
      </w:r>
      <w:r w:rsidRPr="00681505">
        <w:rPr>
          <w:rFonts w:ascii="Arial" w:hAnsi="Arial" w:cs="Arial"/>
          <w:lang w:val="it-IT"/>
        </w:rPr>
        <w:t xml:space="preserve"> ulteriori attività di asset rotation per aumentare la propria esposizione a Milano e bilanciare la concentrazione </w:t>
      </w:r>
      <w:r w:rsidR="0002067B">
        <w:rPr>
          <w:rFonts w:ascii="Arial" w:hAnsi="Arial" w:cs="Arial"/>
          <w:lang w:val="it-IT"/>
        </w:rPr>
        <w:t>dei conduttori</w:t>
      </w:r>
      <w:r w:rsidRPr="00681505">
        <w:rPr>
          <w:rFonts w:ascii="Arial" w:hAnsi="Arial" w:cs="Arial"/>
          <w:lang w:val="it-IT"/>
        </w:rPr>
        <w:t>.</w:t>
      </w:r>
    </w:p>
    <w:p w:rsidR="0094039E" w:rsidRPr="00681505" w:rsidRDefault="0094039E" w:rsidP="00E86868">
      <w:pPr>
        <w:jc w:val="both"/>
        <w:rPr>
          <w:rFonts w:ascii="Arial" w:hAnsi="Arial" w:cs="Arial"/>
          <w:lang w:val="it-IT"/>
        </w:rPr>
      </w:pPr>
      <w:r w:rsidRPr="00681505">
        <w:rPr>
          <w:rFonts w:ascii="Arial" w:hAnsi="Arial" w:cs="Arial"/>
          <w:lang w:val="it-IT"/>
        </w:rPr>
        <w:t xml:space="preserve">COIMA RES continua a valutare attentamente e selettivamente opportunità di investimento a Milano dato il </w:t>
      </w:r>
      <w:r w:rsidR="00DE515A">
        <w:rPr>
          <w:rFonts w:ascii="Arial" w:hAnsi="Arial" w:cs="Arial"/>
          <w:lang w:val="it-IT"/>
        </w:rPr>
        <w:t xml:space="preserve">suo </w:t>
      </w:r>
      <w:r w:rsidRPr="00681505">
        <w:rPr>
          <w:rFonts w:ascii="Arial" w:hAnsi="Arial" w:cs="Arial"/>
          <w:lang w:val="it-IT"/>
        </w:rPr>
        <w:t>potenziale di crescita e la relativa resilienza durante i cicli. La selezione degli investimenti porrà l'accento sugli asset office Core e Core +. COIMA RES valuterà anche selettivamente opportunità di co-investimento in progetti Value-add in JV</w:t>
      </w:r>
      <w:bookmarkStart w:id="0" w:name="_GoBack"/>
      <w:bookmarkEnd w:id="0"/>
      <w:r w:rsidRPr="00681505">
        <w:rPr>
          <w:rFonts w:ascii="Arial" w:hAnsi="Arial" w:cs="Arial"/>
          <w:lang w:val="it-IT"/>
        </w:rPr>
        <w:t>.</w:t>
      </w:r>
    </w:p>
    <w:p w:rsidR="00BC08C3" w:rsidRPr="00681505" w:rsidRDefault="00BC08C3" w:rsidP="00BC08C3">
      <w:pPr>
        <w:jc w:val="both"/>
        <w:rPr>
          <w:rFonts w:ascii="Arial" w:hAnsi="Arial" w:cs="Arial"/>
          <w:lang w:val="it-IT"/>
        </w:rPr>
      </w:pPr>
    </w:p>
    <w:p w:rsidR="00BA2AC6" w:rsidRPr="00681505" w:rsidRDefault="0094039E" w:rsidP="00BA2AC6">
      <w:pPr>
        <w:jc w:val="both"/>
        <w:rPr>
          <w:rFonts w:ascii="Arial" w:hAnsi="Arial" w:cs="Arial"/>
          <w:b/>
          <w:lang w:val="it-IT"/>
        </w:rPr>
      </w:pPr>
      <w:r w:rsidRPr="00681505">
        <w:rPr>
          <w:rFonts w:ascii="Arial" w:hAnsi="Arial" w:cs="Arial"/>
          <w:b/>
          <w:lang w:val="it-IT"/>
        </w:rPr>
        <w:t>Altro</w:t>
      </w:r>
    </w:p>
    <w:p w:rsidR="00E86868" w:rsidRPr="00681505" w:rsidRDefault="0094039E" w:rsidP="00BA2AC6">
      <w:pPr>
        <w:jc w:val="both"/>
        <w:rPr>
          <w:rFonts w:ascii="Arial" w:hAnsi="Arial" w:cs="Arial"/>
          <w:lang w:val="it-IT"/>
        </w:rPr>
      </w:pPr>
      <w:r w:rsidRPr="00681505">
        <w:rPr>
          <w:rFonts w:ascii="Arial" w:hAnsi="Arial" w:cs="Arial"/>
          <w:lang w:val="it-IT"/>
        </w:rPr>
        <w:t xml:space="preserve">L’Assemblea degli Azionisti sarà convocata a tempo debito in linea con </w:t>
      </w:r>
      <w:r w:rsidR="00CC1EF6" w:rsidRPr="00681505">
        <w:rPr>
          <w:rFonts w:ascii="Arial" w:hAnsi="Arial" w:cs="Arial"/>
          <w:lang w:val="it-IT"/>
        </w:rPr>
        <w:t>il contesto normative e regolamentare</w:t>
      </w:r>
      <w:r w:rsidR="00BA2AC6" w:rsidRPr="00681505">
        <w:rPr>
          <w:rFonts w:ascii="Arial" w:hAnsi="Arial" w:cs="Arial"/>
          <w:lang w:val="it-IT"/>
        </w:rPr>
        <w:t>.</w:t>
      </w:r>
    </w:p>
    <w:p w:rsidR="00DC5FE3" w:rsidRDefault="00DC5FE3" w:rsidP="00DC5FE3">
      <w:pPr>
        <w:jc w:val="center"/>
        <w:rPr>
          <w:rFonts w:ascii="Arial" w:hAnsi="Arial" w:cs="Arial"/>
          <w:lang w:val="it-IT"/>
        </w:rPr>
      </w:pPr>
    </w:p>
    <w:p w:rsidR="00DC5FE3" w:rsidRDefault="00DC5FE3" w:rsidP="00DC5FE3">
      <w:pPr>
        <w:jc w:val="center"/>
        <w:rPr>
          <w:rFonts w:ascii="Arial" w:hAnsi="Arial" w:cs="Arial"/>
          <w:lang w:val="it-IT"/>
        </w:rPr>
      </w:pPr>
    </w:p>
    <w:p w:rsidR="00DC5FE3" w:rsidRDefault="00DC5FE3" w:rsidP="00DC5FE3">
      <w:pPr>
        <w:pageBreakBefore/>
        <w:jc w:val="center"/>
        <w:rPr>
          <w:rFonts w:ascii="Arial" w:hAnsi="Arial" w:cs="Arial"/>
          <w:b/>
          <w:lang w:val="it-IT"/>
        </w:rPr>
      </w:pPr>
      <w:r w:rsidRPr="00DC5FE3">
        <w:rPr>
          <w:rFonts w:ascii="Arial" w:hAnsi="Arial" w:cs="Arial"/>
          <w:b/>
          <w:lang w:val="it-IT"/>
        </w:rPr>
        <w:lastRenderedPageBreak/>
        <w:t>PROSPETTO CONSOLIDATO DELL’UTILE/(PERDITA) D’ESERCIZIO</w:t>
      </w:r>
    </w:p>
    <w:tbl>
      <w:tblPr>
        <w:tblW w:w="5000" w:type="pct"/>
        <w:tblLook w:val="04A0"/>
      </w:tblPr>
      <w:tblGrid>
        <w:gridCol w:w="4342"/>
        <w:gridCol w:w="1415"/>
        <w:gridCol w:w="1415"/>
        <w:gridCol w:w="1415"/>
        <w:gridCol w:w="1267"/>
      </w:tblGrid>
      <w:tr w:rsidR="00DC5FE3" w:rsidRPr="00DC5FE3" w:rsidTr="00DC5FE3">
        <w:trPr>
          <w:trHeight w:val="300"/>
        </w:trPr>
        <w:tc>
          <w:tcPr>
            <w:tcW w:w="2203" w:type="pct"/>
            <w:vMerge w:val="restart"/>
            <w:tcBorders>
              <w:top w:val="single" w:sz="8" w:space="0" w:color="DFD6CD"/>
              <w:left w:val="single" w:sz="8" w:space="0" w:color="DFD6CD"/>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rPr>
                <w:rFonts w:ascii="Times New Roman"/>
                <w:b/>
                <w:bCs/>
                <w:color w:val="000000"/>
                <w:sz w:val="16"/>
                <w:szCs w:val="16"/>
                <w:lang w:val="it-IT"/>
              </w:rPr>
            </w:pPr>
            <w:bookmarkStart w:id="1" w:name="_Hlk506899908"/>
            <w:r w:rsidRPr="00DC5FE3">
              <w:rPr>
                <w:rFonts w:ascii="Times New Roman"/>
                <w:b/>
                <w:bCs/>
                <w:color w:val="000000"/>
                <w:sz w:val="16"/>
                <w:szCs w:val="16"/>
                <w:lang w:val="it-IT"/>
              </w:rPr>
              <w:t>(Euro migliaia)</w:t>
            </w:r>
          </w:p>
        </w:tc>
        <w:tc>
          <w:tcPr>
            <w:tcW w:w="718" w:type="pct"/>
            <w:vMerge w:val="restart"/>
            <w:tcBorders>
              <w:top w:val="single" w:sz="8" w:space="0" w:color="C4BD97"/>
              <w:left w:val="nil"/>
              <w:bottom w:val="single" w:sz="8" w:space="0" w:color="C4BD97"/>
              <w:right w:val="nil"/>
            </w:tcBorders>
            <w:shd w:val="clear" w:color="000000" w:fill="AC9B85"/>
            <w:vAlign w:val="center"/>
            <w:hideMark/>
          </w:tcPr>
          <w:p w:rsidR="00DC5FE3" w:rsidRDefault="00DC5FE3" w:rsidP="00DC5FE3">
            <w:pPr>
              <w:spacing w:after="0" w:line="240" w:lineRule="auto"/>
              <w:jc w:val="center"/>
              <w:rPr>
                <w:rFonts w:ascii="Times New Roman"/>
                <w:b/>
                <w:bCs/>
                <w:color w:val="FFFFFF"/>
                <w:sz w:val="16"/>
                <w:szCs w:val="16"/>
                <w:lang w:val="it-IT"/>
              </w:rPr>
            </w:pPr>
            <w:r w:rsidRPr="00DC5FE3">
              <w:rPr>
                <w:rFonts w:ascii="Times New Roman"/>
                <w:b/>
                <w:bCs/>
                <w:color w:val="FFFFFF"/>
                <w:sz w:val="16"/>
                <w:szCs w:val="16"/>
                <w:lang w:val="it-IT"/>
              </w:rPr>
              <w:t>31 dicembre 2018</w:t>
            </w:r>
          </w:p>
          <w:p w:rsidR="00DC5FE3" w:rsidRPr="00DC5FE3" w:rsidRDefault="00DC5FE3" w:rsidP="00DC5FE3">
            <w:pPr>
              <w:spacing w:after="0" w:line="240" w:lineRule="auto"/>
              <w:jc w:val="center"/>
              <w:rPr>
                <w:rFonts w:ascii="Times New Roman"/>
                <w:b/>
                <w:bCs/>
                <w:color w:val="FFFFFF"/>
                <w:sz w:val="16"/>
                <w:szCs w:val="16"/>
                <w:lang w:val="it-IT"/>
              </w:rPr>
            </w:pPr>
            <w:r>
              <w:rPr>
                <w:rFonts w:ascii="Times New Roman"/>
                <w:b/>
                <w:bCs/>
                <w:color w:val="FFFFFF"/>
                <w:sz w:val="16"/>
                <w:szCs w:val="16"/>
                <w:lang w:val="it-IT"/>
              </w:rPr>
              <w:t>(dati non revisionati)</w:t>
            </w:r>
          </w:p>
        </w:tc>
        <w:tc>
          <w:tcPr>
            <w:tcW w:w="718" w:type="pct"/>
            <w:vMerge w:val="restart"/>
            <w:tcBorders>
              <w:top w:val="single" w:sz="8" w:space="0" w:color="C4BD97"/>
              <w:left w:val="nil"/>
              <w:bottom w:val="single" w:sz="8" w:space="0" w:color="C4BD97"/>
              <w:right w:val="single" w:sz="8" w:space="0" w:color="C4BD97"/>
            </w:tcBorders>
            <w:shd w:val="clear" w:color="000000" w:fill="AC9B85"/>
            <w:vAlign w:val="center"/>
            <w:hideMark/>
          </w:tcPr>
          <w:p w:rsidR="00DC5FE3" w:rsidRPr="00DC5FE3" w:rsidRDefault="00DC5FE3" w:rsidP="00DC5FE3">
            <w:pPr>
              <w:spacing w:after="0" w:line="240" w:lineRule="auto"/>
              <w:jc w:val="center"/>
              <w:rPr>
                <w:rFonts w:ascii="Times New Roman"/>
                <w:b/>
                <w:bCs/>
                <w:i/>
                <w:iCs/>
                <w:color w:val="FFFFFF"/>
                <w:sz w:val="16"/>
                <w:szCs w:val="16"/>
                <w:lang w:val="it-IT"/>
              </w:rPr>
            </w:pPr>
            <w:r w:rsidRPr="00DC5FE3">
              <w:rPr>
                <w:rFonts w:ascii="Times New Roman"/>
                <w:b/>
                <w:bCs/>
                <w:i/>
                <w:iCs/>
                <w:color w:val="FFFFFF"/>
                <w:sz w:val="16"/>
                <w:szCs w:val="16"/>
                <w:lang w:val="it-IT"/>
              </w:rPr>
              <w:t>di cui parti correlate</w:t>
            </w:r>
          </w:p>
        </w:tc>
        <w:tc>
          <w:tcPr>
            <w:tcW w:w="718" w:type="pct"/>
            <w:vMerge w:val="restart"/>
            <w:tcBorders>
              <w:top w:val="single" w:sz="8" w:space="0" w:color="C4BD97"/>
              <w:left w:val="nil"/>
              <w:bottom w:val="single" w:sz="8" w:space="0" w:color="C4BD97"/>
              <w:right w:val="nil"/>
            </w:tcBorders>
            <w:shd w:val="clear" w:color="000000" w:fill="AC9B85"/>
            <w:vAlign w:val="center"/>
            <w:hideMark/>
          </w:tcPr>
          <w:p w:rsidR="00DC5FE3" w:rsidRPr="00DC5FE3" w:rsidRDefault="00DC5FE3" w:rsidP="00DC5FE3">
            <w:pPr>
              <w:spacing w:after="0" w:line="240" w:lineRule="auto"/>
              <w:jc w:val="center"/>
              <w:rPr>
                <w:rFonts w:ascii="Times New Roman"/>
                <w:b/>
                <w:bCs/>
                <w:color w:val="FFFFFF"/>
                <w:sz w:val="16"/>
                <w:szCs w:val="16"/>
                <w:lang w:val="it-IT"/>
              </w:rPr>
            </w:pPr>
            <w:r w:rsidRPr="00DC5FE3">
              <w:rPr>
                <w:rFonts w:ascii="Times New Roman"/>
                <w:b/>
                <w:bCs/>
                <w:color w:val="FFFFFF"/>
                <w:sz w:val="16"/>
                <w:szCs w:val="16"/>
                <w:lang w:val="it-IT"/>
              </w:rPr>
              <w:t>31 dicembre 2017</w:t>
            </w:r>
          </w:p>
        </w:tc>
        <w:tc>
          <w:tcPr>
            <w:tcW w:w="643" w:type="pct"/>
            <w:vMerge w:val="restart"/>
            <w:tcBorders>
              <w:top w:val="single" w:sz="8" w:space="0" w:color="C4BD97"/>
              <w:left w:val="nil"/>
              <w:bottom w:val="single" w:sz="8" w:space="0" w:color="C4BD97"/>
              <w:right w:val="single" w:sz="8" w:space="0" w:color="C4BD97"/>
            </w:tcBorders>
            <w:shd w:val="clear" w:color="000000" w:fill="AC9B85"/>
            <w:vAlign w:val="center"/>
            <w:hideMark/>
          </w:tcPr>
          <w:p w:rsidR="00DC5FE3" w:rsidRPr="00DC5FE3" w:rsidRDefault="00DC5FE3" w:rsidP="00DC5FE3">
            <w:pPr>
              <w:spacing w:after="0" w:line="240" w:lineRule="auto"/>
              <w:jc w:val="center"/>
              <w:rPr>
                <w:rFonts w:ascii="Times New Roman"/>
                <w:b/>
                <w:bCs/>
                <w:i/>
                <w:iCs/>
                <w:color w:val="FFFFFF"/>
                <w:sz w:val="16"/>
                <w:szCs w:val="16"/>
                <w:lang w:val="it-IT"/>
              </w:rPr>
            </w:pPr>
            <w:r w:rsidRPr="00DC5FE3">
              <w:rPr>
                <w:rFonts w:ascii="Times New Roman"/>
                <w:b/>
                <w:bCs/>
                <w:i/>
                <w:iCs/>
                <w:color w:val="FFFFFF"/>
                <w:sz w:val="16"/>
                <w:szCs w:val="16"/>
                <w:lang w:val="it-IT"/>
              </w:rPr>
              <w:t>di cui parti correlate</w:t>
            </w:r>
          </w:p>
        </w:tc>
      </w:tr>
      <w:tr w:rsidR="00DC5FE3" w:rsidRPr="00DC5FE3" w:rsidTr="00DC5FE3">
        <w:trPr>
          <w:trHeight w:val="450"/>
        </w:trPr>
        <w:tc>
          <w:tcPr>
            <w:tcW w:w="2203" w:type="pct"/>
            <w:vMerge/>
            <w:tcBorders>
              <w:top w:val="single" w:sz="8" w:space="0" w:color="DFD6CD"/>
              <w:left w:val="single" w:sz="8" w:space="0" w:color="DFD6CD"/>
              <w:bottom w:val="single" w:sz="8" w:space="0" w:color="DFD6CD"/>
              <w:right w:val="single" w:sz="8" w:space="0" w:color="DFD6CD"/>
            </w:tcBorders>
            <w:vAlign w:val="center"/>
            <w:hideMark/>
          </w:tcPr>
          <w:p w:rsidR="00DC5FE3" w:rsidRPr="00DC5FE3" w:rsidRDefault="00DC5FE3" w:rsidP="00DC5FE3">
            <w:pPr>
              <w:spacing w:after="0" w:line="240" w:lineRule="auto"/>
              <w:rPr>
                <w:rFonts w:ascii="Times New Roman"/>
                <w:b/>
                <w:bCs/>
                <w:color w:val="000000"/>
                <w:sz w:val="16"/>
                <w:szCs w:val="16"/>
                <w:lang w:val="it-IT"/>
              </w:rPr>
            </w:pPr>
          </w:p>
        </w:tc>
        <w:tc>
          <w:tcPr>
            <w:tcW w:w="718" w:type="pct"/>
            <w:vMerge/>
            <w:tcBorders>
              <w:top w:val="single" w:sz="8" w:space="0" w:color="C4BD97"/>
              <w:left w:val="nil"/>
              <w:bottom w:val="single" w:sz="8" w:space="0" w:color="C4BD97"/>
              <w:right w:val="nil"/>
            </w:tcBorders>
            <w:vAlign w:val="center"/>
            <w:hideMark/>
          </w:tcPr>
          <w:p w:rsidR="00DC5FE3" w:rsidRPr="00DC5FE3" w:rsidRDefault="00DC5FE3" w:rsidP="00DC5FE3">
            <w:pPr>
              <w:spacing w:after="0" w:line="240" w:lineRule="auto"/>
              <w:rPr>
                <w:rFonts w:ascii="Times New Roman"/>
                <w:b/>
                <w:bCs/>
                <w:color w:val="FFFFFF"/>
                <w:sz w:val="16"/>
                <w:szCs w:val="16"/>
                <w:lang w:val="it-IT"/>
              </w:rPr>
            </w:pPr>
          </w:p>
        </w:tc>
        <w:tc>
          <w:tcPr>
            <w:tcW w:w="718" w:type="pct"/>
            <w:vMerge/>
            <w:tcBorders>
              <w:top w:val="single" w:sz="8" w:space="0" w:color="C4BD97"/>
              <w:left w:val="nil"/>
              <w:bottom w:val="single" w:sz="8" w:space="0" w:color="C4BD97"/>
              <w:right w:val="single" w:sz="8" w:space="0" w:color="C4BD97"/>
            </w:tcBorders>
            <w:vAlign w:val="center"/>
            <w:hideMark/>
          </w:tcPr>
          <w:p w:rsidR="00DC5FE3" w:rsidRPr="00DC5FE3" w:rsidRDefault="00DC5FE3" w:rsidP="00DC5FE3">
            <w:pPr>
              <w:spacing w:after="0" w:line="240" w:lineRule="auto"/>
              <w:rPr>
                <w:rFonts w:ascii="Times New Roman"/>
                <w:b/>
                <w:bCs/>
                <w:i/>
                <w:iCs/>
                <w:color w:val="FFFFFF"/>
                <w:sz w:val="16"/>
                <w:szCs w:val="16"/>
                <w:lang w:val="it-IT"/>
              </w:rPr>
            </w:pPr>
          </w:p>
        </w:tc>
        <w:tc>
          <w:tcPr>
            <w:tcW w:w="718" w:type="pct"/>
            <w:vMerge/>
            <w:tcBorders>
              <w:top w:val="single" w:sz="8" w:space="0" w:color="C4BD97"/>
              <w:left w:val="nil"/>
              <w:bottom w:val="single" w:sz="8" w:space="0" w:color="C4BD97"/>
              <w:right w:val="nil"/>
            </w:tcBorders>
            <w:vAlign w:val="center"/>
            <w:hideMark/>
          </w:tcPr>
          <w:p w:rsidR="00DC5FE3" w:rsidRPr="00DC5FE3" w:rsidRDefault="00DC5FE3" w:rsidP="00DC5FE3">
            <w:pPr>
              <w:spacing w:after="0" w:line="240" w:lineRule="auto"/>
              <w:rPr>
                <w:rFonts w:ascii="Times New Roman"/>
                <w:b/>
                <w:bCs/>
                <w:color w:val="FFFFFF"/>
                <w:sz w:val="16"/>
                <w:szCs w:val="16"/>
                <w:lang w:val="it-IT"/>
              </w:rPr>
            </w:pPr>
          </w:p>
        </w:tc>
        <w:tc>
          <w:tcPr>
            <w:tcW w:w="643" w:type="pct"/>
            <w:vMerge/>
            <w:tcBorders>
              <w:top w:val="single" w:sz="8" w:space="0" w:color="C4BD97"/>
              <w:left w:val="nil"/>
              <w:bottom w:val="single" w:sz="8" w:space="0" w:color="C4BD97"/>
              <w:right w:val="single" w:sz="8" w:space="0" w:color="C4BD97"/>
            </w:tcBorders>
            <w:vAlign w:val="center"/>
            <w:hideMark/>
          </w:tcPr>
          <w:p w:rsidR="00DC5FE3" w:rsidRPr="00DC5FE3" w:rsidRDefault="00DC5FE3" w:rsidP="00DC5FE3">
            <w:pPr>
              <w:spacing w:after="0" w:line="240" w:lineRule="auto"/>
              <w:rPr>
                <w:rFonts w:ascii="Times New Roman"/>
                <w:b/>
                <w:bCs/>
                <w:i/>
                <w:iCs/>
                <w:color w:val="FFFFFF"/>
                <w:sz w:val="16"/>
                <w:szCs w:val="16"/>
                <w:lang w:val="it-IT"/>
              </w:rPr>
            </w:pPr>
          </w:p>
        </w:tc>
      </w:tr>
      <w:tr w:rsidR="00DC5FE3" w:rsidRPr="00DC5FE3" w:rsidTr="00DC5FE3">
        <w:trPr>
          <w:trHeight w:val="315"/>
        </w:trPr>
        <w:tc>
          <w:tcPr>
            <w:tcW w:w="2203" w:type="pct"/>
            <w:tcBorders>
              <w:top w:val="single" w:sz="8" w:space="0" w:color="C4BD97"/>
              <w:left w:val="single" w:sz="8" w:space="0" w:color="C4BD97"/>
              <w:bottom w:val="single" w:sz="8" w:space="0" w:color="C4BD97"/>
              <w:right w:val="nil"/>
            </w:tcBorders>
            <w:shd w:val="clear" w:color="000000" w:fill="AC9B85"/>
            <w:vAlign w:val="center"/>
            <w:hideMark/>
          </w:tcPr>
          <w:p w:rsidR="00DC5FE3" w:rsidRPr="00DC5FE3" w:rsidRDefault="00DC5FE3" w:rsidP="00DC5FE3">
            <w:pPr>
              <w:spacing w:after="0" w:line="240" w:lineRule="auto"/>
              <w:rPr>
                <w:rFonts w:ascii="Times New Roman"/>
                <w:b/>
                <w:bCs/>
                <w:color w:val="FFFFFF"/>
                <w:sz w:val="16"/>
                <w:szCs w:val="16"/>
                <w:lang w:val="it-IT"/>
              </w:rPr>
            </w:pPr>
            <w:r w:rsidRPr="00DC5FE3">
              <w:rPr>
                <w:rFonts w:ascii="Times New Roman" w:cs="Arial"/>
                <w:b/>
                <w:bCs/>
                <w:color w:val="FFFFFF"/>
                <w:sz w:val="16"/>
                <w:szCs w:val="16"/>
                <w:lang w:val="it-IT"/>
              </w:rPr>
              <w:t xml:space="preserve"> Conto economico</w:t>
            </w:r>
          </w:p>
        </w:tc>
        <w:tc>
          <w:tcPr>
            <w:tcW w:w="718" w:type="pct"/>
            <w:tcBorders>
              <w:top w:val="nil"/>
              <w:left w:val="nil"/>
              <w:bottom w:val="single" w:sz="8" w:space="0" w:color="C4BD97"/>
              <w:right w:val="nil"/>
            </w:tcBorders>
            <w:shd w:val="clear" w:color="000000" w:fill="AC9B85"/>
            <w:vAlign w:val="center"/>
            <w:hideMark/>
          </w:tcPr>
          <w:p w:rsidR="00DC5FE3" w:rsidRPr="00DC5FE3" w:rsidRDefault="00DC5FE3" w:rsidP="00DC5FE3">
            <w:pPr>
              <w:spacing w:after="0" w:line="240" w:lineRule="auto"/>
              <w:rPr>
                <w:rFonts w:ascii="Times New Roman"/>
                <w:b/>
                <w:bCs/>
                <w:color w:val="FFFFFF"/>
                <w:sz w:val="16"/>
                <w:szCs w:val="16"/>
                <w:lang w:val="it-IT"/>
              </w:rPr>
            </w:pPr>
            <w:r w:rsidRPr="00DC5FE3">
              <w:rPr>
                <w:rFonts w:ascii="Times New Roman"/>
                <w:b/>
                <w:bCs/>
                <w:color w:val="FFFFFF"/>
                <w:sz w:val="16"/>
                <w:szCs w:val="16"/>
                <w:lang w:val="it-IT"/>
              </w:rPr>
              <w:t> </w:t>
            </w:r>
          </w:p>
        </w:tc>
        <w:tc>
          <w:tcPr>
            <w:tcW w:w="718" w:type="pct"/>
            <w:tcBorders>
              <w:top w:val="nil"/>
              <w:left w:val="nil"/>
              <w:bottom w:val="single" w:sz="8" w:space="0" w:color="C4BD97"/>
              <w:right w:val="nil"/>
            </w:tcBorders>
            <w:shd w:val="clear" w:color="000000" w:fill="AC9B85"/>
            <w:vAlign w:val="center"/>
            <w:hideMark/>
          </w:tcPr>
          <w:p w:rsidR="00DC5FE3" w:rsidRPr="00DC5FE3" w:rsidRDefault="00DC5FE3" w:rsidP="00DC5FE3">
            <w:pPr>
              <w:spacing w:after="0" w:line="240" w:lineRule="auto"/>
              <w:rPr>
                <w:rFonts w:ascii="Times New Roman"/>
                <w:b/>
                <w:bCs/>
                <w:color w:val="FFFFFF"/>
                <w:sz w:val="16"/>
                <w:szCs w:val="16"/>
                <w:lang w:val="it-IT"/>
              </w:rPr>
            </w:pPr>
            <w:r w:rsidRPr="00DC5FE3">
              <w:rPr>
                <w:rFonts w:ascii="Times New Roman"/>
                <w:b/>
                <w:bCs/>
                <w:color w:val="FFFFFF"/>
                <w:sz w:val="16"/>
                <w:szCs w:val="16"/>
                <w:lang w:val="it-IT"/>
              </w:rPr>
              <w:t> </w:t>
            </w:r>
          </w:p>
        </w:tc>
        <w:tc>
          <w:tcPr>
            <w:tcW w:w="718" w:type="pct"/>
            <w:tcBorders>
              <w:top w:val="nil"/>
              <w:left w:val="nil"/>
              <w:bottom w:val="single" w:sz="8" w:space="0" w:color="C4BD97"/>
              <w:right w:val="nil"/>
            </w:tcBorders>
            <w:shd w:val="clear" w:color="000000" w:fill="AC9B85"/>
            <w:vAlign w:val="center"/>
            <w:hideMark/>
          </w:tcPr>
          <w:p w:rsidR="00DC5FE3" w:rsidRPr="00DC5FE3" w:rsidRDefault="00DC5FE3" w:rsidP="00DC5FE3">
            <w:pPr>
              <w:spacing w:after="0" w:line="240" w:lineRule="auto"/>
              <w:rPr>
                <w:rFonts w:ascii="Times New Roman"/>
                <w:b/>
                <w:bCs/>
                <w:color w:val="FFFFFF"/>
                <w:sz w:val="16"/>
                <w:szCs w:val="16"/>
                <w:lang w:val="it-IT"/>
              </w:rPr>
            </w:pPr>
            <w:r w:rsidRPr="00DC5FE3">
              <w:rPr>
                <w:rFonts w:ascii="Times New Roman"/>
                <w:b/>
                <w:bCs/>
                <w:color w:val="FFFFFF"/>
                <w:sz w:val="16"/>
                <w:szCs w:val="16"/>
                <w:lang w:val="it-IT"/>
              </w:rPr>
              <w:t> </w:t>
            </w:r>
          </w:p>
        </w:tc>
        <w:tc>
          <w:tcPr>
            <w:tcW w:w="643" w:type="pct"/>
            <w:tcBorders>
              <w:top w:val="nil"/>
              <w:left w:val="nil"/>
              <w:bottom w:val="single" w:sz="8" w:space="0" w:color="C4BD97"/>
              <w:right w:val="single" w:sz="8" w:space="0" w:color="C4BD97"/>
            </w:tcBorders>
            <w:shd w:val="clear" w:color="000000" w:fill="AC9B85"/>
            <w:vAlign w:val="center"/>
            <w:hideMark/>
          </w:tcPr>
          <w:p w:rsidR="00DC5FE3" w:rsidRPr="00DC5FE3" w:rsidRDefault="00DC5FE3" w:rsidP="00DC5FE3">
            <w:pPr>
              <w:spacing w:after="0" w:line="240" w:lineRule="auto"/>
              <w:rPr>
                <w:rFonts w:ascii="Times New Roman"/>
                <w:b/>
                <w:bCs/>
                <w:color w:val="FFFFFF"/>
                <w:sz w:val="16"/>
                <w:szCs w:val="16"/>
                <w:lang w:val="it-IT"/>
              </w:rPr>
            </w:pPr>
            <w:r w:rsidRPr="00DC5FE3">
              <w:rPr>
                <w:rFonts w:ascii="Times New Roman"/>
                <w:b/>
                <w:bCs/>
                <w:color w:val="FFFFFF"/>
                <w:sz w:val="16"/>
                <w:szCs w:val="16"/>
                <w:lang w:val="it-IT"/>
              </w:rPr>
              <w:t> </w:t>
            </w:r>
          </w:p>
        </w:tc>
      </w:tr>
      <w:tr w:rsidR="00DC5FE3" w:rsidRPr="00DC5FE3" w:rsidTr="00DC5FE3">
        <w:trPr>
          <w:trHeight w:val="315"/>
        </w:trPr>
        <w:tc>
          <w:tcPr>
            <w:tcW w:w="2203" w:type="pct"/>
            <w:tcBorders>
              <w:top w:val="nil"/>
              <w:left w:val="single" w:sz="8" w:space="0" w:color="DFD6CD"/>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rPr>
                <w:rFonts w:ascii="Times New Roman"/>
                <w:color w:val="000000"/>
                <w:sz w:val="16"/>
                <w:szCs w:val="16"/>
                <w:lang w:val="it-IT"/>
              </w:rPr>
            </w:pPr>
            <w:r w:rsidRPr="00DC5FE3">
              <w:rPr>
                <w:rFonts w:ascii="Times New Roman" w:cs="Arial"/>
                <w:color w:val="000000"/>
                <w:sz w:val="16"/>
                <w:szCs w:val="16"/>
                <w:lang w:val="it-IT"/>
              </w:rPr>
              <w:t xml:space="preserve"> Ricavi da locazione</w:t>
            </w:r>
          </w:p>
        </w:tc>
        <w:tc>
          <w:tcPr>
            <w:tcW w:w="718"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eastAsia="MS PGothic" w:cs="Arial"/>
                <w:color w:val="000000"/>
                <w:sz w:val="16"/>
                <w:szCs w:val="16"/>
                <w:lang w:val="it-IT" w:eastAsia="it-IT"/>
              </w:rPr>
              <w:t xml:space="preserve">36.261  </w:t>
            </w:r>
          </w:p>
        </w:tc>
        <w:tc>
          <w:tcPr>
            <w:tcW w:w="718"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w:t>
            </w:r>
          </w:p>
        </w:tc>
        <w:tc>
          <w:tcPr>
            <w:tcW w:w="718" w:type="pct"/>
            <w:tcBorders>
              <w:top w:val="single" w:sz="8" w:space="0" w:color="DFD6CD"/>
              <w:left w:val="nil"/>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34.242</w:t>
            </w:r>
          </w:p>
        </w:tc>
        <w:tc>
          <w:tcPr>
            <w:tcW w:w="643" w:type="pct"/>
            <w:tcBorders>
              <w:top w:val="nil"/>
              <w:left w:val="nil"/>
              <w:bottom w:val="single" w:sz="8" w:space="0" w:color="DFD6CD"/>
              <w:right w:val="single" w:sz="8" w:space="0" w:color="DFD6CD"/>
            </w:tcBorders>
            <w:shd w:val="clear" w:color="auto" w:fill="auto"/>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w:t>
            </w:r>
          </w:p>
        </w:tc>
      </w:tr>
      <w:tr w:rsidR="00DC5FE3" w:rsidRPr="00DC5FE3" w:rsidTr="00DC5FE3">
        <w:trPr>
          <w:trHeight w:val="315"/>
        </w:trPr>
        <w:tc>
          <w:tcPr>
            <w:tcW w:w="2203" w:type="pct"/>
            <w:tcBorders>
              <w:top w:val="nil"/>
              <w:left w:val="single" w:sz="8" w:space="0" w:color="DFD6CD"/>
              <w:bottom w:val="single" w:sz="8" w:space="0" w:color="AC9B85"/>
              <w:right w:val="single" w:sz="8" w:space="0" w:color="DFD6CD"/>
            </w:tcBorders>
            <w:shd w:val="clear" w:color="auto" w:fill="auto"/>
            <w:vAlign w:val="center"/>
            <w:hideMark/>
          </w:tcPr>
          <w:p w:rsidR="00DC5FE3" w:rsidRPr="00DC5FE3" w:rsidRDefault="00DC5FE3" w:rsidP="00DC5FE3">
            <w:pPr>
              <w:spacing w:after="0" w:line="240" w:lineRule="auto"/>
              <w:rPr>
                <w:rFonts w:ascii="Times New Roman"/>
                <w:color w:val="000000"/>
                <w:sz w:val="16"/>
                <w:szCs w:val="16"/>
                <w:lang w:val="it-IT"/>
              </w:rPr>
            </w:pPr>
            <w:r w:rsidRPr="00DC5FE3">
              <w:rPr>
                <w:rFonts w:ascii="Times New Roman" w:cs="Arial"/>
                <w:color w:val="000000"/>
                <w:sz w:val="16"/>
                <w:szCs w:val="16"/>
                <w:lang w:val="it-IT"/>
              </w:rPr>
              <w:t xml:space="preserve"> Costi operativi immobiliari netti</w:t>
            </w:r>
          </w:p>
        </w:tc>
        <w:tc>
          <w:tcPr>
            <w:tcW w:w="718"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eastAsia="MS PGothic" w:cs="Arial"/>
                <w:color w:val="000000"/>
                <w:sz w:val="16"/>
                <w:szCs w:val="16"/>
                <w:lang w:val="it-IT" w:eastAsia="it-IT"/>
              </w:rPr>
              <w:t>(4.015)</w:t>
            </w:r>
          </w:p>
        </w:tc>
        <w:tc>
          <w:tcPr>
            <w:tcW w:w="718"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(453)</w:t>
            </w:r>
          </w:p>
        </w:tc>
        <w:tc>
          <w:tcPr>
            <w:tcW w:w="718" w:type="pct"/>
            <w:tcBorders>
              <w:top w:val="nil"/>
              <w:left w:val="nil"/>
              <w:bottom w:val="nil"/>
              <w:right w:val="single" w:sz="8" w:space="0" w:color="DFD6CD"/>
            </w:tcBorders>
            <w:shd w:val="clear" w:color="auto" w:fill="auto"/>
            <w:vAlign w:val="center"/>
            <w:hideMark/>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(3.855)</w:t>
            </w:r>
          </w:p>
        </w:tc>
        <w:tc>
          <w:tcPr>
            <w:tcW w:w="643" w:type="pct"/>
            <w:tcBorders>
              <w:top w:val="nil"/>
              <w:left w:val="nil"/>
              <w:bottom w:val="single" w:sz="8" w:space="0" w:color="DFD6CD"/>
              <w:right w:val="single" w:sz="8" w:space="0" w:color="DFD6CD"/>
            </w:tcBorders>
            <w:shd w:val="clear" w:color="auto" w:fill="auto"/>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(105)</w:t>
            </w:r>
          </w:p>
        </w:tc>
      </w:tr>
      <w:tr w:rsidR="00DC5FE3" w:rsidRPr="00DC5FE3" w:rsidTr="00DC5FE3">
        <w:trPr>
          <w:trHeight w:val="315"/>
        </w:trPr>
        <w:tc>
          <w:tcPr>
            <w:tcW w:w="2203" w:type="pct"/>
            <w:tcBorders>
              <w:top w:val="nil"/>
              <w:left w:val="single" w:sz="8" w:space="0" w:color="AC9B85"/>
              <w:bottom w:val="single" w:sz="8" w:space="0" w:color="AC9B85"/>
              <w:right w:val="single" w:sz="8" w:space="0" w:color="AC9B85"/>
            </w:tcBorders>
            <w:shd w:val="clear" w:color="000000" w:fill="DFD6CD"/>
            <w:vAlign w:val="center"/>
            <w:hideMark/>
          </w:tcPr>
          <w:p w:rsidR="00DC5FE3" w:rsidRPr="00DC5FE3" w:rsidRDefault="00DC5FE3" w:rsidP="00DC5FE3">
            <w:pPr>
              <w:spacing w:after="0" w:line="240" w:lineRule="auto"/>
              <w:rPr>
                <w:rFonts w:ascii="Times New Roman"/>
                <w:b/>
                <w:bCs/>
                <w:color w:val="60512F"/>
                <w:sz w:val="16"/>
                <w:szCs w:val="16"/>
                <w:lang w:val="it-IT"/>
              </w:rPr>
            </w:pPr>
            <w:r w:rsidRPr="00DC5FE3">
              <w:rPr>
                <w:rFonts w:ascii="Times New Roman" w:cs="Arial"/>
                <w:b/>
                <w:bCs/>
                <w:color w:val="60512F"/>
                <w:sz w:val="16"/>
                <w:szCs w:val="16"/>
                <w:lang w:val="it-IT"/>
              </w:rPr>
              <w:t xml:space="preserve"> Ricavi netti da locazione</w:t>
            </w:r>
          </w:p>
        </w:tc>
        <w:tc>
          <w:tcPr>
            <w:tcW w:w="718" w:type="pct"/>
            <w:tcBorders>
              <w:top w:val="single" w:sz="8" w:space="0" w:color="A99983"/>
              <w:left w:val="single" w:sz="8" w:space="0" w:color="A99983"/>
              <w:bottom w:val="single" w:sz="8" w:space="0" w:color="AC9B85"/>
              <w:right w:val="single" w:sz="8" w:space="0" w:color="A99983"/>
            </w:tcBorders>
            <w:shd w:val="clear" w:color="000000" w:fill="DFD6CD"/>
            <w:vAlign w:val="center"/>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eastAsia="MS PGothic" w:cs="Arial"/>
                <w:b/>
                <w:bCs/>
                <w:color w:val="60512F"/>
                <w:sz w:val="16"/>
                <w:szCs w:val="16"/>
                <w:lang w:val="it-IT" w:eastAsia="it-IT"/>
              </w:rPr>
              <w:t xml:space="preserve">32.246 </w:t>
            </w:r>
          </w:p>
        </w:tc>
        <w:tc>
          <w:tcPr>
            <w:tcW w:w="718" w:type="pct"/>
            <w:tcBorders>
              <w:top w:val="single" w:sz="8" w:space="0" w:color="A99983"/>
              <w:left w:val="nil"/>
              <w:bottom w:val="single" w:sz="8" w:space="0" w:color="AC9B85"/>
              <w:right w:val="single" w:sz="8" w:space="0" w:color="A99983"/>
            </w:tcBorders>
            <w:shd w:val="clear" w:color="000000" w:fill="DFD6CD"/>
            <w:vAlign w:val="center"/>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(453)</w:t>
            </w:r>
          </w:p>
        </w:tc>
        <w:tc>
          <w:tcPr>
            <w:tcW w:w="718" w:type="pct"/>
            <w:tcBorders>
              <w:top w:val="single" w:sz="8" w:space="0" w:color="A99983"/>
              <w:left w:val="nil"/>
              <w:bottom w:val="single" w:sz="8" w:space="0" w:color="AC9B85"/>
              <w:right w:val="single" w:sz="8" w:space="0" w:color="A99983"/>
            </w:tcBorders>
            <w:shd w:val="clear" w:color="000000" w:fill="DFD6CD"/>
            <w:vAlign w:val="center"/>
            <w:hideMark/>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30.387</w:t>
            </w:r>
          </w:p>
        </w:tc>
        <w:tc>
          <w:tcPr>
            <w:tcW w:w="643" w:type="pct"/>
            <w:tcBorders>
              <w:top w:val="single" w:sz="8" w:space="0" w:color="A99983"/>
              <w:left w:val="nil"/>
              <w:bottom w:val="single" w:sz="8" w:space="0" w:color="AC9B85"/>
              <w:right w:val="single" w:sz="8" w:space="0" w:color="A99983"/>
            </w:tcBorders>
            <w:shd w:val="clear" w:color="000000" w:fill="DFD6CD"/>
            <w:vAlign w:val="center"/>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(105)</w:t>
            </w:r>
          </w:p>
        </w:tc>
      </w:tr>
      <w:tr w:rsidR="00DC5FE3" w:rsidRPr="00DC5FE3" w:rsidTr="00DC5FE3">
        <w:trPr>
          <w:trHeight w:val="315"/>
        </w:trPr>
        <w:tc>
          <w:tcPr>
            <w:tcW w:w="2203" w:type="pct"/>
            <w:tcBorders>
              <w:top w:val="nil"/>
              <w:left w:val="single" w:sz="8" w:space="0" w:color="DFD6CD"/>
              <w:bottom w:val="single" w:sz="8" w:space="0" w:color="DFD6CD"/>
              <w:right w:val="single" w:sz="8" w:space="0" w:color="DFD6CD"/>
            </w:tcBorders>
            <w:shd w:val="clear" w:color="auto" w:fill="auto"/>
            <w:vAlign w:val="center"/>
            <w:hideMark/>
          </w:tcPr>
          <w:p w:rsidR="00DC5FE3" w:rsidRPr="00DC5FE3" w:rsidRDefault="00F42E6A" w:rsidP="00DC5FE3">
            <w:pPr>
              <w:spacing w:after="0" w:line="240" w:lineRule="auto"/>
              <w:rPr>
                <w:rFonts w:ascii="Times New Roman"/>
                <w:color w:val="000000"/>
                <w:sz w:val="16"/>
                <w:szCs w:val="16"/>
                <w:lang w:val="it-IT"/>
              </w:rPr>
            </w:pPr>
            <w:r>
              <w:rPr>
                <w:rFonts w:ascii="Times New Roman" w:cs="Arial"/>
                <w:color w:val="000000"/>
                <w:sz w:val="16"/>
                <w:szCs w:val="16"/>
                <w:lang w:val="it-IT"/>
              </w:rPr>
              <w:t xml:space="preserve"> Utili</w:t>
            </w:r>
            <w:r w:rsidR="00DC5FE3" w:rsidRPr="00DC5FE3">
              <w:rPr>
                <w:rFonts w:ascii="Times New Roman" w:cs="Arial"/>
                <w:color w:val="000000"/>
                <w:sz w:val="16"/>
                <w:szCs w:val="16"/>
                <w:lang w:val="it-IT"/>
              </w:rPr>
              <w:t xml:space="preserve"> / (perdite) da cessioni immobiliari</w:t>
            </w:r>
          </w:p>
        </w:tc>
        <w:tc>
          <w:tcPr>
            <w:tcW w:w="718" w:type="pct"/>
            <w:tcBorders>
              <w:top w:val="single" w:sz="8" w:space="0" w:color="DFD6CD"/>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eastAsia="MS PGothic" w:cs="Arial"/>
                <w:color w:val="000000"/>
                <w:sz w:val="16"/>
                <w:szCs w:val="16"/>
                <w:lang w:val="it-IT" w:eastAsia="it-IT"/>
              </w:rPr>
              <w:t xml:space="preserve">5.587  </w:t>
            </w:r>
          </w:p>
        </w:tc>
        <w:tc>
          <w:tcPr>
            <w:tcW w:w="718"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w:t>
            </w:r>
          </w:p>
        </w:tc>
        <w:tc>
          <w:tcPr>
            <w:tcW w:w="718" w:type="pct"/>
            <w:tcBorders>
              <w:top w:val="single" w:sz="8" w:space="0" w:color="DFD6CD"/>
              <w:left w:val="nil"/>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30</w:t>
            </w:r>
          </w:p>
        </w:tc>
        <w:tc>
          <w:tcPr>
            <w:tcW w:w="643" w:type="pct"/>
            <w:tcBorders>
              <w:top w:val="single" w:sz="8" w:space="0" w:color="DFD6CD"/>
              <w:left w:val="nil"/>
              <w:bottom w:val="single" w:sz="8" w:space="0" w:color="DFD6CD"/>
              <w:right w:val="single" w:sz="8" w:space="0" w:color="DFD6CD"/>
            </w:tcBorders>
            <w:shd w:val="clear" w:color="auto" w:fill="auto"/>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w:t>
            </w:r>
          </w:p>
        </w:tc>
      </w:tr>
      <w:tr w:rsidR="00DC5FE3" w:rsidRPr="00DC5FE3" w:rsidTr="00DC5FE3">
        <w:trPr>
          <w:trHeight w:val="315"/>
        </w:trPr>
        <w:tc>
          <w:tcPr>
            <w:tcW w:w="2203" w:type="pct"/>
            <w:tcBorders>
              <w:top w:val="nil"/>
              <w:left w:val="single" w:sz="8" w:space="0" w:color="DFD6CD"/>
              <w:bottom w:val="single" w:sz="8" w:space="0" w:color="AC9B85"/>
              <w:right w:val="single" w:sz="8" w:space="0" w:color="DFD6CD"/>
            </w:tcBorders>
            <w:shd w:val="clear" w:color="auto" w:fill="auto"/>
            <w:vAlign w:val="center"/>
            <w:hideMark/>
          </w:tcPr>
          <w:p w:rsidR="00DC5FE3" w:rsidRPr="00DC5FE3" w:rsidRDefault="00DC5FE3" w:rsidP="00DC5FE3">
            <w:pPr>
              <w:spacing w:after="0" w:line="240" w:lineRule="auto"/>
              <w:rPr>
                <w:rFonts w:ascii="Times New Roman"/>
                <w:color w:val="000000"/>
                <w:sz w:val="16"/>
                <w:szCs w:val="16"/>
                <w:lang w:val="it-IT"/>
              </w:rPr>
            </w:pPr>
            <w:r w:rsidRPr="00DC5FE3">
              <w:rPr>
                <w:rFonts w:ascii="Times New Roman" w:cs="Arial"/>
                <w:color w:val="000000"/>
                <w:sz w:val="16"/>
                <w:szCs w:val="16"/>
                <w:lang w:val="it-IT"/>
              </w:rPr>
              <w:t xml:space="preserve"> Costo del venduto</w:t>
            </w:r>
          </w:p>
        </w:tc>
        <w:tc>
          <w:tcPr>
            <w:tcW w:w="718"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eastAsia="MS PGothic" w:cs="Arial"/>
                <w:color w:val="000000"/>
                <w:sz w:val="16"/>
                <w:szCs w:val="16"/>
                <w:lang w:val="it-IT" w:eastAsia="it-IT"/>
              </w:rPr>
              <w:t xml:space="preserve">-   </w:t>
            </w:r>
          </w:p>
        </w:tc>
        <w:tc>
          <w:tcPr>
            <w:tcW w:w="718"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w:t>
            </w:r>
          </w:p>
        </w:tc>
        <w:tc>
          <w:tcPr>
            <w:tcW w:w="718" w:type="pct"/>
            <w:tcBorders>
              <w:top w:val="nil"/>
              <w:left w:val="nil"/>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w:t>
            </w:r>
          </w:p>
        </w:tc>
        <w:tc>
          <w:tcPr>
            <w:tcW w:w="643" w:type="pct"/>
            <w:tcBorders>
              <w:top w:val="nil"/>
              <w:left w:val="nil"/>
              <w:bottom w:val="single" w:sz="8" w:space="0" w:color="DFD6CD"/>
              <w:right w:val="single" w:sz="8" w:space="0" w:color="DFD6CD"/>
            </w:tcBorders>
            <w:shd w:val="clear" w:color="auto" w:fill="auto"/>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w:t>
            </w:r>
          </w:p>
        </w:tc>
      </w:tr>
      <w:tr w:rsidR="00DC5FE3" w:rsidRPr="00DC5FE3" w:rsidTr="00DC5FE3">
        <w:trPr>
          <w:trHeight w:val="315"/>
        </w:trPr>
        <w:tc>
          <w:tcPr>
            <w:tcW w:w="2203" w:type="pct"/>
            <w:tcBorders>
              <w:top w:val="nil"/>
              <w:left w:val="single" w:sz="8" w:space="0" w:color="AC9B85"/>
              <w:bottom w:val="single" w:sz="8" w:space="0" w:color="AC9B85"/>
              <w:right w:val="single" w:sz="8" w:space="0" w:color="AC9B85"/>
            </w:tcBorders>
            <w:shd w:val="clear" w:color="000000" w:fill="DFD6CD"/>
            <w:vAlign w:val="center"/>
            <w:hideMark/>
          </w:tcPr>
          <w:p w:rsidR="00DC5FE3" w:rsidRPr="00DC5FE3" w:rsidRDefault="00DC5FE3" w:rsidP="00DC5FE3">
            <w:pPr>
              <w:spacing w:after="0" w:line="240" w:lineRule="auto"/>
              <w:rPr>
                <w:rFonts w:ascii="Times New Roman"/>
                <w:b/>
                <w:bCs/>
                <w:color w:val="60512F"/>
                <w:sz w:val="16"/>
                <w:szCs w:val="16"/>
                <w:lang w:val="it-IT"/>
              </w:rPr>
            </w:pPr>
            <w:r w:rsidRPr="00DC5FE3">
              <w:rPr>
                <w:rFonts w:ascii="Times New Roman" w:cs="Arial"/>
                <w:b/>
                <w:bCs/>
                <w:color w:val="60512F"/>
                <w:sz w:val="16"/>
                <w:szCs w:val="16"/>
                <w:lang w:val="it-IT"/>
              </w:rPr>
              <w:t xml:space="preserve"> Ricavi netti da cessione</w:t>
            </w:r>
          </w:p>
        </w:tc>
        <w:tc>
          <w:tcPr>
            <w:tcW w:w="718" w:type="pct"/>
            <w:tcBorders>
              <w:top w:val="single" w:sz="8" w:space="0" w:color="A99983"/>
              <w:left w:val="single" w:sz="8" w:space="0" w:color="A99983"/>
              <w:bottom w:val="single" w:sz="8" w:space="0" w:color="AC9B85"/>
              <w:right w:val="single" w:sz="8" w:space="0" w:color="A99983"/>
            </w:tcBorders>
            <w:shd w:val="clear" w:color="000000" w:fill="DFD6CD"/>
            <w:vAlign w:val="center"/>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eastAsia="MS PGothic" w:cs="Arial"/>
                <w:b/>
                <w:bCs/>
                <w:color w:val="60512F"/>
                <w:sz w:val="16"/>
                <w:szCs w:val="16"/>
                <w:lang w:val="it-IT" w:eastAsia="it-IT"/>
              </w:rPr>
              <w:t xml:space="preserve">5.587 </w:t>
            </w:r>
          </w:p>
        </w:tc>
        <w:tc>
          <w:tcPr>
            <w:tcW w:w="718" w:type="pct"/>
            <w:tcBorders>
              <w:top w:val="single" w:sz="8" w:space="0" w:color="A99983"/>
              <w:left w:val="nil"/>
              <w:bottom w:val="single" w:sz="8" w:space="0" w:color="AC9B85"/>
              <w:right w:val="single" w:sz="8" w:space="0" w:color="A99983"/>
            </w:tcBorders>
            <w:shd w:val="clear" w:color="000000" w:fill="DFD6CD"/>
            <w:vAlign w:val="center"/>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w:t>
            </w:r>
          </w:p>
        </w:tc>
        <w:tc>
          <w:tcPr>
            <w:tcW w:w="718" w:type="pct"/>
            <w:tcBorders>
              <w:top w:val="single" w:sz="8" w:space="0" w:color="A99983"/>
              <w:left w:val="nil"/>
              <w:bottom w:val="single" w:sz="8" w:space="0" w:color="AC9B85"/>
              <w:right w:val="single" w:sz="8" w:space="0" w:color="A99983"/>
            </w:tcBorders>
            <w:shd w:val="clear" w:color="000000" w:fill="DFD6CD"/>
            <w:vAlign w:val="center"/>
            <w:hideMark/>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30</w:t>
            </w:r>
          </w:p>
        </w:tc>
        <w:tc>
          <w:tcPr>
            <w:tcW w:w="643" w:type="pct"/>
            <w:tcBorders>
              <w:top w:val="single" w:sz="8" w:space="0" w:color="A99983"/>
              <w:left w:val="nil"/>
              <w:bottom w:val="single" w:sz="8" w:space="0" w:color="AC9B85"/>
              <w:right w:val="single" w:sz="8" w:space="0" w:color="A99983"/>
            </w:tcBorders>
            <w:shd w:val="clear" w:color="000000" w:fill="DFD6CD"/>
            <w:vAlign w:val="center"/>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w:t>
            </w:r>
          </w:p>
        </w:tc>
      </w:tr>
      <w:tr w:rsidR="00DC5FE3" w:rsidRPr="00DC5FE3" w:rsidTr="00DC5FE3">
        <w:trPr>
          <w:trHeight w:val="315"/>
        </w:trPr>
        <w:tc>
          <w:tcPr>
            <w:tcW w:w="2203" w:type="pct"/>
            <w:tcBorders>
              <w:top w:val="nil"/>
              <w:left w:val="single" w:sz="8" w:space="0" w:color="DFD6CD"/>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rPr>
                <w:rFonts w:ascii="Times New Roman"/>
                <w:color w:val="000000"/>
                <w:sz w:val="16"/>
                <w:szCs w:val="16"/>
                <w:lang w:val="it-IT"/>
              </w:rPr>
            </w:pPr>
            <w:r w:rsidRPr="00DC5FE3">
              <w:rPr>
                <w:rFonts w:ascii="Times New Roman" w:cs="Arial"/>
                <w:color w:val="000000"/>
                <w:sz w:val="16"/>
                <w:szCs w:val="16"/>
                <w:lang w:val="it-IT"/>
              </w:rPr>
              <w:t xml:space="preserve"> Costi di struttura</w:t>
            </w:r>
          </w:p>
        </w:tc>
        <w:tc>
          <w:tcPr>
            <w:tcW w:w="718"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eastAsia="MS PGothic" w:cs="Arial"/>
                <w:color w:val="000000"/>
                <w:sz w:val="16"/>
                <w:szCs w:val="16"/>
                <w:lang w:val="it-IT" w:eastAsia="it-IT"/>
              </w:rPr>
              <w:t>(10.445)</w:t>
            </w:r>
          </w:p>
        </w:tc>
        <w:tc>
          <w:tcPr>
            <w:tcW w:w="718"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(6.728)</w:t>
            </w:r>
          </w:p>
        </w:tc>
        <w:tc>
          <w:tcPr>
            <w:tcW w:w="718" w:type="pct"/>
            <w:tcBorders>
              <w:top w:val="nil"/>
              <w:left w:val="nil"/>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(8.737)</w:t>
            </w:r>
          </w:p>
        </w:tc>
        <w:tc>
          <w:tcPr>
            <w:tcW w:w="643" w:type="pct"/>
            <w:tcBorders>
              <w:top w:val="nil"/>
              <w:left w:val="nil"/>
              <w:bottom w:val="single" w:sz="8" w:space="0" w:color="DFD6CD"/>
              <w:right w:val="single" w:sz="8" w:space="0" w:color="DFD6CD"/>
            </w:tcBorders>
            <w:shd w:val="clear" w:color="auto" w:fill="auto"/>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eastAsia="MS PGothic" w:cs="Arial"/>
                <w:color w:val="000000"/>
                <w:sz w:val="16"/>
                <w:szCs w:val="16"/>
                <w:lang w:val="it-IT" w:eastAsia="it-IT"/>
              </w:rPr>
              <w:t>(5.289)</w:t>
            </w:r>
          </w:p>
        </w:tc>
      </w:tr>
      <w:tr w:rsidR="00DC5FE3" w:rsidRPr="00DC5FE3" w:rsidTr="00DC5FE3">
        <w:trPr>
          <w:trHeight w:val="315"/>
        </w:trPr>
        <w:tc>
          <w:tcPr>
            <w:tcW w:w="2203" w:type="pct"/>
            <w:tcBorders>
              <w:top w:val="nil"/>
              <w:left w:val="single" w:sz="8" w:space="0" w:color="DFD6CD"/>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rPr>
                <w:rFonts w:ascii="Times New Roman"/>
                <w:color w:val="000000"/>
                <w:sz w:val="16"/>
                <w:szCs w:val="16"/>
                <w:lang w:val="it-IT"/>
              </w:rPr>
            </w:pPr>
            <w:r w:rsidRPr="00DC5FE3">
              <w:rPr>
                <w:rFonts w:ascii="Times New Roman" w:cs="Arial"/>
                <w:color w:val="000000"/>
                <w:sz w:val="16"/>
                <w:szCs w:val="16"/>
                <w:lang w:val="it-IT"/>
              </w:rPr>
              <w:t xml:space="preserve"> Altri costi operativi</w:t>
            </w:r>
          </w:p>
        </w:tc>
        <w:tc>
          <w:tcPr>
            <w:tcW w:w="718"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eastAsia="MS PGothic" w:cs="Arial"/>
                <w:color w:val="000000"/>
                <w:sz w:val="16"/>
                <w:szCs w:val="16"/>
                <w:lang w:val="it-IT" w:eastAsia="it-IT"/>
              </w:rPr>
              <w:t>(2.373)</w:t>
            </w:r>
          </w:p>
        </w:tc>
        <w:tc>
          <w:tcPr>
            <w:tcW w:w="718"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(2.290)</w:t>
            </w:r>
          </w:p>
        </w:tc>
        <w:tc>
          <w:tcPr>
            <w:tcW w:w="718" w:type="pct"/>
            <w:tcBorders>
              <w:top w:val="nil"/>
              <w:left w:val="nil"/>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(89)</w:t>
            </w:r>
          </w:p>
        </w:tc>
        <w:tc>
          <w:tcPr>
            <w:tcW w:w="643" w:type="pct"/>
            <w:tcBorders>
              <w:top w:val="nil"/>
              <w:left w:val="nil"/>
              <w:bottom w:val="single" w:sz="8" w:space="0" w:color="DFD6CD"/>
              <w:right w:val="single" w:sz="8" w:space="0" w:color="DFD6CD"/>
            </w:tcBorders>
            <w:shd w:val="clear" w:color="auto" w:fill="auto"/>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eastAsia="MS PGothic" w:cs="Arial"/>
                <w:color w:val="000000"/>
                <w:sz w:val="16"/>
                <w:szCs w:val="16"/>
                <w:lang w:val="it-IT" w:eastAsia="it-IT"/>
              </w:rPr>
              <w:t>130</w:t>
            </w:r>
          </w:p>
        </w:tc>
      </w:tr>
      <w:tr w:rsidR="00DC5FE3" w:rsidRPr="00DC5FE3" w:rsidTr="00DC5FE3">
        <w:trPr>
          <w:trHeight w:val="315"/>
        </w:trPr>
        <w:tc>
          <w:tcPr>
            <w:tcW w:w="2203" w:type="pct"/>
            <w:tcBorders>
              <w:top w:val="single" w:sz="8" w:space="0" w:color="AC9B85"/>
              <w:left w:val="single" w:sz="8" w:space="0" w:color="AC9B85"/>
              <w:bottom w:val="single" w:sz="8" w:space="0" w:color="AC9B85"/>
              <w:right w:val="single" w:sz="8" w:space="0" w:color="AC9B85"/>
            </w:tcBorders>
            <w:shd w:val="clear" w:color="000000" w:fill="DFD6CD"/>
            <w:vAlign w:val="center"/>
            <w:hideMark/>
          </w:tcPr>
          <w:p w:rsidR="00DC5FE3" w:rsidRPr="00DC5FE3" w:rsidRDefault="00DC5FE3" w:rsidP="00DC5FE3">
            <w:pPr>
              <w:spacing w:after="0" w:line="240" w:lineRule="auto"/>
              <w:rPr>
                <w:rFonts w:ascii="Times New Roman"/>
                <w:color w:val="000000"/>
                <w:sz w:val="16"/>
                <w:szCs w:val="16"/>
                <w:lang w:val="it-IT"/>
              </w:rPr>
            </w:pPr>
            <w:r w:rsidRPr="00DC5FE3">
              <w:rPr>
                <w:rFonts w:ascii="Times New Roman" w:cs="Arial"/>
                <w:b/>
                <w:bCs/>
                <w:color w:val="60512F"/>
                <w:sz w:val="16"/>
                <w:szCs w:val="16"/>
                <w:lang w:val="it-IT"/>
              </w:rPr>
              <w:t xml:space="preserve"> Risultato operativo lordo</w:t>
            </w:r>
          </w:p>
        </w:tc>
        <w:tc>
          <w:tcPr>
            <w:tcW w:w="718" w:type="pct"/>
            <w:tcBorders>
              <w:top w:val="single" w:sz="8" w:space="0" w:color="AC9B85"/>
              <w:left w:val="single" w:sz="8" w:space="0" w:color="A99983"/>
              <w:bottom w:val="single" w:sz="8" w:space="0" w:color="AC9B85"/>
              <w:right w:val="single" w:sz="8" w:space="0" w:color="A99983"/>
            </w:tcBorders>
            <w:shd w:val="clear" w:color="000000" w:fill="DFD6CD"/>
            <w:vAlign w:val="center"/>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eastAsia="MS PGothic" w:cs="Arial"/>
                <w:b/>
                <w:bCs/>
                <w:color w:val="60512F"/>
                <w:sz w:val="16"/>
                <w:szCs w:val="16"/>
                <w:lang w:val="it-IT" w:eastAsia="it-IT"/>
              </w:rPr>
              <w:t xml:space="preserve">25.015 </w:t>
            </w:r>
          </w:p>
        </w:tc>
        <w:tc>
          <w:tcPr>
            <w:tcW w:w="718" w:type="pct"/>
            <w:tcBorders>
              <w:top w:val="single" w:sz="8" w:space="0" w:color="A99983"/>
              <w:left w:val="nil"/>
              <w:bottom w:val="single" w:sz="8" w:space="0" w:color="AC9B85"/>
              <w:right w:val="single" w:sz="8" w:space="0" w:color="A99983"/>
            </w:tcBorders>
            <w:shd w:val="clear" w:color="000000" w:fill="DFD6CD"/>
            <w:vAlign w:val="center"/>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(9.471)</w:t>
            </w:r>
          </w:p>
        </w:tc>
        <w:tc>
          <w:tcPr>
            <w:tcW w:w="718" w:type="pct"/>
            <w:tcBorders>
              <w:top w:val="single" w:sz="8" w:space="0" w:color="A99983"/>
              <w:left w:val="nil"/>
              <w:bottom w:val="single" w:sz="8" w:space="0" w:color="AC9B85"/>
              <w:right w:val="single" w:sz="8" w:space="0" w:color="A99983"/>
            </w:tcBorders>
            <w:shd w:val="clear" w:color="000000" w:fill="DFD6CD"/>
            <w:vAlign w:val="center"/>
            <w:hideMark/>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21.591</w:t>
            </w:r>
          </w:p>
        </w:tc>
        <w:tc>
          <w:tcPr>
            <w:tcW w:w="643" w:type="pct"/>
            <w:tcBorders>
              <w:top w:val="single" w:sz="8" w:space="0" w:color="A99983"/>
              <w:left w:val="nil"/>
              <w:bottom w:val="single" w:sz="8" w:space="0" w:color="AC9B85"/>
              <w:right w:val="single" w:sz="8" w:space="0" w:color="A99983"/>
            </w:tcBorders>
            <w:shd w:val="clear" w:color="000000" w:fill="DFD6CD"/>
            <w:vAlign w:val="center"/>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(5.264)</w:t>
            </w:r>
          </w:p>
        </w:tc>
      </w:tr>
      <w:tr w:rsidR="00DC5FE3" w:rsidRPr="00DC5FE3" w:rsidTr="00DC5FE3">
        <w:trPr>
          <w:trHeight w:val="315"/>
        </w:trPr>
        <w:tc>
          <w:tcPr>
            <w:tcW w:w="2203" w:type="pct"/>
            <w:tcBorders>
              <w:top w:val="nil"/>
              <w:left w:val="single" w:sz="8" w:space="0" w:color="DFD6CD"/>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rPr>
                <w:rFonts w:ascii="Times New Roman"/>
                <w:color w:val="000000"/>
                <w:sz w:val="16"/>
                <w:szCs w:val="16"/>
                <w:lang w:val="it-IT"/>
              </w:rPr>
            </w:pPr>
            <w:r w:rsidRPr="00DC5FE3">
              <w:rPr>
                <w:rFonts w:ascii="Times New Roman" w:cs="Arial"/>
                <w:color w:val="000000"/>
                <w:sz w:val="16"/>
                <w:szCs w:val="16"/>
                <w:lang w:val="it-IT"/>
              </w:rPr>
              <w:t xml:space="preserve"> Rettifiche di valore nette</w:t>
            </w:r>
          </w:p>
        </w:tc>
        <w:tc>
          <w:tcPr>
            <w:tcW w:w="718" w:type="pct"/>
            <w:tcBorders>
              <w:top w:val="single" w:sz="8" w:space="0" w:color="DFD6CD"/>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eastAsia="MS PGothic" w:cs="Arial"/>
                <w:color w:val="000000"/>
                <w:sz w:val="16"/>
                <w:szCs w:val="16"/>
                <w:lang w:val="it-IT" w:eastAsia="it-IT"/>
              </w:rPr>
              <w:t>(1.154)</w:t>
            </w:r>
          </w:p>
        </w:tc>
        <w:tc>
          <w:tcPr>
            <w:tcW w:w="718"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eastAsia="MS PGothic" w:cs="Arial"/>
                <w:color w:val="000000"/>
                <w:sz w:val="16"/>
                <w:szCs w:val="16"/>
                <w:lang w:val="it-IT" w:eastAsia="it-IT"/>
              </w:rPr>
              <w:t>-</w:t>
            </w:r>
          </w:p>
        </w:tc>
        <w:tc>
          <w:tcPr>
            <w:tcW w:w="718" w:type="pct"/>
            <w:tcBorders>
              <w:top w:val="single" w:sz="8" w:space="0" w:color="DFD6CD"/>
              <w:left w:val="nil"/>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(91)</w:t>
            </w:r>
          </w:p>
        </w:tc>
        <w:tc>
          <w:tcPr>
            <w:tcW w:w="643" w:type="pct"/>
            <w:tcBorders>
              <w:top w:val="single" w:sz="8" w:space="0" w:color="DFD6CD"/>
              <w:left w:val="nil"/>
              <w:bottom w:val="single" w:sz="8" w:space="0" w:color="DFD6CD"/>
              <w:right w:val="single" w:sz="8" w:space="0" w:color="DFD6CD"/>
            </w:tcBorders>
            <w:shd w:val="clear" w:color="auto" w:fill="auto"/>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w:t>
            </w:r>
          </w:p>
        </w:tc>
      </w:tr>
      <w:tr w:rsidR="00DC5FE3" w:rsidRPr="00DC5FE3" w:rsidTr="00DC5FE3">
        <w:trPr>
          <w:trHeight w:val="315"/>
        </w:trPr>
        <w:tc>
          <w:tcPr>
            <w:tcW w:w="2203" w:type="pct"/>
            <w:tcBorders>
              <w:top w:val="nil"/>
              <w:left w:val="single" w:sz="8" w:space="0" w:color="DFD6CD"/>
              <w:bottom w:val="single" w:sz="8" w:space="0" w:color="AC9B85"/>
              <w:right w:val="single" w:sz="8" w:space="0" w:color="DFD6CD"/>
            </w:tcBorders>
            <w:shd w:val="clear" w:color="auto" w:fill="auto"/>
            <w:vAlign w:val="center"/>
            <w:hideMark/>
          </w:tcPr>
          <w:p w:rsidR="00DC5FE3" w:rsidRPr="00DC5FE3" w:rsidRDefault="00DC5FE3" w:rsidP="00DC5FE3">
            <w:pPr>
              <w:spacing w:after="0" w:line="240" w:lineRule="auto"/>
              <w:rPr>
                <w:rFonts w:ascii="Times New Roman"/>
                <w:color w:val="000000"/>
                <w:sz w:val="16"/>
                <w:szCs w:val="16"/>
                <w:lang w:val="it-IT"/>
              </w:rPr>
            </w:pPr>
            <w:r w:rsidRPr="00DC5FE3">
              <w:rPr>
                <w:rFonts w:ascii="Times New Roman" w:cs="Arial"/>
                <w:color w:val="000000"/>
                <w:sz w:val="16"/>
                <w:szCs w:val="16"/>
                <w:lang w:val="it-IT"/>
              </w:rPr>
              <w:t xml:space="preserve"> Adeguamento al fair value</w:t>
            </w:r>
          </w:p>
        </w:tc>
        <w:tc>
          <w:tcPr>
            <w:tcW w:w="718"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eastAsia="MS PGothic" w:cs="Arial"/>
                <w:color w:val="000000"/>
                <w:sz w:val="16"/>
                <w:szCs w:val="16"/>
                <w:lang w:val="it-IT" w:eastAsia="it-IT"/>
              </w:rPr>
              <w:t>28.339</w:t>
            </w:r>
          </w:p>
        </w:tc>
        <w:tc>
          <w:tcPr>
            <w:tcW w:w="718"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eastAsia="MS PGothic" w:cs="Arial"/>
                <w:color w:val="000000"/>
                <w:sz w:val="16"/>
                <w:szCs w:val="16"/>
                <w:lang w:val="it-IT" w:eastAsia="it-IT"/>
              </w:rPr>
              <w:t>-</w:t>
            </w:r>
          </w:p>
        </w:tc>
        <w:tc>
          <w:tcPr>
            <w:tcW w:w="718" w:type="pct"/>
            <w:tcBorders>
              <w:top w:val="nil"/>
              <w:left w:val="nil"/>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15.400</w:t>
            </w:r>
          </w:p>
        </w:tc>
        <w:tc>
          <w:tcPr>
            <w:tcW w:w="643" w:type="pct"/>
            <w:tcBorders>
              <w:top w:val="nil"/>
              <w:left w:val="nil"/>
              <w:bottom w:val="single" w:sz="8" w:space="0" w:color="DFD6CD"/>
              <w:right w:val="single" w:sz="8" w:space="0" w:color="DFD6CD"/>
            </w:tcBorders>
            <w:shd w:val="clear" w:color="auto" w:fill="auto"/>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w:t>
            </w:r>
          </w:p>
        </w:tc>
      </w:tr>
      <w:tr w:rsidR="00DC5FE3" w:rsidRPr="00DC5FE3" w:rsidTr="00DC5FE3">
        <w:trPr>
          <w:trHeight w:val="315"/>
        </w:trPr>
        <w:tc>
          <w:tcPr>
            <w:tcW w:w="2203" w:type="pct"/>
            <w:tcBorders>
              <w:top w:val="nil"/>
              <w:left w:val="single" w:sz="8" w:space="0" w:color="AC9B85"/>
              <w:bottom w:val="single" w:sz="8" w:space="0" w:color="AC9B85"/>
              <w:right w:val="single" w:sz="8" w:space="0" w:color="AC9B85"/>
            </w:tcBorders>
            <w:shd w:val="clear" w:color="000000" w:fill="DFD6CD"/>
            <w:vAlign w:val="center"/>
            <w:hideMark/>
          </w:tcPr>
          <w:p w:rsidR="00DC5FE3" w:rsidRPr="00DC5FE3" w:rsidRDefault="00DC5FE3" w:rsidP="00DC5FE3">
            <w:pPr>
              <w:spacing w:after="0" w:line="240" w:lineRule="auto"/>
              <w:rPr>
                <w:rFonts w:ascii="Times New Roman"/>
                <w:b/>
                <w:bCs/>
                <w:color w:val="60512F"/>
                <w:sz w:val="16"/>
                <w:szCs w:val="16"/>
                <w:lang w:val="it-IT"/>
              </w:rPr>
            </w:pPr>
            <w:r w:rsidRPr="00DC5FE3">
              <w:rPr>
                <w:rFonts w:ascii="Times New Roman" w:cs="Arial"/>
                <w:b/>
                <w:bCs/>
                <w:color w:val="60512F"/>
                <w:sz w:val="16"/>
                <w:szCs w:val="16"/>
                <w:lang w:val="it-IT"/>
              </w:rPr>
              <w:t xml:space="preserve"> Risultato operativo netto</w:t>
            </w:r>
          </w:p>
        </w:tc>
        <w:tc>
          <w:tcPr>
            <w:tcW w:w="718" w:type="pct"/>
            <w:tcBorders>
              <w:top w:val="single" w:sz="8" w:space="0" w:color="A99983"/>
              <w:left w:val="single" w:sz="8" w:space="0" w:color="A99983"/>
              <w:bottom w:val="single" w:sz="8" w:space="0" w:color="AC9B85"/>
              <w:right w:val="single" w:sz="8" w:space="0" w:color="A99983"/>
            </w:tcBorders>
            <w:shd w:val="clear" w:color="000000" w:fill="DFD6CD"/>
            <w:vAlign w:val="center"/>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eastAsia="MS PGothic" w:cs="Arial"/>
                <w:b/>
                <w:bCs/>
                <w:color w:val="60512F"/>
                <w:sz w:val="16"/>
                <w:szCs w:val="16"/>
                <w:lang w:val="it-IT" w:eastAsia="it-IT"/>
              </w:rPr>
              <w:t xml:space="preserve">52.200 </w:t>
            </w:r>
          </w:p>
        </w:tc>
        <w:tc>
          <w:tcPr>
            <w:tcW w:w="718" w:type="pct"/>
            <w:tcBorders>
              <w:top w:val="single" w:sz="8" w:space="0" w:color="A99983"/>
              <w:left w:val="nil"/>
              <w:bottom w:val="single" w:sz="8" w:space="0" w:color="AC9B85"/>
              <w:right w:val="single" w:sz="8" w:space="0" w:color="A99983"/>
            </w:tcBorders>
            <w:shd w:val="clear" w:color="000000" w:fill="DFD6CD"/>
            <w:vAlign w:val="center"/>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(9.471)</w:t>
            </w:r>
          </w:p>
        </w:tc>
        <w:tc>
          <w:tcPr>
            <w:tcW w:w="718" w:type="pct"/>
            <w:tcBorders>
              <w:top w:val="single" w:sz="8" w:space="0" w:color="A99983"/>
              <w:left w:val="nil"/>
              <w:bottom w:val="single" w:sz="8" w:space="0" w:color="AC9B85"/>
              <w:right w:val="single" w:sz="8" w:space="0" w:color="A99983"/>
            </w:tcBorders>
            <w:shd w:val="clear" w:color="000000" w:fill="DFD6CD"/>
            <w:vAlign w:val="center"/>
            <w:hideMark/>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36.900</w:t>
            </w:r>
          </w:p>
        </w:tc>
        <w:tc>
          <w:tcPr>
            <w:tcW w:w="643" w:type="pct"/>
            <w:tcBorders>
              <w:top w:val="single" w:sz="8" w:space="0" w:color="A99983"/>
              <w:left w:val="nil"/>
              <w:bottom w:val="single" w:sz="8" w:space="0" w:color="AC9B85"/>
              <w:right w:val="single" w:sz="8" w:space="0" w:color="A99983"/>
            </w:tcBorders>
            <w:shd w:val="clear" w:color="000000" w:fill="DFD6CD"/>
            <w:vAlign w:val="center"/>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(5.264)</w:t>
            </w:r>
          </w:p>
        </w:tc>
      </w:tr>
      <w:tr w:rsidR="00DC5FE3" w:rsidRPr="00DC5FE3" w:rsidTr="00DC5FE3">
        <w:trPr>
          <w:trHeight w:val="465"/>
        </w:trPr>
        <w:tc>
          <w:tcPr>
            <w:tcW w:w="2203" w:type="pct"/>
            <w:tcBorders>
              <w:top w:val="nil"/>
              <w:left w:val="single" w:sz="8" w:space="0" w:color="DFD6CD"/>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rPr>
                <w:rFonts w:ascii="Times New Roman"/>
                <w:color w:val="000000"/>
                <w:sz w:val="16"/>
                <w:szCs w:val="16"/>
                <w:lang w:val="it-IT"/>
              </w:rPr>
            </w:pPr>
            <w:r w:rsidRPr="00DC5FE3">
              <w:rPr>
                <w:rFonts w:ascii="Times New Roman" w:cs="Arial"/>
                <w:color w:val="000000"/>
                <w:sz w:val="16"/>
                <w:szCs w:val="16"/>
                <w:lang w:val="it-IT"/>
              </w:rPr>
              <w:t xml:space="preserve"> Quota del risultato di società collegate valutate con il </w:t>
            </w:r>
            <w:r w:rsidRPr="00DC5FE3">
              <w:rPr>
                <w:rFonts w:ascii="Times New Roman" w:cs="Arial"/>
                <w:color w:val="FFFFFF"/>
                <w:sz w:val="16"/>
                <w:szCs w:val="16"/>
                <w:lang w:val="it-IT"/>
              </w:rPr>
              <w:t>x</w:t>
            </w:r>
            <w:r w:rsidRPr="00DC5FE3">
              <w:rPr>
                <w:rFonts w:ascii="Times New Roman" w:cs="Arial"/>
                <w:color w:val="000000"/>
                <w:sz w:val="16"/>
                <w:szCs w:val="16"/>
                <w:lang w:val="it-IT"/>
              </w:rPr>
              <w:t>metodo del patrimonio netto</w:t>
            </w:r>
          </w:p>
        </w:tc>
        <w:tc>
          <w:tcPr>
            <w:tcW w:w="718"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eastAsia="MS PGothic" w:cs="Arial"/>
                <w:color w:val="000000"/>
                <w:sz w:val="16"/>
                <w:szCs w:val="16"/>
                <w:lang w:val="it-IT" w:eastAsia="it-IT"/>
              </w:rPr>
              <w:t xml:space="preserve">2.396  </w:t>
            </w:r>
          </w:p>
        </w:tc>
        <w:tc>
          <w:tcPr>
            <w:tcW w:w="718"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eastAsia="MS PGothic" w:cs="Arial"/>
                <w:color w:val="000000"/>
                <w:sz w:val="16"/>
                <w:szCs w:val="16"/>
                <w:lang w:val="it-IT" w:eastAsia="it-IT"/>
              </w:rPr>
              <w:t>-</w:t>
            </w:r>
          </w:p>
        </w:tc>
        <w:tc>
          <w:tcPr>
            <w:tcW w:w="718" w:type="pct"/>
            <w:tcBorders>
              <w:top w:val="single" w:sz="8" w:space="0" w:color="DFD6CD"/>
              <w:left w:val="nil"/>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49</w:t>
            </w:r>
          </w:p>
        </w:tc>
        <w:tc>
          <w:tcPr>
            <w:tcW w:w="643" w:type="pct"/>
            <w:tcBorders>
              <w:top w:val="single" w:sz="8" w:space="0" w:color="DFD6CD"/>
              <w:left w:val="nil"/>
              <w:bottom w:val="single" w:sz="8" w:space="0" w:color="DFD6CD"/>
              <w:right w:val="single" w:sz="8" w:space="0" w:color="DFD6CD"/>
            </w:tcBorders>
            <w:shd w:val="clear" w:color="auto" w:fill="auto"/>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w:t>
            </w:r>
          </w:p>
        </w:tc>
      </w:tr>
      <w:tr w:rsidR="00DC5FE3" w:rsidRPr="00DC5FE3" w:rsidTr="00DC5FE3">
        <w:trPr>
          <w:trHeight w:val="315"/>
        </w:trPr>
        <w:tc>
          <w:tcPr>
            <w:tcW w:w="2203" w:type="pct"/>
            <w:tcBorders>
              <w:top w:val="nil"/>
              <w:left w:val="single" w:sz="8" w:space="0" w:color="DFD6CD"/>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rPr>
                <w:rFonts w:ascii="Times New Roman"/>
                <w:color w:val="000000"/>
                <w:sz w:val="16"/>
                <w:szCs w:val="16"/>
                <w:lang w:val="it-IT"/>
              </w:rPr>
            </w:pPr>
            <w:r w:rsidRPr="00DC5FE3">
              <w:rPr>
                <w:rFonts w:ascii="Times New Roman" w:cs="Arial"/>
                <w:color w:val="000000"/>
                <w:sz w:val="16"/>
                <w:szCs w:val="16"/>
                <w:lang w:val="it-IT"/>
              </w:rPr>
              <w:t xml:space="preserve"> Proventi finanziari</w:t>
            </w:r>
          </w:p>
        </w:tc>
        <w:tc>
          <w:tcPr>
            <w:tcW w:w="718"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eastAsia="MS PGothic" w:cs="Arial"/>
                <w:color w:val="000000"/>
                <w:sz w:val="16"/>
                <w:szCs w:val="16"/>
                <w:lang w:val="it-IT" w:eastAsia="it-IT"/>
              </w:rPr>
              <w:t xml:space="preserve">13  </w:t>
            </w:r>
          </w:p>
        </w:tc>
        <w:tc>
          <w:tcPr>
            <w:tcW w:w="718"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eastAsia="MS PGothic" w:cs="Arial"/>
                <w:color w:val="000000"/>
                <w:sz w:val="16"/>
                <w:szCs w:val="16"/>
                <w:lang w:val="it-IT" w:eastAsia="it-IT"/>
              </w:rPr>
              <w:t>-</w:t>
            </w:r>
          </w:p>
        </w:tc>
        <w:tc>
          <w:tcPr>
            <w:tcW w:w="718" w:type="pct"/>
            <w:tcBorders>
              <w:top w:val="nil"/>
              <w:left w:val="nil"/>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537</w:t>
            </w:r>
          </w:p>
        </w:tc>
        <w:tc>
          <w:tcPr>
            <w:tcW w:w="643" w:type="pct"/>
            <w:tcBorders>
              <w:top w:val="nil"/>
              <w:left w:val="nil"/>
              <w:bottom w:val="single" w:sz="8" w:space="0" w:color="DFD6CD"/>
              <w:right w:val="single" w:sz="8" w:space="0" w:color="DFD6CD"/>
            </w:tcBorders>
            <w:shd w:val="clear" w:color="auto" w:fill="auto"/>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w:t>
            </w:r>
          </w:p>
        </w:tc>
      </w:tr>
      <w:tr w:rsidR="00DC5FE3" w:rsidRPr="00DC5FE3" w:rsidTr="00DC5FE3">
        <w:trPr>
          <w:trHeight w:val="315"/>
        </w:trPr>
        <w:tc>
          <w:tcPr>
            <w:tcW w:w="2203" w:type="pct"/>
            <w:tcBorders>
              <w:top w:val="nil"/>
              <w:left w:val="single" w:sz="8" w:space="0" w:color="DFD6CD"/>
              <w:bottom w:val="single" w:sz="8" w:space="0" w:color="AC9B85"/>
              <w:right w:val="single" w:sz="8" w:space="0" w:color="DFD6CD"/>
            </w:tcBorders>
            <w:shd w:val="clear" w:color="auto" w:fill="auto"/>
            <w:vAlign w:val="center"/>
            <w:hideMark/>
          </w:tcPr>
          <w:p w:rsidR="00DC5FE3" w:rsidRPr="00DC5FE3" w:rsidRDefault="00DC5FE3" w:rsidP="00DC5FE3">
            <w:pPr>
              <w:spacing w:after="0" w:line="240" w:lineRule="auto"/>
              <w:rPr>
                <w:rFonts w:ascii="Times New Roman"/>
                <w:color w:val="000000"/>
                <w:sz w:val="16"/>
                <w:szCs w:val="16"/>
                <w:lang w:val="it-IT"/>
              </w:rPr>
            </w:pPr>
            <w:r w:rsidRPr="00DC5FE3">
              <w:rPr>
                <w:rFonts w:ascii="Times New Roman" w:cs="Arial"/>
                <w:color w:val="000000"/>
                <w:sz w:val="16"/>
                <w:szCs w:val="16"/>
                <w:lang w:val="it-IT"/>
              </w:rPr>
              <w:t xml:space="preserve"> Oneri finanziari</w:t>
            </w:r>
          </w:p>
        </w:tc>
        <w:tc>
          <w:tcPr>
            <w:tcW w:w="718"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eastAsia="MS PGothic" w:cs="Arial"/>
                <w:color w:val="000000"/>
                <w:sz w:val="16"/>
                <w:szCs w:val="16"/>
                <w:lang w:val="it-IT" w:eastAsia="it-IT"/>
              </w:rPr>
              <w:t>(6.295)</w:t>
            </w:r>
          </w:p>
        </w:tc>
        <w:tc>
          <w:tcPr>
            <w:tcW w:w="718"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eastAsia="MS PGothic" w:cs="Arial"/>
                <w:color w:val="000000"/>
                <w:sz w:val="16"/>
                <w:szCs w:val="16"/>
                <w:lang w:val="it-IT" w:eastAsia="it-IT"/>
              </w:rPr>
              <w:t>-</w:t>
            </w:r>
          </w:p>
        </w:tc>
        <w:tc>
          <w:tcPr>
            <w:tcW w:w="718" w:type="pct"/>
            <w:tcBorders>
              <w:top w:val="nil"/>
              <w:left w:val="nil"/>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(6.786)</w:t>
            </w:r>
          </w:p>
        </w:tc>
        <w:tc>
          <w:tcPr>
            <w:tcW w:w="643" w:type="pct"/>
            <w:tcBorders>
              <w:top w:val="nil"/>
              <w:left w:val="nil"/>
              <w:bottom w:val="single" w:sz="8" w:space="0" w:color="DFD6CD"/>
              <w:right w:val="single" w:sz="8" w:space="0" w:color="DFD6CD"/>
            </w:tcBorders>
            <w:shd w:val="clear" w:color="auto" w:fill="auto"/>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w:t>
            </w:r>
          </w:p>
        </w:tc>
      </w:tr>
      <w:tr w:rsidR="00DC5FE3" w:rsidRPr="00DC5FE3" w:rsidTr="00DC5FE3">
        <w:trPr>
          <w:trHeight w:val="315"/>
        </w:trPr>
        <w:tc>
          <w:tcPr>
            <w:tcW w:w="2203" w:type="pct"/>
            <w:tcBorders>
              <w:top w:val="nil"/>
              <w:left w:val="single" w:sz="8" w:space="0" w:color="AC9B85"/>
              <w:bottom w:val="single" w:sz="8" w:space="0" w:color="AC9B85"/>
              <w:right w:val="single" w:sz="8" w:space="0" w:color="AC9B85"/>
            </w:tcBorders>
            <w:shd w:val="clear" w:color="000000" w:fill="DFD6CD"/>
            <w:vAlign w:val="center"/>
            <w:hideMark/>
          </w:tcPr>
          <w:p w:rsidR="00DC5FE3" w:rsidRPr="00DC5FE3" w:rsidRDefault="00DC5FE3" w:rsidP="00DC5FE3">
            <w:pPr>
              <w:spacing w:after="0" w:line="240" w:lineRule="auto"/>
              <w:rPr>
                <w:rFonts w:ascii="Times New Roman"/>
                <w:b/>
                <w:bCs/>
                <w:color w:val="60512F"/>
                <w:sz w:val="16"/>
                <w:szCs w:val="16"/>
                <w:lang w:val="it-IT"/>
              </w:rPr>
            </w:pPr>
            <w:r w:rsidRPr="00DC5FE3">
              <w:rPr>
                <w:rFonts w:ascii="Times New Roman" w:cs="Arial"/>
                <w:b/>
                <w:bCs/>
                <w:color w:val="60512F"/>
                <w:sz w:val="16"/>
                <w:szCs w:val="16"/>
                <w:lang w:val="it-IT"/>
              </w:rPr>
              <w:t xml:space="preserve"> Risultato ante imposte</w:t>
            </w:r>
          </w:p>
        </w:tc>
        <w:tc>
          <w:tcPr>
            <w:tcW w:w="718" w:type="pct"/>
            <w:tcBorders>
              <w:top w:val="single" w:sz="8" w:space="0" w:color="A99983"/>
              <w:left w:val="single" w:sz="8" w:space="0" w:color="A99983"/>
              <w:bottom w:val="single" w:sz="8" w:space="0" w:color="AC9B85"/>
              <w:right w:val="single" w:sz="8" w:space="0" w:color="A99983"/>
            </w:tcBorders>
            <w:shd w:val="clear" w:color="000000" w:fill="DFD6CD"/>
            <w:vAlign w:val="center"/>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eastAsia="MS PGothic" w:cs="Arial"/>
                <w:b/>
                <w:bCs/>
                <w:color w:val="60512F"/>
                <w:sz w:val="16"/>
                <w:szCs w:val="16"/>
                <w:lang w:val="it-IT" w:eastAsia="it-IT"/>
              </w:rPr>
              <w:t>48.314</w:t>
            </w:r>
          </w:p>
        </w:tc>
        <w:tc>
          <w:tcPr>
            <w:tcW w:w="718" w:type="pct"/>
            <w:tcBorders>
              <w:top w:val="single" w:sz="8" w:space="0" w:color="A99983"/>
              <w:left w:val="nil"/>
              <w:bottom w:val="single" w:sz="8" w:space="0" w:color="AC9B85"/>
              <w:right w:val="single" w:sz="8" w:space="0" w:color="A99983"/>
            </w:tcBorders>
            <w:shd w:val="clear" w:color="000000" w:fill="DFD6CD"/>
            <w:vAlign w:val="center"/>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(9.471)</w:t>
            </w:r>
          </w:p>
        </w:tc>
        <w:tc>
          <w:tcPr>
            <w:tcW w:w="718" w:type="pct"/>
            <w:tcBorders>
              <w:top w:val="single" w:sz="8" w:space="0" w:color="A99983"/>
              <w:left w:val="nil"/>
              <w:bottom w:val="single" w:sz="8" w:space="0" w:color="AC9B85"/>
              <w:right w:val="single" w:sz="8" w:space="0" w:color="A99983"/>
            </w:tcBorders>
            <w:shd w:val="clear" w:color="000000" w:fill="DFD6CD"/>
            <w:vAlign w:val="center"/>
            <w:hideMark/>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30.700</w:t>
            </w:r>
          </w:p>
        </w:tc>
        <w:tc>
          <w:tcPr>
            <w:tcW w:w="643" w:type="pct"/>
            <w:tcBorders>
              <w:top w:val="single" w:sz="8" w:space="0" w:color="A99983"/>
              <w:left w:val="nil"/>
              <w:bottom w:val="single" w:sz="8" w:space="0" w:color="AC9B85"/>
              <w:right w:val="single" w:sz="8" w:space="0" w:color="A99983"/>
            </w:tcBorders>
            <w:shd w:val="clear" w:color="000000" w:fill="DFD6CD"/>
            <w:vAlign w:val="center"/>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(5.264)</w:t>
            </w:r>
          </w:p>
        </w:tc>
      </w:tr>
      <w:tr w:rsidR="00DC5FE3" w:rsidRPr="00DC5FE3" w:rsidTr="00DC5FE3">
        <w:trPr>
          <w:trHeight w:val="315"/>
        </w:trPr>
        <w:tc>
          <w:tcPr>
            <w:tcW w:w="2203" w:type="pct"/>
            <w:tcBorders>
              <w:top w:val="nil"/>
              <w:left w:val="single" w:sz="8" w:space="0" w:color="DFD6CD"/>
              <w:bottom w:val="single" w:sz="8" w:space="0" w:color="AC9B85"/>
              <w:right w:val="single" w:sz="8" w:space="0" w:color="DFD6CD"/>
            </w:tcBorders>
            <w:shd w:val="clear" w:color="auto" w:fill="auto"/>
            <w:vAlign w:val="center"/>
            <w:hideMark/>
          </w:tcPr>
          <w:p w:rsidR="00DC5FE3" w:rsidRPr="00DC5FE3" w:rsidRDefault="00DC5FE3" w:rsidP="00DC5FE3">
            <w:pPr>
              <w:spacing w:after="0" w:line="240" w:lineRule="auto"/>
              <w:rPr>
                <w:rFonts w:ascii="Times New Roman"/>
                <w:color w:val="000000"/>
                <w:sz w:val="16"/>
                <w:szCs w:val="16"/>
                <w:lang w:val="it-IT"/>
              </w:rPr>
            </w:pPr>
            <w:r w:rsidRPr="00DC5FE3">
              <w:rPr>
                <w:rFonts w:ascii="Times New Roman" w:cs="Arial"/>
                <w:color w:val="000000"/>
                <w:sz w:val="16"/>
                <w:szCs w:val="16"/>
                <w:lang w:val="it-IT"/>
              </w:rPr>
              <w:t xml:space="preserve"> Imposte</w:t>
            </w:r>
          </w:p>
        </w:tc>
        <w:tc>
          <w:tcPr>
            <w:tcW w:w="718" w:type="pct"/>
            <w:tcBorders>
              <w:top w:val="single" w:sz="8" w:space="0" w:color="DFD6CD"/>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eastAsia="MS PGothic" w:cs="Arial"/>
                <w:color w:val="000000"/>
                <w:sz w:val="16"/>
                <w:szCs w:val="16"/>
                <w:lang w:val="it-IT" w:eastAsia="it-IT"/>
              </w:rPr>
              <w:t xml:space="preserve">-  </w:t>
            </w:r>
          </w:p>
        </w:tc>
        <w:tc>
          <w:tcPr>
            <w:tcW w:w="718"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eastAsia="MS PGothic" w:cs="Arial"/>
                <w:color w:val="000000"/>
                <w:sz w:val="16"/>
                <w:szCs w:val="16"/>
                <w:lang w:val="it-IT" w:eastAsia="it-IT"/>
              </w:rPr>
              <w:t>-</w:t>
            </w:r>
          </w:p>
        </w:tc>
        <w:tc>
          <w:tcPr>
            <w:tcW w:w="718" w:type="pct"/>
            <w:tcBorders>
              <w:top w:val="nil"/>
              <w:left w:val="nil"/>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(11)</w:t>
            </w:r>
          </w:p>
        </w:tc>
        <w:tc>
          <w:tcPr>
            <w:tcW w:w="643" w:type="pct"/>
            <w:tcBorders>
              <w:top w:val="nil"/>
              <w:left w:val="nil"/>
              <w:bottom w:val="single" w:sz="8" w:space="0" w:color="DFD6CD"/>
              <w:right w:val="single" w:sz="8" w:space="0" w:color="DFD6CD"/>
            </w:tcBorders>
            <w:shd w:val="clear" w:color="auto" w:fill="auto"/>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w:t>
            </w:r>
          </w:p>
        </w:tc>
      </w:tr>
      <w:tr w:rsidR="00DC5FE3" w:rsidRPr="00DC5FE3" w:rsidTr="00DC5FE3">
        <w:trPr>
          <w:trHeight w:val="315"/>
        </w:trPr>
        <w:tc>
          <w:tcPr>
            <w:tcW w:w="2203" w:type="pct"/>
            <w:tcBorders>
              <w:top w:val="nil"/>
              <w:left w:val="single" w:sz="8" w:space="0" w:color="AC9B85"/>
              <w:bottom w:val="single" w:sz="8" w:space="0" w:color="AC9B85"/>
              <w:right w:val="single" w:sz="8" w:space="0" w:color="AC9B85"/>
            </w:tcBorders>
            <w:shd w:val="clear" w:color="000000" w:fill="DFD6CD"/>
            <w:vAlign w:val="center"/>
            <w:hideMark/>
          </w:tcPr>
          <w:p w:rsidR="00DC5FE3" w:rsidRPr="00DC5FE3" w:rsidRDefault="00DC5FE3" w:rsidP="00DC5FE3">
            <w:pPr>
              <w:spacing w:after="0" w:line="240" w:lineRule="auto"/>
              <w:rPr>
                <w:rFonts w:ascii="Times New Roman"/>
                <w:b/>
                <w:bCs/>
                <w:color w:val="60512F"/>
                <w:sz w:val="16"/>
                <w:szCs w:val="16"/>
                <w:lang w:val="it-IT"/>
              </w:rPr>
            </w:pPr>
            <w:r w:rsidRPr="00DC5FE3">
              <w:rPr>
                <w:rFonts w:ascii="Times New Roman" w:cs="Arial"/>
                <w:b/>
                <w:bCs/>
                <w:color w:val="60512F"/>
                <w:sz w:val="16"/>
                <w:szCs w:val="16"/>
                <w:lang w:val="it-IT"/>
              </w:rPr>
              <w:t xml:space="preserve"> Risultato dopo le imposte</w:t>
            </w:r>
          </w:p>
        </w:tc>
        <w:tc>
          <w:tcPr>
            <w:tcW w:w="718" w:type="pct"/>
            <w:tcBorders>
              <w:top w:val="single" w:sz="8" w:space="0" w:color="A99983"/>
              <w:left w:val="single" w:sz="8" w:space="0" w:color="A99983"/>
              <w:bottom w:val="single" w:sz="8" w:space="0" w:color="AC9B85"/>
              <w:right w:val="single" w:sz="8" w:space="0" w:color="A99983"/>
            </w:tcBorders>
            <w:shd w:val="clear" w:color="000000" w:fill="DFD6CD"/>
            <w:vAlign w:val="center"/>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eastAsia="MS PGothic" w:cs="Arial"/>
                <w:b/>
                <w:bCs/>
                <w:color w:val="60512F"/>
                <w:sz w:val="16"/>
                <w:szCs w:val="16"/>
                <w:lang w:val="it-IT" w:eastAsia="it-IT"/>
              </w:rPr>
              <w:t>48.314</w:t>
            </w:r>
          </w:p>
        </w:tc>
        <w:tc>
          <w:tcPr>
            <w:tcW w:w="718" w:type="pct"/>
            <w:tcBorders>
              <w:top w:val="single" w:sz="8" w:space="0" w:color="A99983"/>
              <w:left w:val="nil"/>
              <w:bottom w:val="single" w:sz="8" w:space="0" w:color="AC9B85"/>
              <w:right w:val="single" w:sz="8" w:space="0" w:color="A99983"/>
            </w:tcBorders>
            <w:shd w:val="clear" w:color="000000" w:fill="DFD6CD"/>
            <w:vAlign w:val="center"/>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(9.471)</w:t>
            </w:r>
          </w:p>
        </w:tc>
        <w:tc>
          <w:tcPr>
            <w:tcW w:w="718" w:type="pct"/>
            <w:tcBorders>
              <w:top w:val="single" w:sz="8" w:space="0" w:color="A99983"/>
              <w:left w:val="nil"/>
              <w:bottom w:val="single" w:sz="8" w:space="0" w:color="AC9B85"/>
              <w:right w:val="single" w:sz="8" w:space="0" w:color="A99983"/>
            </w:tcBorders>
            <w:shd w:val="clear" w:color="000000" w:fill="DFD6CD"/>
            <w:vAlign w:val="center"/>
            <w:hideMark/>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30.689</w:t>
            </w:r>
          </w:p>
        </w:tc>
        <w:tc>
          <w:tcPr>
            <w:tcW w:w="643" w:type="pct"/>
            <w:tcBorders>
              <w:top w:val="single" w:sz="8" w:space="0" w:color="A99983"/>
              <w:left w:val="nil"/>
              <w:bottom w:val="single" w:sz="8" w:space="0" w:color="AC9B85"/>
              <w:right w:val="single" w:sz="8" w:space="0" w:color="A99983"/>
            </w:tcBorders>
            <w:shd w:val="clear" w:color="000000" w:fill="DFD6CD"/>
            <w:vAlign w:val="center"/>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(5.264)</w:t>
            </w:r>
          </w:p>
        </w:tc>
      </w:tr>
      <w:tr w:rsidR="00DC5FE3" w:rsidRPr="00DC5FE3" w:rsidTr="00DC5FE3">
        <w:trPr>
          <w:trHeight w:val="315"/>
        </w:trPr>
        <w:tc>
          <w:tcPr>
            <w:tcW w:w="2203" w:type="pct"/>
            <w:tcBorders>
              <w:top w:val="nil"/>
              <w:left w:val="single" w:sz="8" w:space="0" w:color="DFD6CD"/>
              <w:bottom w:val="single" w:sz="8" w:space="0" w:color="AC9B85"/>
              <w:right w:val="single" w:sz="8" w:space="0" w:color="DFD6CD"/>
            </w:tcBorders>
            <w:shd w:val="clear" w:color="auto" w:fill="auto"/>
            <w:vAlign w:val="center"/>
            <w:hideMark/>
          </w:tcPr>
          <w:p w:rsidR="00DC5FE3" w:rsidRPr="00DC5FE3" w:rsidRDefault="00DC5FE3" w:rsidP="00DC5FE3">
            <w:pPr>
              <w:spacing w:after="0" w:line="240" w:lineRule="auto"/>
              <w:rPr>
                <w:rFonts w:ascii="Times New Roman"/>
                <w:color w:val="000000"/>
                <w:sz w:val="16"/>
                <w:szCs w:val="16"/>
                <w:lang w:val="it-IT"/>
              </w:rPr>
            </w:pPr>
            <w:r w:rsidRPr="00DC5FE3">
              <w:rPr>
                <w:rFonts w:ascii="Times New Roman" w:cs="Arial"/>
                <w:color w:val="000000"/>
                <w:sz w:val="16"/>
                <w:szCs w:val="16"/>
                <w:lang w:val="it-IT"/>
              </w:rPr>
              <w:t xml:space="preserve"> Risultato di terzi</w:t>
            </w:r>
          </w:p>
        </w:tc>
        <w:tc>
          <w:tcPr>
            <w:tcW w:w="718" w:type="pct"/>
            <w:tcBorders>
              <w:top w:val="single" w:sz="8" w:space="0" w:color="DFD6CD"/>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eastAsia="MS PGothic" w:cs="Arial"/>
                <w:color w:val="000000"/>
                <w:sz w:val="16"/>
                <w:szCs w:val="16"/>
                <w:lang w:val="it-IT" w:eastAsia="it-IT"/>
              </w:rPr>
              <w:t>(2.047)</w:t>
            </w:r>
          </w:p>
        </w:tc>
        <w:tc>
          <w:tcPr>
            <w:tcW w:w="718"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eastAsia="MS PGothic" w:cs="Arial"/>
                <w:color w:val="000000"/>
                <w:sz w:val="16"/>
                <w:szCs w:val="16"/>
                <w:lang w:val="it-IT" w:eastAsia="it-IT"/>
              </w:rPr>
              <w:t>-</w:t>
            </w:r>
          </w:p>
        </w:tc>
        <w:tc>
          <w:tcPr>
            <w:tcW w:w="718" w:type="pct"/>
            <w:tcBorders>
              <w:top w:val="single" w:sz="8" w:space="0" w:color="DFD6CD"/>
              <w:left w:val="nil"/>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(1.800)</w:t>
            </w:r>
          </w:p>
        </w:tc>
        <w:tc>
          <w:tcPr>
            <w:tcW w:w="643" w:type="pct"/>
            <w:tcBorders>
              <w:top w:val="nil"/>
              <w:left w:val="nil"/>
              <w:bottom w:val="single" w:sz="8" w:space="0" w:color="DFD6CD"/>
              <w:right w:val="single" w:sz="8" w:space="0" w:color="DFD6CD"/>
            </w:tcBorders>
            <w:shd w:val="clear" w:color="auto" w:fill="auto"/>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w:t>
            </w:r>
          </w:p>
        </w:tc>
      </w:tr>
      <w:tr w:rsidR="00DC5FE3" w:rsidRPr="00DC5FE3" w:rsidTr="00DC5FE3">
        <w:trPr>
          <w:trHeight w:val="315"/>
        </w:trPr>
        <w:tc>
          <w:tcPr>
            <w:tcW w:w="2203" w:type="pct"/>
            <w:tcBorders>
              <w:top w:val="nil"/>
              <w:left w:val="single" w:sz="8" w:space="0" w:color="AC9B85"/>
              <w:bottom w:val="single" w:sz="8" w:space="0" w:color="AC9B85"/>
              <w:right w:val="single" w:sz="8" w:space="0" w:color="AC9B85"/>
            </w:tcBorders>
            <w:shd w:val="clear" w:color="000000" w:fill="DFD6CD"/>
            <w:vAlign w:val="center"/>
            <w:hideMark/>
          </w:tcPr>
          <w:p w:rsidR="00DC5FE3" w:rsidRPr="00DC5FE3" w:rsidRDefault="00DC5FE3" w:rsidP="00DC5FE3">
            <w:pPr>
              <w:spacing w:after="0" w:line="240" w:lineRule="auto"/>
              <w:rPr>
                <w:rFonts w:ascii="Times New Roman"/>
                <w:b/>
                <w:bCs/>
                <w:color w:val="60512F"/>
                <w:sz w:val="16"/>
                <w:szCs w:val="16"/>
                <w:lang w:val="it-IT"/>
              </w:rPr>
            </w:pPr>
            <w:r w:rsidRPr="00DC5FE3">
              <w:rPr>
                <w:rFonts w:ascii="Times New Roman" w:cs="Arial"/>
                <w:b/>
                <w:bCs/>
                <w:color w:val="60512F"/>
                <w:sz w:val="16"/>
                <w:szCs w:val="16"/>
                <w:lang w:val="it-IT"/>
              </w:rPr>
              <w:t xml:space="preserve"> Risultato di Gruppo</w:t>
            </w:r>
          </w:p>
        </w:tc>
        <w:tc>
          <w:tcPr>
            <w:tcW w:w="718" w:type="pct"/>
            <w:tcBorders>
              <w:top w:val="single" w:sz="8" w:space="0" w:color="A99983"/>
              <w:left w:val="single" w:sz="8" w:space="0" w:color="A99983"/>
              <w:bottom w:val="single" w:sz="8" w:space="0" w:color="AC9B85"/>
              <w:right w:val="single" w:sz="8" w:space="0" w:color="A99983"/>
            </w:tcBorders>
            <w:shd w:val="clear" w:color="000000" w:fill="DFD6CD"/>
            <w:vAlign w:val="center"/>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eastAsia="MS PGothic" w:cs="Arial"/>
                <w:b/>
                <w:bCs/>
                <w:color w:val="60512F"/>
                <w:sz w:val="16"/>
                <w:szCs w:val="16"/>
                <w:lang w:val="it-IT" w:eastAsia="it-IT"/>
              </w:rPr>
              <w:t>46.267</w:t>
            </w:r>
          </w:p>
        </w:tc>
        <w:tc>
          <w:tcPr>
            <w:tcW w:w="718" w:type="pct"/>
            <w:tcBorders>
              <w:top w:val="single" w:sz="8" w:space="0" w:color="A99983"/>
              <w:left w:val="nil"/>
              <w:bottom w:val="single" w:sz="8" w:space="0" w:color="AC9B85"/>
              <w:right w:val="single" w:sz="8" w:space="0" w:color="A99983"/>
            </w:tcBorders>
            <w:shd w:val="clear" w:color="000000" w:fill="DFD6CD"/>
            <w:vAlign w:val="center"/>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(9.471)</w:t>
            </w:r>
          </w:p>
        </w:tc>
        <w:tc>
          <w:tcPr>
            <w:tcW w:w="718" w:type="pct"/>
            <w:tcBorders>
              <w:top w:val="single" w:sz="8" w:space="0" w:color="A99983"/>
              <w:left w:val="nil"/>
              <w:bottom w:val="single" w:sz="8" w:space="0" w:color="AC9B85"/>
              <w:right w:val="single" w:sz="8" w:space="0" w:color="A99983"/>
            </w:tcBorders>
            <w:shd w:val="clear" w:color="000000" w:fill="DFD6CD"/>
            <w:vAlign w:val="center"/>
            <w:hideMark/>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28.889</w:t>
            </w:r>
          </w:p>
        </w:tc>
        <w:tc>
          <w:tcPr>
            <w:tcW w:w="643" w:type="pct"/>
            <w:tcBorders>
              <w:top w:val="single" w:sz="8" w:space="0" w:color="A99983"/>
              <w:left w:val="nil"/>
              <w:bottom w:val="single" w:sz="8" w:space="0" w:color="AC9B85"/>
              <w:right w:val="single" w:sz="8" w:space="0" w:color="A99983"/>
            </w:tcBorders>
            <w:shd w:val="clear" w:color="000000" w:fill="DFD6CD"/>
            <w:vAlign w:val="center"/>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(5.264)</w:t>
            </w:r>
          </w:p>
        </w:tc>
      </w:tr>
    </w:tbl>
    <w:bookmarkEnd w:id="1"/>
    <w:p w:rsidR="00DC5FE3" w:rsidRDefault="00DC5FE3" w:rsidP="00DC5FE3">
      <w:pPr>
        <w:pageBreakBefore/>
        <w:jc w:val="center"/>
        <w:rPr>
          <w:rFonts w:ascii="Arial" w:hAnsi="Arial" w:cs="Arial"/>
          <w:b/>
          <w:lang w:val="it-IT"/>
        </w:rPr>
      </w:pPr>
      <w:r>
        <w:rPr>
          <w:rFonts w:ascii="Arial" w:hAnsi="Arial" w:cs="Arial"/>
          <w:b/>
          <w:lang w:val="it-IT"/>
        </w:rPr>
        <w:lastRenderedPageBreak/>
        <w:t>UTILE PER AZIONE</w:t>
      </w:r>
    </w:p>
    <w:tbl>
      <w:tblPr>
        <w:tblW w:w="5000" w:type="pct"/>
        <w:tblLook w:val="04A0"/>
      </w:tblPr>
      <w:tblGrid>
        <w:gridCol w:w="4696"/>
        <w:gridCol w:w="2580"/>
        <w:gridCol w:w="2578"/>
      </w:tblGrid>
      <w:tr w:rsidR="00DC5FE3" w:rsidRPr="00DC5FE3" w:rsidTr="00DC5FE3">
        <w:trPr>
          <w:trHeight w:val="300"/>
        </w:trPr>
        <w:tc>
          <w:tcPr>
            <w:tcW w:w="2383" w:type="pct"/>
            <w:vMerge w:val="restart"/>
            <w:tcBorders>
              <w:top w:val="single" w:sz="8" w:space="0" w:color="DFD6CD"/>
              <w:left w:val="single" w:sz="8" w:space="0" w:color="DFD6CD"/>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rPr>
                <w:rFonts w:ascii="Times New Roman"/>
                <w:b/>
                <w:bCs/>
                <w:color w:val="000000"/>
                <w:sz w:val="16"/>
                <w:szCs w:val="16"/>
                <w:lang w:val="it-IT"/>
              </w:rPr>
            </w:pPr>
            <w:r w:rsidRPr="00DC5FE3">
              <w:rPr>
                <w:rFonts w:ascii="Times New Roman"/>
                <w:b/>
                <w:bCs/>
                <w:color w:val="000000"/>
                <w:sz w:val="16"/>
                <w:szCs w:val="16"/>
                <w:lang w:val="it-IT"/>
              </w:rPr>
              <w:t>(Euro)</w:t>
            </w:r>
          </w:p>
        </w:tc>
        <w:tc>
          <w:tcPr>
            <w:tcW w:w="1309" w:type="pct"/>
            <w:vMerge w:val="restart"/>
            <w:tcBorders>
              <w:top w:val="single" w:sz="8" w:space="0" w:color="C4BD97"/>
              <w:left w:val="nil"/>
              <w:bottom w:val="single" w:sz="8" w:space="0" w:color="C4BD97"/>
              <w:right w:val="single" w:sz="8" w:space="0" w:color="C4BD97"/>
            </w:tcBorders>
            <w:shd w:val="clear" w:color="000000" w:fill="AC9B85"/>
            <w:vAlign w:val="center"/>
            <w:hideMark/>
          </w:tcPr>
          <w:p w:rsidR="00DC5FE3" w:rsidRDefault="00DC5FE3" w:rsidP="00DC5FE3">
            <w:pPr>
              <w:spacing w:after="0" w:line="240" w:lineRule="auto"/>
              <w:jc w:val="center"/>
              <w:rPr>
                <w:rFonts w:ascii="Times New Roman"/>
                <w:b/>
                <w:bCs/>
                <w:color w:val="FFFFFF"/>
                <w:sz w:val="16"/>
                <w:szCs w:val="16"/>
                <w:lang w:val="it-IT"/>
              </w:rPr>
            </w:pPr>
            <w:r w:rsidRPr="00DC5FE3">
              <w:rPr>
                <w:rFonts w:ascii="Times New Roman"/>
                <w:b/>
                <w:bCs/>
                <w:color w:val="FFFFFF"/>
                <w:sz w:val="16"/>
                <w:szCs w:val="16"/>
                <w:lang w:val="it-IT"/>
              </w:rPr>
              <w:t>31 dicembre 2018</w:t>
            </w:r>
          </w:p>
          <w:p w:rsidR="008378EA" w:rsidRPr="00DC5FE3" w:rsidRDefault="008378EA" w:rsidP="00DC5FE3">
            <w:pPr>
              <w:spacing w:after="0" w:line="240" w:lineRule="auto"/>
              <w:jc w:val="center"/>
              <w:rPr>
                <w:rFonts w:ascii="Times New Roman"/>
                <w:b/>
                <w:bCs/>
                <w:color w:val="FFFFFF"/>
                <w:sz w:val="16"/>
                <w:szCs w:val="16"/>
                <w:lang w:val="it-IT"/>
              </w:rPr>
            </w:pPr>
            <w:r>
              <w:rPr>
                <w:rFonts w:ascii="Times New Roman"/>
                <w:b/>
                <w:bCs/>
                <w:color w:val="FFFFFF"/>
                <w:sz w:val="16"/>
                <w:szCs w:val="16"/>
                <w:lang w:val="it-IT"/>
              </w:rPr>
              <w:t>(dati non revisionati)</w:t>
            </w:r>
          </w:p>
        </w:tc>
        <w:tc>
          <w:tcPr>
            <w:tcW w:w="1308" w:type="pct"/>
            <w:vMerge w:val="restart"/>
            <w:tcBorders>
              <w:top w:val="single" w:sz="8" w:space="0" w:color="C4BD97"/>
              <w:left w:val="nil"/>
              <w:bottom w:val="single" w:sz="8" w:space="0" w:color="C4BD97"/>
              <w:right w:val="single" w:sz="8" w:space="0" w:color="C4BD97"/>
            </w:tcBorders>
            <w:shd w:val="clear" w:color="000000" w:fill="AC9B85"/>
            <w:vAlign w:val="center"/>
            <w:hideMark/>
          </w:tcPr>
          <w:p w:rsidR="00DC5FE3" w:rsidRPr="00DC5FE3" w:rsidRDefault="00DC5FE3" w:rsidP="00DC5FE3">
            <w:pPr>
              <w:spacing w:after="0" w:line="240" w:lineRule="auto"/>
              <w:jc w:val="center"/>
              <w:rPr>
                <w:rFonts w:ascii="Times New Roman"/>
                <w:b/>
                <w:bCs/>
                <w:color w:val="FFFFFF"/>
                <w:sz w:val="16"/>
                <w:szCs w:val="16"/>
                <w:lang w:val="it-IT"/>
              </w:rPr>
            </w:pPr>
            <w:r w:rsidRPr="00DC5FE3">
              <w:rPr>
                <w:rFonts w:ascii="Times New Roman"/>
                <w:b/>
                <w:bCs/>
                <w:color w:val="FFFFFF"/>
                <w:sz w:val="16"/>
                <w:szCs w:val="16"/>
                <w:lang w:val="it-IT"/>
              </w:rPr>
              <w:t>31 dicembre 2017</w:t>
            </w:r>
          </w:p>
        </w:tc>
      </w:tr>
      <w:tr w:rsidR="00DC5FE3" w:rsidRPr="00DC5FE3" w:rsidTr="00DC5FE3">
        <w:trPr>
          <w:trHeight w:val="450"/>
        </w:trPr>
        <w:tc>
          <w:tcPr>
            <w:tcW w:w="2383" w:type="pct"/>
            <w:vMerge/>
            <w:tcBorders>
              <w:top w:val="single" w:sz="8" w:space="0" w:color="DFD6CD"/>
              <w:left w:val="single" w:sz="8" w:space="0" w:color="DFD6CD"/>
              <w:bottom w:val="single" w:sz="8" w:space="0" w:color="DFD6CD"/>
              <w:right w:val="single" w:sz="8" w:space="0" w:color="DFD6CD"/>
            </w:tcBorders>
            <w:vAlign w:val="center"/>
            <w:hideMark/>
          </w:tcPr>
          <w:p w:rsidR="00DC5FE3" w:rsidRPr="00DC5FE3" w:rsidRDefault="00DC5FE3" w:rsidP="00DC5FE3">
            <w:pPr>
              <w:spacing w:after="0" w:line="240" w:lineRule="auto"/>
              <w:rPr>
                <w:rFonts w:ascii="Times New Roman"/>
                <w:b/>
                <w:bCs/>
                <w:color w:val="000000"/>
                <w:sz w:val="16"/>
                <w:szCs w:val="16"/>
                <w:lang w:val="it-IT"/>
              </w:rPr>
            </w:pPr>
          </w:p>
        </w:tc>
        <w:tc>
          <w:tcPr>
            <w:tcW w:w="1309" w:type="pct"/>
            <w:vMerge/>
            <w:tcBorders>
              <w:top w:val="single" w:sz="8" w:space="0" w:color="C4BD97"/>
              <w:left w:val="nil"/>
              <w:bottom w:val="single" w:sz="8" w:space="0" w:color="C4BD97"/>
              <w:right w:val="single" w:sz="8" w:space="0" w:color="C4BD97"/>
            </w:tcBorders>
            <w:vAlign w:val="center"/>
            <w:hideMark/>
          </w:tcPr>
          <w:p w:rsidR="00DC5FE3" w:rsidRPr="00DC5FE3" w:rsidRDefault="00DC5FE3" w:rsidP="00DC5FE3">
            <w:pPr>
              <w:spacing w:after="0" w:line="240" w:lineRule="auto"/>
              <w:rPr>
                <w:rFonts w:ascii="Times New Roman"/>
                <w:b/>
                <w:bCs/>
                <w:color w:val="FFFFFF"/>
                <w:sz w:val="16"/>
                <w:szCs w:val="16"/>
                <w:lang w:val="it-IT"/>
              </w:rPr>
            </w:pPr>
          </w:p>
        </w:tc>
        <w:tc>
          <w:tcPr>
            <w:tcW w:w="1308" w:type="pct"/>
            <w:vMerge/>
            <w:tcBorders>
              <w:top w:val="single" w:sz="8" w:space="0" w:color="C4BD97"/>
              <w:left w:val="nil"/>
              <w:bottom w:val="single" w:sz="8" w:space="0" w:color="C4BD97"/>
              <w:right w:val="single" w:sz="8" w:space="0" w:color="C4BD97"/>
            </w:tcBorders>
            <w:vAlign w:val="center"/>
            <w:hideMark/>
          </w:tcPr>
          <w:p w:rsidR="00DC5FE3" w:rsidRPr="00DC5FE3" w:rsidRDefault="00DC5FE3" w:rsidP="00DC5FE3">
            <w:pPr>
              <w:spacing w:after="0" w:line="240" w:lineRule="auto"/>
              <w:rPr>
                <w:rFonts w:ascii="Times New Roman"/>
                <w:b/>
                <w:bCs/>
                <w:color w:val="FFFFFF"/>
                <w:sz w:val="16"/>
                <w:szCs w:val="16"/>
                <w:lang w:val="it-IT"/>
              </w:rPr>
            </w:pPr>
          </w:p>
        </w:tc>
      </w:tr>
      <w:tr w:rsidR="00DC5FE3" w:rsidRPr="00DC5FE3" w:rsidTr="00DC5FE3">
        <w:trPr>
          <w:trHeight w:val="315"/>
        </w:trPr>
        <w:tc>
          <w:tcPr>
            <w:tcW w:w="2383" w:type="pct"/>
            <w:tcBorders>
              <w:top w:val="single" w:sz="8" w:space="0" w:color="AC9B85"/>
              <w:left w:val="single" w:sz="8" w:space="0" w:color="AC9B85"/>
              <w:bottom w:val="single" w:sz="8" w:space="0" w:color="AC9B85"/>
              <w:right w:val="single" w:sz="8" w:space="0" w:color="AC9B85"/>
            </w:tcBorders>
            <w:shd w:val="clear" w:color="000000" w:fill="DFD6CD"/>
            <w:vAlign w:val="center"/>
            <w:hideMark/>
          </w:tcPr>
          <w:p w:rsidR="00DC5FE3" w:rsidRPr="00DC5FE3" w:rsidRDefault="00DC5FE3" w:rsidP="00DC5FE3">
            <w:pPr>
              <w:spacing w:after="0" w:line="240" w:lineRule="auto"/>
              <w:rPr>
                <w:rFonts w:ascii="Times New Roman"/>
                <w:b/>
                <w:bCs/>
                <w:color w:val="60512F"/>
                <w:sz w:val="16"/>
                <w:szCs w:val="16"/>
                <w:lang w:val="it-IT"/>
              </w:rPr>
            </w:pPr>
            <w:r w:rsidRPr="00DC5FE3">
              <w:rPr>
                <w:rFonts w:ascii="Times New Roman"/>
                <w:b/>
                <w:bCs/>
                <w:color w:val="60512F"/>
                <w:sz w:val="16"/>
                <w:szCs w:val="16"/>
                <w:lang w:val="it-IT"/>
              </w:rPr>
              <w:t xml:space="preserve"> Utile per azione</w:t>
            </w:r>
          </w:p>
        </w:tc>
        <w:tc>
          <w:tcPr>
            <w:tcW w:w="1309" w:type="pct"/>
            <w:tcBorders>
              <w:top w:val="nil"/>
              <w:left w:val="single" w:sz="8" w:space="0" w:color="A99983"/>
              <w:bottom w:val="single" w:sz="8" w:space="0" w:color="AC9B85"/>
              <w:right w:val="single" w:sz="8" w:space="0" w:color="A99983"/>
            </w:tcBorders>
            <w:shd w:val="clear" w:color="000000" w:fill="DFD6CD"/>
            <w:vAlign w:val="center"/>
            <w:hideMark/>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 </w:t>
            </w:r>
          </w:p>
        </w:tc>
        <w:tc>
          <w:tcPr>
            <w:tcW w:w="1308" w:type="pct"/>
            <w:tcBorders>
              <w:top w:val="nil"/>
              <w:left w:val="nil"/>
              <w:bottom w:val="single" w:sz="8" w:space="0" w:color="AC9B85"/>
              <w:right w:val="single" w:sz="8" w:space="0" w:color="A99983"/>
            </w:tcBorders>
            <w:shd w:val="clear" w:color="000000" w:fill="DFD6CD"/>
            <w:vAlign w:val="center"/>
            <w:hideMark/>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 </w:t>
            </w:r>
          </w:p>
        </w:tc>
      </w:tr>
      <w:tr w:rsidR="00DC5FE3" w:rsidRPr="00DC5FE3" w:rsidTr="00DC5FE3">
        <w:trPr>
          <w:trHeight w:val="318"/>
        </w:trPr>
        <w:tc>
          <w:tcPr>
            <w:tcW w:w="2383" w:type="pct"/>
            <w:tcBorders>
              <w:top w:val="nil"/>
              <w:left w:val="single" w:sz="8" w:space="0" w:color="DFD6CD"/>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rPr>
                <w:rFonts w:ascii="Times New Roman"/>
                <w:color w:val="000000"/>
                <w:sz w:val="16"/>
                <w:szCs w:val="16"/>
                <w:lang w:val="it-IT"/>
              </w:rPr>
            </w:pPr>
            <w:r w:rsidRPr="00DC5FE3">
              <w:rPr>
                <w:rFonts w:ascii="Times New Roman" w:cs="Arial"/>
                <w:color w:val="000000"/>
                <w:sz w:val="16"/>
                <w:szCs w:val="16"/>
                <w:lang w:val="it-IT"/>
              </w:rPr>
              <w:t xml:space="preserve"> Base, utile del periodo attribuibile agli azionisti ordinari</w:t>
            </w:r>
          </w:p>
        </w:tc>
        <w:tc>
          <w:tcPr>
            <w:tcW w:w="1309"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1,28</w:t>
            </w:r>
          </w:p>
        </w:tc>
        <w:tc>
          <w:tcPr>
            <w:tcW w:w="1308" w:type="pct"/>
            <w:tcBorders>
              <w:top w:val="single" w:sz="8" w:space="0" w:color="DFD6CD"/>
              <w:left w:val="nil"/>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 xml:space="preserve">                     0,80 </w:t>
            </w:r>
          </w:p>
        </w:tc>
      </w:tr>
      <w:tr w:rsidR="00DC5FE3" w:rsidRPr="00DC5FE3" w:rsidTr="00DC5FE3">
        <w:trPr>
          <w:trHeight w:val="318"/>
        </w:trPr>
        <w:tc>
          <w:tcPr>
            <w:tcW w:w="2383" w:type="pct"/>
            <w:tcBorders>
              <w:top w:val="nil"/>
              <w:left w:val="single" w:sz="8" w:space="0" w:color="DFD6CD"/>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rPr>
                <w:rFonts w:ascii="Times New Roman"/>
                <w:color w:val="000000"/>
                <w:sz w:val="16"/>
                <w:szCs w:val="16"/>
                <w:lang w:val="it-IT"/>
              </w:rPr>
            </w:pPr>
            <w:r w:rsidRPr="00DC5FE3">
              <w:rPr>
                <w:rFonts w:ascii="Times New Roman" w:cs="Arial"/>
                <w:color w:val="000000"/>
                <w:sz w:val="16"/>
                <w:szCs w:val="16"/>
                <w:lang w:val="it-IT"/>
              </w:rPr>
              <w:t xml:space="preserve"> Diluito, utile del periodo attribuibile agli azionisti ordinari </w:t>
            </w:r>
          </w:p>
        </w:tc>
        <w:tc>
          <w:tcPr>
            <w:tcW w:w="1309"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1,28</w:t>
            </w:r>
          </w:p>
        </w:tc>
        <w:tc>
          <w:tcPr>
            <w:tcW w:w="1308" w:type="pct"/>
            <w:tcBorders>
              <w:top w:val="nil"/>
              <w:left w:val="nil"/>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 xml:space="preserve">                     0,80 </w:t>
            </w:r>
          </w:p>
        </w:tc>
      </w:tr>
    </w:tbl>
    <w:p w:rsidR="00DC5FE3" w:rsidRDefault="00DC5FE3" w:rsidP="00DC5FE3">
      <w:pPr>
        <w:rPr>
          <w:lang w:val="it-IT"/>
        </w:rPr>
      </w:pPr>
    </w:p>
    <w:p w:rsidR="00DC5FE3" w:rsidRDefault="00DC5FE3" w:rsidP="00DC5FE3">
      <w:pPr>
        <w:rPr>
          <w:lang w:val="it-IT"/>
        </w:rPr>
      </w:pPr>
    </w:p>
    <w:p w:rsidR="00DC5FE3" w:rsidRDefault="00DC5FE3" w:rsidP="00DC5FE3">
      <w:pPr>
        <w:rPr>
          <w:lang w:val="it-IT"/>
        </w:rPr>
      </w:pPr>
    </w:p>
    <w:p w:rsidR="00DC5FE3" w:rsidRDefault="00DC5FE3" w:rsidP="00DC5FE3">
      <w:pPr>
        <w:rPr>
          <w:lang w:val="it-IT"/>
        </w:rPr>
      </w:pPr>
    </w:p>
    <w:p w:rsidR="00DC5FE3" w:rsidRDefault="00DC5FE3" w:rsidP="00DC5FE3">
      <w:pPr>
        <w:jc w:val="center"/>
        <w:rPr>
          <w:rFonts w:ascii="Arial" w:hAnsi="Arial" w:cs="Arial"/>
          <w:b/>
          <w:lang w:val="it-IT"/>
        </w:rPr>
      </w:pPr>
      <w:r w:rsidRPr="00DC5FE3">
        <w:rPr>
          <w:rFonts w:ascii="Arial" w:hAnsi="Arial" w:cs="Arial"/>
          <w:b/>
          <w:lang w:val="it-IT"/>
        </w:rPr>
        <w:t>PROSPETTO CONSOLIDATO DELLE ALTRE COMPONENTI DI CONTO ECONOMICO COMPLESSIVO</w:t>
      </w:r>
    </w:p>
    <w:tbl>
      <w:tblPr>
        <w:tblW w:w="5000" w:type="pct"/>
        <w:tblLook w:val="04A0"/>
      </w:tblPr>
      <w:tblGrid>
        <w:gridCol w:w="4347"/>
        <w:gridCol w:w="727"/>
        <w:gridCol w:w="2326"/>
        <w:gridCol w:w="2454"/>
      </w:tblGrid>
      <w:tr w:rsidR="00DC5FE3" w:rsidRPr="00DC5FE3" w:rsidTr="00DC5FE3">
        <w:trPr>
          <w:trHeight w:val="300"/>
        </w:trPr>
        <w:tc>
          <w:tcPr>
            <w:tcW w:w="2206" w:type="pct"/>
            <w:vMerge w:val="restart"/>
            <w:tcBorders>
              <w:top w:val="single" w:sz="8" w:space="0" w:color="DFD6CD"/>
              <w:left w:val="single" w:sz="8" w:space="0" w:color="DFD6CD"/>
              <w:bottom w:val="single" w:sz="8" w:space="0" w:color="DFD6CD"/>
            </w:tcBorders>
            <w:shd w:val="clear" w:color="auto" w:fill="auto"/>
            <w:vAlign w:val="center"/>
            <w:hideMark/>
          </w:tcPr>
          <w:p w:rsidR="00DC5FE3" w:rsidRPr="00DC5FE3" w:rsidRDefault="00DC5FE3" w:rsidP="00DC5FE3">
            <w:pPr>
              <w:spacing w:after="0" w:line="240" w:lineRule="auto"/>
              <w:rPr>
                <w:rFonts w:ascii="Times New Roman"/>
                <w:b/>
                <w:bCs/>
                <w:color w:val="000000"/>
                <w:sz w:val="16"/>
                <w:szCs w:val="16"/>
                <w:lang w:val="it-IT"/>
              </w:rPr>
            </w:pPr>
            <w:r w:rsidRPr="00DC5FE3">
              <w:rPr>
                <w:rFonts w:ascii="Times New Roman"/>
                <w:b/>
                <w:bCs/>
                <w:color w:val="000000"/>
                <w:sz w:val="16"/>
                <w:szCs w:val="16"/>
                <w:lang w:val="it-IT"/>
              </w:rPr>
              <w:t>(Euro migliaia)</w:t>
            </w:r>
          </w:p>
        </w:tc>
        <w:tc>
          <w:tcPr>
            <w:tcW w:w="369" w:type="pct"/>
            <w:vMerge w:val="restart"/>
            <w:tcBorders>
              <w:top w:val="single" w:sz="8" w:space="0" w:color="DFD6CD"/>
              <w:bottom w:val="single" w:sz="8" w:space="0" w:color="C4BD97"/>
              <w:right w:val="single" w:sz="8" w:space="0" w:color="DFD6CD"/>
            </w:tcBorders>
            <w:shd w:val="clear" w:color="auto" w:fill="auto"/>
            <w:vAlign w:val="center"/>
            <w:hideMark/>
          </w:tcPr>
          <w:p w:rsidR="00DC5FE3" w:rsidRPr="00DC5FE3" w:rsidRDefault="00DC5FE3" w:rsidP="00DC5FE3">
            <w:pPr>
              <w:spacing w:after="0" w:line="240" w:lineRule="auto"/>
              <w:jc w:val="center"/>
              <w:rPr>
                <w:rFonts w:ascii="Times New Roman"/>
                <w:b/>
                <w:bCs/>
                <w:color w:val="000000"/>
                <w:sz w:val="16"/>
                <w:szCs w:val="16"/>
                <w:lang w:val="it-IT"/>
              </w:rPr>
            </w:pPr>
          </w:p>
        </w:tc>
        <w:tc>
          <w:tcPr>
            <w:tcW w:w="1180" w:type="pct"/>
            <w:vMerge w:val="restart"/>
            <w:tcBorders>
              <w:top w:val="single" w:sz="8" w:space="0" w:color="C4BD97"/>
              <w:left w:val="nil"/>
              <w:bottom w:val="single" w:sz="8" w:space="0" w:color="C4BD97"/>
              <w:right w:val="single" w:sz="8" w:space="0" w:color="C4BD97"/>
            </w:tcBorders>
            <w:shd w:val="clear" w:color="000000" w:fill="AC9B85"/>
            <w:vAlign w:val="center"/>
            <w:hideMark/>
          </w:tcPr>
          <w:p w:rsidR="00DC5FE3" w:rsidRDefault="00DC5FE3" w:rsidP="00DC5FE3">
            <w:pPr>
              <w:spacing w:after="0" w:line="240" w:lineRule="auto"/>
              <w:jc w:val="center"/>
              <w:rPr>
                <w:rFonts w:ascii="Times New Roman"/>
                <w:b/>
                <w:bCs/>
                <w:color w:val="FFFFFF"/>
                <w:sz w:val="16"/>
                <w:szCs w:val="16"/>
                <w:lang w:val="it-IT"/>
              </w:rPr>
            </w:pPr>
            <w:r w:rsidRPr="00DC5FE3">
              <w:rPr>
                <w:rFonts w:ascii="Times New Roman"/>
                <w:b/>
                <w:bCs/>
                <w:color w:val="FFFFFF"/>
                <w:sz w:val="16"/>
                <w:szCs w:val="16"/>
                <w:lang w:val="it-IT"/>
              </w:rPr>
              <w:t>31 dicembre 2018</w:t>
            </w:r>
          </w:p>
          <w:p w:rsidR="008378EA" w:rsidRPr="00DC5FE3" w:rsidRDefault="008378EA" w:rsidP="00DC5FE3">
            <w:pPr>
              <w:spacing w:after="0" w:line="240" w:lineRule="auto"/>
              <w:jc w:val="center"/>
              <w:rPr>
                <w:rFonts w:ascii="Times New Roman"/>
                <w:b/>
                <w:bCs/>
                <w:color w:val="FFFFFF"/>
                <w:sz w:val="16"/>
                <w:szCs w:val="16"/>
                <w:lang w:val="it-IT"/>
              </w:rPr>
            </w:pPr>
            <w:r>
              <w:rPr>
                <w:rFonts w:ascii="Times New Roman"/>
                <w:b/>
                <w:bCs/>
                <w:color w:val="FFFFFF"/>
                <w:sz w:val="16"/>
                <w:szCs w:val="16"/>
                <w:lang w:val="it-IT"/>
              </w:rPr>
              <w:t>(dati non revisionati)</w:t>
            </w:r>
          </w:p>
        </w:tc>
        <w:tc>
          <w:tcPr>
            <w:tcW w:w="1245" w:type="pct"/>
            <w:vMerge w:val="restart"/>
            <w:tcBorders>
              <w:top w:val="single" w:sz="8" w:space="0" w:color="C4BD97"/>
              <w:left w:val="nil"/>
              <w:bottom w:val="single" w:sz="8" w:space="0" w:color="C4BD97"/>
              <w:right w:val="single" w:sz="8" w:space="0" w:color="C4BD97"/>
            </w:tcBorders>
            <w:shd w:val="clear" w:color="000000" w:fill="AC9B85"/>
            <w:vAlign w:val="center"/>
            <w:hideMark/>
          </w:tcPr>
          <w:p w:rsidR="00DC5FE3" w:rsidRPr="00DC5FE3" w:rsidRDefault="00DC5FE3" w:rsidP="00DC5FE3">
            <w:pPr>
              <w:spacing w:after="0" w:line="240" w:lineRule="auto"/>
              <w:jc w:val="center"/>
              <w:rPr>
                <w:rFonts w:ascii="Times New Roman"/>
                <w:b/>
                <w:bCs/>
                <w:color w:val="FFFFFF"/>
                <w:sz w:val="16"/>
                <w:szCs w:val="16"/>
                <w:lang w:val="it-IT"/>
              </w:rPr>
            </w:pPr>
            <w:r w:rsidRPr="00DC5FE3">
              <w:rPr>
                <w:rFonts w:ascii="Times New Roman"/>
                <w:b/>
                <w:bCs/>
                <w:color w:val="FFFFFF"/>
                <w:sz w:val="16"/>
                <w:szCs w:val="16"/>
                <w:lang w:val="it-IT"/>
              </w:rPr>
              <w:t>31 dicembre 2017</w:t>
            </w:r>
          </w:p>
        </w:tc>
      </w:tr>
      <w:tr w:rsidR="00DC5FE3" w:rsidRPr="00DC5FE3" w:rsidTr="00DC5FE3">
        <w:trPr>
          <w:trHeight w:val="450"/>
        </w:trPr>
        <w:tc>
          <w:tcPr>
            <w:tcW w:w="2206" w:type="pct"/>
            <w:vMerge/>
            <w:tcBorders>
              <w:top w:val="single" w:sz="8" w:space="0" w:color="DFD6CD"/>
              <w:left w:val="single" w:sz="8" w:space="0" w:color="DFD6CD"/>
              <w:bottom w:val="single" w:sz="8" w:space="0" w:color="DFD6CD"/>
            </w:tcBorders>
            <w:vAlign w:val="center"/>
            <w:hideMark/>
          </w:tcPr>
          <w:p w:rsidR="00DC5FE3" w:rsidRPr="00DC5FE3" w:rsidRDefault="00DC5FE3" w:rsidP="00DC5FE3">
            <w:pPr>
              <w:spacing w:after="0" w:line="240" w:lineRule="auto"/>
              <w:rPr>
                <w:rFonts w:ascii="Times New Roman"/>
                <w:b/>
                <w:bCs/>
                <w:color w:val="000000"/>
                <w:sz w:val="16"/>
                <w:szCs w:val="16"/>
                <w:lang w:val="it-IT"/>
              </w:rPr>
            </w:pPr>
          </w:p>
        </w:tc>
        <w:tc>
          <w:tcPr>
            <w:tcW w:w="369" w:type="pct"/>
            <w:vMerge/>
            <w:tcBorders>
              <w:top w:val="single" w:sz="8" w:space="0" w:color="DFD6CD"/>
              <w:bottom w:val="single" w:sz="8" w:space="0" w:color="C4BD97"/>
              <w:right w:val="single" w:sz="8" w:space="0" w:color="DFD6CD"/>
            </w:tcBorders>
            <w:vAlign w:val="center"/>
            <w:hideMark/>
          </w:tcPr>
          <w:p w:rsidR="00DC5FE3" w:rsidRPr="00DC5FE3" w:rsidRDefault="00DC5FE3" w:rsidP="00DC5FE3">
            <w:pPr>
              <w:spacing w:after="0" w:line="240" w:lineRule="auto"/>
              <w:rPr>
                <w:rFonts w:ascii="Times New Roman"/>
                <w:b/>
                <w:bCs/>
                <w:color w:val="000000"/>
                <w:sz w:val="16"/>
                <w:szCs w:val="16"/>
                <w:lang w:val="it-IT"/>
              </w:rPr>
            </w:pPr>
          </w:p>
        </w:tc>
        <w:tc>
          <w:tcPr>
            <w:tcW w:w="1180" w:type="pct"/>
            <w:vMerge/>
            <w:tcBorders>
              <w:top w:val="single" w:sz="8" w:space="0" w:color="C4BD97"/>
              <w:left w:val="nil"/>
              <w:bottom w:val="single" w:sz="8" w:space="0" w:color="C4BD97"/>
              <w:right w:val="single" w:sz="8" w:space="0" w:color="C4BD97"/>
            </w:tcBorders>
            <w:vAlign w:val="center"/>
            <w:hideMark/>
          </w:tcPr>
          <w:p w:rsidR="00DC5FE3" w:rsidRPr="00DC5FE3" w:rsidRDefault="00DC5FE3" w:rsidP="00DC5FE3">
            <w:pPr>
              <w:spacing w:after="0" w:line="240" w:lineRule="auto"/>
              <w:rPr>
                <w:rFonts w:ascii="Times New Roman"/>
                <w:b/>
                <w:bCs/>
                <w:color w:val="FFFFFF"/>
                <w:sz w:val="16"/>
                <w:szCs w:val="16"/>
                <w:lang w:val="it-IT"/>
              </w:rPr>
            </w:pPr>
          </w:p>
        </w:tc>
        <w:tc>
          <w:tcPr>
            <w:tcW w:w="1245" w:type="pct"/>
            <w:vMerge/>
            <w:tcBorders>
              <w:top w:val="single" w:sz="8" w:space="0" w:color="C4BD97"/>
              <w:left w:val="nil"/>
              <w:bottom w:val="single" w:sz="8" w:space="0" w:color="C4BD97"/>
              <w:right w:val="single" w:sz="8" w:space="0" w:color="C4BD97"/>
            </w:tcBorders>
            <w:vAlign w:val="center"/>
            <w:hideMark/>
          </w:tcPr>
          <w:p w:rsidR="00DC5FE3" w:rsidRPr="00DC5FE3" w:rsidRDefault="00DC5FE3" w:rsidP="00DC5FE3">
            <w:pPr>
              <w:spacing w:after="0" w:line="240" w:lineRule="auto"/>
              <w:rPr>
                <w:rFonts w:ascii="Times New Roman"/>
                <w:b/>
                <w:bCs/>
                <w:color w:val="FFFFFF"/>
                <w:sz w:val="16"/>
                <w:szCs w:val="16"/>
                <w:lang w:val="it-IT"/>
              </w:rPr>
            </w:pPr>
          </w:p>
        </w:tc>
      </w:tr>
      <w:tr w:rsidR="00DC5FE3" w:rsidRPr="00DC5FE3" w:rsidTr="00DC5FE3">
        <w:trPr>
          <w:trHeight w:val="315"/>
        </w:trPr>
        <w:tc>
          <w:tcPr>
            <w:tcW w:w="2206" w:type="pct"/>
            <w:tcBorders>
              <w:top w:val="single" w:sz="8" w:space="0" w:color="AC9B85"/>
              <w:left w:val="single" w:sz="8" w:space="0" w:color="AC9B85"/>
              <w:bottom w:val="single" w:sz="8" w:space="0" w:color="AC9B85"/>
            </w:tcBorders>
            <w:shd w:val="clear" w:color="000000" w:fill="DFD6CD"/>
            <w:vAlign w:val="center"/>
            <w:hideMark/>
          </w:tcPr>
          <w:p w:rsidR="00DC5FE3" w:rsidRPr="00DC5FE3" w:rsidRDefault="00DC5FE3" w:rsidP="00DC5FE3">
            <w:pPr>
              <w:spacing w:after="0" w:line="240" w:lineRule="auto"/>
              <w:rPr>
                <w:rFonts w:ascii="Times New Roman"/>
                <w:b/>
                <w:bCs/>
                <w:color w:val="60512F"/>
                <w:sz w:val="16"/>
                <w:szCs w:val="16"/>
                <w:lang w:val="it-IT"/>
              </w:rPr>
            </w:pPr>
            <w:r w:rsidRPr="00DC5FE3">
              <w:rPr>
                <w:rFonts w:ascii="Times New Roman"/>
                <w:b/>
                <w:bCs/>
                <w:color w:val="60512F"/>
                <w:sz w:val="16"/>
                <w:szCs w:val="16"/>
                <w:lang w:val="it-IT"/>
              </w:rPr>
              <w:t>Utile d'esercizio</w:t>
            </w:r>
          </w:p>
        </w:tc>
        <w:tc>
          <w:tcPr>
            <w:tcW w:w="369" w:type="pct"/>
            <w:tcBorders>
              <w:top w:val="single" w:sz="8" w:space="0" w:color="AC9B85"/>
              <w:bottom w:val="single" w:sz="8" w:space="0" w:color="AC9B85"/>
              <w:right w:val="single" w:sz="8" w:space="0" w:color="AC9B85"/>
            </w:tcBorders>
            <w:shd w:val="clear" w:color="000000" w:fill="DFD6CD"/>
            <w:vAlign w:val="center"/>
            <w:hideMark/>
          </w:tcPr>
          <w:p w:rsidR="00DC5FE3" w:rsidRPr="00DC5FE3" w:rsidRDefault="00DC5FE3" w:rsidP="00DC5FE3">
            <w:pPr>
              <w:spacing w:after="0" w:line="240" w:lineRule="auto"/>
              <w:jc w:val="center"/>
              <w:rPr>
                <w:rFonts w:ascii="Times New Roman"/>
                <w:b/>
                <w:bCs/>
                <w:color w:val="60512F"/>
                <w:sz w:val="16"/>
                <w:szCs w:val="16"/>
                <w:lang w:val="it-IT"/>
              </w:rPr>
            </w:pPr>
            <w:r w:rsidRPr="00DC5FE3">
              <w:rPr>
                <w:rFonts w:ascii="Times New Roman"/>
                <w:b/>
                <w:bCs/>
                <w:color w:val="60512F"/>
                <w:sz w:val="16"/>
                <w:szCs w:val="16"/>
                <w:lang w:val="it-IT"/>
              </w:rPr>
              <w:t> </w:t>
            </w:r>
          </w:p>
        </w:tc>
        <w:tc>
          <w:tcPr>
            <w:tcW w:w="1180" w:type="pct"/>
            <w:tcBorders>
              <w:top w:val="nil"/>
              <w:left w:val="single" w:sz="8" w:space="0" w:color="A99983"/>
              <w:bottom w:val="single" w:sz="8" w:space="0" w:color="AC9B85"/>
              <w:right w:val="single" w:sz="8" w:space="0" w:color="A99983"/>
            </w:tcBorders>
            <w:shd w:val="clear" w:color="000000" w:fill="DFD6CD"/>
            <w:vAlign w:val="center"/>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48.314</w:t>
            </w:r>
          </w:p>
        </w:tc>
        <w:tc>
          <w:tcPr>
            <w:tcW w:w="1245" w:type="pct"/>
            <w:tcBorders>
              <w:top w:val="nil"/>
              <w:left w:val="nil"/>
              <w:bottom w:val="single" w:sz="8" w:space="0" w:color="AC9B85"/>
              <w:right w:val="single" w:sz="8" w:space="0" w:color="A99983"/>
            </w:tcBorders>
            <w:shd w:val="clear" w:color="000000" w:fill="DFD6CD"/>
            <w:vAlign w:val="center"/>
            <w:hideMark/>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30.689</w:t>
            </w:r>
          </w:p>
        </w:tc>
      </w:tr>
      <w:tr w:rsidR="00DC5FE3" w:rsidRPr="00DC5FE3" w:rsidTr="00DC5FE3">
        <w:trPr>
          <w:trHeight w:val="465"/>
        </w:trPr>
        <w:tc>
          <w:tcPr>
            <w:tcW w:w="2206" w:type="pct"/>
            <w:tcBorders>
              <w:top w:val="nil"/>
              <w:left w:val="single" w:sz="8" w:space="0" w:color="DFD6CD"/>
              <w:bottom w:val="single" w:sz="8" w:space="0" w:color="DFD6CD"/>
            </w:tcBorders>
            <w:shd w:val="clear" w:color="auto" w:fill="auto"/>
            <w:vAlign w:val="center"/>
            <w:hideMark/>
          </w:tcPr>
          <w:p w:rsidR="00DC5FE3" w:rsidRPr="00DC5FE3" w:rsidRDefault="00DC5FE3" w:rsidP="00DC5FE3">
            <w:pPr>
              <w:spacing w:after="0" w:line="240" w:lineRule="auto"/>
              <w:jc w:val="both"/>
              <w:rPr>
                <w:rFonts w:ascii="Times New Roman"/>
                <w:color w:val="000000"/>
                <w:sz w:val="16"/>
                <w:szCs w:val="16"/>
                <w:lang w:val="it-IT"/>
              </w:rPr>
            </w:pPr>
            <w:r w:rsidRPr="00DC5FE3">
              <w:rPr>
                <w:rFonts w:ascii="Times New Roman"/>
                <w:color w:val="000000"/>
                <w:sz w:val="16"/>
                <w:szCs w:val="16"/>
                <w:lang w:val="it-IT"/>
              </w:rPr>
              <w:t>Altre componenti di conto economico complessivo che saranno successivamente riclassificate nell’utile d’esercizio</w:t>
            </w:r>
          </w:p>
        </w:tc>
        <w:tc>
          <w:tcPr>
            <w:tcW w:w="369" w:type="pct"/>
            <w:tcBorders>
              <w:top w:val="nil"/>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jc w:val="center"/>
              <w:rPr>
                <w:rFonts w:ascii="Times New Roman"/>
                <w:color w:val="000000"/>
                <w:sz w:val="16"/>
                <w:szCs w:val="16"/>
                <w:lang w:val="it-IT"/>
              </w:rPr>
            </w:pPr>
          </w:p>
        </w:tc>
        <w:tc>
          <w:tcPr>
            <w:tcW w:w="1180" w:type="pct"/>
            <w:tcBorders>
              <w:top w:val="single" w:sz="8" w:space="0" w:color="DFD6CD"/>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(1.474)</w:t>
            </w:r>
          </w:p>
        </w:tc>
        <w:tc>
          <w:tcPr>
            <w:tcW w:w="1245" w:type="pct"/>
            <w:tcBorders>
              <w:top w:val="single" w:sz="8" w:space="0" w:color="DFD6CD"/>
              <w:left w:val="nil"/>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(46)</w:t>
            </w:r>
          </w:p>
        </w:tc>
      </w:tr>
      <w:tr w:rsidR="00DC5FE3" w:rsidRPr="00DC5FE3" w:rsidTr="00DC5FE3">
        <w:trPr>
          <w:trHeight w:val="465"/>
        </w:trPr>
        <w:tc>
          <w:tcPr>
            <w:tcW w:w="2206" w:type="pct"/>
            <w:tcBorders>
              <w:top w:val="nil"/>
              <w:left w:val="single" w:sz="8" w:space="0" w:color="DFD6CD"/>
              <w:bottom w:val="single" w:sz="8" w:space="0" w:color="DFD6CD"/>
            </w:tcBorders>
            <w:shd w:val="clear" w:color="auto" w:fill="auto"/>
            <w:vAlign w:val="center"/>
            <w:hideMark/>
          </w:tcPr>
          <w:p w:rsidR="00DC5FE3" w:rsidRPr="00DC5FE3" w:rsidRDefault="00DC5FE3" w:rsidP="00DC5FE3">
            <w:pPr>
              <w:spacing w:after="0" w:line="240" w:lineRule="auto"/>
              <w:jc w:val="both"/>
              <w:rPr>
                <w:rFonts w:ascii="Times New Roman"/>
                <w:color w:val="000000"/>
                <w:sz w:val="16"/>
                <w:szCs w:val="16"/>
                <w:lang w:val="it-IT"/>
              </w:rPr>
            </w:pPr>
            <w:r w:rsidRPr="00DC5FE3">
              <w:rPr>
                <w:rFonts w:ascii="Times New Roman"/>
                <w:color w:val="000000"/>
                <w:sz w:val="16"/>
                <w:szCs w:val="16"/>
                <w:lang w:val="it-IT"/>
              </w:rPr>
              <w:t>Altre componenti di conto economico complessivo che non saranno successivamente riclassificate nell’utile d'esercizio</w:t>
            </w:r>
          </w:p>
        </w:tc>
        <w:tc>
          <w:tcPr>
            <w:tcW w:w="369" w:type="pct"/>
            <w:tcBorders>
              <w:top w:val="nil"/>
              <w:bottom w:val="nil"/>
              <w:right w:val="single" w:sz="8" w:space="0" w:color="DFD6CD"/>
            </w:tcBorders>
            <w:shd w:val="clear" w:color="auto" w:fill="auto"/>
            <w:vAlign w:val="center"/>
            <w:hideMark/>
          </w:tcPr>
          <w:p w:rsidR="00DC5FE3" w:rsidRPr="00DC5FE3" w:rsidRDefault="00DC5FE3" w:rsidP="00DC5FE3">
            <w:pPr>
              <w:spacing w:after="0" w:line="240" w:lineRule="auto"/>
              <w:rPr>
                <w:rFonts w:ascii="Times New Roman"/>
                <w:color w:val="000000"/>
                <w:sz w:val="16"/>
                <w:szCs w:val="16"/>
                <w:lang w:val="it-IT"/>
              </w:rPr>
            </w:pPr>
            <w:r w:rsidRPr="00DC5FE3">
              <w:rPr>
                <w:rFonts w:ascii="Times New Roman"/>
                <w:color w:val="000000"/>
                <w:sz w:val="16"/>
                <w:szCs w:val="16"/>
                <w:lang w:val="it-IT"/>
              </w:rPr>
              <w:t> </w:t>
            </w:r>
          </w:p>
        </w:tc>
        <w:tc>
          <w:tcPr>
            <w:tcW w:w="1180" w:type="pct"/>
            <w:tcBorders>
              <w:top w:val="nil"/>
              <w:left w:val="nil"/>
              <w:bottom w:val="single" w:sz="8" w:space="0" w:color="DFD6CD"/>
              <w:right w:val="single" w:sz="8" w:space="0" w:color="DFD6CD"/>
            </w:tcBorders>
            <w:shd w:val="clear" w:color="000000" w:fill="F9F6F1"/>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p>
        </w:tc>
        <w:tc>
          <w:tcPr>
            <w:tcW w:w="1245" w:type="pct"/>
            <w:tcBorders>
              <w:top w:val="nil"/>
              <w:left w:val="nil"/>
              <w:bottom w:val="nil"/>
              <w:right w:val="single" w:sz="8" w:space="0" w:color="DFD6CD"/>
            </w:tcBorders>
            <w:shd w:val="clear" w:color="auto" w:fill="auto"/>
            <w:vAlign w:val="center"/>
            <w:hideMark/>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 xml:space="preserve">                         -   </w:t>
            </w:r>
          </w:p>
        </w:tc>
      </w:tr>
      <w:tr w:rsidR="00DC5FE3" w:rsidRPr="00DC5FE3" w:rsidTr="00DC5FE3">
        <w:trPr>
          <w:trHeight w:val="315"/>
        </w:trPr>
        <w:tc>
          <w:tcPr>
            <w:tcW w:w="2206" w:type="pct"/>
            <w:tcBorders>
              <w:top w:val="single" w:sz="8" w:space="0" w:color="AC9B85"/>
              <w:left w:val="single" w:sz="8" w:space="0" w:color="AC9B85"/>
              <w:bottom w:val="single" w:sz="8" w:space="0" w:color="AC9B85"/>
            </w:tcBorders>
            <w:shd w:val="clear" w:color="000000" w:fill="DFD6CD"/>
            <w:vAlign w:val="center"/>
            <w:hideMark/>
          </w:tcPr>
          <w:p w:rsidR="00DC5FE3" w:rsidRPr="00DC5FE3" w:rsidRDefault="00DC5FE3" w:rsidP="00DC5FE3">
            <w:pPr>
              <w:spacing w:after="0" w:line="240" w:lineRule="auto"/>
              <w:rPr>
                <w:rFonts w:ascii="Times New Roman"/>
                <w:b/>
                <w:bCs/>
                <w:color w:val="60512F"/>
                <w:sz w:val="16"/>
                <w:szCs w:val="16"/>
                <w:lang w:val="it-IT"/>
              </w:rPr>
            </w:pPr>
            <w:r w:rsidRPr="00DC5FE3">
              <w:rPr>
                <w:rFonts w:ascii="Times New Roman"/>
                <w:b/>
                <w:bCs/>
                <w:color w:val="60512F"/>
                <w:sz w:val="16"/>
                <w:szCs w:val="16"/>
                <w:lang w:val="it-IT"/>
              </w:rPr>
              <w:t xml:space="preserve"> Utile complessivo </w:t>
            </w:r>
          </w:p>
        </w:tc>
        <w:tc>
          <w:tcPr>
            <w:tcW w:w="369" w:type="pct"/>
            <w:tcBorders>
              <w:top w:val="single" w:sz="8" w:space="0" w:color="AC9B85"/>
              <w:bottom w:val="single" w:sz="8" w:space="0" w:color="AC9B85"/>
              <w:right w:val="single" w:sz="8" w:space="0" w:color="AC9B85"/>
            </w:tcBorders>
            <w:shd w:val="clear" w:color="000000" w:fill="DFD6CD"/>
            <w:vAlign w:val="center"/>
            <w:hideMark/>
          </w:tcPr>
          <w:p w:rsidR="00DC5FE3" w:rsidRPr="00DC5FE3" w:rsidRDefault="00DC5FE3" w:rsidP="00DC5FE3">
            <w:pPr>
              <w:spacing w:after="0" w:line="240" w:lineRule="auto"/>
              <w:jc w:val="right"/>
              <w:rPr>
                <w:rFonts w:ascii="Times New Roman"/>
                <w:b/>
                <w:bCs/>
                <w:color w:val="60512F"/>
                <w:sz w:val="16"/>
                <w:szCs w:val="16"/>
                <w:lang w:val="it-IT"/>
              </w:rPr>
            </w:pPr>
            <w:r w:rsidRPr="00DC5FE3">
              <w:rPr>
                <w:rFonts w:ascii="Times New Roman"/>
                <w:b/>
                <w:bCs/>
                <w:color w:val="60512F"/>
                <w:sz w:val="16"/>
                <w:szCs w:val="16"/>
                <w:lang w:val="it-IT"/>
              </w:rPr>
              <w:t> </w:t>
            </w:r>
          </w:p>
        </w:tc>
        <w:tc>
          <w:tcPr>
            <w:tcW w:w="1180" w:type="pct"/>
            <w:tcBorders>
              <w:top w:val="single" w:sz="8" w:space="0" w:color="A99983"/>
              <w:left w:val="single" w:sz="8" w:space="0" w:color="A99983"/>
              <w:bottom w:val="single" w:sz="8" w:space="0" w:color="AC9B85"/>
              <w:right w:val="single" w:sz="8" w:space="0" w:color="A99983"/>
            </w:tcBorders>
            <w:shd w:val="clear" w:color="000000" w:fill="DFD6CD"/>
            <w:vAlign w:val="center"/>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46.840</w:t>
            </w:r>
          </w:p>
        </w:tc>
        <w:tc>
          <w:tcPr>
            <w:tcW w:w="1245" w:type="pct"/>
            <w:tcBorders>
              <w:top w:val="single" w:sz="8" w:space="0" w:color="A99983"/>
              <w:left w:val="nil"/>
              <w:bottom w:val="single" w:sz="8" w:space="0" w:color="AC9B85"/>
              <w:right w:val="single" w:sz="8" w:space="0" w:color="A99983"/>
            </w:tcBorders>
            <w:shd w:val="clear" w:color="000000" w:fill="DFD6CD"/>
            <w:vAlign w:val="center"/>
            <w:hideMark/>
          </w:tcPr>
          <w:p w:rsidR="00DC5FE3" w:rsidRPr="00DC5FE3" w:rsidRDefault="00DC5FE3" w:rsidP="00DC5FE3">
            <w:pPr>
              <w:spacing w:after="0" w:line="240" w:lineRule="auto"/>
              <w:ind w:firstLineChars="100" w:firstLine="161"/>
              <w:jc w:val="right"/>
              <w:rPr>
                <w:rFonts w:ascii="Times New Roman"/>
                <w:b/>
                <w:bCs/>
                <w:color w:val="60512F"/>
                <w:sz w:val="16"/>
                <w:szCs w:val="16"/>
                <w:lang w:val="it-IT"/>
              </w:rPr>
            </w:pPr>
            <w:r w:rsidRPr="00DC5FE3">
              <w:rPr>
                <w:rFonts w:ascii="Times New Roman"/>
                <w:b/>
                <w:bCs/>
                <w:color w:val="60512F"/>
                <w:sz w:val="16"/>
                <w:szCs w:val="16"/>
                <w:lang w:val="it-IT"/>
              </w:rPr>
              <w:t>30.643</w:t>
            </w:r>
          </w:p>
        </w:tc>
      </w:tr>
      <w:tr w:rsidR="00DC5FE3" w:rsidRPr="00DC5FE3" w:rsidTr="008378EA">
        <w:trPr>
          <w:trHeight w:val="315"/>
        </w:trPr>
        <w:tc>
          <w:tcPr>
            <w:tcW w:w="5000" w:type="pct"/>
            <w:gridSpan w:val="4"/>
            <w:tcBorders>
              <w:top w:val="single" w:sz="8" w:space="0" w:color="AC9B85"/>
              <w:left w:val="single" w:sz="8" w:space="0" w:color="DFD6CD"/>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ind w:firstLineChars="100" w:firstLine="160"/>
              <w:rPr>
                <w:rFonts w:ascii="Times New Roman"/>
                <w:color w:val="000000"/>
                <w:sz w:val="16"/>
                <w:szCs w:val="16"/>
                <w:lang w:val="it-IT"/>
              </w:rPr>
            </w:pPr>
            <w:r w:rsidRPr="00DC5FE3">
              <w:rPr>
                <w:rFonts w:ascii="Times New Roman"/>
                <w:color w:val="000000"/>
                <w:sz w:val="16"/>
                <w:szCs w:val="16"/>
                <w:lang w:val="it-IT"/>
              </w:rPr>
              <w:t>Attribuibile a:</w:t>
            </w:r>
          </w:p>
        </w:tc>
      </w:tr>
      <w:tr w:rsidR="00DC5FE3" w:rsidRPr="00DC5FE3" w:rsidTr="008378EA">
        <w:trPr>
          <w:trHeight w:val="315"/>
        </w:trPr>
        <w:tc>
          <w:tcPr>
            <w:tcW w:w="2575" w:type="pct"/>
            <w:gridSpan w:val="2"/>
            <w:tcBorders>
              <w:top w:val="nil"/>
              <w:left w:val="single" w:sz="8" w:space="0" w:color="DFD6CD"/>
              <w:bottom w:val="single" w:sz="8" w:space="0" w:color="DFD6CD"/>
              <w:right w:val="nil"/>
            </w:tcBorders>
            <w:shd w:val="clear" w:color="auto" w:fill="auto"/>
            <w:vAlign w:val="center"/>
            <w:hideMark/>
          </w:tcPr>
          <w:p w:rsidR="00DC5FE3" w:rsidRPr="00DC5FE3" w:rsidRDefault="00DC5FE3" w:rsidP="00DC5FE3">
            <w:pPr>
              <w:spacing w:after="0" w:line="240" w:lineRule="auto"/>
              <w:ind w:firstLineChars="100" w:firstLine="160"/>
              <w:rPr>
                <w:rFonts w:ascii="Times New Roman"/>
                <w:color w:val="000000"/>
                <w:sz w:val="16"/>
                <w:szCs w:val="16"/>
                <w:lang w:val="it-IT"/>
              </w:rPr>
            </w:pPr>
            <w:r w:rsidRPr="00DC5FE3">
              <w:rPr>
                <w:rFonts w:ascii="Times New Roman"/>
                <w:color w:val="000000"/>
                <w:sz w:val="16"/>
                <w:szCs w:val="16"/>
                <w:lang w:val="it-IT"/>
              </w:rPr>
              <w:t>Azionisti di Gruppo</w:t>
            </w:r>
          </w:p>
        </w:tc>
        <w:tc>
          <w:tcPr>
            <w:tcW w:w="1180" w:type="pct"/>
            <w:tcBorders>
              <w:top w:val="nil"/>
              <w:left w:val="nil"/>
              <w:bottom w:val="single" w:sz="8" w:space="0" w:color="DFD6CD"/>
              <w:right w:val="single" w:sz="8" w:space="0" w:color="DFD6CD"/>
            </w:tcBorders>
            <w:shd w:val="clear" w:color="auto" w:fill="auto"/>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44.772</w:t>
            </w:r>
          </w:p>
        </w:tc>
        <w:tc>
          <w:tcPr>
            <w:tcW w:w="1245" w:type="pct"/>
            <w:tcBorders>
              <w:top w:val="nil"/>
              <w:left w:val="nil"/>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 xml:space="preserve">                 28.843 </w:t>
            </w:r>
          </w:p>
        </w:tc>
      </w:tr>
      <w:tr w:rsidR="00DC5FE3" w:rsidRPr="00DC5FE3" w:rsidTr="008378EA">
        <w:trPr>
          <w:trHeight w:val="315"/>
        </w:trPr>
        <w:tc>
          <w:tcPr>
            <w:tcW w:w="2575" w:type="pct"/>
            <w:gridSpan w:val="2"/>
            <w:tcBorders>
              <w:top w:val="single" w:sz="8" w:space="0" w:color="DFD6CD"/>
              <w:left w:val="single" w:sz="8" w:space="0" w:color="DFD6CD"/>
              <w:bottom w:val="single" w:sz="8" w:space="0" w:color="DFD6CD"/>
              <w:right w:val="nil"/>
            </w:tcBorders>
            <w:shd w:val="clear" w:color="auto" w:fill="auto"/>
            <w:vAlign w:val="center"/>
            <w:hideMark/>
          </w:tcPr>
          <w:p w:rsidR="00DC5FE3" w:rsidRPr="00DC5FE3" w:rsidRDefault="00DC5FE3" w:rsidP="00DC5FE3">
            <w:pPr>
              <w:spacing w:after="0" w:line="240" w:lineRule="auto"/>
              <w:ind w:firstLineChars="100" w:firstLine="160"/>
              <w:rPr>
                <w:rFonts w:ascii="Times New Roman"/>
                <w:color w:val="000000"/>
                <w:sz w:val="16"/>
                <w:szCs w:val="16"/>
                <w:lang w:val="it-IT"/>
              </w:rPr>
            </w:pPr>
            <w:r w:rsidRPr="00DC5FE3">
              <w:rPr>
                <w:rFonts w:ascii="Times New Roman"/>
                <w:color w:val="000000"/>
                <w:sz w:val="16"/>
                <w:szCs w:val="16"/>
                <w:lang w:val="it-IT"/>
              </w:rPr>
              <w:t>Azionisti di minoranza</w:t>
            </w:r>
          </w:p>
        </w:tc>
        <w:tc>
          <w:tcPr>
            <w:tcW w:w="1180" w:type="pct"/>
            <w:tcBorders>
              <w:top w:val="single" w:sz="8" w:space="0" w:color="DFD6CD"/>
              <w:left w:val="nil"/>
              <w:bottom w:val="single" w:sz="8" w:space="0" w:color="DFD6CD"/>
              <w:right w:val="single" w:sz="8" w:space="0" w:color="DFD6CD"/>
            </w:tcBorders>
            <w:shd w:val="clear" w:color="auto" w:fill="auto"/>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2.068</w:t>
            </w:r>
          </w:p>
        </w:tc>
        <w:tc>
          <w:tcPr>
            <w:tcW w:w="1245" w:type="pct"/>
            <w:tcBorders>
              <w:top w:val="single" w:sz="8" w:space="0" w:color="DFD6CD"/>
              <w:left w:val="nil"/>
              <w:bottom w:val="single" w:sz="8" w:space="0" w:color="DFD6CD"/>
              <w:right w:val="single" w:sz="8" w:space="0" w:color="DFD6CD"/>
            </w:tcBorders>
            <w:shd w:val="clear" w:color="auto" w:fill="auto"/>
            <w:vAlign w:val="center"/>
            <w:hideMark/>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 xml:space="preserve">                   1.800 </w:t>
            </w:r>
          </w:p>
        </w:tc>
      </w:tr>
      <w:tr w:rsidR="00DC5FE3" w:rsidRPr="00DC5FE3" w:rsidTr="008378EA">
        <w:trPr>
          <w:trHeight w:val="315"/>
        </w:trPr>
        <w:tc>
          <w:tcPr>
            <w:tcW w:w="2575" w:type="pct"/>
            <w:gridSpan w:val="2"/>
            <w:tcBorders>
              <w:top w:val="single" w:sz="8" w:space="0" w:color="DFD6CD"/>
              <w:left w:val="single" w:sz="8" w:space="0" w:color="DFD6CD"/>
              <w:bottom w:val="single" w:sz="8" w:space="0" w:color="DFD6CD"/>
              <w:right w:val="nil"/>
            </w:tcBorders>
            <w:shd w:val="clear" w:color="auto" w:fill="auto"/>
            <w:vAlign w:val="center"/>
          </w:tcPr>
          <w:p w:rsidR="00DC5FE3" w:rsidRPr="00DC5FE3" w:rsidRDefault="00DC5FE3" w:rsidP="00DC5FE3">
            <w:pPr>
              <w:spacing w:after="0" w:line="240" w:lineRule="auto"/>
              <w:ind w:firstLineChars="100" w:firstLine="160"/>
              <w:rPr>
                <w:rFonts w:ascii="Times New Roman"/>
                <w:color w:val="000000"/>
                <w:sz w:val="16"/>
                <w:szCs w:val="16"/>
                <w:lang w:val="it-IT"/>
              </w:rPr>
            </w:pPr>
            <w:r w:rsidRPr="00DC5FE3">
              <w:rPr>
                <w:rFonts w:ascii="Times New Roman"/>
                <w:color w:val="000000"/>
                <w:sz w:val="16"/>
                <w:szCs w:val="16"/>
                <w:lang w:val="it-IT"/>
              </w:rPr>
              <w:t>Totale</w:t>
            </w:r>
          </w:p>
        </w:tc>
        <w:tc>
          <w:tcPr>
            <w:tcW w:w="1180" w:type="pct"/>
            <w:tcBorders>
              <w:top w:val="single" w:sz="8" w:space="0" w:color="DFD6CD"/>
              <w:left w:val="nil"/>
              <w:bottom w:val="single" w:sz="8" w:space="0" w:color="DFD6CD"/>
              <w:right w:val="single" w:sz="8" w:space="0" w:color="DFD6CD"/>
            </w:tcBorders>
            <w:shd w:val="clear" w:color="auto" w:fill="auto"/>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46.840</w:t>
            </w:r>
          </w:p>
        </w:tc>
        <w:tc>
          <w:tcPr>
            <w:tcW w:w="1245" w:type="pct"/>
            <w:tcBorders>
              <w:top w:val="single" w:sz="8" w:space="0" w:color="DFD6CD"/>
              <w:left w:val="nil"/>
              <w:bottom w:val="single" w:sz="8" w:space="0" w:color="DFD6CD"/>
              <w:right w:val="single" w:sz="8" w:space="0" w:color="DFD6CD"/>
            </w:tcBorders>
            <w:shd w:val="clear" w:color="auto" w:fill="auto"/>
            <w:vAlign w:val="center"/>
          </w:tcPr>
          <w:p w:rsidR="00DC5FE3" w:rsidRPr="00DC5FE3" w:rsidRDefault="00DC5FE3" w:rsidP="00DC5FE3">
            <w:pPr>
              <w:spacing w:after="0" w:line="240" w:lineRule="auto"/>
              <w:ind w:firstLineChars="100" w:firstLine="160"/>
              <w:jc w:val="right"/>
              <w:rPr>
                <w:rFonts w:ascii="Times New Roman"/>
                <w:color w:val="000000"/>
                <w:sz w:val="16"/>
                <w:szCs w:val="16"/>
                <w:lang w:val="it-IT"/>
              </w:rPr>
            </w:pPr>
            <w:r w:rsidRPr="00DC5FE3">
              <w:rPr>
                <w:rFonts w:ascii="Times New Roman"/>
                <w:color w:val="000000"/>
                <w:sz w:val="16"/>
                <w:szCs w:val="16"/>
                <w:lang w:val="it-IT"/>
              </w:rPr>
              <w:t>30.643</w:t>
            </w:r>
          </w:p>
        </w:tc>
      </w:tr>
    </w:tbl>
    <w:p w:rsidR="00DC5FE3" w:rsidRDefault="00DC5FE3" w:rsidP="00DC5FE3">
      <w:pPr>
        <w:jc w:val="center"/>
        <w:rPr>
          <w:rFonts w:ascii="Arial" w:hAnsi="Arial" w:cs="Arial"/>
          <w:b/>
          <w:lang w:val="it-IT"/>
        </w:rPr>
      </w:pPr>
    </w:p>
    <w:p w:rsidR="00DC5FE3" w:rsidRPr="00DC5FE3" w:rsidRDefault="00DC5FE3" w:rsidP="00DC5FE3">
      <w:pPr>
        <w:jc w:val="center"/>
        <w:rPr>
          <w:rFonts w:ascii="Arial" w:hAnsi="Arial" w:cs="Arial"/>
          <w:b/>
          <w:lang w:val="it-IT"/>
        </w:rPr>
      </w:pPr>
    </w:p>
    <w:p w:rsidR="00DC5FE3" w:rsidRPr="00DC5FE3" w:rsidRDefault="00DC5FE3" w:rsidP="00DC5FE3">
      <w:pPr>
        <w:jc w:val="center"/>
        <w:rPr>
          <w:rFonts w:ascii="Arial" w:hAnsi="Arial" w:cs="Arial"/>
          <w:b/>
          <w:lang w:val="it-IT"/>
        </w:rPr>
      </w:pPr>
    </w:p>
    <w:p w:rsidR="00DC5FE3" w:rsidRDefault="008378EA" w:rsidP="00DC5FE3">
      <w:pPr>
        <w:pageBreakBefore/>
        <w:jc w:val="center"/>
        <w:rPr>
          <w:rFonts w:ascii="Arial" w:hAnsi="Arial" w:cs="Arial"/>
          <w:b/>
          <w:lang w:val="it-IT"/>
        </w:rPr>
      </w:pPr>
      <w:r w:rsidRPr="008378EA">
        <w:rPr>
          <w:rFonts w:ascii="Arial" w:hAnsi="Arial" w:cs="Arial"/>
          <w:b/>
          <w:lang w:val="it-IT"/>
        </w:rPr>
        <w:lastRenderedPageBreak/>
        <w:t>PROSPETTO CONSOLIDATO DELLA SITUAZIONE PATRIMONIALE FINANZIARIA</w:t>
      </w:r>
    </w:p>
    <w:tbl>
      <w:tblPr>
        <w:tblW w:w="5006" w:type="pct"/>
        <w:tblLook w:val="04A0"/>
      </w:tblPr>
      <w:tblGrid>
        <w:gridCol w:w="3588"/>
        <w:gridCol w:w="1600"/>
        <w:gridCol w:w="1598"/>
        <w:gridCol w:w="1598"/>
        <w:gridCol w:w="1482"/>
      </w:tblGrid>
      <w:tr w:rsidR="008378EA" w:rsidRPr="008378EA" w:rsidTr="00434FA3">
        <w:trPr>
          <w:trHeight w:val="265"/>
        </w:trPr>
        <w:tc>
          <w:tcPr>
            <w:tcW w:w="1818" w:type="pct"/>
            <w:vMerge w:val="restart"/>
            <w:tcBorders>
              <w:top w:val="single" w:sz="8" w:space="0" w:color="DFD6CD"/>
              <w:left w:val="single" w:sz="8" w:space="0" w:color="DFD6CD"/>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color w:val="000000"/>
                <w:sz w:val="16"/>
                <w:szCs w:val="16"/>
                <w:lang w:val="it-IT"/>
              </w:rPr>
            </w:pPr>
            <w:bookmarkStart w:id="2" w:name="_Hlk519695125"/>
            <w:r w:rsidRPr="008378EA">
              <w:rPr>
                <w:rFonts w:ascii="Times New Roman" w:cs="Arial"/>
                <w:b/>
                <w:bCs/>
                <w:color w:val="000000"/>
                <w:sz w:val="16"/>
                <w:szCs w:val="16"/>
                <w:lang w:val="it-IT"/>
              </w:rPr>
              <w:t>(Euro migliaia)</w:t>
            </w:r>
          </w:p>
        </w:tc>
        <w:tc>
          <w:tcPr>
            <w:tcW w:w="811" w:type="pct"/>
            <w:vMerge w:val="restart"/>
            <w:tcBorders>
              <w:top w:val="single" w:sz="8" w:space="0" w:color="C4BD97"/>
              <w:left w:val="nil"/>
              <w:bottom w:val="single" w:sz="8" w:space="0" w:color="C4BD97"/>
              <w:right w:val="nil"/>
            </w:tcBorders>
            <w:shd w:val="clear" w:color="000000" w:fill="AC9B85"/>
            <w:vAlign w:val="center"/>
            <w:hideMark/>
          </w:tcPr>
          <w:p w:rsidR="008378EA" w:rsidRDefault="008378EA" w:rsidP="008378EA">
            <w:pPr>
              <w:widowControl w:val="0"/>
              <w:autoSpaceDE w:val="0"/>
              <w:autoSpaceDN w:val="0"/>
              <w:adjustRightInd w:val="0"/>
              <w:spacing w:after="0" w:line="276" w:lineRule="auto"/>
              <w:jc w:val="center"/>
              <w:rPr>
                <w:rFonts w:ascii="Times New Roman" w:cs="Arial"/>
                <w:b/>
                <w:bCs/>
                <w:color w:val="FFFFFF"/>
                <w:sz w:val="16"/>
                <w:szCs w:val="16"/>
                <w:lang w:val="it-IT"/>
              </w:rPr>
            </w:pPr>
            <w:r w:rsidRPr="008378EA">
              <w:rPr>
                <w:rFonts w:ascii="Times New Roman" w:cs="Arial"/>
                <w:b/>
                <w:bCs/>
                <w:color w:val="FFFFFF"/>
                <w:sz w:val="16"/>
                <w:szCs w:val="16"/>
                <w:lang w:val="it-IT"/>
              </w:rPr>
              <w:t>31 dicembre 2018</w:t>
            </w:r>
          </w:p>
          <w:p w:rsidR="008378EA" w:rsidRPr="008378EA" w:rsidRDefault="008378EA" w:rsidP="008378EA">
            <w:pPr>
              <w:widowControl w:val="0"/>
              <w:autoSpaceDE w:val="0"/>
              <w:autoSpaceDN w:val="0"/>
              <w:adjustRightInd w:val="0"/>
              <w:spacing w:after="0" w:line="276" w:lineRule="auto"/>
              <w:jc w:val="center"/>
              <w:rPr>
                <w:rFonts w:ascii="Times New Roman" w:cs="Arial"/>
                <w:b/>
                <w:bCs/>
                <w:color w:val="FFFFFF"/>
                <w:sz w:val="16"/>
                <w:szCs w:val="16"/>
                <w:lang w:val="it-IT"/>
              </w:rPr>
            </w:pPr>
            <w:r>
              <w:rPr>
                <w:rFonts w:ascii="Times New Roman"/>
                <w:b/>
                <w:bCs/>
                <w:color w:val="FFFFFF"/>
                <w:sz w:val="16"/>
                <w:szCs w:val="16"/>
                <w:lang w:val="it-IT"/>
              </w:rPr>
              <w:t>(dati non revisionati)</w:t>
            </w:r>
          </w:p>
        </w:tc>
        <w:tc>
          <w:tcPr>
            <w:tcW w:w="810" w:type="pct"/>
            <w:vMerge w:val="restart"/>
            <w:tcBorders>
              <w:top w:val="single" w:sz="8" w:space="0" w:color="C4BD97"/>
              <w:left w:val="nil"/>
              <w:bottom w:val="single" w:sz="8" w:space="0" w:color="C4BD97"/>
              <w:right w:val="single" w:sz="8" w:space="0" w:color="C4BD97"/>
            </w:tcBorders>
            <w:shd w:val="clear" w:color="000000" w:fill="AC9B85"/>
            <w:vAlign w:val="center"/>
            <w:hideMark/>
          </w:tcPr>
          <w:p w:rsidR="008378EA" w:rsidRPr="008378EA" w:rsidRDefault="008378EA" w:rsidP="008378EA">
            <w:pPr>
              <w:widowControl w:val="0"/>
              <w:autoSpaceDE w:val="0"/>
              <w:autoSpaceDN w:val="0"/>
              <w:adjustRightInd w:val="0"/>
              <w:spacing w:after="0" w:line="276" w:lineRule="auto"/>
              <w:jc w:val="center"/>
              <w:rPr>
                <w:rFonts w:ascii="Times New Roman" w:cs="Arial"/>
                <w:b/>
                <w:bCs/>
                <w:i/>
                <w:iCs/>
                <w:color w:val="FFFFFF"/>
                <w:sz w:val="16"/>
                <w:szCs w:val="16"/>
                <w:lang w:val="it-IT"/>
              </w:rPr>
            </w:pPr>
            <w:r w:rsidRPr="008378EA">
              <w:rPr>
                <w:rFonts w:ascii="Times New Roman" w:cs="Arial"/>
                <w:b/>
                <w:bCs/>
                <w:i/>
                <w:iCs/>
                <w:color w:val="FFFFFF"/>
                <w:sz w:val="16"/>
                <w:szCs w:val="16"/>
                <w:lang w:val="it-IT"/>
              </w:rPr>
              <w:t>di cui parti correlate</w:t>
            </w:r>
          </w:p>
        </w:tc>
        <w:tc>
          <w:tcPr>
            <w:tcW w:w="810" w:type="pct"/>
            <w:vMerge w:val="restart"/>
            <w:tcBorders>
              <w:top w:val="single" w:sz="8" w:space="0" w:color="C4BD97"/>
              <w:left w:val="nil"/>
              <w:bottom w:val="single" w:sz="8" w:space="0" w:color="C4BD97"/>
              <w:right w:val="nil"/>
            </w:tcBorders>
            <w:shd w:val="clear" w:color="000000" w:fill="AC9B85"/>
            <w:vAlign w:val="center"/>
            <w:hideMark/>
          </w:tcPr>
          <w:p w:rsidR="008378EA" w:rsidRPr="008378EA" w:rsidRDefault="008378EA" w:rsidP="008378EA">
            <w:pPr>
              <w:widowControl w:val="0"/>
              <w:autoSpaceDE w:val="0"/>
              <w:autoSpaceDN w:val="0"/>
              <w:adjustRightInd w:val="0"/>
              <w:spacing w:after="0" w:line="276" w:lineRule="auto"/>
              <w:jc w:val="center"/>
              <w:rPr>
                <w:rFonts w:ascii="Times New Roman" w:cs="Arial"/>
                <w:b/>
                <w:bCs/>
                <w:color w:val="FFFFFF"/>
                <w:sz w:val="16"/>
                <w:szCs w:val="16"/>
                <w:lang w:val="it-IT"/>
              </w:rPr>
            </w:pPr>
            <w:r w:rsidRPr="008378EA">
              <w:rPr>
                <w:rFonts w:ascii="Times New Roman" w:cs="Arial"/>
                <w:b/>
                <w:bCs/>
                <w:color w:val="FFFFFF"/>
                <w:sz w:val="16"/>
                <w:szCs w:val="16"/>
                <w:lang w:val="it-IT"/>
              </w:rPr>
              <w:t>31 dicembre 2017</w:t>
            </w:r>
          </w:p>
        </w:tc>
        <w:tc>
          <w:tcPr>
            <w:tcW w:w="751" w:type="pct"/>
            <w:vMerge w:val="restart"/>
            <w:tcBorders>
              <w:top w:val="single" w:sz="8" w:space="0" w:color="C4BD97"/>
              <w:left w:val="nil"/>
              <w:bottom w:val="single" w:sz="8" w:space="0" w:color="C4BD97"/>
              <w:right w:val="single" w:sz="8" w:space="0" w:color="C4BD97"/>
            </w:tcBorders>
            <w:shd w:val="clear" w:color="000000" w:fill="AC9B85"/>
            <w:vAlign w:val="center"/>
            <w:hideMark/>
          </w:tcPr>
          <w:p w:rsidR="008378EA" w:rsidRPr="008378EA" w:rsidRDefault="008378EA" w:rsidP="008378EA">
            <w:pPr>
              <w:widowControl w:val="0"/>
              <w:autoSpaceDE w:val="0"/>
              <w:autoSpaceDN w:val="0"/>
              <w:adjustRightInd w:val="0"/>
              <w:spacing w:after="0" w:line="276" w:lineRule="auto"/>
              <w:jc w:val="center"/>
              <w:rPr>
                <w:rFonts w:ascii="Times New Roman" w:cs="Arial"/>
                <w:b/>
                <w:bCs/>
                <w:i/>
                <w:iCs/>
                <w:color w:val="FFFFFF"/>
                <w:sz w:val="16"/>
                <w:szCs w:val="16"/>
                <w:lang w:val="it-IT"/>
              </w:rPr>
            </w:pPr>
            <w:r w:rsidRPr="008378EA">
              <w:rPr>
                <w:rFonts w:ascii="Times New Roman" w:cs="Arial"/>
                <w:b/>
                <w:bCs/>
                <w:i/>
                <w:iCs/>
                <w:color w:val="FFFFFF"/>
                <w:sz w:val="16"/>
                <w:szCs w:val="16"/>
                <w:lang w:val="it-IT"/>
              </w:rPr>
              <w:t>di cui parti correlate</w:t>
            </w:r>
          </w:p>
        </w:tc>
      </w:tr>
      <w:tr w:rsidR="008378EA" w:rsidRPr="008378EA" w:rsidTr="00434FA3">
        <w:trPr>
          <w:trHeight w:val="450"/>
        </w:trPr>
        <w:tc>
          <w:tcPr>
            <w:tcW w:w="1818" w:type="pct"/>
            <w:vMerge/>
            <w:tcBorders>
              <w:top w:val="single" w:sz="8" w:space="0" w:color="DFD6CD"/>
              <w:left w:val="single" w:sz="8" w:space="0" w:color="DFD6CD"/>
              <w:bottom w:val="single" w:sz="8" w:space="0" w:color="DFD6CD"/>
              <w:right w:val="single" w:sz="8" w:space="0" w:color="DFD6CD"/>
            </w:tcBorders>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color w:val="000000"/>
                <w:sz w:val="16"/>
                <w:szCs w:val="16"/>
                <w:lang w:val="it-IT"/>
              </w:rPr>
            </w:pPr>
          </w:p>
        </w:tc>
        <w:tc>
          <w:tcPr>
            <w:tcW w:w="811" w:type="pct"/>
            <w:vMerge/>
            <w:tcBorders>
              <w:top w:val="single" w:sz="8" w:space="0" w:color="C4BD97"/>
              <w:left w:val="nil"/>
              <w:bottom w:val="single" w:sz="8" w:space="0" w:color="C4BD97"/>
              <w:right w:val="nil"/>
            </w:tcBorders>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color w:val="FFFFFF"/>
                <w:sz w:val="16"/>
                <w:szCs w:val="16"/>
                <w:lang w:val="it-IT"/>
              </w:rPr>
            </w:pPr>
          </w:p>
        </w:tc>
        <w:tc>
          <w:tcPr>
            <w:tcW w:w="810" w:type="pct"/>
            <w:vMerge/>
            <w:tcBorders>
              <w:top w:val="single" w:sz="8" w:space="0" w:color="C4BD97"/>
              <w:left w:val="nil"/>
              <w:bottom w:val="single" w:sz="8" w:space="0" w:color="C4BD97"/>
              <w:right w:val="single" w:sz="8" w:space="0" w:color="C4BD97"/>
            </w:tcBorders>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i/>
                <w:iCs/>
                <w:color w:val="FFFFFF"/>
                <w:sz w:val="16"/>
                <w:szCs w:val="16"/>
                <w:lang w:val="it-IT"/>
              </w:rPr>
            </w:pPr>
          </w:p>
        </w:tc>
        <w:tc>
          <w:tcPr>
            <w:tcW w:w="810" w:type="pct"/>
            <w:vMerge/>
            <w:tcBorders>
              <w:top w:val="single" w:sz="8" w:space="0" w:color="C4BD97"/>
              <w:left w:val="nil"/>
              <w:bottom w:val="single" w:sz="8" w:space="0" w:color="C4BD97"/>
              <w:right w:val="nil"/>
            </w:tcBorders>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color w:val="FFFFFF"/>
                <w:sz w:val="16"/>
                <w:szCs w:val="16"/>
                <w:lang w:val="it-IT"/>
              </w:rPr>
            </w:pPr>
          </w:p>
        </w:tc>
        <w:tc>
          <w:tcPr>
            <w:tcW w:w="751" w:type="pct"/>
            <w:vMerge/>
            <w:tcBorders>
              <w:top w:val="single" w:sz="8" w:space="0" w:color="C4BD97"/>
              <w:left w:val="nil"/>
              <w:bottom w:val="single" w:sz="8" w:space="0" w:color="C4BD97"/>
              <w:right w:val="single" w:sz="8" w:space="0" w:color="C4BD97"/>
            </w:tcBorders>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i/>
                <w:iCs/>
                <w:color w:val="FFFFFF"/>
                <w:sz w:val="16"/>
                <w:szCs w:val="16"/>
                <w:lang w:val="it-IT"/>
              </w:rPr>
            </w:pPr>
          </w:p>
        </w:tc>
      </w:tr>
      <w:tr w:rsidR="008378EA" w:rsidRPr="008378EA" w:rsidTr="00434FA3">
        <w:trPr>
          <w:trHeight w:val="278"/>
        </w:trPr>
        <w:tc>
          <w:tcPr>
            <w:tcW w:w="1818" w:type="pct"/>
            <w:tcBorders>
              <w:top w:val="single" w:sz="8" w:space="0" w:color="C4BD97"/>
              <w:left w:val="single" w:sz="8" w:space="0" w:color="C4BD97"/>
              <w:bottom w:val="single" w:sz="8" w:space="0" w:color="C4BD97"/>
              <w:right w:val="nil"/>
            </w:tcBorders>
            <w:shd w:val="clear" w:color="000000" w:fill="AC9B85"/>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color w:val="FFFFFF"/>
                <w:sz w:val="16"/>
                <w:szCs w:val="16"/>
                <w:lang w:val="it-IT"/>
              </w:rPr>
            </w:pPr>
            <w:r w:rsidRPr="008378EA">
              <w:rPr>
                <w:rFonts w:ascii="Times New Roman" w:cs="Arial"/>
                <w:b/>
                <w:bCs/>
                <w:color w:val="FFFFFF"/>
                <w:sz w:val="16"/>
                <w:szCs w:val="16"/>
                <w:lang w:val="it-IT"/>
              </w:rPr>
              <w:t xml:space="preserve"> Attivo</w:t>
            </w:r>
          </w:p>
        </w:tc>
        <w:tc>
          <w:tcPr>
            <w:tcW w:w="811" w:type="pct"/>
            <w:tcBorders>
              <w:top w:val="nil"/>
              <w:left w:val="nil"/>
              <w:bottom w:val="single" w:sz="8" w:space="0" w:color="C4BD97"/>
              <w:right w:val="nil"/>
            </w:tcBorders>
            <w:shd w:val="clear" w:color="000000" w:fill="AC9B85"/>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color w:val="FFFFFF"/>
                <w:sz w:val="16"/>
                <w:szCs w:val="16"/>
                <w:lang w:val="it-IT"/>
              </w:rPr>
            </w:pPr>
            <w:r w:rsidRPr="008378EA">
              <w:rPr>
                <w:rFonts w:ascii="Times New Roman" w:cs="Arial"/>
                <w:b/>
                <w:bCs/>
                <w:color w:val="FFFFFF"/>
                <w:sz w:val="16"/>
                <w:szCs w:val="16"/>
                <w:lang w:val="it-IT"/>
              </w:rPr>
              <w:t> </w:t>
            </w:r>
          </w:p>
        </w:tc>
        <w:tc>
          <w:tcPr>
            <w:tcW w:w="810" w:type="pct"/>
            <w:tcBorders>
              <w:top w:val="nil"/>
              <w:left w:val="nil"/>
              <w:bottom w:val="single" w:sz="8" w:space="0" w:color="C4BD97"/>
              <w:right w:val="nil"/>
            </w:tcBorders>
            <w:shd w:val="clear" w:color="000000" w:fill="AC9B85"/>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color w:val="FFFFFF"/>
                <w:sz w:val="16"/>
                <w:szCs w:val="16"/>
                <w:lang w:val="it-IT"/>
              </w:rPr>
            </w:pPr>
            <w:r w:rsidRPr="008378EA">
              <w:rPr>
                <w:rFonts w:ascii="Times New Roman" w:cs="Arial"/>
                <w:b/>
                <w:bCs/>
                <w:color w:val="FFFFFF"/>
                <w:sz w:val="16"/>
                <w:szCs w:val="16"/>
                <w:lang w:val="it-IT"/>
              </w:rPr>
              <w:t> </w:t>
            </w:r>
          </w:p>
        </w:tc>
        <w:tc>
          <w:tcPr>
            <w:tcW w:w="810" w:type="pct"/>
            <w:tcBorders>
              <w:top w:val="nil"/>
              <w:left w:val="nil"/>
              <w:bottom w:val="single" w:sz="8" w:space="0" w:color="C4BD97"/>
              <w:right w:val="nil"/>
            </w:tcBorders>
            <w:shd w:val="clear" w:color="000000" w:fill="AC9B85"/>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color w:val="FFFFFF"/>
                <w:sz w:val="16"/>
                <w:szCs w:val="16"/>
                <w:lang w:val="it-IT"/>
              </w:rPr>
            </w:pPr>
            <w:r w:rsidRPr="008378EA">
              <w:rPr>
                <w:rFonts w:ascii="Times New Roman" w:cs="Arial"/>
                <w:b/>
                <w:bCs/>
                <w:color w:val="FFFFFF"/>
                <w:sz w:val="16"/>
                <w:szCs w:val="16"/>
                <w:lang w:val="it-IT"/>
              </w:rPr>
              <w:t> </w:t>
            </w:r>
          </w:p>
        </w:tc>
        <w:tc>
          <w:tcPr>
            <w:tcW w:w="751" w:type="pct"/>
            <w:tcBorders>
              <w:top w:val="nil"/>
              <w:left w:val="nil"/>
              <w:bottom w:val="single" w:sz="8" w:space="0" w:color="C4BD97"/>
              <w:right w:val="single" w:sz="8" w:space="0" w:color="C4BD97"/>
            </w:tcBorders>
            <w:shd w:val="clear" w:color="000000" w:fill="AC9B85"/>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color w:val="FFFFFF"/>
                <w:sz w:val="16"/>
                <w:szCs w:val="16"/>
                <w:lang w:val="it-IT"/>
              </w:rPr>
            </w:pPr>
            <w:r w:rsidRPr="008378EA">
              <w:rPr>
                <w:rFonts w:ascii="Times New Roman" w:cs="Arial"/>
                <w:b/>
                <w:bCs/>
                <w:color w:val="FFFFFF"/>
                <w:sz w:val="16"/>
                <w:szCs w:val="16"/>
                <w:lang w:val="it-IT"/>
              </w:rPr>
              <w:t> </w:t>
            </w:r>
          </w:p>
        </w:tc>
      </w:tr>
      <w:tr w:rsidR="008378EA" w:rsidRPr="008378EA" w:rsidTr="00434FA3">
        <w:trPr>
          <w:trHeight w:val="278"/>
        </w:trPr>
        <w:tc>
          <w:tcPr>
            <w:tcW w:w="1818" w:type="pct"/>
            <w:tcBorders>
              <w:top w:val="nil"/>
              <w:left w:val="single" w:sz="8" w:space="0" w:color="DFD6CD"/>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Investimenti immobiliari </w:t>
            </w:r>
          </w:p>
        </w:tc>
        <w:tc>
          <w:tcPr>
            <w:tcW w:w="811"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jc w:val="right"/>
              <w:rPr>
                <w:rFonts w:ascii="Times New Roman" w:eastAsia="MS PGothic" w:cs="Arial"/>
                <w:color w:val="000000"/>
                <w:sz w:val="16"/>
                <w:szCs w:val="16"/>
                <w:lang w:val="it-IT"/>
              </w:rPr>
            </w:pPr>
            <w:r w:rsidRPr="008378EA">
              <w:rPr>
                <w:rFonts w:ascii="Times New Roman" w:eastAsia="MS PGothic" w:cs="Arial"/>
                <w:color w:val="000000"/>
                <w:sz w:val="16"/>
                <w:szCs w:val="16"/>
                <w:lang w:val="it-IT" w:eastAsia="it-IT"/>
              </w:rPr>
              <w:t>611.590</w:t>
            </w:r>
          </w:p>
        </w:tc>
        <w:tc>
          <w:tcPr>
            <w:tcW w:w="810"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c>
          <w:tcPr>
            <w:tcW w:w="810" w:type="pct"/>
            <w:tcBorders>
              <w:top w:val="single" w:sz="8" w:space="0" w:color="DFD6CD"/>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563.410  </w:t>
            </w:r>
          </w:p>
        </w:tc>
        <w:tc>
          <w:tcPr>
            <w:tcW w:w="751" w:type="pct"/>
            <w:tcBorders>
              <w:top w:val="single" w:sz="8" w:space="0" w:color="DFD6CD"/>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r>
      <w:tr w:rsidR="008378EA" w:rsidRPr="008378EA" w:rsidTr="00434FA3">
        <w:trPr>
          <w:trHeight w:val="278"/>
        </w:trPr>
        <w:tc>
          <w:tcPr>
            <w:tcW w:w="1818" w:type="pct"/>
            <w:tcBorders>
              <w:top w:val="nil"/>
              <w:left w:val="single" w:sz="8" w:space="0" w:color="DFD6CD"/>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Altre immobilizzazioni materiali </w:t>
            </w:r>
          </w:p>
        </w:tc>
        <w:tc>
          <w:tcPr>
            <w:tcW w:w="811"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jc w:val="right"/>
              <w:rPr>
                <w:rFonts w:ascii="Times New Roman" w:eastAsia="MS PGothic" w:cs="Arial"/>
                <w:color w:val="000000"/>
                <w:sz w:val="16"/>
                <w:szCs w:val="16"/>
                <w:lang w:val="it-IT" w:eastAsia="it-IT"/>
              </w:rPr>
            </w:pPr>
            <w:r w:rsidRPr="008378EA">
              <w:rPr>
                <w:rFonts w:ascii="Times New Roman" w:eastAsia="MS PGothic" w:cs="Arial"/>
                <w:color w:val="000000"/>
                <w:sz w:val="16"/>
                <w:szCs w:val="16"/>
                <w:lang w:val="it-IT" w:eastAsia="it-IT"/>
              </w:rPr>
              <w:t>319</w:t>
            </w:r>
          </w:p>
        </w:tc>
        <w:tc>
          <w:tcPr>
            <w:tcW w:w="810"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c>
          <w:tcPr>
            <w:tcW w:w="810"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351  </w:t>
            </w:r>
          </w:p>
        </w:tc>
        <w:tc>
          <w:tcPr>
            <w:tcW w:w="751"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r>
      <w:tr w:rsidR="008378EA" w:rsidRPr="008378EA" w:rsidTr="00434FA3">
        <w:trPr>
          <w:trHeight w:val="278"/>
        </w:trPr>
        <w:tc>
          <w:tcPr>
            <w:tcW w:w="1818" w:type="pct"/>
            <w:tcBorders>
              <w:top w:val="nil"/>
              <w:left w:val="single" w:sz="8" w:space="0" w:color="DFD6CD"/>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Immobilizzazioni immateriali </w:t>
            </w:r>
          </w:p>
        </w:tc>
        <w:tc>
          <w:tcPr>
            <w:tcW w:w="811"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eastAsia="MS PGothic" w:cs="Arial"/>
                <w:color w:val="000000"/>
                <w:sz w:val="16"/>
                <w:szCs w:val="16"/>
                <w:lang w:val="it-IT" w:eastAsia="it-IT"/>
              </w:rPr>
            </w:pPr>
            <w:r w:rsidRPr="008378EA">
              <w:rPr>
                <w:rFonts w:ascii="Times New Roman" w:eastAsia="MS PGothic" w:cs="Arial"/>
                <w:color w:val="000000"/>
                <w:sz w:val="16"/>
                <w:szCs w:val="16"/>
                <w:lang w:val="it-IT" w:eastAsia="it-IT"/>
              </w:rPr>
              <w:t>73</w:t>
            </w:r>
          </w:p>
        </w:tc>
        <w:tc>
          <w:tcPr>
            <w:tcW w:w="810"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c>
          <w:tcPr>
            <w:tcW w:w="810"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24  </w:t>
            </w:r>
          </w:p>
        </w:tc>
        <w:tc>
          <w:tcPr>
            <w:tcW w:w="751"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r>
      <w:tr w:rsidR="008378EA" w:rsidRPr="008378EA" w:rsidTr="00434FA3">
        <w:trPr>
          <w:trHeight w:val="249"/>
        </w:trPr>
        <w:tc>
          <w:tcPr>
            <w:tcW w:w="1818" w:type="pct"/>
            <w:tcBorders>
              <w:top w:val="nil"/>
              <w:left w:val="single" w:sz="8" w:space="0" w:color="DFD6CD"/>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Partecipazioni in società collegate valutate con il metodo del patrimonio netto</w:t>
            </w:r>
          </w:p>
        </w:tc>
        <w:tc>
          <w:tcPr>
            <w:tcW w:w="811"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eastAsia="MS PGothic" w:cs="Arial"/>
                <w:color w:val="000000"/>
                <w:sz w:val="16"/>
                <w:szCs w:val="16"/>
                <w:lang w:val="it-IT" w:eastAsia="it-IT"/>
              </w:rPr>
            </w:pPr>
            <w:r w:rsidRPr="008378EA">
              <w:rPr>
                <w:rFonts w:ascii="Times New Roman" w:eastAsia="MS PGothic" w:cs="Arial"/>
                <w:color w:val="000000"/>
                <w:sz w:val="16"/>
                <w:szCs w:val="16"/>
                <w:lang w:val="it-IT" w:eastAsia="it-IT"/>
              </w:rPr>
              <w:t>21.473</w:t>
            </w:r>
          </w:p>
        </w:tc>
        <w:tc>
          <w:tcPr>
            <w:tcW w:w="810"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c>
          <w:tcPr>
            <w:tcW w:w="810"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16.879  </w:t>
            </w:r>
          </w:p>
        </w:tc>
        <w:tc>
          <w:tcPr>
            <w:tcW w:w="751"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r>
      <w:tr w:rsidR="008378EA" w:rsidRPr="008378EA" w:rsidTr="00434FA3">
        <w:trPr>
          <w:trHeight w:val="278"/>
        </w:trPr>
        <w:tc>
          <w:tcPr>
            <w:tcW w:w="1818" w:type="pct"/>
            <w:tcBorders>
              <w:top w:val="nil"/>
              <w:left w:val="single" w:sz="8" w:space="0" w:color="DFD6CD"/>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Attività finanziarie al fair value</w:t>
            </w:r>
          </w:p>
        </w:tc>
        <w:tc>
          <w:tcPr>
            <w:tcW w:w="811"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eastAsia="MS PGothic" w:cs="Arial"/>
                <w:color w:val="000000"/>
                <w:sz w:val="16"/>
                <w:szCs w:val="16"/>
                <w:lang w:val="it-IT" w:eastAsia="it-IT"/>
              </w:rPr>
            </w:pPr>
            <w:r w:rsidRPr="008378EA">
              <w:rPr>
                <w:rFonts w:ascii="Times New Roman" w:eastAsia="MS PGothic" w:cs="Arial"/>
                <w:color w:val="000000"/>
                <w:sz w:val="16"/>
                <w:szCs w:val="16"/>
                <w:lang w:val="it-IT" w:eastAsia="it-IT"/>
              </w:rPr>
              <w:t>-</w:t>
            </w:r>
          </w:p>
        </w:tc>
        <w:tc>
          <w:tcPr>
            <w:tcW w:w="810"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c>
          <w:tcPr>
            <w:tcW w:w="810"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1.492  </w:t>
            </w:r>
          </w:p>
        </w:tc>
        <w:tc>
          <w:tcPr>
            <w:tcW w:w="751"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r>
      <w:tr w:rsidR="008378EA" w:rsidRPr="008378EA" w:rsidTr="00434FA3">
        <w:trPr>
          <w:trHeight w:val="278"/>
        </w:trPr>
        <w:tc>
          <w:tcPr>
            <w:tcW w:w="1818" w:type="pct"/>
            <w:tcBorders>
              <w:top w:val="nil"/>
              <w:left w:val="single" w:sz="8" w:space="0" w:color="DFD6CD"/>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Crediti per imposte anticipate</w:t>
            </w:r>
          </w:p>
        </w:tc>
        <w:tc>
          <w:tcPr>
            <w:tcW w:w="811"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jc w:val="right"/>
              <w:rPr>
                <w:rFonts w:ascii="Times New Roman" w:eastAsia="MS PGothic" w:cs="Arial"/>
                <w:color w:val="000000"/>
                <w:sz w:val="16"/>
                <w:szCs w:val="16"/>
                <w:lang w:val="it-IT" w:eastAsia="it-IT"/>
              </w:rPr>
            </w:pPr>
            <w:r w:rsidRPr="008378EA">
              <w:rPr>
                <w:rFonts w:ascii="Times New Roman" w:eastAsia="MS PGothic" w:cs="Arial"/>
                <w:color w:val="000000"/>
                <w:sz w:val="16"/>
                <w:szCs w:val="16"/>
                <w:lang w:val="it-IT" w:eastAsia="it-IT"/>
              </w:rPr>
              <w:t>10</w:t>
            </w:r>
          </w:p>
        </w:tc>
        <w:tc>
          <w:tcPr>
            <w:tcW w:w="810"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c>
          <w:tcPr>
            <w:tcW w:w="810"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9  </w:t>
            </w:r>
          </w:p>
        </w:tc>
        <w:tc>
          <w:tcPr>
            <w:tcW w:w="751"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r>
      <w:tr w:rsidR="008378EA" w:rsidRPr="008378EA" w:rsidTr="00434FA3">
        <w:trPr>
          <w:trHeight w:val="278"/>
        </w:trPr>
        <w:tc>
          <w:tcPr>
            <w:tcW w:w="1818" w:type="pct"/>
            <w:tcBorders>
              <w:top w:val="nil"/>
              <w:left w:val="single" w:sz="8" w:space="0" w:color="DFD6CD"/>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Strumenti finanziari derivati </w:t>
            </w:r>
          </w:p>
        </w:tc>
        <w:tc>
          <w:tcPr>
            <w:tcW w:w="811"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jc w:val="right"/>
              <w:rPr>
                <w:rFonts w:ascii="Times New Roman" w:eastAsia="MS PGothic" w:cs="Arial"/>
                <w:color w:val="000000"/>
                <w:sz w:val="16"/>
                <w:szCs w:val="16"/>
                <w:lang w:val="it-IT" w:eastAsia="it-IT"/>
              </w:rPr>
            </w:pPr>
            <w:r w:rsidRPr="008378EA">
              <w:rPr>
                <w:rFonts w:ascii="Times New Roman" w:eastAsia="MS PGothic" w:cs="Arial"/>
                <w:color w:val="000000"/>
                <w:sz w:val="16"/>
                <w:szCs w:val="16"/>
                <w:lang w:val="it-IT" w:eastAsia="it-IT"/>
              </w:rPr>
              <w:t>893</w:t>
            </w:r>
          </w:p>
        </w:tc>
        <w:tc>
          <w:tcPr>
            <w:tcW w:w="810"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c>
          <w:tcPr>
            <w:tcW w:w="810"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723  </w:t>
            </w:r>
          </w:p>
        </w:tc>
        <w:tc>
          <w:tcPr>
            <w:tcW w:w="751"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r>
      <w:tr w:rsidR="008378EA" w:rsidRPr="008378EA" w:rsidTr="00434FA3">
        <w:trPr>
          <w:trHeight w:val="278"/>
        </w:trPr>
        <w:tc>
          <w:tcPr>
            <w:tcW w:w="1818" w:type="pct"/>
            <w:tcBorders>
              <w:top w:val="nil"/>
              <w:left w:val="single" w:sz="8" w:space="0" w:color="DFD6CD"/>
              <w:bottom w:val="single" w:sz="8" w:space="0" w:color="AC9B85"/>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Crediti finanziari non correnti</w:t>
            </w:r>
          </w:p>
        </w:tc>
        <w:tc>
          <w:tcPr>
            <w:tcW w:w="811"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jc w:val="right"/>
              <w:rPr>
                <w:rFonts w:ascii="Times New Roman" w:eastAsia="MS PGothic" w:cs="Arial"/>
                <w:color w:val="000000"/>
                <w:sz w:val="16"/>
                <w:szCs w:val="16"/>
                <w:lang w:val="it-IT" w:eastAsia="it-IT"/>
              </w:rPr>
            </w:pPr>
            <w:r w:rsidRPr="008378EA">
              <w:rPr>
                <w:rFonts w:ascii="Times New Roman" w:eastAsia="MS PGothic" w:cs="Arial"/>
                <w:color w:val="000000"/>
                <w:sz w:val="16"/>
                <w:szCs w:val="16"/>
                <w:lang w:val="it-IT" w:eastAsia="it-IT"/>
              </w:rPr>
              <w:t>1.620</w:t>
            </w:r>
          </w:p>
        </w:tc>
        <w:tc>
          <w:tcPr>
            <w:tcW w:w="810"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1.620  </w:t>
            </w:r>
          </w:p>
        </w:tc>
        <w:tc>
          <w:tcPr>
            <w:tcW w:w="810" w:type="pct"/>
            <w:tcBorders>
              <w:top w:val="nil"/>
              <w:left w:val="nil"/>
              <w:bottom w:val="nil"/>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1.620  </w:t>
            </w:r>
          </w:p>
        </w:tc>
        <w:tc>
          <w:tcPr>
            <w:tcW w:w="751"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1.620  </w:t>
            </w:r>
          </w:p>
        </w:tc>
      </w:tr>
      <w:tr w:rsidR="008378EA" w:rsidRPr="008378EA" w:rsidTr="00434FA3">
        <w:trPr>
          <w:trHeight w:val="278"/>
        </w:trPr>
        <w:tc>
          <w:tcPr>
            <w:tcW w:w="1818" w:type="pct"/>
            <w:tcBorders>
              <w:top w:val="nil"/>
              <w:left w:val="single" w:sz="8" w:space="0" w:color="AC9B85"/>
              <w:bottom w:val="single" w:sz="8" w:space="0" w:color="AC9B85"/>
              <w:right w:val="single" w:sz="8" w:space="0" w:color="AC9B85"/>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color w:val="60512F"/>
                <w:sz w:val="16"/>
                <w:szCs w:val="16"/>
                <w:lang w:val="it-IT"/>
              </w:rPr>
            </w:pPr>
            <w:r w:rsidRPr="008378EA">
              <w:rPr>
                <w:rFonts w:ascii="Times New Roman" w:cs="Arial"/>
                <w:b/>
                <w:bCs/>
                <w:color w:val="60512F"/>
                <w:sz w:val="16"/>
                <w:szCs w:val="16"/>
                <w:lang w:val="it-IT"/>
              </w:rPr>
              <w:t xml:space="preserve"> Totale attività non correnti</w:t>
            </w:r>
          </w:p>
        </w:tc>
        <w:tc>
          <w:tcPr>
            <w:tcW w:w="811" w:type="pct"/>
            <w:tcBorders>
              <w:top w:val="single" w:sz="8" w:space="0" w:color="A99983"/>
              <w:left w:val="single" w:sz="8" w:space="0" w:color="A99983"/>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eastAsia="MS PGothic" w:cs="Arial"/>
                <w:b/>
                <w:bCs/>
                <w:color w:val="60512F"/>
                <w:sz w:val="16"/>
                <w:szCs w:val="16"/>
                <w:lang w:val="it-IT" w:eastAsia="it-IT"/>
              </w:rPr>
            </w:pPr>
            <w:r w:rsidRPr="008378EA">
              <w:rPr>
                <w:rFonts w:ascii="Times New Roman" w:eastAsia="MS PGothic" w:cs="Arial"/>
                <w:b/>
                <w:bCs/>
                <w:color w:val="60512F"/>
                <w:sz w:val="16"/>
                <w:szCs w:val="16"/>
                <w:lang w:val="it-IT" w:eastAsia="it-IT"/>
              </w:rPr>
              <w:t>635.978</w:t>
            </w:r>
          </w:p>
        </w:tc>
        <w:tc>
          <w:tcPr>
            <w:tcW w:w="810"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1.620</w:t>
            </w:r>
          </w:p>
        </w:tc>
        <w:tc>
          <w:tcPr>
            <w:tcW w:w="810"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584.508</w:t>
            </w:r>
          </w:p>
        </w:tc>
        <w:tc>
          <w:tcPr>
            <w:tcW w:w="751"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1.620</w:t>
            </w:r>
          </w:p>
        </w:tc>
      </w:tr>
      <w:tr w:rsidR="008378EA" w:rsidRPr="008378EA" w:rsidTr="00434FA3">
        <w:trPr>
          <w:trHeight w:val="278"/>
        </w:trPr>
        <w:tc>
          <w:tcPr>
            <w:tcW w:w="1818" w:type="pct"/>
            <w:tcBorders>
              <w:top w:val="nil"/>
              <w:left w:val="single" w:sz="8" w:space="0" w:color="DFD6CD"/>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Rimanenze</w:t>
            </w:r>
          </w:p>
        </w:tc>
        <w:tc>
          <w:tcPr>
            <w:tcW w:w="811"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jc w:val="right"/>
              <w:rPr>
                <w:rFonts w:ascii="Times New Roman" w:eastAsia="MS PGothic" w:cs="Arial"/>
                <w:color w:val="000000"/>
                <w:sz w:val="16"/>
                <w:szCs w:val="16"/>
                <w:lang w:val="it-IT" w:eastAsia="it-IT"/>
              </w:rPr>
            </w:pPr>
            <w:r w:rsidRPr="008378EA">
              <w:rPr>
                <w:rFonts w:ascii="Times New Roman" w:eastAsia="MS PGothic" w:cs="Arial"/>
                <w:color w:val="000000"/>
                <w:sz w:val="16"/>
                <w:szCs w:val="16"/>
                <w:lang w:val="it-IT" w:eastAsia="it-IT"/>
              </w:rPr>
              <w:t>11.930</w:t>
            </w:r>
          </w:p>
        </w:tc>
        <w:tc>
          <w:tcPr>
            <w:tcW w:w="810"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w:t>
            </w:r>
          </w:p>
        </w:tc>
        <w:tc>
          <w:tcPr>
            <w:tcW w:w="810" w:type="pct"/>
            <w:tcBorders>
              <w:top w:val="single" w:sz="8" w:space="0" w:color="DFD6CD"/>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12.140  </w:t>
            </w:r>
          </w:p>
        </w:tc>
        <w:tc>
          <w:tcPr>
            <w:tcW w:w="751" w:type="pct"/>
            <w:tcBorders>
              <w:top w:val="single" w:sz="8" w:space="0" w:color="DFD6CD"/>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w:t>
            </w:r>
          </w:p>
        </w:tc>
      </w:tr>
      <w:tr w:rsidR="008378EA" w:rsidRPr="008378EA" w:rsidTr="00434FA3">
        <w:trPr>
          <w:trHeight w:val="278"/>
        </w:trPr>
        <w:tc>
          <w:tcPr>
            <w:tcW w:w="1818" w:type="pct"/>
            <w:tcBorders>
              <w:top w:val="nil"/>
              <w:left w:val="single" w:sz="8" w:space="0" w:color="DFD6CD"/>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Crediti commerciali e altri crediti correnti </w:t>
            </w:r>
          </w:p>
        </w:tc>
        <w:tc>
          <w:tcPr>
            <w:tcW w:w="811"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jc w:val="right"/>
              <w:rPr>
                <w:rFonts w:ascii="Times New Roman" w:eastAsia="MS PGothic" w:cs="Arial"/>
                <w:color w:val="000000"/>
                <w:sz w:val="16"/>
                <w:szCs w:val="16"/>
                <w:lang w:val="it-IT" w:eastAsia="it-IT"/>
              </w:rPr>
            </w:pPr>
            <w:r w:rsidRPr="008378EA">
              <w:rPr>
                <w:rFonts w:ascii="Times New Roman" w:eastAsia="MS PGothic" w:cs="Arial"/>
                <w:color w:val="000000"/>
                <w:sz w:val="16"/>
                <w:szCs w:val="16"/>
                <w:lang w:val="it-IT" w:eastAsia="it-IT"/>
              </w:rPr>
              <w:t>8.233</w:t>
            </w:r>
          </w:p>
        </w:tc>
        <w:tc>
          <w:tcPr>
            <w:tcW w:w="810"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46 </w:t>
            </w:r>
          </w:p>
        </w:tc>
        <w:tc>
          <w:tcPr>
            <w:tcW w:w="810"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8.194  </w:t>
            </w:r>
          </w:p>
        </w:tc>
        <w:tc>
          <w:tcPr>
            <w:tcW w:w="751"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46  </w:t>
            </w:r>
          </w:p>
        </w:tc>
      </w:tr>
      <w:tr w:rsidR="008378EA" w:rsidRPr="008378EA" w:rsidTr="00434FA3">
        <w:trPr>
          <w:trHeight w:val="278"/>
        </w:trPr>
        <w:tc>
          <w:tcPr>
            <w:tcW w:w="1818" w:type="pct"/>
            <w:tcBorders>
              <w:top w:val="nil"/>
              <w:left w:val="single" w:sz="8" w:space="0" w:color="DFD6CD"/>
              <w:bottom w:val="single" w:sz="8" w:space="0" w:color="AC9B85"/>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Disponibilità liquide </w:t>
            </w:r>
          </w:p>
        </w:tc>
        <w:tc>
          <w:tcPr>
            <w:tcW w:w="811"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jc w:val="right"/>
              <w:rPr>
                <w:rFonts w:ascii="Times New Roman" w:eastAsia="MS PGothic" w:cs="Arial"/>
                <w:color w:val="000000"/>
                <w:sz w:val="16"/>
                <w:szCs w:val="16"/>
                <w:lang w:val="it-IT" w:eastAsia="it-IT"/>
              </w:rPr>
            </w:pPr>
            <w:r w:rsidRPr="008378EA">
              <w:rPr>
                <w:rFonts w:ascii="Times New Roman" w:eastAsia="MS PGothic" w:cs="Arial"/>
                <w:color w:val="000000"/>
                <w:sz w:val="16"/>
                <w:szCs w:val="16"/>
                <w:lang w:val="it-IT" w:eastAsia="it-IT"/>
              </w:rPr>
              <w:t>82.221</w:t>
            </w:r>
          </w:p>
        </w:tc>
        <w:tc>
          <w:tcPr>
            <w:tcW w:w="810"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w:t>
            </w:r>
          </w:p>
        </w:tc>
        <w:tc>
          <w:tcPr>
            <w:tcW w:w="810" w:type="pct"/>
            <w:tcBorders>
              <w:top w:val="nil"/>
              <w:left w:val="nil"/>
              <w:bottom w:val="nil"/>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27.042  </w:t>
            </w:r>
          </w:p>
        </w:tc>
        <w:tc>
          <w:tcPr>
            <w:tcW w:w="751"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r>
      <w:tr w:rsidR="008378EA" w:rsidRPr="008378EA" w:rsidTr="00434FA3">
        <w:trPr>
          <w:trHeight w:val="278"/>
        </w:trPr>
        <w:tc>
          <w:tcPr>
            <w:tcW w:w="1818" w:type="pct"/>
            <w:tcBorders>
              <w:top w:val="nil"/>
              <w:left w:val="single" w:sz="8" w:space="0" w:color="AC9B85"/>
              <w:bottom w:val="single" w:sz="8" w:space="0" w:color="AC9B85"/>
              <w:right w:val="single" w:sz="8" w:space="0" w:color="AC9B85"/>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color w:val="60512F"/>
                <w:sz w:val="16"/>
                <w:szCs w:val="16"/>
                <w:lang w:val="it-IT"/>
              </w:rPr>
            </w:pPr>
            <w:r w:rsidRPr="008378EA">
              <w:rPr>
                <w:rFonts w:ascii="Times New Roman" w:cs="Arial"/>
                <w:b/>
                <w:bCs/>
                <w:color w:val="60512F"/>
                <w:sz w:val="16"/>
                <w:szCs w:val="16"/>
                <w:lang w:val="it-IT"/>
              </w:rPr>
              <w:t xml:space="preserve"> Totale attività correnti</w:t>
            </w:r>
          </w:p>
        </w:tc>
        <w:tc>
          <w:tcPr>
            <w:tcW w:w="811" w:type="pct"/>
            <w:tcBorders>
              <w:top w:val="single" w:sz="8" w:space="0" w:color="A99983"/>
              <w:left w:val="single" w:sz="8" w:space="0" w:color="A99983"/>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eastAsia="MS PGothic" w:cs="Arial"/>
                <w:b/>
                <w:bCs/>
                <w:color w:val="60512F"/>
                <w:sz w:val="16"/>
                <w:szCs w:val="16"/>
                <w:lang w:val="it-IT" w:eastAsia="it-IT"/>
              </w:rPr>
            </w:pPr>
            <w:r w:rsidRPr="008378EA">
              <w:rPr>
                <w:rFonts w:ascii="Times New Roman" w:eastAsia="MS PGothic" w:cs="Arial"/>
                <w:b/>
                <w:bCs/>
                <w:color w:val="60512F"/>
                <w:sz w:val="16"/>
                <w:szCs w:val="16"/>
                <w:lang w:val="it-IT" w:eastAsia="it-IT"/>
              </w:rPr>
              <w:t>102.384</w:t>
            </w:r>
          </w:p>
        </w:tc>
        <w:tc>
          <w:tcPr>
            <w:tcW w:w="810"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46</w:t>
            </w:r>
          </w:p>
        </w:tc>
        <w:tc>
          <w:tcPr>
            <w:tcW w:w="810"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47.376</w:t>
            </w:r>
          </w:p>
        </w:tc>
        <w:tc>
          <w:tcPr>
            <w:tcW w:w="751"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46</w:t>
            </w:r>
          </w:p>
        </w:tc>
      </w:tr>
      <w:tr w:rsidR="008378EA" w:rsidRPr="008378EA" w:rsidTr="00434FA3">
        <w:trPr>
          <w:trHeight w:val="278"/>
        </w:trPr>
        <w:tc>
          <w:tcPr>
            <w:tcW w:w="1818" w:type="pct"/>
            <w:tcBorders>
              <w:top w:val="nil"/>
              <w:left w:val="single" w:sz="8" w:space="0" w:color="DFD6CD"/>
              <w:bottom w:val="single" w:sz="8" w:space="0" w:color="AC9B85"/>
              <w:right w:val="single" w:sz="8" w:space="0" w:color="DFD6CD"/>
            </w:tcBorders>
            <w:shd w:val="clear" w:color="auto" w:fill="auto"/>
            <w:vAlign w:val="center"/>
            <w:hideMark/>
          </w:tcPr>
          <w:p w:rsidR="008378EA" w:rsidRPr="008378EA" w:rsidRDefault="00434FA3" w:rsidP="008378EA">
            <w:pPr>
              <w:widowControl w:val="0"/>
              <w:autoSpaceDE w:val="0"/>
              <w:autoSpaceDN w:val="0"/>
              <w:adjustRightInd w:val="0"/>
              <w:spacing w:after="0" w:line="276" w:lineRule="auto"/>
              <w:jc w:val="both"/>
              <w:rPr>
                <w:rFonts w:ascii="Times New Roman" w:cs="Arial"/>
                <w:color w:val="000000"/>
                <w:sz w:val="16"/>
                <w:szCs w:val="16"/>
                <w:lang w:val="it-IT"/>
              </w:rPr>
            </w:pPr>
            <w:r>
              <w:rPr>
                <w:rFonts w:ascii="Times New Roman" w:cs="Arial"/>
                <w:color w:val="000000"/>
                <w:sz w:val="16"/>
                <w:szCs w:val="16"/>
                <w:lang w:val="it-IT"/>
              </w:rPr>
              <w:t xml:space="preserve"> </w:t>
            </w:r>
            <w:r w:rsidR="008378EA" w:rsidRPr="008378EA">
              <w:rPr>
                <w:rFonts w:ascii="Times New Roman" w:cs="Arial"/>
                <w:color w:val="000000"/>
                <w:sz w:val="16"/>
                <w:szCs w:val="16"/>
                <w:lang w:val="it-IT"/>
              </w:rPr>
              <w:t>Attività non correnti destinate alla vendita</w:t>
            </w:r>
          </w:p>
        </w:tc>
        <w:tc>
          <w:tcPr>
            <w:tcW w:w="811" w:type="pct"/>
            <w:tcBorders>
              <w:top w:val="nil"/>
              <w:left w:val="nil"/>
              <w:bottom w:val="single" w:sz="8" w:space="0" w:color="DFD6CD"/>
              <w:right w:val="single" w:sz="8" w:space="0" w:color="DFD6CD"/>
            </w:tcBorders>
            <w:shd w:val="clear" w:color="000000" w:fill="F9F6F1"/>
            <w:vAlign w:val="center"/>
            <w:hideMark/>
          </w:tcPr>
          <w:p w:rsidR="008378EA" w:rsidRPr="008378EA" w:rsidRDefault="00434FA3"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Pr>
                <w:rFonts w:ascii="Times New Roman" w:cs="Arial"/>
                <w:color w:val="000000"/>
                <w:sz w:val="16"/>
                <w:szCs w:val="16"/>
                <w:lang w:val="it-IT"/>
              </w:rPr>
              <w:t>-</w:t>
            </w:r>
          </w:p>
        </w:tc>
        <w:tc>
          <w:tcPr>
            <w:tcW w:w="810"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w:t>
            </w:r>
          </w:p>
        </w:tc>
        <w:tc>
          <w:tcPr>
            <w:tcW w:w="810" w:type="pct"/>
            <w:tcBorders>
              <w:top w:val="single" w:sz="8" w:space="0" w:color="DFD6CD"/>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38.000  </w:t>
            </w:r>
          </w:p>
        </w:tc>
        <w:tc>
          <w:tcPr>
            <w:tcW w:w="751" w:type="pct"/>
            <w:tcBorders>
              <w:top w:val="single" w:sz="8" w:space="0" w:color="DFD6CD"/>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w:t>
            </w:r>
          </w:p>
        </w:tc>
      </w:tr>
      <w:tr w:rsidR="008378EA" w:rsidRPr="008378EA" w:rsidTr="00434FA3">
        <w:trPr>
          <w:trHeight w:val="278"/>
        </w:trPr>
        <w:tc>
          <w:tcPr>
            <w:tcW w:w="1818" w:type="pct"/>
            <w:tcBorders>
              <w:top w:val="nil"/>
              <w:left w:val="single" w:sz="8" w:space="0" w:color="AC9B85"/>
              <w:bottom w:val="single" w:sz="8" w:space="0" w:color="AC9B85"/>
              <w:right w:val="single" w:sz="8" w:space="0" w:color="AC9B85"/>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color w:val="60512F"/>
                <w:sz w:val="16"/>
                <w:szCs w:val="16"/>
                <w:lang w:val="it-IT"/>
              </w:rPr>
            </w:pPr>
            <w:r w:rsidRPr="008378EA">
              <w:rPr>
                <w:rFonts w:ascii="Times New Roman" w:cs="Arial"/>
                <w:b/>
                <w:bCs/>
                <w:color w:val="60512F"/>
                <w:sz w:val="16"/>
                <w:szCs w:val="16"/>
                <w:lang w:val="it-IT"/>
              </w:rPr>
              <w:t xml:space="preserve"> Totale attività</w:t>
            </w:r>
          </w:p>
        </w:tc>
        <w:tc>
          <w:tcPr>
            <w:tcW w:w="811" w:type="pct"/>
            <w:tcBorders>
              <w:top w:val="single" w:sz="8" w:space="0" w:color="A99983"/>
              <w:left w:val="single" w:sz="8" w:space="0" w:color="A99983"/>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eastAsia="MS PGothic" w:cs="Arial"/>
                <w:b/>
                <w:bCs/>
                <w:color w:val="60512F"/>
                <w:sz w:val="16"/>
                <w:szCs w:val="16"/>
                <w:lang w:val="it-IT" w:eastAsia="it-IT"/>
              </w:rPr>
              <w:t>738.362</w:t>
            </w:r>
          </w:p>
        </w:tc>
        <w:tc>
          <w:tcPr>
            <w:tcW w:w="810"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1.666</w:t>
            </w:r>
          </w:p>
        </w:tc>
        <w:tc>
          <w:tcPr>
            <w:tcW w:w="810"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669.884</w:t>
            </w:r>
          </w:p>
        </w:tc>
        <w:tc>
          <w:tcPr>
            <w:tcW w:w="751"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1.666</w:t>
            </w:r>
          </w:p>
        </w:tc>
      </w:tr>
      <w:tr w:rsidR="008378EA" w:rsidRPr="008378EA" w:rsidTr="00434FA3">
        <w:trPr>
          <w:trHeight w:val="278"/>
        </w:trPr>
        <w:tc>
          <w:tcPr>
            <w:tcW w:w="1818" w:type="pct"/>
            <w:tcBorders>
              <w:top w:val="single" w:sz="8" w:space="0" w:color="C4BD97"/>
              <w:left w:val="single" w:sz="8" w:space="0" w:color="C4BD97"/>
              <w:bottom w:val="single" w:sz="8" w:space="0" w:color="C4BD97"/>
              <w:right w:val="nil"/>
            </w:tcBorders>
            <w:shd w:val="clear" w:color="000000" w:fill="AC9B85"/>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color w:val="FFFFFF"/>
                <w:sz w:val="16"/>
                <w:szCs w:val="16"/>
                <w:lang w:val="it-IT"/>
              </w:rPr>
            </w:pPr>
            <w:r w:rsidRPr="008378EA">
              <w:rPr>
                <w:rFonts w:ascii="Times New Roman" w:cs="Arial"/>
                <w:b/>
                <w:bCs/>
                <w:color w:val="FFFFFF"/>
                <w:sz w:val="16"/>
                <w:szCs w:val="16"/>
                <w:lang w:val="it-IT"/>
              </w:rPr>
              <w:t xml:space="preserve"> Passivo</w:t>
            </w:r>
          </w:p>
        </w:tc>
        <w:tc>
          <w:tcPr>
            <w:tcW w:w="811" w:type="pct"/>
            <w:tcBorders>
              <w:top w:val="single" w:sz="8" w:space="0" w:color="C4BD97"/>
              <w:left w:val="nil"/>
              <w:bottom w:val="single" w:sz="8" w:space="0" w:color="C4BD97"/>
              <w:right w:val="nil"/>
            </w:tcBorders>
            <w:shd w:val="clear" w:color="000000" w:fill="AC9B85"/>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color w:val="FFFFFF"/>
                <w:sz w:val="16"/>
                <w:szCs w:val="16"/>
                <w:lang w:val="it-IT"/>
              </w:rPr>
            </w:pPr>
            <w:r w:rsidRPr="008378EA">
              <w:rPr>
                <w:rFonts w:ascii="Times New Roman" w:eastAsia="MS PGothic" w:cs="Arial"/>
                <w:b/>
                <w:bCs/>
                <w:color w:val="FFFFFF"/>
                <w:sz w:val="16"/>
                <w:szCs w:val="16"/>
                <w:lang w:val="it-IT" w:eastAsia="it-IT"/>
              </w:rPr>
              <w:t> </w:t>
            </w:r>
          </w:p>
        </w:tc>
        <w:tc>
          <w:tcPr>
            <w:tcW w:w="810" w:type="pct"/>
            <w:tcBorders>
              <w:top w:val="single" w:sz="8" w:space="0" w:color="C4BD97"/>
              <w:left w:val="nil"/>
              <w:bottom w:val="single" w:sz="8" w:space="0" w:color="C4BD97"/>
              <w:right w:val="nil"/>
            </w:tcBorders>
            <w:shd w:val="clear" w:color="000000" w:fill="AC9B85"/>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color w:val="FFFFFF"/>
                <w:sz w:val="16"/>
                <w:szCs w:val="16"/>
                <w:lang w:val="it-IT"/>
              </w:rPr>
            </w:pPr>
            <w:r w:rsidRPr="008378EA">
              <w:rPr>
                <w:rFonts w:ascii="Times New Roman" w:cs="Arial"/>
                <w:b/>
                <w:bCs/>
                <w:color w:val="FFFFFF"/>
                <w:sz w:val="16"/>
                <w:szCs w:val="16"/>
                <w:lang w:val="it-IT"/>
              </w:rPr>
              <w:t> </w:t>
            </w:r>
          </w:p>
        </w:tc>
        <w:tc>
          <w:tcPr>
            <w:tcW w:w="810" w:type="pct"/>
            <w:tcBorders>
              <w:top w:val="single" w:sz="8" w:space="0" w:color="C4BD97"/>
              <w:left w:val="nil"/>
              <w:bottom w:val="single" w:sz="8" w:space="0" w:color="C4BD97"/>
              <w:right w:val="nil"/>
            </w:tcBorders>
            <w:shd w:val="clear" w:color="000000" w:fill="AC9B85"/>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color w:val="FFFFFF"/>
                <w:sz w:val="16"/>
                <w:szCs w:val="16"/>
                <w:lang w:val="it-IT"/>
              </w:rPr>
            </w:pPr>
            <w:r w:rsidRPr="008378EA">
              <w:rPr>
                <w:rFonts w:ascii="Times New Roman" w:cs="Arial"/>
                <w:b/>
                <w:bCs/>
                <w:color w:val="FFFFFF"/>
                <w:sz w:val="16"/>
                <w:szCs w:val="16"/>
                <w:lang w:val="it-IT"/>
              </w:rPr>
              <w:t> </w:t>
            </w:r>
          </w:p>
        </w:tc>
        <w:tc>
          <w:tcPr>
            <w:tcW w:w="751" w:type="pct"/>
            <w:tcBorders>
              <w:top w:val="single" w:sz="8" w:space="0" w:color="C4BD97"/>
              <w:left w:val="nil"/>
              <w:bottom w:val="single" w:sz="8" w:space="0" w:color="C4BD97"/>
              <w:right w:val="single" w:sz="8" w:space="0" w:color="C4BD97"/>
            </w:tcBorders>
            <w:shd w:val="clear" w:color="000000" w:fill="AC9B85"/>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color w:val="FFFFFF"/>
                <w:sz w:val="16"/>
                <w:szCs w:val="16"/>
                <w:lang w:val="it-IT"/>
              </w:rPr>
            </w:pPr>
            <w:r w:rsidRPr="008378EA">
              <w:rPr>
                <w:rFonts w:ascii="Times New Roman" w:cs="Arial"/>
                <w:b/>
                <w:bCs/>
                <w:color w:val="FFFFFF"/>
                <w:sz w:val="16"/>
                <w:szCs w:val="16"/>
                <w:lang w:val="it-IT"/>
              </w:rPr>
              <w:t> </w:t>
            </w:r>
          </w:p>
        </w:tc>
      </w:tr>
      <w:tr w:rsidR="008378EA" w:rsidRPr="008378EA" w:rsidTr="00434FA3">
        <w:trPr>
          <w:trHeight w:val="278"/>
        </w:trPr>
        <w:tc>
          <w:tcPr>
            <w:tcW w:w="1818" w:type="pct"/>
            <w:tcBorders>
              <w:top w:val="nil"/>
              <w:left w:val="single" w:sz="8" w:space="0" w:color="DFD6CD"/>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Capitale sociale</w:t>
            </w:r>
          </w:p>
        </w:tc>
        <w:tc>
          <w:tcPr>
            <w:tcW w:w="811"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eastAsia="MS PGothic" w:cs="Arial"/>
                <w:color w:val="000000"/>
                <w:sz w:val="16"/>
                <w:szCs w:val="16"/>
                <w:lang w:val="it-IT" w:eastAsia="it-IT"/>
              </w:rPr>
              <w:t>14.451</w:t>
            </w:r>
          </w:p>
        </w:tc>
        <w:tc>
          <w:tcPr>
            <w:tcW w:w="810"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c>
          <w:tcPr>
            <w:tcW w:w="810" w:type="pct"/>
            <w:tcBorders>
              <w:top w:val="single" w:sz="8" w:space="0" w:color="DFD6CD"/>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14.451  </w:t>
            </w:r>
          </w:p>
        </w:tc>
        <w:tc>
          <w:tcPr>
            <w:tcW w:w="751" w:type="pct"/>
            <w:tcBorders>
              <w:top w:val="single" w:sz="8" w:space="0" w:color="DFD6CD"/>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r>
      <w:tr w:rsidR="008378EA" w:rsidRPr="008378EA" w:rsidTr="00434FA3">
        <w:trPr>
          <w:trHeight w:val="278"/>
        </w:trPr>
        <w:tc>
          <w:tcPr>
            <w:tcW w:w="1818" w:type="pct"/>
            <w:tcBorders>
              <w:top w:val="nil"/>
              <w:left w:val="single" w:sz="8" w:space="0" w:color="DFD6CD"/>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Riserva sovrapprezzo azioni</w:t>
            </w:r>
          </w:p>
        </w:tc>
        <w:tc>
          <w:tcPr>
            <w:tcW w:w="811"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eastAsia="MS PGothic" w:cs="Arial"/>
                <w:color w:val="000000"/>
                <w:sz w:val="16"/>
                <w:szCs w:val="16"/>
                <w:lang w:val="it-IT" w:eastAsia="it-IT"/>
              </w:rPr>
              <w:t>335.549</w:t>
            </w:r>
          </w:p>
        </w:tc>
        <w:tc>
          <w:tcPr>
            <w:tcW w:w="810"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c>
          <w:tcPr>
            <w:tcW w:w="810"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335.549  </w:t>
            </w:r>
          </w:p>
        </w:tc>
        <w:tc>
          <w:tcPr>
            <w:tcW w:w="751"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r>
      <w:tr w:rsidR="008378EA" w:rsidRPr="008378EA" w:rsidTr="00434FA3">
        <w:trPr>
          <w:trHeight w:val="278"/>
        </w:trPr>
        <w:tc>
          <w:tcPr>
            <w:tcW w:w="1818" w:type="pct"/>
            <w:tcBorders>
              <w:top w:val="nil"/>
              <w:left w:val="single" w:sz="8" w:space="0" w:color="DFD6CD"/>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Riserva da valutazione </w:t>
            </w:r>
          </w:p>
        </w:tc>
        <w:tc>
          <w:tcPr>
            <w:tcW w:w="811"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eastAsia="MS PGothic" w:cs="Arial"/>
                <w:color w:val="000000"/>
                <w:sz w:val="16"/>
                <w:szCs w:val="16"/>
                <w:lang w:val="it-IT" w:eastAsia="it-IT"/>
              </w:rPr>
              <w:t>(957)</w:t>
            </w:r>
          </w:p>
        </w:tc>
        <w:tc>
          <w:tcPr>
            <w:tcW w:w="810"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c>
          <w:tcPr>
            <w:tcW w:w="810"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29  </w:t>
            </w:r>
          </w:p>
        </w:tc>
        <w:tc>
          <w:tcPr>
            <w:tcW w:w="751"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r>
      <w:tr w:rsidR="008378EA" w:rsidRPr="008378EA" w:rsidTr="00434FA3">
        <w:trPr>
          <w:trHeight w:val="278"/>
        </w:trPr>
        <w:tc>
          <w:tcPr>
            <w:tcW w:w="1818" w:type="pct"/>
            <w:tcBorders>
              <w:top w:val="nil"/>
              <w:left w:val="single" w:sz="8" w:space="0" w:color="DFD6CD"/>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Acconto dividendi</w:t>
            </w:r>
          </w:p>
        </w:tc>
        <w:tc>
          <w:tcPr>
            <w:tcW w:w="811"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eastAsia="MS PGothic" w:cs="Arial"/>
                <w:color w:val="000000"/>
                <w:sz w:val="16"/>
                <w:szCs w:val="16"/>
                <w:lang w:val="it-IT" w:eastAsia="it-IT"/>
              </w:rPr>
              <w:t>(3.601)</w:t>
            </w:r>
          </w:p>
        </w:tc>
        <w:tc>
          <w:tcPr>
            <w:tcW w:w="810"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c>
          <w:tcPr>
            <w:tcW w:w="810"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(3.240)</w:t>
            </w:r>
          </w:p>
        </w:tc>
        <w:tc>
          <w:tcPr>
            <w:tcW w:w="751"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r>
      <w:tr w:rsidR="008378EA" w:rsidRPr="008378EA" w:rsidTr="00434FA3">
        <w:trPr>
          <w:trHeight w:val="278"/>
        </w:trPr>
        <w:tc>
          <w:tcPr>
            <w:tcW w:w="1818" w:type="pct"/>
            <w:tcBorders>
              <w:top w:val="nil"/>
              <w:left w:val="single" w:sz="8" w:space="0" w:color="DFD6CD"/>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Altre riserve</w:t>
            </w:r>
          </w:p>
        </w:tc>
        <w:tc>
          <w:tcPr>
            <w:tcW w:w="811"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eastAsia="MS PGothic" w:cs="Arial"/>
                <w:color w:val="000000"/>
                <w:sz w:val="16"/>
                <w:szCs w:val="16"/>
                <w:lang w:val="it-IT" w:eastAsia="it-IT"/>
              </w:rPr>
              <w:t>27.039</w:t>
            </w:r>
          </w:p>
        </w:tc>
        <w:tc>
          <w:tcPr>
            <w:tcW w:w="810"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c>
          <w:tcPr>
            <w:tcW w:w="810"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7.733  </w:t>
            </w:r>
          </w:p>
        </w:tc>
        <w:tc>
          <w:tcPr>
            <w:tcW w:w="751"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r>
      <w:tr w:rsidR="008378EA" w:rsidRPr="008378EA" w:rsidTr="00434FA3">
        <w:trPr>
          <w:trHeight w:val="278"/>
        </w:trPr>
        <w:tc>
          <w:tcPr>
            <w:tcW w:w="1818" w:type="pct"/>
            <w:tcBorders>
              <w:top w:val="nil"/>
              <w:left w:val="single" w:sz="8" w:space="0" w:color="DFD6CD"/>
              <w:bottom w:val="single" w:sz="8" w:space="0" w:color="AC9B85"/>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Utile del periodo</w:t>
            </w:r>
          </w:p>
        </w:tc>
        <w:tc>
          <w:tcPr>
            <w:tcW w:w="811"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eastAsia="MS PGothic" w:cs="Arial"/>
                <w:color w:val="000000"/>
                <w:sz w:val="16"/>
                <w:szCs w:val="16"/>
                <w:lang w:val="it-IT" w:eastAsia="it-IT"/>
              </w:rPr>
              <w:t>46.267</w:t>
            </w:r>
          </w:p>
        </w:tc>
        <w:tc>
          <w:tcPr>
            <w:tcW w:w="810"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c>
          <w:tcPr>
            <w:tcW w:w="810" w:type="pct"/>
            <w:tcBorders>
              <w:top w:val="nil"/>
              <w:left w:val="nil"/>
              <w:bottom w:val="nil"/>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28.889  </w:t>
            </w:r>
          </w:p>
        </w:tc>
        <w:tc>
          <w:tcPr>
            <w:tcW w:w="751"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r>
      <w:tr w:rsidR="008378EA" w:rsidRPr="008378EA" w:rsidTr="00434FA3">
        <w:trPr>
          <w:trHeight w:val="278"/>
        </w:trPr>
        <w:tc>
          <w:tcPr>
            <w:tcW w:w="1818" w:type="pct"/>
            <w:tcBorders>
              <w:top w:val="nil"/>
              <w:left w:val="single" w:sz="8" w:space="0" w:color="AC9B85"/>
              <w:bottom w:val="single" w:sz="8" w:space="0" w:color="AC9B85"/>
              <w:right w:val="single" w:sz="8" w:space="0" w:color="AC9B85"/>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color w:val="60512F"/>
                <w:sz w:val="16"/>
                <w:szCs w:val="16"/>
                <w:lang w:val="it-IT"/>
              </w:rPr>
            </w:pPr>
            <w:r w:rsidRPr="008378EA">
              <w:rPr>
                <w:rFonts w:ascii="Times New Roman" w:cs="Arial"/>
                <w:b/>
                <w:bCs/>
                <w:color w:val="60512F"/>
                <w:sz w:val="16"/>
                <w:szCs w:val="16"/>
                <w:lang w:val="it-IT"/>
              </w:rPr>
              <w:t xml:space="preserve"> Patrimonio netto di Gruppo</w:t>
            </w:r>
          </w:p>
        </w:tc>
        <w:tc>
          <w:tcPr>
            <w:tcW w:w="811" w:type="pct"/>
            <w:tcBorders>
              <w:top w:val="single" w:sz="8" w:space="0" w:color="A99983"/>
              <w:left w:val="single" w:sz="8" w:space="0" w:color="A99983"/>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eastAsia="MS PGothic" w:cs="Arial"/>
                <w:b/>
                <w:bCs/>
                <w:color w:val="60512F"/>
                <w:sz w:val="16"/>
                <w:szCs w:val="16"/>
                <w:lang w:val="it-IT"/>
              </w:rPr>
            </w:pPr>
            <w:r w:rsidRPr="008378EA">
              <w:rPr>
                <w:rFonts w:ascii="Times New Roman" w:eastAsia="MS PGothic" w:cs="Arial"/>
                <w:b/>
                <w:bCs/>
                <w:color w:val="60512F"/>
                <w:sz w:val="16"/>
                <w:szCs w:val="16"/>
                <w:lang w:val="it-IT" w:eastAsia="it-IT"/>
              </w:rPr>
              <w:t>418.748</w:t>
            </w:r>
          </w:p>
        </w:tc>
        <w:tc>
          <w:tcPr>
            <w:tcW w:w="810"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w:t>
            </w:r>
          </w:p>
        </w:tc>
        <w:tc>
          <w:tcPr>
            <w:tcW w:w="810"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383.411</w:t>
            </w:r>
          </w:p>
        </w:tc>
        <w:tc>
          <w:tcPr>
            <w:tcW w:w="751"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w:t>
            </w:r>
          </w:p>
        </w:tc>
      </w:tr>
      <w:tr w:rsidR="008378EA" w:rsidRPr="008378EA" w:rsidTr="00434FA3">
        <w:trPr>
          <w:trHeight w:val="278"/>
        </w:trPr>
        <w:tc>
          <w:tcPr>
            <w:tcW w:w="1818" w:type="pct"/>
            <w:tcBorders>
              <w:top w:val="nil"/>
              <w:left w:val="single" w:sz="8" w:space="0" w:color="AC9B85"/>
              <w:bottom w:val="single" w:sz="8" w:space="0" w:color="AC9B85"/>
              <w:right w:val="single" w:sz="8" w:space="0" w:color="AC9B85"/>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color w:val="60512F"/>
                <w:sz w:val="16"/>
                <w:szCs w:val="16"/>
                <w:lang w:val="it-IT"/>
              </w:rPr>
            </w:pPr>
            <w:r w:rsidRPr="008378EA">
              <w:rPr>
                <w:rFonts w:ascii="Times New Roman" w:cs="Arial"/>
                <w:b/>
                <w:bCs/>
                <w:color w:val="60512F"/>
                <w:sz w:val="16"/>
                <w:szCs w:val="16"/>
                <w:lang w:val="it-IT"/>
              </w:rPr>
              <w:t xml:space="preserve"> Patrimonio netto di terzi</w:t>
            </w:r>
          </w:p>
        </w:tc>
        <w:tc>
          <w:tcPr>
            <w:tcW w:w="811" w:type="pct"/>
            <w:tcBorders>
              <w:top w:val="single" w:sz="8" w:space="0" w:color="A99983"/>
              <w:left w:val="single" w:sz="8" w:space="0" w:color="A99983"/>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eastAsia="MS PGothic" w:cs="Arial"/>
                <w:b/>
                <w:bCs/>
                <w:color w:val="60512F"/>
                <w:sz w:val="16"/>
                <w:szCs w:val="16"/>
                <w:lang w:val="it-IT" w:eastAsia="it-IT"/>
              </w:rPr>
            </w:pPr>
            <w:r w:rsidRPr="008378EA">
              <w:rPr>
                <w:rFonts w:ascii="Times New Roman" w:eastAsia="MS PGothic" w:cs="Arial"/>
                <w:b/>
                <w:bCs/>
                <w:color w:val="60512F"/>
                <w:sz w:val="16"/>
                <w:szCs w:val="16"/>
                <w:lang w:val="it-IT" w:eastAsia="it-IT"/>
              </w:rPr>
              <w:t>13.492</w:t>
            </w:r>
          </w:p>
        </w:tc>
        <w:tc>
          <w:tcPr>
            <w:tcW w:w="810"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w:t>
            </w:r>
          </w:p>
        </w:tc>
        <w:tc>
          <w:tcPr>
            <w:tcW w:w="810"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11.915</w:t>
            </w:r>
          </w:p>
        </w:tc>
        <w:tc>
          <w:tcPr>
            <w:tcW w:w="751"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w:t>
            </w:r>
          </w:p>
        </w:tc>
      </w:tr>
      <w:tr w:rsidR="008378EA" w:rsidRPr="008378EA" w:rsidTr="00434FA3">
        <w:trPr>
          <w:trHeight w:val="278"/>
        </w:trPr>
        <w:tc>
          <w:tcPr>
            <w:tcW w:w="1818" w:type="pct"/>
            <w:tcBorders>
              <w:top w:val="nil"/>
              <w:left w:val="single" w:sz="8" w:space="0" w:color="AC9B85"/>
              <w:bottom w:val="single" w:sz="8" w:space="0" w:color="AC9B85"/>
              <w:right w:val="single" w:sz="8" w:space="0" w:color="AC9B85"/>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color w:val="60512F"/>
                <w:sz w:val="16"/>
                <w:szCs w:val="16"/>
                <w:lang w:val="it-IT"/>
              </w:rPr>
            </w:pPr>
            <w:r w:rsidRPr="008378EA">
              <w:rPr>
                <w:rFonts w:ascii="Times New Roman" w:cs="Arial"/>
                <w:b/>
                <w:bCs/>
                <w:color w:val="60512F"/>
                <w:sz w:val="16"/>
                <w:szCs w:val="16"/>
                <w:lang w:val="it-IT"/>
              </w:rPr>
              <w:t xml:space="preserve"> Patrimonio netto </w:t>
            </w:r>
          </w:p>
        </w:tc>
        <w:tc>
          <w:tcPr>
            <w:tcW w:w="811" w:type="pct"/>
            <w:tcBorders>
              <w:top w:val="single" w:sz="8" w:space="0" w:color="A99983"/>
              <w:left w:val="single" w:sz="8" w:space="0" w:color="A99983"/>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eastAsia="MS PGothic" w:cs="Arial"/>
                <w:b/>
                <w:bCs/>
                <w:color w:val="60512F"/>
                <w:sz w:val="16"/>
                <w:szCs w:val="16"/>
                <w:lang w:val="it-IT" w:eastAsia="it-IT"/>
              </w:rPr>
            </w:pPr>
            <w:r w:rsidRPr="008378EA">
              <w:rPr>
                <w:rFonts w:ascii="Times New Roman" w:eastAsia="MS PGothic" w:cs="Arial"/>
                <w:b/>
                <w:bCs/>
                <w:color w:val="60512F"/>
                <w:sz w:val="16"/>
                <w:szCs w:val="16"/>
                <w:lang w:val="it-IT" w:eastAsia="it-IT"/>
              </w:rPr>
              <w:t>432.240</w:t>
            </w:r>
          </w:p>
        </w:tc>
        <w:tc>
          <w:tcPr>
            <w:tcW w:w="810"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w:t>
            </w:r>
          </w:p>
        </w:tc>
        <w:tc>
          <w:tcPr>
            <w:tcW w:w="810"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395.326</w:t>
            </w:r>
          </w:p>
        </w:tc>
        <w:tc>
          <w:tcPr>
            <w:tcW w:w="751"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w:t>
            </w:r>
          </w:p>
        </w:tc>
      </w:tr>
      <w:tr w:rsidR="008378EA" w:rsidRPr="008378EA" w:rsidTr="00434FA3">
        <w:trPr>
          <w:trHeight w:val="278"/>
        </w:trPr>
        <w:tc>
          <w:tcPr>
            <w:tcW w:w="1818" w:type="pct"/>
            <w:tcBorders>
              <w:top w:val="nil"/>
              <w:left w:val="single" w:sz="8" w:space="0" w:color="DFD6CD"/>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Debiti verso banche non correnti </w:t>
            </w:r>
          </w:p>
        </w:tc>
        <w:tc>
          <w:tcPr>
            <w:tcW w:w="811" w:type="pct"/>
            <w:tcBorders>
              <w:top w:val="single" w:sz="8" w:space="0" w:color="DFD6CD"/>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eastAsia="MS PGothic" w:cs="Arial"/>
                <w:color w:val="000000"/>
                <w:sz w:val="16"/>
                <w:szCs w:val="16"/>
                <w:lang w:val="it-IT"/>
              </w:rPr>
            </w:pPr>
            <w:r w:rsidRPr="008378EA">
              <w:rPr>
                <w:rFonts w:ascii="Times New Roman" w:eastAsia="MS PGothic" w:cs="Arial"/>
                <w:color w:val="000000"/>
                <w:sz w:val="16"/>
                <w:szCs w:val="16"/>
                <w:lang w:val="it-IT" w:eastAsia="it-IT"/>
              </w:rPr>
              <w:t>291.340</w:t>
            </w:r>
          </w:p>
        </w:tc>
        <w:tc>
          <w:tcPr>
            <w:tcW w:w="810" w:type="pct"/>
            <w:tcBorders>
              <w:top w:val="single" w:sz="8" w:space="0" w:color="DFD6CD"/>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c>
          <w:tcPr>
            <w:tcW w:w="810" w:type="pct"/>
            <w:tcBorders>
              <w:top w:val="single" w:sz="8" w:space="0" w:color="DFD6CD"/>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240.420  </w:t>
            </w:r>
          </w:p>
        </w:tc>
        <w:tc>
          <w:tcPr>
            <w:tcW w:w="751" w:type="pct"/>
            <w:tcBorders>
              <w:top w:val="single" w:sz="8" w:space="0" w:color="DFD6CD"/>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r>
      <w:tr w:rsidR="008378EA" w:rsidRPr="008378EA" w:rsidTr="00434FA3">
        <w:trPr>
          <w:trHeight w:val="278"/>
        </w:trPr>
        <w:tc>
          <w:tcPr>
            <w:tcW w:w="1818" w:type="pct"/>
            <w:tcBorders>
              <w:top w:val="nil"/>
              <w:left w:val="single" w:sz="8" w:space="0" w:color="DFD6CD"/>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Debiti per imposte differite</w:t>
            </w:r>
          </w:p>
        </w:tc>
        <w:tc>
          <w:tcPr>
            <w:tcW w:w="811"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jc w:val="right"/>
              <w:rPr>
                <w:rFonts w:ascii="Times New Roman" w:eastAsia="MS PGothic" w:cs="Arial"/>
                <w:color w:val="000000"/>
                <w:sz w:val="16"/>
                <w:szCs w:val="16"/>
                <w:lang w:val="it-IT" w:eastAsia="it-IT"/>
              </w:rPr>
            </w:pPr>
            <w:r w:rsidRPr="008378EA">
              <w:rPr>
                <w:rFonts w:ascii="Times New Roman" w:eastAsia="MS PGothic" w:cs="Arial"/>
                <w:color w:val="000000"/>
                <w:sz w:val="16"/>
                <w:szCs w:val="16"/>
                <w:lang w:val="it-IT" w:eastAsia="it-IT"/>
              </w:rPr>
              <w:t>-</w:t>
            </w:r>
          </w:p>
        </w:tc>
        <w:tc>
          <w:tcPr>
            <w:tcW w:w="810"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c>
          <w:tcPr>
            <w:tcW w:w="810"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7  </w:t>
            </w:r>
          </w:p>
        </w:tc>
        <w:tc>
          <w:tcPr>
            <w:tcW w:w="751"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r>
      <w:tr w:rsidR="008378EA" w:rsidRPr="008378EA" w:rsidTr="00434FA3">
        <w:trPr>
          <w:trHeight w:val="278"/>
        </w:trPr>
        <w:tc>
          <w:tcPr>
            <w:tcW w:w="1818" w:type="pct"/>
            <w:tcBorders>
              <w:top w:val="nil"/>
              <w:left w:val="single" w:sz="8" w:space="0" w:color="DFD6CD"/>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Debiti per trattamento fine rapporto dipendenti </w:t>
            </w:r>
          </w:p>
        </w:tc>
        <w:tc>
          <w:tcPr>
            <w:tcW w:w="811"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eastAsia="MS PGothic" w:cs="Arial"/>
                <w:color w:val="000000"/>
                <w:sz w:val="16"/>
                <w:szCs w:val="16"/>
                <w:lang w:val="it-IT" w:eastAsia="it-IT"/>
              </w:rPr>
            </w:pPr>
            <w:r w:rsidRPr="008378EA">
              <w:rPr>
                <w:rFonts w:ascii="Times New Roman" w:eastAsia="MS PGothic" w:cs="Arial"/>
                <w:color w:val="000000"/>
                <w:sz w:val="16"/>
                <w:szCs w:val="16"/>
                <w:lang w:val="it-IT" w:eastAsia="it-IT"/>
              </w:rPr>
              <w:t>43</w:t>
            </w:r>
          </w:p>
        </w:tc>
        <w:tc>
          <w:tcPr>
            <w:tcW w:w="810"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c>
          <w:tcPr>
            <w:tcW w:w="810"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20  </w:t>
            </w:r>
          </w:p>
        </w:tc>
        <w:tc>
          <w:tcPr>
            <w:tcW w:w="751"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r>
      <w:tr w:rsidR="008378EA" w:rsidRPr="008378EA" w:rsidTr="00434FA3">
        <w:trPr>
          <w:trHeight w:val="278"/>
        </w:trPr>
        <w:tc>
          <w:tcPr>
            <w:tcW w:w="1818" w:type="pct"/>
            <w:tcBorders>
              <w:top w:val="nil"/>
              <w:left w:val="single" w:sz="8" w:space="0" w:color="DFD6CD"/>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Fondi rischi e oneri </w:t>
            </w:r>
          </w:p>
        </w:tc>
        <w:tc>
          <w:tcPr>
            <w:tcW w:w="811"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eastAsia="MS PGothic" w:cs="Arial"/>
                <w:color w:val="000000"/>
                <w:sz w:val="16"/>
                <w:szCs w:val="16"/>
                <w:lang w:val="it-IT" w:eastAsia="it-IT"/>
              </w:rPr>
            </w:pPr>
            <w:r w:rsidRPr="008378EA">
              <w:rPr>
                <w:rFonts w:ascii="Times New Roman" w:eastAsia="MS PGothic" w:cs="Arial"/>
                <w:color w:val="000000"/>
                <w:sz w:val="16"/>
                <w:szCs w:val="16"/>
                <w:lang w:val="it-IT" w:eastAsia="it-IT"/>
              </w:rPr>
              <w:t>130</w:t>
            </w:r>
          </w:p>
        </w:tc>
        <w:tc>
          <w:tcPr>
            <w:tcW w:w="810"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c>
          <w:tcPr>
            <w:tcW w:w="810"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123  </w:t>
            </w:r>
          </w:p>
        </w:tc>
        <w:tc>
          <w:tcPr>
            <w:tcW w:w="751"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r>
      <w:tr w:rsidR="008378EA" w:rsidRPr="008378EA" w:rsidTr="00434FA3">
        <w:trPr>
          <w:trHeight w:val="278"/>
        </w:trPr>
        <w:tc>
          <w:tcPr>
            <w:tcW w:w="1818" w:type="pct"/>
            <w:tcBorders>
              <w:top w:val="nil"/>
              <w:left w:val="single" w:sz="8" w:space="0" w:color="DFD6CD"/>
              <w:bottom w:val="single" w:sz="8" w:space="0" w:color="DFD6CD"/>
              <w:right w:val="single" w:sz="8" w:space="0" w:color="DFD6CD"/>
            </w:tcBorders>
            <w:shd w:val="clear" w:color="auto" w:fill="auto"/>
            <w:vAlign w:val="center"/>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Strumenti finanziari derivati</w:t>
            </w:r>
          </w:p>
        </w:tc>
        <w:tc>
          <w:tcPr>
            <w:tcW w:w="811" w:type="pct"/>
            <w:tcBorders>
              <w:top w:val="nil"/>
              <w:left w:val="nil"/>
              <w:bottom w:val="single" w:sz="8" w:space="0" w:color="DFD6CD"/>
              <w:right w:val="single" w:sz="8" w:space="0" w:color="DFD6CD"/>
            </w:tcBorders>
            <w:shd w:val="clear" w:color="000000" w:fill="F9F6F1"/>
            <w:vAlign w:val="center"/>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eastAsia="MS PGothic" w:cs="Arial"/>
                <w:color w:val="000000"/>
                <w:sz w:val="16"/>
                <w:szCs w:val="16"/>
                <w:lang w:val="it-IT" w:eastAsia="it-IT"/>
              </w:rPr>
            </w:pPr>
            <w:r w:rsidRPr="008378EA">
              <w:rPr>
                <w:rFonts w:ascii="Times New Roman" w:eastAsia="MS PGothic" w:cs="Arial"/>
                <w:color w:val="000000"/>
                <w:sz w:val="16"/>
                <w:szCs w:val="16"/>
                <w:lang w:val="it-IT" w:eastAsia="it-IT"/>
              </w:rPr>
              <w:t>1.026</w:t>
            </w:r>
          </w:p>
        </w:tc>
        <w:tc>
          <w:tcPr>
            <w:tcW w:w="810" w:type="pct"/>
            <w:tcBorders>
              <w:top w:val="nil"/>
              <w:left w:val="nil"/>
              <w:bottom w:val="single" w:sz="8" w:space="0" w:color="DFD6CD"/>
              <w:right w:val="single" w:sz="8" w:space="0" w:color="DFD6CD"/>
            </w:tcBorders>
            <w:shd w:val="clear" w:color="000000" w:fill="F9F6F1"/>
            <w:vAlign w:val="center"/>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c>
          <w:tcPr>
            <w:tcW w:w="810" w:type="pct"/>
            <w:tcBorders>
              <w:top w:val="nil"/>
              <w:left w:val="nil"/>
              <w:bottom w:val="single" w:sz="8" w:space="0" w:color="DFD6CD"/>
              <w:right w:val="single" w:sz="8" w:space="0" w:color="DFD6CD"/>
            </w:tcBorders>
            <w:shd w:val="clear" w:color="auto" w:fill="auto"/>
            <w:vAlign w:val="center"/>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  </w:t>
            </w:r>
          </w:p>
        </w:tc>
        <w:tc>
          <w:tcPr>
            <w:tcW w:w="751" w:type="pct"/>
            <w:tcBorders>
              <w:top w:val="nil"/>
              <w:left w:val="nil"/>
              <w:bottom w:val="single" w:sz="8" w:space="0" w:color="DFD6CD"/>
              <w:right w:val="single" w:sz="8" w:space="0" w:color="DFD6CD"/>
            </w:tcBorders>
            <w:shd w:val="clear" w:color="auto" w:fill="auto"/>
            <w:vAlign w:val="center"/>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r>
      <w:tr w:rsidR="008378EA" w:rsidRPr="008378EA" w:rsidTr="00434FA3">
        <w:trPr>
          <w:trHeight w:val="278"/>
        </w:trPr>
        <w:tc>
          <w:tcPr>
            <w:tcW w:w="1818" w:type="pct"/>
            <w:tcBorders>
              <w:top w:val="nil"/>
              <w:left w:val="single" w:sz="8" w:space="0" w:color="DFD6CD"/>
              <w:bottom w:val="single" w:sz="8" w:space="0" w:color="AC9B85"/>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Debiti commerciali e altri debiti non correnti </w:t>
            </w:r>
          </w:p>
        </w:tc>
        <w:tc>
          <w:tcPr>
            <w:tcW w:w="811"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jc w:val="right"/>
              <w:rPr>
                <w:rFonts w:ascii="Times New Roman" w:eastAsia="MS PGothic" w:cs="Arial"/>
                <w:color w:val="000000"/>
                <w:sz w:val="16"/>
                <w:szCs w:val="16"/>
                <w:lang w:val="it-IT" w:eastAsia="it-IT"/>
              </w:rPr>
            </w:pPr>
            <w:r w:rsidRPr="008378EA">
              <w:rPr>
                <w:rFonts w:ascii="Times New Roman" w:eastAsia="MS PGothic" w:cs="Arial"/>
                <w:color w:val="000000"/>
                <w:sz w:val="16"/>
                <w:szCs w:val="16"/>
                <w:lang w:val="it-IT" w:eastAsia="it-IT"/>
              </w:rPr>
              <w:t xml:space="preserve">1.705  </w:t>
            </w:r>
          </w:p>
        </w:tc>
        <w:tc>
          <w:tcPr>
            <w:tcW w:w="810"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998 </w:t>
            </w:r>
          </w:p>
        </w:tc>
        <w:tc>
          <w:tcPr>
            <w:tcW w:w="810" w:type="pct"/>
            <w:tcBorders>
              <w:top w:val="nil"/>
              <w:left w:val="nil"/>
              <w:bottom w:val="nil"/>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554  </w:t>
            </w:r>
          </w:p>
        </w:tc>
        <w:tc>
          <w:tcPr>
            <w:tcW w:w="751"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243  </w:t>
            </w:r>
          </w:p>
        </w:tc>
      </w:tr>
      <w:tr w:rsidR="008378EA" w:rsidRPr="008378EA" w:rsidTr="00434FA3">
        <w:trPr>
          <w:trHeight w:val="278"/>
        </w:trPr>
        <w:tc>
          <w:tcPr>
            <w:tcW w:w="1818" w:type="pct"/>
            <w:tcBorders>
              <w:top w:val="nil"/>
              <w:left w:val="single" w:sz="8" w:space="0" w:color="AC9B85"/>
              <w:bottom w:val="single" w:sz="8" w:space="0" w:color="AC9B85"/>
              <w:right w:val="single" w:sz="8" w:space="0" w:color="AC9B85"/>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color w:val="60512F"/>
                <w:sz w:val="16"/>
                <w:szCs w:val="16"/>
                <w:lang w:val="it-IT"/>
              </w:rPr>
            </w:pPr>
            <w:r w:rsidRPr="008378EA">
              <w:rPr>
                <w:rFonts w:ascii="Times New Roman" w:cs="Arial"/>
                <w:b/>
                <w:bCs/>
                <w:color w:val="60512F"/>
                <w:sz w:val="16"/>
                <w:szCs w:val="16"/>
                <w:lang w:val="it-IT"/>
              </w:rPr>
              <w:t xml:space="preserve"> Totale passività non correnti</w:t>
            </w:r>
          </w:p>
        </w:tc>
        <w:tc>
          <w:tcPr>
            <w:tcW w:w="811" w:type="pct"/>
            <w:tcBorders>
              <w:top w:val="single" w:sz="8" w:space="0" w:color="A99983"/>
              <w:left w:val="single" w:sz="8" w:space="0" w:color="A99983"/>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eastAsia="MS PGothic" w:cs="Arial"/>
                <w:b/>
                <w:bCs/>
                <w:color w:val="60512F"/>
                <w:sz w:val="16"/>
                <w:szCs w:val="16"/>
                <w:lang w:val="it-IT" w:eastAsia="it-IT"/>
              </w:rPr>
            </w:pPr>
            <w:r w:rsidRPr="008378EA">
              <w:rPr>
                <w:rFonts w:ascii="Times New Roman" w:eastAsia="MS PGothic" w:cs="Arial"/>
                <w:b/>
                <w:bCs/>
                <w:color w:val="60512F"/>
                <w:sz w:val="16"/>
                <w:szCs w:val="16"/>
                <w:lang w:val="it-IT" w:eastAsia="it-IT"/>
              </w:rPr>
              <w:t>294.244</w:t>
            </w:r>
          </w:p>
        </w:tc>
        <w:tc>
          <w:tcPr>
            <w:tcW w:w="810"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998</w:t>
            </w:r>
          </w:p>
        </w:tc>
        <w:tc>
          <w:tcPr>
            <w:tcW w:w="810"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241.124</w:t>
            </w:r>
          </w:p>
        </w:tc>
        <w:tc>
          <w:tcPr>
            <w:tcW w:w="751"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243</w:t>
            </w:r>
          </w:p>
        </w:tc>
      </w:tr>
      <w:tr w:rsidR="008378EA" w:rsidRPr="008378EA" w:rsidTr="00434FA3">
        <w:trPr>
          <w:trHeight w:val="278"/>
        </w:trPr>
        <w:tc>
          <w:tcPr>
            <w:tcW w:w="1818" w:type="pct"/>
            <w:tcBorders>
              <w:top w:val="nil"/>
              <w:left w:val="single" w:sz="8" w:space="0" w:color="DFD6CD"/>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Debiti verso banche correnti </w:t>
            </w:r>
          </w:p>
        </w:tc>
        <w:tc>
          <w:tcPr>
            <w:tcW w:w="811" w:type="pct"/>
            <w:tcBorders>
              <w:top w:val="single" w:sz="8" w:space="0" w:color="DFD6CD"/>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eastAsia="MS PGothic" w:cs="Arial"/>
                <w:color w:val="000000"/>
                <w:sz w:val="16"/>
                <w:szCs w:val="16"/>
                <w:lang w:val="it-IT" w:eastAsia="it-IT"/>
              </w:rPr>
            </w:pPr>
            <w:r w:rsidRPr="008378EA">
              <w:rPr>
                <w:rFonts w:ascii="Times New Roman" w:eastAsia="MS PGothic" w:cs="Arial"/>
                <w:color w:val="000000"/>
                <w:sz w:val="16"/>
                <w:szCs w:val="16"/>
                <w:lang w:val="it-IT" w:eastAsia="it-IT"/>
              </w:rPr>
              <w:t>- </w:t>
            </w:r>
          </w:p>
        </w:tc>
        <w:tc>
          <w:tcPr>
            <w:tcW w:w="810" w:type="pct"/>
            <w:tcBorders>
              <w:top w:val="single" w:sz="8" w:space="0" w:color="DFD6CD"/>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w:t>
            </w:r>
          </w:p>
        </w:tc>
        <w:tc>
          <w:tcPr>
            <w:tcW w:w="810" w:type="pct"/>
            <w:tcBorders>
              <w:top w:val="single" w:sz="8" w:space="0" w:color="DFD6CD"/>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22.720  </w:t>
            </w:r>
          </w:p>
        </w:tc>
        <w:tc>
          <w:tcPr>
            <w:tcW w:w="751" w:type="pct"/>
            <w:tcBorders>
              <w:top w:val="single" w:sz="8" w:space="0" w:color="DFD6CD"/>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r>
      <w:tr w:rsidR="008378EA" w:rsidRPr="008378EA" w:rsidTr="00434FA3">
        <w:trPr>
          <w:trHeight w:val="278"/>
        </w:trPr>
        <w:tc>
          <w:tcPr>
            <w:tcW w:w="1818" w:type="pct"/>
            <w:tcBorders>
              <w:top w:val="nil"/>
              <w:left w:val="single" w:sz="8" w:space="0" w:color="DFD6CD"/>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Debiti commerciali e altri debiti correnti </w:t>
            </w:r>
          </w:p>
        </w:tc>
        <w:tc>
          <w:tcPr>
            <w:tcW w:w="811"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eastAsia="MS PGothic" w:cs="Arial"/>
                <w:color w:val="000000"/>
                <w:sz w:val="16"/>
                <w:szCs w:val="16"/>
                <w:lang w:val="it-IT" w:eastAsia="it-IT"/>
              </w:rPr>
            </w:pPr>
            <w:r w:rsidRPr="008378EA">
              <w:rPr>
                <w:rFonts w:ascii="Times New Roman" w:eastAsia="MS PGothic" w:cs="Arial"/>
                <w:color w:val="000000"/>
                <w:sz w:val="16"/>
                <w:szCs w:val="16"/>
                <w:lang w:val="it-IT" w:eastAsia="it-IT"/>
              </w:rPr>
              <w:t xml:space="preserve">11.832  </w:t>
            </w:r>
          </w:p>
        </w:tc>
        <w:tc>
          <w:tcPr>
            <w:tcW w:w="810" w:type="pct"/>
            <w:tcBorders>
              <w:top w:val="nil"/>
              <w:left w:val="nil"/>
              <w:bottom w:val="single" w:sz="8" w:space="0" w:color="DFD6CD"/>
              <w:right w:val="single" w:sz="8" w:space="0" w:color="DFD6CD"/>
            </w:tcBorders>
            <w:shd w:val="clear" w:color="000000" w:fill="F9F6F1"/>
            <w:vAlign w:val="center"/>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4.939 </w:t>
            </w:r>
          </w:p>
        </w:tc>
        <w:tc>
          <w:tcPr>
            <w:tcW w:w="810"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10.653  </w:t>
            </w:r>
          </w:p>
        </w:tc>
        <w:tc>
          <w:tcPr>
            <w:tcW w:w="751"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2.306  </w:t>
            </w:r>
          </w:p>
        </w:tc>
      </w:tr>
      <w:tr w:rsidR="008378EA" w:rsidRPr="008378EA" w:rsidTr="00434FA3">
        <w:trPr>
          <w:trHeight w:val="278"/>
        </w:trPr>
        <w:tc>
          <w:tcPr>
            <w:tcW w:w="1818" w:type="pct"/>
            <w:tcBorders>
              <w:top w:val="nil"/>
              <w:left w:val="single" w:sz="8" w:space="0" w:color="DFD6CD"/>
              <w:bottom w:val="single" w:sz="8" w:space="0" w:color="AC9B85"/>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color w:val="000000"/>
                <w:sz w:val="16"/>
                <w:szCs w:val="16"/>
                <w:lang w:val="it-IT"/>
              </w:rPr>
            </w:pPr>
            <w:r w:rsidRPr="008378EA">
              <w:rPr>
                <w:rFonts w:ascii="Times New Roman" w:cs="Arial"/>
                <w:color w:val="000000"/>
                <w:sz w:val="16"/>
                <w:szCs w:val="16"/>
                <w:lang w:val="it-IT"/>
              </w:rPr>
              <w:t xml:space="preserve"> Debiti per imposte correnti</w:t>
            </w:r>
          </w:p>
        </w:tc>
        <w:tc>
          <w:tcPr>
            <w:tcW w:w="811" w:type="pct"/>
            <w:tcBorders>
              <w:top w:val="nil"/>
              <w:left w:val="nil"/>
              <w:bottom w:val="single" w:sz="8" w:space="0" w:color="DFD6CD"/>
              <w:right w:val="single" w:sz="8" w:space="0" w:color="DFD6CD"/>
            </w:tcBorders>
            <w:shd w:val="clear" w:color="000000" w:fill="F9F6F1"/>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eastAsia="MS PGothic" w:cs="Arial"/>
                <w:color w:val="000000"/>
                <w:sz w:val="16"/>
                <w:szCs w:val="16"/>
                <w:lang w:val="it-IT" w:eastAsia="it-IT"/>
              </w:rPr>
            </w:pPr>
            <w:r w:rsidRPr="008378EA">
              <w:rPr>
                <w:rFonts w:ascii="Times New Roman" w:eastAsia="MS PGothic" w:cs="Arial"/>
                <w:color w:val="000000"/>
                <w:sz w:val="16"/>
                <w:szCs w:val="16"/>
                <w:lang w:val="it-IT" w:eastAsia="it-IT"/>
              </w:rPr>
              <w:t xml:space="preserve">                 46 </w:t>
            </w:r>
          </w:p>
        </w:tc>
        <w:tc>
          <w:tcPr>
            <w:tcW w:w="810" w:type="pct"/>
            <w:tcBorders>
              <w:top w:val="nil"/>
              <w:left w:val="nil"/>
              <w:bottom w:val="single" w:sz="8" w:space="0" w:color="DFD6CD"/>
              <w:right w:val="single" w:sz="8" w:space="0" w:color="DFD6CD"/>
            </w:tcBorders>
            <w:shd w:val="clear" w:color="000000" w:fill="F9F6F1"/>
            <w:vAlign w:val="center"/>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w:t>
            </w:r>
          </w:p>
        </w:tc>
        <w:tc>
          <w:tcPr>
            <w:tcW w:w="810" w:type="pct"/>
            <w:tcBorders>
              <w:top w:val="nil"/>
              <w:left w:val="nil"/>
              <w:bottom w:val="nil"/>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 xml:space="preserve">61  </w:t>
            </w:r>
          </w:p>
        </w:tc>
        <w:tc>
          <w:tcPr>
            <w:tcW w:w="751" w:type="pct"/>
            <w:tcBorders>
              <w:top w:val="nil"/>
              <w:left w:val="nil"/>
              <w:bottom w:val="single" w:sz="8" w:space="0" w:color="DFD6CD"/>
              <w:right w:val="single" w:sz="8" w:space="0" w:color="DFD6CD"/>
            </w:tcBorders>
            <w:shd w:val="clear" w:color="auto" w:fill="auto"/>
            <w:vAlign w:val="center"/>
            <w:hideMark/>
          </w:tcPr>
          <w:p w:rsidR="008378EA" w:rsidRPr="008378EA" w:rsidRDefault="008378EA" w:rsidP="008378EA">
            <w:pPr>
              <w:widowControl w:val="0"/>
              <w:autoSpaceDE w:val="0"/>
              <w:autoSpaceDN w:val="0"/>
              <w:adjustRightInd w:val="0"/>
              <w:spacing w:after="0" w:line="276" w:lineRule="auto"/>
              <w:ind w:firstLineChars="100" w:firstLine="160"/>
              <w:jc w:val="right"/>
              <w:rPr>
                <w:rFonts w:ascii="Times New Roman" w:cs="Arial"/>
                <w:color w:val="000000"/>
                <w:sz w:val="16"/>
                <w:szCs w:val="16"/>
                <w:lang w:val="it-IT"/>
              </w:rPr>
            </w:pPr>
            <w:r w:rsidRPr="008378EA">
              <w:rPr>
                <w:rFonts w:ascii="Times New Roman" w:cs="Arial"/>
                <w:color w:val="000000"/>
                <w:sz w:val="16"/>
                <w:szCs w:val="16"/>
                <w:lang w:val="it-IT"/>
              </w:rPr>
              <w:t>-</w:t>
            </w:r>
          </w:p>
        </w:tc>
      </w:tr>
      <w:tr w:rsidR="008378EA" w:rsidRPr="008378EA" w:rsidTr="00434FA3">
        <w:trPr>
          <w:trHeight w:val="278"/>
        </w:trPr>
        <w:tc>
          <w:tcPr>
            <w:tcW w:w="1818" w:type="pct"/>
            <w:tcBorders>
              <w:top w:val="nil"/>
              <w:left w:val="single" w:sz="8" w:space="0" w:color="AC9B85"/>
              <w:bottom w:val="single" w:sz="8" w:space="0" w:color="AC9B85"/>
              <w:right w:val="single" w:sz="8" w:space="0" w:color="AC9B85"/>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color w:val="60512F"/>
                <w:sz w:val="16"/>
                <w:szCs w:val="16"/>
                <w:lang w:val="it-IT"/>
              </w:rPr>
            </w:pPr>
            <w:r w:rsidRPr="008378EA">
              <w:rPr>
                <w:rFonts w:ascii="Times New Roman" w:cs="Arial"/>
                <w:b/>
                <w:bCs/>
                <w:color w:val="60512F"/>
                <w:sz w:val="16"/>
                <w:szCs w:val="16"/>
                <w:lang w:val="it-IT"/>
              </w:rPr>
              <w:t xml:space="preserve"> Totale passività correnti</w:t>
            </w:r>
          </w:p>
        </w:tc>
        <w:tc>
          <w:tcPr>
            <w:tcW w:w="811" w:type="pct"/>
            <w:tcBorders>
              <w:top w:val="single" w:sz="8" w:space="0" w:color="A99983"/>
              <w:left w:val="single" w:sz="8" w:space="0" w:color="A99983"/>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eastAsia="MS PGothic" w:cs="Arial"/>
                <w:b/>
                <w:bCs/>
                <w:color w:val="60512F"/>
                <w:sz w:val="16"/>
                <w:szCs w:val="16"/>
                <w:lang w:val="it-IT" w:eastAsia="it-IT"/>
              </w:rPr>
            </w:pPr>
            <w:r w:rsidRPr="008378EA">
              <w:rPr>
                <w:rFonts w:ascii="Times New Roman" w:eastAsia="MS PGothic" w:cs="Arial"/>
                <w:b/>
                <w:bCs/>
                <w:color w:val="60512F"/>
                <w:sz w:val="16"/>
                <w:szCs w:val="16"/>
                <w:lang w:val="it-IT" w:eastAsia="it-IT"/>
              </w:rPr>
              <w:t>11.878</w:t>
            </w:r>
          </w:p>
        </w:tc>
        <w:tc>
          <w:tcPr>
            <w:tcW w:w="810" w:type="pct"/>
            <w:tcBorders>
              <w:top w:val="single" w:sz="8" w:space="0" w:color="A99983"/>
              <w:left w:val="nil"/>
              <w:bottom w:val="single" w:sz="8" w:space="0" w:color="AC9B85"/>
              <w:right w:val="single" w:sz="8" w:space="0" w:color="A99983"/>
            </w:tcBorders>
            <w:shd w:val="clear" w:color="000000" w:fill="DFD6CD"/>
            <w:vAlign w:val="center"/>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4.939</w:t>
            </w:r>
          </w:p>
        </w:tc>
        <w:tc>
          <w:tcPr>
            <w:tcW w:w="810"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33.434</w:t>
            </w:r>
          </w:p>
        </w:tc>
        <w:tc>
          <w:tcPr>
            <w:tcW w:w="751"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2.306</w:t>
            </w:r>
          </w:p>
        </w:tc>
      </w:tr>
      <w:tr w:rsidR="008378EA" w:rsidRPr="008378EA" w:rsidTr="00434FA3">
        <w:trPr>
          <w:trHeight w:val="278"/>
        </w:trPr>
        <w:tc>
          <w:tcPr>
            <w:tcW w:w="1818" w:type="pct"/>
            <w:tcBorders>
              <w:top w:val="nil"/>
              <w:left w:val="single" w:sz="8" w:space="0" w:color="AC9B85"/>
              <w:bottom w:val="single" w:sz="8" w:space="0" w:color="AC9B85"/>
              <w:right w:val="single" w:sz="8" w:space="0" w:color="AC9B85"/>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color w:val="60512F"/>
                <w:sz w:val="16"/>
                <w:szCs w:val="16"/>
                <w:lang w:val="it-IT"/>
              </w:rPr>
            </w:pPr>
            <w:r w:rsidRPr="008378EA">
              <w:rPr>
                <w:rFonts w:ascii="Times New Roman" w:cs="Arial"/>
                <w:b/>
                <w:bCs/>
                <w:color w:val="60512F"/>
                <w:sz w:val="16"/>
                <w:szCs w:val="16"/>
                <w:lang w:val="it-IT"/>
              </w:rPr>
              <w:t xml:space="preserve"> Totale passività</w:t>
            </w:r>
          </w:p>
        </w:tc>
        <w:tc>
          <w:tcPr>
            <w:tcW w:w="811" w:type="pct"/>
            <w:tcBorders>
              <w:top w:val="single" w:sz="8" w:space="0" w:color="A99983"/>
              <w:left w:val="single" w:sz="8" w:space="0" w:color="A99983"/>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eastAsia="MS PGothic" w:cs="Arial"/>
                <w:b/>
                <w:bCs/>
                <w:color w:val="60512F"/>
                <w:sz w:val="16"/>
                <w:szCs w:val="16"/>
                <w:lang w:val="it-IT" w:eastAsia="it-IT"/>
              </w:rPr>
            </w:pPr>
            <w:r w:rsidRPr="008378EA">
              <w:rPr>
                <w:rFonts w:ascii="Times New Roman" w:eastAsia="MS PGothic" w:cs="Arial"/>
                <w:b/>
                <w:bCs/>
                <w:color w:val="60512F"/>
                <w:sz w:val="16"/>
                <w:szCs w:val="16"/>
                <w:lang w:val="it-IT" w:eastAsia="it-IT"/>
              </w:rPr>
              <w:t>306.122</w:t>
            </w:r>
          </w:p>
        </w:tc>
        <w:tc>
          <w:tcPr>
            <w:tcW w:w="810" w:type="pct"/>
            <w:tcBorders>
              <w:top w:val="single" w:sz="8" w:space="0" w:color="A99983"/>
              <w:left w:val="nil"/>
              <w:bottom w:val="single" w:sz="8" w:space="0" w:color="AC9B85"/>
              <w:right w:val="single" w:sz="8" w:space="0" w:color="A99983"/>
            </w:tcBorders>
            <w:shd w:val="clear" w:color="000000" w:fill="DFD6CD"/>
            <w:vAlign w:val="center"/>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5.937</w:t>
            </w:r>
          </w:p>
        </w:tc>
        <w:tc>
          <w:tcPr>
            <w:tcW w:w="810"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274.558</w:t>
            </w:r>
          </w:p>
        </w:tc>
        <w:tc>
          <w:tcPr>
            <w:tcW w:w="751"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2.549</w:t>
            </w:r>
          </w:p>
        </w:tc>
      </w:tr>
      <w:tr w:rsidR="008378EA" w:rsidRPr="008378EA" w:rsidTr="00434FA3">
        <w:trPr>
          <w:trHeight w:val="278"/>
        </w:trPr>
        <w:tc>
          <w:tcPr>
            <w:tcW w:w="1818" w:type="pct"/>
            <w:tcBorders>
              <w:top w:val="nil"/>
              <w:left w:val="single" w:sz="8" w:space="0" w:color="AC9B85"/>
              <w:bottom w:val="single" w:sz="8" w:space="0" w:color="AC9B85"/>
              <w:right w:val="single" w:sz="8" w:space="0" w:color="AC9B85"/>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jc w:val="both"/>
              <w:rPr>
                <w:rFonts w:ascii="Times New Roman" w:cs="Arial"/>
                <w:b/>
                <w:bCs/>
                <w:color w:val="60512F"/>
                <w:sz w:val="16"/>
                <w:szCs w:val="16"/>
                <w:lang w:val="it-IT"/>
              </w:rPr>
            </w:pPr>
            <w:r w:rsidRPr="008378EA">
              <w:rPr>
                <w:rFonts w:ascii="Times New Roman" w:cs="Arial"/>
                <w:b/>
                <w:bCs/>
                <w:color w:val="60512F"/>
                <w:sz w:val="16"/>
                <w:szCs w:val="16"/>
                <w:lang w:val="it-IT"/>
              </w:rPr>
              <w:t xml:space="preserve"> Totale passività e patrimonio netto</w:t>
            </w:r>
          </w:p>
        </w:tc>
        <w:tc>
          <w:tcPr>
            <w:tcW w:w="811" w:type="pct"/>
            <w:tcBorders>
              <w:top w:val="single" w:sz="8" w:space="0" w:color="A99983"/>
              <w:left w:val="single" w:sz="8" w:space="0" w:color="A99983"/>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eastAsia="MS PGothic" w:cs="Arial"/>
                <w:b/>
                <w:bCs/>
                <w:color w:val="60512F"/>
                <w:sz w:val="16"/>
                <w:szCs w:val="16"/>
                <w:lang w:val="it-IT" w:eastAsia="it-IT"/>
              </w:rPr>
            </w:pPr>
            <w:r w:rsidRPr="008378EA">
              <w:rPr>
                <w:rFonts w:ascii="Times New Roman" w:eastAsia="MS PGothic" w:cs="Arial"/>
                <w:b/>
                <w:bCs/>
                <w:color w:val="60512F"/>
                <w:sz w:val="16"/>
                <w:szCs w:val="16"/>
                <w:lang w:val="it-IT" w:eastAsia="it-IT"/>
              </w:rPr>
              <w:t>738.362</w:t>
            </w:r>
          </w:p>
        </w:tc>
        <w:tc>
          <w:tcPr>
            <w:tcW w:w="810" w:type="pct"/>
            <w:tcBorders>
              <w:top w:val="single" w:sz="8" w:space="0" w:color="A99983"/>
              <w:left w:val="nil"/>
              <w:bottom w:val="single" w:sz="8" w:space="0" w:color="AC9B85"/>
              <w:right w:val="single" w:sz="8" w:space="0" w:color="A99983"/>
            </w:tcBorders>
            <w:shd w:val="clear" w:color="000000" w:fill="DFD6CD"/>
            <w:vAlign w:val="center"/>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5.937</w:t>
            </w:r>
          </w:p>
        </w:tc>
        <w:tc>
          <w:tcPr>
            <w:tcW w:w="810"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669.884</w:t>
            </w:r>
          </w:p>
        </w:tc>
        <w:tc>
          <w:tcPr>
            <w:tcW w:w="751" w:type="pct"/>
            <w:tcBorders>
              <w:top w:val="single" w:sz="8" w:space="0" w:color="A99983"/>
              <w:left w:val="nil"/>
              <w:bottom w:val="single" w:sz="8" w:space="0" w:color="AC9B85"/>
              <w:right w:val="single" w:sz="8" w:space="0" w:color="A99983"/>
            </w:tcBorders>
            <w:shd w:val="clear" w:color="000000" w:fill="DFD6CD"/>
            <w:vAlign w:val="center"/>
            <w:hideMark/>
          </w:tcPr>
          <w:p w:rsidR="008378EA" w:rsidRPr="008378EA" w:rsidRDefault="008378EA" w:rsidP="008378EA">
            <w:pPr>
              <w:widowControl w:val="0"/>
              <w:autoSpaceDE w:val="0"/>
              <w:autoSpaceDN w:val="0"/>
              <w:adjustRightInd w:val="0"/>
              <w:spacing w:after="0" w:line="276" w:lineRule="auto"/>
              <w:ind w:firstLineChars="100" w:firstLine="161"/>
              <w:jc w:val="right"/>
              <w:rPr>
                <w:rFonts w:ascii="Times New Roman" w:cs="Arial"/>
                <w:b/>
                <w:bCs/>
                <w:color w:val="60512F"/>
                <w:sz w:val="16"/>
                <w:szCs w:val="16"/>
                <w:lang w:val="it-IT"/>
              </w:rPr>
            </w:pPr>
            <w:r w:rsidRPr="008378EA">
              <w:rPr>
                <w:rFonts w:ascii="Times New Roman" w:cs="Arial"/>
                <w:b/>
                <w:bCs/>
                <w:color w:val="60512F"/>
                <w:sz w:val="16"/>
                <w:szCs w:val="16"/>
                <w:lang w:val="it-IT"/>
              </w:rPr>
              <w:t>2.549</w:t>
            </w:r>
          </w:p>
        </w:tc>
      </w:tr>
    </w:tbl>
    <w:bookmarkEnd w:id="2"/>
    <w:p w:rsidR="00DF2F11" w:rsidRPr="00DF2F11" w:rsidRDefault="00DF2F11" w:rsidP="00DC5FE3">
      <w:pPr>
        <w:pageBreakBefore/>
        <w:jc w:val="center"/>
        <w:rPr>
          <w:rFonts w:ascii="Arial" w:hAnsi="Arial" w:cs="Arial"/>
          <w:b/>
          <w:lang w:val="it-IT"/>
        </w:rPr>
      </w:pPr>
      <w:r w:rsidRPr="00DF2F11">
        <w:rPr>
          <w:rFonts w:ascii="Arial" w:hAnsi="Arial" w:cs="Arial"/>
          <w:b/>
          <w:lang w:val="it-IT"/>
        </w:rPr>
        <w:lastRenderedPageBreak/>
        <w:t xml:space="preserve">RENDICONTO FINANZIARIO </w:t>
      </w:r>
      <w:r>
        <w:rPr>
          <w:rFonts w:ascii="Arial" w:hAnsi="Arial" w:cs="Arial"/>
          <w:b/>
          <w:lang w:val="it-IT"/>
        </w:rPr>
        <w:t>CONSOLIDATO</w:t>
      </w:r>
    </w:p>
    <w:tbl>
      <w:tblPr>
        <w:tblW w:w="5000" w:type="pct"/>
        <w:tblLook w:val="04A0"/>
      </w:tblPr>
      <w:tblGrid>
        <w:gridCol w:w="7094"/>
        <w:gridCol w:w="1380"/>
        <w:gridCol w:w="1380"/>
      </w:tblGrid>
      <w:tr w:rsidR="00DF2F11" w:rsidRPr="00DF2F11" w:rsidTr="00DF2F11">
        <w:trPr>
          <w:trHeight w:val="261"/>
        </w:trPr>
        <w:tc>
          <w:tcPr>
            <w:tcW w:w="3600" w:type="pct"/>
            <w:vMerge w:val="restart"/>
            <w:tcBorders>
              <w:top w:val="single" w:sz="8" w:space="0" w:color="DFD6CD"/>
              <w:left w:val="single" w:sz="8" w:space="0" w:color="DFD6CD"/>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rPr>
                <w:rFonts w:ascii="Times New Roman"/>
                <w:b/>
                <w:bCs/>
                <w:color w:val="000000"/>
                <w:sz w:val="16"/>
                <w:szCs w:val="16"/>
                <w:lang w:val="it-IT"/>
              </w:rPr>
            </w:pPr>
            <w:r w:rsidRPr="00DF2F11">
              <w:rPr>
                <w:rFonts w:ascii="Times New Roman"/>
                <w:b/>
                <w:bCs/>
                <w:color w:val="000000"/>
                <w:sz w:val="16"/>
                <w:szCs w:val="16"/>
                <w:lang w:val="it-IT"/>
              </w:rPr>
              <w:t xml:space="preserve">(Euro migliaia) </w:t>
            </w:r>
          </w:p>
        </w:tc>
        <w:tc>
          <w:tcPr>
            <w:tcW w:w="700" w:type="pct"/>
            <w:vMerge w:val="restart"/>
            <w:tcBorders>
              <w:top w:val="single" w:sz="8" w:space="0" w:color="C4BD97"/>
              <w:left w:val="nil"/>
              <w:bottom w:val="single" w:sz="8" w:space="0" w:color="C4BD97"/>
              <w:right w:val="single" w:sz="8" w:space="0" w:color="C4BD97"/>
            </w:tcBorders>
            <w:shd w:val="clear" w:color="000000" w:fill="AC9B85"/>
            <w:vAlign w:val="center"/>
            <w:hideMark/>
          </w:tcPr>
          <w:p w:rsidR="00DF2F11" w:rsidRDefault="00DF2F11" w:rsidP="00DF2F11">
            <w:pPr>
              <w:spacing w:after="0" w:line="240" w:lineRule="auto"/>
              <w:jc w:val="center"/>
              <w:rPr>
                <w:rFonts w:ascii="Times New Roman"/>
                <w:b/>
                <w:bCs/>
                <w:color w:val="FFFFFF"/>
                <w:sz w:val="16"/>
                <w:szCs w:val="16"/>
                <w:lang w:val="it-IT"/>
              </w:rPr>
            </w:pPr>
            <w:r w:rsidRPr="00DF2F11">
              <w:rPr>
                <w:rFonts w:ascii="Times New Roman"/>
                <w:b/>
                <w:bCs/>
                <w:color w:val="FFFFFF"/>
                <w:sz w:val="16"/>
                <w:szCs w:val="16"/>
                <w:lang w:val="it-IT"/>
              </w:rPr>
              <w:t>2018</w:t>
            </w:r>
          </w:p>
          <w:p w:rsidR="000F201E" w:rsidRPr="00DF2F11" w:rsidRDefault="000F201E" w:rsidP="00DF2F11">
            <w:pPr>
              <w:spacing w:after="0" w:line="240" w:lineRule="auto"/>
              <w:jc w:val="center"/>
              <w:rPr>
                <w:rFonts w:ascii="Times New Roman"/>
                <w:b/>
                <w:bCs/>
                <w:color w:val="FFFFFF"/>
                <w:sz w:val="16"/>
                <w:szCs w:val="16"/>
                <w:lang w:val="it-IT"/>
              </w:rPr>
            </w:pPr>
            <w:r>
              <w:rPr>
                <w:rFonts w:ascii="Times New Roman"/>
                <w:b/>
                <w:bCs/>
                <w:color w:val="FFFFFF"/>
                <w:sz w:val="16"/>
                <w:szCs w:val="16"/>
                <w:lang w:val="it-IT"/>
              </w:rPr>
              <w:t>(dati non revisionati)</w:t>
            </w:r>
          </w:p>
        </w:tc>
        <w:tc>
          <w:tcPr>
            <w:tcW w:w="700" w:type="pct"/>
            <w:vMerge w:val="restart"/>
            <w:tcBorders>
              <w:top w:val="single" w:sz="8" w:space="0" w:color="C4BD97"/>
              <w:left w:val="nil"/>
              <w:bottom w:val="single" w:sz="8" w:space="0" w:color="C4BD97"/>
              <w:right w:val="single" w:sz="8" w:space="0" w:color="C4BD97"/>
            </w:tcBorders>
            <w:shd w:val="clear" w:color="000000" w:fill="AC9B85"/>
            <w:vAlign w:val="center"/>
            <w:hideMark/>
          </w:tcPr>
          <w:p w:rsidR="00DF2F11" w:rsidRPr="00DF2F11" w:rsidRDefault="00DF2F11" w:rsidP="00DF2F11">
            <w:pPr>
              <w:spacing w:after="0" w:line="240" w:lineRule="auto"/>
              <w:jc w:val="center"/>
              <w:rPr>
                <w:rFonts w:ascii="Times New Roman"/>
                <w:b/>
                <w:bCs/>
                <w:color w:val="FFFFFF"/>
                <w:sz w:val="16"/>
                <w:szCs w:val="16"/>
                <w:lang w:val="it-IT"/>
              </w:rPr>
            </w:pPr>
            <w:r w:rsidRPr="00DF2F11">
              <w:rPr>
                <w:rFonts w:ascii="Times New Roman"/>
                <w:b/>
                <w:bCs/>
                <w:color w:val="FFFFFF"/>
                <w:sz w:val="16"/>
                <w:szCs w:val="16"/>
                <w:lang w:val="it-IT"/>
              </w:rPr>
              <w:t>2017</w:t>
            </w:r>
          </w:p>
        </w:tc>
      </w:tr>
      <w:tr w:rsidR="00DF2F11" w:rsidRPr="00DF2F11" w:rsidTr="00DF2F11">
        <w:trPr>
          <w:trHeight w:val="450"/>
        </w:trPr>
        <w:tc>
          <w:tcPr>
            <w:tcW w:w="3600" w:type="pct"/>
            <w:vMerge/>
            <w:tcBorders>
              <w:top w:val="single" w:sz="8" w:space="0" w:color="DFD6CD"/>
              <w:left w:val="single" w:sz="8" w:space="0" w:color="DFD6CD"/>
              <w:bottom w:val="single" w:sz="8" w:space="0" w:color="DFD6CD"/>
              <w:right w:val="single" w:sz="8" w:space="0" w:color="DFD6CD"/>
            </w:tcBorders>
            <w:vAlign w:val="center"/>
            <w:hideMark/>
          </w:tcPr>
          <w:p w:rsidR="00DF2F11" w:rsidRPr="00DF2F11" w:rsidRDefault="00DF2F11" w:rsidP="00DF2F11">
            <w:pPr>
              <w:spacing w:after="0" w:line="240" w:lineRule="auto"/>
              <w:rPr>
                <w:rFonts w:ascii="Times New Roman"/>
                <w:b/>
                <w:bCs/>
                <w:color w:val="000000"/>
                <w:sz w:val="16"/>
                <w:szCs w:val="16"/>
                <w:lang w:val="it-IT"/>
              </w:rPr>
            </w:pPr>
          </w:p>
        </w:tc>
        <w:tc>
          <w:tcPr>
            <w:tcW w:w="700" w:type="pct"/>
            <w:vMerge/>
            <w:tcBorders>
              <w:top w:val="single" w:sz="8" w:space="0" w:color="C4BD97"/>
              <w:left w:val="nil"/>
              <w:bottom w:val="single" w:sz="8" w:space="0" w:color="C4BD97"/>
              <w:right w:val="single" w:sz="8" w:space="0" w:color="C4BD97"/>
            </w:tcBorders>
            <w:vAlign w:val="center"/>
            <w:hideMark/>
          </w:tcPr>
          <w:p w:rsidR="00DF2F11" w:rsidRPr="00DF2F11" w:rsidRDefault="00DF2F11" w:rsidP="00DF2F11">
            <w:pPr>
              <w:spacing w:after="0" w:line="240" w:lineRule="auto"/>
              <w:rPr>
                <w:rFonts w:ascii="Times New Roman"/>
                <w:b/>
                <w:bCs/>
                <w:color w:val="FFFFFF"/>
                <w:sz w:val="16"/>
                <w:szCs w:val="16"/>
                <w:lang w:val="it-IT"/>
              </w:rPr>
            </w:pPr>
          </w:p>
        </w:tc>
        <w:tc>
          <w:tcPr>
            <w:tcW w:w="700" w:type="pct"/>
            <w:vMerge/>
            <w:tcBorders>
              <w:top w:val="single" w:sz="8" w:space="0" w:color="C4BD97"/>
              <w:left w:val="nil"/>
              <w:bottom w:val="single" w:sz="8" w:space="0" w:color="C4BD97"/>
              <w:right w:val="single" w:sz="8" w:space="0" w:color="C4BD97"/>
            </w:tcBorders>
            <w:vAlign w:val="center"/>
            <w:hideMark/>
          </w:tcPr>
          <w:p w:rsidR="00DF2F11" w:rsidRPr="00DF2F11" w:rsidRDefault="00DF2F11" w:rsidP="00DF2F11">
            <w:pPr>
              <w:spacing w:after="0" w:line="240" w:lineRule="auto"/>
              <w:rPr>
                <w:rFonts w:ascii="Times New Roman"/>
                <w:b/>
                <w:bCs/>
                <w:color w:val="FFFFFF"/>
                <w:sz w:val="16"/>
                <w:szCs w:val="16"/>
                <w:lang w:val="it-IT"/>
              </w:rPr>
            </w:pPr>
          </w:p>
        </w:tc>
      </w:tr>
      <w:tr w:rsidR="00DF2F11" w:rsidRPr="00DF2F11" w:rsidTr="00DF2F11">
        <w:trPr>
          <w:trHeight w:val="347"/>
        </w:trPr>
        <w:tc>
          <w:tcPr>
            <w:tcW w:w="3600" w:type="pct"/>
            <w:tcBorders>
              <w:top w:val="nil"/>
              <w:left w:val="single" w:sz="8" w:space="0" w:color="DFD6CD"/>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rPr>
                <w:rFonts w:ascii="Times New Roman"/>
                <w:color w:val="000000"/>
                <w:sz w:val="16"/>
                <w:szCs w:val="16"/>
                <w:lang w:val="it-IT"/>
              </w:rPr>
            </w:pPr>
            <w:r w:rsidRPr="00DF2F11">
              <w:rPr>
                <w:rFonts w:ascii="Times New Roman"/>
                <w:color w:val="000000"/>
                <w:sz w:val="16"/>
                <w:szCs w:val="16"/>
                <w:lang w:val="it-IT"/>
              </w:rPr>
              <w:t>Utile d'esercizio ante imposte</w:t>
            </w:r>
          </w:p>
        </w:tc>
        <w:tc>
          <w:tcPr>
            <w:tcW w:w="700" w:type="pct"/>
            <w:tcBorders>
              <w:top w:val="nil"/>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eastAsia="it-IT"/>
              </w:rPr>
            </w:pPr>
            <w:r w:rsidRPr="00DF2F11">
              <w:rPr>
                <w:rFonts w:ascii="Times New Roman" w:eastAsia="MS PGothic" w:cs="Arial"/>
                <w:color w:val="000000"/>
                <w:sz w:val="16"/>
                <w:szCs w:val="16"/>
                <w:lang w:val="it-IT" w:eastAsia="it-IT"/>
              </w:rPr>
              <w:t>48.314</w:t>
            </w:r>
          </w:p>
        </w:tc>
        <w:tc>
          <w:tcPr>
            <w:tcW w:w="700" w:type="pct"/>
            <w:tcBorders>
              <w:top w:val="single" w:sz="8" w:space="0" w:color="DFD6CD"/>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30.689</w:t>
            </w:r>
          </w:p>
        </w:tc>
      </w:tr>
      <w:tr w:rsidR="00DF2F11" w:rsidRPr="005857CF" w:rsidTr="00DF2F11">
        <w:trPr>
          <w:trHeight w:val="347"/>
        </w:trPr>
        <w:tc>
          <w:tcPr>
            <w:tcW w:w="3600" w:type="pct"/>
            <w:tcBorders>
              <w:top w:val="nil"/>
              <w:left w:val="single" w:sz="8" w:space="0" w:color="DFD6CD"/>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rPr>
                <w:rFonts w:ascii="Times New Roman"/>
                <w:b/>
                <w:bCs/>
                <w:color w:val="000000"/>
                <w:sz w:val="16"/>
                <w:szCs w:val="16"/>
                <w:lang w:val="it-IT"/>
              </w:rPr>
            </w:pPr>
            <w:r w:rsidRPr="00DF2F11">
              <w:rPr>
                <w:rFonts w:ascii="Times New Roman"/>
                <w:b/>
                <w:bCs/>
                <w:color w:val="000000"/>
                <w:sz w:val="16"/>
                <w:szCs w:val="16"/>
                <w:lang w:val="it-IT"/>
              </w:rPr>
              <w:t>Aggiustamenti per riconciliare l’utile con i flussi finanziari netti:</w:t>
            </w:r>
          </w:p>
        </w:tc>
        <w:tc>
          <w:tcPr>
            <w:tcW w:w="700" w:type="pct"/>
            <w:tcBorders>
              <w:top w:val="nil"/>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p>
        </w:tc>
        <w:tc>
          <w:tcPr>
            <w:tcW w:w="700" w:type="pct"/>
            <w:tcBorders>
              <w:top w:val="nil"/>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p>
        </w:tc>
      </w:tr>
      <w:tr w:rsidR="00DF2F11" w:rsidRPr="00DF2F11" w:rsidTr="00DF2F11">
        <w:trPr>
          <w:trHeight w:val="347"/>
        </w:trPr>
        <w:tc>
          <w:tcPr>
            <w:tcW w:w="3600" w:type="pct"/>
            <w:tcBorders>
              <w:top w:val="nil"/>
              <w:left w:val="single" w:sz="8" w:space="0" w:color="DFD6CD"/>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rPr>
                <w:rFonts w:ascii="Times New Roman"/>
                <w:color w:val="000000"/>
                <w:sz w:val="16"/>
                <w:szCs w:val="16"/>
                <w:lang w:val="it-IT"/>
              </w:rPr>
            </w:pPr>
            <w:r w:rsidRPr="00DF2F11">
              <w:rPr>
                <w:rFonts w:ascii="Times New Roman"/>
                <w:color w:val="000000"/>
                <w:sz w:val="16"/>
                <w:szCs w:val="16"/>
                <w:lang w:val="it-IT"/>
              </w:rPr>
              <w:t>Rettifiche di valore nette</w:t>
            </w:r>
          </w:p>
        </w:tc>
        <w:tc>
          <w:tcPr>
            <w:tcW w:w="700" w:type="pct"/>
            <w:tcBorders>
              <w:top w:val="nil"/>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1.154</w:t>
            </w:r>
          </w:p>
        </w:tc>
        <w:tc>
          <w:tcPr>
            <w:tcW w:w="700" w:type="pct"/>
            <w:tcBorders>
              <w:top w:val="nil"/>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 xml:space="preserve">91  </w:t>
            </w:r>
          </w:p>
        </w:tc>
      </w:tr>
      <w:tr w:rsidR="00DF2F11" w:rsidRPr="00DF2F11" w:rsidTr="00DF2F11">
        <w:trPr>
          <w:trHeight w:val="347"/>
        </w:trPr>
        <w:tc>
          <w:tcPr>
            <w:tcW w:w="3600" w:type="pct"/>
            <w:tcBorders>
              <w:top w:val="nil"/>
              <w:left w:val="single" w:sz="8" w:space="0" w:color="DFD6CD"/>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rPr>
                <w:rFonts w:ascii="Times New Roman"/>
                <w:color w:val="000000"/>
                <w:sz w:val="16"/>
                <w:szCs w:val="16"/>
                <w:lang w:val="it-IT"/>
              </w:rPr>
            </w:pPr>
            <w:r w:rsidRPr="00DF2F11">
              <w:rPr>
                <w:rFonts w:ascii="Times New Roman"/>
                <w:color w:val="000000"/>
                <w:sz w:val="16"/>
                <w:szCs w:val="16"/>
                <w:lang w:val="it-IT"/>
              </w:rPr>
              <w:t>Accantonamento benefici ai dipendenti</w:t>
            </w:r>
          </w:p>
        </w:tc>
        <w:tc>
          <w:tcPr>
            <w:tcW w:w="700" w:type="pct"/>
            <w:tcBorders>
              <w:top w:val="nil"/>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62</w:t>
            </w:r>
          </w:p>
        </w:tc>
        <w:tc>
          <w:tcPr>
            <w:tcW w:w="700" w:type="pct"/>
            <w:tcBorders>
              <w:top w:val="nil"/>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 xml:space="preserve">46  </w:t>
            </w:r>
          </w:p>
        </w:tc>
      </w:tr>
      <w:tr w:rsidR="00DF2F11" w:rsidRPr="00DF2F11" w:rsidTr="00DF2F11">
        <w:trPr>
          <w:trHeight w:val="347"/>
        </w:trPr>
        <w:tc>
          <w:tcPr>
            <w:tcW w:w="3600" w:type="pct"/>
            <w:tcBorders>
              <w:top w:val="nil"/>
              <w:left w:val="single" w:sz="8" w:space="0" w:color="DFD6CD"/>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rPr>
                <w:rFonts w:ascii="Times New Roman"/>
                <w:color w:val="000000"/>
                <w:sz w:val="16"/>
                <w:szCs w:val="16"/>
                <w:lang w:val="it-IT"/>
              </w:rPr>
            </w:pPr>
            <w:r w:rsidRPr="00DF2F11">
              <w:rPr>
                <w:rFonts w:ascii="Times New Roman"/>
                <w:color w:val="000000"/>
                <w:sz w:val="16"/>
                <w:szCs w:val="16"/>
                <w:lang w:val="it-IT"/>
              </w:rPr>
              <w:t>Adeguamento fair value immobili</w:t>
            </w:r>
          </w:p>
        </w:tc>
        <w:tc>
          <w:tcPr>
            <w:tcW w:w="700" w:type="pct"/>
            <w:tcBorders>
              <w:top w:val="nil"/>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(28.339)</w:t>
            </w:r>
          </w:p>
        </w:tc>
        <w:tc>
          <w:tcPr>
            <w:tcW w:w="700" w:type="pct"/>
            <w:tcBorders>
              <w:top w:val="nil"/>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(15.400)</w:t>
            </w:r>
          </w:p>
        </w:tc>
      </w:tr>
      <w:tr w:rsidR="00DF2F11" w:rsidRPr="00DF2F11" w:rsidTr="00DF2F11">
        <w:trPr>
          <w:trHeight w:val="347"/>
        </w:trPr>
        <w:tc>
          <w:tcPr>
            <w:tcW w:w="3600" w:type="pct"/>
            <w:tcBorders>
              <w:top w:val="nil"/>
              <w:left w:val="single" w:sz="8" w:space="0" w:color="DFD6CD"/>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rPr>
                <w:rFonts w:ascii="Times New Roman"/>
                <w:color w:val="000000"/>
                <w:sz w:val="16"/>
                <w:szCs w:val="16"/>
                <w:lang w:val="it-IT"/>
              </w:rPr>
            </w:pPr>
            <w:r w:rsidRPr="00DF2F11">
              <w:rPr>
                <w:rFonts w:ascii="Times New Roman"/>
                <w:color w:val="000000"/>
                <w:sz w:val="16"/>
                <w:szCs w:val="16"/>
                <w:lang w:val="it-IT"/>
              </w:rPr>
              <w:t>Quota del risultato di società collegate valutate con il metodo del patrimonio netto</w:t>
            </w:r>
          </w:p>
        </w:tc>
        <w:tc>
          <w:tcPr>
            <w:tcW w:w="700" w:type="pct"/>
            <w:tcBorders>
              <w:top w:val="nil"/>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(2.396)</w:t>
            </w:r>
          </w:p>
        </w:tc>
        <w:tc>
          <w:tcPr>
            <w:tcW w:w="700" w:type="pct"/>
            <w:tcBorders>
              <w:top w:val="nil"/>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(49)</w:t>
            </w:r>
          </w:p>
        </w:tc>
      </w:tr>
      <w:tr w:rsidR="00DF2F11" w:rsidRPr="00DF2F11" w:rsidTr="00DF2F11">
        <w:trPr>
          <w:trHeight w:val="347"/>
        </w:trPr>
        <w:tc>
          <w:tcPr>
            <w:tcW w:w="3600" w:type="pct"/>
            <w:tcBorders>
              <w:top w:val="nil"/>
              <w:left w:val="single" w:sz="8" w:space="0" w:color="DFD6CD"/>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rPr>
                <w:rFonts w:ascii="Times New Roman"/>
                <w:color w:val="000000"/>
                <w:sz w:val="16"/>
                <w:szCs w:val="16"/>
                <w:lang w:val="it-IT"/>
              </w:rPr>
            </w:pPr>
            <w:r w:rsidRPr="00DF2F11">
              <w:rPr>
                <w:rFonts w:ascii="Times New Roman"/>
                <w:color w:val="000000"/>
                <w:sz w:val="16"/>
                <w:szCs w:val="16"/>
                <w:lang w:val="it-IT"/>
              </w:rPr>
              <w:t>Proventi finanziari</w:t>
            </w:r>
          </w:p>
        </w:tc>
        <w:tc>
          <w:tcPr>
            <w:tcW w:w="700" w:type="pct"/>
            <w:tcBorders>
              <w:top w:val="nil"/>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(12)</w:t>
            </w:r>
          </w:p>
        </w:tc>
        <w:tc>
          <w:tcPr>
            <w:tcW w:w="700" w:type="pct"/>
            <w:tcBorders>
              <w:top w:val="nil"/>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 xml:space="preserve">(18)  </w:t>
            </w:r>
          </w:p>
        </w:tc>
      </w:tr>
      <w:tr w:rsidR="00DF2F11" w:rsidRPr="00DF2F11" w:rsidTr="00DF2F11">
        <w:trPr>
          <w:trHeight w:val="347"/>
        </w:trPr>
        <w:tc>
          <w:tcPr>
            <w:tcW w:w="3600" w:type="pct"/>
            <w:tcBorders>
              <w:top w:val="nil"/>
              <w:left w:val="single" w:sz="8" w:space="0" w:color="DFD6CD"/>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rPr>
                <w:rFonts w:ascii="Times New Roman"/>
                <w:color w:val="000000"/>
                <w:sz w:val="16"/>
                <w:szCs w:val="16"/>
                <w:lang w:val="it-IT"/>
              </w:rPr>
            </w:pPr>
            <w:r w:rsidRPr="00DF2F11">
              <w:rPr>
                <w:rFonts w:ascii="Times New Roman"/>
                <w:color w:val="000000"/>
                <w:sz w:val="16"/>
                <w:szCs w:val="16"/>
                <w:lang w:val="it-IT"/>
              </w:rPr>
              <w:t>Oneri finanziari</w:t>
            </w:r>
          </w:p>
        </w:tc>
        <w:tc>
          <w:tcPr>
            <w:tcW w:w="700" w:type="pct"/>
            <w:tcBorders>
              <w:top w:val="nil"/>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1.432</w:t>
            </w:r>
          </w:p>
        </w:tc>
        <w:tc>
          <w:tcPr>
            <w:tcW w:w="700" w:type="pct"/>
            <w:tcBorders>
              <w:top w:val="nil"/>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1.037</w:t>
            </w:r>
          </w:p>
        </w:tc>
      </w:tr>
      <w:tr w:rsidR="00DF2F11" w:rsidRPr="00DF2F11" w:rsidTr="00DF2F11">
        <w:trPr>
          <w:trHeight w:val="347"/>
        </w:trPr>
        <w:tc>
          <w:tcPr>
            <w:tcW w:w="3600" w:type="pct"/>
            <w:tcBorders>
              <w:top w:val="nil"/>
              <w:left w:val="single" w:sz="8" w:space="0" w:color="DFD6CD"/>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rPr>
                <w:rFonts w:ascii="Times New Roman"/>
                <w:color w:val="000000"/>
                <w:sz w:val="16"/>
                <w:szCs w:val="16"/>
                <w:lang w:val="it-IT"/>
              </w:rPr>
            </w:pPr>
            <w:r w:rsidRPr="00DF2F11">
              <w:rPr>
                <w:rFonts w:ascii="Times New Roman"/>
                <w:color w:val="000000"/>
                <w:sz w:val="16"/>
                <w:szCs w:val="16"/>
                <w:lang w:val="it-IT"/>
              </w:rPr>
              <w:t>Variazione fair value strumenti finanziari</w:t>
            </w:r>
          </w:p>
        </w:tc>
        <w:tc>
          <w:tcPr>
            <w:tcW w:w="700" w:type="pct"/>
            <w:tcBorders>
              <w:top w:val="nil"/>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755</w:t>
            </w:r>
          </w:p>
        </w:tc>
        <w:tc>
          <w:tcPr>
            <w:tcW w:w="700" w:type="pct"/>
            <w:tcBorders>
              <w:top w:val="nil"/>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(148)</w:t>
            </w:r>
          </w:p>
        </w:tc>
      </w:tr>
      <w:tr w:rsidR="00DF2F11" w:rsidRPr="00DF2F11" w:rsidTr="00DF2F11">
        <w:trPr>
          <w:trHeight w:val="347"/>
        </w:trPr>
        <w:tc>
          <w:tcPr>
            <w:tcW w:w="3600" w:type="pct"/>
            <w:tcBorders>
              <w:top w:val="nil"/>
              <w:left w:val="single" w:sz="8" w:space="0" w:color="DFD6CD"/>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rPr>
                <w:rFonts w:ascii="Times New Roman"/>
                <w:b/>
                <w:bCs/>
                <w:color w:val="000000"/>
                <w:sz w:val="16"/>
                <w:szCs w:val="16"/>
                <w:lang w:val="it-IT"/>
              </w:rPr>
            </w:pPr>
            <w:r w:rsidRPr="00DF2F11">
              <w:rPr>
                <w:rFonts w:ascii="Times New Roman"/>
                <w:b/>
                <w:bCs/>
                <w:color w:val="000000"/>
                <w:sz w:val="16"/>
                <w:szCs w:val="16"/>
                <w:lang w:val="it-IT"/>
              </w:rPr>
              <w:t>Variazioni di capitale circolante:</w:t>
            </w:r>
          </w:p>
        </w:tc>
        <w:tc>
          <w:tcPr>
            <w:tcW w:w="700" w:type="pct"/>
            <w:tcBorders>
              <w:top w:val="nil"/>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p>
        </w:tc>
        <w:tc>
          <w:tcPr>
            <w:tcW w:w="700" w:type="pct"/>
            <w:tcBorders>
              <w:top w:val="nil"/>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 </w:t>
            </w:r>
          </w:p>
        </w:tc>
      </w:tr>
      <w:tr w:rsidR="00DF2F11" w:rsidRPr="00DF2F11" w:rsidTr="00DF2F11">
        <w:trPr>
          <w:trHeight w:val="347"/>
        </w:trPr>
        <w:tc>
          <w:tcPr>
            <w:tcW w:w="3600" w:type="pct"/>
            <w:tcBorders>
              <w:top w:val="nil"/>
              <w:left w:val="single" w:sz="8" w:space="0" w:color="DFD6CD"/>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rPr>
                <w:rFonts w:ascii="Times New Roman"/>
                <w:color w:val="000000"/>
                <w:sz w:val="16"/>
                <w:szCs w:val="16"/>
                <w:lang w:val="it-IT"/>
              </w:rPr>
            </w:pPr>
            <w:r w:rsidRPr="00DF2F11">
              <w:rPr>
                <w:rFonts w:ascii="Times New Roman"/>
                <w:color w:val="000000"/>
                <w:sz w:val="16"/>
                <w:szCs w:val="16"/>
                <w:lang w:val="it-IT"/>
              </w:rPr>
              <w:t>(Aumento) / diminuzione dei crediti commerciali e degli altri crediti correnti</w:t>
            </w:r>
          </w:p>
        </w:tc>
        <w:tc>
          <w:tcPr>
            <w:tcW w:w="700" w:type="pct"/>
            <w:tcBorders>
              <w:top w:val="nil"/>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(892)</w:t>
            </w:r>
          </w:p>
        </w:tc>
        <w:tc>
          <w:tcPr>
            <w:tcW w:w="700" w:type="pct"/>
            <w:tcBorders>
              <w:top w:val="nil"/>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 xml:space="preserve">563  </w:t>
            </w:r>
          </w:p>
        </w:tc>
      </w:tr>
      <w:tr w:rsidR="00DF2F11" w:rsidRPr="00DF2F11" w:rsidTr="00DF2F11">
        <w:trPr>
          <w:trHeight w:val="347"/>
        </w:trPr>
        <w:tc>
          <w:tcPr>
            <w:tcW w:w="3600" w:type="pct"/>
            <w:tcBorders>
              <w:top w:val="nil"/>
              <w:left w:val="single" w:sz="8" w:space="0" w:color="DFD6CD"/>
              <w:bottom w:val="single" w:sz="8" w:space="0" w:color="DFD6CD"/>
              <w:right w:val="single" w:sz="8" w:space="0" w:color="DFD6CD"/>
            </w:tcBorders>
            <w:shd w:val="clear" w:color="auto" w:fill="auto"/>
            <w:noWrap/>
            <w:vAlign w:val="center"/>
            <w:hideMark/>
          </w:tcPr>
          <w:p w:rsidR="00DF2F11" w:rsidRPr="00DF2F11" w:rsidRDefault="00DF2F11" w:rsidP="00DF2F11">
            <w:pPr>
              <w:spacing w:after="0" w:line="240" w:lineRule="auto"/>
              <w:rPr>
                <w:rFonts w:ascii="Times New Roman"/>
                <w:sz w:val="16"/>
                <w:szCs w:val="16"/>
                <w:lang w:val="it-IT"/>
              </w:rPr>
            </w:pPr>
            <w:r w:rsidRPr="00DF2F11">
              <w:rPr>
                <w:rFonts w:ascii="Times New Roman"/>
                <w:sz w:val="16"/>
                <w:szCs w:val="16"/>
                <w:lang w:val="it-IT"/>
              </w:rPr>
              <w:t>(Aumento) / diminuzione dei crediti per imposte anticipate</w:t>
            </w:r>
          </w:p>
        </w:tc>
        <w:tc>
          <w:tcPr>
            <w:tcW w:w="700" w:type="pct"/>
            <w:tcBorders>
              <w:top w:val="nil"/>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(1)</w:t>
            </w:r>
          </w:p>
        </w:tc>
        <w:tc>
          <w:tcPr>
            <w:tcW w:w="700" w:type="pct"/>
            <w:tcBorders>
              <w:top w:val="nil"/>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 xml:space="preserve">-  </w:t>
            </w:r>
          </w:p>
        </w:tc>
      </w:tr>
      <w:tr w:rsidR="00DF2F11" w:rsidRPr="00DF2F11" w:rsidTr="00DF2F11">
        <w:trPr>
          <w:trHeight w:val="347"/>
        </w:trPr>
        <w:tc>
          <w:tcPr>
            <w:tcW w:w="3600" w:type="pct"/>
            <w:tcBorders>
              <w:top w:val="nil"/>
              <w:left w:val="single" w:sz="8" w:space="0" w:color="DFD6CD"/>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rPr>
                <w:rFonts w:ascii="Times New Roman"/>
                <w:color w:val="000000"/>
                <w:sz w:val="16"/>
                <w:szCs w:val="16"/>
                <w:lang w:val="it-IT"/>
              </w:rPr>
            </w:pPr>
            <w:r w:rsidRPr="00DF2F11">
              <w:rPr>
                <w:rFonts w:ascii="Times New Roman"/>
                <w:color w:val="000000"/>
                <w:sz w:val="16"/>
                <w:szCs w:val="16"/>
                <w:lang w:val="it-IT"/>
              </w:rPr>
              <w:t>Aumento / (diminuzione) dei debiti commerciali ed altri debiti correnti</w:t>
            </w:r>
          </w:p>
        </w:tc>
        <w:tc>
          <w:tcPr>
            <w:tcW w:w="700" w:type="pct"/>
            <w:tcBorders>
              <w:top w:val="nil"/>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1.179</w:t>
            </w:r>
          </w:p>
        </w:tc>
        <w:tc>
          <w:tcPr>
            <w:tcW w:w="700" w:type="pct"/>
            <w:tcBorders>
              <w:top w:val="nil"/>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 xml:space="preserve">2.940  </w:t>
            </w:r>
          </w:p>
        </w:tc>
      </w:tr>
      <w:tr w:rsidR="00DF2F11" w:rsidRPr="00DF2F11" w:rsidTr="00DF2F11">
        <w:trPr>
          <w:trHeight w:val="347"/>
        </w:trPr>
        <w:tc>
          <w:tcPr>
            <w:tcW w:w="3600" w:type="pct"/>
            <w:tcBorders>
              <w:top w:val="nil"/>
              <w:left w:val="single" w:sz="8" w:space="0" w:color="DFD6CD"/>
              <w:bottom w:val="single" w:sz="8" w:space="0" w:color="DFD6CD"/>
              <w:right w:val="single" w:sz="8" w:space="0" w:color="DFD6CD"/>
            </w:tcBorders>
            <w:shd w:val="clear" w:color="auto" w:fill="auto"/>
            <w:noWrap/>
            <w:vAlign w:val="center"/>
            <w:hideMark/>
          </w:tcPr>
          <w:p w:rsidR="00DF2F11" w:rsidRPr="00DF2F11" w:rsidRDefault="00DF2F11" w:rsidP="00DF2F11">
            <w:pPr>
              <w:spacing w:after="0" w:line="240" w:lineRule="auto"/>
              <w:rPr>
                <w:rFonts w:ascii="Times New Roman"/>
                <w:sz w:val="16"/>
                <w:szCs w:val="16"/>
                <w:lang w:val="it-IT"/>
              </w:rPr>
            </w:pPr>
            <w:r w:rsidRPr="00DF2F11">
              <w:rPr>
                <w:rFonts w:ascii="Times New Roman"/>
                <w:sz w:val="16"/>
                <w:szCs w:val="16"/>
                <w:lang w:val="it-IT"/>
              </w:rPr>
              <w:t>Aumento / (diminuzione) dei debiti tributari correnti</w:t>
            </w:r>
          </w:p>
        </w:tc>
        <w:tc>
          <w:tcPr>
            <w:tcW w:w="700" w:type="pct"/>
            <w:tcBorders>
              <w:top w:val="nil"/>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(22)</w:t>
            </w:r>
          </w:p>
        </w:tc>
        <w:tc>
          <w:tcPr>
            <w:tcW w:w="700" w:type="pct"/>
            <w:tcBorders>
              <w:top w:val="nil"/>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 xml:space="preserve">55  </w:t>
            </w:r>
          </w:p>
        </w:tc>
      </w:tr>
      <w:tr w:rsidR="00DF2F11" w:rsidRPr="00DF2F11" w:rsidTr="00DF2F11">
        <w:trPr>
          <w:trHeight w:val="347"/>
        </w:trPr>
        <w:tc>
          <w:tcPr>
            <w:tcW w:w="3600" w:type="pct"/>
            <w:tcBorders>
              <w:top w:val="nil"/>
              <w:left w:val="single" w:sz="8" w:space="0" w:color="DFD6CD"/>
              <w:bottom w:val="single" w:sz="8" w:space="0" w:color="AC9B85"/>
              <w:right w:val="single" w:sz="8" w:space="0" w:color="DFD6CD"/>
            </w:tcBorders>
            <w:shd w:val="clear" w:color="auto" w:fill="auto"/>
            <w:vAlign w:val="center"/>
            <w:hideMark/>
          </w:tcPr>
          <w:p w:rsidR="00DF2F11" w:rsidRPr="00DF2F11" w:rsidRDefault="00DF2F11" w:rsidP="00DF2F11">
            <w:pPr>
              <w:spacing w:after="0" w:line="240" w:lineRule="auto"/>
              <w:rPr>
                <w:rFonts w:ascii="Times New Roman"/>
                <w:color w:val="000000"/>
                <w:sz w:val="16"/>
                <w:szCs w:val="16"/>
                <w:lang w:val="it-IT"/>
              </w:rPr>
            </w:pPr>
            <w:r w:rsidRPr="00DF2F11">
              <w:rPr>
                <w:rFonts w:ascii="Times New Roman"/>
                <w:sz w:val="16"/>
                <w:szCs w:val="16"/>
                <w:lang w:val="it-IT"/>
              </w:rPr>
              <w:t>Aumento / (diminuzione) dei debiti commerciali ed altri debiti non correnti</w:t>
            </w:r>
          </w:p>
        </w:tc>
        <w:tc>
          <w:tcPr>
            <w:tcW w:w="700" w:type="pct"/>
            <w:tcBorders>
              <w:top w:val="nil"/>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364</w:t>
            </w:r>
          </w:p>
        </w:tc>
        <w:tc>
          <w:tcPr>
            <w:tcW w:w="700" w:type="pct"/>
            <w:tcBorders>
              <w:top w:val="nil"/>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 xml:space="preserve">91 </w:t>
            </w:r>
          </w:p>
        </w:tc>
      </w:tr>
      <w:tr w:rsidR="00DF2F11" w:rsidRPr="00DF2F11" w:rsidTr="00DF2F11">
        <w:trPr>
          <w:trHeight w:val="347"/>
        </w:trPr>
        <w:tc>
          <w:tcPr>
            <w:tcW w:w="3600" w:type="pct"/>
            <w:tcBorders>
              <w:top w:val="nil"/>
              <w:left w:val="single" w:sz="8" w:space="0" w:color="AC9B85"/>
              <w:bottom w:val="single" w:sz="8" w:space="0" w:color="AC9B85"/>
              <w:right w:val="single" w:sz="8" w:space="0" w:color="AC9B85"/>
            </w:tcBorders>
            <w:shd w:val="clear" w:color="000000" w:fill="DFD6CD"/>
            <w:vAlign w:val="center"/>
            <w:hideMark/>
          </w:tcPr>
          <w:p w:rsidR="00DF2F11" w:rsidRPr="00DF2F11" w:rsidRDefault="00DF2F11" w:rsidP="00DF2F11">
            <w:pPr>
              <w:spacing w:after="0" w:line="240" w:lineRule="auto"/>
              <w:rPr>
                <w:rFonts w:ascii="Times New Roman"/>
                <w:b/>
                <w:bCs/>
                <w:color w:val="60512F"/>
                <w:sz w:val="16"/>
                <w:szCs w:val="16"/>
                <w:lang w:val="it-IT"/>
              </w:rPr>
            </w:pPr>
            <w:r w:rsidRPr="00DF2F11">
              <w:rPr>
                <w:rFonts w:ascii="Times New Roman"/>
                <w:b/>
                <w:bCs/>
                <w:color w:val="60512F"/>
                <w:sz w:val="16"/>
                <w:szCs w:val="16"/>
                <w:lang w:val="it-IT"/>
              </w:rPr>
              <w:t>Flussi finanziari netti (impieghi) da attività operative</w:t>
            </w:r>
          </w:p>
        </w:tc>
        <w:tc>
          <w:tcPr>
            <w:tcW w:w="700" w:type="pct"/>
            <w:tcBorders>
              <w:top w:val="single" w:sz="8" w:space="0" w:color="A99983"/>
              <w:left w:val="single" w:sz="8" w:space="0" w:color="A99983"/>
              <w:bottom w:val="single" w:sz="8" w:space="0" w:color="AC9B85"/>
              <w:right w:val="single" w:sz="8" w:space="0" w:color="A99983"/>
            </w:tcBorders>
            <w:shd w:val="clear" w:color="000000" w:fill="DFD6CD"/>
            <w:vAlign w:val="center"/>
          </w:tcPr>
          <w:p w:rsidR="00DF2F11" w:rsidRPr="00DF2F11" w:rsidRDefault="00DF2F11" w:rsidP="00DF2F11">
            <w:pPr>
              <w:spacing w:after="0" w:line="240" w:lineRule="auto"/>
              <w:ind w:firstLineChars="100" w:firstLine="161"/>
              <w:jc w:val="right"/>
              <w:rPr>
                <w:rFonts w:ascii="Times New Roman"/>
                <w:b/>
                <w:bCs/>
                <w:color w:val="60512F"/>
                <w:sz w:val="16"/>
                <w:szCs w:val="16"/>
                <w:lang w:val="it-IT"/>
              </w:rPr>
            </w:pPr>
            <w:r w:rsidRPr="00DF2F11">
              <w:rPr>
                <w:rFonts w:ascii="Times New Roman"/>
                <w:b/>
                <w:bCs/>
                <w:color w:val="60512F"/>
                <w:sz w:val="16"/>
                <w:szCs w:val="16"/>
                <w:lang w:val="it-IT"/>
              </w:rPr>
              <w:t>21.598</w:t>
            </w:r>
          </w:p>
        </w:tc>
        <w:tc>
          <w:tcPr>
            <w:tcW w:w="700" w:type="pct"/>
            <w:tcBorders>
              <w:top w:val="single" w:sz="8" w:space="0" w:color="A99983"/>
              <w:left w:val="nil"/>
              <w:bottom w:val="single" w:sz="8" w:space="0" w:color="AC9B85"/>
              <w:right w:val="single" w:sz="8" w:space="0" w:color="A99983"/>
            </w:tcBorders>
            <w:shd w:val="clear" w:color="000000" w:fill="DFD6CD"/>
            <w:vAlign w:val="center"/>
            <w:hideMark/>
          </w:tcPr>
          <w:p w:rsidR="00DF2F11" w:rsidRPr="00DF2F11" w:rsidRDefault="00DF2F11" w:rsidP="00DF2F11">
            <w:pPr>
              <w:spacing w:after="0" w:line="240" w:lineRule="auto"/>
              <w:ind w:firstLineChars="100" w:firstLine="161"/>
              <w:jc w:val="right"/>
              <w:rPr>
                <w:rFonts w:ascii="Times New Roman"/>
                <w:b/>
                <w:bCs/>
                <w:color w:val="60512F"/>
                <w:sz w:val="16"/>
                <w:szCs w:val="16"/>
                <w:lang w:val="it-IT"/>
              </w:rPr>
            </w:pPr>
            <w:r w:rsidRPr="00DF2F11">
              <w:rPr>
                <w:rFonts w:ascii="Times New Roman"/>
                <w:b/>
                <w:bCs/>
                <w:color w:val="60512F"/>
                <w:sz w:val="16"/>
                <w:szCs w:val="16"/>
                <w:lang w:val="it-IT"/>
              </w:rPr>
              <w:t>19.897</w:t>
            </w:r>
          </w:p>
        </w:tc>
      </w:tr>
      <w:tr w:rsidR="00DF2F11" w:rsidRPr="00DF2F11" w:rsidTr="00DF2F11">
        <w:trPr>
          <w:trHeight w:val="347"/>
        </w:trPr>
        <w:tc>
          <w:tcPr>
            <w:tcW w:w="3600" w:type="pct"/>
            <w:tcBorders>
              <w:top w:val="single" w:sz="8" w:space="0" w:color="C4BD97"/>
              <w:left w:val="single" w:sz="8" w:space="0" w:color="C4BD97"/>
              <w:bottom w:val="nil"/>
              <w:right w:val="nil"/>
            </w:tcBorders>
            <w:shd w:val="clear" w:color="000000" w:fill="AC9B85"/>
            <w:vAlign w:val="center"/>
            <w:hideMark/>
          </w:tcPr>
          <w:p w:rsidR="00DF2F11" w:rsidRPr="00DF2F11" w:rsidRDefault="00DF2F11" w:rsidP="00DF2F11">
            <w:pPr>
              <w:spacing w:after="0" w:line="240" w:lineRule="auto"/>
              <w:rPr>
                <w:rFonts w:ascii="Times New Roman"/>
                <w:b/>
                <w:bCs/>
                <w:color w:val="FFFFFF"/>
                <w:sz w:val="16"/>
                <w:szCs w:val="16"/>
                <w:lang w:val="it-IT"/>
              </w:rPr>
            </w:pPr>
            <w:r w:rsidRPr="00DF2F11">
              <w:rPr>
                <w:rFonts w:ascii="Times New Roman"/>
                <w:b/>
                <w:bCs/>
                <w:color w:val="FFFFFF"/>
                <w:sz w:val="16"/>
                <w:szCs w:val="16"/>
                <w:lang w:val="it-IT"/>
              </w:rPr>
              <w:t>Attività di investimento</w:t>
            </w:r>
          </w:p>
        </w:tc>
        <w:tc>
          <w:tcPr>
            <w:tcW w:w="700" w:type="pct"/>
            <w:tcBorders>
              <w:top w:val="nil"/>
              <w:left w:val="nil"/>
              <w:bottom w:val="nil"/>
              <w:right w:val="nil"/>
            </w:tcBorders>
            <w:shd w:val="clear" w:color="000000" w:fill="AC9B85"/>
            <w:vAlign w:val="center"/>
          </w:tcPr>
          <w:p w:rsidR="00DF2F11" w:rsidRPr="00DF2F11" w:rsidRDefault="00DF2F11" w:rsidP="00DF2F11">
            <w:pPr>
              <w:spacing w:after="0" w:line="240" w:lineRule="auto"/>
              <w:rPr>
                <w:rFonts w:ascii="Times New Roman"/>
                <w:b/>
                <w:bCs/>
                <w:color w:val="FFFFFF"/>
                <w:sz w:val="24"/>
                <w:szCs w:val="24"/>
                <w:lang w:val="it-IT"/>
              </w:rPr>
            </w:pPr>
          </w:p>
        </w:tc>
        <w:tc>
          <w:tcPr>
            <w:tcW w:w="700" w:type="pct"/>
            <w:tcBorders>
              <w:top w:val="nil"/>
              <w:left w:val="nil"/>
              <w:bottom w:val="nil"/>
              <w:right w:val="nil"/>
            </w:tcBorders>
            <w:shd w:val="clear" w:color="000000" w:fill="AC9B85"/>
            <w:vAlign w:val="center"/>
            <w:hideMark/>
          </w:tcPr>
          <w:p w:rsidR="00DF2F11" w:rsidRPr="00DF2F11" w:rsidRDefault="00DF2F11" w:rsidP="00DF2F11">
            <w:pPr>
              <w:spacing w:after="0" w:line="240" w:lineRule="auto"/>
              <w:rPr>
                <w:rFonts w:ascii="Times New Roman"/>
                <w:b/>
                <w:bCs/>
                <w:color w:val="FFFFFF"/>
                <w:sz w:val="24"/>
                <w:szCs w:val="24"/>
                <w:lang w:val="it-IT"/>
              </w:rPr>
            </w:pPr>
            <w:r w:rsidRPr="00DF2F11">
              <w:rPr>
                <w:rFonts w:ascii="Times New Roman"/>
                <w:b/>
                <w:bCs/>
                <w:color w:val="FFFFFF"/>
                <w:sz w:val="24"/>
                <w:szCs w:val="24"/>
                <w:lang w:val="it-IT"/>
              </w:rPr>
              <w:t> </w:t>
            </w:r>
          </w:p>
        </w:tc>
      </w:tr>
      <w:tr w:rsidR="00DF2F11" w:rsidRPr="00DF2F11" w:rsidTr="00DF2F11">
        <w:trPr>
          <w:trHeight w:val="347"/>
        </w:trPr>
        <w:tc>
          <w:tcPr>
            <w:tcW w:w="3600" w:type="pct"/>
            <w:tcBorders>
              <w:top w:val="single" w:sz="8" w:space="0" w:color="DFD6CD"/>
              <w:left w:val="single" w:sz="8" w:space="0" w:color="DFD6CD"/>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rPr>
                <w:rFonts w:ascii="Times New Roman"/>
                <w:color w:val="000000"/>
                <w:sz w:val="16"/>
                <w:szCs w:val="16"/>
                <w:lang w:val="it-IT"/>
              </w:rPr>
            </w:pPr>
            <w:r w:rsidRPr="00DF2F11">
              <w:rPr>
                <w:rFonts w:ascii="Times New Roman"/>
                <w:color w:val="000000"/>
                <w:sz w:val="16"/>
                <w:szCs w:val="16"/>
                <w:lang w:val="it-IT"/>
              </w:rPr>
              <w:t>(Acquisto) / dismissione di investimenti immobiliari</w:t>
            </w:r>
          </w:p>
        </w:tc>
        <w:tc>
          <w:tcPr>
            <w:tcW w:w="700" w:type="pct"/>
            <w:tcBorders>
              <w:top w:val="single" w:sz="8" w:space="0" w:color="DFD6CD"/>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18.159</w:t>
            </w:r>
          </w:p>
        </w:tc>
        <w:tc>
          <w:tcPr>
            <w:tcW w:w="700" w:type="pct"/>
            <w:tcBorders>
              <w:top w:val="single" w:sz="8" w:space="0" w:color="DFD6CD"/>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(105.110)</w:t>
            </w:r>
          </w:p>
        </w:tc>
      </w:tr>
      <w:tr w:rsidR="00DF2F11" w:rsidRPr="00DF2F11" w:rsidTr="00DF2F11">
        <w:trPr>
          <w:trHeight w:val="347"/>
        </w:trPr>
        <w:tc>
          <w:tcPr>
            <w:tcW w:w="3600" w:type="pct"/>
            <w:tcBorders>
              <w:top w:val="nil"/>
              <w:left w:val="single" w:sz="8" w:space="0" w:color="DFD6CD"/>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rPr>
                <w:rFonts w:ascii="Times New Roman"/>
                <w:color w:val="000000"/>
                <w:sz w:val="16"/>
                <w:szCs w:val="16"/>
                <w:lang w:val="it-IT"/>
              </w:rPr>
            </w:pPr>
            <w:r w:rsidRPr="00DF2F11">
              <w:rPr>
                <w:rFonts w:ascii="Times New Roman"/>
                <w:color w:val="000000"/>
                <w:sz w:val="16"/>
                <w:szCs w:val="16"/>
                <w:lang w:val="it-IT"/>
              </w:rPr>
              <w:t>(Acquisto) / dismissione di immobilizzazioni</w:t>
            </w:r>
          </w:p>
        </w:tc>
        <w:tc>
          <w:tcPr>
            <w:tcW w:w="700" w:type="pct"/>
            <w:tcBorders>
              <w:top w:val="nil"/>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(55)</w:t>
            </w:r>
          </w:p>
        </w:tc>
        <w:tc>
          <w:tcPr>
            <w:tcW w:w="700" w:type="pct"/>
            <w:tcBorders>
              <w:top w:val="nil"/>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(383)</w:t>
            </w:r>
          </w:p>
        </w:tc>
      </w:tr>
      <w:tr w:rsidR="00DF2F11" w:rsidRPr="00DF2F11" w:rsidTr="00DF2F11">
        <w:trPr>
          <w:trHeight w:val="347"/>
        </w:trPr>
        <w:tc>
          <w:tcPr>
            <w:tcW w:w="3600" w:type="pct"/>
            <w:tcBorders>
              <w:top w:val="nil"/>
              <w:left w:val="single" w:sz="8" w:space="0" w:color="DFD6CD"/>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rPr>
                <w:rFonts w:ascii="Times New Roman"/>
                <w:color w:val="000000"/>
                <w:sz w:val="16"/>
                <w:szCs w:val="16"/>
                <w:lang w:val="it-IT"/>
              </w:rPr>
            </w:pPr>
            <w:r w:rsidRPr="00DF2F11">
              <w:rPr>
                <w:rFonts w:ascii="Times New Roman"/>
                <w:color w:val="000000"/>
                <w:sz w:val="16"/>
                <w:szCs w:val="16"/>
                <w:lang w:val="it-IT"/>
              </w:rPr>
              <w:t>(Aumento) / diminuzione delle altre attività non correnti</w:t>
            </w:r>
          </w:p>
        </w:tc>
        <w:tc>
          <w:tcPr>
            <w:tcW w:w="700" w:type="pct"/>
            <w:tcBorders>
              <w:top w:val="nil"/>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w:t>
            </w:r>
          </w:p>
        </w:tc>
        <w:tc>
          <w:tcPr>
            <w:tcW w:w="700" w:type="pct"/>
            <w:tcBorders>
              <w:top w:val="nil"/>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 xml:space="preserve">38.000 </w:t>
            </w:r>
          </w:p>
        </w:tc>
      </w:tr>
      <w:tr w:rsidR="00DF2F11" w:rsidRPr="00DF2F11" w:rsidTr="00DF2F11">
        <w:trPr>
          <w:trHeight w:val="347"/>
        </w:trPr>
        <w:tc>
          <w:tcPr>
            <w:tcW w:w="3600" w:type="pct"/>
            <w:tcBorders>
              <w:top w:val="nil"/>
              <w:left w:val="single" w:sz="8" w:space="0" w:color="DFD6CD"/>
              <w:bottom w:val="single" w:sz="8" w:space="0" w:color="DFD6CD"/>
              <w:right w:val="single" w:sz="8" w:space="0" w:color="DFD6CD"/>
            </w:tcBorders>
            <w:shd w:val="clear" w:color="auto" w:fill="auto"/>
            <w:vAlign w:val="center"/>
          </w:tcPr>
          <w:p w:rsidR="00DF2F11" w:rsidRPr="00DF2F11" w:rsidRDefault="00DF2F11" w:rsidP="00DF2F11">
            <w:pPr>
              <w:spacing w:after="0" w:line="240" w:lineRule="auto"/>
              <w:rPr>
                <w:rFonts w:ascii="Times New Roman"/>
                <w:color w:val="000000"/>
                <w:sz w:val="16"/>
                <w:szCs w:val="16"/>
                <w:lang w:val="it-IT"/>
              </w:rPr>
            </w:pPr>
            <w:r w:rsidRPr="00DF2F11">
              <w:rPr>
                <w:rFonts w:ascii="Times New Roman"/>
                <w:color w:val="000000"/>
                <w:sz w:val="16"/>
                <w:szCs w:val="16"/>
                <w:lang w:val="it-IT"/>
              </w:rPr>
              <w:t>(Aumento) / diminuzione delle attività finanziarie</w:t>
            </w:r>
          </w:p>
        </w:tc>
        <w:tc>
          <w:tcPr>
            <w:tcW w:w="700" w:type="pct"/>
            <w:tcBorders>
              <w:top w:val="nil"/>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1.447</w:t>
            </w:r>
          </w:p>
        </w:tc>
        <w:tc>
          <w:tcPr>
            <w:tcW w:w="700" w:type="pct"/>
            <w:tcBorders>
              <w:top w:val="nil"/>
              <w:left w:val="nil"/>
              <w:bottom w:val="single" w:sz="8" w:space="0" w:color="DFD6CD"/>
              <w:right w:val="single" w:sz="8" w:space="0" w:color="DFD6CD"/>
            </w:tcBorders>
            <w:shd w:val="clear" w:color="auto" w:fill="auto"/>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(1.485)</w:t>
            </w:r>
          </w:p>
        </w:tc>
      </w:tr>
      <w:tr w:rsidR="00DF2F11" w:rsidRPr="00DF2F11" w:rsidTr="00DF2F11">
        <w:trPr>
          <w:trHeight w:val="347"/>
        </w:trPr>
        <w:tc>
          <w:tcPr>
            <w:tcW w:w="3600" w:type="pct"/>
            <w:tcBorders>
              <w:top w:val="nil"/>
              <w:left w:val="single" w:sz="8" w:space="0" w:color="DFD6CD"/>
              <w:bottom w:val="single" w:sz="8" w:space="0" w:color="AC9B85"/>
              <w:right w:val="single" w:sz="8" w:space="0" w:color="DFD6CD"/>
            </w:tcBorders>
            <w:shd w:val="clear" w:color="auto" w:fill="auto"/>
            <w:vAlign w:val="center"/>
            <w:hideMark/>
          </w:tcPr>
          <w:p w:rsidR="00DF2F11" w:rsidRPr="00DF2F11" w:rsidRDefault="00DF2F11" w:rsidP="00DF2F11">
            <w:pPr>
              <w:spacing w:after="0" w:line="240" w:lineRule="auto"/>
              <w:rPr>
                <w:rFonts w:ascii="Times New Roman"/>
                <w:color w:val="000000"/>
                <w:sz w:val="16"/>
                <w:szCs w:val="16"/>
                <w:lang w:val="it-IT"/>
              </w:rPr>
            </w:pPr>
            <w:r w:rsidRPr="00DF2F11">
              <w:rPr>
                <w:rFonts w:ascii="Times New Roman"/>
                <w:color w:val="000000"/>
                <w:sz w:val="16"/>
                <w:szCs w:val="16"/>
                <w:lang w:val="it-IT"/>
              </w:rPr>
              <w:t>Acquisizione di società collegate</w:t>
            </w:r>
          </w:p>
        </w:tc>
        <w:tc>
          <w:tcPr>
            <w:tcW w:w="700" w:type="pct"/>
            <w:tcBorders>
              <w:top w:val="nil"/>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(2.197)</w:t>
            </w:r>
          </w:p>
        </w:tc>
        <w:tc>
          <w:tcPr>
            <w:tcW w:w="700" w:type="pct"/>
            <w:tcBorders>
              <w:top w:val="nil"/>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 xml:space="preserve">(643) </w:t>
            </w:r>
          </w:p>
        </w:tc>
      </w:tr>
      <w:tr w:rsidR="00DF2F11" w:rsidRPr="00DF2F11" w:rsidTr="00DF2F11">
        <w:trPr>
          <w:trHeight w:val="347"/>
        </w:trPr>
        <w:tc>
          <w:tcPr>
            <w:tcW w:w="3600" w:type="pct"/>
            <w:tcBorders>
              <w:top w:val="nil"/>
              <w:left w:val="single" w:sz="8" w:space="0" w:color="AC9B85"/>
              <w:bottom w:val="single" w:sz="8" w:space="0" w:color="AC9B85"/>
              <w:right w:val="single" w:sz="8" w:space="0" w:color="AC9B85"/>
            </w:tcBorders>
            <w:shd w:val="clear" w:color="000000" w:fill="DFD6CD"/>
            <w:vAlign w:val="center"/>
            <w:hideMark/>
          </w:tcPr>
          <w:p w:rsidR="00DF2F11" w:rsidRPr="00DF2F11" w:rsidRDefault="00DF2F11" w:rsidP="00DF2F11">
            <w:pPr>
              <w:spacing w:after="0" w:line="240" w:lineRule="auto"/>
              <w:rPr>
                <w:rFonts w:ascii="Times New Roman"/>
                <w:b/>
                <w:bCs/>
                <w:color w:val="60512F"/>
                <w:sz w:val="16"/>
                <w:szCs w:val="16"/>
                <w:lang w:val="it-IT"/>
              </w:rPr>
            </w:pPr>
            <w:r w:rsidRPr="00DF2F11">
              <w:rPr>
                <w:rFonts w:ascii="Times New Roman"/>
                <w:b/>
                <w:bCs/>
                <w:color w:val="60512F"/>
                <w:sz w:val="16"/>
                <w:szCs w:val="16"/>
                <w:lang w:val="it-IT"/>
              </w:rPr>
              <w:t>Flussi finanziari netti (impieghi) da attività d’investimento</w:t>
            </w:r>
          </w:p>
        </w:tc>
        <w:tc>
          <w:tcPr>
            <w:tcW w:w="700" w:type="pct"/>
            <w:tcBorders>
              <w:top w:val="single" w:sz="8" w:space="0" w:color="A99983"/>
              <w:left w:val="single" w:sz="8" w:space="0" w:color="A99983"/>
              <w:bottom w:val="single" w:sz="8" w:space="0" w:color="AC9B85"/>
              <w:right w:val="single" w:sz="8" w:space="0" w:color="A99983"/>
            </w:tcBorders>
            <w:shd w:val="clear" w:color="000000" w:fill="DFD6CD"/>
            <w:vAlign w:val="center"/>
          </w:tcPr>
          <w:p w:rsidR="00DF2F11" w:rsidRPr="00DF2F11" w:rsidRDefault="00DF2F11" w:rsidP="00DF2F11">
            <w:pPr>
              <w:spacing w:after="0" w:line="240" w:lineRule="auto"/>
              <w:ind w:firstLineChars="100" w:firstLine="161"/>
              <w:jc w:val="right"/>
              <w:rPr>
                <w:rFonts w:ascii="Times New Roman"/>
                <w:b/>
                <w:bCs/>
                <w:color w:val="60512F"/>
                <w:sz w:val="16"/>
                <w:szCs w:val="16"/>
                <w:lang w:val="it-IT"/>
              </w:rPr>
            </w:pPr>
            <w:r w:rsidRPr="00DF2F11">
              <w:rPr>
                <w:rFonts w:ascii="Times New Roman"/>
                <w:b/>
                <w:bCs/>
                <w:color w:val="60512F"/>
                <w:sz w:val="16"/>
                <w:szCs w:val="16"/>
                <w:lang w:val="it-IT"/>
              </w:rPr>
              <w:t>17.354</w:t>
            </w:r>
          </w:p>
        </w:tc>
        <w:tc>
          <w:tcPr>
            <w:tcW w:w="700" w:type="pct"/>
            <w:tcBorders>
              <w:top w:val="single" w:sz="8" w:space="0" w:color="A99983"/>
              <w:left w:val="nil"/>
              <w:bottom w:val="single" w:sz="8" w:space="0" w:color="AC9B85"/>
              <w:right w:val="single" w:sz="8" w:space="0" w:color="A99983"/>
            </w:tcBorders>
            <w:shd w:val="clear" w:color="000000" w:fill="DFD6CD"/>
            <w:vAlign w:val="center"/>
            <w:hideMark/>
          </w:tcPr>
          <w:p w:rsidR="00DF2F11" w:rsidRPr="00DF2F11" w:rsidRDefault="00DF2F11" w:rsidP="00DF2F11">
            <w:pPr>
              <w:spacing w:after="0" w:line="240" w:lineRule="auto"/>
              <w:ind w:firstLineChars="100" w:firstLine="161"/>
              <w:jc w:val="right"/>
              <w:rPr>
                <w:rFonts w:ascii="Times New Roman"/>
                <w:b/>
                <w:bCs/>
                <w:color w:val="60512F"/>
                <w:sz w:val="16"/>
                <w:szCs w:val="16"/>
                <w:lang w:val="it-IT"/>
              </w:rPr>
            </w:pPr>
            <w:r w:rsidRPr="00DF2F11">
              <w:rPr>
                <w:rFonts w:ascii="Times New Roman"/>
                <w:b/>
                <w:bCs/>
                <w:color w:val="60512F"/>
                <w:sz w:val="16"/>
                <w:szCs w:val="16"/>
                <w:lang w:val="it-IT"/>
              </w:rPr>
              <w:t>(69.621)</w:t>
            </w:r>
          </w:p>
        </w:tc>
      </w:tr>
      <w:tr w:rsidR="00DF2F11" w:rsidRPr="00DF2F11" w:rsidTr="00DF2F11">
        <w:trPr>
          <w:trHeight w:val="347"/>
        </w:trPr>
        <w:tc>
          <w:tcPr>
            <w:tcW w:w="3600" w:type="pct"/>
            <w:tcBorders>
              <w:top w:val="nil"/>
              <w:left w:val="single" w:sz="8" w:space="0" w:color="C4BD97"/>
              <w:bottom w:val="nil"/>
              <w:right w:val="nil"/>
            </w:tcBorders>
            <w:shd w:val="clear" w:color="000000" w:fill="AC9B85"/>
            <w:vAlign w:val="center"/>
            <w:hideMark/>
          </w:tcPr>
          <w:p w:rsidR="00DF2F11" w:rsidRPr="00DF2F11" w:rsidRDefault="00DF2F11" w:rsidP="00DF2F11">
            <w:pPr>
              <w:spacing w:after="0" w:line="240" w:lineRule="auto"/>
              <w:rPr>
                <w:rFonts w:ascii="Times New Roman"/>
                <w:b/>
                <w:bCs/>
                <w:color w:val="FFFFFF"/>
                <w:sz w:val="16"/>
                <w:szCs w:val="16"/>
                <w:lang w:val="it-IT"/>
              </w:rPr>
            </w:pPr>
            <w:r w:rsidRPr="00DF2F11">
              <w:rPr>
                <w:rFonts w:ascii="Times New Roman"/>
                <w:b/>
                <w:bCs/>
                <w:color w:val="FFFFFF"/>
                <w:sz w:val="16"/>
                <w:szCs w:val="16"/>
                <w:lang w:val="it-IT"/>
              </w:rPr>
              <w:t>Attività di finanziamento</w:t>
            </w:r>
          </w:p>
        </w:tc>
        <w:tc>
          <w:tcPr>
            <w:tcW w:w="700" w:type="pct"/>
            <w:tcBorders>
              <w:top w:val="nil"/>
              <w:left w:val="nil"/>
              <w:bottom w:val="nil"/>
              <w:right w:val="nil"/>
            </w:tcBorders>
            <w:shd w:val="clear" w:color="000000" w:fill="AC9B85"/>
            <w:vAlign w:val="center"/>
          </w:tcPr>
          <w:p w:rsidR="00DF2F11" w:rsidRPr="00DF2F11" w:rsidRDefault="00DF2F11" w:rsidP="00DF2F11">
            <w:pPr>
              <w:spacing w:after="0" w:line="240" w:lineRule="auto"/>
              <w:rPr>
                <w:rFonts w:ascii="Times New Roman"/>
                <w:b/>
                <w:bCs/>
                <w:color w:val="FFFFFF"/>
                <w:sz w:val="24"/>
                <w:szCs w:val="24"/>
                <w:lang w:val="it-IT"/>
              </w:rPr>
            </w:pPr>
          </w:p>
        </w:tc>
        <w:tc>
          <w:tcPr>
            <w:tcW w:w="700" w:type="pct"/>
            <w:tcBorders>
              <w:top w:val="nil"/>
              <w:left w:val="nil"/>
              <w:bottom w:val="nil"/>
              <w:right w:val="nil"/>
            </w:tcBorders>
            <w:shd w:val="clear" w:color="000000" w:fill="AC9B85"/>
            <w:vAlign w:val="center"/>
            <w:hideMark/>
          </w:tcPr>
          <w:p w:rsidR="00DF2F11" w:rsidRPr="00DF2F11" w:rsidRDefault="00DF2F11" w:rsidP="00DF2F11">
            <w:pPr>
              <w:spacing w:after="0" w:line="240" w:lineRule="auto"/>
              <w:rPr>
                <w:rFonts w:ascii="Times New Roman"/>
                <w:b/>
                <w:bCs/>
                <w:color w:val="FFFFFF"/>
                <w:sz w:val="24"/>
                <w:szCs w:val="24"/>
                <w:lang w:val="it-IT"/>
              </w:rPr>
            </w:pPr>
            <w:r w:rsidRPr="00DF2F11">
              <w:rPr>
                <w:rFonts w:ascii="Times New Roman"/>
                <w:b/>
                <w:bCs/>
                <w:color w:val="FFFFFF"/>
                <w:sz w:val="24"/>
                <w:szCs w:val="24"/>
                <w:lang w:val="it-IT"/>
              </w:rPr>
              <w:t> </w:t>
            </w:r>
          </w:p>
        </w:tc>
      </w:tr>
      <w:tr w:rsidR="00DF2F11" w:rsidRPr="00DF2F11" w:rsidTr="00DF2F11">
        <w:trPr>
          <w:trHeight w:val="347"/>
        </w:trPr>
        <w:tc>
          <w:tcPr>
            <w:tcW w:w="3600" w:type="pct"/>
            <w:tcBorders>
              <w:top w:val="single" w:sz="8" w:space="0" w:color="DFD6CD"/>
              <w:left w:val="single" w:sz="8" w:space="0" w:color="DFD6CD"/>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rPr>
                <w:rFonts w:ascii="Times New Roman"/>
                <w:color w:val="000000"/>
                <w:sz w:val="16"/>
                <w:szCs w:val="16"/>
                <w:lang w:val="it-IT"/>
              </w:rPr>
            </w:pPr>
            <w:r w:rsidRPr="00DF2F11">
              <w:rPr>
                <w:rFonts w:ascii="Times New Roman"/>
                <w:color w:val="000000"/>
                <w:sz w:val="16"/>
                <w:szCs w:val="16"/>
                <w:lang w:val="it-IT"/>
              </w:rPr>
              <w:t>Versamento soci / (pagamento dividendi)</w:t>
            </w:r>
          </w:p>
        </w:tc>
        <w:tc>
          <w:tcPr>
            <w:tcW w:w="700" w:type="pct"/>
            <w:tcBorders>
              <w:top w:val="single" w:sz="8" w:space="0" w:color="DFD6CD"/>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(10.082)</w:t>
            </w:r>
          </w:p>
        </w:tc>
        <w:tc>
          <w:tcPr>
            <w:tcW w:w="700" w:type="pct"/>
            <w:tcBorders>
              <w:top w:val="single" w:sz="8" w:space="0" w:color="DFD6CD"/>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(7.308)</w:t>
            </w:r>
          </w:p>
        </w:tc>
      </w:tr>
      <w:tr w:rsidR="00DF2F11" w:rsidRPr="00DF2F11" w:rsidTr="00DF2F11">
        <w:trPr>
          <w:trHeight w:val="347"/>
        </w:trPr>
        <w:tc>
          <w:tcPr>
            <w:tcW w:w="3600" w:type="pct"/>
            <w:tcBorders>
              <w:top w:val="nil"/>
              <w:left w:val="single" w:sz="8" w:space="0" w:color="DFD6CD"/>
              <w:bottom w:val="single" w:sz="8" w:space="0" w:color="DFD6CD"/>
              <w:right w:val="single" w:sz="8" w:space="0" w:color="DFD6CD"/>
            </w:tcBorders>
            <w:shd w:val="clear" w:color="auto" w:fill="auto"/>
            <w:noWrap/>
            <w:vAlign w:val="center"/>
            <w:hideMark/>
          </w:tcPr>
          <w:p w:rsidR="00DF2F11" w:rsidRPr="00DF2F11" w:rsidRDefault="00DF2F11" w:rsidP="00DF2F11">
            <w:pPr>
              <w:spacing w:after="0" w:line="240" w:lineRule="auto"/>
              <w:rPr>
                <w:rFonts w:ascii="Times New Roman"/>
                <w:sz w:val="16"/>
                <w:szCs w:val="16"/>
                <w:lang w:val="it-IT"/>
              </w:rPr>
            </w:pPr>
            <w:r w:rsidRPr="00DF2F11">
              <w:rPr>
                <w:rFonts w:ascii="Times New Roman"/>
                <w:sz w:val="16"/>
                <w:szCs w:val="16"/>
                <w:lang w:val="it-IT"/>
              </w:rPr>
              <w:t>Dividendi pagati agli azionisti di minoranza</w:t>
            </w:r>
          </w:p>
        </w:tc>
        <w:tc>
          <w:tcPr>
            <w:tcW w:w="700" w:type="pct"/>
            <w:tcBorders>
              <w:top w:val="nil"/>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(591)</w:t>
            </w:r>
          </w:p>
        </w:tc>
        <w:tc>
          <w:tcPr>
            <w:tcW w:w="700" w:type="pct"/>
            <w:tcBorders>
              <w:top w:val="nil"/>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(999)</w:t>
            </w:r>
          </w:p>
        </w:tc>
      </w:tr>
      <w:tr w:rsidR="00DF2F11" w:rsidRPr="00DF2F11" w:rsidTr="00DF2F11">
        <w:trPr>
          <w:trHeight w:val="347"/>
        </w:trPr>
        <w:tc>
          <w:tcPr>
            <w:tcW w:w="3600" w:type="pct"/>
            <w:tcBorders>
              <w:top w:val="nil"/>
              <w:left w:val="single" w:sz="8" w:space="0" w:color="DFD6CD"/>
              <w:bottom w:val="single" w:sz="8" w:space="0" w:color="DFD6CD"/>
              <w:right w:val="single" w:sz="8" w:space="0" w:color="DFD6CD"/>
            </w:tcBorders>
            <w:shd w:val="clear" w:color="auto" w:fill="auto"/>
            <w:noWrap/>
            <w:vAlign w:val="center"/>
            <w:hideMark/>
          </w:tcPr>
          <w:p w:rsidR="00DF2F11" w:rsidRPr="00DF2F11" w:rsidRDefault="00DF2F11" w:rsidP="00DF2F11">
            <w:pPr>
              <w:spacing w:after="0" w:line="240" w:lineRule="auto"/>
              <w:rPr>
                <w:rFonts w:ascii="Times New Roman"/>
                <w:sz w:val="16"/>
                <w:szCs w:val="16"/>
                <w:lang w:val="it-IT"/>
              </w:rPr>
            </w:pPr>
            <w:r w:rsidRPr="00DF2F11">
              <w:rPr>
                <w:rFonts w:ascii="Times New Roman"/>
                <w:sz w:val="16"/>
                <w:szCs w:val="16"/>
                <w:lang w:val="it-IT"/>
              </w:rPr>
              <w:t>(Acquisto) / chiusura strumenti finanziari derivati</w:t>
            </w:r>
          </w:p>
        </w:tc>
        <w:tc>
          <w:tcPr>
            <w:tcW w:w="700" w:type="pct"/>
            <w:tcBorders>
              <w:top w:val="nil"/>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(1.224)</w:t>
            </w:r>
          </w:p>
        </w:tc>
        <w:tc>
          <w:tcPr>
            <w:tcW w:w="700" w:type="pct"/>
            <w:tcBorders>
              <w:top w:val="nil"/>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(736)</w:t>
            </w:r>
          </w:p>
        </w:tc>
      </w:tr>
      <w:tr w:rsidR="00DF2F11" w:rsidRPr="00DF2F11" w:rsidTr="00DF2F11">
        <w:trPr>
          <w:trHeight w:val="347"/>
        </w:trPr>
        <w:tc>
          <w:tcPr>
            <w:tcW w:w="3600" w:type="pct"/>
            <w:tcBorders>
              <w:top w:val="nil"/>
              <w:left w:val="single" w:sz="8" w:space="0" w:color="DFD6CD"/>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rPr>
                <w:rFonts w:ascii="Times New Roman"/>
                <w:color w:val="000000"/>
                <w:sz w:val="16"/>
                <w:szCs w:val="16"/>
                <w:lang w:val="it-IT"/>
              </w:rPr>
            </w:pPr>
            <w:r w:rsidRPr="00DF2F11">
              <w:rPr>
                <w:rFonts w:ascii="Times New Roman"/>
                <w:color w:val="000000"/>
                <w:sz w:val="16"/>
                <w:szCs w:val="16"/>
                <w:lang w:val="it-IT"/>
              </w:rPr>
              <w:t>Aumento / (diminuzione) debiti verso banche e altri finanziatori non correnti</w:t>
            </w:r>
          </w:p>
        </w:tc>
        <w:tc>
          <w:tcPr>
            <w:tcW w:w="700" w:type="pct"/>
            <w:tcBorders>
              <w:top w:val="nil"/>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99.452</w:t>
            </w:r>
          </w:p>
        </w:tc>
        <w:tc>
          <w:tcPr>
            <w:tcW w:w="700" w:type="pct"/>
            <w:tcBorders>
              <w:top w:val="nil"/>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 xml:space="preserve">19.770 </w:t>
            </w:r>
          </w:p>
        </w:tc>
      </w:tr>
      <w:tr w:rsidR="00DF2F11" w:rsidRPr="00DF2F11" w:rsidTr="00DF2F11">
        <w:trPr>
          <w:trHeight w:val="347"/>
        </w:trPr>
        <w:tc>
          <w:tcPr>
            <w:tcW w:w="3600" w:type="pct"/>
            <w:tcBorders>
              <w:top w:val="nil"/>
              <w:left w:val="single" w:sz="8" w:space="0" w:color="DFD6CD"/>
              <w:bottom w:val="single" w:sz="8" w:space="0" w:color="AC9B85"/>
              <w:right w:val="single" w:sz="8" w:space="0" w:color="DFD6CD"/>
            </w:tcBorders>
            <w:shd w:val="clear" w:color="auto" w:fill="auto"/>
            <w:vAlign w:val="center"/>
            <w:hideMark/>
          </w:tcPr>
          <w:p w:rsidR="00DF2F11" w:rsidRPr="00DF2F11" w:rsidRDefault="00DF2F11" w:rsidP="00DF2F11">
            <w:pPr>
              <w:spacing w:after="0" w:line="240" w:lineRule="auto"/>
              <w:rPr>
                <w:rFonts w:ascii="Times New Roman"/>
                <w:color w:val="000000"/>
                <w:sz w:val="16"/>
                <w:szCs w:val="16"/>
                <w:lang w:val="it-IT"/>
              </w:rPr>
            </w:pPr>
            <w:r w:rsidRPr="00DF2F11">
              <w:rPr>
                <w:rFonts w:ascii="Times New Roman"/>
                <w:color w:val="000000"/>
                <w:sz w:val="16"/>
                <w:szCs w:val="16"/>
                <w:lang w:val="it-IT"/>
              </w:rPr>
              <w:t>Rimborso di finanziamenti</w:t>
            </w:r>
          </w:p>
        </w:tc>
        <w:tc>
          <w:tcPr>
            <w:tcW w:w="700" w:type="pct"/>
            <w:tcBorders>
              <w:top w:val="nil"/>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(71.328)</w:t>
            </w:r>
          </w:p>
        </w:tc>
        <w:tc>
          <w:tcPr>
            <w:tcW w:w="700" w:type="pct"/>
            <w:tcBorders>
              <w:top w:val="nil"/>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(47.063)</w:t>
            </w:r>
          </w:p>
        </w:tc>
      </w:tr>
      <w:tr w:rsidR="00DF2F11" w:rsidRPr="00DF2F11" w:rsidTr="00DF2F11">
        <w:trPr>
          <w:trHeight w:val="347"/>
        </w:trPr>
        <w:tc>
          <w:tcPr>
            <w:tcW w:w="3600" w:type="pct"/>
            <w:tcBorders>
              <w:top w:val="nil"/>
              <w:left w:val="single" w:sz="8" w:space="0" w:color="AC9B85"/>
              <w:bottom w:val="single" w:sz="8" w:space="0" w:color="AC9B85"/>
              <w:right w:val="single" w:sz="8" w:space="0" w:color="AC9B85"/>
            </w:tcBorders>
            <w:shd w:val="clear" w:color="000000" w:fill="DFD6CD"/>
            <w:vAlign w:val="center"/>
            <w:hideMark/>
          </w:tcPr>
          <w:p w:rsidR="00DF2F11" w:rsidRPr="00DF2F11" w:rsidRDefault="00DF2F11" w:rsidP="00DF2F11">
            <w:pPr>
              <w:spacing w:after="0" w:line="240" w:lineRule="auto"/>
              <w:rPr>
                <w:rFonts w:ascii="Times New Roman"/>
                <w:b/>
                <w:bCs/>
                <w:color w:val="60512F"/>
                <w:sz w:val="16"/>
                <w:szCs w:val="16"/>
                <w:lang w:val="it-IT"/>
              </w:rPr>
            </w:pPr>
            <w:r w:rsidRPr="00DF2F11">
              <w:rPr>
                <w:rFonts w:ascii="Times New Roman"/>
                <w:b/>
                <w:bCs/>
                <w:color w:val="60512F"/>
                <w:sz w:val="16"/>
                <w:szCs w:val="16"/>
                <w:lang w:val="it-IT"/>
              </w:rPr>
              <w:t>Flussi finanziari netti (impieghi) da attività di finanziamento</w:t>
            </w:r>
          </w:p>
        </w:tc>
        <w:tc>
          <w:tcPr>
            <w:tcW w:w="700" w:type="pct"/>
            <w:tcBorders>
              <w:top w:val="single" w:sz="8" w:space="0" w:color="A99983"/>
              <w:left w:val="single" w:sz="8" w:space="0" w:color="A99983"/>
              <w:bottom w:val="single" w:sz="8" w:space="0" w:color="AC9B85"/>
              <w:right w:val="single" w:sz="8" w:space="0" w:color="A99983"/>
            </w:tcBorders>
            <w:shd w:val="clear" w:color="000000" w:fill="DFD6CD"/>
            <w:vAlign w:val="center"/>
          </w:tcPr>
          <w:p w:rsidR="00DF2F11" w:rsidRPr="00DF2F11" w:rsidRDefault="00DF2F11" w:rsidP="00DF2F11">
            <w:pPr>
              <w:spacing w:after="0" w:line="240" w:lineRule="auto"/>
              <w:ind w:firstLineChars="100" w:firstLine="161"/>
              <w:jc w:val="right"/>
              <w:rPr>
                <w:rFonts w:ascii="Times New Roman"/>
                <w:b/>
                <w:bCs/>
                <w:color w:val="60512F"/>
                <w:sz w:val="16"/>
                <w:szCs w:val="16"/>
                <w:lang w:val="it-IT"/>
              </w:rPr>
            </w:pPr>
            <w:r w:rsidRPr="00DF2F11">
              <w:rPr>
                <w:rFonts w:ascii="Times New Roman"/>
                <w:b/>
                <w:bCs/>
                <w:color w:val="60512F"/>
                <w:sz w:val="16"/>
                <w:szCs w:val="16"/>
                <w:lang w:val="it-IT"/>
              </w:rPr>
              <w:t>16.277</w:t>
            </w:r>
          </w:p>
        </w:tc>
        <w:tc>
          <w:tcPr>
            <w:tcW w:w="700" w:type="pct"/>
            <w:tcBorders>
              <w:top w:val="single" w:sz="8" w:space="0" w:color="A99983"/>
              <w:left w:val="nil"/>
              <w:bottom w:val="single" w:sz="8" w:space="0" w:color="AC9B85"/>
              <w:right w:val="single" w:sz="8" w:space="0" w:color="A99983"/>
            </w:tcBorders>
            <w:shd w:val="clear" w:color="000000" w:fill="DFD6CD"/>
            <w:vAlign w:val="center"/>
            <w:hideMark/>
          </w:tcPr>
          <w:p w:rsidR="00DF2F11" w:rsidRPr="00DF2F11" w:rsidRDefault="00DF2F11" w:rsidP="00DF2F11">
            <w:pPr>
              <w:spacing w:after="0" w:line="240" w:lineRule="auto"/>
              <w:ind w:firstLineChars="100" w:firstLine="161"/>
              <w:jc w:val="right"/>
              <w:rPr>
                <w:rFonts w:ascii="Times New Roman"/>
                <w:b/>
                <w:bCs/>
                <w:color w:val="60512F"/>
                <w:sz w:val="16"/>
                <w:szCs w:val="16"/>
                <w:lang w:val="it-IT"/>
              </w:rPr>
            </w:pPr>
            <w:r w:rsidRPr="00DF2F11">
              <w:rPr>
                <w:rFonts w:ascii="Times New Roman"/>
                <w:b/>
                <w:bCs/>
                <w:color w:val="60512F"/>
                <w:sz w:val="16"/>
                <w:szCs w:val="16"/>
                <w:lang w:val="it-IT"/>
              </w:rPr>
              <w:t>(36.336)</w:t>
            </w:r>
          </w:p>
        </w:tc>
      </w:tr>
      <w:tr w:rsidR="00DF2F11" w:rsidRPr="00DF2F11" w:rsidTr="00DF2F11">
        <w:trPr>
          <w:trHeight w:val="347"/>
        </w:trPr>
        <w:tc>
          <w:tcPr>
            <w:tcW w:w="3600" w:type="pct"/>
            <w:tcBorders>
              <w:top w:val="nil"/>
              <w:left w:val="single" w:sz="8" w:space="0" w:color="DFD6CD"/>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rPr>
                <w:rFonts w:ascii="Times New Roman"/>
                <w:color w:val="000000"/>
                <w:sz w:val="16"/>
                <w:szCs w:val="16"/>
                <w:lang w:val="it-IT"/>
              </w:rPr>
            </w:pPr>
            <w:r w:rsidRPr="00DF2F11">
              <w:rPr>
                <w:rFonts w:ascii="Times New Roman"/>
                <w:color w:val="000000"/>
                <w:sz w:val="16"/>
                <w:szCs w:val="16"/>
                <w:lang w:val="it-IT"/>
              </w:rPr>
              <w:t>(Diminuzione) / incremento netto delle disponibilità liquide e depositi a breve termine</w:t>
            </w:r>
          </w:p>
        </w:tc>
        <w:tc>
          <w:tcPr>
            <w:tcW w:w="700" w:type="pct"/>
            <w:tcBorders>
              <w:top w:val="single" w:sz="8" w:space="0" w:color="DFD6CD"/>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55.179</w:t>
            </w:r>
          </w:p>
        </w:tc>
        <w:tc>
          <w:tcPr>
            <w:tcW w:w="700" w:type="pct"/>
            <w:tcBorders>
              <w:top w:val="single" w:sz="8" w:space="0" w:color="DFD6CD"/>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(86.060)</w:t>
            </w:r>
          </w:p>
        </w:tc>
      </w:tr>
      <w:tr w:rsidR="00DF2F11" w:rsidRPr="00DF2F11" w:rsidTr="00DF2F11">
        <w:trPr>
          <w:trHeight w:val="347"/>
        </w:trPr>
        <w:tc>
          <w:tcPr>
            <w:tcW w:w="3600" w:type="pct"/>
            <w:tcBorders>
              <w:top w:val="nil"/>
              <w:left w:val="single" w:sz="8" w:space="0" w:color="DFD6CD"/>
              <w:bottom w:val="single" w:sz="8" w:space="0" w:color="AC9B85"/>
              <w:right w:val="single" w:sz="8" w:space="0" w:color="DFD6CD"/>
            </w:tcBorders>
            <w:shd w:val="clear" w:color="auto" w:fill="auto"/>
            <w:vAlign w:val="center"/>
            <w:hideMark/>
          </w:tcPr>
          <w:p w:rsidR="00DF2F11" w:rsidRPr="00DF2F11" w:rsidRDefault="00DF2F11" w:rsidP="00DF2F11">
            <w:pPr>
              <w:spacing w:after="0" w:line="240" w:lineRule="auto"/>
              <w:rPr>
                <w:rFonts w:ascii="Times New Roman"/>
                <w:color w:val="000000"/>
                <w:sz w:val="16"/>
                <w:szCs w:val="16"/>
                <w:lang w:val="it-IT"/>
              </w:rPr>
            </w:pPr>
            <w:r w:rsidRPr="00DF2F11">
              <w:rPr>
                <w:rFonts w:ascii="Times New Roman"/>
                <w:color w:val="000000"/>
                <w:sz w:val="16"/>
                <w:szCs w:val="16"/>
                <w:lang w:val="it-IT"/>
              </w:rPr>
              <w:t>Disponibilità liquide e depositi a breve termine all'inizio del periodo</w:t>
            </w:r>
          </w:p>
        </w:tc>
        <w:tc>
          <w:tcPr>
            <w:tcW w:w="700" w:type="pct"/>
            <w:tcBorders>
              <w:top w:val="nil"/>
              <w:left w:val="nil"/>
              <w:bottom w:val="single" w:sz="8" w:space="0" w:color="DFD6CD"/>
              <w:right w:val="single" w:sz="8" w:space="0" w:color="DFD6CD"/>
            </w:tcBorders>
            <w:shd w:val="clear" w:color="000000" w:fill="F9F6F1"/>
            <w:vAlign w:val="center"/>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27.042</w:t>
            </w:r>
          </w:p>
        </w:tc>
        <w:tc>
          <w:tcPr>
            <w:tcW w:w="700" w:type="pct"/>
            <w:tcBorders>
              <w:top w:val="nil"/>
              <w:left w:val="nil"/>
              <w:bottom w:val="single" w:sz="8" w:space="0" w:color="DFD6CD"/>
              <w:right w:val="single" w:sz="8" w:space="0" w:color="DFD6CD"/>
            </w:tcBorders>
            <w:shd w:val="clear" w:color="auto" w:fill="auto"/>
            <w:vAlign w:val="center"/>
            <w:hideMark/>
          </w:tcPr>
          <w:p w:rsidR="00DF2F11" w:rsidRPr="00DF2F11" w:rsidRDefault="00DF2F11" w:rsidP="00DF2F11">
            <w:pPr>
              <w:spacing w:after="0" w:line="240" w:lineRule="auto"/>
              <w:ind w:firstLineChars="100" w:firstLine="160"/>
              <w:jc w:val="right"/>
              <w:rPr>
                <w:rFonts w:ascii="Times New Roman"/>
                <w:color w:val="000000"/>
                <w:sz w:val="16"/>
                <w:szCs w:val="16"/>
                <w:lang w:val="it-IT"/>
              </w:rPr>
            </w:pPr>
            <w:r w:rsidRPr="00DF2F11">
              <w:rPr>
                <w:rFonts w:ascii="Times New Roman"/>
                <w:color w:val="000000"/>
                <w:sz w:val="16"/>
                <w:szCs w:val="16"/>
                <w:lang w:val="it-IT"/>
              </w:rPr>
              <w:t>113.102</w:t>
            </w:r>
          </w:p>
        </w:tc>
      </w:tr>
      <w:tr w:rsidR="00DF2F11" w:rsidRPr="00DF2F11" w:rsidTr="00DF2F11">
        <w:trPr>
          <w:trHeight w:val="347"/>
        </w:trPr>
        <w:tc>
          <w:tcPr>
            <w:tcW w:w="3600" w:type="pct"/>
            <w:tcBorders>
              <w:top w:val="nil"/>
              <w:left w:val="single" w:sz="8" w:space="0" w:color="AC9B85"/>
              <w:bottom w:val="single" w:sz="8" w:space="0" w:color="AC9B85"/>
              <w:right w:val="single" w:sz="8" w:space="0" w:color="AC9B85"/>
            </w:tcBorders>
            <w:shd w:val="clear" w:color="000000" w:fill="DFD6CD"/>
            <w:vAlign w:val="center"/>
            <w:hideMark/>
          </w:tcPr>
          <w:p w:rsidR="00DF2F11" w:rsidRPr="00DF2F11" w:rsidRDefault="00DF2F11" w:rsidP="00DF2F11">
            <w:pPr>
              <w:spacing w:after="0" w:line="240" w:lineRule="auto"/>
              <w:rPr>
                <w:rFonts w:ascii="Times New Roman"/>
                <w:b/>
                <w:bCs/>
                <w:color w:val="60512F"/>
                <w:sz w:val="16"/>
                <w:szCs w:val="16"/>
                <w:lang w:val="it-IT"/>
              </w:rPr>
            </w:pPr>
            <w:r w:rsidRPr="00DF2F11">
              <w:rPr>
                <w:rFonts w:ascii="Times New Roman"/>
                <w:b/>
                <w:bCs/>
                <w:color w:val="60512F"/>
                <w:sz w:val="16"/>
                <w:szCs w:val="16"/>
                <w:lang w:val="it-IT"/>
              </w:rPr>
              <w:t>Disponibilità liquide e depositi a breve termine alla fine del periodo</w:t>
            </w:r>
          </w:p>
        </w:tc>
        <w:tc>
          <w:tcPr>
            <w:tcW w:w="700" w:type="pct"/>
            <w:tcBorders>
              <w:top w:val="single" w:sz="8" w:space="0" w:color="A99983"/>
              <w:left w:val="single" w:sz="8" w:space="0" w:color="A99983"/>
              <w:bottom w:val="single" w:sz="8" w:space="0" w:color="AC9B85"/>
              <w:right w:val="single" w:sz="8" w:space="0" w:color="A99983"/>
            </w:tcBorders>
            <w:shd w:val="clear" w:color="000000" w:fill="DFD6CD"/>
            <w:vAlign w:val="center"/>
          </w:tcPr>
          <w:p w:rsidR="00DF2F11" w:rsidRPr="00DF2F11" w:rsidRDefault="00DF2F11" w:rsidP="00DF2F11">
            <w:pPr>
              <w:spacing w:after="0" w:line="240" w:lineRule="auto"/>
              <w:ind w:firstLineChars="100" w:firstLine="161"/>
              <w:jc w:val="right"/>
              <w:rPr>
                <w:rFonts w:ascii="Times New Roman"/>
                <w:b/>
                <w:bCs/>
                <w:color w:val="60512F"/>
                <w:sz w:val="16"/>
                <w:szCs w:val="16"/>
                <w:lang w:val="it-IT"/>
              </w:rPr>
            </w:pPr>
            <w:r w:rsidRPr="00DF2F11">
              <w:rPr>
                <w:rFonts w:ascii="Times New Roman"/>
                <w:b/>
                <w:bCs/>
                <w:color w:val="60512F"/>
                <w:sz w:val="16"/>
                <w:szCs w:val="16"/>
                <w:lang w:val="it-IT"/>
              </w:rPr>
              <w:t>82.221</w:t>
            </w:r>
          </w:p>
        </w:tc>
        <w:tc>
          <w:tcPr>
            <w:tcW w:w="700" w:type="pct"/>
            <w:tcBorders>
              <w:top w:val="single" w:sz="8" w:space="0" w:color="A99983"/>
              <w:left w:val="nil"/>
              <w:bottom w:val="single" w:sz="8" w:space="0" w:color="AC9B85"/>
              <w:right w:val="single" w:sz="8" w:space="0" w:color="A99983"/>
            </w:tcBorders>
            <w:shd w:val="clear" w:color="000000" w:fill="DFD6CD"/>
            <w:vAlign w:val="center"/>
            <w:hideMark/>
          </w:tcPr>
          <w:p w:rsidR="00DF2F11" w:rsidRPr="00DF2F11" w:rsidRDefault="00DF2F11" w:rsidP="00DF2F11">
            <w:pPr>
              <w:spacing w:after="0" w:line="240" w:lineRule="auto"/>
              <w:ind w:firstLineChars="100" w:firstLine="161"/>
              <w:jc w:val="right"/>
              <w:rPr>
                <w:rFonts w:ascii="Times New Roman"/>
                <w:b/>
                <w:bCs/>
                <w:color w:val="60512F"/>
                <w:sz w:val="16"/>
                <w:szCs w:val="16"/>
                <w:lang w:val="it-IT"/>
              </w:rPr>
            </w:pPr>
            <w:r w:rsidRPr="00DF2F11">
              <w:rPr>
                <w:rFonts w:ascii="Times New Roman"/>
                <w:b/>
                <w:bCs/>
                <w:color w:val="60512F"/>
                <w:sz w:val="16"/>
                <w:szCs w:val="16"/>
                <w:lang w:val="it-IT"/>
              </w:rPr>
              <w:t>27.042</w:t>
            </w:r>
          </w:p>
        </w:tc>
      </w:tr>
    </w:tbl>
    <w:p w:rsidR="00DF1AFD" w:rsidRDefault="00DF1AFD" w:rsidP="00DF1AFD">
      <w:pPr>
        <w:jc w:val="center"/>
        <w:rPr>
          <w:rFonts w:ascii="Arial" w:hAnsi="Arial" w:cs="Arial"/>
          <w:b/>
          <w:lang w:val="it-IT"/>
        </w:rPr>
      </w:pPr>
      <w:r w:rsidRPr="00DF1AFD">
        <w:rPr>
          <w:rFonts w:ascii="Arial" w:hAnsi="Arial" w:cs="Arial"/>
          <w:b/>
          <w:lang w:val="it-IT"/>
        </w:rPr>
        <w:lastRenderedPageBreak/>
        <w:t xml:space="preserve">PROSPETTO DELL’UTILE/(PERDITA) </w:t>
      </w:r>
      <w:r>
        <w:rPr>
          <w:rFonts w:ascii="Arial" w:hAnsi="Arial" w:cs="Arial"/>
          <w:b/>
          <w:lang w:val="it-IT"/>
        </w:rPr>
        <w:t>D’ESERCIZIO</w:t>
      </w:r>
    </w:p>
    <w:p w:rsidR="00DF1AFD" w:rsidRPr="00DF1AFD" w:rsidRDefault="00DF1AFD" w:rsidP="00DF1AFD">
      <w:pPr>
        <w:jc w:val="center"/>
        <w:rPr>
          <w:rFonts w:ascii="Arial" w:hAnsi="Arial" w:cs="Arial"/>
          <w:b/>
          <w:lang w:val="it-IT"/>
        </w:rPr>
      </w:pPr>
    </w:p>
    <w:tbl>
      <w:tblPr>
        <w:tblW w:w="5000" w:type="pct"/>
        <w:tblLook w:val="04A0"/>
      </w:tblPr>
      <w:tblGrid>
        <w:gridCol w:w="3856"/>
        <w:gridCol w:w="1502"/>
        <w:gridCol w:w="1502"/>
        <w:gridCol w:w="1502"/>
        <w:gridCol w:w="1492"/>
      </w:tblGrid>
      <w:tr w:rsidR="00DF1AFD" w:rsidRPr="00DF1AFD" w:rsidTr="002C4783">
        <w:trPr>
          <w:trHeight w:val="300"/>
        </w:trPr>
        <w:tc>
          <w:tcPr>
            <w:tcW w:w="1957" w:type="pct"/>
            <w:vMerge w:val="restart"/>
            <w:tcBorders>
              <w:top w:val="single" w:sz="8" w:space="0" w:color="DFD6CD"/>
              <w:left w:val="single" w:sz="8" w:space="0" w:color="DFD6CD"/>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rPr>
                <w:rFonts w:ascii="Times New Roman"/>
                <w:b/>
                <w:bCs/>
                <w:color w:val="000000"/>
                <w:sz w:val="16"/>
                <w:szCs w:val="16"/>
                <w:lang w:val="it-IT"/>
              </w:rPr>
            </w:pPr>
            <w:bookmarkStart w:id="3" w:name="_Hlk506453064"/>
            <w:r w:rsidRPr="00DF1AFD">
              <w:rPr>
                <w:rFonts w:ascii="Times New Roman"/>
                <w:b/>
                <w:bCs/>
                <w:color w:val="000000"/>
                <w:sz w:val="16"/>
                <w:szCs w:val="16"/>
                <w:lang w:val="it-IT"/>
              </w:rPr>
              <w:t xml:space="preserve">(Euro) </w:t>
            </w:r>
          </w:p>
        </w:tc>
        <w:tc>
          <w:tcPr>
            <w:tcW w:w="762" w:type="pct"/>
            <w:vMerge w:val="restart"/>
            <w:tcBorders>
              <w:top w:val="single" w:sz="8" w:space="0" w:color="C4BD97"/>
              <w:left w:val="nil"/>
              <w:bottom w:val="single" w:sz="8" w:space="0" w:color="C4BD97"/>
              <w:right w:val="nil"/>
            </w:tcBorders>
            <w:shd w:val="clear" w:color="000000" w:fill="AC9B85"/>
            <w:vAlign w:val="center"/>
            <w:hideMark/>
          </w:tcPr>
          <w:p w:rsidR="00DF1AFD" w:rsidRDefault="00DF1AFD" w:rsidP="00DF1AFD">
            <w:pPr>
              <w:spacing w:after="0" w:line="240" w:lineRule="auto"/>
              <w:jc w:val="center"/>
              <w:rPr>
                <w:rFonts w:ascii="Times New Roman"/>
                <w:b/>
                <w:bCs/>
                <w:color w:val="FFFFFF"/>
                <w:sz w:val="16"/>
                <w:szCs w:val="16"/>
                <w:lang w:val="it-IT"/>
              </w:rPr>
            </w:pPr>
            <w:r w:rsidRPr="00DF1AFD">
              <w:rPr>
                <w:rFonts w:ascii="Times New Roman"/>
                <w:b/>
                <w:bCs/>
                <w:color w:val="FFFFFF"/>
                <w:sz w:val="16"/>
                <w:szCs w:val="16"/>
                <w:lang w:val="it-IT"/>
              </w:rPr>
              <w:t>31 dicembre 2018</w:t>
            </w:r>
          </w:p>
          <w:p w:rsidR="00DF1AFD" w:rsidRPr="00DF1AFD" w:rsidRDefault="00DF1AFD" w:rsidP="00DF1AFD">
            <w:pPr>
              <w:spacing w:after="0" w:line="240" w:lineRule="auto"/>
              <w:jc w:val="center"/>
              <w:rPr>
                <w:rFonts w:ascii="Times New Roman"/>
                <w:b/>
                <w:bCs/>
                <w:color w:val="FFFFFF"/>
                <w:sz w:val="16"/>
                <w:szCs w:val="16"/>
                <w:lang w:val="it-IT"/>
              </w:rPr>
            </w:pPr>
            <w:r>
              <w:rPr>
                <w:rFonts w:ascii="Times New Roman"/>
                <w:b/>
                <w:bCs/>
                <w:color w:val="FFFFFF"/>
                <w:sz w:val="16"/>
                <w:szCs w:val="16"/>
                <w:lang w:val="it-IT"/>
              </w:rPr>
              <w:t>(dati non revisionati)</w:t>
            </w:r>
          </w:p>
        </w:tc>
        <w:tc>
          <w:tcPr>
            <w:tcW w:w="762" w:type="pct"/>
            <w:vMerge w:val="restart"/>
            <w:tcBorders>
              <w:top w:val="single" w:sz="8" w:space="0" w:color="C4BD97"/>
              <w:left w:val="nil"/>
              <w:bottom w:val="single" w:sz="8" w:space="0" w:color="C4BD97"/>
              <w:right w:val="single" w:sz="8" w:space="0" w:color="C4BD97"/>
            </w:tcBorders>
            <w:shd w:val="clear" w:color="000000" w:fill="AC9B85"/>
            <w:vAlign w:val="center"/>
            <w:hideMark/>
          </w:tcPr>
          <w:p w:rsidR="00DF1AFD" w:rsidRPr="00DF1AFD" w:rsidRDefault="00DF1AFD" w:rsidP="00DF1AFD">
            <w:pPr>
              <w:spacing w:after="0" w:line="240" w:lineRule="auto"/>
              <w:jc w:val="center"/>
              <w:rPr>
                <w:rFonts w:ascii="Times New Roman"/>
                <w:b/>
                <w:bCs/>
                <w:i/>
                <w:iCs/>
                <w:color w:val="FFFFFF"/>
                <w:sz w:val="16"/>
                <w:szCs w:val="16"/>
                <w:lang w:val="it-IT"/>
              </w:rPr>
            </w:pPr>
            <w:r w:rsidRPr="00DF1AFD">
              <w:rPr>
                <w:rFonts w:ascii="Times New Roman"/>
                <w:b/>
                <w:bCs/>
                <w:i/>
                <w:iCs/>
                <w:color w:val="FFFFFF"/>
                <w:sz w:val="16"/>
                <w:szCs w:val="16"/>
                <w:lang w:val="it-IT"/>
              </w:rPr>
              <w:t>di cui parti correlate</w:t>
            </w:r>
          </w:p>
        </w:tc>
        <w:tc>
          <w:tcPr>
            <w:tcW w:w="762" w:type="pct"/>
            <w:vMerge w:val="restart"/>
            <w:tcBorders>
              <w:top w:val="single" w:sz="8" w:space="0" w:color="C4BD97"/>
              <w:left w:val="nil"/>
              <w:bottom w:val="single" w:sz="8" w:space="0" w:color="C4BD97"/>
              <w:right w:val="nil"/>
            </w:tcBorders>
            <w:shd w:val="clear" w:color="000000" w:fill="AC9B85"/>
            <w:vAlign w:val="center"/>
            <w:hideMark/>
          </w:tcPr>
          <w:p w:rsidR="00DF1AFD" w:rsidRPr="00DF1AFD" w:rsidRDefault="00DF1AFD" w:rsidP="00DF1AFD">
            <w:pPr>
              <w:spacing w:after="0" w:line="240" w:lineRule="auto"/>
              <w:jc w:val="center"/>
              <w:rPr>
                <w:rFonts w:ascii="Times New Roman"/>
                <w:b/>
                <w:bCs/>
                <w:color w:val="FFFFFF"/>
                <w:sz w:val="16"/>
                <w:szCs w:val="16"/>
                <w:lang w:val="it-IT"/>
              </w:rPr>
            </w:pPr>
            <w:r w:rsidRPr="00DF1AFD">
              <w:rPr>
                <w:rFonts w:ascii="Times New Roman"/>
                <w:b/>
                <w:bCs/>
                <w:color w:val="FFFFFF"/>
                <w:sz w:val="16"/>
                <w:szCs w:val="16"/>
                <w:lang w:val="it-IT"/>
              </w:rPr>
              <w:t>31 dicembre 2017</w:t>
            </w:r>
          </w:p>
        </w:tc>
        <w:tc>
          <w:tcPr>
            <w:tcW w:w="757" w:type="pct"/>
            <w:vMerge w:val="restart"/>
            <w:tcBorders>
              <w:top w:val="single" w:sz="8" w:space="0" w:color="C4BD97"/>
              <w:left w:val="nil"/>
              <w:bottom w:val="single" w:sz="8" w:space="0" w:color="C4BD97"/>
              <w:right w:val="single" w:sz="8" w:space="0" w:color="C4BD97"/>
            </w:tcBorders>
            <w:shd w:val="clear" w:color="000000" w:fill="AC9B85"/>
            <w:vAlign w:val="center"/>
            <w:hideMark/>
          </w:tcPr>
          <w:p w:rsidR="00DF1AFD" w:rsidRPr="00DF1AFD" w:rsidRDefault="00DF1AFD" w:rsidP="00DF1AFD">
            <w:pPr>
              <w:spacing w:after="0" w:line="240" w:lineRule="auto"/>
              <w:jc w:val="center"/>
              <w:rPr>
                <w:rFonts w:ascii="Times New Roman"/>
                <w:b/>
                <w:bCs/>
                <w:i/>
                <w:iCs/>
                <w:color w:val="FFFFFF"/>
                <w:sz w:val="16"/>
                <w:szCs w:val="16"/>
                <w:lang w:val="it-IT"/>
              </w:rPr>
            </w:pPr>
            <w:r w:rsidRPr="00DF1AFD">
              <w:rPr>
                <w:rFonts w:ascii="Times New Roman"/>
                <w:b/>
                <w:bCs/>
                <w:i/>
                <w:iCs/>
                <w:color w:val="FFFFFF"/>
                <w:sz w:val="16"/>
                <w:szCs w:val="16"/>
                <w:lang w:val="it-IT"/>
              </w:rPr>
              <w:t>di cui parti correlate</w:t>
            </w:r>
          </w:p>
        </w:tc>
      </w:tr>
      <w:tr w:rsidR="00DF1AFD" w:rsidRPr="00DF1AFD" w:rsidTr="002C4783">
        <w:trPr>
          <w:trHeight w:val="450"/>
        </w:trPr>
        <w:tc>
          <w:tcPr>
            <w:tcW w:w="1957" w:type="pct"/>
            <w:vMerge/>
            <w:tcBorders>
              <w:top w:val="single" w:sz="8" w:space="0" w:color="DFD6CD"/>
              <w:left w:val="single" w:sz="8" w:space="0" w:color="DFD6CD"/>
              <w:bottom w:val="single" w:sz="8" w:space="0" w:color="DFD6CD"/>
              <w:right w:val="single" w:sz="8" w:space="0" w:color="DFD6CD"/>
            </w:tcBorders>
            <w:vAlign w:val="center"/>
            <w:hideMark/>
          </w:tcPr>
          <w:p w:rsidR="00DF1AFD" w:rsidRPr="00DF1AFD" w:rsidRDefault="00DF1AFD" w:rsidP="00DF1AFD">
            <w:pPr>
              <w:spacing w:after="0" w:line="240" w:lineRule="auto"/>
              <w:rPr>
                <w:rFonts w:ascii="Times New Roman"/>
                <w:b/>
                <w:bCs/>
                <w:color w:val="000000"/>
                <w:sz w:val="16"/>
                <w:szCs w:val="16"/>
                <w:lang w:val="it-IT"/>
              </w:rPr>
            </w:pPr>
          </w:p>
        </w:tc>
        <w:tc>
          <w:tcPr>
            <w:tcW w:w="762" w:type="pct"/>
            <w:vMerge/>
            <w:tcBorders>
              <w:top w:val="single" w:sz="8" w:space="0" w:color="C4BD97"/>
              <w:left w:val="nil"/>
              <w:bottom w:val="single" w:sz="8" w:space="0" w:color="C4BD97"/>
              <w:right w:val="nil"/>
            </w:tcBorders>
            <w:vAlign w:val="center"/>
            <w:hideMark/>
          </w:tcPr>
          <w:p w:rsidR="00DF1AFD" w:rsidRPr="00DF1AFD" w:rsidRDefault="00DF1AFD" w:rsidP="00DF1AFD">
            <w:pPr>
              <w:spacing w:after="0" w:line="240" w:lineRule="auto"/>
              <w:rPr>
                <w:rFonts w:ascii="Times New Roman"/>
                <w:b/>
                <w:bCs/>
                <w:color w:val="FFFFFF"/>
                <w:sz w:val="16"/>
                <w:szCs w:val="16"/>
                <w:lang w:val="it-IT"/>
              </w:rPr>
            </w:pPr>
          </w:p>
        </w:tc>
        <w:tc>
          <w:tcPr>
            <w:tcW w:w="762" w:type="pct"/>
            <w:vMerge/>
            <w:tcBorders>
              <w:top w:val="single" w:sz="8" w:space="0" w:color="C4BD97"/>
              <w:left w:val="nil"/>
              <w:bottom w:val="single" w:sz="8" w:space="0" w:color="C4BD97"/>
              <w:right w:val="single" w:sz="8" w:space="0" w:color="C4BD97"/>
            </w:tcBorders>
            <w:vAlign w:val="center"/>
            <w:hideMark/>
          </w:tcPr>
          <w:p w:rsidR="00DF1AFD" w:rsidRPr="00DF1AFD" w:rsidRDefault="00DF1AFD" w:rsidP="00DF1AFD">
            <w:pPr>
              <w:spacing w:after="0" w:line="240" w:lineRule="auto"/>
              <w:rPr>
                <w:rFonts w:ascii="Times New Roman"/>
                <w:b/>
                <w:bCs/>
                <w:i/>
                <w:iCs/>
                <w:color w:val="FFFFFF"/>
                <w:sz w:val="16"/>
                <w:szCs w:val="16"/>
                <w:lang w:val="it-IT"/>
              </w:rPr>
            </w:pPr>
          </w:p>
        </w:tc>
        <w:tc>
          <w:tcPr>
            <w:tcW w:w="762" w:type="pct"/>
            <w:vMerge/>
            <w:tcBorders>
              <w:top w:val="single" w:sz="8" w:space="0" w:color="C4BD97"/>
              <w:left w:val="nil"/>
              <w:bottom w:val="single" w:sz="8" w:space="0" w:color="C4BD97"/>
              <w:right w:val="nil"/>
            </w:tcBorders>
            <w:vAlign w:val="center"/>
            <w:hideMark/>
          </w:tcPr>
          <w:p w:rsidR="00DF1AFD" w:rsidRPr="00DF1AFD" w:rsidRDefault="00DF1AFD" w:rsidP="00DF1AFD">
            <w:pPr>
              <w:spacing w:after="0" w:line="240" w:lineRule="auto"/>
              <w:rPr>
                <w:rFonts w:ascii="Times New Roman"/>
                <w:b/>
                <w:bCs/>
                <w:color w:val="FFFFFF"/>
                <w:sz w:val="16"/>
                <w:szCs w:val="16"/>
                <w:lang w:val="it-IT"/>
              </w:rPr>
            </w:pPr>
          </w:p>
        </w:tc>
        <w:tc>
          <w:tcPr>
            <w:tcW w:w="757" w:type="pct"/>
            <w:vMerge/>
            <w:tcBorders>
              <w:top w:val="single" w:sz="8" w:space="0" w:color="C4BD97"/>
              <w:left w:val="nil"/>
              <w:bottom w:val="single" w:sz="8" w:space="0" w:color="C4BD97"/>
              <w:right w:val="single" w:sz="8" w:space="0" w:color="C4BD97"/>
            </w:tcBorders>
            <w:vAlign w:val="center"/>
            <w:hideMark/>
          </w:tcPr>
          <w:p w:rsidR="00DF1AFD" w:rsidRPr="00DF1AFD" w:rsidRDefault="00DF1AFD" w:rsidP="00DF1AFD">
            <w:pPr>
              <w:spacing w:after="0" w:line="240" w:lineRule="auto"/>
              <w:rPr>
                <w:rFonts w:ascii="Times New Roman"/>
                <w:b/>
                <w:bCs/>
                <w:i/>
                <w:iCs/>
                <w:color w:val="FFFFFF"/>
                <w:sz w:val="16"/>
                <w:szCs w:val="16"/>
                <w:lang w:val="it-IT"/>
              </w:rPr>
            </w:pPr>
          </w:p>
        </w:tc>
      </w:tr>
      <w:tr w:rsidR="00DF1AFD" w:rsidRPr="00DF1AFD" w:rsidTr="002C4783">
        <w:trPr>
          <w:trHeight w:val="435"/>
        </w:trPr>
        <w:tc>
          <w:tcPr>
            <w:tcW w:w="1957" w:type="pct"/>
            <w:tcBorders>
              <w:top w:val="single" w:sz="8" w:space="0" w:color="C4BD97"/>
              <w:left w:val="single" w:sz="8" w:space="0" w:color="C4BD97"/>
              <w:bottom w:val="single" w:sz="8" w:space="0" w:color="C4BD97"/>
              <w:right w:val="nil"/>
            </w:tcBorders>
            <w:shd w:val="clear" w:color="000000" w:fill="AC9B85"/>
            <w:vAlign w:val="center"/>
            <w:hideMark/>
          </w:tcPr>
          <w:p w:rsidR="00DF1AFD" w:rsidRPr="00DF1AFD" w:rsidRDefault="00DF1AFD" w:rsidP="00DF1AFD">
            <w:pPr>
              <w:spacing w:after="0" w:line="240" w:lineRule="auto"/>
              <w:rPr>
                <w:rFonts w:ascii="Times New Roman"/>
                <w:b/>
                <w:bCs/>
                <w:color w:val="FFFFFF"/>
                <w:sz w:val="16"/>
                <w:szCs w:val="16"/>
                <w:lang w:val="it-IT"/>
              </w:rPr>
            </w:pPr>
            <w:r w:rsidRPr="00DF1AFD">
              <w:rPr>
                <w:rFonts w:ascii="Times New Roman"/>
                <w:b/>
                <w:bCs/>
                <w:color w:val="FFFFFF"/>
                <w:sz w:val="16"/>
                <w:szCs w:val="16"/>
                <w:lang w:val="it-IT"/>
              </w:rPr>
              <w:t xml:space="preserve"> Conto Economico</w:t>
            </w:r>
          </w:p>
        </w:tc>
        <w:tc>
          <w:tcPr>
            <w:tcW w:w="762" w:type="pct"/>
            <w:tcBorders>
              <w:top w:val="nil"/>
              <w:left w:val="nil"/>
              <w:bottom w:val="single" w:sz="8" w:space="0" w:color="C4BD97"/>
              <w:right w:val="nil"/>
            </w:tcBorders>
            <w:shd w:val="clear" w:color="000000" w:fill="AC9B85"/>
            <w:vAlign w:val="center"/>
            <w:hideMark/>
          </w:tcPr>
          <w:p w:rsidR="00DF1AFD" w:rsidRPr="00DF1AFD" w:rsidRDefault="00DF1AFD" w:rsidP="00DF1AFD">
            <w:pPr>
              <w:spacing w:after="0" w:line="240" w:lineRule="auto"/>
              <w:rPr>
                <w:rFonts w:ascii="Times New Roman"/>
                <w:b/>
                <w:bCs/>
                <w:color w:val="FFFFFF"/>
                <w:sz w:val="16"/>
                <w:szCs w:val="16"/>
                <w:lang w:val="it-IT"/>
              </w:rPr>
            </w:pPr>
            <w:r w:rsidRPr="00DF1AFD">
              <w:rPr>
                <w:rFonts w:ascii="Times New Roman"/>
                <w:b/>
                <w:bCs/>
                <w:color w:val="FFFFFF"/>
                <w:sz w:val="16"/>
                <w:szCs w:val="16"/>
                <w:lang w:val="it-IT"/>
              </w:rPr>
              <w:t> </w:t>
            </w:r>
          </w:p>
        </w:tc>
        <w:tc>
          <w:tcPr>
            <w:tcW w:w="762" w:type="pct"/>
            <w:tcBorders>
              <w:top w:val="nil"/>
              <w:left w:val="nil"/>
              <w:bottom w:val="single" w:sz="8" w:space="0" w:color="C4BD97"/>
              <w:right w:val="nil"/>
            </w:tcBorders>
            <w:shd w:val="clear" w:color="000000" w:fill="AC9B85"/>
            <w:vAlign w:val="center"/>
            <w:hideMark/>
          </w:tcPr>
          <w:p w:rsidR="00DF1AFD" w:rsidRPr="00DF1AFD" w:rsidRDefault="00DF1AFD" w:rsidP="00DF1AFD">
            <w:pPr>
              <w:spacing w:after="0" w:line="240" w:lineRule="auto"/>
              <w:rPr>
                <w:rFonts w:ascii="Times New Roman"/>
                <w:b/>
                <w:bCs/>
                <w:color w:val="FFFFFF"/>
                <w:sz w:val="16"/>
                <w:szCs w:val="16"/>
                <w:lang w:val="it-IT"/>
              </w:rPr>
            </w:pPr>
            <w:r w:rsidRPr="00DF1AFD">
              <w:rPr>
                <w:rFonts w:ascii="Times New Roman"/>
                <w:b/>
                <w:bCs/>
                <w:color w:val="FFFFFF"/>
                <w:sz w:val="16"/>
                <w:szCs w:val="16"/>
                <w:lang w:val="it-IT"/>
              </w:rPr>
              <w:t> </w:t>
            </w:r>
          </w:p>
        </w:tc>
        <w:tc>
          <w:tcPr>
            <w:tcW w:w="762" w:type="pct"/>
            <w:tcBorders>
              <w:top w:val="nil"/>
              <w:left w:val="nil"/>
              <w:bottom w:val="single" w:sz="8" w:space="0" w:color="C4BD97"/>
              <w:right w:val="nil"/>
            </w:tcBorders>
            <w:shd w:val="clear" w:color="000000" w:fill="AC9B85"/>
            <w:vAlign w:val="center"/>
            <w:hideMark/>
          </w:tcPr>
          <w:p w:rsidR="00DF1AFD" w:rsidRPr="00DF1AFD" w:rsidRDefault="00DF1AFD" w:rsidP="00DF1AFD">
            <w:pPr>
              <w:spacing w:after="0" w:line="240" w:lineRule="auto"/>
              <w:rPr>
                <w:rFonts w:ascii="Times New Roman"/>
                <w:b/>
                <w:bCs/>
                <w:color w:val="FFFFFF"/>
                <w:sz w:val="16"/>
                <w:szCs w:val="16"/>
                <w:lang w:val="it-IT"/>
              </w:rPr>
            </w:pPr>
            <w:r w:rsidRPr="00DF1AFD">
              <w:rPr>
                <w:rFonts w:ascii="Times New Roman"/>
                <w:b/>
                <w:bCs/>
                <w:color w:val="FFFFFF"/>
                <w:sz w:val="16"/>
                <w:szCs w:val="16"/>
                <w:lang w:val="it-IT"/>
              </w:rPr>
              <w:t> </w:t>
            </w:r>
          </w:p>
        </w:tc>
        <w:tc>
          <w:tcPr>
            <w:tcW w:w="757" w:type="pct"/>
            <w:tcBorders>
              <w:top w:val="nil"/>
              <w:left w:val="nil"/>
              <w:bottom w:val="single" w:sz="8" w:space="0" w:color="C4BD97"/>
              <w:right w:val="single" w:sz="8" w:space="0" w:color="C4BD97"/>
            </w:tcBorders>
            <w:shd w:val="clear" w:color="000000" w:fill="AC9B85"/>
            <w:vAlign w:val="center"/>
            <w:hideMark/>
          </w:tcPr>
          <w:p w:rsidR="00DF1AFD" w:rsidRPr="00DF1AFD" w:rsidRDefault="00DF1AFD" w:rsidP="00DF1AFD">
            <w:pPr>
              <w:spacing w:after="0" w:line="240" w:lineRule="auto"/>
              <w:rPr>
                <w:rFonts w:ascii="Times New Roman"/>
                <w:b/>
                <w:bCs/>
                <w:color w:val="FFFFFF"/>
                <w:sz w:val="16"/>
                <w:szCs w:val="16"/>
                <w:lang w:val="it-IT"/>
              </w:rPr>
            </w:pPr>
            <w:r w:rsidRPr="00DF1AFD">
              <w:rPr>
                <w:rFonts w:ascii="Times New Roman"/>
                <w:b/>
                <w:bCs/>
                <w:color w:val="FFFFFF"/>
                <w:sz w:val="16"/>
                <w:szCs w:val="16"/>
                <w:lang w:val="it-IT"/>
              </w:rPr>
              <w:t> </w:t>
            </w:r>
          </w:p>
        </w:tc>
      </w:tr>
      <w:tr w:rsidR="00DF1AFD" w:rsidRPr="00DF1AFD" w:rsidTr="002C4783">
        <w:trPr>
          <w:trHeight w:val="315"/>
        </w:trPr>
        <w:tc>
          <w:tcPr>
            <w:tcW w:w="1957" w:type="pct"/>
            <w:tcBorders>
              <w:top w:val="nil"/>
              <w:left w:val="single" w:sz="8" w:space="0" w:color="DFD6CD"/>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rPr>
                <w:rFonts w:ascii="Times New Roman"/>
                <w:color w:val="000000"/>
                <w:sz w:val="16"/>
                <w:szCs w:val="16"/>
                <w:lang w:val="it-IT"/>
              </w:rPr>
            </w:pPr>
            <w:r w:rsidRPr="00DF1AFD">
              <w:rPr>
                <w:rFonts w:ascii="Times New Roman"/>
                <w:color w:val="000000"/>
                <w:sz w:val="16"/>
                <w:szCs w:val="16"/>
                <w:lang w:val="it-IT"/>
              </w:rPr>
              <w:t xml:space="preserve"> Ricavi da locazione</w:t>
            </w:r>
          </w:p>
        </w:tc>
        <w:tc>
          <w:tcPr>
            <w:tcW w:w="762" w:type="pct"/>
            <w:tcBorders>
              <w:top w:val="nil"/>
              <w:left w:val="nil"/>
              <w:bottom w:val="single" w:sz="8" w:space="0" w:color="DFD6CD"/>
              <w:right w:val="single" w:sz="8" w:space="0" w:color="DFD6CD"/>
            </w:tcBorders>
            <w:shd w:val="clear" w:color="000000" w:fill="F9F6F1"/>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eastAsia="MS PGothic" w:cs="Arial"/>
                <w:color w:val="000000"/>
                <w:sz w:val="16"/>
                <w:szCs w:val="16"/>
                <w:lang w:val="it-IT" w:eastAsia="it-IT"/>
              </w:rPr>
              <w:t xml:space="preserve">18.771.609  </w:t>
            </w:r>
          </w:p>
        </w:tc>
        <w:tc>
          <w:tcPr>
            <w:tcW w:w="762" w:type="pct"/>
            <w:tcBorders>
              <w:top w:val="nil"/>
              <w:left w:val="nil"/>
              <w:bottom w:val="single" w:sz="8" w:space="0" w:color="DFD6CD"/>
              <w:right w:val="single" w:sz="8" w:space="0" w:color="DFD6CD"/>
            </w:tcBorders>
            <w:shd w:val="clear" w:color="000000" w:fill="F9F6F1"/>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color w:val="000000"/>
                <w:sz w:val="16"/>
                <w:szCs w:val="16"/>
                <w:lang w:val="it-IT"/>
              </w:rPr>
              <w:t>-</w:t>
            </w:r>
          </w:p>
        </w:tc>
        <w:tc>
          <w:tcPr>
            <w:tcW w:w="762" w:type="pct"/>
            <w:tcBorders>
              <w:top w:val="single" w:sz="8" w:space="0" w:color="DFD6CD"/>
              <w:left w:val="nil"/>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color w:val="000000"/>
                <w:sz w:val="16"/>
                <w:szCs w:val="16"/>
                <w:lang w:val="it-IT"/>
              </w:rPr>
              <w:t>14.554.064</w:t>
            </w:r>
          </w:p>
        </w:tc>
        <w:tc>
          <w:tcPr>
            <w:tcW w:w="757" w:type="pct"/>
            <w:tcBorders>
              <w:top w:val="nil"/>
              <w:left w:val="nil"/>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color w:val="000000"/>
                <w:sz w:val="16"/>
                <w:szCs w:val="16"/>
                <w:lang w:val="it-IT"/>
              </w:rPr>
              <w:t>-</w:t>
            </w:r>
          </w:p>
        </w:tc>
      </w:tr>
      <w:tr w:rsidR="00DF1AFD" w:rsidRPr="00DF1AFD" w:rsidTr="002C4783">
        <w:trPr>
          <w:trHeight w:val="315"/>
        </w:trPr>
        <w:tc>
          <w:tcPr>
            <w:tcW w:w="1957" w:type="pct"/>
            <w:tcBorders>
              <w:top w:val="nil"/>
              <w:left w:val="single" w:sz="8" w:space="0" w:color="DFD6CD"/>
              <w:bottom w:val="single" w:sz="8" w:space="0" w:color="AC9B85"/>
              <w:right w:val="single" w:sz="8" w:space="0" w:color="DFD6CD"/>
            </w:tcBorders>
            <w:shd w:val="clear" w:color="auto" w:fill="auto"/>
            <w:vAlign w:val="center"/>
            <w:hideMark/>
          </w:tcPr>
          <w:p w:rsidR="00DF1AFD" w:rsidRPr="00DF1AFD" w:rsidRDefault="00DF1AFD" w:rsidP="00DF1AFD">
            <w:pPr>
              <w:spacing w:after="0" w:line="240" w:lineRule="auto"/>
              <w:rPr>
                <w:rFonts w:ascii="Times New Roman"/>
                <w:color w:val="000000"/>
                <w:sz w:val="16"/>
                <w:szCs w:val="16"/>
                <w:lang w:val="it-IT"/>
              </w:rPr>
            </w:pPr>
            <w:r w:rsidRPr="00DF1AFD">
              <w:rPr>
                <w:rFonts w:ascii="Times New Roman"/>
                <w:color w:val="000000"/>
                <w:sz w:val="16"/>
                <w:szCs w:val="16"/>
                <w:lang w:val="it-IT"/>
              </w:rPr>
              <w:t xml:space="preserve"> Costi operativi immobiliari netti</w:t>
            </w:r>
          </w:p>
        </w:tc>
        <w:tc>
          <w:tcPr>
            <w:tcW w:w="762" w:type="pct"/>
            <w:tcBorders>
              <w:top w:val="nil"/>
              <w:left w:val="nil"/>
              <w:bottom w:val="single" w:sz="8" w:space="0" w:color="DFD6CD"/>
              <w:right w:val="single" w:sz="8" w:space="0" w:color="DFD6CD"/>
            </w:tcBorders>
            <w:shd w:val="clear" w:color="000000" w:fill="F9F6F1"/>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eastAsia="MS PGothic" w:cs="Arial"/>
                <w:color w:val="000000"/>
                <w:sz w:val="16"/>
                <w:szCs w:val="16"/>
                <w:lang w:val="it-IT" w:eastAsia="it-IT"/>
              </w:rPr>
              <w:t>(1.901.522)</w:t>
            </w:r>
          </w:p>
        </w:tc>
        <w:tc>
          <w:tcPr>
            <w:tcW w:w="762" w:type="pct"/>
            <w:tcBorders>
              <w:top w:val="nil"/>
              <w:left w:val="nil"/>
              <w:bottom w:val="single" w:sz="8" w:space="0" w:color="DFD6CD"/>
              <w:right w:val="single" w:sz="8" w:space="0" w:color="DFD6CD"/>
            </w:tcBorders>
            <w:shd w:val="clear" w:color="000000" w:fill="F9F6F1"/>
            <w:vAlign w:val="center"/>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eastAsia="MS PGothic" w:cs="Arial"/>
                <w:color w:val="000000"/>
                <w:sz w:val="16"/>
                <w:szCs w:val="16"/>
                <w:lang w:val="it-IT" w:eastAsia="it-IT"/>
              </w:rPr>
              <w:t>(198.029)</w:t>
            </w:r>
          </w:p>
        </w:tc>
        <w:tc>
          <w:tcPr>
            <w:tcW w:w="762" w:type="pct"/>
            <w:tcBorders>
              <w:top w:val="nil"/>
              <w:left w:val="nil"/>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color w:val="000000"/>
                <w:sz w:val="16"/>
                <w:szCs w:val="16"/>
                <w:lang w:val="it-IT"/>
              </w:rPr>
              <w:t>(1.090.675)</w:t>
            </w:r>
          </w:p>
        </w:tc>
        <w:tc>
          <w:tcPr>
            <w:tcW w:w="757" w:type="pct"/>
            <w:tcBorders>
              <w:top w:val="nil"/>
              <w:left w:val="nil"/>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color w:val="000000"/>
                <w:sz w:val="16"/>
                <w:szCs w:val="16"/>
                <w:lang w:val="it-IT"/>
              </w:rPr>
              <w:t>(9.726)</w:t>
            </w:r>
          </w:p>
        </w:tc>
      </w:tr>
      <w:tr w:rsidR="00DF1AFD" w:rsidRPr="00DF1AFD" w:rsidTr="002C4783">
        <w:trPr>
          <w:trHeight w:val="315"/>
        </w:trPr>
        <w:tc>
          <w:tcPr>
            <w:tcW w:w="1957" w:type="pct"/>
            <w:tcBorders>
              <w:top w:val="nil"/>
              <w:left w:val="single" w:sz="8" w:space="0" w:color="AC9B85"/>
              <w:bottom w:val="single" w:sz="8" w:space="0" w:color="AC9B85"/>
              <w:right w:val="single" w:sz="8" w:space="0" w:color="AC9B85"/>
            </w:tcBorders>
            <w:shd w:val="clear" w:color="000000" w:fill="DFD6CD"/>
            <w:vAlign w:val="center"/>
            <w:hideMark/>
          </w:tcPr>
          <w:p w:rsidR="00DF1AFD" w:rsidRPr="00DF1AFD" w:rsidRDefault="00DF1AFD" w:rsidP="00DF1AFD">
            <w:pPr>
              <w:spacing w:after="0" w:line="240" w:lineRule="auto"/>
              <w:rPr>
                <w:rFonts w:ascii="Times New Roman"/>
                <w:b/>
                <w:bCs/>
                <w:color w:val="60512F"/>
                <w:sz w:val="16"/>
                <w:szCs w:val="16"/>
                <w:lang w:val="it-IT"/>
              </w:rPr>
            </w:pPr>
            <w:r w:rsidRPr="00DF1AFD">
              <w:rPr>
                <w:rFonts w:ascii="Times New Roman"/>
                <w:b/>
                <w:bCs/>
                <w:color w:val="60512F"/>
                <w:sz w:val="16"/>
                <w:szCs w:val="16"/>
                <w:lang w:val="it-IT"/>
              </w:rPr>
              <w:t xml:space="preserve"> Ricavi netti da locazione</w:t>
            </w:r>
          </w:p>
        </w:tc>
        <w:tc>
          <w:tcPr>
            <w:tcW w:w="762" w:type="pct"/>
            <w:tcBorders>
              <w:top w:val="single" w:sz="8" w:space="0" w:color="A99983"/>
              <w:left w:val="nil"/>
              <w:bottom w:val="single" w:sz="8" w:space="0" w:color="AC9B85"/>
              <w:right w:val="single" w:sz="8" w:space="0" w:color="A99983"/>
            </w:tcBorders>
            <w:shd w:val="clear" w:color="000000" w:fill="DFD6CD"/>
            <w:vAlign w:val="center"/>
            <w:hideMark/>
          </w:tcPr>
          <w:p w:rsidR="00DF1AFD" w:rsidRPr="00DF1AFD" w:rsidRDefault="00DF1AFD" w:rsidP="00DF1AFD">
            <w:pPr>
              <w:spacing w:after="0" w:line="240" w:lineRule="auto"/>
              <w:ind w:firstLineChars="100" w:firstLine="161"/>
              <w:jc w:val="right"/>
              <w:rPr>
                <w:rFonts w:ascii="Times New Roman"/>
                <w:b/>
                <w:bCs/>
                <w:color w:val="60512F"/>
                <w:sz w:val="16"/>
                <w:szCs w:val="16"/>
                <w:lang w:val="it-IT"/>
              </w:rPr>
            </w:pPr>
            <w:r w:rsidRPr="00DF1AFD">
              <w:rPr>
                <w:rFonts w:ascii="Times New Roman" w:eastAsia="MS PGothic" w:cs="Arial"/>
                <w:b/>
                <w:bCs/>
                <w:color w:val="60512F"/>
                <w:sz w:val="16"/>
                <w:szCs w:val="16"/>
                <w:lang w:val="it-IT" w:eastAsia="it-IT"/>
              </w:rPr>
              <w:t xml:space="preserve">16.870.087  </w:t>
            </w:r>
          </w:p>
        </w:tc>
        <w:tc>
          <w:tcPr>
            <w:tcW w:w="762" w:type="pct"/>
            <w:tcBorders>
              <w:top w:val="single" w:sz="8" w:space="0" w:color="A99983"/>
              <w:left w:val="nil"/>
              <w:bottom w:val="single" w:sz="8" w:space="0" w:color="AC9B85"/>
              <w:right w:val="single" w:sz="8" w:space="0" w:color="A99983"/>
            </w:tcBorders>
            <w:shd w:val="clear" w:color="000000" w:fill="DFD6CD"/>
            <w:vAlign w:val="center"/>
          </w:tcPr>
          <w:p w:rsidR="00DF1AFD" w:rsidRPr="00DF1AFD" w:rsidRDefault="00DF1AFD" w:rsidP="00DF1AFD">
            <w:pPr>
              <w:spacing w:after="0" w:line="240" w:lineRule="auto"/>
              <w:ind w:firstLineChars="100" w:firstLine="161"/>
              <w:jc w:val="right"/>
              <w:rPr>
                <w:rFonts w:ascii="Times New Roman"/>
                <w:b/>
                <w:bCs/>
                <w:color w:val="60512F"/>
                <w:sz w:val="16"/>
                <w:szCs w:val="16"/>
                <w:lang w:val="it-IT"/>
              </w:rPr>
            </w:pPr>
            <w:r w:rsidRPr="00DF1AFD">
              <w:rPr>
                <w:rFonts w:ascii="Times New Roman" w:eastAsia="MS PGothic" w:cs="Arial"/>
                <w:b/>
                <w:bCs/>
                <w:color w:val="60512F"/>
                <w:sz w:val="16"/>
                <w:szCs w:val="16"/>
                <w:lang w:val="it-IT" w:eastAsia="it-IT"/>
              </w:rPr>
              <w:t>(198.029)</w:t>
            </w:r>
          </w:p>
        </w:tc>
        <w:tc>
          <w:tcPr>
            <w:tcW w:w="762" w:type="pct"/>
            <w:tcBorders>
              <w:top w:val="single" w:sz="8" w:space="0" w:color="A99983"/>
              <w:left w:val="nil"/>
              <w:bottom w:val="single" w:sz="8" w:space="0" w:color="AC9B85"/>
              <w:right w:val="single" w:sz="8" w:space="0" w:color="A99983"/>
            </w:tcBorders>
            <w:shd w:val="clear" w:color="000000" w:fill="DFD6CD"/>
            <w:vAlign w:val="center"/>
            <w:hideMark/>
          </w:tcPr>
          <w:p w:rsidR="00DF1AFD" w:rsidRPr="00DF1AFD" w:rsidRDefault="00DF1AFD" w:rsidP="00DF1AFD">
            <w:pPr>
              <w:spacing w:after="0" w:line="240" w:lineRule="auto"/>
              <w:ind w:firstLineChars="100" w:firstLine="161"/>
              <w:jc w:val="right"/>
              <w:rPr>
                <w:rFonts w:ascii="Times New Roman"/>
                <w:b/>
                <w:bCs/>
                <w:color w:val="60512F"/>
                <w:sz w:val="16"/>
                <w:szCs w:val="16"/>
                <w:lang w:val="it-IT"/>
              </w:rPr>
            </w:pPr>
            <w:r w:rsidRPr="00DF1AFD">
              <w:rPr>
                <w:rFonts w:ascii="Times New Roman"/>
                <w:b/>
                <w:bCs/>
                <w:color w:val="60512F"/>
                <w:sz w:val="16"/>
                <w:szCs w:val="16"/>
                <w:lang w:val="it-IT"/>
              </w:rPr>
              <w:t>13.463.389</w:t>
            </w:r>
          </w:p>
        </w:tc>
        <w:tc>
          <w:tcPr>
            <w:tcW w:w="757" w:type="pct"/>
            <w:tcBorders>
              <w:top w:val="single" w:sz="8" w:space="0" w:color="A99983"/>
              <w:left w:val="nil"/>
              <w:bottom w:val="single" w:sz="8" w:space="0" w:color="AC9B85"/>
              <w:right w:val="single" w:sz="8" w:space="0" w:color="A99983"/>
            </w:tcBorders>
            <w:shd w:val="clear" w:color="000000" w:fill="DFD6CD"/>
            <w:vAlign w:val="center"/>
            <w:hideMark/>
          </w:tcPr>
          <w:p w:rsidR="00DF1AFD" w:rsidRPr="00DF1AFD" w:rsidRDefault="00DF1AFD" w:rsidP="00DF1AFD">
            <w:pPr>
              <w:spacing w:after="0" w:line="240" w:lineRule="auto"/>
              <w:ind w:firstLineChars="100" w:firstLine="161"/>
              <w:jc w:val="right"/>
              <w:rPr>
                <w:rFonts w:ascii="Times New Roman"/>
                <w:b/>
                <w:bCs/>
                <w:color w:val="60512F"/>
                <w:sz w:val="16"/>
                <w:szCs w:val="16"/>
                <w:lang w:val="it-IT"/>
              </w:rPr>
            </w:pPr>
            <w:r w:rsidRPr="00DF1AFD">
              <w:rPr>
                <w:rFonts w:ascii="Times New Roman"/>
                <w:b/>
                <w:bCs/>
                <w:color w:val="60512F"/>
                <w:sz w:val="16"/>
                <w:szCs w:val="16"/>
                <w:lang w:val="it-IT"/>
              </w:rPr>
              <w:t>(9.726)</w:t>
            </w:r>
          </w:p>
        </w:tc>
      </w:tr>
      <w:tr w:rsidR="00DF1AFD" w:rsidRPr="00DF1AFD" w:rsidTr="002C4783">
        <w:trPr>
          <w:trHeight w:val="315"/>
        </w:trPr>
        <w:tc>
          <w:tcPr>
            <w:tcW w:w="1957" w:type="pct"/>
            <w:tcBorders>
              <w:top w:val="nil"/>
              <w:left w:val="single" w:sz="8" w:space="0" w:color="DFD6CD"/>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rPr>
                <w:rFonts w:ascii="Times New Roman"/>
                <w:color w:val="000000"/>
                <w:sz w:val="16"/>
                <w:szCs w:val="16"/>
                <w:lang w:val="it-IT"/>
              </w:rPr>
            </w:pPr>
            <w:r w:rsidRPr="00DF1AFD">
              <w:rPr>
                <w:rFonts w:ascii="Times New Roman"/>
                <w:color w:val="000000"/>
                <w:sz w:val="16"/>
                <w:szCs w:val="16"/>
                <w:lang w:val="it-IT"/>
              </w:rPr>
              <w:t xml:space="preserve"> Costi di struttura</w:t>
            </w:r>
          </w:p>
        </w:tc>
        <w:tc>
          <w:tcPr>
            <w:tcW w:w="762" w:type="pct"/>
            <w:tcBorders>
              <w:top w:val="nil"/>
              <w:left w:val="nil"/>
              <w:bottom w:val="single" w:sz="8" w:space="0" w:color="DFD6CD"/>
              <w:right w:val="single" w:sz="8" w:space="0" w:color="DFD6CD"/>
            </w:tcBorders>
            <w:shd w:val="clear" w:color="000000" w:fill="F9F6F1"/>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eastAsia="MS PGothic" w:cs="Arial"/>
                <w:color w:val="000000"/>
                <w:sz w:val="16"/>
                <w:szCs w:val="16"/>
                <w:lang w:val="it-IT" w:eastAsia="it-IT"/>
              </w:rPr>
              <w:t>(8.025.920)</w:t>
            </w:r>
          </w:p>
        </w:tc>
        <w:tc>
          <w:tcPr>
            <w:tcW w:w="762" w:type="pct"/>
            <w:tcBorders>
              <w:top w:val="nil"/>
              <w:left w:val="nil"/>
              <w:bottom w:val="single" w:sz="8" w:space="0" w:color="DFD6CD"/>
              <w:right w:val="single" w:sz="8" w:space="0" w:color="DFD6CD"/>
            </w:tcBorders>
            <w:shd w:val="clear" w:color="000000" w:fill="F9F6F1"/>
            <w:vAlign w:val="center"/>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eastAsia="MS PGothic" w:cs="Arial"/>
                <w:color w:val="000000"/>
                <w:sz w:val="16"/>
                <w:szCs w:val="16"/>
                <w:lang w:val="it-IT" w:eastAsia="it-IT"/>
              </w:rPr>
              <w:t>(5.158.772)</w:t>
            </w:r>
          </w:p>
        </w:tc>
        <w:tc>
          <w:tcPr>
            <w:tcW w:w="762" w:type="pct"/>
            <w:tcBorders>
              <w:top w:val="nil"/>
              <w:left w:val="nil"/>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color w:val="000000"/>
                <w:sz w:val="16"/>
                <w:szCs w:val="16"/>
                <w:lang w:val="it-IT"/>
              </w:rPr>
              <w:t>(6.609.618)</w:t>
            </w:r>
          </w:p>
        </w:tc>
        <w:tc>
          <w:tcPr>
            <w:tcW w:w="757" w:type="pct"/>
            <w:tcBorders>
              <w:top w:val="nil"/>
              <w:left w:val="nil"/>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color w:val="000000"/>
                <w:sz w:val="16"/>
                <w:szCs w:val="16"/>
                <w:lang w:val="it-IT"/>
              </w:rPr>
              <w:t>(3.832.958)</w:t>
            </w:r>
          </w:p>
        </w:tc>
      </w:tr>
      <w:tr w:rsidR="00DF1AFD" w:rsidRPr="00DF1AFD" w:rsidTr="002C4783">
        <w:trPr>
          <w:trHeight w:val="315"/>
        </w:trPr>
        <w:tc>
          <w:tcPr>
            <w:tcW w:w="1957" w:type="pct"/>
            <w:tcBorders>
              <w:top w:val="nil"/>
              <w:left w:val="single" w:sz="8" w:space="0" w:color="DFD6CD"/>
              <w:bottom w:val="single" w:sz="8" w:space="0" w:color="AC9B85"/>
              <w:right w:val="single" w:sz="8" w:space="0" w:color="DFD6CD"/>
            </w:tcBorders>
            <w:shd w:val="clear" w:color="auto" w:fill="auto"/>
            <w:vAlign w:val="center"/>
            <w:hideMark/>
          </w:tcPr>
          <w:p w:rsidR="00DF1AFD" w:rsidRPr="00DF1AFD" w:rsidRDefault="00DF1AFD" w:rsidP="00DF1AFD">
            <w:pPr>
              <w:spacing w:after="0" w:line="240" w:lineRule="auto"/>
              <w:rPr>
                <w:rFonts w:ascii="Times New Roman"/>
                <w:color w:val="000000"/>
                <w:sz w:val="16"/>
                <w:szCs w:val="16"/>
                <w:lang w:val="it-IT"/>
              </w:rPr>
            </w:pPr>
            <w:r w:rsidRPr="00DF1AFD">
              <w:rPr>
                <w:rFonts w:ascii="Times New Roman"/>
                <w:color w:val="000000"/>
                <w:sz w:val="16"/>
                <w:szCs w:val="16"/>
                <w:lang w:val="it-IT"/>
              </w:rPr>
              <w:t xml:space="preserve"> Altri costi operativi</w:t>
            </w:r>
          </w:p>
        </w:tc>
        <w:tc>
          <w:tcPr>
            <w:tcW w:w="762" w:type="pct"/>
            <w:tcBorders>
              <w:top w:val="nil"/>
              <w:left w:val="nil"/>
              <w:bottom w:val="single" w:sz="8" w:space="0" w:color="AC9B85"/>
              <w:right w:val="single" w:sz="8" w:space="0" w:color="DFD6CD"/>
            </w:tcBorders>
            <w:shd w:val="clear" w:color="000000" w:fill="F9F6F1"/>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eastAsia="MS PGothic" w:cs="Arial"/>
                <w:color w:val="000000"/>
                <w:sz w:val="16"/>
                <w:szCs w:val="16"/>
                <w:lang w:val="it-IT" w:eastAsia="it-IT"/>
              </w:rPr>
              <w:t>(2.313.464)</w:t>
            </w:r>
          </w:p>
        </w:tc>
        <w:tc>
          <w:tcPr>
            <w:tcW w:w="762" w:type="pct"/>
            <w:tcBorders>
              <w:top w:val="nil"/>
              <w:left w:val="nil"/>
              <w:bottom w:val="single" w:sz="8" w:space="0" w:color="DFD6CD"/>
              <w:right w:val="single" w:sz="8" w:space="0" w:color="DFD6CD"/>
            </w:tcBorders>
            <w:shd w:val="clear" w:color="000000" w:fill="F9F6F1"/>
            <w:vAlign w:val="center"/>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eastAsia="MS PGothic" w:cs="Arial"/>
                <w:color w:val="000000"/>
                <w:sz w:val="16"/>
                <w:szCs w:val="16"/>
                <w:lang w:val="it-IT" w:eastAsia="it-IT"/>
              </w:rPr>
              <w:t>(3.222.387)</w:t>
            </w:r>
          </w:p>
        </w:tc>
        <w:tc>
          <w:tcPr>
            <w:tcW w:w="762" w:type="pct"/>
            <w:tcBorders>
              <w:top w:val="nil"/>
              <w:left w:val="nil"/>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color w:val="000000"/>
                <w:sz w:val="16"/>
                <w:szCs w:val="16"/>
                <w:lang w:val="it-IT"/>
              </w:rPr>
              <w:t>73.824</w:t>
            </w:r>
          </w:p>
        </w:tc>
        <w:tc>
          <w:tcPr>
            <w:tcW w:w="757" w:type="pct"/>
            <w:tcBorders>
              <w:top w:val="nil"/>
              <w:left w:val="nil"/>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color w:val="000000"/>
                <w:sz w:val="16"/>
                <w:szCs w:val="16"/>
                <w:lang w:val="it-IT"/>
              </w:rPr>
              <w:t>148.000</w:t>
            </w:r>
          </w:p>
        </w:tc>
      </w:tr>
      <w:tr w:rsidR="00DF1AFD" w:rsidRPr="00DF1AFD" w:rsidTr="002C4783">
        <w:trPr>
          <w:trHeight w:val="315"/>
        </w:trPr>
        <w:tc>
          <w:tcPr>
            <w:tcW w:w="1957" w:type="pct"/>
            <w:tcBorders>
              <w:top w:val="single" w:sz="8" w:space="0" w:color="AC9B85"/>
              <w:left w:val="single" w:sz="8" w:space="0" w:color="AC9B85"/>
              <w:bottom w:val="single" w:sz="8" w:space="0" w:color="AC9B85"/>
              <w:right w:val="single" w:sz="8" w:space="0" w:color="AC9B85"/>
            </w:tcBorders>
            <w:shd w:val="clear" w:color="000000" w:fill="DFD6CD"/>
            <w:vAlign w:val="center"/>
            <w:hideMark/>
          </w:tcPr>
          <w:p w:rsidR="00DF1AFD" w:rsidRPr="00DF1AFD" w:rsidRDefault="00DF1AFD" w:rsidP="00DF1AFD">
            <w:pPr>
              <w:spacing w:after="0" w:line="240" w:lineRule="auto"/>
              <w:rPr>
                <w:rFonts w:ascii="Times New Roman"/>
                <w:b/>
                <w:bCs/>
                <w:color w:val="60512F"/>
                <w:sz w:val="16"/>
                <w:szCs w:val="16"/>
                <w:lang w:val="it-IT"/>
              </w:rPr>
            </w:pPr>
            <w:r w:rsidRPr="00DF1AFD">
              <w:rPr>
                <w:rFonts w:ascii="Times New Roman"/>
                <w:b/>
                <w:bCs/>
                <w:color w:val="60512F"/>
                <w:sz w:val="16"/>
                <w:szCs w:val="16"/>
                <w:lang w:val="it-IT"/>
              </w:rPr>
              <w:t xml:space="preserve"> Risultato operativo lordo</w:t>
            </w:r>
          </w:p>
        </w:tc>
        <w:tc>
          <w:tcPr>
            <w:tcW w:w="762" w:type="pct"/>
            <w:tcBorders>
              <w:top w:val="single" w:sz="8" w:space="0" w:color="AC9B85"/>
              <w:left w:val="single" w:sz="8" w:space="0" w:color="A99983"/>
              <w:bottom w:val="single" w:sz="8" w:space="0" w:color="AC9B85"/>
              <w:right w:val="single" w:sz="8" w:space="0" w:color="A99983"/>
            </w:tcBorders>
            <w:shd w:val="clear" w:color="000000" w:fill="DFD6CD"/>
            <w:vAlign w:val="center"/>
            <w:hideMark/>
          </w:tcPr>
          <w:p w:rsidR="00DF1AFD" w:rsidRPr="00DF1AFD" w:rsidRDefault="00DF1AFD" w:rsidP="00DF1AFD">
            <w:pPr>
              <w:spacing w:after="0" w:line="240" w:lineRule="auto"/>
              <w:ind w:firstLineChars="100" w:firstLine="161"/>
              <w:jc w:val="right"/>
              <w:rPr>
                <w:rFonts w:ascii="Times New Roman"/>
                <w:b/>
                <w:bCs/>
                <w:color w:val="60512F"/>
                <w:sz w:val="16"/>
                <w:szCs w:val="16"/>
                <w:lang w:val="it-IT"/>
              </w:rPr>
            </w:pPr>
            <w:r w:rsidRPr="00DF1AFD">
              <w:rPr>
                <w:rFonts w:ascii="Times New Roman" w:eastAsia="MS PGothic" w:cs="Arial"/>
                <w:b/>
                <w:bCs/>
                <w:color w:val="60512F"/>
                <w:sz w:val="16"/>
                <w:szCs w:val="16"/>
                <w:lang w:val="it-IT" w:eastAsia="it-IT"/>
              </w:rPr>
              <w:t xml:space="preserve">6.530.703  </w:t>
            </w:r>
          </w:p>
        </w:tc>
        <w:tc>
          <w:tcPr>
            <w:tcW w:w="762" w:type="pct"/>
            <w:tcBorders>
              <w:top w:val="single" w:sz="8" w:space="0" w:color="A99983"/>
              <w:left w:val="nil"/>
              <w:bottom w:val="single" w:sz="8" w:space="0" w:color="AC9B85"/>
              <w:right w:val="single" w:sz="8" w:space="0" w:color="A99983"/>
            </w:tcBorders>
            <w:shd w:val="clear" w:color="000000" w:fill="DFD6CD"/>
            <w:vAlign w:val="center"/>
          </w:tcPr>
          <w:p w:rsidR="00DF1AFD" w:rsidRPr="00DF1AFD" w:rsidRDefault="00DF1AFD" w:rsidP="00DF1AFD">
            <w:pPr>
              <w:spacing w:after="0" w:line="240" w:lineRule="auto"/>
              <w:ind w:firstLineChars="100" w:firstLine="161"/>
              <w:jc w:val="right"/>
              <w:rPr>
                <w:rFonts w:ascii="Times New Roman"/>
                <w:b/>
                <w:bCs/>
                <w:color w:val="60512F"/>
                <w:sz w:val="16"/>
                <w:szCs w:val="16"/>
                <w:lang w:val="it-IT"/>
              </w:rPr>
            </w:pPr>
            <w:r w:rsidRPr="00DF1AFD">
              <w:rPr>
                <w:rFonts w:ascii="Times New Roman" w:eastAsia="MS PGothic" w:cs="Arial"/>
                <w:b/>
                <w:bCs/>
                <w:color w:val="60512F"/>
                <w:sz w:val="16"/>
                <w:szCs w:val="16"/>
                <w:lang w:val="it-IT" w:eastAsia="it-IT"/>
              </w:rPr>
              <w:t>(8.579.188)</w:t>
            </w:r>
          </w:p>
        </w:tc>
        <w:tc>
          <w:tcPr>
            <w:tcW w:w="762" w:type="pct"/>
            <w:tcBorders>
              <w:top w:val="single" w:sz="8" w:space="0" w:color="A99983"/>
              <w:left w:val="nil"/>
              <w:bottom w:val="single" w:sz="8" w:space="0" w:color="AC9B85"/>
              <w:right w:val="single" w:sz="8" w:space="0" w:color="A99983"/>
            </w:tcBorders>
            <w:shd w:val="clear" w:color="000000" w:fill="DFD6CD"/>
            <w:vAlign w:val="center"/>
            <w:hideMark/>
          </w:tcPr>
          <w:p w:rsidR="00DF1AFD" w:rsidRPr="00DF1AFD" w:rsidRDefault="00DF1AFD" w:rsidP="00DF1AFD">
            <w:pPr>
              <w:spacing w:after="0" w:line="240" w:lineRule="auto"/>
              <w:ind w:firstLineChars="100" w:firstLine="161"/>
              <w:jc w:val="right"/>
              <w:rPr>
                <w:rFonts w:ascii="Times New Roman"/>
                <w:b/>
                <w:bCs/>
                <w:color w:val="60512F"/>
                <w:sz w:val="16"/>
                <w:szCs w:val="16"/>
                <w:lang w:val="it-IT"/>
              </w:rPr>
            </w:pPr>
            <w:r w:rsidRPr="00DF1AFD">
              <w:rPr>
                <w:rFonts w:ascii="Times New Roman"/>
                <w:b/>
                <w:bCs/>
                <w:color w:val="60512F"/>
                <w:sz w:val="16"/>
                <w:szCs w:val="16"/>
                <w:lang w:val="it-IT"/>
              </w:rPr>
              <w:t>6.927.595</w:t>
            </w:r>
          </w:p>
        </w:tc>
        <w:tc>
          <w:tcPr>
            <w:tcW w:w="757" w:type="pct"/>
            <w:tcBorders>
              <w:top w:val="single" w:sz="8" w:space="0" w:color="A99983"/>
              <w:left w:val="nil"/>
              <w:bottom w:val="single" w:sz="8" w:space="0" w:color="AC9B85"/>
              <w:right w:val="single" w:sz="8" w:space="0" w:color="A99983"/>
            </w:tcBorders>
            <w:shd w:val="clear" w:color="000000" w:fill="DFD6CD"/>
            <w:vAlign w:val="center"/>
            <w:hideMark/>
          </w:tcPr>
          <w:p w:rsidR="00DF1AFD" w:rsidRPr="00DF1AFD" w:rsidRDefault="00DF1AFD" w:rsidP="00DF1AFD">
            <w:pPr>
              <w:spacing w:after="0" w:line="240" w:lineRule="auto"/>
              <w:ind w:firstLineChars="100" w:firstLine="161"/>
              <w:jc w:val="right"/>
              <w:rPr>
                <w:rFonts w:ascii="Times New Roman"/>
                <w:b/>
                <w:bCs/>
                <w:color w:val="60512F"/>
                <w:sz w:val="16"/>
                <w:szCs w:val="16"/>
                <w:lang w:val="it-IT"/>
              </w:rPr>
            </w:pPr>
            <w:r w:rsidRPr="00DF1AFD">
              <w:rPr>
                <w:rFonts w:ascii="Times New Roman"/>
                <w:b/>
                <w:bCs/>
                <w:color w:val="60512F"/>
                <w:sz w:val="16"/>
                <w:szCs w:val="16"/>
                <w:lang w:val="it-IT"/>
              </w:rPr>
              <w:t>(3.694.684)</w:t>
            </w:r>
          </w:p>
        </w:tc>
      </w:tr>
      <w:tr w:rsidR="00DF1AFD" w:rsidRPr="00DF1AFD" w:rsidTr="002C4783">
        <w:trPr>
          <w:trHeight w:val="315"/>
        </w:trPr>
        <w:tc>
          <w:tcPr>
            <w:tcW w:w="1957" w:type="pct"/>
            <w:tcBorders>
              <w:top w:val="nil"/>
              <w:left w:val="single" w:sz="8" w:space="0" w:color="DFD6CD"/>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rPr>
                <w:rFonts w:ascii="Times New Roman"/>
                <w:color w:val="000000"/>
                <w:sz w:val="16"/>
                <w:szCs w:val="16"/>
                <w:lang w:val="it-IT"/>
              </w:rPr>
            </w:pPr>
            <w:r w:rsidRPr="00DF1AFD">
              <w:rPr>
                <w:rFonts w:ascii="Times New Roman"/>
                <w:color w:val="000000"/>
                <w:sz w:val="16"/>
                <w:szCs w:val="16"/>
                <w:lang w:val="it-IT"/>
              </w:rPr>
              <w:t xml:space="preserve"> Rettifiche di valore nette</w:t>
            </w:r>
          </w:p>
        </w:tc>
        <w:tc>
          <w:tcPr>
            <w:tcW w:w="762" w:type="pct"/>
            <w:tcBorders>
              <w:top w:val="single" w:sz="8" w:space="0" w:color="DFD6CD"/>
              <w:left w:val="nil"/>
              <w:bottom w:val="single" w:sz="8" w:space="0" w:color="DFD6CD"/>
              <w:right w:val="single" w:sz="8" w:space="0" w:color="DFD6CD"/>
            </w:tcBorders>
            <w:shd w:val="clear" w:color="000000" w:fill="F9F6F1"/>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eastAsia="MS PGothic" w:cs="Arial"/>
                <w:color w:val="000000"/>
                <w:sz w:val="16"/>
                <w:szCs w:val="16"/>
                <w:lang w:val="it-IT" w:eastAsia="it-IT"/>
              </w:rPr>
              <w:t>(38.963.650)</w:t>
            </w:r>
          </w:p>
        </w:tc>
        <w:tc>
          <w:tcPr>
            <w:tcW w:w="762" w:type="pct"/>
            <w:tcBorders>
              <w:top w:val="nil"/>
              <w:left w:val="nil"/>
              <w:bottom w:val="single" w:sz="8" w:space="0" w:color="DFD6CD"/>
              <w:right w:val="single" w:sz="8" w:space="0" w:color="DFD6CD"/>
            </w:tcBorders>
            <w:shd w:val="clear" w:color="000000" w:fill="F9F6F1"/>
            <w:vAlign w:val="center"/>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color w:val="000000"/>
                <w:sz w:val="16"/>
                <w:szCs w:val="16"/>
                <w:lang w:val="it-IT"/>
              </w:rPr>
              <w:t>-</w:t>
            </w:r>
          </w:p>
        </w:tc>
        <w:tc>
          <w:tcPr>
            <w:tcW w:w="762" w:type="pct"/>
            <w:tcBorders>
              <w:top w:val="single" w:sz="8" w:space="0" w:color="DFD6CD"/>
              <w:left w:val="nil"/>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color w:val="000000"/>
                <w:sz w:val="16"/>
                <w:szCs w:val="16"/>
                <w:lang w:val="it-IT"/>
              </w:rPr>
              <w:t>(1.204.879)</w:t>
            </w:r>
          </w:p>
        </w:tc>
        <w:tc>
          <w:tcPr>
            <w:tcW w:w="757" w:type="pct"/>
            <w:tcBorders>
              <w:top w:val="nil"/>
              <w:left w:val="nil"/>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color w:val="000000"/>
                <w:sz w:val="16"/>
                <w:szCs w:val="16"/>
                <w:lang w:val="it-IT"/>
              </w:rPr>
              <w:t>-</w:t>
            </w:r>
          </w:p>
        </w:tc>
      </w:tr>
      <w:tr w:rsidR="00DF1AFD" w:rsidRPr="00DF1AFD" w:rsidTr="002C4783">
        <w:trPr>
          <w:trHeight w:val="315"/>
        </w:trPr>
        <w:tc>
          <w:tcPr>
            <w:tcW w:w="1957" w:type="pct"/>
            <w:tcBorders>
              <w:top w:val="nil"/>
              <w:left w:val="single" w:sz="8" w:space="0" w:color="DFD6CD"/>
              <w:bottom w:val="single" w:sz="8" w:space="0" w:color="AC9B85"/>
              <w:right w:val="single" w:sz="8" w:space="0" w:color="DFD6CD"/>
            </w:tcBorders>
            <w:shd w:val="clear" w:color="auto" w:fill="auto"/>
            <w:vAlign w:val="center"/>
            <w:hideMark/>
          </w:tcPr>
          <w:p w:rsidR="00DF1AFD" w:rsidRPr="00DF1AFD" w:rsidRDefault="00DF1AFD" w:rsidP="00DF1AFD">
            <w:pPr>
              <w:spacing w:after="0" w:line="240" w:lineRule="auto"/>
              <w:rPr>
                <w:rFonts w:ascii="Times New Roman"/>
                <w:color w:val="000000"/>
                <w:sz w:val="16"/>
                <w:szCs w:val="16"/>
                <w:lang w:val="it-IT"/>
              </w:rPr>
            </w:pPr>
            <w:r w:rsidRPr="00DF1AFD">
              <w:rPr>
                <w:rFonts w:ascii="Times New Roman"/>
                <w:color w:val="000000"/>
                <w:sz w:val="16"/>
                <w:szCs w:val="16"/>
                <w:lang w:val="it-IT"/>
              </w:rPr>
              <w:t xml:space="preserve"> Adeguamento al fair value</w:t>
            </w:r>
          </w:p>
        </w:tc>
        <w:tc>
          <w:tcPr>
            <w:tcW w:w="762" w:type="pct"/>
            <w:tcBorders>
              <w:top w:val="nil"/>
              <w:left w:val="nil"/>
              <w:bottom w:val="single" w:sz="8" w:space="0" w:color="DFD6CD"/>
              <w:right w:val="single" w:sz="8" w:space="0" w:color="DFD6CD"/>
            </w:tcBorders>
            <w:shd w:val="clear" w:color="000000" w:fill="F9F6F1"/>
            <w:vAlign w:val="center"/>
            <w:hideMark/>
          </w:tcPr>
          <w:p w:rsidR="00DF1AFD" w:rsidRPr="00DF1AFD" w:rsidRDefault="00DF1AFD" w:rsidP="00DF1AFD">
            <w:pPr>
              <w:spacing w:after="0" w:line="240" w:lineRule="auto"/>
              <w:jc w:val="right"/>
              <w:rPr>
                <w:rFonts w:ascii="Times New Roman"/>
                <w:color w:val="000000"/>
                <w:sz w:val="16"/>
                <w:szCs w:val="16"/>
                <w:lang w:val="it-IT"/>
              </w:rPr>
            </w:pPr>
            <w:r w:rsidRPr="00DF1AFD">
              <w:rPr>
                <w:rFonts w:ascii="Times New Roman" w:eastAsia="MS PGothic" w:cs="Arial"/>
                <w:color w:val="000000"/>
                <w:sz w:val="16"/>
                <w:szCs w:val="16"/>
                <w:lang w:val="it-IT" w:eastAsia="it-IT"/>
              </w:rPr>
              <w:t xml:space="preserve">          25.869.732 </w:t>
            </w:r>
          </w:p>
        </w:tc>
        <w:tc>
          <w:tcPr>
            <w:tcW w:w="762" w:type="pct"/>
            <w:tcBorders>
              <w:top w:val="nil"/>
              <w:left w:val="nil"/>
              <w:bottom w:val="single" w:sz="8" w:space="0" w:color="DFD6CD"/>
              <w:right w:val="single" w:sz="8" w:space="0" w:color="DFD6CD"/>
            </w:tcBorders>
            <w:shd w:val="clear" w:color="000000" w:fill="F9F6F1"/>
            <w:vAlign w:val="center"/>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color w:val="000000"/>
                <w:sz w:val="16"/>
                <w:szCs w:val="16"/>
                <w:lang w:val="it-IT"/>
              </w:rPr>
              <w:t>-</w:t>
            </w:r>
          </w:p>
        </w:tc>
        <w:tc>
          <w:tcPr>
            <w:tcW w:w="762" w:type="pct"/>
            <w:tcBorders>
              <w:top w:val="nil"/>
              <w:left w:val="nil"/>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color w:val="000000"/>
                <w:sz w:val="16"/>
                <w:szCs w:val="16"/>
                <w:lang w:val="it-IT"/>
              </w:rPr>
              <w:t>3.344.345</w:t>
            </w:r>
          </w:p>
        </w:tc>
        <w:tc>
          <w:tcPr>
            <w:tcW w:w="757" w:type="pct"/>
            <w:tcBorders>
              <w:top w:val="nil"/>
              <w:left w:val="nil"/>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color w:val="000000"/>
                <w:sz w:val="16"/>
                <w:szCs w:val="16"/>
                <w:lang w:val="it-IT"/>
              </w:rPr>
              <w:t>-</w:t>
            </w:r>
          </w:p>
        </w:tc>
      </w:tr>
      <w:tr w:rsidR="00DF1AFD" w:rsidRPr="00DF1AFD" w:rsidTr="002C4783">
        <w:trPr>
          <w:trHeight w:val="315"/>
        </w:trPr>
        <w:tc>
          <w:tcPr>
            <w:tcW w:w="1957" w:type="pct"/>
            <w:tcBorders>
              <w:top w:val="nil"/>
              <w:left w:val="single" w:sz="8" w:space="0" w:color="AC9B85"/>
              <w:bottom w:val="single" w:sz="8" w:space="0" w:color="AC9B85"/>
              <w:right w:val="single" w:sz="8" w:space="0" w:color="AC9B85"/>
            </w:tcBorders>
            <w:shd w:val="clear" w:color="000000" w:fill="DFD6CD"/>
            <w:vAlign w:val="center"/>
            <w:hideMark/>
          </w:tcPr>
          <w:p w:rsidR="00DF1AFD" w:rsidRPr="00DF1AFD" w:rsidRDefault="00DF1AFD" w:rsidP="00DF1AFD">
            <w:pPr>
              <w:spacing w:after="0" w:line="240" w:lineRule="auto"/>
              <w:rPr>
                <w:rFonts w:ascii="Times New Roman"/>
                <w:b/>
                <w:bCs/>
                <w:color w:val="60512F"/>
                <w:sz w:val="16"/>
                <w:szCs w:val="16"/>
                <w:lang w:val="it-IT"/>
              </w:rPr>
            </w:pPr>
            <w:r w:rsidRPr="00DF1AFD">
              <w:rPr>
                <w:rFonts w:ascii="Times New Roman"/>
                <w:b/>
                <w:bCs/>
                <w:color w:val="60512F"/>
                <w:sz w:val="16"/>
                <w:szCs w:val="16"/>
                <w:lang w:val="it-IT"/>
              </w:rPr>
              <w:t xml:space="preserve"> Risultato operativo netto</w:t>
            </w:r>
          </w:p>
        </w:tc>
        <w:tc>
          <w:tcPr>
            <w:tcW w:w="762" w:type="pct"/>
            <w:tcBorders>
              <w:top w:val="single" w:sz="8" w:space="0" w:color="A99983"/>
              <w:left w:val="single" w:sz="8" w:space="0" w:color="A99983"/>
              <w:bottom w:val="single" w:sz="8" w:space="0" w:color="AC9B85"/>
              <w:right w:val="single" w:sz="8" w:space="0" w:color="A99983"/>
            </w:tcBorders>
            <w:shd w:val="clear" w:color="000000" w:fill="DFD6CD"/>
            <w:vAlign w:val="center"/>
            <w:hideMark/>
          </w:tcPr>
          <w:p w:rsidR="00DF1AFD" w:rsidRPr="00DF1AFD" w:rsidRDefault="00DF1AFD" w:rsidP="00DF1AFD">
            <w:pPr>
              <w:spacing w:after="0" w:line="240" w:lineRule="auto"/>
              <w:ind w:firstLineChars="100" w:firstLine="161"/>
              <w:jc w:val="right"/>
              <w:rPr>
                <w:rFonts w:ascii="Times New Roman"/>
                <w:b/>
                <w:bCs/>
                <w:color w:val="60512F"/>
                <w:sz w:val="16"/>
                <w:szCs w:val="16"/>
                <w:lang w:val="it-IT"/>
              </w:rPr>
            </w:pPr>
            <w:r w:rsidRPr="00DF1AFD">
              <w:rPr>
                <w:rFonts w:ascii="Times New Roman" w:eastAsia="MS PGothic" w:cs="Arial"/>
                <w:b/>
                <w:bCs/>
                <w:color w:val="60512F"/>
                <w:sz w:val="16"/>
                <w:szCs w:val="16"/>
                <w:lang w:val="it-IT" w:eastAsia="it-IT"/>
              </w:rPr>
              <w:t>(6.563.215)</w:t>
            </w:r>
          </w:p>
        </w:tc>
        <w:tc>
          <w:tcPr>
            <w:tcW w:w="762" w:type="pct"/>
            <w:tcBorders>
              <w:top w:val="single" w:sz="8" w:space="0" w:color="A99983"/>
              <w:left w:val="nil"/>
              <w:bottom w:val="single" w:sz="8" w:space="0" w:color="AC9B85"/>
              <w:right w:val="single" w:sz="8" w:space="0" w:color="A99983"/>
            </w:tcBorders>
            <w:shd w:val="clear" w:color="000000" w:fill="DFD6CD"/>
            <w:vAlign w:val="center"/>
          </w:tcPr>
          <w:p w:rsidR="00DF1AFD" w:rsidRPr="00DF1AFD" w:rsidRDefault="00DF1AFD" w:rsidP="00DF1AFD">
            <w:pPr>
              <w:spacing w:after="0" w:line="240" w:lineRule="auto"/>
              <w:ind w:firstLineChars="100" w:firstLine="161"/>
              <w:jc w:val="right"/>
              <w:rPr>
                <w:rFonts w:ascii="Times New Roman"/>
                <w:b/>
                <w:bCs/>
                <w:color w:val="60512F"/>
                <w:sz w:val="16"/>
                <w:szCs w:val="16"/>
                <w:lang w:val="it-IT"/>
              </w:rPr>
            </w:pPr>
            <w:r w:rsidRPr="00DF1AFD">
              <w:rPr>
                <w:rFonts w:ascii="Times New Roman" w:eastAsia="MS PGothic" w:cs="Arial"/>
                <w:b/>
                <w:bCs/>
                <w:color w:val="60512F"/>
                <w:sz w:val="16"/>
                <w:szCs w:val="16"/>
                <w:lang w:val="it-IT" w:eastAsia="it-IT"/>
              </w:rPr>
              <w:t>(8.579.188)</w:t>
            </w:r>
          </w:p>
        </w:tc>
        <w:tc>
          <w:tcPr>
            <w:tcW w:w="762" w:type="pct"/>
            <w:tcBorders>
              <w:top w:val="single" w:sz="8" w:space="0" w:color="A99983"/>
              <w:left w:val="nil"/>
              <w:bottom w:val="single" w:sz="8" w:space="0" w:color="AC9B85"/>
              <w:right w:val="single" w:sz="8" w:space="0" w:color="A99983"/>
            </w:tcBorders>
            <w:shd w:val="clear" w:color="000000" w:fill="DFD6CD"/>
            <w:vAlign w:val="center"/>
            <w:hideMark/>
          </w:tcPr>
          <w:p w:rsidR="00DF1AFD" w:rsidRPr="00DF1AFD" w:rsidRDefault="00DF1AFD" w:rsidP="00DF1AFD">
            <w:pPr>
              <w:spacing w:after="0" w:line="240" w:lineRule="auto"/>
              <w:ind w:firstLineChars="100" w:firstLine="161"/>
              <w:jc w:val="right"/>
              <w:rPr>
                <w:rFonts w:ascii="Times New Roman"/>
                <w:b/>
                <w:bCs/>
                <w:color w:val="60512F"/>
                <w:sz w:val="16"/>
                <w:szCs w:val="16"/>
                <w:lang w:val="it-IT"/>
              </w:rPr>
            </w:pPr>
            <w:r w:rsidRPr="00DF1AFD">
              <w:rPr>
                <w:rFonts w:ascii="Times New Roman"/>
                <w:b/>
                <w:bCs/>
                <w:color w:val="60512F"/>
                <w:sz w:val="16"/>
                <w:szCs w:val="16"/>
                <w:lang w:val="it-IT"/>
              </w:rPr>
              <w:t>9.067.061</w:t>
            </w:r>
          </w:p>
        </w:tc>
        <w:tc>
          <w:tcPr>
            <w:tcW w:w="757" w:type="pct"/>
            <w:tcBorders>
              <w:top w:val="single" w:sz="8" w:space="0" w:color="A99983"/>
              <w:left w:val="nil"/>
              <w:bottom w:val="single" w:sz="8" w:space="0" w:color="AC9B85"/>
              <w:right w:val="single" w:sz="8" w:space="0" w:color="A99983"/>
            </w:tcBorders>
            <w:shd w:val="clear" w:color="000000" w:fill="DFD6CD"/>
            <w:vAlign w:val="center"/>
            <w:hideMark/>
          </w:tcPr>
          <w:p w:rsidR="00DF1AFD" w:rsidRPr="00DF1AFD" w:rsidRDefault="00DF1AFD" w:rsidP="00DF1AFD">
            <w:pPr>
              <w:spacing w:after="0" w:line="240" w:lineRule="auto"/>
              <w:ind w:firstLineChars="100" w:firstLine="161"/>
              <w:jc w:val="right"/>
              <w:rPr>
                <w:rFonts w:ascii="Times New Roman"/>
                <w:b/>
                <w:bCs/>
                <w:color w:val="60512F"/>
                <w:sz w:val="16"/>
                <w:szCs w:val="16"/>
                <w:lang w:val="it-IT"/>
              </w:rPr>
            </w:pPr>
            <w:r w:rsidRPr="00DF1AFD">
              <w:rPr>
                <w:rFonts w:ascii="Times New Roman"/>
                <w:b/>
                <w:bCs/>
                <w:color w:val="60512F"/>
                <w:sz w:val="16"/>
                <w:szCs w:val="16"/>
                <w:lang w:val="it-IT"/>
              </w:rPr>
              <w:t>(3.694.684)</w:t>
            </w:r>
          </w:p>
        </w:tc>
      </w:tr>
      <w:tr w:rsidR="00DF1AFD" w:rsidRPr="00DF1AFD" w:rsidTr="002C4783">
        <w:trPr>
          <w:trHeight w:val="315"/>
        </w:trPr>
        <w:tc>
          <w:tcPr>
            <w:tcW w:w="1957" w:type="pct"/>
            <w:tcBorders>
              <w:top w:val="nil"/>
              <w:left w:val="single" w:sz="8" w:space="0" w:color="DFD6CD"/>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rPr>
                <w:rFonts w:ascii="Times New Roman"/>
                <w:color w:val="000000"/>
                <w:sz w:val="16"/>
                <w:szCs w:val="16"/>
                <w:lang w:val="it-IT"/>
              </w:rPr>
            </w:pPr>
            <w:r w:rsidRPr="00DF1AFD">
              <w:rPr>
                <w:rFonts w:ascii="Times New Roman"/>
                <w:color w:val="000000"/>
                <w:sz w:val="16"/>
                <w:szCs w:val="16"/>
                <w:lang w:val="it-IT"/>
              </w:rPr>
              <w:t xml:space="preserve"> Proventi da partecipazioni</w:t>
            </w:r>
          </w:p>
        </w:tc>
        <w:tc>
          <w:tcPr>
            <w:tcW w:w="762" w:type="pct"/>
            <w:tcBorders>
              <w:top w:val="nil"/>
              <w:left w:val="nil"/>
              <w:bottom w:val="single" w:sz="8" w:space="0" w:color="DFD6CD"/>
              <w:right w:val="single" w:sz="8" w:space="0" w:color="DFD6CD"/>
            </w:tcBorders>
            <w:shd w:val="clear" w:color="000000" w:fill="F9F6F1"/>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eastAsia="MS PGothic" w:cs="Arial"/>
                <w:color w:val="000000"/>
                <w:sz w:val="16"/>
                <w:szCs w:val="16"/>
                <w:lang w:val="it-IT" w:eastAsia="it-IT"/>
              </w:rPr>
              <w:t xml:space="preserve">47.039.755  </w:t>
            </w:r>
          </w:p>
        </w:tc>
        <w:tc>
          <w:tcPr>
            <w:tcW w:w="762" w:type="pct"/>
            <w:tcBorders>
              <w:top w:val="nil"/>
              <w:left w:val="nil"/>
              <w:bottom w:val="single" w:sz="8" w:space="0" w:color="DFD6CD"/>
              <w:right w:val="single" w:sz="8" w:space="0" w:color="DFD6CD"/>
            </w:tcBorders>
            <w:shd w:val="clear" w:color="000000" w:fill="F9F6F1"/>
            <w:vAlign w:val="center"/>
          </w:tcPr>
          <w:p w:rsidR="00DF1AFD" w:rsidRPr="00DF1AFD" w:rsidRDefault="00DF1AFD" w:rsidP="00DF1AFD">
            <w:pPr>
              <w:spacing w:after="0" w:line="240" w:lineRule="auto"/>
              <w:jc w:val="right"/>
              <w:rPr>
                <w:rFonts w:ascii="Times New Roman"/>
                <w:color w:val="000000"/>
                <w:sz w:val="16"/>
                <w:szCs w:val="16"/>
                <w:lang w:val="it-IT"/>
              </w:rPr>
            </w:pPr>
            <w:r w:rsidRPr="00DF1AFD">
              <w:rPr>
                <w:rFonts w:ascii="Times New Roman" w:eastAsia="MS PGothic" w:cs="Arial"/>
                <w:color w:val="000000"/>
                <w:sz w:val="16"/>
                <w:szCs w:val="16"/>
                <w:lang w:val="it-IT" w:eastAsia="it-IT"/>
              </w:rPr>
              <w:t xml:space="preserve">     47.039.755 </w:t>
            </w:r>
          </w:p>
        </w:tc>
        <w:tc>
          <w:tcPr>
            <w:tcW w:w="762" w:type="pct"/>
            <w:tcBorders>
              <w:top w:val="single" w:sz="8" w:space="0" w:color="DFD6CD"/>
              <w:left w:val="nil"/>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color w:val="000000"/>
                <w:sz w:val="16"/>
                <w:szCs w:val="16"/>
                <w:lang w:val="it-IT"/>
              </w:rPr>
              <w:t>11.373.571</w:t>
            </w:r>
          </w:p>
        </w:tc>
        <w:tc>
          <w:tcPr>
            <w:tcW w:w="757" w:type="pct"/>
            <w:tcBorders>
              <w:top w:val="nil"/>
              <w:left w:val="nil"/>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color w:val="000000"/>
                <w:sz w:val="16"/>
                <w:szCs w:val="16"/>
                <w:lang w:val="it-IT"/>
              </w:rPr>
              <w:t>11.373.571</w:t>
            </w:r>
          </w:p>
        </w:tc>
      </w:tr>
      <w:tr w:rsidR="00DF1AFD" w:rsidRPr="00DF1AFD" w:rsidTr="002C4783">
        <w:trPr>
          <w:trHeight w:val="315"/>
        </w:trPr>
        <w:tc>
          <w:tcPr>
            <w:tcW w:w="1957" w:type="pct"/>
            <w:tcBorders>
              <w:top w:val="nil"/>
              <w:left w:val="single" w:sz="8" w:space="0" w:color="DFD6CD"/>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rPr>
                <w:rFonts w:ascii="Times New Roman"/>
                <w:color w:val="000000"/>
                <w:sz w:val="16"/>
                <w:szCs w:val="16"/>
                <w:lang w:val="it-IT"/>
              </w:rPr>
            </w:pPr>
            <w:r w:rsidRPr="00DF1AFD">
              <w:rPr>
                <w:rFonts w:ascii="Times New Roman"/>
                <w:color w:val="000000"/>
                <w:sz w:val="16"/>
                <w:szCs w:val="16"/>
                <w:lang w:val="it-IT"/>
              </w:rPr>
              <w:t xml:space="preserve"> Proventi finanziari</w:t>
            </w:r>
          </w:p>
        </w:tc>
        <w:tc>
          <w:tcPr>
            <w:tcW w:w="762" w:type="pct"/>
            <w:tcBorders>
              <w:top w:val="nil"/>
              <w:left w:val="nil"/>
              <w:bottom w:val="single" w:sz="8" w:space="0" w:color="DFD6CD"/>
              <w:right w:val="single" w:sz="8" w:space="0" w:color="DFD6CD"/>
            </w:tcBorders>
            <w:shd w:val="clear" w:color="000000" w:fill="F9F6F1"/>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eastAsia="MS PGothic" w:cs="Arial"/>
                <w:color w:val="000000"/>
                <w:sz w:val="16"/>
                <w:szCs w:val="16"/>
                <w:lang w:val="it-IT" w:eastAsia="it-IT"/>
              </w:rPr>
              <w:t xml:space="preserve">12.634  </w:t>
            </w:r>
          </w:p>
        </w:tc>
        <w:tc>
          <w:tcPr>
            <w:tcW w:w="762" w:type="pct"/>
            <w:tcBorders>
              <w:top w:val="nil"/>
              <w:left w:val="nil"/>
              <w:bottom w:val="single" w:sz="8" w:space="0" w:color="DFD6CD"/>
              <w:right w:val="single" w:sz="8" w:space="0" w:color="DFD6CD"/>
            </w:tcBorders>
            <w:shd w:val="clear" w:color="000000" w:fill="F9F6F1"/>
            <w:vAlign w:val="center"/>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color w:val="000000"/>
                <w:sz w:val="16"/>
                <w:szCs w:val="16"/>
                <w:lang w:val="it-IT"/>
              </w:rPr>
              <w:t>-</w:t>
            </w:r>
          </w:p>
        </w:tc>
        <w:tc>
          <w:tcPr>
            <w:tcW w:w="762" w:type="pct"/>
            <w:tcBorders>
              <w:top w:val="nil"/>
              <w:left w:val="nil"/>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eastAsia="it-IT"/>
              </w:rPr>
            </w:pPr>
            <w:r w:rsidRPr="00DF1AFD">
              <w:rPr>
                <w:rFonts w:ascii="Times New Roman"/>
                <w:color w:val="000000"/>
                <w:sz w:val="16"/>
                <w:szCs w:val="16"/>
                <w:lang w:val="it-IT"/>
              </w:rPr>
              <w:t>536.631</w:t>
            </w:r>
          </w:p>
        </w:tc>
        <w:tc>
          <w:tcPr>
            <w:tcW w:w="757" w:type="pct"/>
            <w:tcBorders>
              <w:top w:val="nil"/>
              <w:left w:val="nil"/>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color w:val="000000"/>
                <w:sz w:val="16"/>
                <w:szCs w:val="16"/>
                <w:lang w:val="it-IT"/>
              </w:rPr>
              <w:t>-</w:t>
            </w:r>
          </w:p>
        </w:tc>
      </w:tr>
      <w:tr w:rsidR="00DF1AFD" w:rsidRPr="00DF1AFD" w:rsidTr="002C4783">
        <w:trPr>
          <w:trHeight w:val="315"/>
        </w:trPr>
        <w:tc>
          <w:tcPr>
            <w:tcW w:w="1957" w:type="pct"/>
            <w:tcBorders>
              <w:top w:val="nil"/>
              <w:left w:val="single" w:sz="8" w:space="0" w:color="DFD6CD"/>
              <w:bottom w:val="single" w:sz="8" w:space="0" w:color="AC9B85"/>
              <w:right w:val="single" w:sz="8" w:space="0" w:color="DFD6CD"/>
            </w:tcBorders>
            <w:shd w:val="clear" w:color="auto" w:fill="auto"/>
            <w:vAlign w:val="center"/>
            <w:hideMark/>
          </w:tcPr>
          <w:p w:rsidR="00DF1AFD" w:rsidRPr="00DF1AFD" w:rsidRDefault="00DF1AFD" w:rsidP="00DF1AFD">
            <w:pPr>
              <w:spacing w:after="0" w:line="240" w:lineRule="auto"/>
              <w:rPr>
                <w:rFonts w:ascii="Times New Roman"/>
                <w:color w:val="000000"/>
                <w:sz w:val="16"/>
                <w:szCs w:val="16"/>
                <w:lang w:val="it-IT"/>
              </w:rPr>
            </w:pPr>
            <w:r w:rsidRPr="00DF1AFD">
              <w:rPr>
                <w:rFonts w:ascii="Times New Roman"/>
                <w:color w:val="000000"/>
                <w:sz w:val="16"/>
                <w:szCs w:val="16"/>
                <w:lang w:val="it-IT"/>
              </w:rPr>
              <w:t xml:space="preserve"> Oneri finanziari</w:t>
            </w:r>
          </w:p>
        </w:tc>
        <w:tc>
          <w:tcPr>
            <w:tcW w:w="762" w:type="pct"/>
            <w:tcBorders>
              <w:top w:val="nil"/>
              <w:left w:val="nil"/>
              <w:bottom w:val="single" w:sz="8" w:space="0" w:color="DFD6CD"/>
              <w:right w:val="single" w:sz="8" w:space="0" w:color="DFD6CD"/>
            </w:tcBorders>
            <w:shd w:val="clear" w:color="000000" w:fill="F9F6F1"/>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eastAsia="MS PGothic" w:cs="Arial"/>
                <w:color w:val="000000"/>
                <w:sz w:val="16"/>
                <w:szCs w:val="16"/>
                <w:lang w:val="it-IT" w:eastAsia="it-IT"/>
              </w:rPr>
              <w:t>(3.599.335)</w:t>
            </w:r>
          </w:p>
        </w:tc>
        <w:tc>
          <w:tcPr>
            <w:tcW w:w="762" w:type="pct"/>
            <w:tcBorders>
              <w:top w:val="nil"/>
              <w:left w:val="nil"/>
              <w:bottom w:val="single" w:sz="8" w:space="0" w:color="DFD6CD"/>
              <w:right w:val="single" w:sz="8" w:space="0" w:color="DFD6CD"/>
            </w:tcBorders>
            <w:shd w:val="clear" w:color="000000" w:fill="F9F6F1"/>
            <w:vAlign w:val="center"/>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color w:val="000000"/>
                <w:sz w:val="16"/>
                <w:szCs w:val="16"/>
                <w:lang w:val="it-IT"/>
              </w:rPr>
              <w:t>-</w:t>
            </w:r>
          </w:p>
        </w:tc>
        <w:tc>
          <w:tcPr>
            <w:tcW w:w="762" w:type="pct"/>
            <w:tcBorders>
              <w:top w:val="nil"/>
              <w:left w:val="nil"/>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eastAsia="it-IT"/>
              </w:rPr>
            </w:pPr>
            <w:r w:rsidRPr="00DF1AFD">
              <w:rPr>
                <w:rFonts w:ascii="Times New Roman"/>
                <w:color w:val="000000"/>
                <w:sz w:val="16"/>
                <w:szCs w:val="16"/>
                <w:lang w:val="it-IT"/>
              </w:rPr>
              <w:t>(4.704.528)</w:t>
            </w:r>
          </w:p>
        </w:tc>
        <w:tc>
          <w:tcPr>
            <w:tcW w:w="757" w:type="pct"/>
            <w:tcBorders>
              <w:top w:val="nil"/>
              <w:left w:val="nil"/>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color w:val="000000"/>
                <w:sz w:val="16"/>
                <w:szCs w:val="16"/>
                <w:lang w:val="it-IT"/>
              </w:rPr>
              <w:t>-</w:t>
            </w:r>
          </w:p>
        </w:tc>
      </w:tr>
      <w:tr w:rsidR="00DF1AFD" w:rsidRPr="00DF1AFD" w:rsidTr="002C4783">
        <w:trPr>
          <w:trHeight w:val="315"/>
        </w:trPr>
        <w:tc>
          <w:tcPr>
            <w:tcW w:w="1957" w:type="pct"/>
            <w:tcBorders>
              <w:top w:val="nil"/>
              <w:left w:val="single" w:sz="8" w:space="0" w:color="AC9B85"/>
              <w:bottom w:val="single" w:sz="8" w:space="0" w:color="AC9B85"/>
              <w:right w:val="single" w:sz="8" w:space="0" w:color="AC9B85"/>
            </w:tcBorders>
            <w:shd w:val="clear" w:color="000000" w:fill="DFD6CD"/>
            <w:vAlign w:val="center"/>
            <w:hideMark/>
          </w:tcPr>
          <w:p w:rsidR="00DF1AFD" w:rsidRPr="00DF1AFD" w:rsidRDefault="00DF1AFD" w:rsidP="00DF1AFD">
            <w:pPr>
              <w:spacing w:after="0" w:line="240" w:lineRule="auto"/>
              <w:rPr>
                <w:rFonts w:ascii="Times New Roman"/>
                <w:b/>
                <w:bCs/>
                <w:color w:val="60512F"/>
                <w:sz w:val="16"/>
                <w:szCs w:val="16"/>
                <w:lang w:val="it-IT"/>
              </w:rPr>
            </w:pPr>
            <w:r w:rsidRPr="00DF1AFD">
              <w:rPr>
                <w:rFonts w:ascii="Times New Roman"/>
                <w:b/>
                <w:bCs/>
                <w:color w:val="60512F"/>
                <w:sz w:val="16"/>
                <w:szCs w:val="16"/>
                <w:lang w:val="it-IT"/>
              </w:rPr>
              <w:t xml:space="preserve"> Risultato ante imposte</w:t>
            </w:r>
          </w:p>
        </w:tc>
        <w:tc>
          <w:tcPr>
            <w:tcW w:w="762" w:type="pct"/>
            <w:tcBorders>
              <w:top w:val="single" w:sz="8" w:space="0" w:color="A99983"/>
              <w:left w:val="single" w:sz="8" w:space="0" w:color="A99983"/>
              <w:bottom w:val="single" w:sz="8" w:space="0" w:color="AC9B85"/>
              <w:right w:val="single" w:sz="8" w:space="0" w:color="A99983"/>
            </w:tcBorders>
            <w:shd w:val="clear" w:color="000000" w:fill="DFD6CD"/>
            <w:vAlign w:val="center"/>
            <w:hideMark/>
          </w:tcPr>
          <w:p w:rsidR="00DF1AFD" w:rsidRPr="00DF1AFD" w:rsidRDefault="00DF1AFD" w:rsidP="00DF1AFD">
            <w:pPr>
              <w:spacing w:after="0" w:line="240" w:lineRule="auto"/>
              <w:ind w:firstLineChars="100" w:firstLine="161"/>
              <w:jc w:val="right"/>
              <w:rPr>
                <w:rFonts w:ascii="Times New Roman"/>
                <w:b/>
                <w:bCs/>
                <w:color w:val="60512F"/>
                <w:sz w:val="16"/>
                <w:szCs w:val="16"/>
                <w:lang w:val="it-IT"/>
              </w:rPr>
            </w:pPr>
            <w:r w:rsidRPr="00DF1AFD">
              <w:rPr>
                <w:rFonts w:ascii="Times New Roman" w:eastAsia="MS PGothic" w:cs="Arial"/>
                <w:b/>
                <w:bCs/>
                <w:color w:val="60512F"/>
                <w:sz w:val="16"/>
                <w:szCs w:val="16"/>
                <w:lang w:val="it-IT" w:eastAsia="it-IT"/>
              </w:rPr>
              <w:t xml:space="preserve">36.889.839  </w:t>
            </w:r>
          </w:p>
        </w:tc>
        <w:tc>
          <w:tcPr>
            <w:tcW w:w="762" w:type="pct"/>
            <w:tcBorders>
              <w:top w:val="single" w:sz="8" w:space="0" w:color="A99983"/>
              <w:left w:val="nil"/>
              <w:bottom w:val="single" w:sz="8" w:space="0" w:color="AC9B85"/>
              <w:right w:val="single" w:sz="8" w:space="0" w:color="A99983"/>
            </w:tcBorders>
            <w:shd w:val="clear" w:color="000000" w:fill="DFD6CD"/>
            <w:vAlign w:val="center"/>
          </w:tcPr>
          <w:p w:rsidR="00DF1AFD" w:rsidRPr="00DF1AFD" w:rsidRDefault="00DF1AFD" w:rsidP="00DF1AFD">
            <w:pPr>
              <w:spacing w:after="0" w:line="240" w:lineRule="auto"/>
              <w:ind w:firstLineChars="100" w:firstLine="161"/>
              <w:jc w:val="right"/>
              <w:rPr>
                <w:rFonts w:ascii="Times New Roman"/>
                <w:b/>
                <w:bCs/>
                <w:color w:val="60512F"/>
                <w:sz w:val="16"/>
                <w:szCs w:val="16"/>
                <w:lang w:val="it-IT" w:eastAsia="it-IT"/>
              </w:rPr>
            </w:pPr>
            <w:r w:rsidRPr="00DF1AFD">
              <w:rPr>
                <w:rFonts w:ascii="Times New Roman" w:eastAsia="MS PGothic" w:cs="Arial"/>
                <w:b/>
                <w:bCs/>
                <w:color w:val="60512F"/>
                <w:sz w:val="16"/>
                <w:szCs w:val="16"/>
                <w:lang w:val="it-IT" w:eastAsia="it-IT"/>
              </w:rPr>
              <w:t xml:space="preserve">38.460.567  </w:t>
            </w:r>
          </w:p>
        </w:tc>
        <w:tc>
          <w:tcPr>
            <w:tcW w:w="762" w:type="pct"/>
            <w:tcBorders>
              <w:top w:val="single" w:sz="8" w:space="0" w:color="A99983"/>
              <w:left w:val="nil"/>
              <w:bottom w:val="single" w:sz="8" w:space="0" w:color="AC9B85"/>
              <w:right w:val="single" w:sz="8" w:space="0" w:color="A99983"/>
            </w:tcBorders>
            <w:shd w:val="clear" w:color="000000" w:fill="DFD6CD"/>
            <w:vAlign w:val="center"/>
            <w:hideMark/>
          </w:tcPr>
          <w:p w:rsidR="00DF1AFD" w:rsidRPr="00DF1AFD" w:rsidRDefault="00DF1AFD" w:rsidP="00DF1AFD">
            <w:pPr>
              <w:spacing w:after="0" w:line="240" w:lineRule="auto"/>
              <w:ind w:firstLineChars="100" w:firstLine="161"/>
              <w:jc w:val="right"/>
              <w:rPr>
                <w:rFonts w:ascii="Times New Roman"/>
                <w:b/>
                <w:bCs/>
                <w:color w:val="60512F"/>
                <w:sz w:val="16"/>
                <w:szCs w:val="16"/>
                <w:lang w:val="it-IT"/>
              </w:rPr>
            </w:pPr>
            <w:r w:rsidRPr="00DF1AFD">
              <w:rPr>
                <w:rFonts w:ascii="Times New Roman"/>
                <w:b/>
                <w:bCs/>
                <w:color w:val="60512F"/>
                <w:sz w:val="16"/>
                <w:szCs w:val="16"/>
                <w:lang w:val="it-IT"/>
              </w:rPr>
              <w:t>16.272.735</w:t>
            </w:r>
          </w:p>
        </w:tc>
        <w:tc>
          <w:tcPr>
            <w:tcW w:w="757" w:type="pct"/>
            <w:tcBorders>
              <w:top w:val="single" w:sz="8" w:space="0" w:color="A99983"/>
              <w:left w:val="nil"/>
              <w:bottom w:val="single" w:sz="8" w:space="0" w:color="AC9B85"/>
              <w:right w:val="single" w:sz="8" w:space="0" w:color="A99983"/>
            </w:tcBorders>
            <w:shd w:val="clear" w:color="000000" w:fill="DFD6CD"/>
            <w:vAlign w:val="center"/>
            <w:hideMark/>
          </w:tcPr>
          <w:p w:rsidR="00DF1AFD" w:rsidRPr="00DF1AFD" w:rsidRDefault="00DF1AFD" w:rsidP="00DF1AFD">
            <w:pPr>
              <w:spacing w:after="0" w:line="240" w:lineRule="auto"/>
              <w:ind w:firstLineChars="100" w:firstLine="161"/>
              <w:jc w:val="right"/>
              <w:rPr>
                <w:rFonts w:ascii="Times New Roman"/>
                <w:b/>
                <w:bCs/>
                <w:color w:val="60512F"/>
                <w:sz w:val="16"/>
                <w:szCs w:val="16"/>
                <w:lang w:val="it-IT"/>
              </w:rPr>
            </w:pPr>
            <w:r w:rsidRPr="00DF1AFD">
              <w:rPr>
                <w:rFonts w:ascii="Times New Roman"/>
                <w:b/>
                <w:bCs/>
                <w:color w:val="60512F"/>
                <w:sz w:val="16"/>
                <w:szCs w:val="16"/>
                <w:lang w:val="it-IT"/>
              </w:rPr>
              <w:t>7.678.887</w:t>
            </w:r>
          </w:p>
        </w:tc>
      </w:tr>
      <w:tr w:rsidR="00DF1AFD" w:rsidRPr="00DF1AFD" w:rsidTr="002C4783">
        <w:trPr>
          <w:trHeight w:val="315"/>
        </w:trPr>
        <w:tc>
          <w:tcPr>
            <w:tcW w:w="1957" w:type="pct"/>
            <w:tcBorders>
              <w:top w:val="nil"/>
              <w:left w:val="single" w:sz="8" w:space="0" w:color="DFD6CD"/>
              <w:bottom w:val="single" w:sz="8" w:space="0" w:color="AC9B85"/>
              <w:right w:val="single" w:sz="8" w:space="0" w:color="DFD6CD"/>
            </w:tcBorders>
            <w:shd w:val="clear" w:color="auto" w:fill="auto"/>
            <w:vAlign w:val="center"/>
            <w:hideMark/>
          </w:tcPr>
          <w:p w:rsidR="00DF1AFD" w:rsidRPr="00DF1AFD" w:rsidRDefault="00DF1AFD" w:rsidP="00DF1AFD">
            <w:pPr>
              <w:spacing w:after="0" w:line="240" w:lineRule="auto"/>
              <w:rPr>
                <w:rFonts w:ascii="Times New Roman"/>
                <w:color w:val="000000"/>
                <w:sz w:val="16"/>
                <w:szCs w:val="16"/>
                <w:lang w:val="it-IT"/>
              </w:rPr>
            </w:pPr>
            <w:r w:rsidRPr="00DF1AFD">
              <w:rPr>
                <w:rFonts w:ascii="Times New Roman"/>
                <w:color w:val="000000"/>
                <w:sz w:val="16"/>
                <w:szCs w:val="16"/>
                <w:lang w:val="it-IT"/>
              </w:rPr>
              <w:t xml:space="preserve"> Imposte</w:t>
            </w:r>
          </w:p>
        </w:tc>
        <w:tc>
          <w:tcPr>
            <w:tcW w:w="762" w:type="pct"/>
            <w:tcBorders>
              <w:top w:val="single" w:sz="8" w:space="0" w:color="DFD6CD"/>
              <w:left w:val="nil"/>
              <w:bottom w:val="single" w:sz="8" w:space="0" w:color="DFD6CD"/>
              <w:right w:val="single" w:sz="8" w:space="0" w:color="DFD6CD"/>
            </w:tcBorders>
            <w:shd w:val="clear" w:color="000000" w:fill="F9F6F1"/>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eastAsia="MS PGothic" w:cs="Arial"/>
                <w:color w:val="000000"/>
                <w:sz w:val="16"/>
                <w:szCs w:val="16"/>
                <w:lang w:val="it-IT" w:eastAsia="it-IT"/>
              </w:rPr>
              <w:t xml:space="preserve">-  </w:t>
            </w:r>
          </w:p>
        </w:tc>
        <w:tc>
          <w:tcPr>
            <w:tcW w:w="762" w:type="pct"/>
            <w:tcBorders>
              <w:top w:val="nil"/>
              <w:left w:val="nil"/>
              <w:bottom w:val="single" w:sz="8" w:space="0" w:color="DFD6CD"/>
              <w:right w:val="single" w:sz="8" w:space="0" w:color="DFD6CD"/>
            </w:tcBorders>
            <w:shd w:val="clear" w:color="000000" w:fill="F9F6F1"/>
            <w:vAlign w:val="center"/>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eastAsia="MS PGothic" w:cs="Arial"/>
                <w:color w:val="000000"/>
                <w:sz w:val="16"/>
                <w:szCs w:val="16"/>
                <w:lang w:val="it-IT" w:eastAsia="it-IT"/>
              </w:rPr>
              <w:t xml:space="preserve">                -   </w:t>
            </w:r>
          </w:p>
        </w:tc>
        <w:tc>
          <w:tcPr>
            <w:tcW w:w="762" w:type="pct"/>
            <w:tcBorders>
              <w:top w:val="nil"/>
              <w:left w:val="nil"/>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color w:val="000000"/>
                <w:sz w:val="16"/>
                <w:szCs w:val="16"/>
                <w:lang w:val="it-IT"/>
              </w:rPr>
              <w:t>(10.919)</w:t>
            </w:r>
          </w:p>
        </w:tc>
        <w:tc>
          <w:tcPr>
            <w:tcW w:w="757" w:type="pct"/>
            <w:tcBorders>
              <w:top w:val="nil"/>
              <w:left w:val="nil"/>
              <w:bottom w:val="single" w:sz="8" w:space="0" w:color="DFD6CD"/>
              <w:right w:val="single" w:sz="8" w:space="0" w:color="DFD6CD"/>
            </w:tcBorders>
            <w:shd w:val="clear" w:color="auto" w:fill="auto"/>
            <w:vAlign w:val="center"/>
            <w:hideMark/>
          </w:tcPr>
          <w:p w:rsidR="00DF1AFD" w:rsidRPr="00DF1AFD" w:rsidRDefault="00DF1AFD" w:rsidP="00DF1AFD">
            <w:pPr>
              <w:spacing w:after="0" w:line="240" w:lineRule="auto"/>
              <w:ind w:firstLineChars="100" w:firstLine="160"/>
              <w:jc w:val="right"/>
              <w:rPr>
                <w:rFonts w:ascii="Times New Roman"/>
                <w:color w:val="000000"/>
                <w:sz w:val="16"/>
                <w:szCs w:val="16"/>
                <w:lang w:val="it-IT"/>
              </w:rPr>
            </w:pPr>
            <w:r w:rsidRPr="00DF1AFD">
              <w:rPr>
                <w:rFonts w:ascii="Times New Roman"/>
                <w:color w:val="000000"/>
                <w:sz w:val="16"/>
                <w:szCs w:val="16"/>
                <w:lang w:val="it-IT"/>
              </w:rPr>
              <w:t>-</w:t>
            </w:r>
          </w:p>
        </w:tc>
      </w:tr>
      <w:tr w:rsidR="00DF1AFD" w:rsidRPr="00DF1AFD" w:rsidTr="002C4783">
        <w:trPr>
          <w:trHeight w:val="315"/>
        </w:trPr>
        <w:tc>
          <w:tcPr>
            <w:tcW w:w="1957" w:type="pct"/>
            <w:tcBorders>
              <w:top w:val="nil"/>
              <w:left w:val="single" w:sz="8" w:space="0" w:color="AC9B85"/>
              <w:bottom w:val="single" w:sz="8" w:space="0" w:color="AC9B85"/>
              <w:right w:val="single" w:sz="8" w:space="0" w:color="AC9B85"/>
            </w:tcBorders>
            <w:shd w:val="clear" w:color="000000" w:fill="DFD6CD"/>
            <w:vAlign w:val="center"/>
            <w:hideMark/>
          </w:tcPr>
          <w:p w:rsidR="00DF1AFD" w:rsidRPr="00DF1AFD" w:rsidRDefault="00DF1AFD" w:rsidP="00DF1AFD">
            <w:pPr>
              <w:spacing w:after="0" w:line="240" w:lineRule="auto"/>
              <w:rPr>
                <w:rFonts w:ascii="Times New Roman"/>
                <w:b/>
                <w:bCs/>
                <w:color w:val="60512F"/>
                <w:sz w:val="16"/>
                <w:szCs w:val="16"/>
                <w:lang w:val="it-IT"/>
              </w:rPr>
            </w:pPr>
            <w:r w:rsidRPr="00DF1AFD">
              <w:rPr>
                <w:rFonts w:ascii="Times New Roman"/>
                <w:b/>
                <w:bCs/>
                <w:color w:val="60512F"/>
                <w:sz w:val="16"/>
                <w:szCs w:val="16"/>
                <w:lang w:val="it-IT"/>
              </w:rPr>
              <w:t xml:space="preserve"> Risultato </w:t>
            </w:r>
          </w:p>
        </w:tc>
        <w:tc>
          <w:tcPr>
            <w:tcW w:w="762" w:type="pct"/>
            <w:tcBorders>
              <w:top w:val="single" w:sz="8" w:space="0" w:color="A99983"/>
              <w:left w:val="single" w:sz="8" w:space="0" w:color="A99983"/>
              <w:bottom w:val="single" w:sz="8" w:space="0" w:color="AC9B85"/>
              <w:right w:val="single" w:sz="8" w:space="0" w:color="A99983"/>
            </w:tcBorders>
            <w:shd w:val="clear" w:color="000000" w:fill="DFD6CD"/>
            <w:vAlign w:val="center"/>
            <w:hideMark/>
          </w:tcPr>
          <w:p w:rsidR="00DF1AFD" w:rsidRPr="00DF1AFD" w:rsidRDefault="00DF1AFD" w:rsidP="00DF1AFD">
            <w:pPr>
              <w:spacing w:after="0" w:line="240" w:lineRule="auto"/>
              <w:ind w:firstLineChars="100" w:firstLine="161"/>
              <w:jc w:val="right"/>
              <w:rPr>
                <w:rFonts w:ascii="Times New Roman"/>
                <w:b/>
                <w:bCs/>
                <w:color w:val="60512F"/>
                <w:sz w:val="16"/>
                <w:szCs w:val="16"/>
                <w:lang w:val="it-IT"/>
              </w:rPr>
            </w:pPr>
            <w:r w:rsidRPr="00DF1AFD">
              <w:rPr>
                <w:rFonts w:ascii="Times New Roman" w:eastAsia="MS PGothic" w:cs="Arial"/>
                <w:b/>
                <w:bCs/>
                <w:color w:val="60512F"/>
                <w:sz w:val="16"/>
                <w:szCs w:val="16"/>
                <w:lang w:val="it-IT" w:eastAsia="it-IT"/>
              </w:rPr>
              <w:t xml:space="preserve">36.889.839  </w:t>
            </w:r>
          </w:p>
        </w:tc>
        <w:tc>
          <w:tcPr>
            <w:tcW w:w="762" w:type="pct"/>
            <w:tcBorders>
              <w:top w:val="single" w:sz="8" w:space="0" w:color="A99983"/>
              <w:left w:val="nil"/>
              <w:bottom w:val="single" w:sz="8" w:space="0" w:color="AC9B85"/>
              <w:right w:val="single" w:sz="8" w:space="0" w:color="A99983"/>
            </w:tcBorders>
            <w:shd w:val="clear" w:color="000000" w:fill="DFD6CD"/>
            <w:vAlign w:val="center"/>
          </w:tcPr>
          <w:p w:rsidR="00DF1AFD" w:rsidRPr="00DF1AFD" w:rsidRDefault="00DF1AFD" w:rsidP="00DF1AFD">
            <w:pPr>
              <w:spacing w:after="0" w:line="240" w:lineRule="auto"/>
              <w:ind w:firstLineChars="100" w:firstLine="161"/>
              <w:jc w:val="right"/>
              <w:rPr>
                <w:rFonts w:ascii="Times New Roman"/>
                <w:b/>
                <w:bCs/>
                <w:color w:val="60512F"/>
                <w:sz w:val="16"/>
                <w:szCs w:val="16"/>
                <w:lang w:val="it-IT"/>
              </w:rPr>
            </w:pPr>
            <w:r w:rsidRPr="00DF1AFD">
              <w:rPr>
                <w:rFonts w:ascii="Times New Roman" w:eastAsia="MS PGothic" w:cs="Arial"/>
                <w:b/>
                <w:bCs/>
                <w:color w:val="60512F"/>
                <w:sz w:val="16"/>
                <w:szCs w:val="16"/>
                <w:lang w:val="it-IT" w:eastAsia="it-IT"/>
              </w:rPr>
              <w:t xml:space="preserve">38.460.567  </w:t>
            </w:r>
          </w:p>
        </w:tc>
        <w:tc>
          <w:tcPr>
            <w:tcW w:w="762" w:type="pct"/>
            <w:tcBorders>
              <w:top w:val="single" w:sz="8" w:space="0" w:color="A99983"/>
              <w:left w:val="nil"/>
              <w:bottom w:val="single" w:sz="8" w:space="0" w:color="AC9B85"/>
              <w:right w:val="single" w:sz="8" w:space="0" w:color="A99983"/>
            </w:tcBorders>
            <w:shd w:val="clear" w:color="000000" w:fill="DFD6CD"/>
            <w:vAlign w:val="center"/>
            <w:hideMark/>
          </w:tcPr>
          <w:p w:rsidR="00DF1AFD" w:rsidRPr="00DF1AFD" w:rsidRDefault="00DF1AFD" w:rsidP="00DF1AFD">
            <w:pPr>
              <w:spacing w:after="0" w:line="240" w:lineRule="auto"/>
              <w:ind w:firstLineChars="100" w:firstLine="161"/>
              <w:jc w:val="right"/>
              <w:rPr>
                <w:rFonts w:ascii="Times New Roman"/>
                <w:b/>
                <w:bCs/>
                <w:color w:val="60512F"/>
                <w:sz w:val="16"/>
                <w:szCs w:val="16"/>
                <w:lang w:val="it-IT"/>
              </w:rPr>
            </w:pPr>
            <w:r w:rsidRPr="00DF1AFD">
              <w:rPr>
                <w:rFonts w:ascii="Times New Roman"/>
                <w:b/>
                <w:bCs/>
                <w:color w:val="60512F"/>
                <w:sz w:val="16"/>
                <w:szCs w:val="16"/>
                <w:lang w:val="it-IT"/>
              </w:rPr>
              <w:t>16.261.816</w:t>
            </w:r>
          </w:p>
        </w:tc>
        <w:tc>
          <w:tcPr>
            <w:tcW w:w="757" w:type="pct"/>
            <w:tcBorders>
              <w:top w:val="single" w:sz="8" w:space="0" w:color="A99983"/>
              <w:left w:val="nil"/>
              <w:bottom w:val="single" w:sz="8" w:space="0" w:color="AC9B85"/>
              <w:right w:val="single" w:sz="8" w:space="0" w:color="A99983"/>
            </w:tcBorders>
            <w:shd w:val="clear" w:color="000000" w:fill="DFD6CD"/>
            <w:vAlign w:val="center"/>
            <w:hideMark/>
          </w:tcPr>
          <w:p w:rsidR="00DF1AFD" w:rsidRPr="00DF1AFD" w:rsidRDefault="00DF1AFD" w:rsidP="00DF1AFD">
            <w:pPr>
              <w:spacing w:after="0" w:line="240" w:lineRule="auto"/>
              <w:ind w:firstLineChars="100" w:firstLine="161"/>
              <w:jc w:val="right"/>
              <w:rPr>
                <w:rFonts w:ascii="Times New Roman"/>
                <w:b/>
                <w:bCs/>
                <w:color w:val="60512F"/>
                <w:sz w:val="16"/>
                <w:szCs w:val="16"/>
                <w:lang w:val="it-IT"/>
              </w:rPr>
            </w:pPr>
            <w:r w:rsidRPr="00DF1AFD">
              <w:rPr>
                <w:rFonts w:ascii="Times New Roman"/>
                <w:b/>
                <w:bCs/>
                <w:color w:val="60512F"/>
                <w:sz w:val="16"/>
                <w:szCs w:val="16"/>
                <w:lang w:val="it-IT"/>
              </w:rPr>
              <w:t>7.678.887</w:t>
            </w:r>
          </w:p>
        </w:tc>
      </w:tr>
    </w:tbl>
    <w:bookmarkEnd w:id="3"/>
    <w:p w:rsidR="00DF1AFD" w:rsidRDefault="002C4783" w:rsidP="002C4783">
      <w:pPr>
        <w:pageBreakBefore/>
        <w:jc w:val="center"/>
        <w:rPr>
          <w:rFonts w:ascii="Arial" w:hAnsi="Arial" w:cs="Arial"/>
          <w:b/>
          <w:lang w:val="it-IT"/>
        </w:rPr>
      </w:pPr>
      <w:r w:rsidRPr="002C4783">
        <w:rPr>
          <w:rFonts w:ascii="Arial" w:hAnsi="Arial" w:cs="Arial"/>
          <w:b/>
          <w:lang w:val="it-IT"/>
        </w:rPr>
        <w:lastRenderedPageBreak/>
        <w:t>PROSPETTO DELLA SITUAZIONE PATRIMONIALE-FINANZIARIA</w:t>
      </w:r>
    </w:p>
    <w:tbl>
      <w:tblPr>
        <w:tblW w:w="5000" w:type="pct"/>
        <w:tblLook w:val="04A0"/>
      </w:tblPr>
      <w:tblGrid>
        <w:gridCol w:w="3539"/>
        <w:gridCol w:w="1580"/>
        <w:gridCol w:w="1581"/>
        <w:gridCol w:w="1581"/>
        <w:gridCol w:w="1573"/>
      </w:tblGrid>
      <w:tr w:rsidR="000F201E" w:rsidRPr="000F201E" w:rsidTr="000F201E">
        <w:trPr>
          <w:trHeight w:val="300"/>
        </w:trPr>
        <w:tc>
          <w:tcPr>
            <w:tcW w:w="1796" w:type="pct"/>
            <w:vMerge w:val="restart"/>
            <w:tcBorders>
              <w:top w:val="single" w:sz="8" w:space="0" w:color="DFD6CD"/>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b/>
                <w:bCs/>
                <w:color w:val="000000"/>
                <w:sz w:val="16"/>
                <w:szCs w:val="16"/>
                <w:lang w:val="it-IT"/>
              </w:rPr>
            </w:pPr>
            <w:bookmarkStart w:id="4" w:name="_Hlk506453755"/>
            <w:r w:rsidRPr="000F201E">
              <w:rPr>
                <w:rFonts w:ascii="Times New Roman"/>
                <w:b/>
                <w:bCs/>
                <w:color w:val="000000"/>
                <w:sz w:val="16"/>
                <w:szCs w:val="16"/>
                <w:lang w:val="it-IT"/>
              </w:rPr>
              <w:t>(Euro)</w:t>
            </w:r>
          </w:p>
        </w:tc>
        <w:tc>
          <w:tcPr>
            <w:tcW w:w="802" w:type="pct"/>
            <w:vMerge w:val="restart"/>
            <w:tcBorders>
              <w:top w:val="single" w:sz="8" w:space="0" w:color="C4BD97"/>
              <w:left w:val="nil"/>
              <w:bottom w:val="single" w:sz="8" w:space="0" w:color="C4BD97"/>
              <w:right w:val="nil"/>
            </w:tcBorders>
            <w:shd w:val="clear" w:color="000000" w:fill="AC9B85"/>
            <w:vAlign w:val="center"/>
            <w:hideMark/>
          </w:tcPr>
          <w:p w:rsidR="000F201E" w:rsidRPr="000F201E" w:rsidRDefault="000F201E" w:rsidP="000F201E">
            <w:pPr>
              <w:spacing w:after="0" w:line="240" w:lineRule="auto"/>
              <w:jc w:val="center"/>
              <w:rPr>
                <w:rFonts w:ascii="Times New Roman"/>
                <w:b/>
                <w:bCs/>
                <w:color w:val="FFFFFF"/>
                <w:sz w:val="16"/>
                <w:szCs w:val="16"/>
                <w:lang w:val="it-IT"/>
              </w:rPr>
            </w:pPr>
            <w:r w:rsidRPr="000F201E">
              <w:rPr>
                <w:rFonts w:ascii="Times New Roman"/>
                <w:b/>
                <w:bCs/>
                <w:color w:val="FFFFFF"/>
                <w:sz w:val="16"/>
                <w:szCs w:val="16"/>
                <w:lang w:val="it-IT"/>
              </w:rPr>
              <w:t>31 dicembre 2018</w:t>
            </w:r>
            <w:r>
              <w:rPr>
                <w:rFonts w:ascii="Times New Roman"/>
                <w:b/>
                <w:bCs/>
                <w:color w:val="FFFFFF"/>
                <w:sz w:val="16"/>
                <w:szCs w:val="16"/>
                <w:lang w:val="it-IT"/>
              </w:rPr>
              <w:t xml:space="preserve"> (dati non revisionati)</w:t>
            </w:r>
          </w:p>
        </w:tc>
        <w:tc>
          <w:tcPr>
            <w:tcW w:w="802" w:type="pct"/>
            <w:vMerge w:val="restart"/>
            <w:tcBorders>
              <w:top w:val="single" w:sz="8" w:space="0" w:color="C4BD97"/>
              <w:left w:val="nil"/>
              <w:bottom w:val="single" w:sz="8" w:space="0" w:color="C4BD97"/>
              <w:right w:val="single" w:sz="8" w:space="0" w:color="C4BD97"/>
            </w:tcBorders>
            <w:shd w:val="clear" w:color="000000" w:fill="AC9B85"/>
            <w:vAlign w:val="center"/>
            <w:hideMark/>
          </w:tcPr>
          <w:p w:rsidR="000F201E" w:rsidRPr="000F201E" w:rsidRDefault="000F201E" w:rsidP="000F201E">
            <w:pPr>
              <w:spacing w:after="0" w:line="240" w:lineRule="auto"/>
              <w:jc w:val="center"/>
              <w:rPr>
                <w:rFonts w:ascii="Times New Roman"/>
                <w:b/>
                <w:bCs/>
                <w:i/>
                <w:iCs/>
                <w:color w:val="FFFFFF"/>
                <w:sz w:val="16"/>
                <w:szCs w:val="16"/>
                <w:lang w:val="it-IT"/>
              </w:rPr>
            </w:pPr>
            <w:r w:rsidRPr="000F201E">
              <w:rPr>
                <w:rFonts w:ascii="Times New Roman"/>
                <w:b/>
                <w:bCs/>
                <w:i/>
                <w:iCs/>
                <w:color w:val="FFFFFF"/>
                <w:sz w:val="16"/>
                <w:szCs w:val="16"/>
                <w:lang w:val="it-IT"/>
              </w:rPr>
              <w:t>di cui parti correlate</w:t>
            </w:r>
          </w:p>
        </w:tc>
        <w:tc>
          <w:tcPr>
            <w:tcW w:w="802" w:type="pct"/>
            <w:vMerge w:val="restart"/>
            <w:tcBorders>
              <w:top w:val="single" w:sz="8" w:space="0" w:color="C4BD97"/>
              <w:left w:val="nil"/>
              <w:bottom w:val="single" w:sz="8" w:space="0" w:color="C4BD97"/>
              <w:right w:val="nil"/>
            </w:tcBorders>
            <w:shd w:val="clear" w:color="000000" w:fill="AC9B85"/>
            <w:vAlign w:val="center"/>
            <w:hideMark/>
          </w:tcPr>
          <w:p w:rsidR="000F201E" w:rsidRPr="000F201E" w:rsidRDefault="000F201E" w:rsidP="000F201E">
            <w:pPr>
              <w:spacing w:after="0" w:line="240" w:lineRule="auto"/>
              <w:jc w:val="center"/>
              <w:rPr>
                <w:rFonts w:ascii="Times New Roman"/>
                <w:b/>
                <w:bCs/>
                <w:color w:val="FFFFFF"/>
                <w:sz w:val="16"/>
                <w:szCs w:val="16"/>
                <w:lang w:val="it-IT"/>
              </w:rPr>
            </w:pPr>
            <w:r w:rsidRPr="000F201E">
              <w:rPr>
                <w:rFonts w:ascii="Times New Roman"/>
                <w:b/>
                <w:bCs/>
                <w:color w:val="FFFFFF"/>
                <w:sz w:val="16"/>
                <w:szCs w:val="16"/>
                <w:lang w:val="it-IT"/>
              </w:rPr>
              <w:t>31 dicembre 2017</w:t>
            </w:r>
          </w:p>
        </w:tc>
        <w:tc>
          <w:tcPr>
            <w:tcW w:w="798" w:type="pct"/>
            <w:vMerge w:val="restart"/>
            <w:tcBorders>
              <w:top w:val="single" w:sz="8" w:space="0" w:color="C4BD97"/>
              <w:left w:val="nil"/>
              <w:bottom w:val="single" w:sz="8" w:space="0" w:color="C4BD97"/>
              <w:right w:val="single" w:sz="8" w:space="0" w:color="C4BD97"/>
            </w:tcBorders>
            <w:shd w:val="clear" w:color="000000" w:fill="AC9B85"/>
            <w:vAlign w:val="center"/>
            <w:hideMark/>
          </w:tcPr>
          <w:p w:rsidR="000F201E" w:rsidRPr="000F201E" w:rsidRDefault="000F201E" w:rsidP="000F201E">
            <w:pPr>
              <w:spacing w:after="0" w:line="240" w:lineRule="auto"/>
              <w:jc w:val="center"/>
              <w:rPr>
                <w:rFonts w:ascii="Times New Roman"/>
                <w:b/>
                <w:bCs/>
                <w:i/>
                <w:iCs/>
                <w:color w:val="FFFFFF"/>
                <w:sz w:val="16"/>
                <w:szCs w:val="16"/>
                <w:lang w:val="it-IT"/>
              </w:rPr>
            </w:pPr>
            <w:r w:rsidRPr="000F201E">
              <w:rPr>
                <w:rFonts w:ascii="Times New Roman"/>
                <w:b/>
                <w:bCs/>
                <w:i/>
                <w:iCs/>
                <w:color w:val="FFFFFF"/>
                <w:sz w:val="16"/>
                <w:szCs w:val="16"/>
                <w:lang w:val="it-IT"/>
              </w:rPr>
              <w:t>di cui parti correlate</w:t>
            </w:r>
          </w:p>
        </w:tc>
      </w:tr>
      <w:tr w:rsidR="000F201E" w:rsidRPr="000F201E" w:rsidTr="000F201E">
        <w:trPr>
          <w:trHeight w:val="450"/>
        </w:trPr>
        <w:tc>
          <w:tcPr>
            <w:tcW w:w="1796" w:type="pct"/>
            <w:vMerge/>
            <w:tcBorders>
              <w:top w:val="single" w:sz="8" w:space="0" w:color="DFD6CD"/>
              <w:left w:val="single" w:sz="8" w:space="0" w:color="DFD6CD"/>
              <w:bottom w:val="single" w:sz="8" w:space="0" w:color="DFD6CD"/>
              <w:right w:val="single" w:sz="8" w:space="0" w:color="DFD6CD"/>
            </w:tcBorders>
            <w:vAlign w:val="center"/>
            <w:hideMark/>
          </w:tcPr>
          <w:p w:rsidR="000F201E" w:rsidRPr="000F201E" w:rsidRDefault="000F201E" w:rsidP="000F201E">
            <w:pPr>
              <w:spacing w:after="0" w:line="240" w:lineRule="auto"/>
              <w:rPr>
                <w:rFonts w:ascii="Times New Roman"/>
                <w:b/>
                <w:bCs/>
                <w:color w:val="000000"/>
                <w:sz w:val="16"/>
                <w:szCs w:val="16"/>
                <w:lang w:val="it-IT"/>
              </w:rPr>
            </w:pPr>
          </w:p>
        </w:tc>
        <w:tc>
          <w:tcPr>
            <w:tcW w:w="802" w:type="pct"/>
            <w:vMerge/>
            <w:tcBorders>
              <w:top w:val="single" w:sz="8" w:space="0" w:color="C4BD97"/>
              <w:left w:val="nil"/>
              <w:bottom w:val="single" w:sz="8" w:space="0" w:color="C4BD97"/>
              <w:right w:val="nil"/>
            </w:tcBorders>
            <w:vAlign w:val="center"/>
            <w:hideMark/>
          </w:tcPr>
          <w:p w:rsidR="000F201E" w:rsidRPr="000F201E" w:rsidRDefault="000F201E" w:rsidP="000F201E">
            <w:pPr>
              <w:spacing w:after="0" w:line="240" w:lineRule="auto"/>
              <w:rPr>
                <w:rFonts w:ascii="Times New Roman"/>
                <w:b/>
                <w:bCs/>
                <w:color w:val="FFFFFF"/>
                <w:sz w:val="16"/>
                <w:szCs w:val="16"/>
                <w:lang w:val="it-IT"/>
              </w:rPr>
            </w:pPr>
          </w:p>
        </w:tc>
        <w:tc>
          <w:tcPr>
            <w:tcW w:w="802" w:type="pct"/>
            <w:vMerge/>
            <w:tcBorders>
              <w:top w:val="single" w:sz="8" w:space="0" w:color="C4BD97"/>
              <w:left w:val="nil"/>
              <w:bottom w:val="single" w:sz="8" w:space="0" w:color="C4BD97"/>
              <w:right w:val="single" w:sz="8" w:space="0" w:color="C4BD97"/>
            </w:tcBorders>
            <w:vAlign w:val="center"/>
            <w:hideMark/>
          </w:tcPr>
          <w:p w:rsidR="000F201E" w:rsidRPr="000F201E" w:rsidRDefault="000F201E" w:rsidP="000F201E">
            <w:pPr>
              <w:spacing w:after="0" w:line="240" w:lineRule="auto"/>
              <w:rPr>
                <w:rFonts w:ascii="Times New Roman"/>
                <w:b/>
                <w:bCs/>
                <w:i/>
                <w:iCs/>
                <w:color w:val="FFFFFF"/>
                <w:sz w:val="16"/>
                <w:szCs w:val="16"/>
                <w:lang w:val="it-IT"/>
              </w:rPr>
            </w:pPr>
          </w:p>
        </w:tc>
        <w:tc>
          <w:tcPr>
            <w:tcW w:w="802" w:type="pct"/>
            <w:vMerge/>
            <w:tcBorders>
              <w:top w:val="single" w:sz="8" w:space="0" w:color="C4BD97"/>
              <w:left w:val="nil"/>
              <w:bottom w:val="single" w:sz="8" w:space="0" w:color="C4BD97"/>
              <w:right w:val="nil"/>
            </w:tcBorders>
            <w:vAlign w:val="center"/>
            <w:hideMark/>
          </w:tcPr>
          <w:p w:rsidR="000F201E" w:rsidRPr="000F201E" w:rsidRDefault="000F201E" w:rsidP="000F201E">
            <w:pPr>
              <w:spacing w:after="0" w:line="240" w:lineRule="auto"/>
              <w:rPr>
                <w:rFonts w:ascii="Times New Roman"/>
                <w:b/>
                <w:bCs/>
                <w:color w:val="FFFFFF"/>
                <w:sz w:val="16"/>
                <w:szCs w:val="16"/>
                <w:lang w:val="it-IT"/>
              </w:rPr>
            </w:pPr>
          </w:p>
        </w:tc>
        <w:tc>
          <w:tcPr>
            <w:tcW w:w="798" w:type="pct"/>
            <w:vMerge/>
            <w:tcBorders>
              <w:top w:val="single" w:sz="8" w:space="0" w:color="C4BD97"/>
              <w:left w:val="nil"/>
              <w:bottom w:val="single" w:sz="8" w:space="0" w:color="C4BD97"/>
              <w:right w:val="single" w:sz="8" w:space="0" w:color="C4BD97"/>
            </w:tcBorders>
            <w:vAlign w:val="center"/>
            <w:hideMark/>
          </w:tcPr>
          <w:p w:rsidR="000F201E" w:rsidRPr="000F201E" w:rsidRDefault="000F201E" w:rsidP="000F201E">
            <w:pPr>
              <w:spacing w:after="0" w:line="240" w:lineRule="auto"/>
              <w:rPr>
                <w:rFonts w:ascii="Times New Roman"/>
                <w:b/>
                <w:bCs/>
                <w:i/>
                <w:iCs/>
                <w:color w:val="FFFFFF"/>
                <w:sz w:val="16"/>
                <w:szCs w:val="16"/>
                <w:lang w:val="it-IT"/>
              </w:rPr>
            </w:pPr>
          </w:p>
        </w:tc>
      </w:tr>
      <w:tr w:rsidR="000F201E" w:rsidRPr="000F201E" w:rsidTr="000F201E">
        <w:trPr>
          <w:trHeight w:val="315"/>
        </w:trPr>
        <w:tc>
          <w:tcPr>
            <w:tcW w:w="1796" w:type="pct"/>
            <w:tcBorders>
              <w:top w:val="single" w:sz="8" w:space="0" w:color="C4BD97"/>
              <w:left w:val="single" w:sz="8" w:space="0" w:color="C4BD97"/>
              <w:bottom w:val="single" w:sz="8" w:space="0" w:color="C4BD97"/>
              <w:right w:val="nil"/>
            </w:tcBorders>
            <w:shd w:val="clear" w:color="000000" w:fill="AC9B85"/>
            <w:vAlign w:val="center"/>
            <w:hideMark/>
          </w:tcPr>
          <w:p w:rsidR="000F201E" w:rsidRPr="000F201E" w:rsidRDefault="000F201E" w:rsidP="000F201E">
            <w:pPr>
              <w:spacing w:after="0" w:line="240" w:lineRule="auto"/>
              <w:rPr>
                <w:rFonts w:ascii="Times New Roman"/>
                <w:b/>
                <w:bCs/>
                <w:color w:val="FFFFFF"/>
                <w:sz w:val="16"/>
                <w:szCs w:val="16"/>
                <w:lang w:val="it-IT"/>
              </w:rPr>
            </w:pPr>
            <w:r w:rsidRPr="000F201E">
              <w:rPr>
                <w:rFonts w:ascii="Times New Roman"/>
                <w:b/>
                <w:bCs/>
                <w:color w:val="FFFFFF"/>
                <w:sz w:val="16"/>
                <w:szCs w:val="16"/>
                <w:lang w:val="it-IT"/>
              </w:rPr>
              <w:t xml:space="preserve"> Attivo</w:t>
            </w:r>
          </w:p>
        </w:tc>
        <w:tc>
          <w:tcPr>
            <w:tcW w:w="802" w:type="pct"/>
            <w:tcBorders>
              <w:top w:val="nil"/>
              <w:left w:val="nil"/>
              <w:bottom w:val="single" w:sz="8" w:space="0" w:color="C4BD97"/>
              <w:right w:val="nil"/>
            </w:tcBorders>
            <w:shd w:val="clear" w:color="000000" w:fill="AC9B85"/>
            <w:vAlign w:val="center"/>
            <w:hideMark/>
          </w:tcPr>
          <w:p w:rsidR="000F201E" w:rsidRPr="000F201E" w:rsidRDefault="000F201E" w:rsidP="000F201E">
            <w:pPr>
              <w:spacing w:after="0" w:line="240" w:lineRule="auto"/>
              <w:rPr>
                <w:rFonts w:ascii="Times New Roman"/>
                <w:b/>
                <w:bCs/>
                <w:color w:val="FFFFFF"/>
                <w:sz w:val="16"/>
                <w:szCs w:val="16"/>
                <w:lang w:val="it-IT"/>
              </w:rPr>
            </w:pPr>
            <w:r w:rsidRPr="000F201E">
              <w:rPr>
                <w:rFonts w:ascii="Times New Roman"/>
                <w:b/>
                <w:bCs/>
                <w:color w:val="FFFFFF"/>
                <w:sz w:val="16"/>
                <w:szCs w:val="16"/>
                <w:lang w:val="it-IT"/>
              </w:rPr>
              <w:t> </w:t>
            </w:r>
          </w:p>
        </w:tc>
        <w:tc>
          <w:tcPr>
            <w:tcW w:w="802" w:type="pct"/>
            <w:tcBorders>
              <w:top w:val="nil"/>
              <w:left w:val="nil"/>
              <w:bottom w:val="single" w:sz="8" w:space="0" w:color="C4BD97"/>
              <w:right w:val="nil"/>
            </w:tcBorders>
            <w:shd w:val="clear" w:color="000000" w:fill="AC9B85"/>
            <w:vAlign w:val="center"/>
            <w:hideMark/>
          </w:tcPr>
          <w:p w:rsidR="000F201E" w:rsidRPr="000F201E" w:rsidRDefault="000F201E" w:rsidP="000F201E">
            <w:pPr>
              <w:spacing w:after="0" w:line="240" w:lineRule="auto"/>
              <w:rPr>
                <w:rFonts w:ascii="Times New Roman"/>
                <w:b/>
                <w:bCs/>
                <w:color w:val="FFFFFF"/>
                <w:sz w:val="16"/>
                <w:szCs w:val="16"/>
                <w:lang w:val="it-IT"/>
              </w:rPr>
            </w:pPr>
            <w:r w:rsidRPr="000F201E">
              <w:rPr>
                <w:rFonts w:ascii="Times New Roman"/>
                <w:b/>
                <w:bCs/>
                <w:color w:val="FFFFFF"/>
                <w:sz w:val="16"/>
                <w:szCs w:val="16"/>
                <w:lang w:val="it-IT"/>
              </w:rPr>
              <w:t> </w:t>
            </w:r>
          </w:p>
        </w:tc>
        <w:tc>
          <w:tcPr>
            <w:tcW w:w="802" w:type="pct"/>
            <w:tcBorders>
              <w:top w:val="nil"/>
              <w:left w:val="nil"/>
              <w:bottom w:val="single" w:sz="8" w:space="0" w:color="C4BD97"/>
              <w:right w:val="nil"/>
            </w:tcBorders>
            <w:shd w:val="clear" w:color="000000" w:fill="AC9B85"/>
            <w:vAlign w:val="center"/>
            <w:hideMark/>
          </w:tcPr>
          <w:p w:rsidR="000F201E" w:rsidRPr="000F201E" w:rsidRDefault="000F201E" w:rsidP="000F201E">
            <w:pPr>
              <w:spacing w:after="0" w:line="240" w:lineRule="auto"/>
              <w:rPr>
                <w:rFonts w:ascii="Times New Roman"/>
                <w:b/>
                <w:bCs/>
                <w:color w:val="FFFFFF"/>
                <w:sz w:val="16"/>
                <w:szCs w:val="16"/>
                <w:lang w:val="it-IT"/>
              </w:rPr>
            </w:pPr>
            <w:r w:rsidRPr="000F201E">
              <w:rPr>
                <w:rFonts w:ascii="Times New Roman"/>
                <w:b/>
                <w:bCs/>
                <w:color w:val="FFFFFF"/>
                <w:sz w:val="16"/>
                <w:szCs w:val="16"/>
                <w:lang w:val="it-IT"/>
              </w:rPr>
              <w:t> </w:t>
            </w:r>
          </w:p>
        </w:tc>
        <w:tc>
          <w:tcPr>
            <w:tcW w:w="798" w:type="pct"/>
            <w:tcBorders>
              <w:top w:val="nil"/>
              <w:left w:val="nil"/>
              <w:bottom w:val="single" w:sz="8" w:space="0" w:color="C4BD97"/>
              <w:right w:val="single" w:sz="8" w:space="0" w:color="C4BD97"/>
            </w:tcBorders>
            <w:shd w:val="clear" w:color="000000" w:fill="AC9B85"/>
            <w:vAlign w:val="center"/>
            <w:hideMark/>
          </w:tcPr>
          <w:p w:rsidR="000F201E" w:rsidRPr="000F201E" w:rsidRDefault="000F201E" w:rsidP="000F201E">
            <w:pPr>
              <w:spacing w:after="0" w:line="240" w:lineRule="auto"/>
              <w:rPr>
                <w:rFonts w:ascii="Times New Roman"/>
                <w:b/>
                <w:bCs/>
                <w:color w:val="FFFFFF"/>
                <w:sz w:val="16"/>
                <w:szCs w:val="16"/>
                <w:lang w:val="it-IT"/>
              </w:rPr>
            </w:pPr>
            <w:r w:rsidRPr="000F201E">
              <w:rPr>
                <w:rFonts w:ascii="Times New Roman"/>
                <w:b/>
                <w:bCs/>
                <w:color w:val="FFFFFF"/>
                <w:sz w:val="16"/>
                <w:szCs w:val="16"/>
                <w:lang w:val="it-IT"/>
              </w:rPr>
              <w:t> </w:t>
            </w:r>
          </w:p>
        </w:tc>
      </w:tr>
      <w:tr w:rsidR="000F201E" w:rsidRPr="000F201E" w:rsidTr="000F201E">
        <w:trPr>
          <w:trHeight w:val="315"/>
        </w:trPr>
        <w:tc>
          <w:tcPr>
            <w:tcW w:w="1796"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 Investimenti immobiliari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         398.600.000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802" w:type="pct"/>
            <w:tcBorders>
              <w:top w:val="single" w:sz="8" w:space="0" w:color="DFD6CD"/>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268.900.000</w:t>
            </w:r>
          </w:p>
        </w:tc>
        <w:tc>
          <w:tcPr>
            <w:tcW w:w="798" w:type="pct"/>
            <w:tcBorders>
              <w:top w:val="single" w:sz="8" w:space="0" w:color="DFD6CD"/>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r>
      <w:tr w:rsidR="000F201E" w:rsidRPr="000F201E" w:rsidTr="000F201E">
        <w:trPr>
          <w:trHeight w:val="315"/>
        </w:trPr>
        <w:tc>
          <w:tcPr>
            <w:tcW w:w="1796"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 Altre immobilizzazioni materiali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      318.352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802"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350.718</w:t>
            </w:r>
          </w:p>
        </w:tc>
        <w:tc>
          <w:tcPr>
            <w:tcW w:w="798"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r>
      <w:tr w:rsidR="000F201E" w:rsidRPr="000F201E" w:rsidTr="000F201E">
        <w:trPr>
          <w:trHeight w:val="315"/>
        </w:trPr>
        <w:tc>
          <w:tcPr>
            <w:tcW w:w="1796"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 Immobilizzazioni immateriali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68.751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802"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24.229</w:t>
            </w:r>
          </w:p>
        </w:tc>
        <w:tc>
          <w:tcPr>
            <w:tcW w:w="798"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r>
      <w:tr w:rsidR="000F201E" w:rsidRPr="000F201E" w:rsidTr="000F201E">
        <w:trPr>
          <w:trHeight w:val="315"/>
        </w:trPr>
        <w:tc>
          <w:tcPr>
            <w:tcW w:w="1796"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 Partecipazioni in società controllate</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197.581.939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802"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236.448.645</w:t>
            </w:r>
          </w:p>
        </w:tc>
        <w:tc>
          <w:tcPr>
            <w:tcW w:w="798"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r>
      <w:tr w:rsidR="000F201E" w:rsidRPr="000F201E" w:rsidTr="000F201E">
        <w:trPr>
          <w:trHeight w:val="315"/>
        </w:trPr>
        <w:tc>
          <w:tcPr>
            <w:tcW w:w="1796"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 Partecipazioni in società collegate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16.054.159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802"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13.857.143</w:t>
            </w:r>
          </w:p>
        </w:tc>
        <w:tc>
          <w:tcPr>
            <w:tcW w:w="798"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r>
      <w:tr w:rsidR="000F201E" w:rsidRPr="000F201E" w:rsidTr="000F201E">
        <w:trPr>
          <w:trHeight w:val="315"/>
        </w:trPr>
        <w:tc>
          <w:tcPr>
            <w:tcW w:w="1796"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 Attività finanziarie al fair value</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802"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1.491.992</w:t>
            </w:r>
          </w:p>
        </w:tc>
        <w:tc>
          <w:tcPr>
            <w:tcW w:w="798"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r>
      <w:tr w:rsidR="000F201E" w:rsidRPr="000F201E" w:rsidTr="000F201E">
        <w:trPr>
          <w:trHeight w:val="315"/>
        </w:trPr>
        <w:tc>
          <w:tcPr>
            <w:tcW w:w="1796"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 Crediti per imposte anticipate</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802"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2.621</w:t>
            </w:r>
          </w:p>
        </w:tc>
        <w:tc>
          <w:tcPr>
            <w:tcW w:w="798"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r>
      <w:tr w:rsidR="000F201E" w:rsidRPr="000F201E" w:rsidTr="000F201E">
        <w:trPr>
          <w:trHeight w:val="315"/>
        </w:trPr>
        <w:tc>
          <w:tcPr>
            <w:tcW w:w="1796" w:type="pct"/>
            <w:tcBorders>
              <w:top w:val="nil"/>
              <w:left w:val="single" w:sz="8" w:space="0" w:color="DFD6CD"/>
              <w:bottom w:val="single" w:sz="8" w:space="0" w:color="AC9B85"/>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 Strumenti finanziari derivati </w:t>
            </w:r>
          </w:p>
        </w:tc>
        <w:tc>
          <w:tcPr>
            <w:tcW w:w="802" w:type="pct"/>
            <w:tcBorders>
              <w:top w:val="nil"/>
              <w:left w:val="nil"/>
              <w:bottom w:val="single" w:sz="8" w:space="0" w:color="AC9B85"/>
              <w:right w:val="single" w:sz="8" w:space="0" w:color="DFD6CD"/>
            </w:tcBorders>
            <w:shd w:val="clear" w:color="000000" w:fill="F9F6F1"/>
            <w:vAlign w:val="center"/>
          </w:tcPr>
          <w:p w:rsidR="000F201E" w:rsidRPr="000F201E" w:rsidRDefault="000F201E" w:rsidP="000F201E">
            <w:pPr>
              <w:spacing w:after="0" w:line="240" w:lineRule="auto"/>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        841.914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802"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377.145</w:t>
            </w:r>
          </w:p>
        </w:tc>
        <w:tc>
          <w:tcPr>
            <w:tcW w:w="798"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r>
      <w:tr w:rsidR="000F201E" w:rsidRPr="000F201E" w:rsidTr="000F201E">
        <w:trPr>
          <w:trHeight w:val="315"/>
        </w:trPr>
        <w:tc>
          <w:tcPr>
            <w:tcW w:w="1796" w:type="pct"/>
            <w:tcBorders>
              <w:top w:val="single" w:sz="8" w:space="0" w:color="AC9B85"/>
              <w:left w:val="single" w:sz="8" w:space="0" w:color="AC9B85"/>
              <w:bottom w:val="single" w:sz="8" w:space="0" w:color="AC9B85"/>
              <w:right w:val="single" w:sz="8" w:space="0" w:color="AC9B85"/>
            </w:tcBorders>
            <w:shd w:val="clear" w:color="000000" w:fill="DFD6CD"/>
            <w:vAlign w:val="center"/>
            <w:hideMark/>
          </w:tcPr>
          <w:p w:rsidR="000F201E" w:rsidRPr="000F201E" w:rsidRDefault="000F201E" w:rsidP="000F201E">
            <w:pPr>
              <w:spacing w:after="0" w:line="240" w:lineRule="auto"/>
              <w:rPr>
                <w:rFonts w:ascii="Times New Roman"/>
                <w:b/>
                <w:bCs/>
                <w:color w:val="60512F"/>
                <w:sz w:val="16"/>
                <w:szCs w:val="16"/>
                <w:lang w:val="it-IT"/>
              </w:rPr>
            </w:pPr>
            <w:r w:rsidRPr="000F201E">
              <w:rPr>
                <w:rFonts w:ascii="Times New Roman"/>
                <w:b/>
                <w:bCs/>
                <w:color w:val="60512F"/>
                <w:sz w:val="16"/>
                <w:szCs w:val="16"/>
                <w:lang w:val="it-IT"/>
              </w:rPr>
              <w:t xml:space="preserve"> Totale attività non correnti</w:t>
            </w:r>
          </w:p>
        </w:tc>
        <w:tc>
          <w:tcPr>
            <w:tcW w:w="802" w:type="pct"/>
            <w:tcBorders>
              <w:top w:val="single" w:sz="8" w:space="0" w:color="AC9B85"/>
              <w:left w:val="single" w:sz="8" w:space="0" w:color="A99983"/>
              <w:bottom w:val="single" w:sz="8" w:space="0" w:color="AC9B85"/>
              <w:right w:val="single" w:sz="8" w:space="0" w:color="A99983"/>
            </w:tcBorders>
            <w:shd w:val="clear" w:color="000000" w:fill="DFD6CD"/>
            <w:vAlign w:val="center"/>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eastAsia="MS PGothic" w:cs="Arial"/>
                <w:b/>
                <w:bCs/>
                <w:color w:val="60512F"/>
                <w:sz w:val="16"/>
                <w:szCs w:val="16"/>
                <w:lang w:val="it-IT" w:eastAsia="it-IT"/>
              </w:rPr>
              <w:t>613.465.115</w:t>
            </w:r>
          </w:p>
        </w:tc>
        <w:tc>
          <w:tcPr>
            <w:tcW w:w="802" w:type="pct"/>
            <w:tcBorders>
              <w:top w:val="single" w:sz="8" w:space="0" w:color="A99983"/>
              <w:left w:val="nil"/>
              <w:bottom w:val="single" w:sz="8" w:space="0" w:color="AC9B85"/>
              <w:right w:val="single" w:sz="8" w:space="0" w:color="A99983"/>
            </w:tcBorders>
            <w:shd w:val="clear" w:color="000000" w:fill="DFD6CD"/>
            <w:vAlign w:val="center"/>
          </w:tcPr>
          <w:p w:rsidR="000F201E" w:rsidRPr="000F201E" w:rsidRDefault="000F201E" w:rsidP="000F201E">
            <w:pPr>
              <w:spacing w:after="0" w:line="240" w:lineRule="auto"/>
              <w:ind w:firstLineChars="100" w:firstLine="161"/>
              <w:jc w:val="right"/>
              <w:rPr>
                <w:rFonts w:ascii="Times New Roman" w:eastAsia="MS PGothic" w:cs="Arial"/>
                <w:b/>
                <w:bCs/>
                <w:color w:val="60512F"/>
                <w:sz w:val="16"/>
                <w:szCs w:val="16"/>
                <w:lang w:val="it-IT" w:eastAsia="it-IT"/>
              </w:rPr>
            </w:pPr>
            <w:r w:rsidRPr="000F201E">
              <w:rPr>
                <w:rFonts w:ascii="Times New Roman" w:eastAsia="MS PGothic" w:cs="Arial"/>
                <w:b/>
                <w:bCs/>
                <w:color w:val="60512F"/>
                <w:sz w:val="16"/>
                <w:szCs w:val="16"/>
                <w:lang w:val="it-IT" w:eastAsia="it-IT"/>
              </w:rPr>
              <w:t>-</w:t>
            </w:r>
          </w:p>
        </w:tc>
        <w:tc>
          <w:tcPr>
            <w:tcW w:w="802" w:type="pct"/>
            <w:tcBorders>
              <w:top w:val="single" w:sz="8" w:space="0" w:color="A99983"/>
              <w:left w:val="nil"/>
              <w:bottom w:val="single" w:sz="8" w:space="0" w:color="AC9B85"/>
              <w:right w:val="single" w:sz="8" w:space="0" w:color="A99983"/>
            </w:tcBorders>
            <w:shd w:val="clear" w:color="000000" w:fill="DFD6CD"/>
            <w:vAlign w:val="center"/>
            <w:hideMark/>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b/>
                <w:bCs/>
                <w:color w:val="60512F"/>
                <w:sz w:val="16"/>
                <w:szCs w:val="16"/>
                <w:lang w:val="it-IT"/>
              </w:rPr>
              <w:t>521.452.493</w:t>
            </w:r>
          </w:p>
        </w:tc>
        <w:tc>
          <w:tcPr>
            <w:tcW w:w="798" w:type="pct"/>
            <w:tcBorders>
              <w:top w:val="single" w:sz="8" w:space="0" w:color="A99983"/>
              <w:left w:val="nil"/>
              <w:bottom w:val="single" w:sz="8" w:space="0" w:color="AC9B85"/>
              <w:right w:val="single" w:sz="8" w:space="0" w:color="A99983"/>
            </w:tcBorders>
            <w:shd w:val="clear" w:color="000000" w:fill="DFD6CD"/>
            <w:vAlign w:val="center"/>
            <w:hideMark/>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b/>
                <w:bCs/>
                <w:color w:val="60512F"/>
                <w:sz w:val="16"/>
                <w:szCs w:val="16"/>
                <w:lang w:val="it-IT"/>
              </w:rPr>
              <w:t>-</w:t>
            </w:r>
          </w:p>
        </w:tc>
      </w:tr>
      <w:tr w:rsidR="000F201E" w:rsidRPr="000F201E" w:rsidTr="000F201E">
        <w:trPr>
          <w:trHeight w:val="315"/>
        </w:trPr>
        <w:tc>
          <w:tcPr>
            <w:tcW w:w="1796"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 Crediti commerciali e altri crediti correnti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jc w:val="right"/>
              <w:rPr>
                <w:rFonts w:ascii="Times New Roman"/>
                <w:color w:val="000000"/>
                <w:sz w:val="16"/>
                <w:szCs w:val="16"/>
                <w:lang w:val="it-IT"/>
              </w:rPr>
            </w:pPr>
            <w:r w:rsidRPr="000F201E">
              <w:rPr>
                <w:rFonts w:ascii="Times New Roman" w:eastAsia="MS PGothic" w:cs="Arial"/>
                <w:color w:val="000000"/>
                <w:sz w:val="16"/>
                <w:szCs w:val="16"/>
                <w:lang w:val="it-IT" w:eastAsia="it-IT"/>
              </w:rPr>
              <w:t>8.068.885</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jc w:val="right"/>
              <w:rPr>
                <w:rFonts w:ascii="Times New Roman" w:eastAsia="MS PGothic" w:cs="Arial"/>
                <w:color w:val="000000"/>
                <w:sz w:val="16"/>
                <w:szCs w:val="16"/>
                <w:lang w:val="it-IT" w:eastAsia="it-IT"/>
              </w:rPr>
            </w:pPr>
            <w:r w:rsidRPr="000F201E">
              <w:rPr>
                <w:rFonts w:ascii="Times New Roman" w:eastAsia="MS PGothic" w:cs="Arial"/>
                <w:color w:val="000000"/>
                <w:sz w:val="16"/>
                <w:szCs w:val="16"/>
                <w:lang w:val="it-IT" w:eastAsia="it-IT"/>
              </w:rPr>
              <w:t>2.520.670</w:t>
            </w:r>
          </w:p>
        </w:tc>
        <w:tc>
          <w:tcPr>
            <w:tcW w:w="802" w:type="pct"/>
            <w:tcBorders>
              <w:top w:val="single" w:sz="8" w:space="0" w:color="DFD6CD"/>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3.926.914</w:t>
            </w:r>
          </w:p>
        </w:tc>
        <w:tc>
          <w:tcPr>
            <w:tcW w:w="798" w:type="pct"/>
            <w:tcBorders>
              <w:top w:val="single" w:sz="8" w:space="0" w:color="DFD6CD"/>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46.495</w:t>
            </w:r>
          </w:p>
        </w:tc>
      </w:tr>
      <w:tr w:rsidR="000F201E" w:rsidRPr="000F201E" w:rsidTr="000F201E">
        <w:trPr>
          <w:trHeight w:val="315"/>
        </w:trPr>
        <w:tc>
          <w:tcPr>
            <w:tcW w:w="1796" w:type="pct"/>
            <w:tcBorders>
              <w:top w:val="nil"/>
              <w:left w:val="single" w:sz="8" w:space="0" w:color="DFD6CD"/>
              <w:bottom w:val="single" w:sz="8" w:space="0" w:color="AC9B85"/>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 Disponibilità liquide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 28.633.146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802" w:type="pct"/>
            <w:tcBorders>
              <w:top w:val="nil"/>
              <w:left w:val="nil"/>
              <w:bottom w:val="nil"/>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18.506.200</w:t>
            </w:r>
          </w:p>
        </w:tc>
        <w:tc>
          <w:tcPr>
            <w:tcW w:w="798"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r>
      <w:tr w:rsidR="000F201E" w:rsidRPr="000F201E" w:rsidTr="000F201E">
        <w:trPr>
          <w:trHeight w:val="315"/>
        </w:trPr>
        <w:tc>
          <w:tcPr>
            <w:tcW w:w="1796" w:type="pct"/>
            <w:tcBorders>
              <w:top w:val="nil"/>
              <w:left w:val="single" w:sz="8" w:space="0" w:color="AC9B85"/>
              <w:bottom w:val="single" w:sz="8" w:space="0" w:color="AC9B85"/>
              <w:right w:val="single" w:sz="8" w:space="0" w:color="AC9B85"/>
            </w:tcBorders>
            <w:shd w:val="clear" w:color="000000" w:fill="DFD6CD"/>
            <w:vAlign w:val="center"/>
            <w:hideMark/>
          </w:tcPr>
          <w:p w:rsidR="000F201E" w:rsidRPr="000F201E" w:rsidRDefault="000F201E" w:rsidP="000F201E">
            <w:pPr>
              <w:spacing w:after="0" w:line="240" w:lineRule="auto"/>
              <w:rPr>
                <w:rFonts w:ascii="Times New Roman"/>
                <w:b/>
                <w:bCs/>
                <w:color w:val="60512F"/>
                <w:sz w:val="16"/>
                <w:szCs w:val="16"/>
                <w:lang w:val="it-IT"/>
              </w:rPr>
            </w:pPr>
            <w:r w:rsidRPr="000F201E">
              <w:rPr>
                <w:rFonts w:ascii="Times New Roman"/>
                <w:b/>
                <w:bCs/>
                <w:color w:val="60512F"/>
                <w:sz w:val="16"/>
                <w:szCs w:val="16"/>
                <w:lang w:val="it-IT"/>
              </w:rPr>
              <w:t xml:space="preserve"> Totale attività correnti</w:t>
            </w:r>
          </w:p>
        </w:tc>
        <w:tc>
          <w:tcPr>
            <w:tcW w:w="802" w:type="pct"/>
            <w:tcBorders>
              <w:top w:val="single" w:sz="8" w:space="0" w:color="A99983"/>
              <w:left w:val="single" w:sz="8" w:space="0" w:color="A99983"/>
              <w:bottom w:val="single" w:sz="8" w:space="0" w:color="AC9B85"/>
              <w:right w:val="single" w:sz="8" w:space="0" w:color="A99983"/>
            </w:tcBorders>
            <w:shd w:val="clear" w:color="000000" w:fill="DFD6CD"/>
            <w:vAlign w:val="center"/>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eastAsia="MS PGothic" w:cs="Arial"/>
                <w:b/>
                <w:bCs/>
                <w:color w:val="60512F"/>
                <w:sz w:val="16"/>
                <w:szCs w:val="16"/>
                <w:lang w:val="it-IT" w:eastAsia="it-IT"/>
              </w:rPr>
              <w:t>36.702.031</w:t>
            </w:r>
          </w:p>
        </w:tc>
        <w:tc>
          <w:tcPr>
            <w:tcW w:w="802" w:type="pct"/>
            <w:tcBorders>
              <w:top w:val="single" w:sz="8" w:space="0" w:color="A99983"/>
              <w:left w:val="nil"/>
              <w:bottom w:val="single" w:sz="8" w:space="0" w:color="AC9B85"/>
              <w:right w:val="single" w:sz="8" w:space="0" w:color="A99983"/>
            </w:tcBorders>
            <w:shd w:val="clear" w:color="000000" w:fill="DFD6CD"/>
            <w:vAlign w:val="center"/>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b/>
                <w:bCs/>
                <w:color w:val="60512F"/>
                <w:sz w:val="16"/>
                <w:szCs w:val="16"/>
                <w:lang w:val="it-IT"/>
              </w:rPr>
              <w:t>2.520.670</w:t>
            </w:r>
          </w:p>
        </w:tc>
        <w:tc>
          <w:tcPr>
            <w:tcW w:w="802" w:type="pct"/>
            <w:tcBorders>
              <w:top w:val="single" w:sz="8" w:space="0" w:color="A99983"/>
              <w:left w:val="nil"/>
              <w:bottom w:val="single" w:sz="8" w:space="0" w:color="AC9B85"/>
              <w:right w:val="single" w:sz="8" w:space="0" w:color="A99983"/>
            </w:tcBorders>
            <w:shd w:val="clear" w:color="000000" w:fill="DFD6CD"/>
            <w:vAlign w:val="center"/>
            <w:hideMark/>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b/>
                <w:bCs/>
                <w:color w:val="60512F"/>
                <w:sz w:val="16"/>
                <w:szCs w:val="16"/>
                <w:lang w:val="it-IT"/>
              </w:rPr>
              <w:t>22.433.114</w:t>
            </w:r>
          </w:p>
        </w:tc>
        <w:tc>
          <w:tcPr>
            <w:tcW w:w="798" w:type="pct"/>
            <w:tcBorders>
              <w:top w:val="single" w:sz="8" w:space="0" w:color="A99983"/>
              <w:left w:val="nil"/>
              <w:bottom w:val="single" w:sz="8" w:space="0" w:color="AC9B85"/>
              <w:right w:val="single" w:sz="8" w:space="0" w:color="A99983"/>
            </w:tcBorders>
            <w:shd w:val="clear" w:color="000000" w:fill="DFD6CD"/>
            <w:vAlign w:val="center"/>
            <w:hideMark/>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b/>
                <w:bCs/>
                <w:color w:val="60512F"/>
                <w:sz w:val="16"/>
                <w:szCs w:val="16"/>
                <w:lang w:val="it-IT"/>
              </w:rPr>
              <w:t>46.495</w:t>
            </w:r>
          </w:p>
        </w:tc>
      </w:tr>
      <w:tr w:rsidR="000F201E" w:rsidRPr="000F201E" w:rsidTr="000F201E">
        <w:trPr>
          <w:trHeight w:val="315"/>
        </w:trPr>
        <w:tc>
          <w:tcPr>
            <w:tcW w:w="1796" w:type="pct"/>
            <w:tcBorders>
              <w:top w:val="nil"/>
              <w:left w:val="single" w:sz="8" w:space="0" w:color="AC9B85"/>
              <w:bottom w:val="single" w:sz="8" w:space="0" w:color="AC9B85"/>
              <w:right w:val="single" w:sz="8" w:space="0" w:color="AC9B85"/>
            </w:tcBorders>
            <w:shd w:val="clear" w:color="000000" w:fill="DFD6CD"/>
            <w:vAlign w:val="center"/>
            <w:hideMark/>
          </w:tcPr>
          <w:p w:rsidR="000F201E" w:rsidRPr="000F201E" w:rsidRDefault="000F201E" w:rsidP="000F201E">
            <w:pPr>
              <w:spacing w:after="0" w:line="240" w:lineRule="auto"/>
              <w:rPr>
                <w:rFonts w:ascii="Times New Roman"/>
                <w:b/>
                <w:bCs/>
                <w:color w:val="60512F"/>
                <w:sz w:val="16"/>
                <w:szCs w:val="16"/>
                <w:lang w:val="it-IT"/>
              </w:rPr>
            </w:pPr>
            <w:r w:rsidRPr="000F201E">
              <w:rPr>
                <w:rFonts w:ascii="Times New Roman"/>
                <w:b/>
                <w:bCs/>
                <w:color w:val="60512F"/>
                <w:sz w:val="16"/>
                <w:szCs w:val="16"/>
                <w:lang w:val="it-IT"/>
              </w:rPr>
              <w:t xml:space="preserve"> Totale attività</w:t>
            </w:r>
          </w:p>
        </w:tc>
        <w:tc>
          <w:tcPr>
            <w:tcW w:w="802" w:type="pct"/>
            <w:tcBorders>
              <w:top w:val="single" w:sz="8" w:space="0" w:color="A99983"/>
              <w:left w:val="single" w:sz="8" w:space="0" w:color="A99983"/>
              <w:bottom w:val="single" w:sz="8" w:space="0" w:color="AC9B85"/>
              <w:right w:val="single" w:sz="8" w:space="0" w:color="A99983"/>
            </w:tcBorders>
            <w:shd w:val="clear" w:color="000000" w:fill="DFD6CD"/>
            <w:vAlign w:val="center"/>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eastAsia="MS PGothic" w:cs="Arial"/>
                <w:b/>
                <w:bCs/>
                <w:color w:val="60512F"/>
                <w:sz w:val="16"/>
                <w:szCs w:val="16"/>
                <w:lang w:val="it-IT" w:eastAsia="it-IT"/>
              </w:rPr>
              <w:t>650.167.146</w:t>
            </w:r>
          </w:p>
        </w:tc>
        <w:tc>
          <w:tcPr>
            <w:tcW w:w="802" w:type="pct"/>
            <w:tcBorders>
              <w:top w:val="single" w:sz="8" w:space="0" w:color="A99983"/>
              <w:left w:val="nil"/>
              <w:bottom w:val="single" w:sz="8" w:space="0" w:color="AC9B85"/>
              <w:right w:val="single" w:sz="8" w:space="0" w:color="A99983"/>
            </w:tcBorders>
            <w:shd w:val="clear" w:color="000000" w:fill="DFD6CD"/>
            <w:vAlign w:val="center"/>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b/>
                <w:bCs/>
                <w:color w:val="60512F"/>
                <w:sz w:val="16"/>
                <w:szCs w:val="16"/>
                <w:lang w:val="it-IT"/>
              </w:rPr>
              <w:t>2.520.670</w:t>
            </w:r>
          </w:p>
        </w:tc>
        <w:tc>
          <w:tcPr>
            <w:tcW w:w="802" w:type="pct"/>
            <w:tcBorders>
              <w:top w:val="single" w:sz="8" w:space="0" w:color="A99983"/>
              <w:left w:val="nil"/>
              <w:bottom w:val="single" w:sz="8" w:space="0" w:color="AC9B85"/>
              <w:right w:val="single" w:sz="8" w:space="0" w:color="A99983"/>
            </w:tcBorders>
            <w:shd w:val="clear" w:color="000000" w:fill="DFD6CD"/>
            <w:vAlign w:val="center"/>
            <w:hideMark/>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b/>
                <w:bCs/>
                <w:color w:val="60512F"/>
                <w:sz w:val="16"/>
                <w:szCs w:val="16"/>
                <w:lang w:val="it-IT"/>
              </w:rPr>
              <w:t>543.885.607</w:t>
            </w:r>
          </w:p>
        </w:tc>
        <w:tc>
          <w:tcPr>
            <w:tcW w:w="798" w:type="pct"/>
            <w:tcBorders>
              <w:top w:val="single" w:sz="8" w:space="0" w:color="A99983"/>
              <w:left w:val="nil"/>
              <w:bottom w:val="single" w:sz="8" w:space="0" w:color="AC9B85"/>
              <w:right w:val="single" w:sz="8" w:space="0" w:color="A99983"/>
            </w:tcBorders>
            <w:shd w:val="clear" w:color="000000" w:fill="DFD6CD"/>
            <w:vAlign w:val="center"/>
            <w:hideMark/>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b/>
                <w:bCs/>
                <w:color w:val="60512F"/>
                <w:sz w:val="16"/>
                <w:szCs w:val="16"/>
                <w:lang w:val="it-IT"/>
              </w:rPr>
              <w:t>46.495</w:t>
            </w:r>
          </w:p>
        </w:tc>
      </w:tr>
      <w:tr w:rsidR="000F201E" w:rsidRPr="000F201E" w:rsidTr="000F201E">
        <w:trPr>
          <w:trHeight w:val="315"/>
        </w:trPr>
        <w:tc>
          <w:tcPr>
            <w:tcW w:w="1796" w:type="pct"/>
            <w:tcBorders>
              <w:top w:val="single" w:sz="8" w:space="0" w:color="C4BD97"/>
              <w:left w:val="single" w:sz="8" w:space="0" w:color="C4BD97"/>
              <w:bottom w:val="single" w:sz="8" w:space="0" w:color="C4BD97"/>
              <w:right w:val="nil"/>
            </w:tcBorders>
            <w:shd w:val="clear" w:color="000000" w:fill="AC9B85"/>
            <w:vAlign w:val="center"/>
            <w:hideMark/>
          </w:tcPr>
          <w:p w:rsidR="000F201E" w:rsidRPr="000F201E" w:rsidRDefault="000F201E" w:rsidP="000F201E">
            <w:pPr>
              <w:spacing w:after="0" w:line="240" w:lineRule="auto"/>
              <w:rPr>
                <w:rFonts w:ascii="Times New Roman"/>
                <w:b/>
                <w:bCs/>
                <w:color w:val="FFFFFF"/>
                <w:sz w:val="16"/>
                <w:szCs w:val="16"/>
                <w:lang w:val="it-IT"/>
              </w:rPr>
            </w:pPr>
            <w:r w:rsidRPr="000F201E">
              <w:rPr>
                <w:rFonts w:ascii="Times New Roman"/>
                <w:b/>
                <w:bCs/>
                <w:color w:val="FFFFFF"/>
                <w:sz w:val="16"/>
                <w:szCs w:val="16"/>
                <w:lang w:val="it-IT"/>
              </w:rPr>
              <w:t xml:space="preserve"> Passivo</w:t>
            </w:r>
          </w:p>
        </w:tc>
        <w:tc>
          <w:tcPr>
            <w:tcW w:w="802" w:type="pct"/>
            <w:tcBorders>
              <w:top w:val="single" w:sz="8" w:space="0" w:color="C4BD97"/>
              <w:left w:val="nil"/>
              <w:bottom w:val="single" w:sz="8" w:space="0" w:color="C4BD97"/>
              <w:right w:val="nil"/>
            </w:tcBorders>
            <w:shd w:val="clear" w:color="000000" w:fill="AC9B85"/>
            <w:vAlign w:val="center"/>
          </w:tcPr>
          <w:p w:rsidR="000F201E" w:rsidRPr="000F201E" w:rsidRDefault="000F201E" w:rsidP="000F201E">
            <w:pPr>
              <w:spacing w:after="0" w:line="240" w:lineRule="auto"/>
              <w:jc w:val="right"/>
              <w:rPr>
                <w:rFonts w:ascii="Times New Roman"/>
                <w:b/>
                <w:bCs/>
                <w:color w:val="FFFFFF"/>
                <w:sz w:val="16"/>
                <w:szCs w:val="16"/>
                <w:lang w:val="it-IT"/>
              </w:rPr>
            </w:pPr>
          </w:p>
        </w:tc>
        <w:tc>
          <w:tcPr>
            <w:tcW w:w="802" w:type="pct"/>
            <w:tcBorders>
              <w:top w:val="single" w:sz="8" w:space="0" w:color="C4BD97"/>
              <w:left w:val="nil"/>
              <w:bottom w:val="single" w:sz="8" w:space="0" w:color="C4BD97"/>
              <w:right w:val="nil"/>
            </w:tcBorders>
            <w:shd w:val="clear" w:color="000000" w:fill="AC9B85"/>
            <w:vAlign w:val="center"/>
          </w:tcPr>
          <w:p w:rsidR="000F201E" w:rsidRPr="000F201E" w:rsidRDefault="000F201E" w:rsidP="000F201E">
            <w:pPr>
              <w:spacing w:after="0" w:line="240" w:lineRule="auto"/>
              <w:jc w:val="right"/>
              <w:rPr>
                <w:rFonts w:ascii="Times New Roman"/>
                <w:b/>
                <w:bCs/>
                <w:color w:val="FFFFFF"/>
                <w:sz w:val="16"/>
                <w:szCs w:val="16"/>
                <w:lang w:val="it-IT"/>
              </w:rPr>
            </w:pPr>
          </w:p>
        </w:tc>
        <w:tc>
          <w:tcPr>
            <w:tcW w:w="802" w:type="pct"/>
            <w:tcBorders>
              <w:top w:val="single" w:sz="8" w:space="0" w:color="C4BD97"/>
              <w:left w:val="nil"/>
              <w:bottom w:val="single" w:sz="8" w:space="0" w:color="C4BD97"/>
              <w:right w:val="nil"/>
            </w:tcBorders>
            <w:shd w:val="clear" w:color="000000" w:fill="AC9B85"/>
            <w:vAlign w:val="center"/>
            <w:hideMark/>
          </w:tcPr>
          <w:p w:rsidR="000F201E" w:rsidRPr="000F201E" w:rsidRDefault="000F201E" w:rsidP="000F201E">
            <w:pPr>
              <w:spacing w:after="0" w:line="240" w:lineRule="auto"/>
              <w:jc w:val="right"/>
              <w:rPr>
                <w:rFonts w:ascii="Times New Roman"/>
                <w:b/>
                <w:bCs/>
                <w:color w:val="FFFFFF"/>
                <w:sz w:val="16"/>
                <w:szCs w:val="16"/>
                <w:lang w:val="it-IT"/>
              </w:rPr>
            </w:pPr>
          </w:p>
        </w:tc>
        <w:tc>
          <w:tcPr>
            <w:tcW w:w="798" w:type="pct"/>
            <w:tcBorders>
              <w:top w:val="single" w:sz="8" w:space="0" w:color="C4BD97"/>
              <w:left w:val="nil"/>
              <w:bottom w:val="single" w:sz="8" w:space="0" w:color="C4BD97"/>
              <w:right w:val="single" w:sz="8" w:space="0" w:color="C4BD97"/>
            </w:tcBorders>
            <w:shd w:val="clear" w:color="000000" w:fill="AC9B85"/>
            <w:vAlign w:val="center"/>
            <w:hideMark/>
          </w:tcPr>
          <w:p w:rsidR="000F201E" w:rsidRPr="000F201E" w:rsidRDefault="000F201E" w:rsidP="000F201E">
            <w:pPr>
              <w:spacing w:after="0" w:line="240" w:lineRule="auto"/>
              <w:jc w:val="right"/>
              <w:rPr>
                <w:rFonts w:ascii="Times New Roman"/>
                <w:b/>
                <w:bCs/>
                <w:color w:val="FFFFFF"/>
                <w:sz w:val="16"/>
                <w:szCs w:val="16"/>
                <w:lang w:val="it-IT"/>
              </w:rPr>
            </w:pPr>
          </w:p>
        </w:tc>
      </w:tr>
      <w:tr w:rsidR="000F201E" w:rsidRPr="000F201E" w:rsidTr="000F201E">
        <w:trPr>
          <w:trHeight w:val="315"/>
        </w:trPr>
        <w:tc>
          <w:tcPr>
            <w:tcW w:w="1796"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 Capitale sociale</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14.450.800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802" w:type="pct"/>
            <w:tcBorders>
              <w:top w:val="single" w:sz="8" w:space="0" w:color="DFD6CD"/>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14.450.800</w:t>
            </w:r>
          </w:p>
        </w:tc>
        <w:tc>
          <w:tcPr>
            <w:tcW w:w="798" w:type="pct"/>
            <w:tcBorders>
              <w:top w:val="single" w:sz="8" w:space="0" w:color="DFD6CD"/>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r>
      <w:tr w:rsidR="000F201E" w:rsidRPr="000F201E" w:rsidTr="000F201E">
        <w:trPr>
          <w:trHeight w:val="315"/>
        </w:trPr>
        <w:tc>
          <w:tcPr>
            <w:tcW w:w="1796"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 Riserva sovrapprezzo azioni</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335.549.475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802"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335.549.475</w:t>
            </w:r>
          </w:p>
        </w:tc>
        <w:tc>
          <w:tcPr>
            <w:tcW w:w="798"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r>
      <w:tr w:rsidR="000F201E" w:rsidRPr="000F201E" w:rsidTr="000F201E">
        <w:trPr>
          <w:trHeight w:val="315"/>
        </w:trPr>
        <w:tc>
          <w:tcPr>
            <w:tcW w:w="1796"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 Riserva da valutazione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(956.533)</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802"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 xml:space="preserve">16.784  </w:t>
            </w:r>
          </w:p>
        </w:tc>
        <w:tc>
          <w:tcPr>
            <w:tcW w:w="798"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r>
      <w:tr w:rsidR="000F201E" w:rsidRPr="000F201E" w:rsidTr="000F201E">
        <w:trPr>
          <w:trHeight w:val="315"/>
        </w:trPr>
        <w:tc>
          <w:tcPr>
            <w:tcW w:w="1796" w:type="pct"/>
            <w:tcBorders>
              <w:top w:val="nil"/>
              <w:left w:val="single" w:sz="8" w:space="0" w:color="DFD6CD"/>
              <w:bottom w:val="single" w:sz="8" w:space="0" w:color="DFD6CD"/>
              <w:right w:val="single" w:sz="8" w:space="0" w:color="DFD6CD"/>
            </w:tcBorders>
            <w:shd w:val="clear" w:color="auto" w:fill="auto"/>
            <w:vAlign w:val="center"/>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 Acconto dividendi</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(3.600.700)</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802" w:type="pct"/>
            <w:tcBorders>
              <w:top w:val="nil"/>
              <w:left w:val="nil"/>
              <w:bottom w:val="single" w:sz="8" w:space="0" w:color="DFD6CD"/>
              <w:right w:val="single" w:sz="8" w:space="0" w:color="DFD6CD"/>
            </w:tcBorders>
            <w:shd w:val="clear" w:color="auto" w:fill="auto"/>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(3.240.193)</w:t>
            </w:r>
          </w:p>
        </w:tc>
        <w:tc>
          <w:tcPr>
            <w:tcW w:w="798" w:type="pct"/>
            <w:tcBorders>
              <w:top w:val="nil"/>
              <w:left w:val="nil"/>
              <w:bottom w:val="single" w:sz="8" w:space="0" w:color="DFD6CD"/>
              <w:right w:val="single" w:sz="8" w:space="0" w:color="DFD6CD"/>
            </w:tcBorders>
            <w:shd w:val="clear" w:color="auto" w:fill="auto"/>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r>
      <w:tr w:rsidR="000F201E" w:rsidRPr="000F201E" w:rsidTr="000F201E">
        <w:trPr>
          <w:trHeight w:val="315"/>
        </w:trPr>
        <w:tc>
          <w:tcPr>
            <w:tcW w:w="1796"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 Altre riserve</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8.293.679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802"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4.447.171</w:t>
            </w:r>
          </w:p>
        </w:tc>
        <w:tc>
          <w:tcPr>
            <w:tcW w:w="798"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r>
      <w:tr w:rsidR="000F201E" w:rsidRPr="000F201E" w:rsidTr="000F201E">
        <w:trPr>
          <w:trHeight w:val="315"/>
        </w:trPr>
        <w:tc>
          <w:tcPr>
            <w:tcW w:w="1796"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 Utili/(perdite) portati a nuovo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2.091.782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802"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798"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r>
      <w:tr w:rsidR="000F201E" w:rsidRPr="000F201E" w:rsidTr="000F201E">
        <w:trPr>
          <w:trHeight w:val="315"/>
        </w:trPr>
        <w:tc>
          <w:tcPr>
            <w:tcW w:w="1796" w:type="pct"/>
            <w:tcBorders>
              <w:top w:val="nil"/>
              <w:left w:val="single" w:sz="8" w:space="0" w:color="DFD6CD"/>
              <w:bottom w:val="single" w:sz="8" w:space="0" w:color="AC9B85"/>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 Utile/(perdita) d'esercizio</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         36.889.839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802" w:type="pct"/>
            <w:tcBorders>
              <w:top w:val="nil"/>
              <w:left w:val="nil"/>
              <w:bottom w:val="nil"/>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16.261.816</w:t>
            </w:r>
          </w:p>
        </w:tc>
        <w:tc>
          <w:tcPr>
            <w:tcW w:w="798"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r>
      <w:tr w:rsidR="000F201E" w:rsidRPr="000F201E" w:rsidTr="000F201E">
        <w:trPr>
          <w:trHeight w:val="315"/>
        </w:trPr>
        <w:tc>
          <w:tcPr>
            <w:tcW w:w="1796" w:type="pct"/>
            <w:tcBorders>
              <w:top w:val="nil"/>
              <w:left w:val="single" w:sz="8" w:space="0" w:color="AC9B85"/>
              <w:bottom w:val="single" w:sz="8" w:space="0" w:color="AC9B85"/>
              <w:right w:val="single" w:sz="8" w:space="0" w:color="AC9B85"/>
            </w:tcBorders>
            <w:shd w:val="clear" w:color="000000" w:fill="DFD6CD"/>
            <w:vAlign w:val="center"/>
            <w:hideMark/>
          </w:tcPr>
          <w:p w:rsidR="000F201E" w:rsidRPr="000F201E" w:rsidRDefault="000F201E" w:rsidP="000F201E">
            <w:pPr>
              <w:spacing w:after="0" w:line="240" w:lineRule="auto"/>
              <w:rPr>
                <w:rFonts w:ascii="Times New Roman"/>
                <w:b/>
                <w:bCs/>
                <w:color w:val="60512F"/>
                <w:sz w:val="16"/>
                <w:szCs w:val="16"/>
                <w:lang w:val="it-IT"/>
              </w:rPr>
            </w:pPr>
            <w:r w:rsidRPr="000F201E">
              <w:rPr>
                <w:rFonts w:ascii="Times New Roman"/>
                <w:b/>
                <w:bCs/>
                <w:color w:val="60512F"/>
                <w:sz w:val="16"/>
                <w:szCs w:val="16"/>
                <w:lang w:val="it-IT"/>
              </w:rPr>
              <w:t xml:space="preserve"> Patrimonio netto</w:t>
            </w:r>
          </w:p>
        </w:tc>
        <w:tc>
          <w:tcPr>
            <w:tcW w:w="802" w:type="pct"/>
            <w:tcBorders>
              <w:top w:val="single" w:sz="8" w:space="0" w:color="A99983"/>
              <w:left w:val="single" w:sz="8" w:space="0" w:color="A99983"/>
              <w:bottom w:val="single" w:sz="8" w:space="0" w:color="AC9B85"/>
              <w:right w:val="single" w:sz="8" w:space="0" w:color="A99983"/>
            </w:tcBorders>
            <w:shd w:val="clear" w:color="000000" w:fill="DFD6CD"/>
            <w:vAlign w:val="center"/>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eastAsia="MS PGothic" w:cs="Arial"/>
                <w:b/>
                <w:bCs/>
                <w:color w:val="60512F"/>
                <w:sz w:val="16"/>
                <w:szCs w:val="16"/>
                <w:lang w:val="it-IT" w:eastAsia="it-IT"/>
              </w:rPr>
              <w:t>392.718.342</w:t>
            </w:r>
          </w:p>
        </w:tc>
        <w:tc>
          <w:tcPr>
            <w:tcW w:w="802" w:type="pct"/>
            <w:tcBorders>
              <w:top w:val="single" w:sz="8" w:space="0" w:color="A99983"/>
              <w:left w:val="nil"/>
              <w:bottom w:val="single" w:sz="8" w:space="0" w:color="AC9B85"/>
              <w:right w:val="single" w:sz="8" w:space="0" w:color="A99983"/>
            </w:tcBorders>
            <w:shd w:val="clear" w:color="000000" w:fill="DFD6CD"/>
            <w:vAlign w:val="center"/>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b/>
                <w:bCs/>
                <w:color w:val="60512F"/>
                <w:sz w:val="16"/>
                <w:szCs w:val="16"/>
                <w:lang w:val="it-IT"/>
              </w:rPr>
              <w:t>-</w:t>
            </w:r>
          </w:p>
        </w:tc>
        <w:tc>
          <w:tcPr>
            <w:tcW w:w="802" w:type="pct"/>
            <w:tcBorders>
              <w:top w:val="single" w:sz="8" w:space="0" w:color="A99983"/>
              <w:left w:val="nil"/>
              <w:bottom w:val="single" w:sz="8" w:space="0" w:color="AC9B85"/>
              <w:right w:val="single" w:sz="8" w:space="0" w:color="A99983"/>
            </w:tcBorders>
            <w:shd w:val="clear" w:color="000000" w:fill="DFD6CD"/>
            <w:vAlign w:val="center"/>
            <w:hideMark/>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b/>
                <w:bCs/>
                <w:color w:val="60512F"/>
                <w:sz w:val="16"/>
                <w:szCs w:val="16"/>
                <w:lang w:val="it-IT"/>
              </w:rPr>
              <w:t>367.485.853</w:t>
            </w:r>
          </w:p>
        </w:tc>
        <w:tc>
          <w:tcPr>
            <w:tcW w:w="798" w:type="pct"/>
            <w:tcBorders>
              <w:top w:val="single" w:sz="8" w:space="0" w:color="A99983"/>
              <w:left w:val="nil"/>
              <w:bottom w:val="single" w:sz="8" w:space="0" w:color="AC9B85"/>
              <w:right w:val="single" w:sz="8" w:space="0" w:color="A99983"/>
            </w:tcBorders>
            <w:shd w:val="clear" w:color="000000" w:fill="DFD6CD"/>
            <w:vAlign w:val="center"/>
            <w:hideMark/>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b/>
                <w:bCs/>
                <w:color w:val="60512F"/>
                <w:sz w:val="16"/>
                <w:szCs w:val="16"/>
                <w:lang w:val="it-IT"/>
              </w:rPr>
              <w:t>-</w:t>
            </w:r>
          </w:p>
        </w:tc>
      </w:tr>
      <w:tr w:rsidR="000F201E" w:rsidRPr="000F201E" w:rsidTr="000F201E">
        <w:trPr>
          <w:trHeight w:val="315"/>
        </w:trPr>
        <w:tc>
          <w:tcPr>
            <w:tcW w:w="1796"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sz w:val="16"/>
                <w:szCs w:val="16"/>
                <w:lang w:val="it-IT"/>
              </w:rPr>
              <w:t xml:space="preserve"> Debiti verso banche non correnti </w:t>
            </w:r>
          </w:p>
        </w:tc>
        <w:tc>
          <w:tcPr>
            <w:tcW w:w="802" w:type="pct"/>
            <w:tcBorders>
              <w:top w:val="single" w:sz="8" w:space="0" w:color="DFD6CD"/>
              <w:left w:val="single" w:sz="8" w:space="0" w:color="DFD6CD"/>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246.764.222  </w:t>
            </w:r>
          </w:p>
        </w:tc>
        <w:tc>
          <w:tcPr>
            <w:tcW w:w="802" w:type="pct"/>
            <w:tcBorders>
              <w:top w:val="single" w:sz="8" w:space="0" w:color="DFD6CD"/>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802" w:type="pct"/>
            <w:tcBorders>
              <w:top w:val="single" w:sz="8" w:space="0" w:color="DFD6CD"/>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 xml:space="preserve">148.033.817  </w:t>
            </w:r>
          </w:p>
        </w:tc>
        <w:tc>
          <w:tcPr>
            <w:tcW w:w="798" w:type="pct"/>
            <w:tcBorders>
              <w:top w:val="single" w:sz="8" w:space="0" w:color="DFD6CD"/>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r>
      <w:tr w:rsidR="000F201E" w:rsidRPr="000F201E" w:rsidTr="000F201E">
        <w:trPr>
          <w:trHeight w:val="315"/>
        </w:trPr>
        <w:tc>
          <w:tcPr>
            <w:tcW w:w="1796"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 Debiti per imposte differite</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jc w:val="right"/>
              <w:rPr>
                <w:rFonts w:ascii="Times New Roman"/>
                <w:color w:val="000000"/>
                <w:sz w:val="16"/>
                <w:szCs w:val="16"/>
                <w:lang w:val="it-IT"/>
              </w:rPr>
            </w:pPr>
            <w:r w:rsidRPr="000F201E">
              <w:rPr>
                <w:rFonts w:ascii="Times New Roman" w:eastAsia="MS PGothic" w:cs="Arial"/>
                <w:color w:val="000000"/>
                <w:sz w:val="16"/>
                <w:szCs w:val="16"/>
                <w:lang w:val="it-IT" w:eastAsia="it-IT"/>
              </w:rPr>
              <w:t>-</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802"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6.711</w:t>
            </w:r>
          </w:p>
        </w:tc>
        <w:tc>
          <w:tcPr>
            <w:tcW w:w="798"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r>
      <w:tr w:rsidR="000F201E" w:rsidRPr="000F201E" w:rsidTr="000F201E">
        <w:trPr>
          <w:trHeight w:val="315"/>
        </w:trPr>
        <w:tc>
          <w:tcPr>
            <w:tcW w:w="1796"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 Debiti per trattamento fine rapporto </w:t>
            </w:r>
            <w:r w:rsidRPr="000F201E">
              <w:rPr>
                <w:rFonts w:ascii="Times New Roman"/>
                <w:color w:val="FFFFFF"/>
                <w:sz w:val="16"/>
                <w:szCs w:val="16"/>
                <w:lang w:val="it-IT"/>
              </w:rPr>
              <w:t>x</w:t>
            </w:r>
            <w:r w:rsidRPr="000F201E">
              <w:rPr>
                <w:rFonts w:ascii="Times New Roman"/>
                <w:color w:val="000000"/>
                <w:sz w:val="16"/>
                <w:szCs w:val="16"/>
                <w:lang w:val="it-IT"/>
              </w:rPr>
              <w:t xml:space="preserve">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42.608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802"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19.781</w:t>
            </w:r>
          </w:p>
        </w:tc>
        <w:tc>
          <w:tcPr>
            <w:tcW w:w="798"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r>
      <w:tr w:rsidR="000F201E" w:rsidRPr="000F201E" w:rsidTr="000F201E">
        <w:trPr>
          <w:trHeight w:val="315"/>
        </w:trPr>
        <w:tc>
          <w:tcPr>
            <w:tcW w:w="1796"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 Fondi rischi e oneri </w:t>
            </w:r>
          </w:p>
        </w:tc>
        <w:tc>
          <w:tcPr>
            <w:tcW w:w="802" w:type="pct"/>
            <w:tcBorders>
              <w:top w:val="nil"/>
              <w:left w:val="single" w:sz="8" w:space="0" w:color="DFD6CD"/>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     130.000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802"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122.526</w:t>
            </w:r>
          </w:p>
        </w:tc>
        <w:tc>
          <w:tcPr>
            <w:tcW w:w="798"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r>
      <w:tr w:rsidR="000F201E" w:rsidRPr="000F201E" w:rsidTr="000F201E">
        <w:trPr>
          <w:trHeight w:val="315"/>
        </w:trPr>
        <w:tc>
          <w:tcPr>
            <w:tcW w:w="1796" w:type="pct"/>
            <w:tcBorders>
              <w:top w:val="nil"/>
              <w:left w:val="single" w:sz="8" w:space="0" w:color="DFD6CD"/>
              <w:bottom w:val="single" w:sz="8" w:space="0" w:color="DFD6CD"/>
              <w:right w:val="single" w:sz="8" w:space="0" w:color="DFD6CD"/>
            </w:tcBorders>
            <w:shd w:val="clear" w:color="auto" w:fill="auto"/>
            <w:vAlign w:val="center"/>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 Strumenti finanziari derivati</w:t>
            </w:r>
          </w:p>
        </w:tc>
        <w:tc>
          <w:tcPr>
            <w:tcW w:w="802" w:type="pct"/>
            <w:tcBorders>
              <w:top w:val="nil"/>
              <w:left w:val="single" w:sz="8" w:space="0" w:color="DFD6CD"/>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eastAsia="MS PGothic" w:cs="Arial"/>
                <w:color w:val="000000"/>
                <w:sz w:val="16"/>
                <w:szCs w:val="16"/>
                <w:lang w:val="it-IT" w:eastAsia="it-IT"/>
              </w:rPr>
            </w:pPr>
            <w:r w:rsidRPr="000F201E">
              <w:rPr>
                <w:rFonts w:ascii="Times New Roman" w:eastAsia="MS PGothic" w:cs="Arial"/>
                <w:color w:val="000000"/>
                <w:sz w:val="16"/>
                <w:szCs w:val="16"/>
                <w:lang w:val="it-IT" w:eastAsia="it-IT"/>
              </w:rPr>
              <w:t xml:space="preserve">1.025.788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802" w:type="pct"/>
            <w:tcBorders>
              <w:top w:val="nil"/>
              <w:left w:val="nil"/>
              <w:bottom w:val="single" w:sz="8" w:space="0" w:color="DFD6CD"/>
              <w:right w:val="single" w:sz="8" w:space="0" w:color="DFD6CD"/>
            </w:tcBorders>
            <w:shd w:val="clear" w:color="auto" w:fill="auto"/>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798" w:type="pct"/>
            <w:tcBorders>
              <w:top w:val="nil"/>
              <w:left w:val="nil"/>
              <w:bottom w:val="single" w:sz="8" w:space="0" w:color="DFD6CD"/>
              <w:right w:val="single" w:sz="8" w:space="0" w:color="DFD6CD"/>
            </w:tcBorders>
            <w:shd w:val="clear" w:color="auto" w:fill="auto"/>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r>
      <w:tr w:rsidR="000F201E" w:rsidRPr="000F201E" w:rsidTr="000F201E">
        <w:trPr>
          <w:trHeight w:val="315"/>
        </w:trPr>
        <w:tc>
          <w:tcPr>
            <w:tcW w:w="1796" w:type="pct"/>
            <w:tcBorders>
              <w:top w:val="nil"/>
              <w:left w:val="single" w:sz="8" w:space="0" w:color="DFD6CD"/>
              <w:bottom w:val="single" w:sz="8" w:space="0" w:color="AC9B85"/>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 Debiti commerciali e altri debiti non correnti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     1.124.740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998.000</w:t>
            </w:r>
          </w:p>
        </w:tc>
        <w:tc>
          <w:tcPr>
            <w:tcW w:w="802" w:type="pct"/>
            <w:tcBorders>
              <w:top w:val="nil"/>
              <w:left w:val="nil"/>
              <w:bottom w:val="nil"/>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243.000</w:t>
            </w:r>
          </w:p>
        </w:tc>
        <w:tc>
          <w:tcPr>
            <w:tcW w:w="798"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243.000</w:t>
            </w:r>
          </w:p>
        </w:tc>
      </w:tr>
      <w:tr w:rsidR="000F201E" w:rsidRPr="000F201E" w:rsidTr="000F201E">
        <w:trPr>
          <w:trHeight w:val="315"/>
        </w:trPr>
        <w:tc>
          <w:tcPr>
            <w:tcW w:w="1796" w:type="pct"/>
            <w:tcBorders>
              <w:top w:val="nil"/>
              <w:left w:val="single" w:sz="8" w:space="0" w:color="AC9B85"/>
              <w:bottom w:val="single" w:sz="8" w:space="0" w:color="AC9B85"/>
              <w:right w:val="single" w:sz="8" w:space="0" w:color="AC9B85"/>
            </w:tcBorders>
            <w:shd w:val="clear" w:color="000000" w:fill="DFD6CD"/>
            <w:vAlign w:val="center"/>
            <w:hideMark/>
          </w:tcPr>
          <w:p w:rsidR="000F201E" w:rsidRPr="000F201E" w:rsidRDefault="000F201E" w:rsidP="000F201E">
            <w:pPr>
              <w:spacing w:after="0" w:line="240" w:lineRule="auto"/>
              <w:rPr>
                <w:rFonts w:ascii="Times New Roman"/>
                <w:b/>
                <w:bCs/>
                <w:color w:val="60512F"/>
                <w:sz w:val="16"/>
                <w:szCs w:val="16"/>
                <w:lang w:val="it-IT"/>
              </w:rPr>
            </w:pPr>
            <w:r w:rsidRPr="000F201E">
              <w:rPr>
                <w:rFonts w:ascii="Times New Roman"/>
                <w:b/>
                <w:bCs/>
                <w:color w:val="60512F"/>
                <w:sz w:val="16"/>
                <w:szCs w:val="16"/>
                <w:lang w:val="it-IT"/>
              </w:rPr>
              <w:t xml:space="preserve"> Totale passività non correnti</w:t>
            </w:r>
          </w:p>
        </w:tc>
        <w:tc>
          <w:tcPr>
            <w:tcW w:w="802" w:type="pct"/>
            <w:tcBorders>
              <w:top w:val="single" w:sz="8" w:space="0" w:color="A99983"/>
              <w:left w:val="single" w:sz="8" w:space="0" w:color="A99983"/>
              <w:bottom w:val="single" w:sz="8" w:space="0" w:color="AC9B85"/>
              <w:right w:val="single" w:sz="8" w:space="0" w:color="A99983"/>
            </w:tcBorders>
            <w:shd w:val="clear" w:color="000000" w:fill="DFD6CD"/>
            <w:vAlign w:val="center"/>
          </w:tcPr>
          <w:p w:rsidR="000F201E" w:rsidRPr="000F201E" w:rsidRDefault="000F201E" w:rsidP="000F201E">
            <w:pPr>
              <w:spacing w:after="0" w:line="240" w:lineRule="auto"/>
              <w:jc w:val="right"/>
              <w:rPr>
                <w:rFonts w:ascii="Times New Roman"/>
                <w:b/>
                <w:bCs/>
                <w:color w:val="60512F"/>
                <w:sz w:val="16"/>
                <w:szCs w:val="16"/>
                <w:lang w:val="it-IT"/>
              </w:rPr>
            </w:pPr>
            <w:r w:rsidRPr="000F201E">
              <w:rPr>
                <w:rFonts w:ascii="Times New Roman" w:eastAsia="MS PGothic" w:cs="Arial"/>
                <w:b/>
                <w:bCs/>
                <w:color w:val="60512F"/>
                <w:sz w:val="16"/>
                <w:szCs w:val="16"/>
                <w:lang w:val="it-IT" w:eastAsia="it-IT"/>
              </w:rPr>
              <w:t>249.087.358</w:t>
            </w:r>
          </w:p>
        </w:tc>
        <w:tc>
          <w:tcPr>
            <w:tcW w:w="802" w:type="pct"/>
            <w:tcBorders>
              <w:top w:val="single" w:sz="8" w:space="0" w:color="A99983"/>
              <w:left w:val="nil"/>
              <w:bottom w:val="single" w:sz="8" w:space="0" w:color="AC9B85"/>
              <w:right w:val="single" w:sz="8" w:space="0" w:color="A99983"/>
            </w:tcBorders>
            <w:shd w:val="clear" w:color="000000" w:fill="DFD6CD"/>
            <w:vAlign w:val="center"/>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eastAsia="MS PGothic" w:cs="Arial"/>
                <w:b/>
                <w:bCs/>
                <w:color w:val="60512F"/>
                <w:sz w:val="16"/>
                <w:szCs w:val="16"/>
                <w:lang w:val="it-IT" w:eastAsia="it-IT"/>
              </w:rPr>
              <w:t>998.000</w:t>
            </w:r>
          </w:p>
        </w:tc>
        <w:tc>
          <w:tcPr>
            <w:tcW w:w="802" w:type="pct"/>
            <w:tcBorders>
              <w:top w:val="single" w:sz="8" w:space="0" w:color="A99983"/>
              <w:left w:val="nil"/>
              <w:bottom w:val="single" w:sz="8" w:space="0" w:color="AC9B85"/>
              <w:right w:val="single" w:sz="8" w:space="0" w:color="A99983"/>
            </w:tcBorders>
            <w:shd w:val="clear" w:color="000000" w:fill="DFD6CD"/>
            <w:vAlign w:val="center"/>
            <w:hideMark/>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b/>
                <w:bCs/>
                <w:color w:val="60512F"/>
                <w:sz w:val="16"/>
                <w:szCs w:val="16"/>
                <w:lang w:val="it-IT"/>
              </w:rPr>
              <w:t>148.425.835</w:t>
            </w:r>
          </w:p>
        </w:tc>
        <w:tc>
          <w:tcPr>
            <w:tcW w:w="798" w:type="pct"/>
            <w:tcBorders>
              <w:top w:val="single" w:sz="8" w:space="0" w:color="A99983"/>
              <w:left w:val="nil"/>
              <w:bottom w:val="single" w:sz="8" w:space="0" w:color="AC9B85"/>
              <w:right w:val="single" w:sz="8" w:space="0" w:color="A99983"/>
            </w:tcBorders>
            <w:shd w:val="clear" w:color="000000" w:fill="DFD6CD"/>
            <w:vAlign w:val="center"/>
            <w:hideMark/>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b/>
                <w:bCs/>
                <w:color w:val="60512F"/>
                <w:sz w:val="16"/>
                <w:szCs w:val="16"/>
                <w:lang w:val="it-IT"/>
              </w:rPr>
              <w:t>243.000</w:t>
            </w:r>
          </w:p>
        </w:tc>
      </w:tr>
      <w:tr w:rsidR="000F201E" w:rsidRPr="000F201E" w:rsidTr="000F201E">
        <w:trPr>
          <w:trHeight w:val="315"/>
        </w:trPr>
        <w:tc>
          <w:tcPr>
            <w:tcW w:w="1796" w:type="pct"/>
            <w:tcBorders>
              <w:top w:val="nil"/>
              <w:left w:val="single" w:sz="8" w:space="0" w:color="DFD6CD"/>
              <w:bottom w:val="single" w:sz="8" w:space="0" w:color="DFD6CD"/>
              <w:right w:val="single" w:sz="8" w:space="0" w:color="DFD6CD"/>
            </w:tcBorders>
            <w:shd w:val="clear" w:color="auto" w:fill="auto"/>
            <w:vAlign w:val="center"/>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Debiti verso banche correnti</w:t>
            </w:r>
          </w:p>
        </w:tc>
        <w:tc>
          <w:tcPr>
            <w:tcW w:w="802" w:type="pct"/>
            <w:tcBorders>
              <w:top w:val="single" w:sz="8" w:space="0" w:color="DFD6CD"/>
              <w:left w:val="single" w:sz="8" w:space="0" w:color="DFD6CD"/>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eastAsia="it-IT"/>
              </w:rPr>
            </w:pPr>
            <w:r w:rsidRPr="000F201E">
              <w:rPr>
                <w:rFonts w:ascii="Times New Roman" w:eastAsia="MS PGothic" w:cs="Arial"/>
                <w:color w:val="000000"/>
                <w:sz w:val="16"/>
                <w:szCs w:val="16"/>
                <w:lang w:val="it-IT" w:eastAsia="it-IT"/>
              </w:rPr>
              <w:t>- </w:t>
            </w:r>
          </w:p>
        </w:tc>
        <w:tc>
          <w:tcPr>
            <w:tcW w:w="802" w:type="pct"/>
            <w:tcBorders>
              <w:top w:val="single" w:sz="8" w:space="0" w:color="DFD6CD"/>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802" w:type="pct"/>
            <w:tcBorders>
              <w:top w:val="single" w:sz="8" w:space="0" w:color="DFD6CD"/>
              <w:left w:val="nil"/>
              <w:bottom w:val="single" w:sz="8" w:space="0" w:color="DFD6CD"/>
              <w:right w:val="single" w:sz="8" w:space="0" w:color="DFD6CD"/>
            </w:tcBorders>
            <w:shd w:val="clear" w:color="auto" w:fill="auto"/>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22.719.802  </w:t>
            </w:r>
          </w:p>
        </w:tc>
        <w:tc>
          <w:tcPr>
            <w:tcW w:w="798" w:type="pct"/>
            <w:tcBorders>
              <w:top w:val="single" w:sz="8" w:space="0" w:color="DFD6CD"/>
              <w:left w:val="nil"/>
              <w:bottom w:val="single" w:sz="8" w:space="0" w:color="DFD6CD"/>
              <w:right w:val="single" w:sz="8" w:space="0" w:color="DFD6CD"/>
            </w:tcBorders>
            <w:shd w:val="clear" w:color="auto" w:fill="auto"/>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r>
      <w:tr w:rsidR="000F201E" w:rsidRPr="000F201E" w:rsidTr="000F201E">
        <w:trPr>
          <w:trHeight w:val="315"/>
        </w:trPr>
        <w:tc>
          <w:tcPr>
            <w:tcW w:w="1796"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 Debiti commerciali e altri debiti correnti </w:t>
            </w:r>
          </w:p>
        </w:tc>
        <w:tc>
          <w:tcPr>
            <w:tcW w:w="802" w:type="pct"/>
            <w:tcBorders>
              <w:top w:val="nil"/>
              <w:left w:val="single" w:sz="8" w:space="0" w:color="DFD6CD"/>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eastAsia="it-IT"/>
              </w:rPr>
            </w:pPr>
            <w:r w:rsidRPr="000F201E">
              <w:rPr>
                <w:rFonts w:ascii="Times New Roman" w:eastAsia="MS PGothic" w:cs="Arial"/>
                <w:color w:val="000000"/>
                <w:sz w:val="16"/>
                <w:szCs w:val="16"/>
                <w:lang w:val="it-IT" w:eastAsia="it-IT"/>
              </w:rPr>
              <w:t xml:space="preserve">8.350.527  </w:t>
            </w:r>
          </w:p>
        </w:tc>
        <w:tc>
          <w:tcPr>
            <w:tcW w:w="802" w:type="pct"/>
            <w:tcBorders>
              <w:top w:val="single" w:sz="8" w:space="0" w:color="DFD6CD"/>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eastAsia="it-IT"/>
              </w:rPr>
            </w:pPr>
            <w:r w:rsidRPr="000F201E">
              <w:rPr>
                <w:rFonts w:ascii="Times New Roman" w:eastAsia="MS PGothic" w:cs="Arial"/>
                <w:color w:val="000000"/>
                <w:sz w:val="16"/>
                <w:szCs w:val="16"/>
                <w:lang w:val="it-IT" w:eastAsia="it-IT"/>
              </w:rPr>
              <w:t xml:space="preserve">4.882.639  </w:t>
            </w:r>
          </w:p>
        </w:tc>
        <w:tc>
          <w:tcPr>
            <w:tcW w:w="802" w:type="pct"/>
            <w:tcBorders>
              <w:top w:val="single" w:sz="8" w:space="0" w:color="DFD6CD"/>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5.243.198 </w:t>
            </w:r>
          </w:p>
        </w:tc>
        <w:tc>
          <w:tcPr>
            <w:tcW w:w="798" w:type="pct"/>
            <w:tcBorders>
              <w:top w:val="single" w:sz="8" w:space="0" w:color="DFD6CD"/>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2.014.571</w:t>
            </w:r>
          </w:p>
        </w:tc>
      </w:tr>
      <w:tr w:rsidR="000F201E" w:rsidRPr="000F201E" w:rsidTr="000F201E">
        <w:trPr>
          <w:trHeight w:val="315"/>
        </w:trPr>
        <w:tc>
          <w:tcPr>
            <w:tcW w:w="1796" w:type="pct"/>
            <w:tcBorders>
              <w:top w:val="nil"/>
              <w:left w:val="single" w:sz="8" w:space="0" w:color="DFD6CD"/>
              <w:bottom w:val="single" w:sz="8" w:space="0" w:color="AC9B85"/>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 Debiti per imposte correnti</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   10.919 </w:t>
            </w:r>
          </w:p>
        </w:tc>
        <w:tc>
          <w:tcPr>
            <w:tcW w:w="802"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w:t>
            </w:r>
          </w:p>
        </w:tc>
        <w:tc>
          <w:tcPr>
            <w:tcW w:w="802" w:type="pct"/>
            <w:tcBorders>
              <w:top w:val="nil"/>
              <w:left w:val="nil"/>
              <w:bottom w:val="nil"/>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10.919</w:t>
            </w:r>
          </w:p>
        </w:tc>
        <w:tc>
          <w:tcPr>
            <w:tcW w:w="798"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r>
      <w:tr w:rsidR="000F201E" w:rsidRPr="000F201E" w:rsidTr="000F201E">
        <w:trPr>
          <w:trHeight w:val="315"/>
        </w:trPr>
        <w:tc>
          <w:tcPr>
            <w:tcW w:w="1796" w:type="pct"/>
            <w:tcBorders>
              <w:top w:val="nil"/>
              <w:left w:val="single" w:sz="8" w:space="0" w:color="AC9B85"/>
              <w:bottom w:val="single" w:sz="8" w:space="0" w:color="AC9B85"/>
              <w:right w:val="single" w:sz="8" w:space="0" w:color="AC9B85"/>
            </w:tcBorders>
            <w:shd w:val="clear" w:color="000000" w:fill="DFD6CD"/>
            <w:vAlign w:val="center"/>
            <w:hideMark/>
          </w:tcPr>
          <w:p w:rsidR="000F201E" w:rsidRPr="000F201E" w:rsidRDefault="000F201E" w:rsidP="000F201E">
            <w:pPr>
              <w:spacing w:after="0" w:line="240" w:lineRule="auto"/>
              <w:rPr>
                <w:rFonts w:ascii="Times New Roman"/>
                <w:b/>
                <w:bCs/>
                <w:color w:val="60512F"/>
                <w:sz w:val="16"/>
                <w:szCs w:val="16"/>
                <w:lang w:val="it-IT"/>
              </w:rPr>
            </w:pPr>
            <w:r w:rsidRPr="000F201E">
              <w:rPr>
                <w:rFonts w:ascii="Times New Roman"/>
                <w:b/>
                <w:bCs/>
                <w:color w:val="60512F"/>
                <w:sz w:val="16"/>
                <w:szCs w:val="16"/>
                <w:lang w:val="it-IT"/>
              </w:rPr>
              <w:t xml:space="preserve"> Totale passività correnti</w:t>
            </w:r>
          </w:p>
        </w:tc>
        <w:tc>
          <w:tcPr>
            <w:tcW w:w="802" w:type="pct"/>
            <w:tcBorders>
              <w:top w:val="single" w:sz="8" w:space="0" w:color="A99983"/>
              <w:left w:val="single" w:sz="8" w:space="0" w:color="A99983"/>
              <w:bottom w:val="single" w:sz="8" w:space="0" w:color="AC9B85"/>
              <w:right w:val="single" w:sz="8" w:space="0" w:color="A99983"/>
            </w:tcBorders>
            <w:shd w:val="clear" w:color="000000" w:fill="DFD6CD"/>
            <w:vAlign w:val="center"/>
          </w:tcPr>
          <w:p w:rsidR="000F201E" w:rsidRPr="000F201E" w:rsidRDefault="000F201E" w:rsidP="000F201E">
            <w:pPr>
              <w:spacing w:after="0" w:line="240" w:lineRule="auto"/>
              <w:jc w:val="right"/>
              <w:rPr>
                <w:rFonts w:ascii="Times New Roman"/>
                <w:b/>
                <w:bCs/>
                <w:color w:val="60512F"/>
                <w:sz w:val="16"/>
                <w:szCs w:val="16"/>
                <w:lang w:val="it-IT" w:eastAsia="it-IT"/>
              </w:rPr>
            </w:pPr>
            <w:r w:rsidRPr="000F201E">
              <w:rPr>
                <w:rFonts w:ascii="Times New Roman" w:eastAsia="MS PGothic" w:cs="Arial"/>
                <w:b/>
                <w:bCs/>
                <w:color w:val="60512F"/>
                <w:sz w:val="16"/>
                <w:szCs w:val="16"/>
                <w:lang w:val="it-IT" w:eastAsia="it-IT"/>
              </w:rPr>
              <w:t xml:space="preserve">         8.361.446 </w:t>
            </w:r>
          </w:p>
        </w:tc>
        <w:tc>
          <w:tcPr>
            <w:tcW w:w="802" w:type="pct"/>
            <w:tcBorders>
              <w:top w:val="single" w:sz="8" w:space="0" w:color="A99983"/>
              <w:left w:val="nil"/>
              <w:bottom w:val="single" w:sz="8" w:space="0" w:color="AC9B85"/>
              <w:right w:val="single" w:sz="8" w:space="0" w:color="A99983"/>
            </w:tcBorders>
            <w:shd w:val="clear" w:color="000000" w:fill="DFD6CD"/>
            <w:vAlign w:val="center"/>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eastAsia="MS PGothic" w:cs="Arial"/>
                <w:b/>
                <w:bCs/>
                <w:color w:val="60512F"/>
                <w:sz w:val="16"/>
                <w:szCs w:val="16"/>
                <w:lang w:val="it-IT" w:eastAsia="it-IT"/>
              </w:rPr>
              <w:t>4.882.639</w:t>
            </w:r>
          </w:p>
        </w:tc>
        <w:tc>
          <w:tcPr>
            <w:tcW w:w="802" w:type="pct"/>
            <w:tcBorders>
              <w:top w:val="single" w:sz="8" w:space="0" w:color="A99983"/>
              <w:left w:val="nil"/>
              <w:bottom w:val="single" w:sz="8" w:space="0" w:color="AC9B85"/>
              <w:right w:val="single" w:sz="8" w:space="0" w:color="A99983"/>
            </w:tcBorders>
            <w:shd w:val="clear" w:color="000000" w:fill="DFD6CD"/>
            <w:vAlign w:val="center"/>
            <w:hideMark/>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eastAsia="MS PGothic" w:cs="Arial"/>
                <w:b/>
                <w:bCs/>
                <w:color w:val="60512F"/>
                <w:sz w:val="16"/>
                <w:szCs w:val="16"/>
                <w:lang w:val="it-IT" w:eastAsia="it-IT"/>
              </w:rPr>
              <w:t>27.973.919</w:t>
            </w:r>
          </w:p>
        </w:tc>
        <w:tc>
          <w:tcPr>
            <w:tcW w:w="798" w:type="pct"/>
            <w:tcBorders>
              <w:top w:val="single" w:sz="8" w:space="0" w:color="A99983"/>
              <w:left w:val="nil"/>
              <w:bottom w:val="single" w:sz="8" w:space="0" w:color="AC9B85"/>
              <w:right w:val="single" w:sz="8" w:space="0" w:color="A99983"/>
            </w:tcBorders>
            <w:shd w:val="clear" w:color="000000" w:fill="DFD6CD"/>
            <w:vAlign w:val="center"/>
            <w:hideMark/>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b/>
                <w:bCs/>
                <w:color w:val="60512F"/>
                <w:sz w:val="16"/>
                <w:szCs w:val="16"/>
                <w:lang w:val="it-IT"/>
              </w:rPr>
              <w:t>2.014.571</w:t>
            </w:r>
          </w:p>
        </w:tc>
      </w:tr>
      <w:tr w:rsidR="000F201E" w:rsidRPr="000F201E" w:rsidTr="000F201E">
        <w:trPr>
          <w:trHeight w:val="315"/>
        </w:trPr>
        <w:tc>
          <w:tcPr>
            <w:tcW w:w="1796" w:type="pct"/>
            <w:tcBorders>
              <w:top w:val="nil"/>
              <w:left w:val="single" w:sz="8" w:space="0" w:color="AC9B85"/>
              <w:bottom w:val="single" w:sz="8" w:space="0" w:color="AC9B85"/>
              <w:right w:val="single" w:sz="8" w:space="0" w:color="AC9B85"/>
            </w:tcBorders>
            <w:shd w:val="clear" w:color="000000" w:fill="DFD6CD"/>
            <w:vAlign w:val="center"/>
            <w:hideMark/>
          </w:tcPr>
          <w:p w:rsidR="000F201E" w:rsidRPr="000F201E" w:rsidRDefault="000F201E" w:rsidP="000F201E">
            <w:pPr>
              <w:spacing w:after="0" w:line="240" w:lineRule="auto"/>
              <w:rPr>
                <w:rFonts w:ascii="Times New Roman"/>
                <w:b/>
                <w:bCs/>
                <w:color w:val="60512F"/>
                <w:sz w:val="16"/>
                <w:szCs w:val="16"/>
                <w:lang w:val="it-IT"/>
              </w:rPr>
            </w:pPr>
            <w:r w:rsidRPr="000F201E">
              <w:rPr>
                <w:rFonts w:ascii="Times New Roman"/>
                <w:b/>
                <w:bCs/>
                <w:color w:val="60512F"/>
                <w:sz w:val="16"/>
                <w:szCs w:val="16"/>
                <w:lang w:val="it-IT"/>
              </w:rPr>
              <w:t xml:space="preserve"> Totale passività</w:t>
            </w:r>
          </w:p>
        </w:tc>
        <w:tc>
          <w:tcPr>
            <w:tcW w:w="802" w:type="pct"/>
            <w:tcBorders>
              <w:top w:val="single" w:sz="8" w:space="0" w:color="A99983"/>
              <w:left w:val="single" w:sz="8" w:space="0" w:color="A99983"/>
              <w:bottom w:val="single" w:sz="8" w:space="0" w:color="AC9B85"/>
              <w:right w:val="single" w:sz="8" w:space="0" w:color="A99983"/>
            </w:tcBorders>
            <w:shd w:val="clear" w:color="000000" w:fill="DFD6CD"/>
            <w:vAlign w:val="center"/>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eastAsia="MS PGothic" w:cs="Arial"/>
                <w:b/>
                <w:bCs/>
                <w:color w:val="60512F"/>
                <w:sz w:val="16"/>
                <w:szCs w:val="16"/>
                <w:lang w:val="it-IT" w:eastAsia="it-IT"/>
              </w:rPr>
              <w:t>257.448.804</w:t>
            </w:r>
          </w:p>
        </w:tc>
        <w:tc>
          <w:tcPr>
            <w:tcW w:w="802" w:type="pct"/>
            <w:tcBorders>
              <w:top w:val="single" w:sz="8" w:space="0" w:color="A99983"/>
              <w:left w:val="nil"/>
              <w:bottom w:val="single" w:sz="8" w:space="0" w:color="AC9B85"/>
              <w:right w:val="single" w:sz="8" w:space="0" w:color="A99983"/>
            </w:tcBorders>
            <w:shd w:val="clear" w:color="000000" w:fill="DFD6CD"/>
            <w:vAlign w:val="center"/>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eastAsia="MS PGothic" w:cs="Arial"/>
                <w:b/>
                <w:bCs/>
                <w:color w:val="60512F"/>
                <w:sz w:val="16"/>
                <w:szCs w:val="16"/>
                <w:lang w:val="it-IT" w:eastAsia="it-IT"/>
              </w:rPr>
              <w:t>5.880.639</w:t>
            </w:r>
          </w:p>
        </w:tc>
        <w:tc>
          <w:tcPr>
            <w:tcW w:w="802" w:type="pct"/>
            <w:tcBorders>
              <w:top w:val="single" w:sz="8" w:space="0" w:color="A99983"/>
              <w:left w:val="nil"/>
              <w:bottom w:val="single" w:sz="8" w:space="0" w:color="AC9B85"/>
              <w:right w:val="single" w:sz="8" w:space="0" w:color="A99983"/>
            </w:tcBorders>
            <w:shd w:val="clear" w:color="000000" w:fill="DFD6CD"/>
            <w:vAlign w:val="center"/>
            <w:hideMark/>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b/>
                <w:bCs/>
                <w:color w:val="60512F"/>
                <w:sz w:val="16"/>
                <w:szCs w:val="16"/>
                <w:lang w:val="it-IT"/>
              </w:rPr>
              <w:t>176.399.754</w:t>
            </w:r>
          </w:p>
        </w:tc>
        <w:tc>
          <w:tcPr>
            <w:tcW w:w="798" w:type="pct"/>
            <w:tcBorders>
              <w:top w:val="single" w:sz="8" w:space="0" w:color="A99983"/>
              <w:left w:val="nil"/>
              <w:bottom w:val="single" w:sz="8" w:space="0" w:color="AC9B85"/>
              <w:right w:val="single" w:sz="8" w:space="0" w:color="A99983"/>
            </w:tcBorders>
            <w:shd w:val="clear" w:color="000000" w:fill="DFD6CD"/>
            <w:vAlign w:val="center"/>
            <w:hideMark/>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b/>
                <w:bCs/>
                <w:color w:val="60512F"/>
                <w:sz w:val="16"/>
                <w:szCs w:val="16"/>
                <w:lang w:val="it-IT"/>
              </w:rPr>
              <w:t>2.257.571</w:t>
            </w:r>
          </w:p>
        </w:tc>
      </w:tr>
      <w:tr w:rsidR="000F201E" w:rsidRPr="000F201E" w:rsidTr="000F201E">
        <w:trPr>
          <w:trHeight w:val="315"/>
        </w:trPr>
        <w:tc>
          <w:tcPr>
            <w:tcW w:w="1796" w:type="pct"/>
            <w:tcBorders>
              <w:top w:val="nil"/>
              <w:left w:val="single" w:sz="8" w:space="0" w:color="AC9B85"/>
              <w:bottom w:val="single" w:sz="8" w:space="0" w:color="AC9B85"/>
              <w:right w:val="single" w:sz="8" w:space="0" w:color="AC9B85"/>
            </w:tcBorders>
            <w:shd w:val="clear" w:color="000000" w:fill="DFD6CD"/>
            <w:vAlign w:val="center"/>
            <w:hideMark/>
          </w:tcPr>
          <w:p w:rsidR="000F201E" w:rsidRPr="000F201E" w:rsidRDefault="000F201E" w:rsidP="000F201E">
            <w:pPr>
              <w:spacing w:after="0" w:line="240" w:lineRule="auto"/>
              <w:rPr>
                <w:rFonts w:ascii="Times New Roman"/>
                <w:b/>
                <w:bCs/>
                <w:color w:val="60512F"/>
                <w:sz w:val="16"/>
                <w:szCs w:val="16"/>
                <w:lang w:val="it-IT"/>
              </w:rPr>
            </w:pPr>
            <w:r w:rsidRPr="000F201E">
              <w:rPr>
                <w:rFonts w:ascii="Times New Roman"/>
                <w:b/>
                <w:bCs/>
                <w:color w:val="60512F"/>
                <w:sz w:val="16"/>
                <w:szCs w:val="16"/>
                <w:lang w:val="it-IT"/>
              </w:rPr>
              <w:t xml:space="preserve"> Totale passività e patrimonio netto</w:t>
            </w:r>
          </w:p>
        </w:tc>
        <w:tc>
          <w:tcPr>
            <w:tcW w:w="802" w:type="pct"/>
            <w:tcBorders>
              <w:top w:val="single" w:sz="8" w:space="0" w:color="A99983"/>
              <w:left w:val="single" w:sz="8" w:space="0" w:color="A99983"/>
              <w:bottom w:val="single" w:sz="8" w:space="0" w:color="AC9B85"/>
              <w:right w:val="single" w:sz="8" w:space="0" w:color="A99983"/>
            </w:tcBorders>
            <w:shd w:val="clear" w:color="000000" w:fill="DFD6CD"/>
            <w:vAlign w:val="center"/>
          </w:tcPr>
          <w:p w:rsidR="000F201E" w:rsidRPr="000F201E" w:rsidRDefault="000F201E" w:rsidP="000F201E">
            <w:pPr>
              <w:spacing w:after="0" w:line="240" w:lineRule="auto"/>
              <w:ind w:firstLineChars="100" w:firstLine="161"/>
              <w:jc w:val="right"/>
              <w:rPr>
                <w:rFonts w:ascii="Times New Roman"/>
                <w:b/>
                <w:bCs/>
                <w:color w:val="60512F"/>
                <w:sz w:val="16"/>
                <w:szCs w:val="16"/>
                <w:lang w:val="it-IT" w:eastAsia="it-IT"/>
              </w:rPr>
            </w:pPr>
            <w:r w:rsidRPr="000F201E">
              <w:rPr>
                <w:rFonts w:ascii="Times New Roman" w:eastAsia="MS PGothic" w:cs="Arial"/>
                <w:b/>
                <w:bCs/>
                <w:color w:val="60512F"/>
                <w:sz w:val="16"/>
                <w:szCs w:val="16"/>
                <w:lang w:val="it-IT" w:eastAsia="it-IT"/>
              </w:rPr>
              <w:t>650.167.146</w:t>
            </w:r>
          </w:p>
        </w:tc>
        <w:tc>
          <w:tcPr>
            <w:tcW w:w="802" w:type="pct"/>
            <w:tcBorders>
              <w:top w:val="single" w:sz="8" w:space="0" w:color="A99983"/>
              <w:left w:val="nil"/>
              <w:bottom w:val="single" w:sz="8" w:space="0" w:color="AC9B85"/>
              <w:right w:val="single" w:sz="8" w:space="0" w:color="A99983"/>
            </w:tcBorders>
            <w:shd w:val="clear" w:color="000000" w:fill="DFD6CD"/>
            <w:vAlign w:val="center"/>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eastAsia="MS PGothic" w:cs="Arial"/>
                <w:b/>
                <w:bCs/>
                <w:color w:val="60512F"/>
                <w:sz w:val="16"/>
                <w:szCs w:val="16"/>
                <w:lang w:val="it-IT" w:eastAsia="it-IT"/>
              </w:rPr>
              <w:t>5.880.639</w:t>
            </w:r>
          </w:p>
        </w:tc>
        <w:tc>
          <w:tcPr>
            <w:tcW w:w="802" w:type="pct"/>
            <w:tcBorders>
              <w:top w:val="single" w:sz="8" w:space="0" w:color="A99983"/>
              <w:left w:val="nil"/>
              <w:bottom w:val="single" w:sz="8" w:space="0" w:color="AC9B85"/>
              <w:right w:val="single" w:sz="8" w:space="0" w:color="A99983"/>
            </w:tcBorders>
            <w:shd w:val="clear" w:color="000000" w:fill="DFD6CD"/>
            <w:vAlign w:val="center"/>
            <w:hideMark/>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eastAsia="MS PGothic" w:cs="Arial"/>
                <w:b/>
                <w:bCs/>
                <w:color w:val="60512F"/>
                <w:sz w:val="16"/>
                <w:szCs w:val="16"/>
                <w:lang w:val="it-IT" w:eastAsia="it-IT"/>
              </w:rPr>
              <w:t>543.885.607</w:t>
            </w:r>
          </w:p>
        </w:tc>
        <w:tc>
          <w:tcPr>
            <w:tcW w:w="798" w:type="pct"/>
            <w:tcBorders>
              <w:top w:val="single" w:sz="8" w:space="0" w:color="A99983"/>
              <w:left w:val="nil"/>
              <w:bottom w:val="single" w:sz="8" w:space="0" w:color="AC9B85"/>
              <w:right w:val="single" w:sz="8" w:space="0" w:color="A99983"/>
            </w:tcBorders>
            <w:shd w:val="clear" w:color="000000" w:fill="DFD6CD"/>
            <w:vAlign w:val="center"/>
            <w:hideMark/>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b/>
                <w:bCs/>
                <w:color w:val="60512F"/>
                <w:sz w:val="16"/>
                <w:szCs w:val="16"/>
                <w:lang w:val="it-IT"/>
              </w:rPr>
              <w:t>2.257.571</w:t>
            </w:r>
          </w:p>
        </w:tc>
      </w:tr>
    </w:tbl>
    <w:bookmarkEnd w:id="4"/>
    <w:p w:rsidR="002C4783" w:rsidRDefault="000F201E" w:rsidP="002C4783">
      <w:pPr>
        <w:jc w:val="center"/>
        <w:rPr>
          <w:rFonts w:ascii="Arial" w:hAnsi="Arial" w:cs="Arial"/>
          <w:b/>
          <w:lang w:val="it-IT"/>
        </w:rPr>
      </w:pPr>
      <w:r w:rsidRPr="000F201E">
        <w:rPr>
          <w:rFonts w:ascii="Arial" w:hAnsi="Arial" w:cs="Arial"/>
          <w:b/>
          <w:lang w:val="it-IT"/>
        </w:rPr>
        <w:lastRenderedPageBreak/>
        <w:t>RENDICONTO FINANZIARIO</w:t>
      </w:r>
    </w:p>
    <w:tbl>
      <w:tblPr>
        <w:tblW w:w="5000" w:type="pct"/>
        <w:tblLook w:val="04A0"/>
      </w:tblPr>
      <w:tblGrid>
        <w:gridCol w:w="6500"/>
        <w:gridCol w:w="1677"/>
        <w:gridCol w:w="1677"/>
      </w:tblGrid>
      <w:tr w:rsidR="000F201E" w:rsidRPr="000F201E" w:rsidTr="000F201E">
        <w:trPr>
          <w:trHeight w:val="255"/>
        </w:trPr>
        <w:tc>
          <w:tcPr>
            <w:tcW w:w="3298" w:type="pct"/>
            <w:vMerge w:val="restart"/>
            <w:tcBorders>
              <w:top w:val="single" w:sz="8" w:space="0" w:color="DFD6CD"/>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b/>
                <w:bCs/>
                <w:color w:val="000000"/>
                <w:sz w:val="16"/>
                <w:szCs w:val="16"/>
                <w:lang w:val="it-IT"/>
              </w:rPr>
            </w:pPr>
            <w:r w:rsidRPr="000F201E">
              <w:rPr>
                <w:rFonts w:ascii="Times New Roman"/>
                <w:b/>
                <w:bCs/>
                <w:color w:val="000000"/>
                <w:sz w:val="16"/>
                <w:szCs w:val="16"/>
                <w:lang w:val="it-IT"/>
              </w:rPr>
              <w:t>(Euro)</w:t>
            </w:r>
          </w:p>
        </w:tc>
        <w:tc>
          <w:tcPr>
            <w:tcW w:w="851" w:type="pct"/>
            <w:vMerge w:val="restart"/>
            <w:tcBorders>
              <w:top w:val="single" w:sz="8" w:space="0" w:color="C4BD97"/>
              <w:left w:val="nil"/>
              <w:bottom w:val="single" w:sz="8" w:space="0" w:color="C4BD97"/>
              <w:right w:val="single" w:sz="8" w:space="0" w:color="C4BD97"/>
            </w:tcBorders>
            <w:shd w:val="clear" w:color="000000" w:fill="AC9B85"/>
            <w:vAlign w:val="center"/>
            <w:hideMark/>
          </w:tcPr>
          <w:p w:rsidR="000F201E" w:rsidRPr="000F201E" w:rsidRDefault="000F201E" w:rsidP="000F201E">
            <w:pPr>
              <w:spacing w:after="0" w:line="240" w:lineRule="auto"/>
              <w:jc w:val="center"/>
              <w:rPr>
                <w:rFonts w:ascii="Times New Roman"/>
                <w:b/>
                <w:bCs/>
                <w:color w:val="FFFFFF"/>
                <w:sz w:val="16"/>
                <w:szCs w:val="16"/>
                <w:lang w:val="it-IT"/>
              </w:rPr>
            </w:pPr>
            <w:r w:rsidRPr="000F201E">
              <w:rPr>
                <w:rFonts w:ascii="Times New Roman"/>
                <w:b/>
                <w:bCs/>
                <w:color w:val="FFFFFF"/>
                <w:sz w:val="16"/>
                <w:szCs w:val="16"/>
                <w:lang w:val="it-IT"/>
              </w:rPr>
              <w:t>2018</w:t>
            </w:r>
            <w:r>
              <w:rPr>
                <w:rFonts w:ascii="Times New Roman"/>
                <w:b/>
                <w:bCs/>
                <w:color w:val="FFFFFF"/>
                <w:sz w:val="16"/>
                <w:szCs w:val="16"/>
                <w:lang w:val="it-IT"/>
              </w:rPr>
              <w:t xml:space="preserve">                     (dati non revisionati)</w:t>
            </w:r>
          </w:p>
        </w:tc>
        <w:tc>
          <w:tcPr>
            <w:tcW w:w="851" w:type="pct"/>
            <w:vMerge w:val="restart"/>
            <w:tcBorders>
              <w:top w:val="single" w:sz="8" w:space="0" w:color="C4BD97"/>
              <w:left w:val="nil"/>
              <w:bottom w:val="single" w:sz="8" w:space="0" w:color="C4BD97"/>
              <w:right w:val="single" w:sz="8" w:space="0" w:color="C4BD97"/>
            </w:tcBorders>
            <w:shd w:val="clear" w:color="000000" w:fill="AC9B85"/>
            <w:vAlign w:val="center"/>
            <w:hideMark/>
          </w:tcPr>
          <w:p w:rsidR="000F201E" w:rsidRPr="000F201E" w:rsidRDefault="000F201E" w:rsidP="000F201E">
            <w:pPr>
              <w:spacing w:after="0" w:line="240" w:lineRule="auto"/>
              <w:jc w:val="center"/>
              <w:rPr>
                <w:rFonts w:ascii="Times New Roman"/>
                <w:b/>
                <w:bCs/>
                <w:color w:val="FFFFFF"/>
                <w:sz w:val="16"/>
                <w:szCs w:val="16"/>
                <w:lang w:val="it-IT"/>
              </w:rPr>
            </w:pPr>
            <w:r w:rsidRPr="000F201E">
              <w:rPr>
                <w:rFonts w:ascii="Times New Roman"/>
                <w:b/>
                <w:bCs/>
                <w:color w:val="FFFFFF"/>
                <w:sz w:val="16"/>
                <w:szCs w:val="16"/>
                <w:lang w:val="it-IT"/>
              </w:rPr>
              <w:t>2017</w:t>
            </w:r>
          </w:p>
        </w:tc>
      </w:tr>
      <w:tr w:rsidR="000F201E" w:rsidRPr="000F201E" w:rsidTr="000F201E">
        <w:trPr>
          <w:trHeight w:val="450"/>
        </w:trPr>
        <w:tc>
          <w:tcPr>
            <w:tcW w:w="3298" w:type="pct"/>
            <w:vMerge/>
            <w:tcBorders>
              <w:top w:val="single" w:sz="8" w:space="0" w:color="DFD6CD"/>
              <w:left w:val="single" w:sz="8" w:space="0" w:color="DFD6CD"/>
              <w:bottom w:val="single" w:sz="8" w:space="0" w:color="DFD6CD"/>
              <w:right w:val="single" w:sz="8" w:space="0" w:color="DFD6CD"/>
            </w:tcBorders>
            <w:vAlign w:val="center"/>
            <w:hideMark/>
          </w:tcPr>
          <w:p w:rsidR="000F201E" w:rsidRPr="000F201E" w:rsidRDefault="000F201E" w:rsidP="000F201E">
            <w:pPr>
              <w:spacing w:after="0" w:line="240" w:lineRule="auto"/>
              <w:rPr>
                <w:rFonts w:ascii="Times New Roman"/>
                <w:b/>
                <w:bCs/>
                <w:color w:val="000000"/>
                <w:sz w:val="16"/>
                <w:szCs w:val="16"/>
                <w:lang w:val="it-IT"/>
              </w:rPr>
            </w:pPr>
          </w:p>
        </w:tc>
        <w:tc>
          <w:tcPr>
            <w:tcW w:w="851" w:type="pct"/>
            <w:vMerge/>
            <w:tcBorders>
              <w:top w:val="single" w:sz="8" w:space="0" w:color="C4BD97"/>
              <w:left w:val="nil"/>
              <w:bottom w:val="single" w:sz="8" w:space="0" w:color="C4BD97"/>
              <w:right w:val="single" w:sz="8" w:space="0" w:color="C4BD97"/>
            </w:tcBorders>
            <w:vAlign w:val="center"/>
            <w:hideMark/>
          </w:tcPr>
          <w:p w:rsidR="000F201E" w:rsidRPr="000F201E" w:rsidRDefault="000F201E" w:rsidP="000F201E">
            <w:pPr>
              <w:spacing w:after="0" w:line="240" w:lineRule="auto"/>
              <w:rPr>
                <w:rFonts w:ascii="Times New Roman"/>
                <w:b/>
                <w:bCs/>
                <w:color w:val="FFFFFF"/>
                <w:sz w:val="16"/>
                <w:szCs w:val="16"/>
                <w:lang w:val="it-IT"/>
              </w:rPr>
            </w:pPr>
          </w:p>
        </w:tc>
        <w:tc>
          <w:tcPr>
            <w:tcW w:w="851" w:type="pct"/>
            <w:vMerge/>
            <w:tcBorders>
              <w:top w:val="single" w:sz="8" w:space="0" w:color="C4BD97"/>
              <w:left w:val="nil"/>
              <w:bottom w:val="single" w:sz="8" w:space="0" w:color="C4BD97"/>
              <w:right w:val="single" w:sz="8" w:space="0" w:color="C4BD97"/>
            </w:tcBorders>
            <w:vAlign w:val="center"/>
            <w:hideMark/>
          </w:tcPr>
          <w:p w:rsidR="000F201E" w:rsidRPr="000F201E" w:rsidRDefault="000F201E" w:rsidP="000F201E">
            <w:pPr>
              <w:spacing w:after="0" w:line="240" w:lineRule="auto"/>
              <w:rPr>
                <w:rFonts w:ascii="Times New Roman"/>
                <w:b/>
                <w:bCs/>
                <w:color w:val="FFFFFF"/>
                <w:sz w:val="16"/>
                <w:szCs w:val="16"/>
                <w:lang w:val="it-IT"/>
              </w:rPr>
            </w:pPr>
          </w:p>
        </w:tc>
      </w:tr>
      <w:tr w:rsidR="000F201E" w:rsidRPr="000F201E" w:rsidTr="000F201E">
        <w:trPr>
          <w:trHeight w:val="340"/>
        </w:trPr>
        <w:tc>
          <w:tcPr>
            <w:tcW w:w="3298"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Utile d'esercizio ante imposte</w:t>
            </w:r>
          </w:p>
        </w:tc>
        <w:tc>
          <w:tcPr>
            <w:tcW w:w="851"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      36.889.839</w:t>
            </w:r>
          </w:p>
        </w:tc>
        <w:tc>
          <w:tcPr>
            <w:tcW w:w="851" w:type="pct"/>
            <w:tcBorders>
              <w:top w:val="single" w:sz="8" w:space="0" w:color="DFD6CD"/>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 xml:space="preserve">        16.272.735 </w:t>
            </w:r>
          </w:p>
        </w:tc>
      </w:tr>
      <w:tr w:rsidR="000F201E" w:rsidRPr="000F201E" w:rsidTr="000F201E">
        <w:trPr>
          <w:trHeight w:val="340"/>
        </w:trPr>
        <w:tc>
          <w:tcPr>
            <w:tcW w:w="3298"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b/>
                <w:bCs/>
                <w:color w:val="000000"/>
                <w:sz w:val="16"/>
                <w:szCs w:val="16"/>
                <w:lang w:val="it-IT"/>
              </w:rPr>
            </w:pPr>
            <w:r w:rsidRPr="000F201E">
              <w:rPr>
                <w:rFonts w:ascii="Times New Roman"/>
                <w:b/>
                <w:bCs/>
                <w:color w:val="000000"/>
                <w:sz w:val="16"/>
                <w:szCs w:val="16"/>
                <w:lang w:val="it-IT"/>
              </w:rPr>
              <w:t>Aggiustamenti per riconciliare l’utile con i flussi finanziari netti:</w:t>
            </w:r>
          </w:p>
        </w:tc>
        <w:tc>
          <w:tcPr>
            <w:tcW w:w="851"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                   -   </w:t>
            </w:r>
          </w:p>
        </w:tc>
        <w:tc>
          <w:tcPr>
            <w:tcW w:w="851"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 </w:t>
            </w:r>
          </w:p>
        </w:tc>
      </w:tr>
      <w:tr w:rsidR="000F201E" w:rsidRPr="000F201E" w:rsidTr="000F201E">
        <w:trPr>
          <w:trHeight w:val="340"/>
        </w:trPr>
        <w:tc>
          <w:tcPr>
            <w:tcW w:w="3298"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Rettifiche di valore nette</w:t>
            </w:r>
          </w:p>
        </w:tc>
        <w:tc>
          <w:tcPr>
            <w:tcW w:w="851"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     38.963.650 </w:t>
            </w:r>
          </w:p>
        </w:tc>
        <w:tc>
          <w:tcPr>
            <w:tcW w:w="851"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 xml:space="preserve">1.204.879  </w:t>
            </w:r>
          </w:p>
        </w:tc>
      </w:tr>
      <w:tr w:rsidR="000F201E" w:rsidRPr="000F201E" w:rsidTr="000F201E">
        <w:trPr>
          <w:trHeight w:val="340"/>
        </w:trPr>
        <w:tc>
          <w:tcPr>
            <w:tcW w:w="3298"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Accantonamento benefici ai dipendenti</w:t>
            </w:r>
          </w:p>
        </w:tc>
        <w:tc>
          <w:tcPr>
            <w:tcW w:w="851"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            62.477 </w:t>
            </w:r>
          </w:p>
        </w:tc>
        <w:tc>
          <w:tcPr>
            <w:tcW w:w="851"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 xml:space="preserve">45.448  </w:t>
            </w:r>
          </w:p>
        </w:tc>
      </w:tr>
      <w:tr w:rsidR="000F201E" w:rsidRPr="000F201E" w:rsidTr="000F201E">
        <w:trPr>
          <w:trHeight w:val="340"/>
        </w:trPr>
        <w:tc>
          <w:tcPr>
            <w:tcW w:w="3298"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Adeguamento fair value immobili</w:t>
            </w:r>
          </w:p>
        </w:tc>
        <w:tc>
          <w:tcPr>
            <w:tcW w:w="851"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(25.869.732) </w:t>
            </w:r>
          </w:p>
        </w:tc>
        <w:tc>
          <w:tcPr>
            <w:tcW w:w="851"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(3.344.345)</w:t>
            </w:r>
          </w:p>
        </w:tc>
      </w:tr>
      <w:tr w:rsidR="000F201E" w:rsidRPr="000F201E" w:rsidTr="000F201E">
        <w:trPr>
          <w:trHeight w:val="340"/>
        </w:trPr>
        <w:tc>
          <w:tcPr>
            <w:tcW w:w="3298"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Proventi finanziari</w:t>
            </w:r>
          </w:p>
        </w:tc>
        <w:tc>
          <w:tcPr>
            <w:tcW w:w="851"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(11.492) </w:t>
            </w:r>
          </w:p>
        </w:tc>
        <w:tc>
          <w:tcPr>
            <w:tcW w:w="851"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(17.763)</w:t>
            </w:r>
          </w:p>
        </w:tc>
      </w:tr>
      <w:tr w:rsidR="000F201E" w:rsidRPr="000F201E" w:rsidTr="000F201E">
        <w:trPr>
          <w:trHeight w:val="340"/>
        </w:trPr>
        <w:tc>
          <w:tcPr>
            <w:tcW w:w="3298"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Oneri finanziari</w:t>
            </w:r>
          </w:p>
        </w:tc>
        <w:tc>
          <w:tcPr>
            <w:tcW w:w="851"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          167.597 </w:t>
            </w:r>
          </w:p>
        </w:tc>
        <w:tc>
          <w:tcPr>
            <w:tcW w:w="851"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 xml:space="preserve">1.017.716  </w:t>
            </w:r>
          </w:p>
        </w:tc>
      </w:tr>
      <w:tr w:rsidR="000F201E" w:rsidRPr="000F201E" w:rsidTr="000F201E">
        <w:trPr>
          <w:trHeight w:val="340"/>
        </w:trPr>
        <w:tc>
          <w:tcPr>
            <w:tcW w:w="3298"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Variazione fair value strumenti finanziari</w:t>
            </w:r>
          </w:p>
        </w:tc>
        <w:tc>
          <w:tcPr>
            <w:tcW w:w="851"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highlight w:val="yellow"/>
                <w:lang w:val="it-IT"/>
              </w:rPr>
            </w:pPr>
            <w:r w:rsidRPr="000F201E">
              <w:rPr>
                <w:rFonts w:ascii="Times New Roman" w:eastAsia="MS PGothic" w:cs="Arial"/>
                <w:color w:val="000000"/>
                <w:sz w:val="16"/>
                <w:szCs w:val="16"/>
                <w:lang w:val="it-IT" w:eastAsia="it-IT"/>
              </w:rPr>
              <w:t xml:space="preserve">               755.000 </w:t>
            </w:r>
          </w:p>
        </w:tc>
        <w:tc>
          <w:tcPr>
            <w:tcW w:w="851"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(148.000)</w:t>
            </w:r>
          </w:p>
        </w:tc>
      </w:tr>
      <w:tr w:rsidR="000F201E" w:rsidRPr="000F201E" w:rsidTr="000F201E">
        <w:trPr>
          <w:trHeight w:val="340"/>
        </w:trPr>
        <w:tc>
          <w:tcPr>
            <w:tcW w:w="3298"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b/>
                <w:bCs/>
                <w:color w:val="000000"/>
                <w:sz w:val="16"/>
                <w:szCs w:val="16"/>
                <w:lang w:val="it-IT"/>
              </w:rPr>
            </w:pPr>
            <w:r w:rsidRPr="000F201E">
              <w:rPr>
                <w:rFonts w:ascii="Times New Roman"/>
                <w:b/>
                <w:bCs/>
                <w:color w:val="000000"/>
                <w:sz w:val="16"/>
                <w:szCs w:val="16"/>
                <w:lang w:val="it-IT"/>
              </w:rPr>
              <w:t>Variazioni di capitale circolante:</w:t>
            </w:r>
          </w:p>
        </w:tc>
        <w:tc>
          <w:tcPr>
            <w:tcW w:w="851"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p>
        </w:tc>
        <w:tc>
          <w:tcPr>
            <w:tcW w:w="851"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 </w:t>
            </w:r>
          </w:p>
        </w:tc>
      </w:tr>
      <w:tr w:rsidR="000F201E" w:rsidRPr="000F201E" w:rsidTr="000F201E">
        <w:trPr>
          <w:trHeight w:val="340"/>
        </w:trPr>
        <w:tc>
          <w:tcPr>
            <w:tcW w:w="3298"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(Aumento) / diminuzione dei crediti commerciali e degli altri crediti correnti</w:t>
            </w:r>
          </w:p>
        </w:tc>
        <w:tc>
          <w:tcPr>
            <w:tcW w:w="851"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(4.141.971)</w:t>
            </w:r>
          </w:p>
        </w:tc>
        <w:tc>
          <w:tcPr>
            <w:tcW w:w="851"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 xml:space="preserve">6.780.266  </w:t>
            </w:r>
          </w:p>
        </w:tc>
      </w:tr>
      <w:tr w:rsidR="000F201E" w:rsidRPr="000F201E" w:rsidTr="000F201E">
        <w:trPr>
          <w:trHeight w:val="340"/>
        </w:trPr>
        <w:tc>
          <w:tcPr>
            <w:tcW w:w="3298" w:type="pct"/>
            <w:tcBorders>
              <w:top w:val="nil"/>
              <w:left w:val="single" w:sz="8" w:space="0" w:color="DFD6CD"/>
              <w:bottom w:val="single" w:sz="8" w:space="0" w:color="DFD6CD"/>
              <w:right w:val="single" w:sz="8" w:space="0" w:color="DFD6CD"/>
            </w:tcBorders>
            <w:shd w:val="clear" w:color="auto" w:fill="auto"/>
            <w:vAlign w:val="center"/>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Aumento / (diminuzione) dei debiti commerciali ed altri debiti correnti</w:t>
            </w:r>
          </w:p>
        </w:tc>
        <w:tc>
          <w:tcPr>
            <w:tcW w:w="851"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3.107.330</w:t>
            </w:r>
          </w:p>
        </w:tc>
        <w:tc>
          <w:tcPr>
            <w:tcW w:w="851" w:type="pct"/>
            <w:tcBorders>
              <w:top w:val="nil"/>
              <w:left w:val="nil"/>
              <w:bottom w:val="single" w:sz="8" w:space="0" w:color="DFD6CD"/>
              <w:right w:val="single" w:sz="8" w:space="0" w:color="DFD6CD"/>
            </w:tcBorders>
            <w:shd w:val="clear" w:color="auto" w:fill="auto"/>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(310.098)</w:t>
            </w:r>
          </w:p>
        </w:tc>
      </w:tr>
      <w:tr w:rsidR="000F201E" w:rsidRPr="000F201E" w:rsidTr="000F201E">
        <w:trPr>
          <w:trHeight w:val="340"/>
        </w:trPr>
        <w:tc>
          <w:tcPr>
            <w:tcW w:w="3298" w:type="pct"/>
            <w:tcBorders>
              <w:top w:val="nil"/>
              <w:left w:val="single" w:sz="8" w:space="0" w:color="DFD6CD"/>
              <w:bottom w:val="single" w:sz="8" w:space="0" w:color="AC9B85"/>
              <w:right w:val="single" w:sz="8" w:space="0" w:color="DFD6CD"/>
            </w:tcBorders>
            <w:shd w:val="clear" w:color="auto" w:fill="auto"/>
            <w:vAlign w:val="center"/>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Aumento / (diminuzione) dei debiti commerciali ed altri debiti non correnti</w:t>
            </w:r>
          </w:p>
        </w:tc>
        <w:tc>
          <w:tcPr>
            <w:tcW w:w="851"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94.564</w:t>
            </w:r>
          </w:p>
        </w:tc>
        <w:tc>
          <w:tcPr>
            <w:tcW w:w="851" w:type="pct"/>
            <w:tcBorders>
              <w:top w:val="nil"/>
              <w:left w:val="nil"/>
              <w:bottom w:val="single" w:sz="8" w:space="0" w:color="DFD6CD"/>
              <w:right w:val="single" w:sz="8" w:space="0" w:color="DFD6CD"/>
            </w:tcBorders>
            <w:shd w:val="clear" w:color="auto" w:fill="auto"/>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r>
      <w:tr w:rsidR="000F201E" w:rsidRPr="000F201E" w:rsidTr="000F201E">
        <w:trPr>
          <w:trHeight w:val="340"/>
        </w:trPr>
        <w:tc>
          <w:tcPr>
            <w:tcW w:w="3298" w:type="pct"/>
            <w:tcBorders>
              <w:top w:val="nil"/>
              <w:left w:val="single" w:sz="8" w:space="0" w:color="AC9B85"/>
              <w:bottom w:val="single" w:sz="8" w:space="0" w:color="AC9B85"/>
              <w:right w:val="single" w:sz="8" w:space="0" w:color="AC9B85"/>
            </w:tcBorders>
            <w:shd w:val="clear" w:color="000000" w:fill="DFD6CD"/>
            <w:vAlign w:val="center"/>
            <w:hideMark/>
          </w:tcPr>
          <w:p w:rsidR="000F201E" w:rsidRPr="000F201E" w:rsidRDefault="000F201E" w:rsidP="000F201E">
            <w:pPr>
              <w:spacing w:after="0" w:line="240" w:lineRule="auto"/>
              <w:rPr>
                <w:rFonts w:ascii="Times New Roman"/>
                <w:b/>
                <w:bCs/>
                <w:color w:val="60512F"/>
                <w:sz w:val="16"/>
                <w:szCs w:val="16"/>
                <w:lang w:val="it-IT"/>
              </w:rPr>
            </w:pPr>
            <w:r w:rsidRPr="000F201E">
              <w:rPr>
                <w:rFonts w:ascii="Times New Roman"/>
                <w:b/>
                <w:bCs/>
                <w:color w:val="60512F"/>
                <w:sz w:val="16"/>
                <w:szCs w:val="16"/>
                <w:lang w:val="it-IT"/>
              </w:rPr>
              <w:t>Flussi finanziari netti (impieghi) da attività operative</w:t>
            </w:r>
          </w:p>
        </w:tc>
        <w:tc>
          <w:tcPr>
            <w:tcW w:w="851" w:type="pct"/>
            <w:tcBorders>
              <w:top w:val="single" w:sz="8" w:space="0" w:color="A99983"/>
              <w:left w:val="single" w:sz="8" w:space="0" w:color="A99983"/>
              <w:bottom w:val="single" w:sz="8" w:space="0" w:color="AC9B85"/>
              <w:right w:val="single" w:sz="8" w:space="0" w:color="A99983"/>
            </w:tcBorders>
            <w:shd w:val="clear" w:color="000000" w:fill="DFD6CD"/>
            <w:vAlign w:val="center"/>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b/>
                <w:bCs/>
                <w:color w:val="60512F"/>
                <w:sz w:val="16"/>
                <w:szCs w:val="16"/>
                <w:lang w:val="it-IT"/>
              </w:rPr>
              <w:t>50.017.262</w:t>
            </w:r>
          </w:p>
        </w:tc>
        <w:tc>
          <w:tcPr>
            <w:tcW w:w="851" w:type="pct"/>
            <w:tcBorders>
              <w:top w:val="single" w:sz="8" w:space="0" w:color="A99983"/>
              <w:left w:val="nil"/>
              <w:bottom w:val="single" w:sz="8" w:space="0" w:color="AC9B85"/>
              <w:right w:val="single" w:sz="8" w:space="0" w:color="A99983"/>
            </w:tcBorders>
            <w:shd w:val="clear" w:color="000000" w:fill="DFD6CD"/>
            <w:vAlign w:val="center"/>
            <w:hideMark/>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b/>
                <w:bCs/>
                <w:color w:val="60512F"/>
                <w:sz w:val="16"/>
                <w:szCs w:val="16"/>
                <w:lang w:val="it-IT"/>
              </w:rPr>
              <w:t>21.500.838</w:t>
            </w:r>
          </w:p>
        </w:tc>
      </w:tr>
      <w:tr w:rsidR="000F201E" w:rsidRPr="000F201E" w:rsidTr="000F201E">
        <w:trPr>
          <w:trHeight w:val="340"/>
        </w:trPr>
        <w:tc>
          <w:tcPr>
            <w:tcW w:w="3298" w:type="pct"/>
            <w:tcBorders>
              <w:top w:val="single" w:sz="8" w:space="0" w:color="C4BD97"/>
              <w:left w:val="single" w:sz="8" w:space="0" w:color="C4BD97"/>
              <w:bottom w:val="nil"/>
              <w:right w:val="nil"/>
            </w:tcBorders>
            <w:shd w:val="clear" w:color="000000" w:fill="AC9B85"/>
            <w:vAlign w:val="center"/>
            <w:hideMark/>
          </w:tcPr>
          <w:p w:rsidR="000F201E" w:rsidRPr="000F201E" w:rsidRDefault="000F201E" w:rsidP="000F201E">
            <w:pPr>
              <w:spacing w:after="0" w:line="240" w:lineRule="auto"/>
              <w:rPr>
                <w:rFonts w:ascii="Times New Roman"/>
                <w:b/>
                <w:bCs/>
                <w:color w:val="FFFFFF"/>
                <w:sz w:val="16"/>
                <w:szCs w:val="16"/>
                <w:lang w:val="it-IT"/>
              </w:rPr>
            </w:pPr>
            <w:r w:rsidRPr="000F201E">
              <w:rPr>
                <w:rFonts w:ascii="Times New Roman"/>
                <w:b/>
                <w:bCs/>
                <w:color w:val="FFFFFF"/>
                <w:sz w:val="16"/>
                <w:szCs w:val="16"/>
                <w:lang w:val="it-IT"/>
              </w:rPr>
              <w:t>Attività di investimento</w:t>
            </w:r>
          </w:p>
        </w:tc>
        <w:tc>
          <w:tcPr>
            <w:tcW w:w="851" w:type="pct"/>
            <w:tcBorders>
              <w:top w:val="nil"/>
              <w:left w:val="nil"/>
              <w:bottom w:val="nil"/>
              <w:right w:val="nil"/>
            </w:tcBorders>
            <w:shd w:val="clear" w:color="000000" w:fill="AC9B85"/>
            <w:vAlign w:val="center"/>
          </w:tcPr>
          <w:p w:rsidR="000F201E" w:rsidRPr="000F201E" w:rsidRDefault="000F201E" w:rsidP="000F201E">
            <w:pPr>
              <w:spacing w:after="0" w:line="240" w:lineRule="auto"/>
              <w:rPr>
                <w:rFonts w:ascii="Times New Roman"/>
                <w:b/>
                <w:bCs/>
                <w:color w:val="FFFFFF"/>
                <w:sz w:val="24"/>
                <w:szCs w:val="24"/>
                <w:lang w:val="it-IT"/>
              </w:rPr>
            </w:pPr>
          </w:p>
        </w:tc>
        <w:tc>
          <w:tcPr>
            <w:tcW w:w="851" w:type="pct"/>
            <w:tcBorders>
              <w:top w:val="nil"/>
              <w:left w:val="nil"/>
              <w:bottom w:val="nil"/>
              <w:right w:val="nil"/>
            </w:tcBorders>
            <w:shd w:val="clear" w:color="000000" w:fill="AC9B85"/>
            <w:vAlign w:val="center"/>
            <w:hideMark/>
          </w:tcPr>
          <w:p w:rsidR="000F201E" w:rsidRPr="000F201E" w:rsidRDefault="000F201E" w:rsidP="000F201E">
            <w:pPr>
              <w:spacing w:after="0" w:line="240" w:lineRule="auto"/>
              <w:rPr>
                <w:rFonts w:ascii="Times New Roman"/>
                <w:b/>
                <w:bCs/>
                <w:color w:val="FFFFFF"/>
                <w:sz w:val="24"/>
                <w:szCs w:val="24"/>
                <w:lang w:val="it-IT"/>
              </w:rPr>
            </w:pPr>
            <w:r w:rsidRPr="000F201E">
              <w:rPr>
                <w:rFonts w:ascii="Times New Roman"/>
                <w:b/>
                <w:bCs/>
                <w:color w:val="FFFFFF"/>
                <w:sz w:val="24"/>
                <w:szCs w:val="24"/>
                <w:lang w:val="it-IT"/>
              </w:rPr>
              <w:t> </w:t>
            </w:r>
          </w:p>
        </w:tc>
      </w:tr>
      <w:tr w:rsidR="000F201E" w:rsidRPr="000F201E" w:rsidTr="000F201E">
        <w:trPr>
          <w:trHeight w:val="340"/>
        </w:trPr>
        <w:tc>
          <w:tcPr>
            <w:tcW w:w="3298" w:type="pct"/>
            <w:tcBorders>
              <w:top w:val="single" w:sz="8" w:space="0" w:color="DFD6CD"/>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(Acquisto) / dismissione di investimenti immobiliari</w:t>
            </w:r>
          </w:p>
        </w:tc>
        <w:tc>
          <w:tcPr>
            <w:tcW w:w="851" w:type="pct"/>
            <w:tcBorders>
              <w:top w:val="single" w:sz="8" w:space="0" w:color="DFD6CD"/>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sz w:val="16"/>
                <w:szCs w:val="16"/>
                <w:lang w:val="it-IT" w:eastAsia="it-IT"/>
              </w:rPr>
              <w:t>(103.830.268)</w:t>
            </w:r>
          </w:p>
        </w:tc>
        <w:tc>
          <w:tcPr>
            <w:tcW w:w="851" w:type="pct"/>
            <w:tcBorders>
              <w:top w:val="single" w:sz="8" w:space="0" w:color="DFD6CD"/>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(58.555.655)</w:t>
            </w:r>
          </w:p>
        </w:tc>
      </w:tr>
      <w:tr w:rsidR="000F201E" w:rsidRPr="000F201E" w:rsidTr="000F201E">
        <w:trPr>
          <w:trHeight w:val="340"/>
        </w:trPr>
        <w:tc>
          <w:tcPr>
            <w:tcW w:w="3298"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(Acquisto) / dismissione di immobilizzazioni</w:t>
            </w:r>
          </w:p>
        </w:tc>
        <w:tc>
          <w:tcPr>
            <w:tcW w:w="851"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sz w:val="16"/>
                <w:szCs w:val="16"/>
                <w:lang w:val="it-IT" w:eastAsia="it-IT"/>
              </w:rPr>
              <w:t>(48.876)</w:t>
            </w:r>
          </w:p>
        </w:tc>
        <w:tc>
          <w:tcPr>
            <w:tcW w:w="851"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(382.835)</w:t>
            </w:r>
          </w:p>
        </w:tc>
      </w:tr>
      <w:tr w:rsidR="000F201E" w:rsidRPr="000F201E" w:rsidTr="000F201E">
        <w:trPr>
          <w:trHeight w:val="340"/>
        </w:trPr>
        <w:tc>
          <w:tcPr>
            <w:tcW w:w="3298"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(Aumento) / diminuzione delle altre attività non correnti</w:t>
            </w:r>
          </w:p>
        </w:tc>
        <w:tc>
          <w:tcPr>
            <w:tcW w:w="851"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851"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38.000.000</w:t>
            </w:r>
          </w:p>
        </w:tc>
      </w:tr>
      <w:tr w:rsidR="000F201E" w:rsidRPr="000F201E" w:rsidTr="000F201E">
        <w:trPr>
          <w:trHeight w:val="340"/>
        </w:trPr>
        <w:tc>
          <w:tcPr>
            <w:tcW w:w="3298" w:type="pct"/>
            <w:tcBorders>
              <w:top w:val="nil"/>
              <w:left w:val="single" w:sz="8" w:space="0" w:color="DFD6CD"/>
              <w:bottom w:val="single" w:sz="8" w:space="0" w:color="DFD6CD"/>
              <w:right w:val="single" w:sz="8" w:space="0" w:color="DFD6CD"/>
            </w:tcBorders>
            <w:shd w:val="clear" w:color="auto" w:fill="auto"/>
            <w:vAlign w:val="center"/>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(Aumento) / diminuzione delle attività finanziarie</w:t>
            </w:r>
          </w:p>
        </w:tc>
        <w:tc>
          <w:tcPr>
            <w:tcW w:w="851"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eastAsia="it-IT"/>
              </w:rPr>
            </w:pPr>
            <w:r w:rsidRPr="000F201E">
              <w:rPr>
                <w:rFonts w:ascii="Times New Roman"/>
                <w:color w:val="000000"/>
                <w:sz w:val="16"/>
                <w:szCs w:val="16"/>
                <w:lang w:val="it-IT" w:eastAsia="it-IT"/>
              </w:rPr>
              <w:t xml:space="preserve">1.447.184  </w:t>
            </w:r>
          </w:p>
        </w:tc>
        <w:tc>
          <w:tcPr>
            <w:tcW w:w="851" w:type="pct"/>
            <w:tcBorders>
              <w:top w:val="nil"/>
              <w:left w:val="nil"/>
              <w:bottom w:val="single" w:sz="8" w:space="0" w:color="DFD6CD"/>
              <w:right w:val="single" w:sz="8" w:space="0" w:color="DFD6CD"/>
            </w:tcBorders>
            <w:shd w:val="clear" w:color="auto" w:fill="auto"/>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(1.485.325)</w:t>
            </w:r>
          </w:p>
        </w:tc>
      </w:tr>
      <w:tr w:rsidR="000F201E" w:rsidRPr="000F201E" w:rsidTr="000F201E">
        <w:trPr>
          <w:trHeight w:val="340"/>
        </w:trPr>
        <w:tc>
          <w:tcPr>
            <w:tcW w:w="3298"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Acquisizione di società controllate </w:t>
            </w:r>
          </w:p>
        </w:tc>
        <w:tc>
          <w:tcPr>
            <w:tcW w:w="851"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w:t>
            </w:r>
          </w:p>
        </w:tc>
        <w:tc>
          <w:tcPr>
            <w:tcW w:w="851"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eastAsia="it-IT"/>
              </w:rPr>
            </w:pPr>
            <w:r w:rsidRPr="000F201E">
              <w:rPr>
                <w:rFonts w:ascii="Times New Roman"/>
                <w:color w:val="000000"/>
                <w:sz w:val="16"/>
                <w:szCs w:val="16"/>
                <w:lang w:val="it-IT"/>
              </w:rPr>
              <w:t>(27.500.000)</w:t>
            </w:r>
          </w:p>
        </w:tc>
      </w:tr>
      <w:tr w:rsidR="000F201E" w:rsidRPr="000F201E" w:rsidTr="000F201E">
        <w:trPr>
          <w:trHeight w:val="340"/>
        </w:trPr>
        <w:tc>
          <w:tcPr>
            <w:tcW w:w="3298" w:type="pct"/>
            <w:tcBorders>
              <w:top w:val="nil"/>
              <w:left w:val="single" w:sz="8" w:space="0" w:color="DFD6CD"/>
              <w:bottom w:val="single" w:sz="8" w:space="0" w:color="AC9B85"/>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 xml:space="preserve">Acquisizione di società collegate </w:t>
            </w:r>
          </w:p>
        </w:tc>
        <w:tc>
          <w:tcPr>
            <w:tcW w:w="851"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eastAsia="it-IT"/>
              </w:rPr>
            </w:pPr>
            <w:r w:rsidRPr="000F201E">
              <w:rPr>
                <w:rFonts w:ascii="Times New Roman"/>
                <w:color w:val="000000"/>
                <w:sz w:val="16"/>
                <w:szCs w:val="16"/>
                <w:lang w:val="it-IT" w:eastAsia="it-IT"/>
              </w:rPr>
              <w:t>(2.203.937)</w:t>
            </w:r>
          </w:p>
        </w:tc>
        <w:tc>
          <w:tcPr>
            <w:tcW w:w="851"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(642.857)</w:t>
            </w:r>
          </w:p>
        </w:tc>
      </w:tr>
      <w:tr w:rsidR="000F201E" w:rsidRPr="000F201E" w:rsidTr="000F201E">
        <w:trPr>
          <w:trHeight w:val="340"/>
        </w:trPr>
        <w:tc>
          <w:tcPr>
            <w:tcW w:w="3298" w:type="pct"/>
            <w:tcBorders>
              <w:top w:val="nil"/>
              <w:left w:val="single" w:sz="8" w:space="0" w:color="AC9B85"/>
              <w:bottom w:val="single" w:sz="8" w:space="0" w:color="AC9B85"/>
              <w:right w:val="single" w:sz="8" w:space="0" w:color="AC9B85"/>
            </w:tcBorders>
            <w:shd w:val="clear" w:color="000000" w:fill="DFD6CD"/>
            <w:vAlign w:val="center"/>
            <w:hideMark/>
          </w:tcPr>
          <w:p w:rsidR="000F201E" w:rsidRPr="000F201E" w:rsidRDefault="000F201E" w:rsidP="000F201E">
            <w:pPr>
              <w:spacing w:after="0" w:line="240" w:lineRule="auto"/>
              <w:rPr>
                <w:rFonts w:ascii="Times New Roman"/>
                <w:b/>
                <w:bCs/>
                <w:color w:val="60512F"/>
                <w:sz w:val="16"/>
                <w:szCs w:val="16"/>
                <w:lang w:val="it-IT"/>
              </w:rPr>
            </w:pPr>
            <w:r w:rsidRPr="000F201E">
              <w:rPr>
                <w:rFonts w:ascii="Times New Roman"/>
                <w:b/>
                <w:bCs/>
                <w:color w:val="60512F"/>
                <w:sz w:val="16"/>
                <w:szCs w:val="16"/>
                <w:lang w:val="it-IT"/>
              </w:rPr>
              <w:t>Flussi finanziari netti (impieghi) da attività d’investimento</w:t>
            </w:r>
          </w:p>
        </w:tc>
        <w:tc>
          <w:tcPr>
            <w:tcW w:w="851" w:type="pct"/>
            <w:tcBorders>
              <w:top w:val="single" w:sz="8" w:space="0" w:color="A99983"/>
              <w:left w:val="single" w:sz="8" w:space="0" w:color="A99983"/>
              <w:bottom w:val="single" w:sz="8" w:space="0" w:color="AC9B85"/>
              <w:right w:val="single" w:sz="8" w:space="0" w:color="A99983"/>
            </w:tcBorders>
            <w:shd w:val="clear" w:color="000000" w:fill="DFD6CD"/>
            <w:vAlign w:val="center"/>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b/>
                <w:bCs/>
                <w:color w:val="60512F"/>
                <w:sz w:val="16"/>
                <w:szCs w:val="16"/>
                <w:lang w:val="it-IT"/>
              </w:rPr>
              <w:t>(104.635.897)</w:t>
            </w:r>
          </w:p>
        </w:tc>
        <w:tc>
          <w:tcPr>
            <w:tcW w:w="851" w:type="pct"/>
            <w:tcBorders>
              <w:top w:val="single" w:sz="8" w:space="0" w:color="A99983"/>
              <w:left w:val="nil"/>
              <w:bottom w:val="single" w:sz="8" w:space="0" w:color="AC9B85"/>
              <w:right w:val="single" w:sz="8" w:space="0" w:color="A99983"/>
            </w:tcBorders>
            <w:shd w:val="clear" w:color="000000" w:fill="DFD6CD"/>
            <w:vAlign w:val="center"/>
            <w:hideMark/>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b/>
                <w:bCs/>
                <w:color w:val="60512F"/>
                <w:sz w:val="16"/>
                <w:szCs w:val="16"/>
                <w:lang w:val="it-IT"/>
              </w:rPr>
              <w:t>(50.566.672)</w:t>
            </w:r>
          </w:p>
        </w:tc>
      </w:tr>
      <w:tr w:rsidR="000F201E" w:rsidRPr="000F201E" w:rsidTr="000F201E">
        <w:trPr>
          <w:trHeight w:val="340"/>
        </w:trPr>
        <w:tc>
          <w:tcPr>
            <w:tcW w:w="3298" w:type="pct"/>
            <w:tcBorders>
              <w:top w:val="nil"/>
              <w:left w:val="single" w:sz="8" w:space="0" w:color="C4BD97"/>
              <w:bottom w:val="nil"/>
              <w:right w:val="nil"/>
            </w:tcBorders>
            <w:shd w:val="clear" w:color="000000" w:fill="AC9B85"/>
            <w:vAlign w:val="center"/>
            <w:hideMark/>
          </w:tcPr>
          <w:p w:rsidR="000F201E" w:rsidRPr="000F201E" w:rsidRDefault="000F201E" w:rsidP="000F201E">
            <w:pPr>
              <w:spacing w:after="0" w:line="240" w:lineRule="auto"/>
              <w:rPr>
                <w:rFonts w:ascii="Times New Roman"/>
                <w:b/>
                <w:bCs/>
                <w:color w:val="FFFFFF"/>
                <w:sz w:val="16"/>
                <w:szCs w:val="16"/>
                <w:lang w:val="it-IT"/>
              </w:rPr>
            </w:pPr>
            <w:r w:rsidRPr="000F201E">
              <w:rPr>
                <w:rFonts w:ascii="Times New Roman"/>
                <w:b/>
                <w:bCs/>
                <w:color w:val="FFFFFF"/>
                <w:sz w:val="16"/>
                <w:szCs w:val="16"/>
                <w:lang w:val="it-IT"/>
              </w:rPr>
              <w:t>Attività di finanziamento</w:t>
            </w:r>
          </w:p>
        </w:tc>
        <w:tc>
          <w:tcPr>
            <w:tcW w:w="851" w:type="pct"/>
            <w:tcBorders>
              <w:top w:val="nil"/>
              <w:left w:val="nil"/>
              <w:bottom w:val="nil"/>
              <w:right w:val="nil"/>
            </w:tcBorders>
            <w:shd w:val="clear" w:color="000000" w:fill="AC9B85"/>
            <w:vAlign w:val="center"/>
          </w:tcPr>
          <w:p w:rsidR="000F201E" w:rsidRPr="000F201E" w:rsidRDefault="000F201E" w:rsidP="000F201E">
            <w:pPr>
              <w:spacing w:after="0" w:line="240" w:lineRule="auto"/>
              <w:rPr>
                <w:rFonts w:ascii="Times New Roman"/>
                <w:b/>
                <w:bCs/>
                <w:color w:val="FFFFFF"/>
                <w:sz w:val="24"/>
                <w:szCs w:val="24"/>
                <w:lang w:val="it-IT"/>
              </w:rPr>
            </w:pPr>
          </w:p>
        </w:tc>
        <w:tc>
          <w:tcPr>
            <w:tcW w:w="851" w:type="pct"/>
            <w:tcBorders>
              <w:top w:val="nil"/>
              <w:left w:val="nil"/>
              <w:bottom w:val="nil"/>
              <w:right w:val="nil"/>
            </w:tcBorders>
            <w:shd w:val="clear" w:color="000000" w:fill="AC9B85"/>
            <w:vAlign w:val="center"/>
            <w:hideMark/>
          </w:tcPr>
          <w:p w:rsidR="000F201E" w:rsidRPr="000F201E" w:rsidRDefault="000F201E" w:rsidP="000F201E">
            <w:pPr>
              <w:spacing w:after="0" w:line="240" w:lineRule="auto"/>
              <w:rPr>
                <w:rFonts w:ascii="Times New Roman"/>
                <w:b/>
                <w:bCs/>
                <w:color w:val="FFFFFF"/>
                <w:sz w:val="24"/>
                <w:szCs w:val="24"/>
                <w:lang w:val="it-IT"/>
              </w:rPr>
            </w:pPr>
            <w:r w:rsidRPr="000F201E">
              <w:rPr>
                <w:rFonts w:ascii="Times New Roman"/>
                <w:b/>
                <w:bCs/>
                <w:color w:val="FFFFFF"/>
                <w:sz w:val="24"/>
                <w:szCs w:val="24"/>
                <w:lang w:val="it-IT"/>
              </w:rPr>
              <w:t> </w:t>
            </w:r>
          </w:p>
        </w:tc>
      </w:tr>
      <w:tr w:rsidR="000F201E" w:rsidRPr="000F201E" w:rsidTr="000F201E">
        <w:trPr>
          <w:trHeight w:val="340"/>
        </w:trPr>
        <w:tc>
          <w:tcPr>
            <w:tcW w:w="3298" w:type="pct"/>
            <w:tcBorders>
              <w:top w:val="single" w:sz="8" w:space="0" w:color="DFD6CD"/>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Versamento soci / (pagamento dividendi)</w:t>
            </w:r>
          </w:p>
        </w:tc>
        <w:tc>
          <w:tcPr>
            <w:tcW w:w="851" w:type="pct"/>
            <w:tcBorders>
              <w:top w:val="single" w:sz="8" w:space="0" w:color="DFD6CD"/>
              <w:left w:val="nil"/>
              <w:bottom w:val="single" w:sz="8" w:space="0" w:color="DFD6CD"/>
              <w:right w:val="single" w:sz="8" w:space="0" w:color="DFD6CD"/>
            </w:tcBorders>
            <w:shd w:val="clear" w:color="000000" w:fill="F9F6F1"/>
            <w:vAlign w:val="center"/>
          </w:tcPr>
          <w:p w:rsidR="000F201E" w:rsidRPr="000F201E" w:rsidRDefault="00192944" w:rsidP="000F201E">
            <w:pPr>
              <w:spacing w:after="0" w:line="240" w:lineRule="auto"/>
              <w:ind w:firstLineChars="100" w:firstLine="160"/>
              <w:jc w:val="right"/>
              <w:rPr>
                <w:rFonts w:ascii="Times New Roman"/>
                <w:color w:val="000000"/>
                <w:sz w:val="16"/>
                <w:szCs w:val="16"/>
                <w:lang w:val="it-IT"/>
              </w:rPr>
            </w:pPr>
            <w:r>
              <w:rPr>
                <w:rFonts w:ascii="Times New Roman" w:eastAsia="MS PGothic" w:cs="Arial"/>
                <w:color w:val="000000"/>
                <w:sz w:val="16"/>
                <w:szCs w:val="16"/>
                <w:lang w:val="it-IT" w:eastAsia="it-IT"/>
              </w:rPr>
              <w:t>(10.082.397</w:t>
            </w:r>
            <w:r w:rsidR="000F201E" w:rsidRPr="000F201E">
              <w:rPr>
                <w:rFonts w:ascii="Times New Roman" w:eastAsia="MS PGothic" w:cs="Arial"/>
                <w:color w:val="000000"/>
                <w:sz w:val="16"/>
                <w:szCs w:val="16"/>
                <w:lang w:val="it-IT" w:eastAsia="it-IT"/>
              </w:rPr>
              <w:t>)</w:t>
            </w:r>
          </w:p>
        </w:tc>
        <w:tc>
          <w:tcPr>
            <w:tcW w:w="851" w:type="pct"/>
            <w:tcBorders>
              <w:top w:val="single" w:sz="8" w:space="0" w:color="DFD6CD"/>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(7.308.545)</w:t>
            </w:r>
          </w:p>
        </w:tc>
      </w:tr>
      <w:tr w:rsidR="000F201E" w:rsidRPr="000F201E" w:rsidTr="000F201E">
        <w:trPr>
          <w:trHeight w:val="340"/>
        </w:trPr>
        <w:tc>
          <w:tcPr>
            <w:tcW w:w="3298" w:type="pct"/>
            <w:tcBorders>
              <w:top w:val="nil"/>
              <w:left w:val="single" w:sz="8" w:space="0" w:color="DFD6CD"/>
              <w:bottom w:val="single" w:sz="8" w:space="0" w:color="DFD6CD"/>
              <w:right w:val="single" w:sz="8" w:space="0" w:color="DFD6CD"/>
            </w:tcBorders>
            <w:shd w:val="clear" w:color="auto" w:fill="auto"/>
            <w:noWrap/>
            <w:vAlign w:val="center"/>
            <w:hideMark/>
          </w:tcPr>
          <w:p w:rsidR="000F201E" w:rsidRPr="000F201E" w:rsidRDefault="000F201E" w:rsidP="000F201E">
            <w:pPr>
              <w:spacing w:after="0" w:line="240" w:lineRule="auto"/>
              <w:rPr>
                <w:rFonts w:ascii="Times New Roman"/>
                <w:sz w:val="16"/>
                <w:szCs w:val="16"/>
                <w:lang w:val="it-IT"/>
              </w:rPr>
            </w:pPr>
            <w:r w:rsidRPr="000F201E">
              <w:rPr>
                <w:rFonts w:ascii="Times New Roman"/>
                <w:sz w:val="16"/>
                <w:szCs w:val="16"/>
                <w:lang w:val="it-IT"/>
              </w:rPr>
              <w:t>(Acquisto) / chiusura strumenti finanziari derivati</w:t>
            </w:r>
          </w:p>
        </w:tc>
        <w:tc>
          <w:tcPr>
            <w:tcW w:w="851"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(1.224.000)</w:t>
            </w:r>
          </w:p>
        </w:tc>
        <w:tc>
          <w:tcPr>
            <w:tcW w:w="851"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 </w:t>
            </w:r>
          </w:p>
        </w:tc>
      </w:tr>
      <w:tr w:rsidR="000F201E" w:rsidRPr="000F201E" w:rsidTr="000F201E">
        <w:trPr>
          <w:trHeight w:val="340"/>
        </w:trPr>
        <w:tc>
          <w:tcPr>
            <w:tcW w:w="3298"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Aumento debiti verso banche e altri finanziatori non correnti</w:t>
            </w:r>
          </w:p>
        </w:tc>
        <w:tc>
          <w:tcPr>
            <w:tcW w:w="851"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sz w:val="16"/>
                <w:szCs w:val="16"/>
                <w:lang w:val="it-IT" w:eastAsia="it-IT"/>
              </w:rPr>
              <w:t xml:space="preserve">99.451.977  </w:t>
            </w:r>
          </w:p>
        </w:tc>
        <w:tc>
          <w:tcPr>
            <w:tcW w:w="851"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 </w:t>
            </w:r>
          </w:p>
        </w:tc>
      </w:tr>
      <w:tr w:rsidR="000F201E" w:rsidRPr="000F201E" w:rsidTr="000F201E">
        <w:trPr>
          <w:trHeight w:val="340"/>
        </w:trPr>
        <w:tc>
          <w:tcPr>
            <w:tcW w:w="3298" w:type="pct"/>
            <w:tcBorders>
              <w:top w:val="nil"/>
              <w:left w:val="single" w:sz="8" w:space="0" w:color="DFD6CD"/>
              <w:bottom w:val="single" w:sz="8" w:space="0" w:color="AC9B85"/>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Rimborso di finanziamenti</w:t>
            </w:r>
          </w:p>
        </w:tc>
        <w:tc>
          <w:tcPr>
            <w:tcW w:w="851"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(23.400.000)</w:t>
            </w:r>
          </w:p>
        </w:tc>
        <w:tc>
          <w:tcPr>
            <w:tcW w:w="851"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(42.062.613)</w:t>
            </w:r>
          </w:p>
        </w:tc>
      </w:tr>
      <w:tr w:rsidR="000F201E" w:rsidRPr="000F201E" w:rsidTr="000F201E">
        <w:trPr>
          <w:trHeight w:val="340"/>
        </w:trPr>
        <w:tc>
          <w:tcPr>
            <w:tcW w:w="3298" w:type="pct"/>
            <w:tcBorders>
              <w:top w:val="nil"/>
              <w:left w:val="single" w:sz="8" w:space="0" w:color="AC9B85"/>
              <w:bottom w:val="single" w:sz="8" w:space="0" w:color="AC9B85"/>
              <w:right w:val="single" w:sz="8" w:space="0" w:color="AC9B85"/>
            </w:tcBorders>
            <w:shd w:val="clear" w:color="000000" w:fill="DFD6CD"/>
            <w:vAlign w:val="center"/>
            <w:hideMark/>
          </w:tcPr>
          <w:p w:rsidR="000F201E" w:rsidRPr="000F201E" w:rsidRDefault="000F201E" w:rsidP="000F201E">
            <w:pPr>
              <w:spacing w:after="0" w:line="240" w:lineRule="auto"/>
              <w:rPr>
                <w:rFonts w:ascii="Times New Roman"/>
                <w:b/>
                <w:bCs/>
                <w:color w:val="60512F"/>
                <w:sz w:val="16"/>
                <w:szCs w:val="16"/>
                <w:lang w:val="it-IT"/>
              </w:rPr>
            </w:pPr>
            <w:r w:rsidRPr="000F201E">
              <w:rPr>
                <w:rFonts w:ascii="Times New Roman"/>
                <w:b/>
                <w:bCs/>
                <w:color w:val="60512F"/>
                <w:sz w:val="16"/>
                <w:szCs w:val="16"/>
                <w:lang w:val="it-IT"/>
              </w:rPr>
              <w:t>Flussi finanziari netti (impieghi) da attività di finanziamento</w:t>
            </w:r>
          </w:p>
        </w:tc>
        <w:tc>
          <w:tcPr>
            <w:tcW w:w="851" w:type="pct"/>
            <w:tcBorders>
              <w:top w:val="single" w:sz="8" w:space="0" w:color="A99983"/>
              <w:left w:val="single" w:sz="8" w:space="0" w:color="A99983"/>
              <w:bottom w:val="single" w:sz="8" w:space="0" w:color="AC9B85"/>
              <w:right w:val="single" w:sz="8" w:space="0" w:color="A99983"/>
            </w:tcBorders>
            <w:shd w:val="clear" w:color="000000" w:fill="DFD6CD"/>
            <w:vAlign w:val="center"/>
          </w:tcPr>
          <w:p w:rsidR="000F201E" w:rsidRPr="000F201E" w:rsidRDefault="00192944" w:rsidP="000F201E">
            <w:pPr>
              <w:spacing w:after="0" w:line="240" w:lineRule="auto"/>
              <w:ind w:firstLineChars="100" w:firstLine="161"/>
              <w:jc w:val="right"/>
              <w:rPr>
                <w:rFonts w:ascii="Times New Roman"/>
                <w:b/>
                <w:bCs/>
                <w:color w:val="60512F"/>
                <w:sz w:val="16"/>
                <w:szCs w:val="16"/>
                <w:lang w:val="it-IT" w:eastAsia="it-IT"/>
              </w:rPr>
            </w:pPr>
            <w:r>
              <w:rPr>
                <w:rFonts w:ascii="Times New Roman" w:eastAsia="MS PGothic" w:cs="Arial"/>
                <w:b/>
                <w:bCs/>
                <w:color w:val="60512F"/>
                <w:sz w:val="16"/>
                <w:szCs w:val="16"/>
                <w:lang w:val="it-IT" w:eastAsia="it-IT"/>
              </w:rPr>
              <w:t>64.745.580</w:t>
            </w:r>
          </w:p>
        </w:tc>
        <w:tc>
          <w:tcPr>
            <w:tcW w:w="851" w:type="pct"/>
            <w:tcBorders>
              <w:top w:val="single" w:sz="8" w:space="0" w:color="A99983"/>
              <w:left w:val="nil"/>
              <w:bottom w:val="single" w:sz="8" w:space="0" w:color="AC9B85"/>
              <w:right w:val="single" w:sz="8" w:space="0" w:color="A99983"/>
            </w:tcBorders>
            <w:shd w:val="clear" w:color="000000" w:fill="DFD6CD"/>
            <w:vAlign w:val="center"/>
            <w:hideMark/>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eastAsia="MS PGothic" w:cs="Arial"/>
                <w:b/>
                <w:bCs/>
                <w:color w:val="60512F"/>
                <w:sz w:val="16"/>
                <w:szCs w:val="16"/>
                <w:lang w:val="it-IT" w:eastAsia="it-IT"/>
              </w:rPr>
              <w:t>(49.371.158)</w:t>
            </w:r>
          </w:p>
        </w:tc>
      </w:tr>
      <w:tr w:rsidR="000F201E" w:rsidRPr="000F201E" w:rsidTr="000F201E">
        <w:trPr>
          <w:trHeight w:val="340"/>
        </w:trPr>
        <w:tc>
          <w:tcPr>
            <w:tcW w:w="3298" w:type="pct"/>
            <w:tcBorders>
              <w:top w:val="nil"/>
              <w:left w:val="single" w:sz="8" w:space="0" w:color="DFD6CD"/>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(Diminuzione) / incremento netto delle disponibilità liquide e depositi a breve termine</w:t>
            </w:r>
          </w:p>
        </w:tc>
        <w:tc>
          <w:tcPr>
            <w:tcW w:w="851" w:type="pct"/>
            <w:tcBorders>
              <w:top w:val="single" w:sz="8" w:space="0" w:color="DFD6CD"/>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10.126.946  </w:t>
            </w:r>
          </w:p>
        </w:tc>
        <w:tc>
          <w:tcPr>
            <w:tcW w:w="851" w:type="pct"/>
            <w:tcBorders>
              <w:top w:val="single" w:sz="8" w:space="0" w:color="DFD6CD"/>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(78.436.992)</w:t>
            </w:r>
          </w:p>
        </w:tc>
      </w:tr>
      <w:tr w:rsidR="000F201E" w:rsidRPr="000F201E" w:rsidTr="000F201E">
        <w:trPr>
          <w:trHeight w:val="340"/>
        </w:trPr>
        <w:tc>
          <w:tcPr>
            <w:tcW w:w="3298" w:type="pct"/>
            <w:tcBorders>
              <w:top w:val="nil"/>
              <w:left w:val="single" w:sz="8" w:space="0" w:color="DFD6CD"/>
              <w:bottom w:val="single" w:sz="8" w:space="0" w:color="AC9B85"/>
              <w:right w:val="single" w:sz="8" w:space="0" w:color="DFD6CD"/>
            </w:tcBorders>
            <w:shd w:val="clear" w:color="auto" w:fill="auto"/>
            <w:vAlign w:val="center"/>
            <w:hideMark/>
          </w:tcPr>
          <w:p w:rsidR="000F201E" w:rsidRPr="000F201E" w:rsidRDefault="000F201E" w:rsidP="000F201E">
            <w:pPr>
              <w:spacing w:after="0" w:line="240" w:lineRule="auto"/>
              <w:rPr>
                <w:rFonts w:ascii="Times New Roman"/>
                <w:color w:val="000000"/>
                <w:sz w:val="16"/>
                <w:szCs w:val="16"/>
                <w:lang w:val="it-IT"/>
              </w:rPr>
            </w:pPr>
            <w:r w:rsidRPr="000F201E">
              <w:rPr>
                <w:rFonts w:ascii="Times New Roman"/>
                <w:color w:val="000000"/>
                <w:sz w:val="16"/>
                <w:szCs w:val="16"/>
                <w:lang w:val="it-IT"/>
              </w:rPr>
              <w:t>Disponibilità liquide e depositi a breve termine all'inizio del periodo</w:t>
            </w:r>
          </w:p>
        </w:tc>
        <w:tc>
          <w:tcPr>
            <w:tcW w:w="851" w:type="pct"/>
            <w:tcBorders>
              <w:top w:val="nil"/>
              <w:left w:val="nil"/>
              <w:bottom w:val="single" w:sz="8" w:space="0" w:color="DFD6CD"/>
              <w:right w:val="single" w:sz="8" w:space="0" w:color="DFD6CD"/>
            </w:tcBorders>
            <w:shd w:val="clear" w:color="000000" w:fill="F9F6F1"/>
            <w:vAlign w:val="center"/>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eastAsia="MS PGothic" w:cs="Arial"/>
                <w:color w:val="000000"/>
                <w:sz w:val="16"/>
                <w:szCs w:val="16"/>
                <w:lang w:val="it-IT" w:eastAsia="it-IT"/>
              </w:rPr>
              <w:t xml:space="preserve">          18.506.200 </w:t>
            </w:r>
          </w:p>
        </w:tc>
        <w:tc>
          <w:tcPr>
            <w:tcW w:w="851" w:type="pct"/>
            <w:tcBorders>
              <w:top w:val="nil"/>
              <w:left w:val="nil"/>
              <w:bottom w:val="single" w:sz="8" w:space="0" w:color="DFD6CD"/>
              <w:right w:val="single" w:sz="8" w:space="0" w:color="DFD6CD"/>
            </w:tcBorders>
            <w:shd w:val="clear" w:color="auto" w:fill="auto"/>
            <w:vAlign w:val="center"/>
            <w:hideMark/>
          </w:tcPr>
          <w:p w:rsidR="000F201E" w:rsidRPr="000F201E" w:rsidRDefault="000F201E" w:rsidP="000F201E">
            <w:pPr>
              <w:spacing w:after="0" w:line="240" w:lineRule="auto"/>
              <w:ind w:firstLineChars="100" w:firstLine="160"/>
              <w:jc w:val="right"/>
              <w:rPr>
                <w:rFonts w:ascii="Times New Roman"/>
                <w:color w:val="000000"/>
                <w:sz w:val="16"/>
                <w:szCs w:val="16"/>
                <w:lang w:val="it-IT"/>
              </w:rPr>
            </w:pPr>
            <w:r w:rsidRPr="000F201E">
              <w:rPr>
                <w:rFonts w:ascii="Times New Roman"/>
                <w:color w:val="000000"/>
                <w:sz w:val="16"/>
                <w:szCs w:val="16"/>
                <w:lang w:val="it-IT"/>
              </w:rPr>
              <w:t xml:space="preserve">        96.943.192 </w:t>
            </w:r>
          </w:p>
        </w:tc>
      </w:tr>
      <w:tr w:rsidR="000F201E" w:rsidRPr="000F201E" w:rsidTr="000F201E">
        <w:trPr>
          <w:trHeight w:val="340"/>
        </w:trPr>
        <w:tc>
          <w:tcPr>
            <w:tcW w:w="3298" w:type="pct"/>
            <w:tcBorders>
              <w:top w:val="nil"/>
              <w:left w:val="single" w:sz="8" w:space="0" w:color="AC9B85"/>
              <w:bottom w:val="single" w:sz="8" w:space="0" w:color="AC9B85"/>
              <w:right w:val="single" w:sz="8" w:space="0" w:color="AC9B85"/>
            </w:tcBorders>
            <w:shd w:val="clear" w:color="000000" w:fill="DFD6CD"/>
            <w:vAlign w:val="center"/>
            <w:hideMark/>
          </w:tcPr>
          <w:p w:rsidR="000F201E" w:rsidRPr="000F201E" w:rsidRDefault="000F201E" w:rsidP="000F201E">
            <w:pPr>
              <w:spacing w:after="0" w:line="240" w:lineRule="auto"/>
              <w:rPr>
                <w:rFonts w:ascii="Times New Roman"/>
                <w:b/>
                <w:bCs/>
                <w:color w:val="60512F"/>
                <w:sz w:val="16"/>
                <w:szCs w:val="16"/>
                <w:lang w:val="it-IT"/>
              </w:rPr>
            </w:pPr>
            <w:r w:rsidRPr="000F201E">
              <w:rPr>
                <w:rFonts w:ascii="Times New Roman"/>
                <w:b/>
                <w:bCs/>
                <w:color w:val="60512F"/>
                <w:sz w:val="16"/>
                <w:szCs w:val="16"/>
                <w:lang w:val="it-IT"/>
              </w:rPr>
              <w:t>Disponibilità liquide e depositi a breve termine alla fine del periodo</w:t>
            </w:r>
          </w:p>
        </w:tc>
        <w:tc>
          <w:tcPr>
            <w:tcW w:w="851" w:type="pct"/>
            <w:tcBorders>
              <w:top w:val="single" w:sz="8" w:space="0" w:color="A99983"/>
              <w:left w:val="single" w:sz="8" w:space="0" w:color="A99983"/>
              <w:bottom w:val="single" w:sz="8" w:space="0" w:color="AC9B85"/>
              <w:right w:val="single" w:sz="8" w:space="0" w:color="A99983"/>
            </w:tcBorders>
            <w:shd w:val="clear" w:color="000000" w:fill="DFD6CD"/>
            <w:vAlign w:val="center"/>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eastAsia="MS PGothic" w:cs="Arial"/>
                <w:b/>
                <w:bCs/>
                <w:color w:val="60512F"/>
                <w:sz w:val="16"/>
                <w:szCs w:val="16"/>
                <w:lang w:val="it-IT" w:eastAsia="it-IT"/>
              </w:rPr>
              <w:t>28.633.146</w:t>
            </w:r>
          </w:p>
        </w:tc>
        <w:tc>
          <w:tcPr>
            <w:tcW w:w="851" w:type="pct"/>
            <w:tcBorders>
              <w:top w:val="single" w:sz="8" w:space="0" w:color="A99983"/>
              <w:left w:val="nil"/>
              <w:bottom w:val="single" w:sz="8" w:space="0" w:color="AC9B85"/>
              <w:right w:val="single" w:sz="8" w:space="0" w:color="A99983"/>
            </w:tcBorders>
            <w:shd w:val="clear" w:color="000000" w:fill="DFD6CD"/>
            <w:vAlign w:val="center"/>
            <w:hideMark/>
          </w:tcPr>
          <w:p w:rsidR="000F201E" w:rsidRPr="000F201E" w:rsidRDefault="000F201E" w:rsidP="000F201E">
            <w:pPr>
              <w:spacing w:after="0" w:line="240" w:lineRule="auto"/>
              <w:ind w:firstLineChars="100" w:firstLine="161"/>
              <w:jc w:val="right"/>
              <w:rPr>
                <w:rFonts w:ascii="Times New Roman"/>
                <w:b/>
                <w:bCs/>
                <w:color w:val="60512F"/>
                <w:sz w:val="16"/>
                <w:szCs w:val="16"/>
                <w:lang w:val="it-IT"/>
              </w:rPr>
            </w:pPr>
            <w:r w:rsidRPr="000F201E">
              <w:rPr>
                <w:rFonts w:ascii="Times New Roman"/>
                <w:b/>
                <w:bCs/>
                <w:color w:val="60512F"/>
                <w:sz w:val="16"/>
                <w:szCs w:val="16"/>
                <w:lang w:val="it-IT"/>
              </w:rPr>
              <w:t>18.506.200</w:t>
            </w:r>
          </w:p>
        </w:tc>
      </w:tr>
    </w:tbl>
    <w:p w:rsidR="000F201E" w:rsidRDefault="000F201E" w:rsidP="002C4783">
      <w:pPr>
        <w:jc w:val="center"/>
        <w:rPr>
          <w:rFonts w:ascii="Arial" w:hAnsi="Arial" w:cs="Arial"/>
          <w:b/>
          <w:lang w:val="it-IT"/>
        </w:rPr>
      </w:pPr>
    </w:p>
    <w:p w:rsidR="00CC1EF6" w:rsidRPr="00593445" w:rsidRDefault="00CC1EF6" w:rsidP="00593445">
      <w:pPr>
        <w:pageBreakBefore/>
        <w:rPr>
          <w:rFonts w:ascii="Arial" w:hAnsi="Arial" w:cs="Arial"/>
          <w:b/>
          <w:lang w:val="it-IT"/>
        </w:rPr>
      </w:pPr>
      <w:r w:rsidRPr="00681505">
        <w:rPr>
          <w:rFonts w:ascii="Arial" w:hAnsi="Arial" w:cs="Arial"/>
          <w:sz w:val="18"/>
          <w:szCs w:val="18"/>
          <w:lang w:val="it-IT"/>
        </w:rPr>
        <w:lastRenderedPageBreak/>
        <w:t>COIMA RES discuterà i risultati durante una conference call che si terrà il 22 febbraio 2019 alle ore 15:00 (ora Italiana). La call si terrà in lingua inglese e la presentazione sarà pubblicata sul sito web della società (http://www.coimares.com/_IT/investor-relations/risultati-e-pubblicazioni.php). Per partecipare, si prega di chiamare i seguenti numeri:</w:t>
      </w:r>
    </w:p>
    <w:p w:rsidR="00CC1EF6" w:rsidRPr="00681505" w:rsidRDefault="00CC1EF6" w:rsidP="00CC1EF6">
      <w:pPr>
        <w:spacing w:after="0" w:line="240" w:lineRule="auto"/>
        <w:jc w:val="both"/>
        <w:rPr>
          <w:rFonts w:ascii="Arial" w:hAnsi="Arial" w:cs="Arial"/>
          <w:sz w:val="18"/>
          <w:szCs w:val="18"/>
          <w:lang w:val="it-IT"/>
        </w:rPr>
      </w:pPr>
    </w:p>
    <w:p w:rsidR="00CC1EF6" w:rsidRPr="00681505" w:rsidRDefault="00CC1EF6" w:rsidP="00CC1EF6">
      <w:pPr>
        <w:spacing w:after="0" w:line="240" w:lineRule="auto"/>
        <w:jc w:val="both"/>
        <w:rPr>
          <w:rFonts w:ascii="Arial" w:hAnsi="Arial" w:cs="Arial"/>
          <w:sz w:val="18"/>
          <w:szCs w:val="18"/>
          <w:lang w:val="it-IT"/>
        </w:rPr>
      </w:pPr>
      <w:r w:rsidRPr="00681505">
        <w:rPr>
          <w:rFonts w:ascii="Arial" w:hAnsi="Arial" w:cs="Arial"/>
          <w:sz w:val="18"/>
          <w:szCs w:val="18"/>
          <w:lang w:val="it-IT"/>
        </w:rPr>
        <w:t>Italia: +39 028020902</w:t>
      </w:r>
    </w:p>
    <w:p w:rsidR="00CC1EF6" w:rsidRPr="00681505" w:rsidRDefault="00CC1EF6" w:rsidP="00CC1EF6">
      <w:pPr>
        <w:spacing w:after="0" w:line="240" w:lineRule="auto"/>
        <w:jc w:val="both"/>
        <w:rPr>
          <w:rFonts w:ascii="Arial" w:hAnsi="Arial" w:cs="Arial"/>
          <w:sz w:val="18"/>
          <w:szCs w:val="18"/>
          <w:lang w:val="it-IT"/>
        </w:rPr>
      </w:pPr>
      <w:r w:rsidRPr="00681505">
        <w:rPr>
          <w:rFonts w:ascii="Arial" w:hAnsi="Arial" w:cs="Arial"/>
          <w:sz w:val="18"/>
          <w:szCs w:val="18"/>
          <w:lang w:val="it-IT"/>
        </w:rPr>
        <w:t>UK: +44 2030595875</w:t>
      </w:r>
    </w:p>
    <w:p w:rsidR="00CC1EF6" w:rsidRPr="00681505" w:rsidRDefault="00CC1EF6" w:rsidP="00CC1EF6">
      <w:pPr>
        <w:spacing w:after="0" w:line="240" w:lineRule="auto"/>
        <w:jc w:val="both"/>
        <w:rPr>
          <w:rFonts w:ascii="Arial" w:hAnsi="Arial" w:cs="Arial"/>
          <w:sz w:val="18"/>
          <w:szCs w:val="18"/>
          <w:lang w:val="it-IT"/>
        </w:rPr>
      </w:pPr>
      <w:r w:rsidRPr="00681505">
        <w:rPr>
          <w:rFonts w:ascii="Arial" w:hAnsi="Arial" w:cs="Arial"/>
          <w:sz w:val="18"/>
          <w:szCs w:val="18"/>
          <w:lang w:val="it-IT"/>
        </w:rPr>
        <w:t>USA: +1 7187058795</w:t>
      </w:r>
    </w:p>
    <w:p w:rsidR="00CC1EF6" w:rsidRPr="00681505" w:rsidRDefault="00CC1EF6" w:rsidP="00CC1EF6">
      <w:pPr>
        <w:spacing w:after="0" w:line="240" w:lineRule="auto"/>
        <w:jc w:val="both"/>
        <w:rPr>
          <w:rFonts w:ascii="Arial" w:hAnsi="Arial" w:cs="Arial"/>
          <w:sz w:val="18"/>
          <w:szCs w:val="18"/>
          <w:lang w:val="it-IT"/>
        </w:rPr>
      </w:pPr>
    </w:p>
    <w:p w:rsidR="00CC1EF6" w:rsidRPr="00681505" w:rsidRDefault="00CC1EF6" w:rsidP="00CC1EF6">
      <w:pPr>
        <w:spacing w:after="0" w:line="240" w:lineRule="auto"/>
        <w:jc w:val="both"/>
        <w:rPr>
          <w:rFonts w:ascii="Arial" w:hAnsi="Arial" w:cs="Arial"/>
          <w:sz w:val="18"/>
          <w:szCs w:val="18"/>
          <w:lang w:val="it-IT"/>
        </w:rPr>
      </w:pPr>
      <w:r w:rsidRPr="00681505">
        <w:rPr>
          <w:rFonts w:ascii="Arial" w:hAnsi="Arial" w:cs="Arial"/>
          <w:sz w:val="18"/>
          <w:szCs w:val="18"/>
          <w:lang w:val="it-IT"/>
        </w:rPr>
        <w:t>Il presente comunicato può contenere previsioni e stime che riflettono le attuali aspettative del management su eventi e sviluppi futuri e, di conseguenza, per loro stessa natura, previsioni e stime che comportano rischi e incertezze. Tenendo in considerazione tali rischi e incertezze, i lettori sono invitati a non fare indebito affidamento sulle dichiarazioni previsionali, che non devono essere considerate previsioni di risultati effettivi. La capacità di COIMA RES di realizzare i risultati previsti dipende da molteplici fattori estranei al controllo del management. I risultati effettivi potrebbero differire concretamente (ed essere più negativi) da quelli espressi o sottintesi nelle dichiarazioni previsionali. Tali previsioni e stime comportano rischi e incertezze che possono incidere notevolmente sui risultati attesi e si basano su alcune ipotesi chiave.  Le previsioni e stime qui espresse si basano su informazioni rese disponibili a COIMA RES alla data odierna.  COIMA RES non si assume alcun obbligo di aggiornare pubblicamente e rivedere tali dichiarazioni previsionali al fine di riflettere le nuove informazioni, eventi o altre circostanze, fermo restando il rispetto delle leggi in vigore.</w:t>
      </w:r>
    </w:p>
    <w:p w:rsidR="00CC1EF6" w:rsidRPr="00681505" w:rsidRDefault="00CC1EF6" w:rsidP="00CC1EF6">
      <w:pPr>
        <w:spacing w:after="0" w:line="240" w:lineRule="auto"/>
        <w:jc w:val="both"/>
        <w:rPr>
          <w:rFonts w:ascii="Arial" w:hAnsi="Arial" w:cs="Arial"/>
          <w:sz w:val="18"/>
          <w:szCs w:val="18"/>
          <w:lang w:val="it-IT"/>
        </w:rPr>
      </w:pPr>
    </w:p>
    <w:p w:rsidR="00CC1EF6" w:rsidRPr="00681505" w:rsidRDefault="00CC1EF6" w:rsidP="00CC1EF6">
      <w:pPr>
        <w:spacing w:after="0" w:line="240" w:lineRule="auto"/>
        <w:jc w:val="both"/>
        <w:rPr>
          <w:rFonts w:ascii="Arial" w:hAnsi="Arial" w:cs="Arial"/>
          <w:sz w:val="18"/>
          <w:szCs w:val="18"/>
          <w:lang w:val="it-IT"/>
        </w:rPr>
      </w:pPr>
      <w:r w:rsidRPr="00681505">
        <w:rPr>
          <w:rFonts w:ascii="Arial" w:hAnsi="Arial" w:cs="Arial"/>
          <w:sz w:val="18"/>
          <w:szCs w:val="18"/>
          <w:lang w:val="it-IT"/>
        </w:rPr>
        <w:t>Il Dirigente preposto alla redazione dei documenti contabili della società, Fulvio Di Gilio, attesta che, ai sensi dell’Art. 54- bis comma 2 del Testo Unico della Finanza, le informazioni contabili fornite nel presente comunicato corrispondono alle risultanze contabili, ai libri e alle scritture contabili.</w:t>
      </w:r>
    </w:p>
    <w:p w:rsidR="00CC1EF6" w:rsidRPr="00681505" w:rsidRDefault="00CC1EF6" w:rsidP="00CC1EF6">
      <w:pPr>
        <w:spacing w:after="0" w:line="240" w:lineRule="auto"/>
        <w:jc w:val="both"/>
        <w:rPr>
          <w:rFonts w:ascii="Arial" w:hAnsi="Arial" w:cs="Arial"/>
          <w:sz w:val="18"/>
          <w:szCs w:val="18"/>
          <w:lang w:val="it-IT"/>
        </w:rPr>
      </w:pPr>
    </w:p>
    <w:p w:rsidR="00CC1EF6" w:rsidRPr="00681505" w:rsidRDefault="00CC1EF6" w:rsidP="00CC1EF6">
      <w:pPr>
        <w:spacing w:after="0" w:line="240" w:lineRule="auto"/>
        <w:jc w:val="both"/>
        <w:rPr>
          <w:rFonts w:ascii="Arial" w:hAnsi="Arial" w:cs="Arial"/>
          <w:sz w:val="18"/>
          <w:szCs w:val="18"/>
          <w:lang w:val="it-IT"/>
        </w:rPr>
      </w:pPr>
      <w:r w:rsidRPr="00681505">
        <w:rPr>
          <w:rFonts w:ascii="Arial" w:hAnsi="Arial" w:cs="Arial"/>
          <w:sz w:val="18"/>
          <w:szCs w:val="18"/>
          <w:lang w:val="it-IT"/>
        </w:rPr>
        <w:t xml:space="preserve">Per ulteriori informazioni sulla società: www.coimares.com </w:t>
      </w:r>
    </w:p>
    <w:p w:rsidR="00CC1EF6" w:rsidRPr="00681505" w:rsidRDefault="00CC1EF6" w:rsidP="00CC1EF6">
      <w:pPr>
        <w:spacing w:after="0" w:line="240" w:lineRule="auto"/>
        <w:jc w:val="both"/>
        <w:rPr>
          <w:rFonts w:ascii="Arial" w:hAnsi="Arial" w:cs="Arial"/>
          <w:sz w:val="18"/>
          <w:szCs w:val="18"/>
          <w:lang w:val="it-IT"/>
        </w:rPr>
      </w:pPr>
    </w:p>
    <w:p w:rsidR="00CC1EF6" w:rsidRPr="00681505" w:rsidRDefault="00CC1EF6" w:rsidP="00CC1EF6">
      <w:pPr>
        <w:spacing w:after="0" w:line="240" w:lineRule="auto"/>
        <w:jc w:val="both"/>
        <w:rPr>
          <w:rFonts w:ascii="Arial" w:hAnsi="Arial" w:cs="Arial"/>
          <w:sz w:val="18"/>
          <w:szCs w:val="18"/>
          <w:lang w:val="it-IT"/>
        </w:rPr>
      </w:pPr>
      <w:r w:rsidRPr="00681505">
        <w:rPr>
          <w:rFonts w:ascii="Arial" w:hAnsi="Arial" w:cs="Arial"/>
          <w:sz w:val="18"/>
          <w:szCs w:val="18"/>
          <w:lang w:val="it-IT"/>
        </w:rPr>
        <w:t>COIMA RES è una società di investimento immobiliare quotata su Borsa Italiana. COIMA RES gestisce patrimoni immobiliari in Italia, prevalentemente costituiti da immobili a destinazione commerciale. La società opera sulla base del regime fiscale agevolato previsto per le SIIQ (Società di Investimento Immobiliare Quotate), equivalente alla struttura dei Real Estate Investment Trust (REIT) presente in altre giurisdizioni. La strategia d'investimento di COIMA RES è incentrata sulla creazione di un portafoglio immobiliare di alta qualità, in grado di offrire un potenziale di rivalutazione del capitale e generare un rendimento costante, in crescita e sostenibile per gli investitori</w:t>
      </w:r>
    </w:p>
    <w:p w:rsidR="00263CBD" w:rsidRPr="00681505" w:rsidRDefault="00263CBD" w:rsidP="00E61C71">
      <w:pPr>
        <w:spacing w:after="0" w:line="240" w:lineRule="auto"/>
        <w:jc w:val="both"/>
        <w:rPr>
          <w:rFonts w:ascii="Arial" w:hAnsi="Arial" w:cs="Arial"/>
          <w:b/>
          <w:sz w:val="18"/>
          <w:szCs w:val="18"/>
          <w:lang w:val="it-IT"/>
        </w:rPr>
      </w:pPr>
    </w:p>
    <w:p w:rsidR="00263CBD" w:rsidRPr="00681505" w:rsidRDefault="00263CBD" w:rsidP="00E61C71">
      <w:pPr>
        <w:spacing w:after="0" w:line="240" w:lineRule="auto"/>
        <w:jc w:val="both"/>
        <w:rPr>
          <w:rFonts w:ascii="Arial" w:hAnsi="Arial" w:cs="Arial"/>
          <w:b/>
          <w:sz w:val="18"/>
          <w:szCs w:val="18"/>
          <w:lang w:val="it-IT"/>
        </w:rPr>
      </w:pPr>
    </w:p>
    <w:sectPr w:rsidR="00263CBD" w:rsidRPr="00681505" w:rsidSect="00ED44B9">
      <w:headerReference w:type="default" r:id="rId8"/>
      <w:footerReference w:type="default" r:id="rId9"/>
      <w:pgSz w:w="11906" w:h="16838"/>
      <w:pgMar w:top="2268"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EEB" w:rsidRDefault="002C5EEB" w:rsidP="00107035">
      <w:pPr>
        <w:spacing w:after="0" w:line="240" w:lineRule="auto"/>
      </w:pPr>
      <w:r>
        <w:separator/>
      </w:r>
    </w:p>
  </w:endnote>
  <w:endnote w:type="continuationSeparator" w:id="0">
    <w:p w:rsidR="002C5EEB" w:rsidRDefault="002C5EEB" w:rsidP="0010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268056053"/>
      <w:docPartObj>
        <w:docPartGallery w:val="Page Numbers (Bottom of Page)"/>
        <w:docPartUnique/>
      </w:docPartObj>
    </w:sdtPr>
    <w:sdtEndPr>
      <w:rPr>
        <w:noProof/>
      </w:rPr>
    </w:sdtEndPr>
    <w:sdtContent>
      <w:p w:rsidR="001A562D" w:rsidRPr="00F71B67" w:rsidRDefault="00062FAC">
        <w:pPr>
          <w:pStyle w:val="Pidipagina"/>
          <w:jc w:val="center"/>
          <w:rPr>
            <w:rFonts w:ascii="Arial" w:hAnsi="Arial" w:cs="Arial"/>
            <w:sz w:val="16"/>
            <w:szCs w:val="16"/>
          </w:rPr>
        </w:pPr>
        <w:r w:rsidRPr="00F71B67">
          <w:rPr>
            <w:rFonts w:ascii="Arial" w:hAnsi="Arial" w:cs="Arial"/>
            <w:sz w:val="16"/>
            <w:szCs w:val="16"/>
          </w:rPr>
          <w:fldChar w:fldCharType="begin"/>
        </w:r>
        <w:r w:rsidR="001A562D" w:rsidRPr="00F71B67">
          <w:rPr>
            <w:rFonts w:ascii="Arial" w:hAnsi="Arial" w:cs="Arial"/>
            <w:sz w:val="16"/>
            <w:szCs w:val="16"/>
          </w:rPr>
          <w:instrText xml:space="preserve"> PAGE   \* MERGEFORMAT </w:instrText>
        </w:r>
        <w:r w:rsidRPr="00F71B67">
          <w:rPr>
            <w:rFonts w:ascii="Arial" w:hAnsi="Arial" w:cs="Arial"/>
            <w:sz w:val="16"/>
            <w:szCs w:val="16"/>
          </w:rPr>
          <w:fldChar w:fldCharType="separate"/>
        </w:r>
        <w:r w:rsidR="00CD3618">
          <w:rPr>
            <w:rFonts w:ascii="Arial" w:hAnsi="Arial" w:cs="Arial"/>
            <w:noProof/>
            <w:sz w:val="16"/>
            <w:szCs w:val="16"/>
          </w:rPr>
          <w:t>15</w:t>
        </w:r>
        <w:r w:rsidRPr="00F71B67">
          <w:rPr>
            <w:rFonts w:ascii="Arial" w:hAnsi="Arial" w:cs="Arial"/>
            <w:noProof/>
            <w:sz w:val="16"/>
            <w:szCs w:val="16"/>
          </w:rPr>
          <w:fldChar w:fldCharType="end"/>
        </w:r>
      </w:p>
    </w:sdtContent>
  </w:sdt>
  <w:p w:rsidR="001A562D" w:rsidRPr="00F71B67" w:rsidRDefault="001A562D" w:rsidP="00F71B67">
    <w:pPr>
      <w:pStyle w:val="Pidipagina"/>
      <w:jc w:val="center"/>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EEB" w:rsidRDefault="002C5EEB" w:rsidP="00107035">
      <w:pPr>
        <w:spacing w:after="0" w:line="240" w:lineRule="auto"/>
      </w:pPr>
      <w:r>
        <w:separator/>
      </w:r>
    </w:p>
  </w:footnote>
  <w:footnote w:type="continuationSeparator" w:id="0">
    <w:p w:rsidR="002C5EEB" w:rsidRDefault="002C5EEB" w:rsidP="001070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2D" w:rsidRDefault="001A562D" w:rsidP="00F71B67">
    <w:pPr>
      <w:pStyle w:val="Intestazione"/>
      <w:rPr>
        <w:lang w:eastAsia="it-IT"/>
      </w:rPr>
    </w:pPr>
    <w:r>
      <w:rPr>
        <w:noProof/>
        <w:lang w:val="it-IT" w:eastAsia="it-IT"/>
      </w:rPr>
      <w:drawing>
        <wp:anchor distT="0" distB="0" distL="114300" distR="114300" simplePos="0" relativeHeight="251659264" behindDoc="1" locked="0" layoutInCell="1" allowOverlap="1">
          <wp:simplePos x="0" y="0"/>
          <wp:positionH relativeFrom="margin">
            <wp:align>center</wp:align>
          </wp:positionH>
          <wp:positionV relativeFrom="paragraph">
            <wp:posOffset>24130</wp:posOffset>
          </wp:positionV>
          <wp:extent cx="922020" cy="591820"/>
          <wp:effectExtent l="0" t="0" r="0" b="0"/>
          <wp:wrapNone/>
          <wp:docPr id="2" name="Picture 2" descr="COIMARES_Full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OIMARES_FullCMYK"/>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3501" t="28999" r="33000" b="38750"/>
                  <a:stretch>
                    <a:fillRect/>
                  </a:stretch>
                </pic:blipFill>
                <pic:spPr bwMode="auto">
                  <a:xfrm>
                    <a:off x="0" y="0"/>
                    <a:ext cx="922020" cy="591820"/>
                  </a:xfrm>
                  <a:prstGeom prst="rect">
                    <a:avLst/>
                  </a:prstGeom>
                  <a:noFill/>
                </pic:spPr>
              </pic:pic>
            </a:graphicData>
          </a:graphic>
        </wp:anchor>
      </w:drawing>
    </w:r>
  </w:p>
  <w:p w:rsidR="001A562D" w:rsidRDefault="001A562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616D5"/>
    <w:multiLevelType w:val="hybridMultilevel"/>
    <w:tmpl w:val="41DE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F70D87"/>
    <w:multiLevelType w:val="hybridMultilevel"/>
    <w:tmpl w:val="61C8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5E3812"/>
    <w:multiLevelType w:val="hybridMultilevel"/>
    <w:tmpl w:val="B614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3B2410"/>
    <w:multiLevelType w:val="hybridMultilevel"/>
    <w:tmpl w:val="7368F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A402D7"/>
    <w:multiLevelType w:val="hybridMultilevel"/>
    <w:tmpl w:val="E912F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characterSpacingControl w:val="doNotCompress"/>
  <w:hdrShapeDefaults>
    <o:shapedefaults v:ext="edit" spidmax="82946"/>
  </w:hdrShapeDefaults>
  <w:footnotePr>
    <w:footnote w:id="-1"/>
    <w:footnote w:id="0"/>
  </w:footnotePr>
  <w:endnotePr>
    <w:endnote w:id="-1"/>
    <w:endnote w:id="0"/>
  </w:endnotePr>
  <w:compat/>
  <w:rsids>
    <w:rsidRoot w:val="00676339"/>
    <w:rsid w:val="0002067B"/>
    <w:rsid w:val="00054FD0"/>
    <w:rsid w:val="00062FAC"/>
    <w:rsid w:val="00085AE6"/>
    <w:rsid w:val="000A711B"/>
    <w:rsid w:val="000F201E"/>
    <w:rsid w:val="00107035"/>
    <w:rsid w:val="00131812"/>
    <w:rsid w:val="00143AB1"/>
    <w:rsid w:val="00175147"/>
    <w:rsid w:val="00192944"/>
    <w:rsid w:val="001A1CB1"/>
    <w:rsid w:val="001A562D"/>
    <w:rsid w:val="001B772B"/>
    <w:rsid w:val="001D5D96"/>
    <w:rsid w:val="00207944"/>
    <w:rsid w:val="0021479D"/>
    <w:rsid w:val="00214981"/>
    <w:rsid w:val="00223B99"/>
    <w:rsid w:val="00263CBD"/>
    <w:rsid w:val="0027134A"/>
    <w:rsid w:val="002873C5"/>
    <w:rsid w:val="002C4783"/>
    <w:rsid w:val="002C5EEB"/>
    <w:rsid w:val="002E3A25"/>
    <w:rsid w:val="003201F5"/>
    <w:rsid w:val="003333BB"/>
    <w:rsid w:val="00345ED6"/>
    <w:rsid w:val="0035143F"/>
    <w:rsid w:val="003E313D"/>
    <w:rsid w:val="003F1E6B"/>
    <w:rsid w:val="004121F9"/>
    <w:rsid w:val="00434FA3"/>
    <w:rsid w:val="0044593F"/>
    <w:rsid w:val="004F6367"/>
    <w:rsid w:val="00502AD8"/>
    <w:rsid w:val="00512352"/>
    <w:rsid w:val="005159DE"/>
    <w:rsid w:val="0052046F"/>
    <w:rsid w:val="00525867"/>
    <w:rsid w:val="005468B2"/>
    <w:rsid w:val="00551516"/>
    <w:rsid w:val="00552798"/>
    <w:rsid w:val="0057020A"/>
    <w:rsid w:val="005857CF"/>
    <w:rsid w:val="00593445"/>
    <w:rsid w:val="005D5089"/>
    <w:rsid w:val="005D537E"/>
    <w:rsid w:val="006242CA"/>
    <w:rsid w:val="00640D77"/>
    <w:rsid w:val="00647BEF"/>
    <w:rsid w:val="00676339"/>
    <w:rsid w:val="00681505"/>
    <w:rsid w:val="006A296C"/>
    <w:rsid w:val="006C5975"/>
    <w:rsid w:val="00703E53"/>
    <w:rsid w:val="00715A59"/>
    <w:rsid w:val="0072756C"/>
    <w:rsid w:val="0074682B"/>
    <w:rsid w:val="0076061F"/>
    <w:rsid w:val="00781F71"/>
    <w:rsid w:val="00782724"/>
    <w:rsid w:val="00793B03"/>
    <w:rsid w:val="007B08DF"/>
    <w:rsid w:val="007B1AA1"/>
    <w:rsid w:val="007C1078"/>
    <w:rsid w:val="0083077A"/>
    <w:rsid w:val="008378EA"/>
    <w:rsid w:val="00887AFB"/>
    <w:rsid w:val="008C7FAA"/>
    <w:rsid w:val="0094039E"/>
    <w:rsid w:val="00954DB3"/>
    <w:rsid w:val="00962E7D"/>
    <w:rsid w:val="009851BA"/>
    <w:rsid w:val="009942BF"/>
    <w:rsid w:val="00995968"/>
    <w:rsid w:val="009C2B80"/>
    <w:rsid w:val="009F0B01"/>
    <w:rsid w:val="00A030BD"/>
    <w:rsid w:val="00A30200"/>
    <w:rsid w:val="00A32FAF"/>
    <w:rsid w:val="00A373D5"/>
    <w:rsid w:val="00A44934"/>
    <w:rsid w:val="00A551C8"/>
    <w:rsid w:val="00A86A3E"/>
    <w:rsid w:val="00AC52D9"/>
    <w:rsid w:val="00B100EC"/>
    <w:rsid w:val="00B259EC"/>
    <w:rsid w:val="00B7734A"/>
    <w:rsid w:val="00B825ED"/>
    <w:rsid w:val="00B912BC"/>
    <w:rsid w:val="00BA2AC6"/>
    <w:rsid w:val="00BA4CBA"/>
    <w:rsid w:val="00BB2DA9"/>
    <w:rsid w:val="00BC08C3"/>
    <w:rsid w:val="00BE1D80"/>
    <w:rsid w:val="00BE3430"/>
    <w:rsid w:val="00BF0CA0"/>
    <w:rsid w:val="00C02001"/>
    <w:rsid w:val="00C812B9"/>
    <w:rsid w:val="00C95329"/>
    <w:rsid w:val="00CB1BC6"/>
    <w:rsid w:val="00CC1EF6"/>
    <w:rsid w:val="00CD3618"/>
    <w:rsid w:val="00D53D5A"/>
    <w:rsid w:val="00D61C90"/>
    <w:rsid w:val="00D91C28"/>
    <w:rsid w:val="00D92120"/>
    <w:rsid w:val="00DC5FE3"/>
    <w:rsid w:val="00DE20B0"/>
    <w:rsid w:val="00DE515A"/>
    <w:rsid w:val="00DE6B52"/>
    <w:rsid w:val="00DF1AFD"/>
    <w:rsid w:val="00DF2F11"/>
    <w:rsid w:val="00E42613"/>
    <w:rsid w:val="00E61C71"/>
    <w:rsid w:val="00E642C5"/>
    <w:rsid w:val="00E83D4E"/>
    <w:rsid w:val="00E86868"/>
    <w:rsid w:val="00EC26E7"/>
    <w:rsid w:val="00ED1991"/>
    <w:rsid w:val="00ED44B9"/>
    <w:rsid w:val="00ED5F97"/>
    <w:rsid w:val="00EF2A0A"/>
    <w:rsid w:val="00F16C40"/>
    <w:rsid w:val="00F220E0"/>
    <w:rsid w:val="00F37640"/>
    <w:rsid w:val="00F42E6A"/>
    <w:rsid w:val="00F61D64"/>
    <w:rsid w:val="00F71B67"/>
    <w:rsid w:val="00FE38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2F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6868"/>
    <w:pPr>
      <w:ind w:left="720"/>
      <w:contextualSpacing/>
    </w:pPr>
  </w:style>
  <w:style w:type="paragraph" w:styleId="Intestazione">
    <w:name w:val="header"/>
    <w:basedOn w:val="Normale"/>
    <w:link w:val="IntestazioneCarattere"/>
    <w:uiPriority w:val="99"/>
    <w:unhideWhenUsed/>
    <w:rsid w:val="00F71B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1B67"/>
  </w:style>
  <w:style w:type="paragraph" w:styleId="Pidipagina">
    <w:name w:val="footer"/>
    <w:basedOn w:val="Normale"/>
    <w:link w:val="PidipaginaCarattere"/>
    <w:uiPriority w:val="99"/>
    <w:unhideWhenUsed/>
    <w:rsid w:val="00F71B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1B67"/>
  </w:style>
  <w:style w:type="paragraph" w:styleId="Testofumetto">
    <w:name w:val="Balloon Text"/>
    <w:basedOn w:val="Normale"/>
    <w:link w:val="TestofumettoCarattere"/>
    <w:uiPriority w:val="99"/>
    <w:semiHidden/>
    <w:unhideWhenUsed/>
    <w:rsid w:val="00BA4CB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4CB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292B1-00B6-4472-A81F-3AD5AB4F8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15</Pages>
  <Words>5119</Words>
  <Characters>29182</Characters>
  <Application>Microsoft Office Word</Application>
  <DocSecurity>0</DocSecurity>
  <Lines>243</Lines>
  <Paragraphs>68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Goretti</dc:creator>
  <cp:keywords/>
  <dc:description/>
  <cp:lastModifiedBy>paola</cp:lastModifiedBy>
  <cp:revision>73</cp:revision>
  <cp:lastPrinted>2019-02-21T19:54:00Z</cp:lastPrinted>
  <dcterms:created xsi:type="dcterms:W3CDTF">2019-02-11T09:27:00Z</dcterms:created>
  <dcterms:modified xsi:type="dcterms:W3CDTF">2019-02-22T08:41:00Z</dcterms:modified>
</cp:coreProperties>
</file>