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5551B" w:rsidRPr="00A66D5E" w:rsidRDefault="00D5551B" w:rsidP="00D5551B">
      <w:pPr>
        <w:pStyle w:val="NormaleWeb"/>
        <w:shd w:val="clear" w:color="auto" w:fill="FFFFFF"/>
        <w:spacing w:before="0" w:beforeAutospacing="0" w:after="0" w:afterAutospacing="0" w:line="345" w:lineRule="atLeast"/>
        <w:jc w:val="both"/>
        <w:textAlignment w:val="baseline"/>
        <w:rPr>
          <w:rFonts w:ascii="Arial" w:hAnsi="Arial" w:cs="Arial"/>
          <w:b/>
          <w:sz w:val="32"/>
          <w:szCs w:val="32"/>
        </w:rPr>
      </w:pPr>
      <w:r w:rsidRPr="00A66D5E">
        <w:rPr>
          <w:rFonts w:ascii="Arial" w:hAnsi="Arial" w:cs="Arial"/>
          <w:b/>
          <w:sz w:val="32"/>
          <w:szCs w:val="32"/>
        </w:rPr>
        <w:t>Corso Ferrucci 112</w:t>
      </w:r>
    </w:p>
    <w:p w:rsidR="00D5551B" w:rsidRDefault="00D5551B" w:rsidP="00D5551B">
      <w:pPr>
        <w:pStyle w:val="NormaleWeb"/>
        <w:shd w:val="clear" w:color="auto" w:fill="FFFFFF"/>
        <w:spacing w:before="0" w:beforeAutospacing="0" w:after="0" w:afterAutospacing="0" w:line="345" w:lineRule="atLeast"/>
        <w:jc w:val="both"/>
        <w:textAlignment w:val="baseline"/>
        <w:rPr>
          <w:rFonts w:ascii="Arial" w:hAnsi="Arial" w:cs="Arial"/>
          <w:b/>
          <w:i/>
          <w:sz w:val="28"/>
          <w:szCs w:val="28"/>
        </w:rPr>
      </w:pPr>
    </w:p>
    <w:p w:rsidR="00D5551B" w:rsidRPr="00E83AD3" w:rsidRDefault="00D5551B" w:rsidP="00D5551B">
      <w:pPr>
        <w:pStyle w:val="NormaleWeb"/>
        <w:shd w:val="clear" w:color="auto" w:fill="FFFFFF"/>
        <w:spacing w:before="0" w:beforeAutospacing="0" w:after="0" w:afterAutospacing="0" w:line="345" w:lineRule="atLeast"/>
        <w:jc w:val="both"/>
        <w:textAlignment w:val="baseline"/>
        <w:rPr>
          <w:rFonts w:ascii="Arial" w:hAnsi="Arial" w:cs="Arial"/>
          <w:b/>
          <w:i/>
          <w:sz w:val="28"/>
          <w:szCs w:val="28"/>
        </w:rPr>
      </w:pPr>
      <w:r>
        <w:rPr>
          <w:rFonts w:ascii="Arial" w:hAnsi="Arial" w:cs="Arial"/>
          <w:b/>
          <w:i/>
          <w:noProof/>
          <w:sz w:val="28"/>
          <w:szCs w:val="28"/>
        </w:rPr>
        <w:drawing>
          <wp:inline distT="0" distB="0" distL="0" distR="0" wp14:anchorId="0D128E82">
            <wp:extent cx="4407535" cy="2938780"/>
            <wp:effectExtent l="0" t="0" r="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7535" cy="2938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5551B" w:rsidRPr="00E27B44" w:rsidRDefault="00D5551B" w:rsidP="00D5551B">
      <w:pPr>
        <w:pStyle w:val="NormaleWeb"/>
        <w:shd w:val="clear" w:color="auto" w:fill="FFFFFF"/>
        <w:spacing w:before="0" w:beforeAutospacing="0" w:after="0" w:afterAutospacing="0" w:line="345" w:lineRule="atLeast"/>
        <w:jc w:val="both"/>
        <w:textAlignment w:val="baseline"/>
        <w:rPr>
          <w:rFonts w:ascii="Arial" w:hAnsi="Arial" w:cs="Arial"/>
          <w:i/>
          <w:sz w:val="23"/>
          <w:szCs w:val="23"/>
        </w:rPr>
      </w:pPr>
    </w:p>
    <w:p w:rsidR="00D5551B" w:rsidRPr="00E27B44" w:rsidRDefault="00D5551B" w:rsidP="00D5551B">
      <w:pPr>
        <w:pStyle w:val="NormaleWeb"/>
        <w:shd w:val="clear" w:color="auto" w:fill="FFFFFF"/>
        <w:spacing w:line="345" w:lineRule="atLeast"/>
        <w:jc w:val="both"/>
        <w:textAlignment w:val="baseline"/>
        <w:rPr>
          <w:rFonts w:ascii="Arial" w:hAnsi="Arial" w:cs="Arial"/>
          <w:sz w:val="22"/>
          <w:szCs w:val="22"/>
        </w:rPr>
      </w:pPr>
      <w:r w:rsidRPr="00E27B44">
        <w:rPr>
          <w:rFonts w:ascii="Arial" w:hAnsi="Arial" w:cs="Arial"/>
          <w:sz w:val="22"/>
          <w:szCs w:val="22"/>
        </w:rPr>
        <w:t>Negli anni Sessanta Torino, come molte altre città tra cui Lione e Parigi, iniziò a sviluppare piani urbanistici di respiro internazionale come testimonia il progetto sul “centro direzionale” ideato nei pressi di Corso Ferrucci.</w:t>
      </w:r>
    </w:p>
    <w:p w:rsidR="00D5551B" w:rsidRPr="00E27B44" w:rsidRDefault="00D5551B" w:rsidP="00D5551B">
      <w:pPr>
        <w:pStyle w:val="NormaleWeb"/>
        <w:shd w:val="clear" w:color="auto" w:fill="FFFFFF"/>
        <w:spacing w:after="0" w:line="345" w:lineRule="atLeast"/>
        <w:jc w:val="both"/>
        <w:textAlignment w:val="baseline"/>
        <w:rPr>
          <w:rFonts w:ascii="Arial" w:hAnsi="Arial" w:cs="Arial"/>
          <w:sz w:val="22"/>
          <w:szCs w:val="22"/>
        </w:rPr>
      </w:pPr>
      <w:r w:rsidRPr="00E27B44">
        <w:rPr>
          <w:rFonts w:ascii="Arial" w:hAnsi="Arial" w:cs="Arial"/>
          <w:sz w:val="22"/>
          <w:szCs w:val="22"/>
        </w:rPr>
        <w:t xml:space="preserve">Nell’area oltre agli edifici della Rai e della Sip, fu progettato il palazzo di </w:t>
      </w:r>
      <w:r w:rsidRPr="00E27B44">
        <w:rPr>
          <w:rFonts w:ascii="Arial" w:hAnsi="Arial" w:cs="Arial"/>
          <w:b/>
          <w:sz w:val="22"/>
          <w:szCs w:val="22"/>
        </w:rPr>
        <w:t xml:space="preserve">Fiat </w:t>
      </w:r>
      <w:proofErr w:type="spellStart"/>
      <w:r w:rsidRPr="00E27B44">
        <w:rPr>
          <w:rFonts w:ascii="Arial" w:hAnsi="Arial" w:cs="Arial"/>
          <w:b/>
          <w:sz w:val="22"/>
          <w:szCs w:val="22"/>
        </w:rPr>
        <w:t>Engineering</w:t>
      </w:r>
      <w:proofErr w:type="spellEnd"/>
      <w:r w:rsidRPr="00E27B44">
        <w:rPr>
          <w:rFonts w:ascii="Arial" w:hAnsi="Arial" w:cs="Arial"/>
          <w:sz w:val="22"/>
          <w:szCs w:val="22"/>
        </w:rPr>
        <w:t>, icona della cultura ingegneristica del momento. L’immobile di corso Ferrucci 112, realizzato tra il 1979 e il 1982 su progetto di Passarelli e Quaroni per il centro direzionale Fiat, nasce dunque come edificio per uffici, espressione della più avanzata cultura progettuale del momento.</w:t>
      </w:r>
    </w:p>
    <w:p w:rsidR="00D5551B" w:rsidRPr="00E27B44" w:rsidRDefault="00D5551B" w:rsidP="00D5551B">
      <w:pPr>
        <w:pStyle w:val="NormaleWeb"/>
        <w:shd w:val="clear" w:color="auto" w:fill="FFFFFF"/>
        <w:spacing w:after="0" w:line="345" w:lineRule="atLeast"/>
        <w:jc w:val="both"/>
        <w:textAlignment w:val="baseline"/>
        <w:rPr>
          <w:rFonts w:ascii="Arial" w:hAnsi="Arial" w:cs="Arial"/>
          <w:sz w:val="22"/>
          <w:szCs w:val="22"/>
        </w:rPr>
      </w:pPr>
      <w:r w:rsidRPr="00E27B44">
        <w:rPr>
          <w:rFonts w:ascii="Arial" w:hAnsi="Arial" w:cs="Arial"/>
          <w:sz w:val="22"/>
          <w:szCs w:val="22"/>
        </w:rPr>
        <w:t xml:space="preserve">Il complesso è stato rilevato nel 2005 da </w:t>
      </w:r>
      <w:proofErr w:type="spellStart"/>
      <w:r w:rsidRPr="00E27B44">
        <w:rPr>
          <w:rFonts w:ascii="Arial" w:hAnsi="Arial" w:cs="Arial"/>
          <w:sz w:val="22"/>
          <w:szCs w:val="22"/>
        </w:rPr>
        <w:t>Covivio</w:t>
      </w:r>
      <w:proofErr w:type="spellEnd"/>
      <w:r w:rsidRPr="00E27B44">
        <w:rPr>
          <w:rFonts w:ascii="Arial" w:hAnsi="Arial" w:cs="Arial"/>
          <w:sz w:val="22"/>
          <w:szCs w:val="22"/>
        </w:rPr>
        <w:t xml:space="preserve"> che, non appena liberati gli spazi, ha intrapreso un’importante e profonda opera di riqualificazione, con il rifacimento integrale di tutte le finiture edilizie e la sostituzione completa di tutti gli impianti esistenti, preservando il carattere architettonico del complesso.</w:t>
      </w:r>
    </w:p>
    <w:p w:rsidR="00D5551B" w:rsidRDefault="00D5551B" w:rsidP="00D5551B">
      <w:pPr>
        <w:pStyle w:val="NormaleWeb"/>
        <w:shd w:val="clear" w:color="auto" w:fill="FFFFFF"/>
        <w:spacing w:after="0" w:line="345" w:lineRule="atLeast"/>
        <w:jc w:val="both"/>
        <w:textAlignment w:val="baseline"/>
        <w:rPr>
          <w:rFonts w:ascii="Arial" w:hAnsi="Arial" w:cs="Arial"/>
          <w:sz w:val="22"/>
          <w:szCs w:val="22"/>
        </w:rPr>
      </w:pPr>
      <w:r w:rsidRPr="00E27B44">
        <w:rPr>
          <w:rFonts w:ascii="Arial" w:hAnsi="Arial" w:cs="Arial"/>
          <w:sz w:val="22"/>
          <w:szCs w:val="22"/>
        </w:rPr>
        <w:t xml:space="preserve">L’immobile si trova a Torino in Corso Ferrucci 112, vicino alla stazione di Porta Susa e a </w:t>
      </w:r>
      <w:proofErr w:type="gramStart"/>
      <w:r w:rsidRPr="00E27B44">
        <w:rPr>
          <w:rFonts w:ascii="Arial" w:hAnsi="Arial" w:cs="Arial"/>
          <w:sz w:val="22"/>
          <w:szCs w:val="22"/>
        </w:rPr>
        <w:t>ridosso  della</w:t>
      </w:r>
      <w:proofErr w:type="gramEnd"/>
      <w:r w:rsidRPr="00E27B44">
        <w:rPr>
          <w:rFonts w:ascii="Arial" w:hAnsi="Arial" w:cs="Arial"/>
          <w:sz w:val="22"/>
          <w:szCs w:val="22"/>
        </w:rPr>
        <w:t xml:space="preserve"> cittadella del Politecnico. Il complesso sorge in una posizione strategica rispetto al centro della città, lungo l’asse della Spina Centrale e in prossimità di Corso Vittorio Emanuele II, la via più importante di Torino. </w:t>
      </w:r>
    </w:p>
    <w:p w:rsidR="00D5551B" w:rsidRPr="00E27B44" w:rsidRDefault="00D5551B" w:rsidP="00D5551B">
      <w:pPr>
        <w:pStyle w:val="NormaleWeb"/>
        <w:shd w:val="clear" w:color="auto" w:fill="FFFFFF"/>
        <w:spacing w:after="0" w:line="345" w:lineRule="atLeast"/>
        <w:jc w:val="both"/>
        <w:textAlignment w:val="baseline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lastRenderedPageBreak/>
        <w:drawing>
          <wp:inline distT="0" distB="0" distL="0" distR="0" wp14:anchorId="3BDA2C74">
            <wp:extent cx="4127500" cy="2749550"/>
            <wp:effectExtent l="0" t="0" r="6350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7500" cy="2749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5551B" w:rsidRPr="00534929" w:rsidRDefault="00D5551B" w:rsidP="00D5551B">
      <w:pPr>
        <w:pStyle w:val="NormaleWeb"/>
        <w:shd w:val="clear" w:color="auto" w:fill="FFFFFF"/>
        <w:spacing w:after="0" w:line="345" w:lineRule="atLeast"/>
        <w:jc w:val="both"/>
        <w:textAlignment w:val="baseline"/>
        <w:rPr>
          <w:rFonts w:ascii="Arial" w:hAnsi="Arial" w:cs="Arial"/>
          <w:sz w:val="22"/>
          <w:szCs w:val="22"/>
        </w:rPr>
      </w:pPr>
      <w:r w:rsidRPr="00534929">
        <w:rPr>
          <w:rFonts w:ascii="Arial" w:hAnsi="Arial" w:cs="Arial"/>
          <w:sz w:val="22"/>
          <w:szCs w:val="22"/>
        </w:rPr>
        <w:t>Il fabbricato è composto da due corpi di fabbrica principali, allineati rispettivamente con Corso Ferrucci e Corso Peschiera, estesi su 7 piani fuori terra e un piano interrato; vi è poi un terzo corpo di fabbrica, che ospita una serie di attività a “servizio” dell’intero complesso (hotel, palestra e ristorazione)</w:t>
      </w:r>
    </w:p>
    <w:p w:rsidR="00D5551B" w:rsidRPr="00534929" w:rsidRDefault="00D5551B" w:rsidP="00D5551B">
      <w:pPr>
        <w:pStyle w:val="NormaleWeb"/>
        <w:shd w:val="clear" w:color="auto" w:fill="FFFFFF"/>
        <w:spacing w:after="0" w:line="345" w:lineRule="atLeast"/>
        <w:jc w:val="both"/>
        <w:textAlignment w:val="baseline"/>
        <w:rPr>
          <w:rFonts w:ascii="Arial" w:hAnsi="Arial" w:cs="Arial"/>
          <w:sz w:val="22"/>
          <w:szCs w:val="22"/>
        </w:rPr>
      </w:pPr>
      <w:r w:rsidRPr="00534929">
        <w:rPr>
          <w:rFonts w:ascii="Arial" w:hAnsi="Arial" w:cs="Arial"/>
          <w:sz w:val="22"/>
          <w:szCs w:val="22"/>
        </w:rPr>
        <w:t xml:space="preserve">Gli spazi interni garantiscono un’elevata flessibilità, consentendo uffici open </w:t>
      </w:r>
      <w:proofErr w:type="spellStart"/>
      <w:r w:rsidRPr="00534929">
        <w:rPr>
          <w:rFonts w:ascii="Arial" w:hAnsi="Arial" w:cs="Arial"/>
          <w:sz w:val="22"/>
          <w:szCs w:val="22"/>
        </w:rPr>
        <w:t>space</w:t>
      </w:r>
      <w:proofErr w:type="spellEnd"/>
      <w:r w:rsidRPr="00534929">
        <w:rPr>
          <w:rFonts w:ascii="Arial" w:hAnsi="Arial" w:cs="Arial"/>
          <w:sz w:val="22"/>
          <w:szCs w:val="22"/>
        </w:rPr>
        <w:t xml:space="preserve"> e uffici singoli, sale riunioni, sale per attività di formazione, coffee-corner e break area, sale stampanti, spazi comuni e di servizio, presidio medico-infermieristico e vani tecnici.</w:t>
      </w:r>
    </w:p>
    <w:p w:rsidR="00D5551B" w:rsidRDefault="00D5551B" w:rsidP="00D5551B">
      <w:pPr>
        <w:pStyle w:val="NormaleWeb"/>
        <w:shd w:val="clear" w:color="auto" w:fill="FFFFFF"/>
        <w:spacing w:after="0" w:line="345" w:lineRule="atLeast"/>
        <w:jc w:val="both"/>
        <w:textAlignment w:val="baseline"/>
        <w:rPr>
          <w:rFonts w:ascii="Arial" w:hAnsi="Arial" w:cs="Arial"/>
          <w:sz w:val="22"/>
          <w:szCs w:val="22"/>
        </w:rPr>
      </w:pPr>
      <w:r w:rsidRPr="00534929">
        <w:rPr>
          <w:rFonts w:ascii="Arial" w:hAnsi="Arial" w:cs="Arial"/>
          <w:sz w:val="22"/>
          <w:szCs w:val="22"/>
        </w:rPr>
        <w:t>L’immobile, grazie alle proprie caratteristiche, al contesto urbano e alle migliorie apportate, rientra nel Protocollo Itaca – Valutazione GOOD –, uno strumento di valutazione del livello di sostenibilità energetica e ambientale degli edifici. L’edificio quindi non viene esaminato solo con criteri di consumo ed efficienza energetica, ma anche in base all’impatto sull’ambiente e sulla salute dell’uomo, analizzando anche l’utilizzo di materiali che durante il loro processo produttivo comportano bassi consumi energetici garantendo il ma</w:t>
      </w:r>
      <w:bookmarkStart w:id="0" w:name="_GoBack"/>
      <w:bookmarkEnd w:id="0"/>
      <w:r w:rsidRPr="00534929">
        <w:rPr>
          <w:rFonts w:ascii="Arial" w:hAnsi="Arial" w:cs="Arial"/>
          <w:sz w:val="22"/>
          <w:szCs w:val="22"/>
        </w:rPr>
        <w:t>ssimo comfort.</w:t>
      </w:r>
    </w:p>
    <w:p w:rsidR="00D5551B" w:rsidRDefault="00D5551B" w:rsidP="00D5551B">
      <w:pPr>
        <w:pStyle w:val="NormaleWeb"/>
        <w:shd w:val="clear" w:color="auto" w:fill="FFFFFF"/>
        <w:spacing w:after="0" w:line="345" w:lineRule="atLeast"/>
        <w:jc w:val="both"/>
        <w:textAlignment w:val="baseline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6FAFEF30">
            <wp:extent cx="4048125" cy="2694940"/>
            <wp:effectExtent l="0" t="0" r="9525" b="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2694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5551B" w:rsidRPr="00534929" w:rsidRDefault="00D5551B" w:rsidP="00D5551B">
      <w:pPr>
        <w:pStyle w:val="NormaleWeb"/>
        <w:shd w:val="clear" w:color="auto" w:fill="FFFFFF"/>
        <w:spacing w:after="0" w:line="345" w:lineRule="atLeast"/>
        <w:jc w:val="both"/>
        <w:textAlignment w:val="baseline"/>
        <w:rPr>
          <w:rFonts w:ascii="Arial" w:hAnsi="Arial" w:cs="Arial"/>
          <w:sz w:val="22"/>
          <w:szCs w:val="22"/>
        </w:rPr>
      </w:pPr>
      <w:r w:rsidRPr="00534929">
        <w:rPr>
          <w:rFonts w:ascii="Arial" w:hAnsi="Arial" w:cs="Arial"/>
          <w:sz w:val="22"/>
          <w:szCs w:val="22"/>
        </w:rPr>
        <w:t xml:space="preserve">L’immobile è dotato di spazi interni pro-mobilità green e di spazi verdi attrezzati per la socialità. </w:t>
      </w:r>
      <w:proofErr w:type="gramStart"/>
      <w:r w:rsidRPr="00534929">
        <w:rPr>
          <w:rFonts w:ascii="Arial" w:hAnsi="Arial" w:cs="Arial"/>
          <w:sz w:val="22"/>
          <w:szCs w:val="22"/>
        </w:rPr>
        <w:t>E’</w:t>
      </w:r>
      <w:proofErr w:type="gramEnd"/>
      <w:r w:rsidRPr="00534929">
        <w:rPr>
          <w:rFonts w:ascii="Arial" w:hAnsi="Arial" w:cs="Arial"/>
          <w:sz w:val="22"/>
          <w:szCs w:val="22"/>
        </w:rPr>
        <w:t xml:space="preserve"> presente inoltre, una stazione di ricarica elettrica, regolata da sensori solari a basso consumo e certificata green al 100%. La fornitura di energia elettrica per le parti comuni dell’immobile di Ferrucci 112 proviene da fonti di energia rinnovabile e quindi certificata come “Verde”.</w:t>
      </w:r>
    </w:p>
    <w:p w:rsidR="00D5551B" w:rsidRPr="00534929" w:rsidRDefault="00D5551B" w:rsidP="00D5551B">
      <w:pPr>
        <w:pStyle w:val="NormaleWeb"/>
        <w:shd w:val="clear" w:color="auto" w:fill="FFFFFF"/>
        <w:spacing w:after="0" w:line="345" w:lineRule="atLeast"/>
        <w:jc w:val="both"/>
        <w:textAlignment w:val="baseline"/>
        <w:rPr>
          <w:rFonts w:ascii="Arial" w:hAnsi="Arial" w:cs="Arial"/>
          <w:sz w:val="22"/>
          <w:szCs w:val="22"/>
        </w:rPr>
      </w:pPr>
      <w:r w:rsidRPr="00534929">
        <w:rPr>
          <w:rFonts w:ascii="Arial" w:hAnsi="Arial" w:cs="Arial"/>
          <w:sz w:val="22"/>
          <w:szCs w:val="22"/>
        </w:rPr>
        <w:t>Dotazioni:</w:t>
      </w:r>
    </w:p>
    <w:p w:rsidR="00D5551B" w:rsidRPr="00534929" w:rsidRDefault="00D5551B" w:rsidP="00D5551B">
      <w:pPr>
        <w:pStyle w:val="NormaleWeb"/>
        <w:shd w:val="clear" w:color="auto" w:fill="FFFFFF"/>
        <w:spacing w:after="0" w:line="345" w:lineRule="atLeast"/>
        <w:jc w:val="both"/>
        <w:textAlignment w:val="baseline"/>
        <w:rPr>
          <w:rFonts w:ascii="Arial" w:hAnsi="Arial" w:cs="Arial"/>
          <w:sz w:val="22"/>
          <w:szCs w:val="22"/>
        </w:rPr>
      </w:pPr>
      <w:r w:rsidRPr="00534929">
        <w:rPr>
          <w:rFonts w:ascii="Arial" w:hAnsi="Arial" w:cs="Arial"/>
          <w:sz w:val="22"/>
          <w:szCs w:val="22"/>
        </w:rPr>
        <w:t>•</w:t>
      </w:r>
      <w:r w:rsidRPr="00534929">
        <w:rPr>
          <w:rFonts w:ascii="Arial" w:hAnsi="Arial" w:cs="Arial"/>
          <w:sz w:val="22"/>
          <w:szCs w:val="22"/>
        </w:rPr>
        <w:tab/>
        <w:t>Ampio giardino esterno condominiale</w:t>
      </w:r>
    </w:p>
    <w:p w:rsidR="00D5551B" w:rsidRPr="00534929" w:rsidRDefault="00D5551B" w:rsidP="00D5551B">
      <w:pPr>
        <w:pStyle w:val="NormaleWeb"/>
        <w:shd w:val="clear" w:color="auto" w:fill="FFFFFF"/>
        <w:spacing w:after="0" w:line="345" w:lineRule="atLeast"/>
        <w:jc w:val="both"/>
        <w:textAlignment w:val="baseline"/>
        <w:rPr>
          <w:rFonts w:ascii="Arial" w:hAnsi="Arial" w:cs="Arial"/>
          <w:sz w:val="22"/>
          <w:szCs w:val="22"/>
        </w:rPr>
      </w:pPr>
      <w:r w:rsidRPr="00534929">
        <w:rPr>
          <w:rFonts w:ascii="Arial" w:hAnsi="Arial" w:cs="Arial"/>
          <w:sz w:val="22"/>
          <w:szCs w:val="22"/>
        </w:rPr>
        <w:t>•</w:t>
      </w:r>
      <w:r w:rsidRPr="00534929">
        <w:rPr>
          <w:rFonts w:ascii="Arial" w:hAnsi="Arial" w:cs="Arial"/>
          <w:sz w:val="22"/>
          <w:szCs w:val="22"/>
        </w:rPr>
        <w:tab/>
        <w:t xml:space="preserve">Area verde attrezzata per area gioco bimbi, percorso salute e area relax </w:t>
      </w:r>
    </w:p>
    <w:p w:rsidR="00D5551B" w:rsidRPr="00534929" w:rsidRDefault="00D5551B" w:rsidP="00D5551B">
      <w:pPr>
        <w:pStyle w:val="NormaleWeb"/>
        <w:shd w:val="clear" w:color="auto" w:fill="FFFFFF"/>
        <w:spacing w:after="0" w:line="345" w:lineRule="atLeast"/>
        <w:jc w:val="both"/>
        <w:textAlignment w:val="baseline"/>
        <w:rPr>
          <w:rFonts w:ascii="Arial" w:hAnsi="Arial" w:cs="Arial"/>
          <w:sz w:val="22"/>
          <w:szCs w:val="22"/>
        </w:rPr>
      </w:pPr>
      <w:r w:rsidRPr="00534929">
        <w:rPr>
          <w:rFonts w:ascii="Arial" w:hAnsi="Arial" w:cs="Arial"/>
          <w:sz w:val="22"/>
          <w:szCs w:val="22"/>
        </w:rPr>
        <w:t>•</w:t>
      </w:r>
      <w:r w:rsidRPr="00534929">
        <w:rPr>
          <w:rFonts w:ascii="Arial" w:hAnsi="Arial" w:cs="Arial"/>
          <w:sz w:val="22"/>
          <w:szCs w:val="22"/>
        </w:rPr>
        <w:tab/>
        <w:t xml:space="preserve">Offerta completa bar e </w:t>
      </w:r>
      <w:proofErr w:type="spellStart"/>
      <w:r w:rsidRPr="00534929">
        <w:rPr>
          <w:rFonts w:ascii="Arial" w:hAnsi="Arial" w:cs="Arial"/>
          <w:sz w:val="22"/>
          <w:szCs w:val="22"/>
        </w:rPr>
        <w:t>food</w:t>
      </w:r>
      <w:proofErr w:type="spellEnd"/>
    </w:p>
    <w:p w:rsidR="00D5551B" w:rsidRPr="00534929" w:rsidRDefault="00D5551B" w:rsidP="00D5551B">
      <w:pPr>
        <w:pStyle w:val="NormaleWeb"/>
        <w:shd w:val="clear" w:color="auto" w:fill="FFFFFF"/>
        <w:spacing w:after="0" w:line="345" w:lineRule="atLeast"/>
        <w:jc w:val="both"/>
        <w:textAlignment w:val="baseline"/>
        <w:rPr>
          <w:rFonts w:ascii="Arial" w:hAnsi="Arial" w:cs="Arial"/>
          <w:sz w:val="22"/>
          <w:szCs w:val="22"/>
        </w:rPr>
      </w:pPr>
      <w:r w:rsidRPr="00534929">
        <w:rPr>
          <w:rFonts w:ascii="Arial" w:hAnsi="Arial" w:cs="Arial"/>
          <w:sz w:val="22"/>
          <w:szCs w:val="22"/>
        </w:rPr>
        <w:t>•</w:t>
      </w:r>
      <w:r w:rsidRPr="00534929">
        <w:rPr>
          <w:rFonts w:ascii="Arial" w:hAnsi="Arial" w:cs="Arial"/>
          <w:sz w:val="22"/>
          <w:szCs w:val="22"/>
        </w:rPr>
        <w:tab/>
        <w:t xml:space="preserve">Parcheggi </w:t>
      </w:r>
    </w:p>
    <w:p w:rsidR="00D5551B" w:rsidRPr="00534929" w:rsidRDefault="00D5551B" w:rsidP="00D5551B">
      <w:pPr>
        <w:pStyle w:val="NormaleWeb"/>
        <w:shd w:val="clear" w:color="auto" w:fill="FFFFFF"/>
        <w:spacing w:after="0" w:line="345" w:lineRule="atLeast"/>
        <w:jc w:val="both"/>
        <w:textAlignment w:val="baseline"/>
        <w:rPr>
          <w:rFonts w:ascii="Arial" w:hAnsi="Arial" w:cs="Arial"/>
          <w:sz w:val="22"/>
          <w:szCs w:val="22"/>
        </w:rPr>
      </w:pPr>
      <w:r w:rsidRPr="00534929">
        <w:rPr>
          <w:rFonts w:ascii="Arial" w:hAnsi="Arial" w:cs="Arial"/>
          <w:sz w:val="22"/>
          <w:szCs w:val="22"/>
        </w:rPr>
        <w:t>•</w:t>
      </w:r>
      <w:r w:rsidRPr="00534929">
        <w:rPr>
          <w:rFonts w:ascii="Arial" w:hAnsi="Arial" w:cs="Arial"/>
          <w:sz w:val="22"/>
          <w:szCs w:val="22"/>
        </w:rPr>
        <w:tab/>
        <w:t>Auditorium</w:t>
      </w:r>
    </w:p>
    <w:p w:rsidR="00D5551B" w:rsidRPr="00534929" w:rsidRDefault="00D5551B" w:rsidP="00D5551B">
      <w:pPr>
        <w:pStyle w:val="NormaleWeb"/>
        <w:shd w:val="clear" w:color="auto" w:fill="FFFFFF"/>
        <w:spacing w:after="0" w:line="345" w:lineRule="atLeast"/>
        <w:jc w:val="both"/>
        <w:textAlignment w:val="baseline"/>
        <w:rPr>
          <w:rFonts w:ascii="Arial" w:hAnsi="Arial" w:cs="Arial"/>
          <w:sz w:val="22"/>
          <w:szCs w:val="22"/>
        </w:rPr>
      </w:pPr>
      <w:r w:rsidRPr="00534929">
        <w:rPr>
          <w:rFonts w:ascii="Arial" w:hAnsi="Arial" w:cs="Arial"/>
          <w:sz w:val="22"/>
          <w:szCs w:val="22"/>
        </w:rPr>
        <w:t>•</w:t>
      </w:r>
      <w:r w:rsidRPr="00534929">
        <w:rPr>
          <w:rFonts w:ascii="Arial" w:hAnsi="Arial" w:cs="Arial"/>
          <w:sz w:val="22"/>
          <w:szCs w:val="22"/>
        </w:rPr>
        <w:tab/>
        <w:t>Palestra</w:t>
      </w:r>
    </w:p>
    <w:p w:rsidR="00D5551B" w:rsidRPr="00534929" w:rsidRDefault="00D5551B" w:rsidP="00D5551B">
      <w:pPr>
        <w:pStyle w:val="NormaleWeb"/>
        <w:shd w:val="clear" w:color="auto" w:fill="FFFFFF"/>
        <w:spacing w:after="0" w:line="345" w:lineRule="atLeast"/>
        <w:jc w:val="both"/>
        <w:textAlignment w:val="baseline"/>
        <w:rPr>
          <w:rFonts w:ascii="Arial" w:hAnsi="Arial" w:cs="Arial"/>
          <w:sz w:val="22"/>
          <w:szCs w:val="22"/>
        </w:rPr>
      </w:pPr>
      <w:r w:rsidRPr="00534929">
        <w:rPr>
          <w:rFonts w:ascii="Arial" w:hAnsi="Arial" w:cs="Arial"/>
          <w:sz w:val="22"/>
          <w:szCs w:val="22"/>
        </w:rPr>
        <w:t>•</w:t>
      </w:r>
      <w:r w:rsidRPr="00534929">
        <w:rPr>
          <w:rFonts w:ascii="Arial" w:hAnsi="Arial" w:cs="Arial"/>
          <w:sz w:val="22"/>
          <w:szCs w:val="22"/>
        </w:rPr>
        <w:tab/>
        <w:t>Hotel</w:t>
      </w:r>
    </w:p>
    <w:p w:rsidR="00D5551B" w:rsidRDefault="00D5551B" w:rsidP="00D5551B">
      <w:pPr>
        <w:pStyle w:val="NormaleWeb"/>
        <w:shd w:val="clear" w:color="auto" w:fill="FFFFFF"/>
        <w:spacing w:after="0" w:line="345" w:lineRule="atLeast"/>
        <w:jc w:val="both"/>
        <w:textAlignment w:val="baseline"/>
        <w:rPr>
          <w:rFonts w:ascii="Arial" w:hAnsi="Arial" w:cs="Arial"/>
          <w:sz w:val="22"/>
          <w:szCs w:val="22"/>
        </w:rPr>
      </w:pPr>
      <w:r w:rsidRPr="00534929">
        <w:rPr>
          <w:rFonts w:ascii="Arial" w:hAnsi="Arial" w:cs="Arial"/>
          <w:sz w:val="22"/>
          <w:szCs w:val="22"/>
        </w:rPr>
        <w:t>•</w:t>
      </w:r>
      <w:r w:rsidRPr="00534929">
        <w:rPr>
          <w:rFonts w:ascii="Arial" w:hAnsi="Arial" w:cs="Arial"/>
          <w:sz w:val="22"/>
          <w:szCs w:val="22"/>
        </w:rPr>
        <w:tab/>
      </w:r>
      <w:proofErr w:type="spellStart"/>
      <w:r w:rsidRPr="00534929">
        <w:rPr>
          <w:rFonts w:ascii="Arial" w:hAnsi="Arial" w:cs="Arial"/>
          <w:sz w:val="22"/>
          <w:szCs w:val="22"/>
        </w:rPr>
        <w:t>Elisuperficie</w:t>
      </w:r>
      <w:proofErr w:type="spellEnd"/>
    </w:p>
    <w:p w:rsidR="00D5551B" w:rsidRPr="002D5559" w:rsidRDefault="00D5551B" w:rsidP="00D5551B">
      <w:pPr>
        <w:pStyle w:val="NormaleWeb"/>
        <w:shd w:val="clear" w:color="auto" w:fill="FFFFFF"/>
        <w:spacing w:after="0" w:line="345" w:lineRule="atLeast"/>
        <w:jc w:val="both"/>
        <w:textAlignment w:val="baseline"/>
        <w:rPr>
          <w:rFonts w:ascii="Arial" w:hAnsi="Arial" w:cs="Arial"/>
          <w:sz w:val="22"/>
          <w:szCs w:val="22"/>
        </w:rPr>
      </w:pPr>
    </w:p>
    <w:p w:rsidR="00A85D81" w:rsidRPr="00D5551B" w:rsidRDefault="00A85D81">
      <w:pPr>
        <w:rPr>
          <w:rFonts w:ascii="Arial" w:eastAsia="Times New Roman" w:hAnsi="Arial" w:cs="Arial"/>
          <w:lang w:eastAsia="it-IT"/>
        </w:rPr>
      </w:pPr>
    </w:p>
    <w:sectPr w:rsidR="00A85D81" w:rsidRPr="00D5551B" w:rsidSect="002C4E90">
      <w:headerReference w:type="default" r:id="rId9"/>
      <w:footerReference w:type="default" r:id="rId10"/>
      <w:pgSz w:w="11906" w:h="16838"/>
      <w:pgMar w:top="340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779D9" w:rsidRDefault="00C779D9" w:rsidP="00D5551B">
      <w:pPr>
        <w:spacing w:after="0" w:line="240" w:lineRule="auto"/>
      </w:pPr>
      <w:r>
        <w:separator/>
      </w:r>
    </w:p>
  </w:endnote>
  <w:endnote w:type="continuationSeparator" w:id="0">
    <w:p w:rsidR="00C779D9" w:rsidRDefault="00C779D9" w:rsidP="00D555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110418099"/>
      <w:docPartObj>
        <w:docPartGallery w:val="Page Numbers (Bottom of Page)"/>
        <w:docPartUnique/>
      </w:docPartObj>
    </w:sdtPr>
    <w:sdtContent>
      <w:p w:rsidR="00A66D5E" w:rsidRDefault="00A66D5E">
        <w:pPr>
          <w:pStyle w:val="Pidipa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3</w:t>
        </w:r>
        <w:r>
          <w:fldChar w:fldCharType="end"/>
        </w:r>
      </w:p>
    </w:sdtContent>
  </w:sdt>
  <w:p w:rsidR="00A66D5E" w:rsidRDefault="00A66D5E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779D9" w:rsidRDefault="00C779D9" w:rsidP="00D5551B">
      <w:pPr>
        <w:spacing w:after="0" w:line="240" w:lineRule="auto"/>
      </w:pPr>
      <w:r>
        <w:separator/>
      </w:r>
    </w:p>
  </w:footnote>
  <w:footnote w:type="continuationSeparator" w:id="0">
    <w:p w:rsidR="00C779D9" w:rsidRDefault="00C779D9" w:rsidP="00D555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34929" w:rsidRPr="00534929" w:rsidRDefault="00A66D5E">
    <w:pPr>
      <w:pStyle w:val="Intestazione"/>
      <w:rPr>
        <w:rFonts w:ascii="Times New Roman" w:eastAsia="Times New Roman" w:hAnsi="Times New Roman" w:cs="Times New Roman"/>
        <w:snapToGrid w:val="0"/>
        <w:color w:val="000000"/>
        <w:w w:val="0"/>
        <w:sz w:val="0"/>
        <w:szCs w:val="0"/>
        <w:u w:color="000000"/>
        <w:bdr w:val="none" w:sz="0" w:space="0" w:color="000000"/>
        <w:shd w:val="clear" w:color="000000" w:fill="000000"/>
        <w:lang w:val="x-none" w:eastAsia="x-none" w:bidi="x-none"/>
      </w:rPr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869"/>
      <w:gridCol w:w="4769"/>
    </w:tblGrid>
    <w:tr w:rsidR="00534929" w:rsidTr="00534929">
      <w:trPr>
        <w:trHeight w:val="543"/>
      </w:trPr>
      <w:tc>
        <w:tcPr>
          <w:tcW w:w="4914" w:type="dxa"/>
          <w:vAlign w:val="center"/>
        </w:tcPr>
        <w:p w:rsidR="00534929" w:rsidRDefault="00D5551B" w:rsidP="00534929">
          <w:pPr>
            <w:pStyle w:val="Intestazione"/>
            <w:jc w:val="center"/>
            <w:rPr>
              <w:rFonts w:ascii="Times New Roman" w:eastAsia="Times New Roman" w:hAnsi="Times New Roman" w:cs="Times New Roman"/>
              <w:snapToGrid w:val="0"/>
              <w:color w:val="000000"/>
              <w:w w:val="0"/>
              <w:sz w:val="0"/>
              <w:szCs w:val="0"/>
              <w:u w:color="000000"/>
              <w:bdr w:val="none" w:sz="0" w:space="0" w:color="000000"/>
              <w:shd w:val="clear" w:color="000000" w:fill="000000"/>
              <w:lang w:val="x-none" w:eastAsia="x-none" w:bidi="x-none"/>
            </w:rPr>
          </w:pPr>
          <w:r>
            <w:rPr>
              <w:noProof/>
              <w:lang w:eastAsia="it-IT"/>
            </w:rPr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column">
                  <wp:posOffset>-2229485</wp:posOffset>
                </wp:positionH>
                <wp:positionV relativeFrom="paragraph">
                  <wp:posOffset>-21590</wp:posOffset>
                </wp:positionV>
                <wp:extent cx="2057400" cy="605790"/>
                <wp:effectExtent l="0" t="0" r="0" b="3810"/>
                <wp:wrapTight wrapText="bothSides">
                  <wp:wrapPolygon edited="0">
                    <wp:start x="0" y="0"/>
                    <wp:lineTo x="0" y="21057"/>
                    <wp:lineTo x="21400" y="21057"/>
                    <wp:lineTo x="21400" y="0"/>
                    <wp:lineTo x="0" y="0"/>
                  </wp:wrapPolygon>
                </wp:wrapTight>
                <wp:docPr id="4" name="Immagine 4" descr="U:\corporate identity\Covivio LOGO_Noir-Pantone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U:\corporate identity\Covivio LOGO_Noir-Pantone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57400" cy="605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4914" w:type="dxa"/>
          <w:vAlign w:val="center"/>
        </w:tcPr>
        <w:p w:rsidR="00534929" w:rsidRDefault="00A66D5E" w:rsidP="00D5551B">
          <w:pPr>
            <w:pStyle w:val="Intestazione"/>
            <w:jc w:val="both"/>
            <w:rPr>
              <w:rFonts w:ascii="Times New Roman" w:eastAsia="Times New Roman" w:hAnsi="Times New Roman" w:cs="Times New Roman"/>
              <w:snapToGrid w:val="0"/>
              <w:color w:val="000000"/>
              <w:w w:val="0"/>
              <w:sz w:val="0"/>
              <w:szCs w:val="0"/>
              <w:u w:color="000000"/>
              <w:bdr w:val="none" w:sz="0" w:space="0" w:color="000000"/>
              <w:shd w:val="clear" w:color="000000" w:fill="000000"/>
              <w:lang w:val="x-none" w:eastAsia="x-none" w:bidi="x-none"/>
            </w:rPr>
          </w:pPr>
        </w:p>
      </w:tc>
    </w:tr>
  </w:tbl>
  <w:p w:rsidR="002C4E90" w:rsidRDefault="00C779D9">
    <w:pPr>
      <w:pStyle w:val="Intestazione"/>
    </w:pPr>
    <w:r w:rsidRPr="00534929">
      <w:rPr>
        <w:rFonts w:ascii="Times New Roman" w:eastAsia="Times New Roman" w:hAnsi="Times New Roman" w:cs="Times New Roman"/>
        <w:snapToGrid w:val="0"/>
        <w:color w:val="000000"/>
        <w:w w:val="0"/>
        <w:sz w:val="0"/>
        <w:szCs w:val="0"/>
        <w:u w:color="000000"/>
        <w:bdr w:val="none" w:sz="0" w:space="0" w:color="000000"/>
        <w:shd w:val="clear" w:color="000000" w:fill="000000"/>
        <w:lang w:val="x-none" w:eastAsia="x-none" w:bidi="x-none"/>
      </w:rPr>
      <w:t xml:space="preserve"> </w:t>
    </w:r>
  </w:p>
  <w:p w:rsidR="002C4E90" w:rsidRDefault="00C779D9">
    <w:pPr>
      <w:pStyle w:val="Intestazione"/>
    </w:pPr>
    <w:r>
      <w:ptab w:relativeTo="margin" w:alignment="center" w:leader="none"/>
    </w:r>
    <w:r>
      <w:ptab w:relativeTo="margin" w:alignment="right" w:leader="none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640A"/>
    <w:rsid w:val="0020640A"/>
    <w:rsid w:val="00A66D5E"/>
    <w:rsid w:val="00A85D81"/>
    <w:rsid w:val="00C779D9"/>
    <w:rsid w:val="00D555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B111B1D-43B8-433C-840B-1E2D4979B3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D5551B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NormaleWeb">
    <w:name w:val="Normal (Web)"/>
    <w:basedOn w:val="Normale"/>
    <w:uiPriority w:val="99"/>
    <w:unhideWhenUsed/>
    <w:rsid w:val="00D555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Intestazione">
    <w:name w:val="header"/>
    <w:basedOn w:val="Normale"/>
    <w:link w:val="IntestazioneCarattere"/>
    <w:uiPriority w:val="99"/>
    <w:unhideWhenUsed/>
    <w:rsid w:val="00D555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D5551B"/>
  </w:style>
  <w:style w:type="table" w:styleId="Grigliatabella">
    <w:name w:val="Table Grid"/>
    <w:basedOn w:val="Tabellanormale"/>
    <w:uiPriority w:val="39"/>
    <w:rsid w:val="00D555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idipagina">
    <w:name w:val="footer"/>
    <w:basedOn w:val="Normale"/>
    <w:link w:val="PidipaginaCarattere"/>
    <w:uiPriority w:val="99"/>
    <w:unhideWhenUsed/>
    <w:rsid w:val="00D555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D5551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454</Words>
  <Characters>2591</Characters>
  <Application>Microsoft Office Word</Application>
  <DocSecurity>0</DocSecurity>
  <Lines>21</Lines>
  <Paragraphs>6</Paragraphs>
  <ScaleCrop>false</ScaleCrop>
  <Company>Publicis Groupe</Company>
  <LinksUpToDate>false</LinksUpToDate>
  <CharactersWithSpaces>3039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Flavio De Mestrangelo</dc:creator>
  <cp:keywords/>
  <dc:description/>
  <cp:lastModifiedBy>Emanuela Demagistris</cp:lastModifiedBy>
  <cp:revision>3</cp:revision>
  <dcterms:created xsi:type="dcterms:W3CDTF">2019-05-20T16:11:00Z</dcterms:created>
  <dcterms:modified xsi:type="dcterms:W3CDTF">2019-05-20T16:18:00Z</dcterms:modified>
</cp:coreProperties>
</file>