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658F0" w:rsidRPr="00E658F0" w:rsidRDefault="00E658F0" w:rsidP="00E658F0">
      <w:pPr>
        <w:pStyle w:val="p1"/>
        <w:jc w:val="center"/>
        <w:rPr>
          <w:rFonts w:ascii="Calibri" w:eastAsia="Calibri" w:hAnsi="Calibri" w:cs="Calibri"/>
          <w:sz w:val="32"/>
          <w:szCs w:val="20"/>
        </w:rPr>
      </w:pPr>
      <w:r w:rsidRPr="00E658F0">
        <w:rPr>
          <w:rFonts w:ascii="Calibri" w:eastAsia="Calibri" w:hAnsi="Calibri" w:cs="Calibri"/>
          <w:b/>
          <w:bCs/>
          <w:sz w:val="32"/>
          <w:szCs w:val="20"/>
        </w:rPr>
        <w:t>SIGEST: COMPRARE CASA A MILANO</w:t>
      </w:r>
    </w:p>
    <w:p w:rsidR="00D13759" w:rsidRDefault="00E658F0" w:rsidP="00E658F0">
      <w:pPr>
        <w:pStyle w:val="p1"/>
        <w:jc w:val="center"/>
        <w:rPr>
          <w:rFonts w:ascii="Calibri" w:eastAsia="Calibri" w:hAnsi="Calibri" w:cs="Calibri"/>
          <w:b/>
          <w:bCs/>
          <w:sz w:val="32"/>
          <w:szCs w:val="20"/>
        </w:rPr>
      </w:pPr>
      <w:r w:rsidRPr="00E658F0">
        <w:rPr>
          <w:rFonts w:ascii="Calibri" w:eastAsia="Calibri" w:hAnsi="Calibri" w:cs="Calibri"/>
          <w:b/>
          <w:bCs/>
          <w:sz w:val="32"/>
          <w:szCs w:val="20"/>
        </w:rPr>
        <w:t>COSTA IL 25,5% IN PIÙ CHE A ROMA</w:t>
      </w:r>
    </w:p>
    <w:p w:rsidR="00E658F0" w:rsidRPr="00E658F0" w:rsidRDefault="00E658F0" w:rsidP="00E658F0">
      <w:pPr>
        <w:pStyle w:val="p1"/>
        <w:jc w:val="center"/>
        <w:rPr>
          <w:rFonts w:ascii="Calibri" w:eastAsia="Calibri" w:hAnsi="Calibri" w:cs="Calibri"/>
          <w:sz w:val="24"/>
          <w:szCs w:val="20"/>
        </w:rPr>
      </w:pPr>
      <w:r w:rsidRPr="00E658F0">
        <w:rPr>
          <w:rFonts w:ascii="Calibri" w:eastAsia="Calibri" w:hAnsi="Calibri" w:cs="Calibri"/>
          <w:b/>
          <w:bCs/>
          <w:i/>
          <w:iCs/>
          <w:sz w:val="24"/>
          <w:szCs w:val="20"/>
        </w:rPr>
        <w:t>Il fatturato residenziale nazionale 2018 cresce del +5.2% rispetto al 2017,</w:t>
      </w:r>
    </w:p>
    <w:p w:rsidR="00E658F0" w:rsidRPr="00E658F0" w:rsidRDefault="00E658F0" w:rsidP="00E658F0">
      <w:pPr>
        <w:pStyle w:val="p1"/>
        <w:jc w:val="center"/>
        <w:rPr>
          <w:rFonts w:ascii="Calibri" w:eastAsia="Calibri" w:hAnsi="Calibri" w:cs="Calibri"/>
          <w:sz w:val="24"/>
          <w:szCs w:val="20"/>
        </w:rPr>
      </w:pPr>
      <w:r w:rsidRPr="00E658F0">
        <w:rPr>
          <w:rFonts w:ascii="Calibri" w:eastAsia="Calibri" w:hAnsi="Calibri" w:cs="Calibri"/>
          <w:b/>
          <w:bCs/>
          <w:i/>
          <w:iCs/>
          <w:sz w:val="24"/>
          <w:szCs w:val="20"/>
        </w:rPr>
        <w:t>pari a 94,3 miliardi di euro.</w:t>
      </w:r>
    </w:p>
    <w:p w:rsidR="00D13759" w:rsidRPr="00D13759" w:rsidRDefault="00D13759" w:rsidP="00D13759">
      <w:pPr>
        <w:pStyle w:val="p1"/>
        <w:jc w:val="center"/>
        <w:rPr>
          <w:rFonts w:ascii="Calibri" w:eastAsia="Calibri" w:hAnsi="Calibri" w:cs="Calibri"/>
          <w:b/>
          <w:i/>
          <w:sz w:val="24"/>
          <w:szCs w:val="20"/>
        </w:rPr>
      </w:pPr>
      <w:r w:rsidRPr="00D13759">
        <w:rPr>
          <w:rFonts w:ascii="Calibri" w:eastAsia="Calibri" w:hAnsi="Calibri" w:cs="Calibri"/>
          <w:b/>
          <w:bCs/>
          <w:i/>
          <w:sz w:val="24"/>
          <w:szCs w:val="20"/>
        </w:rPr>
        <w:t>A Milano il nuovo di qualità vale fino al 38% in più dell’usato</w:t>
      </w:r>
      <w:r>
        <w:rPr>
          <w:rFonts w:ascii="Calibri" w:eastAsia="Calibri" w:hAnsi="Calibri" w:cs="Calibri"/>
          <w:b/>
          <w:bCs/>
          <w:i/>
          <w:sz w:val="24"/>
          <w:szCs w:val="20"/>
        </w:rPr>
        <w:t>.</w:t>
      </w:r>
      <w:r w:rsidRPr="00D13759">
        <w:rPr>
          <w:rFonts w:ascii="Calibri" w:eastAsia="Calibri" w:hAnsi="Calibri" w:cs="Calibri"/>
          <w:b/>
          <w:bCs/>
          <w:i/>
          <w:sz w:val="24"/>
          <w:szCs w:val="20"/>
        </w:rPr>
        <w:t xml:space="preserve">  </w:t>
      </w:r>
    </w:p>
    <w:p w:rsidR="00E658F0" w:rsidRPr="00E658F0" w:rsidRDefault="00E658F0" w:rsidP="00E658F0">
      <w:pPr>
        <w:pStyle w:val="p1"/>
        <w:jc w:val="center"/>
        <w:rPr>
          <w:rFonts w:ascii="Calibri" w:eastAsia="Calibri" w:hAnsi="Calibri" w:cs="Calibri"/>
          <w:sz w:val="28"/>
          <w:szCs w:val="20"/>
        </w:rPr>
      </w:pPr>
    </w:p>
    <w:p w:rsidR="00E658F0" w:rsidRPr="00E658F0" w:rsidRDefault="00E658F0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 w:rsidRPr="00E658F0">
        <w:rPr>
          <w:rFonts w:ascii="Calibri" w:eastAsia="Calibri" w:hAnsi="Calibri" w:cs="Calibri"/>
          <w:b/>
          <w:bCs/>
          <w:szCs w:val="20"/>
        </w:rPr>
        <w:t> </w:t>
      </w:r>
      <w:r w:rsidRPr="00E658F0">
        <w:rPr>
          <w:rFonts w:ascii="Calibri" w:eastAsia="Calibri" w:hAnsi="Calibri" w:cs="Calibri"/>
          <w:i/>
          <w:iCs/>
          <w:sz w:val="22"/>
          <w:szCs w:val="20"/>
        </w:rPr>
        <w:t xml:space="preserve">Milano, </w:t>
      </w:r>
      <w:r w:rsidR="00835C58">
        <w:rPr>
          <w:rFonts w:ascii="Calibri" w:eastAsia="Calibri" w:hAnsi="Calibri" w:cs="Calibri"/>
          <w:i/>
          <w:iCs/>
          <w:sz w:val="22"/>
          <w:szCs w:val="20"/>
        </w:rPr>
        <w:t>18</w:t>
      </w:r>
      <w:r w:rsidRPr="00E658F0">
        <w:rPr>
          <w:rFonts w:ascii="Calibri" w:eastAsia="Calibri" w:hAnsi="Calibri" w:cs="Calibri"/>
          <w:i/>
          <w:iCs/>
          <w:sz w:val="22"/>
          <w:szCs w:val="20"/>
        </w:rPr>
        <w:t xml:space="preserve"> giugno 2019</w:t>
      </w:r>
      <w:r w:rsidRPr="00E658F0">
        <w:rPr>
          <w:rFonts w:ascii="Calibri" w:eastAsia="Calibri" w:hAnsi="Calibri" w:cs="Calibri"/>
          <w:sz w:val="22"/>
          <w:szCs w:val="20"/>
        </w:rPr>
        <w:t> – </w:t>
      </w:r>
      <w:r w:rsidRPr="00E658F0">
        <w:rPr>
          <w:rFonts w:ascii="Calibri" w:eastAsia="Calibri" w:hAnsi="Calibri" w:cs="Calibri"/>
          <w:b/>
          <w:bCs/>
          <w:sz w:val="22"/>
          <w:szCs w:val="20"/>
        </w:rPr>
        <w:t>A parità di metratura</w:t>
      </w:r>
      <w:r w:rsidR="001573A2">
        <w:rPr>
          <w:rFonts w:ascii="Calibri" w:eastAsia="Calibri" w:hAnsi="Calibri" w:cs="Calibri"/>
          <w:b/>
          <w:bCs/>
          <w:sz w:val="22"/>
          <w:szCs w:val="20"/>
        </w:rPr>
        <w:t>,</w:t>
      </w:r>
      <w:r w:rsidRPr="00E658F0">
        <w:rPr>
          <w:rFonts w:ascii="Calibri" w:eastAsia="Calibri" w:hAnsi="Calibri" w:cs="Calibri"/>
          <w:b/>
          <w:bCs/>
          <w:sz w:val="22"/>
          <w:szCs w:val="20"/>
        </w:rPr>
        <w:t xml:space="preserve"> un immobile</w:t>
      </w:r>
      <w:r w:rsidR="001573A2">
        <w:rPr>
          <w:rFonts w:ascii="Calibri" w:eastAsia="Calibri" w:hAnsi="Calibri" w:cs="Calibri"/>
          <w:b/>
          <w:bCs/>
          <w:sz w:val="22"/>
          <w:szCs w:val="20"/>
        </w:rPr>
        <w:t xml:space="preserve"> a</w:t>
      </w:r>
      <w:r w:rsidRPr="00E658F0">
        <w:rPr>
          <w:rFonts w:ascii="Calibri" w:eastAsia="Calibri" w:hAnsi="Calibri" w:cs="Calibri"/>
          <w:b/>
          <w:bCs/>
          <w:sz w:val="22"/>
          <w:szCs w:val="20"/>
        </w:rPr>
        <w:t xml:space="preserve"> Milano risulta più car</w:t>
      </w:r>
      <w:r w:rsidR="001573A2">
        <w:rPr>
          <w:rFonts w:ascii="Calibri" w:eastAsia="Calibri" w:hAnsi="Calibri" w:cs="Calibri"/>
          <w:b/>
          <w:bCs/>
          <w:sz w:val="22"/>
          <w:szCs w:val="20"/>
        </w:rPr>
        <w:t>o del 25</w:t>
      </w:r>
      <w:r w:rsidR="00642B82">
        <w:rPr>
          <w:rFonts w:ascii="Calibri" w:eastAsia="Calibri" w:hAnsi="Calibri" w:cs="Calibri"/>
          <w:b/>
          <w:bCs/>
          <w:sz w:val="22"/>
          <w:szCs w:val="20"/>
        </w:rPr>
        <w:t>,5</w:t>
      </w:r>
      <w:r w:rsidR="001573A2">
        <w:rPr>
          <w:rFonts w:ascii="Calibri" w:eastAsia="Calibri" w:hAnsi="Calibri" w:cs="Calibri"/>
          <w:b/>
          <w:bCs/>
          <w:sz w:val="22"/>
          <w:szCs w:val="20"/>
        </w:rPr>
        <w:t>% rispetto a</w:t>
      </w:r>
      <w:r w:rsidRPr="00E658F0">
        <w:rPr>
          <w:rFonts w:ascii="Calibri" w:eastAsia="Calibri" w:hAnsi="Calibri" w:cs="Calibri"/>
          <w:b/>
          <w:bCs/>
          <w:sz w:val="22"/>
          <w:szCs w:val="20"/>
        </w:rPr>
        <w:t xml:space="preserve"> Roma</w:t>
      </w:r>
      <w:r w:rsidR="001573A2" w:rsidRPr="001573A2">
        <w:rPr>
          <w:rFonts w:ascii="Calibri" w:eastAsia="Calibri" w:hAnsi="Calibri" w:cs="Calibri"/>
          <w:bCs/>
          <w:sz w:val="22"/>
          <w:szCs w:val="20"/>
        </w:rPr>
        <w:t>.</w:t>
      </w:r>
      <w:r w:rsidR="001573A2">
        <w:rPr>
          <w:rFonts w:ascii="Calibri" w:eastAsia="Calibri" w:hAnsi="Calibri" w:cs="Calibri"/>
          <w:b/>
          <w:bCs/>
          <w:sz w:val="22"/>
          <w:szCs w:val="20"/>
        </w:rPr>
        <w:t xml:space="preserve"> </w:t>
      </w:r>
      <w:r w:rsidR="001573A2">
        <w:rPr>
          <w:rFonts w:ascii="Calibri" w:eastAsia="Calibri" w:hAnsi="Calibri" w:cs="Calibri"/>
          <w:sz w:val="22"/>
          <w:szCs w:val="20"/>
        </w:rPr>
        <w:t>I</w:t>
      </w:r>
      <w:r w:rsidRPr="00E658F0">
        <w:rPr>
          <w:rFonts w:ascii="Calibri" w:eastAsia="Calibri" w:hAnsi="Calibri" w:cs="Calibri"/>
          <w:sz w:val="22"/>
          <w:szCs w:val="20"/>
        </w:rPr>
        <w:t>l dato emerge da una analisi condotta dal </w:t>
      </w:r>
      <w:r w:rsidRPr="00E658F0">
        <w:rPr>
          <w:rFonts w:ascii="Calibri" w:eastAsia="Calibri" w:hAnsi="Calibri" w:cs="Calibri"/>
          <w:b/>
          <w:bCs/>
          <w:sz w:val="22"/>
          <w:szCs w:val="20"/>
        </w:rPr>
        <w:t>Centro Studi </w:t>
      </w:r>
      <w:r w:rsidRPr="00E658F0">
        <w:rPr>
          <w:rFonts w:ascii="Calibri" w:eastAsia="Calibri" w:hAnsi="Calibri" w:cs="Calibri"/>
          <w:sz w:val="22"/>
          <w:szCs w:val="20"/>
        </w:rPr>
        <w:t>di </w:t>
      </w:r>
      <w:r w:rsidRPr="00E658F0">
        <w:rPr>
          <w:rFonts w:ascii="Calibri" w:eastAsia="Calibri" w:hAnsi="Calibri" w:cs="Calibri"/>
          <w:b/>
          <w:bCs/>
          <w:sz w:val="22"/>
          <w:szCs w:val="20"/>
        </w:rPr>
        <w:t>Sigest</w:t>
      </w:r>
      <w:r w:rsidR="00CF0BB4">
        <w:rPr>
          <w:rFonts w:ascii="Calibri" w:eastAsia="Calibri" w:hAnsi="Calibri" w:cs="Calibri"/>
          <w:b/>
          <w:bCs/>
          <w:sz w:val="22"/>
          <w:szCs w:val="20"/>
        </w:rPr>
        <w:t xml:space="preserve"> </w:t>
      </w:r>
      <w:r w:rsidR="00CF0BB4" w:rsidRPr="00CF0BB4">
        <w:rPr>
          <w:rFonts w:ascii="Calibri" w:eastAsia="Calibri" w:hAnsi="Calibri" w:cs="Calibri"/>
          <w:bCs/>
          <w:sz w:val="22"/>
          <w:szCs w:val="20"/>
        </w:rPr>
        <w:t>(www.centrostudisigest.it)</w:t>
      </w:r>
      <w:r w:rsidRPr="00E658F0">
        <w:rPr>
          <w:rFonts w:ascii="Calibri" w:eastAsia="Calibri" w:hAnsi="Calibri" w:cs="Calibri"/>
          <w:b/>
          <w:bCs/>
          <w:sz w:val="22"/>
          <w:szCs w:val="20"/>
        </w:rPr>
        <w:t> </w:t>
      </w:r>
      <w:r w:rsidRPr="00E658F0">
        <w:rPr>
          <w:rFonts w:ascii="Calibri" w:eastAsia="Calibri" w:hAnsi="Calibri" w:cs="Calibri"/>
          <w:sz w:val="22"/>
          <w:szCs w:val="20"/>
        </w:rPr>
        <w:t xml:space="preserve">– player </w:t>
      </w:r>
      <w:r w:rsidR="005561AD" w:rsidRPr="00E658F0">
        <w:rPr>
          <w:rFonts w:ascii="Calibri" w:eastAsia="Calibri" w:hAnsi="Calibri" w:cs="Calibri"/>
          <w:sz w:val="22"/>
          <w:szCs w:val="20"/>
        </w:rPr>
        <w:t xml:space="preserve">Real Estate </w:t>
      </w:r>
      <w:r w:rsidRPr="00E658F0">
        <w:rPr>
          <w:rFonts w:ascii="Calibri" w:eastAsia="Calibri" w:hAnsi="Calibri" w:cs="Calibri"/>
          <w:sz w:val="22"/>
          <w:szCs w:val="20"/>
        </w:rPr>
        <w:t>attivo da oltre trent’anni nel mercato residenziale, con focus particolare su Milano e Lombardia – che ha rielaborato i dati OMI dell’Agenzia delle Entrate</w:t>
      </w:r>
      <w:r w:rsidR="000350B3">
        <w:rPr>
          <w:rFonts w:ascii="Calibri" w:eastAsia="Calibri" w:hAnsi="Calibri" w:cs="Calibri"/>
          <w:sz w:val="22"/>
          <w:szCs w:val="20"/>
        </w:rPr>
        <w:t xml:space="preserve"> </w:t>
      </w:r>
      <w:r w:rsidRPr="00E658F0">
        <w:rPr>
          <w:rFonts w:ascii="Calibri" w:eastAsia="Calibri" w:hAnsi="Calibri" w:cs="Calibri"/>
          <w:sz w:val="22"/>
          <w:szCs w:val="20"/>
        </w:rPr>
        <w:t>recentemente diffusi</w:t>
      </w:r>
      <w:r w:rsidR="000350B3">
        <w:rPr>
          <w:rStyle w:val="Rimandonotaapidipagina"/>
          <w:rFonts w:ascii="Calibri" w:eastAsia="Calibri" w:hAnsi="Calibri" w:cs="Calibri"/>
          <w:sz w:val="22"/>
          <w:szCs w:val="20"/>
        </w:rPr>
        <w:footnoteReference w:id="2"/>
      </w:r>
      <w:r w:rsidRPr="00E658F0">
        <w:rPr>
          <w:rFonts w:ascii="Calibri" w:eastAsia="Calibri" w:hAnsi="Calibri" w:cs="Calibri"/>
          <w:sz w:val="22"/>
          <w:szCs w:val="20"/>
        </w:rPr>
        <w:t>. </w:t>
      </w:r>
    </w:p>
    <w:p w:rsidR="00E658F0" w:rsidRPr="00E658F0" w:rsidRDefault="00E658F0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 w:rsidRPr="00E658F0">
        <w:rPr>
          <w:rFonts w:ascii="Calibri" w:eastAsia="Calibri" w:hAnsi="Calibri" w:cs="Calibri"/>
          <w:sz w:val="22"/>
          <w:szCs w:val="20"/>
        </w:rPr>
        <w:t xml:space="preserve">Non solo Roma, ma anche la provincia di Milano registra un gap di prezzo molto elevato con la città: comprare un appartamento a Milano costa mediamente il 55% in più che comprare lo stesso appartamento in </w:t>
      </w:r>
      <w:r w:rsidR="00DD2728">
        <w:rPr>
          <w:rFonts w:ascii="Calibri" w:eastAsia="Calibri" w:hAnsi="Calibri" w:cs="Calibri"/>
          <w:sz w:val="22"/>
          <w:szCs w:val="20"/>
        </w:rPr>
        <w:t>P</w:t>
      </w:r>
      <w:r w:rsidRPr="00E658F0">
        <w:rPr>
          <w:rFonts w:ascii="Calibri" w:eastAsia="Calibri" w:hAnsi="Calibri" w:cs="Calibri"/>
          <w:sz w:val="22"/>
          <w:szCs w:val="20"/>
        </w:rPr>
        <w:t>rovincia. </w:t>
      </w:r>
    </w:p>
    <w:p w:rsidR="00E658F0" w:rsidRPr="00E658F0" w:rsidRDefault="00E658F0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 w:rsidRPr="00E658F0">
        <w:rPr>
          <w:rFonts w:ascii="Calibri" w:eastAsia="Calibri" w:hAnsi="Calibri" w:cs="Calibri"/>
          <w:sz w:val="22"/>
          <w:szCs w:val="20"/>
        </w:rPr>
        <w:t> </w:t>
      </w:r>
    </w:p>
    <w:p w:rsidR="00E658F0" w:rsidRPr="00E658F0" w:rsidRDefault="00E658F0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 w:rsidRPr="00E658F0">
        <w:rPr>
          <w:rFonts w:ascii="Calibri" w:eastAsia="Calibri" w:hAnsi="Calibri" w:cs="Calibri"/>
          <w:b/>
          <w:bCs/>
          <w:sz w:val="22"/>
          <w:szCs w:val="20"/>
          <w:u w:val="single"/>
        </w:rPr>
        <w:t>Fatturato residenziale</w:t>
      </w:r>
      <w:r w:rsidR="00E70FBB">
        <w:rPr>
          <w:rFonts w:ascii="Calibri" w:eastAsia="Calibri" w:hAnsi="Calibri" w:cs="Calibri"/>
          <w:b/>
          <w:bCs/>
          <w:sz w:val="22"/>
          <w:szCs w:val="20"/>
          <w:u w:val="single"/>
        </w:rPr>
        <w:t xml:space="preserve"> 2018</w:t>
      </w:r>
    </w:p>
    <w:p w:rsidR="00E658F0" w:rsidRPr="00E658F0" w:rsidRDefault="00E658F0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 w:rsidRPr="00E658F0">
        <w:rPr>
          <w:rFonts w:ascii="Calibri" w:eastAsia="Calibri" w:hAnsi="Calibri" w:cs="Calibri"/>
          <w:sz w:val="22"/>
          <w:szCs w:val="20"/>
        </w:rPr>
        <w:t>Sul fronte del </w:t>
      </w:r>
      <w:r w:rsidRPr="00E658F0">
        <w:rPr>
          <w:rFonts w:ascii="Calibri" w:eastAsia="Calibri" w:hAnsi="Calibri" w:cs="Calibri"/>
          <w:b/>
          <w:bCs/>
          <w:sz w:val="22"/>
          <w:szCs w:val="20"/>
        </w:rPr>
        <w:t>fatturato residenziale</w:t>
      </w:r>
      <w:r w:rsidRPr="00E658F0">
        <w:rPr>
          <w:rFonts w:ascii="Calibri" w:eastAsia="Calibri" w:hAnsi="Calibri" w:cs="Calibri"/>
          <w:sz w:val="22"/>
          <w:szCs w:val="20"/>
        </w:rPr>
        <w:t xml:space="preserve">, le 578.647 transazioni </w:t>
      </w:r>
      <w:r w:rsidR="00E70FBB" w:rsidRPr="00E70FBB">
        <w:rPr>
          <w:rFonts w:ascii="Calibri" w:eastAsia="Calibri" w:hAnsi="Calibri" w:cs="Calibri"/>
          <w:b/>
          <w:sz w:val="22"/>
          <w:szCs w:val="20"/>
        </w:rPr>
        <w:t>in Italia</w:t>
      </w:r>
      <w:r w:rsidR="00E70FBB">
        <w:rPr>
          <w:rFonts w:ascii="Calibri" w:eastAsia="Calibri" w:hAnsi="Calibri" w:cs="Calibri"/>
          <w:sz w:val="22"/>
          <w:szCs w:val="20"/>
        </w:rPr>
        <w:t xml:space="preserve"> </w:t>
      </w:r>
      <w:r w:rsidRPr="00E658F0">
        <w:rPr>
          <w:rFonts w:ascii="Calibri" w:eastAsia="Calibri" w:hAnsi="Calibri" w:cs="Calibri"/>
          <w:sz w:val="22"/>
          <w:szCs w:val="20"/>
        </w:rPr>
        <w:t>che OMI ha rilevato nel 2018 hanno generato un fatturato di 94,3 miliardi di euro, con un aumento del 5,2% rispetto all’anno precedente. Il fatturato 2018 cresce anche a Milano del 2,6% e a Roma, anche se a un ritmo più contenuto, dello 0,9%. </w:t>
      </w:r>
    </w:p>
    <w:p w:rsidR="00E658F0" w:rsidRDefault="00E658F0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 w:rsidRPr="00E658F0">
        <w:rPr>
          <w:rFonts w:ascii="Calibri" w:eastAsia="Calibri" w:hAnsi="Calibri" w:cs="Calibri"/>
          <w:sz w:val="22"/>
          <w:szCs w:val="20"/>
        </w:rPr>
        <w:t xml:space="preserve">Il fatturato residenziale della città di Milano con i suoi </w:t>
      </w:r>
      <w:r w:rsidR="008A0240">
        <w:rPr>
          <w:rFonts w:ascii="Calibri" w:eastAsia="Calibri" w:hAnsi="Calibri" w:cs="Calibri"/>
          <w:sz w:val="22"/>
          <w:szCs w:val="20"/>
        </w:rPr>
        <w:t>7</w:t>
      </w:r>
      <w:r w:rsidRPr="00E658F0">
        <w:rPr>
          <w:rFonts w:ascii="Calibri" w:eastAsia="Calibri" w:hAnsi="Calibri" w:cs="Calibri"/>
          <w:sz w:val="22"/>
          <w:szCs w:val="20"/>
        </w:rPr>
        <w:t>,</w:t>
      </w:r>
      <w:r w:rsidR="008A0240">
        <w:rPr>
          <w:rFonts w:ascii="Calibri" w:eastAsia="Calibri" w:hAnsi="Calibri" w:cs="Calibri"/>
          <w:sz w:val="22"/>
          <w:szCs w:val="20"/>
        </w:rPr>
        <w:t>7</w:t>
      </w:r>
      <w:r w:rsidRPr="00E658F0">
        <w:rPr>
          <w:rFonts w:ascii="Calibri" w:eastAsia="Calibri" w:hAnsi="Calibri" w:cs="Calibri"/>
          <w:sz w:val="22"/>
          <w:szCs w:val="20"/>
        </w:rPr>
        <w:t xml:space="preserve"> miliardi e</w:t>
      </w:r>
      <w:r w:rsidR="000350B3">
        <w:rPr>
          <w:rFonts w:ascii="Calibri" w:eastAsia="Calibri" w:hAnsi="Calibri" w:cs="Calibri"/>
          <w:sz w:val="22"/>
          <w:szCs w:val="20"/>
        </w:rPr>
        <w:t xml:space="preserve">guaglia </w:t>
      </w:r>
      <w:r w:rsidRPr="00E658F0">
        <w:rPr>
          <w:rFonts w:ascii="Calibri" w:eastAsia="Calibri" w:hAnsi="Calibri" w:cs="Calibri"/>
          <w:sz w:val="22"/>
          <w:szCs w:val="20"/>
        </w:rPr>
        <w:t>circa</w:t>
      </w:r>
      <w:r w:rsidR="008A0240">
        <w:rPr>
          <w:rFonts w:ascii="Calibri" w:eastAsia="Calibri" w:hAnsi="Calibri" w:cs="Calibri"/>
          <w:sz w:val="22"/>
          <w:szCs w:val="20"/>
        </w:rPr>
        <w:t xml:space="preserve"> </w:t>
      </w:r>
      <w:r w:rsidR="000350B3">
        <w:rPr>
          <w:rFonts w:ascii="Calibri" w:eastAsia="Calibri" w:hAnsi="Calibri" w:cs="Calibri"/>
          <w:sz w:val="22"/>
          <w:szCs w:val="20"/>
        </w:rPr>
        <w:t>i</w:t>
      </w:r>
      <w:r w:rsidRPr="00E658F0">
        <w:rPr>
          <w:rFonts w:ascii="Calibri" w:eastAsia="Calibri" w:hAnsi="Calibri" w:cs="Calibri"/>
          <w:sz w:val="22"/>
          <w:szCs w:val="20"/>
        </w:rPr>
        <w:t>l fatturato dell’interno </w:t>
      </w:r>
      <w:r w:rsidRPr="00E658F0">
        <w:rPr>
          <w:rFonts w:ascii="Calibri" w:eastAsia="Calibri" w:hAnsi="Calibri" w:cs="Calibri"/>
          <w:b/>
          <w:bCs/>
          <w:sz w:val="22"/>
          <w:szCs w:val="20"/>
        </w:rPr>
        <w:t>mercato corporate</w:t>
      </w:r>
      <w:r w:rsidR="00CF0BB4">
        <w:rPr>
          <w:rStyle w:val="Rimandonotaapidipagina"/>
          <w:rFonts w:ascii="Calibri" w:eastAsia="Calibri" w:hAnsi="Calibri" w:cs="Calibri"/>
          <w:b/>
          <w:bCs/>
          <w:sz w:val="22"/>
          <w:szCs w:val="20"/>
        </w:rPr>
        <w:footnoteReference w:id="3"/>
      </w:r>
      <w:r w:rsidRPr="00E658F0">
        <w:rPr>
          <w:rFonts w:ascii="Calibri" w:eastAsia="Calibri" w:hAnsi="Calibri" w:cs="Calibri"/>
          <w:b/>
          <w:bCs/>
          <w:sz w:val="22"/>
          <w:szCs w:val="20"/>
        </w:rPr>
        <w:t> </w:t>
      </w:r>
      <w:r w:rsidRPr="00E658F0">
        <w:rPr>
          <w:rFonts w:ascii="Calibri" w:eastAsia="Calibri" w:hAnsi="Calibri" w:cs="Calibri"/>
          <w:sz w:val="22"/>
          <w:szCs w:val="20"/>
        </w:rPr>
        <w:t>nazionale, che vale 8,8 miliardi di euro.  Quest’ultimo mercato a Milano vale 3,1 miliardi di euro, in calo del -16% rispetto all’anno scorso e che invece ha un picco di crescita del 24% a Roma, dove ha un valore di 1,9 miliardi di euro. </w:t>
      </w:r>
    </w:p>
    <w:p w:rsidR="009E217E" w:rsidRDefault="009F7B5B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 w:rsidRPr="009F7B5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Grafici-1" style="position:absolute;left:0;text-align:left;margin-left:31.75pt;margin-top:11.4pt;width:415.35pt;height:266.6pt;z-index:251659264;mso-wrap-edited:f">
            <v:imagedata r:id="rId7" o:title="Grafici-1" cropbottom="5619f"/>
            <w10:wrap type="square"/>
          </v:shape>
        </w:pict>
      </w:r>
    </w:p>
    <w:p w:rsidR="005561AD" w:rsidRDefault="005561AD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CF0BB4" w:rsidRDefault="009F7B5B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  <w:r w:rsidRPr="009F7B5B">
        <w:rPr>
          <w:noProof/>
        </w:rPr>
        <w:pict>
          <v:shape id="_x0000_s1029" type="#_x0000_t75" alt="Grafici-2" style="position:absolute;left:0;text-align:left;margin-left:.25pt;margin-top:11.75pt;width:221.35pt;height:144.75pt;z-index:251663360;mso-wrap-edited:f">
            <v:imagedata r:id="rId8" o:title="Grafici-2"/>
            <w10:wrap type="square"/>
          </v:shape>
        </w:pict>
      </w:r>
      <w:r w:rsidRPr="009F7B5B">
        <w:rPr>
          <w:noProof/>
        </w:rPr>
        <w:pict>
          <v:shape id="_x0000_s1028" type="#_x0000_t75" alt="Grafici-3" style="position:absolute;left:0;text-align:left;margin-left:254.95pt;margin-top:11.75pt;width:229.25pt;height:154.7pt;z-index:251661312;mso-wrap-edited:f">
            <v:imagedata r:id="rId9" o:title="Grafici-3"/>
            <w10:wrap type="square"/>
          </v:shape>
        </w:pict>
      </w:r>
    </w:p>
    <w:p w:rsidR="00CF0BB4" w:rsidRDefault="00CF0BB4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B733A0" w:rsidRDefault="00B733A0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B733A0" w:rsidRDefault="00B733A0" w:rsidP="00E658F0">
      <w:pPr>
        <w:pStyle w:val="p1"/>
        <w:jc w:val="both"/>
        <w:rPr>
          <w:rFonts w:ascii="Calibri" w:eastAsia="Calibri" w:hAnsi="Calibri" w:cs="Calibri"/>
          <w:b/>
          <w:bCs/>
          <w:sz w:val="22"/>
          <w:szCs w:val="20"/>
          <w:u w:val="single"/>
        </w:rPr>
      </w:pPr>
    </w:p>
    <w:p w:rsidR="00E658F0" w:rsidRPr="00E658F0" w:rsidRDefault="00E658F0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 w:rsidRPr="00E658F0">
        <w:rPr>
          <w:rFonts w:ascii="Calibri" w:eastAsia="Calibri" w:hAnsi="Calibri" w:cs="Calibri"/>
          <w:b/>
          <w:bCs/>
          <w:sz w:val="22"/>
          <w:szCs w:val="20"/>
          <w:u w:val="single"/>
        </w:rPr>
        <w:t>Prezzi medi di vendita</w:t>
      </w:r>
    </w:p>
    <w:p w:rsidR="00E658F0" w:rsidRPr="00E658F0" w:rsidRDefault="009F7B5B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 w:rsidRPr="009F7B5B">
        <w:rPr>
          <w:noProof/>
        </w:rPr>
        <w:pict>
          <v:shape id="_x0000_s1027" type="#_x0000_t75" alt="Mappa Milano" style="position:absolute;left:0;text-align:left;margin-left:295.15pt;margin-top:52.15pt;width:189.05pt;height:183.7pt;z-index:251665408;mso-wrap-edited:f">
            <v:imagedata r:id="rId10" o:title="Mappa Milano"/>
            <w10:wrap type="square"/>
          </v:shape>
        </w:pict>
      </w:r>
      <w:r w:rsidR="00E658F0" w:rsidRPr="00E658F0">
        <w:rPr>
          <w:rFonts w:ascii="Calibri" w:eastAsia="Calibri" w:hAnsi="Calibri" w:cs="Calibri"/>
          <w:sz w:val="22"/>
          <w:szCs w:val="20"/>
        </w:rPr>
        <w:t>I </w:t>
      </w:r>
      <w:r w:rsidR="00E658F0" w:rsidRPr="00E658F0">
        <w:rPr>
          <w:rFonts w:ascii="Calibri" w:eastAsia="Calibri" w:hAnsi="Calibri" w:cs="Calibri"/>
          <w:b/>
          <w:bCs/>
          <w:sz w:val="22"/>
          <w:szCs w:val="20"/>
        </w:rPr>
        <w:t>prezzi medi di vendita</w:t>
      </w:r>
      <w:r w:rsidR="00E658F0" w:rsidRPr="00E658F0">
        <w:rPr>
          <w:rFonts w:ascii="Calibri" w:eastAsia="Calibri" w:hAnsi="Calibri" w:cs="Calibri"/>
          <w:sz w:val="22"/>
          <w:szCs w:val="20"/>
        </w:rPr>
        <w:t> in Italia nel 2018 sono di 1.538 euro al metro quadro, in lieve calo (-1.</w:t>
      </w:r>
      <w:r w:rsidR="009E217E">
        <w:rPr>
          <w:rFonts w:ascii="Calibri" w:eastAsia="Calibri" w:hAnsi="Calibri" w:cs="Calibri"/>
          <w:sz w:val="22"/>
          <w:szCs w:val="20"/>
        </w:rPr>
        <w:t>5</w:t>
      </w:r>
      <w:r w:rsidR="00E658F0" w:rsidRPr="00E658F0">
        <w:rPr>
          <w:rFonts w:ascii="Calibri" w:eastAsia="Calibri" w:hAnsi="Calibri" w:cs="Calibri"/>
          <w:sz w:val="22"/>
          <w:szCs w:val="20"/>
        </w:rPr>
        <w:t xml:space="preserve">%) rispetto al 2017. Differente la situazione se parliamo di Roma, il cui prezzo medio è 2.828 euro al metro quadro, e di Milano, che si conferma la città più cara d’Italia con una media </w:t>
      </w:r>
      <w:r w:rsidR="009E217E">
        <w:rPr>
          <w:rFonts w:ascii="Calibri" w:eastAsia="Calibri" w:hAnsi="Calibri" w:cs="Calibri"/>
          <w:sz w:val="22"/>
          <w:szCs w:val="20"/>
        </w:rPr>
        <w:t xml:space="preserve">di </w:t>
      </w:r>
      <w:r w:rsidR="00E658F0" w:rsidRPr="00E658F0">
        <w:rPr>
          <w:rFonts w:ascii="Calibri" w:eastAsia="Calibri" w:hAnsi="Calibri" w:cs="Calibri"/>
          <w:sz w:val="22"/>
          <w:szCs w:val="20"/>
        </w:rPr>
        <w:t>3.</w:t>
      </w:r>
      <w:r w:rsidR="009E217E">
        <w:rPr>
          <w:rFonts w:ascii="Calibri" w:eastAsia="Calibri" w:hAnsi="Calibri" w:cs="Calibri"/>
          <w:sz w:val="22"/>
          <w:szCs w:val="20"/>
        </w:rPr>
        <w:t>796</w:t>
      </w:r>
      <w:r w:rsidR="00E658F0" w:rsidRPr="00E658F0">
        <w:rPr>
          <w:rFonts w:ascii="Calibri" w:eastAsia="Calibri" w:hAnsi="Calibri" w:cs="Calibri"/>
          <w:sz w:val="22"/>
          <w:szCs w:val="20"/>
        </w:rPr>
        <w:t xml:space="preserve"> </w:t>
      </w:r>
      <w:r w:rsidR="0081067E" w:rsidRPr="00E658F0">
        <w:rPr>
          <w:rFonts w:ascii="Calibri" w:eastAsia="Calibri" w:hAnsi="Calibri" w:cs="Calibri"/>
          <w:sz w:val="22"/>
          <w:szCs w:val="20"/>
        </w:rPr>
        <w:t xml:space="preserve">euro </w:t>
      </w:r>
      <w:r w:rsidR="00E658F0" w:rsidRPr="00E658F0">
        <w:rPr>
          <w:rFonts w:ascii="Calibri" w:eastAsia="Calibri" w:hAnsi="Calibri" w:cs="Calibri"/>
          <w:sz w:val="22"/>
          <w:szCs w:val="20"/>
        </w:rPr>
        <w:t>al metro quadro, in leggero aumento (0,8%) rispetto al 2017.</w:t>
      </w:r>
    </w:p>
    <w:p w:rsidR="00736E81" w:rsidRDefault="00736E81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</w:p>
    <w:p w:rsidR="0081067E" w:rsidRDefault="00E658F0" w:rsidP="00E658F0">
      <w:pPr>
        <w:pStyle w:val="p1"/>
        <w:jc w:val="both"/>
        <w:rPr>
          <w:rFonts w:ascii="Calibri" w:eastAsia="Calibri" w:hAnsi="Calibri" w:cs="Calibri"/>
          <w:bCs/>
          <w:sz w:val="22"/>
          <w:szCs w:val="20"/>
        </w:rPr>
      </w:pPr>
      <w:r w:rsidRPr="00E658F0">
        <w:rPr>
          <w:rFonts w:ascii="Calibri" w:eastAsia="Calibri" w:hAnsi="Calibri" w:cs="Calibri"/>
          <w:sz w:val="22"/>
          <w:szCs w:val="20"/>
        </w:rPr>
        <w:t>Da una analisi condotta dal </w:t>
      </w:r>
      <w:r w:rsidRPr="00E65F3B">
        <w:rPr>
          <w:rFonts w:ascii="Calibri" w:eastAsia="Calibri" w:hAnsi="Calibri" w:cs="Calibri"/>
          <w:bCs/>
          <w:sz w:val="22"/>
          <w:szCs w:val="20"/>
        </w:rPr>
        <w:t>Centro Studi </w:t>
      </w:r>
      <w:r w:rsidRPr="00E65F3B">
        <w:rPr>
          <w:rFonts w:ascii="Calibri" w:eastAsia="Calibri" w:hAnsi="Calibri" w:cs="Calibri"/>
          <w:sz w:val="22"/>
          <w:szCs w:val="20"/>
        </w:rPr>
        <w:t>di </w:t>
      </w:r>
      <w:r w:rsidRPr="00E65F3B">
        <w:rPr>
          <w:rFonts w:ascii="Calibri" w:eastAsia="Calibri" w:hAnsi="Calibri" w:cs="Calibri"/>
          <w:bCs/>
          <w:sz w:val="22"/>
          <w:szCs w:val="20"/>
        </w:rPr>
        <w:t>Sigest</w:t>
      </w:r>
      <w:r w:rsidRPr="00E658F0">
        <w:rPr>
          <w:rFonts w:ascii="Calibri" w:eastAsia="Calibri" w:hAnsi="Calibri" w:cs="Calibri"/>
          <w:b/>
          <w:bCs/>
          <w:sz w:val="22"/>
          <w:szCs w:val="20"/>
        </w:rPr>
        <w:t> </w:t>
      </w:r>
      <w:r w:rsidR="0081067E" w:rsidRPr="0081067E">
        <w:rPr>
          <w:rFonts w:ascii="Calibri" w:eastAsia="Calibri" w:hAnsi="Calibri" w:cs="Calibri"/>
          <w:bCs/>
          <w:sz w:val="22"/>
          <w:szCs w:val="20"/>
        </w:rPr>
        <w:t>su un campione di circa 3</w:t>
      </w:r>
      <w:r w:rsidR="00E70FBB" w:rsidRPr="0081067E">
        <w:rPr>
          <w:rFonts w:ascii="Calibri" w:eastAsia="Calibri" w:hAnsi="Calibri" w:cs="Calibri"/>
          <w:bCs/>
          <w:sz w:val="22"/>
          <w:szCs w:val="20"/>
        </w:rPr>
        <w:t>50</w:t>
      </w:r>
      <w:r w:rsidR="00E70FBB" w:rsidRPr="00E70FBB">
        <w:rPr>
          <w:rFonts w:ascii="Calibri" w:eastAsia="Calibri" w:hAnsi="Calibri" w:cs="Calibri"/>
          <w:bCs/>
          <w:sz w:val="22"/>
          <w:szCs w:val="20"/>
        </w:rPr>
        <w:t xml:space="preserve"> </w:t>
      </w:r>
      <w:r w:rsidR="00E70FBB" w:rsidRPr="00E65F3B">
        <w:rPr>
          <w:rFonts w:ascii="Calibri" w:eastAsia="Calibri" w:hAnsi="Calibri" w:cs="Calibri"/>
          <w:b/>
          <w:bCs/>
          <w:sz w:val="22"/>
          <w:szCs w:val="20"/>
        </w:rPr>
        <w:t xml:space="preserve">appartamenti di nuova realizzazione </w:t>
      </w:r>
      <w:r w:rsidR="0081067E" w:rsidRPr="00E65F3B">
        <w:rPr>
          <w:rFonts w:ascii="Calibri" w:eastAsia="Calibri" w:hAnsi="Calibri" w:cs="Calibri"/>
          <w:b/>
          <w:bCs/>
          <w:sz w:val="22"/>
          <w:szCs w:val="20"/>
        </w:rPr>
        <w:t>venduti a Milano</w:t>
      </w:r>
      <w:r w:rsidR="0081067E">
        <w:rPr>
          <w:rFonts w:ascii="Calibri" w:eastAsia="Calibri" w:hAnsi="Calibri" w:cs="Calibri"/>
          <w:bCs/>
          <w:sz w:val="22"/>
          <w:szCs w:val="20"/>
        </w:rPr>
        <w:t xml:space="preserve"> emerge (considerando le tre tipologie più transate: bilocali, trilocali e quadrilocali)</w:t>
      </w:r>
      <w:r w:rsidR="00E70FBB">
        <w:rPr>
          <w:rFonts w:ascii="Calibri" w:eastAsia="Calibri" w:hAnsi="Calibri" w:cs="Calibri"/>
          <w:bCs/>
          <w:sz w:val="22"/>
          <w:szCs w:val="20"/>
        </w:rPr>
        <w:t xml:space="preserve"> </w:t>
      </w:r>
      <w:r w:rsidR="0081067E">
        <w:rPr>
          <w:rFonts w:ascii="Calibri" w:eastAsia="Calibri" w:hAnsi="Calibri" w:cs="Calibri"/>
          <w:bCs/>
          <w:sz w:val="22"/>
          <w:szCs w:val="20"/>
        </w:rPr>
        <w:t xml:space="preserve">un </w:t>
      </w:r>
      <w:r w:rsidR="0081067E" w:rsidRPr="00E65F3B">
        <w:rPr>
          <w:rFonts w:ascii="Calibri" w:eastAsia="Calibri" w:hAnsi="Calibri" w:cs="Calibri"/>
          <w:b/>
          <w:bCs/>
          <w:sz w:val="22"/>
          <w:szCs w:val="20"/>
        </w:rPr>
        <w:t>costo medio</w:t>
      </w:r>
      <w:r w:rsidR="000350B3" w:rsidRPr="00E65F3B">
        <w:rPr>
          <w:rFonts w:ascii="Calibri" w:eastAsia="Calibri" w:hAnsi="Calibri" w:cs="Calibri"/>
          <w:b/>
          <w:bCs/>
          <w:sz w:val="22"/>
          <w:szCs w:val="20"/>
        </w:rPr>
        <w:t xml:space="preserve"> 5</w:t>
      </w:r>
      <w:r w:rsidR="0081067E" w:rsidRPr="00E65F3B">
        <w:rPr>
          <w:rFonts w:ascii="Calibri" w:eastAsia="Calibri" w:hAnsi="Calibri" w:cs="Calibri"/>
          <w:b/>
          <w:bCs/>
          <w:sz w:val="22"/>
          <w:szCs w:val="20"/>
        </w:rPr>
        <w:t>.2</w:t>
      </w:r>
      <w:r w:rsidR="009E217E">
        <w:rPr>
          <w:rFonts w:ascii="Calibri" w:eastAsia="Calibri" w:hAnsi="Calibri" w:cs="Calibri"/>
          <w:b/>
          <w:bCs/>
          <w:sz w:val="22"/>
          <w:szCs w:val="20"/>
        </w:rPr>
        <w:t>27</w:t>
      </w:r>
      <w:r w:rsidR="000350B3" w:rsidRPr="00E65F3B">
        <w:rPr>
          <w:rFonts w:ascii="Calibri" w:eastAsia="Calibri" w:hAnsi="Calibri" w:cs="Calibri"/>
          <w:b/>
          <w:bCs/>
          <w:sz w:val="22"/>
          <w:szCs w:val="20"/>
        </w:rPr>
        <w:t xml:space="preserve"> </w:t>
      </w:r>
      <w:r w:rsidR="000350B3" w:rsidRPr="00E65F3B">
        <w:rPr>
          <w:rFonts w:ascii="Calibri" w:eastAsia="Calibri" w:hAnsi="Calibri" w:cs="Calibri"/>
          <w:b/>
          <w:sz w:val="22"/>
          <w:szCs w:val="20"/>
        </w:rPr>
        <w:t>euro al metro quadro</w:t>
      </w:r>
      <w:r w:rsidR="0081067E">
        <w:rPr>
          <w:rFonts w:ascii="Calibri" w:eastAsia="Calibri" w:hAnsi="Calibri" w:cs="Calibri"/>
          <w:bCs/>
          <w:sz w:val="22"/>
          <w:szCs w:val="20"/>
        </w:rPr>
        <w:t>.</w:t>
      </w:r>
    </w:p>
    <w:p w:rsidR="00E37FE7" w:rsidRDefault="000350B3" w:rsidP="00E658F0">
      <w:pPr>
        <w:pStyle w:val="p1"/>
        <w:jc w:val="both"/>
        <w:rPr>
          <w:rFonts w:ascii="Calibri" w:eastAsia="Calibri" w:hAnsi="Calibri" w:cs="Calibri"/>
          <w:bCs/>
          <w:sz w:val="22"/>
          <w:szCs w:val="20"/>
        </w:rPr>
      </w:pPr>
      <w:r>
        <w:rPr>
          <w:rFonts w:ascii="Calibri" w:eastAsia="Calibri" w:hAnsi="Calibri" w:cs="Calibri"/>
          <w:bCs/>
          <w:sz w:val="22"/>
          <w:szCs w:val="20"/>
        </w:rPr>
        <w:t>Dal raffronto fra il prezzo dell’OMI (3.</w:t>
      </w:r>
      <w:r w:rsidR="009E217E">
        <w:rPr>
          <w:rFonts w:ascii="Calibri" w:eastAsia="Calibri" w:hAnsi="Calibri" w:cs="Calibri"/>
          <w:bCs/>
          <w:sz w:val="22"/>
          <w:szCs w:val="20"/>
        </w:rPr>
        <w:t>796</w:t>
      </w:r>
      <w:r>
        <w:rPr>
          <w:rFonts w:ascii="Calibri" w:eastAsia="Calibri" w:hAnsi="Calibri" w:cs="Calibri"/>
          <w:bCs/>
          <w:sz w:val="22"/>
          <w:szCs w:val="20"/>
        </w:rPr>
        <w:t xml:space="preserve"> €/mq)</w:t>
      </w:r>
      <w:r w:rsidR="00E65F3B">
        <w:rPr>
          <w:rFonts w:ascii="Calibri" w:eastAsia="Calibri" w:hAnsi="Calibri" w:cs="Calibri"/>
          <w:bCs/>
          <w:sz w:val="22"/>
          <w:szCs w:val="20"/>
        </w:rPr>
        <w:t>,</w:t>
      </w:r>
      <w:r>
        <w:rPr>
          <w:rFonts w:ascii="Calibri" w:eastAsia="Calibri" w:hAnsi="Calibri" w:cs="Calibri"/>
          <w:bCs/>
          <w:sz w:val="22"/>
          <w:szCs w:val="20"/>
        </w:rPr>
        <w:t xml:space="preserve"> che sostanzialmente rappresenta il valore dell’usato</w:t>
      </w:r>
      <w:r w:rsidR="00E65F3B">
        <w:rPr>
          <w:rFonts w:ascii="Calibri" w:eastAsia="Calibri" w:hAnsi="Calibri" w:cs="Calibri"/>
          <w:bCs/>
          <w:sz w:val="22"/>
          <w:szCs w:val="20"/>
        </w:rPr>
        <w:t>,</w:t>
      </w:r>
      <w:r>
        <w:rPr>
          <w:rFonts w:ascii="Calibri" w:eastAsia="Calibri" w:hAnsi="Calibri" w:cs="Calibri"/>
          <w:bCs/>
          <w:sz w:val="22"/>
          <w:szCs w:val="20"/>
        </w:rPr>
        <w:t xml:space="preserve"> e quello di Sigest (5.2</w:t>
      </w:r>
      <w:r w:rsidR="009E217E">
        <w:rPr>
          <w:rFonts w:ascii="Calibri" w:eastAsia="Calibri" w:hAnsi="Calibri" w:cs="Calibri"/>
          <w:bCs/>
          <w:sz w:val="22"/>
          <w:szCs w:val="20"/>
        </w:rPr>
        <w:t>27</w:t>
      </w:r>
      <w:r>
        <w:rPr>
          <w:rFonts w:ascii="Calibri" w:eastAsia="Calibri" w:hAnsi="Calibri" w:cs="Calibri"/>
          <w:bCs/>
          <w:sz w:val="22"/>
          <w:szCs w:val="20"/>
        </w:rPr>
        <w:t xml:space="preserve"> €/mq) che si riferisce al prodotto nuovo, si rileva un incremento </w:t>
      </w:r>
      <w:r w:rsidR="00E65F3B">
        <w:rPr>
          <w:rFonts w:ascii="Calibri" w:eastAsia="Calibri" w:hAnsi="Calibri" w:cs="Calibri"/>
          <w:bCs/>
          <w:sz w:val="22"/>
          <w:szCs w:val="20"/>
        </w:rPr>
        <w:t>del</w:t>
      </w:r>
      <w:r>
        <w:rPr>
          <w:rFonts w:ascii="Calibri" w:eastAsia="Calibri" w:hAnsi="Calibri" w:cs="Calibri"/>
          <w:bCs/>
          <w:sz w:val="22"/>
          <w:szCs w:val="20"/>
        </w:rPr>
        <w:t xml:space="preserve"> 38%</w:t>
      </w:r>
      <w:r w:rsidR="00E65F3B">
        <w:rPr>
          <w:rFonts w:ascii="Calibri" w:eastAsia="Calibri" w:hAnsi="Calibri" w:cs="Calibri"/>
          <w:bCs/>
          <w:sz w:val="22"/>
          <w:szCs w:val="20"/>
        </w:rPr>
        <w:t xml:space="preserve"> circa</w:t>
      </w:r>
      <w:r w:rsidR="00E37FE7">
        <w:rPr>
          <w:rFonts w:ascii="Calibri" w:eastAsia="Calibri" w:hAnsi="Calibri" w:cs="Calibri"/>
          <w:bCs/>
          <w:sz w:val="22"/>
          <w:szCs w:val="20"/>
        </w:rPr>
        <w:t>.</w:t>
      </w:r>
    </w:p>
    <w:p w:rsidR="000350B3" w:rsidRDefault="000350B3" w:rsidP="00E658F0">
      <w:pPr>
        <w:pStyle w:val="p1"/>
        <w:jc w:val="both"/>
        <w:rPr>
          <w:rFonts w:ascii="Calibri" w:eastAsia="Calibri" w:hAnsi="Calibri" w:cs="Calibri"/>
          <w:bCs/>
          <w:sz w:val="22"/>
          <w:szCs w:val="20"/>
        </w:rPr>
      </w:pPr>
    </w:p>
    <w:p w:rsidR="009E217E" w:rsidRDefault="0081067E" w:rsidP="00E658F0">
      <w:pPr>
        <w:pStyle w:val="p1"/>
        <w:jc w:val="both"/>
        <w:rPr>
          <w:rFonts w:ascii="Calibri" w:eastAsia="Calibri" w:hAnsi="Calibri" w:cs="Calibri"/>
          <w:bCs/>
          <w:sz w:val="22"/>
          <w:szCs w:val="20"/>
        </w:rPr>
      </w:pPr>
      <w:r>
        <w:rPr>
          <w:rFonts w:ascii="Calibri" w:eastAsia="Calibri" w:hAnsi="Calibri" w:cs="Calibri"/>
          <w:bCs/>
          <w:sz w:val="22"/>
          <w:szCs w:val="20"/>
        </w:rPr>
        <w:t xml:space="preserve"> </w:t>
      </w:r>
    </w:p>
    <w:p w:rsidR="00D16D41" w:rsidRPr="00D16D41" w:rsidRDefault="00E658F0" w:rsidP="00E658F0">
      <w:pPr>
        <w:pStyle w:val="p1"/>
        <w:jc w:val="both"/>
        <w:rPr>
          <w:rFonts w:ascii="Calibri" w:eastAsia="Calibri" w:hAnsi="Calibri" w:cs="Calibri"/>
          <w:i/>
          <w:iCs/>
          <w:sz w:val="22"/>
          <w:szCs w:val="20"/>
        </w:rPr>
      </w:pPr>
      <w:r w:rsidRPr="00E658F0">
        <w:rPr>
          <w:rFonts w:ascii="Calibri" w:eastAsia="Calibri" w:hAnsi="Calibri" w:cs="Calibri"/>
          <w:sz w:val="22"/>
          <w:szCs w:val="20"/>
        </w:rPr>
        <w:t>“</w:t>
      </w:r>
      <w:r w:rsidRPr="00E658F0">
        <w:rPr>
          <w:rFonts w:ascii="Calibri" w:eastAsia="Calibri" w:hAnsi="Calibri" w:cs="Calibri"/>
          <w:i/>
          <w:iCs/>
          <w:sz w:val="22"/>
          <w:szCs w:val="20"/>
        </w:rPr>
        <w:t>La ricerca conferma i trend già oggi in corso </w:t>
      </w:r>
      <w:r w:rsidRPr="00E658F0">
        <w:rPr>
          <w:rFonts w:ascii="Calibri" w:eastAsia="Calibri" w:hAnsi="Calibri" w:cs="Calibri"/>
          <w:sz w:val="22"/>
          <w:szCs w:val="20"/>
        </w:rPr>
        <w:t xml:space="preserve">– afferma </w:t>
      </w:r>
      <w:r w:rsidR="00544F37">
        <w:rPr>
          <w:rFonts w:ascii="Calibri" w:eastAsia="Calibri" w:hAnsi="Calibri" w:cs="Calibri"/>
          <w:sz w:val="22"/>
          <w:szCs w:val="20"/>
        </w:rPr>
        <w:t>Francesca Bombelli</w:t>
      </w:r>
      <w:r w:rsidRPr="00E658F0">
        <w:rPr>
          <w:rFonts w:ascii="Calibri" w:eastAsia="Calibri" w:hAnsi="Calibri" w:cs="Calibri"/>
          <w:sz w:val="22"/>
          <w:szCs w:val="20"/>
        </w:rPr>
        <w:t xml:space="preserve">, </w:t>
      </w:r>
      <w:r w:rsidR="00544F37">
        <w:rPr>
          <w:rFonts w:ascii="Calibri" w:eastAsia="Calibri" w:hAnsi="Calibri" w:cs="Calibri"/>
          <w:sz w:val="22"/>
          <w:szCs w:val="20"/>
        </w:rPr>
        <w:t>responsabile del Centro Studi</w:t>
      </w:r>
      <w:r w:rsidRPr="00E658F0">
        <w:rPr>
          <w:rFonts w:ascii="Calibri" w:eastAsia="Calibri" w:hAnsi="Calibri" w:cs="Calibri"/>
          <w:sz w:val="22"/>
          <w:szCs w:val="20"/>
        </w:rPr>
        <w:t xml:space="preserve"> di Sigest –</w:t>
      </w:r>
      <w:r w:rsidR="00E65F3B">
        <w:rPr>
          <w:rFonts w:ascii="Calibri" w:eastAsia="Calibri" w:hAnsi="Calibri" w:cs="Calibri"/>
          <w:sz w:val="22"/>
          <w:szCs w:val="20"/>
        </w:rPr>
        <w:t>,</w:t>
      </w:r>
      <w:r w:rsidRPr="00E658F0">
        <w:rPr>
          <w:rFonts w:ascii="Calibri" w:eastAsia="Calibri" w:hAnsi="Calibri" w:cs="Calibri"/>
          <w:sz w:val="22"/>
          <w:szCs w:val="20"/>
        </w:rPr>
        <w:t> </w:t>
      </w:r>
      <w:r w:rsidRPr="00E658F0">
        <w:rPr>
          <w:rFonts w:ascii="Calibri" w:eastAsia="Calibri" w:hAnsi="Calibri" w:cs="Calibri"/>
          <w:i/>
          <w:iCs/>
          <w:sz w:val="22"/>
          <w:szCs w:val="20"/>
        </w:rPr>
        <w:t>che evidenziano un incremento graduale dei prezzi in Milano</w:t>
      </w:r>
      <w:r w:rsidR="008A0240">
        <w:rPr>
          <w:rFonts w:ascii="Calibri" w:eastAsia="Calibri" w:hAnsi="Calibri" w:cs="Calibri"/>
          <w:i/>
          <w:iCs/>
          <w:sz w:val="22"/>
          <w:szCs w:val="20"/>
        </w:rPr>
        <w:t xml:space="preserve"> </w:t>
      </w:r>
      <w:r w:rsidRPr="00E658F0">
        <w:rPr>
          <w:rFonts w:ascii="Calibri" w:eastAsia="Calibri" w:hAnsi="Calibri" w:cs="Calibri"/>
          <w:i/>
          <w:iCs/>
          <w:sz w:val="22"/>
          <w:szCs w:val="20"/>
        </w:rPr>
        <w:t xml:space="preserve">dovuto alla scarsa disponibilità di immobili nel centro storico cittadino e dalla selettività del mercato </w:t>
      </w:r>
      <w:r w:rsidR="00E65F3B">
        <w:rPr>
          <w:rFonts w:ascii="Calibri" w:eastAsia="Calibri" w:hAnsi="Calibri" w:cs="Calibri"/>
          <w:i/>
          <w:iCs/>
          <w:sz w:val="22"/>
          <w:szCs w:val="20"/>
        </w:rPr>
        <w:t>cittadino</w:t>
      </w:r>
      <w:r w:rsidRPr="00E658F0">
        <w:rPr>
          <w:rFonts w:ascii="Calibri" w:eastAsia="Calibri" w:hAnsi="Calibri" w:cs="Calibri"/>
          <w:i/>
          <w:iCs/>
          <w:sz w:val="22"/>
          <w:szCs w:val="20"/>
        </w:rPr>
        <w:t xml:space="preserve">. Confrontando i dati di crescita delle compravendite immobiliari di Milano degli ultimi 5 anni con i dati dello stesso periodo </w:t>
      </w:r>
      <w:r w:rsidR="00E65F3B">
        <w:rPr>
          <w:rFonts w:ascii="Calibri" w:eastAsia="Calibri" w:hAnsi="Calibri" w:cs="Calibri"/>
          <w:i/>
          <w:iCs/>
          <w:sz w:val="22"/>
          <w:szCs w:val="20"/>
        </w:rPr>
        <w:t>d</w:t>
      </w:r>
      <w:r w:rsidRPr="00E658F0">
        <w:rPr>
          <w:rFonts w:ascii="Calibri" w:eastAsia="Calibri" w:hAnsi="Calibri" w:cs="Calibri"/>
          <w:i/>
          <w:iCs/>
          <w:sz w:val="22"/>
          <w:szCs w:val="20"/>
        </w:rPr>
        <w:t xml:space="preserve">elle grandi città e </w:t>
      </w:r>
      <w:r w:rsidR="00E65F3B">
        <w:rPr>
          <w:rFonts w:ascii="Calibri" w:eastAsia="Calibri" w:hAnsi="Calibri" w:cs="Calibri"/>
          <w:i/>
          <w:iCs/>
          <w:sz w:val="22"/>
          <w:szCs w:val="20"/>
        </w:rPr>
        <w:t>d</w:t>
      </w:r>
      <w:r w:rsidRPr="00E658F0">
        <w:rPr>
          <w:rFonts w:ascii="Calibri" w:eastAsia="Calibri" w:hAnsi="Calibri" w:cs="Calibri"/>
          <w:i/>
          <w:iCs/>
          <w:sz w:val="22"/>
          <w:szCs w:val="20"/>
        </w:rPr>
        <w:t>elle Province italiane, è evidente come il mercato milanese sia in grado di anticipare i trend dell’intero Paese</w:t>
      </w:r>
      <w:r w:rsidRPr="00E658F0">
        <w:rPr>
          <w:rFonts w:ascii="Calibri" w:eastAsia="Calibri" w:hAnsi="Calibri" w:cs="Calibri"/>
          <w:sz w:val="22"/>
          <w:szCs w:val="20"/>
        </w:rPr>
        <w:t>. </w:t>
      </w:r>
      <w:r w:rsidR="00D16D41" w:rsidRPr="00D16D41">
        <w:rPr>
          <w:rFonts w:ascii="Calibri" w:eastAsia="Calibri" w:hAnsi="Calibri" w:cs="Calibri"/>
          <w:i/>
          <w:sz w:val="22"/>
          <w:szCs w:val="20"/>
        </w:rPr>
        <w:t>Normalmente un ciclo di crescita immobiliare dura circa 7 o 8 anni</w:t>
      </w:r>
      <w:r w:rsidR="00F24E45">
        <w:rPr>
          <w:rFonts w:ascii="Calibri" w:eastAsia="Calibri" w:hAnsi="Calibri" w:cs="Calibri"/>
          <w:i/>
          <w:sz w:val="22"/>
          <w:szCs w:val="20"/>
        </w:rPr>
        <w:t xml:space="preserve"> prima he i valori si assestino</w:t>
      </w:r>
      <w:r w:rsidR="00D16D41" w:rsidRPr="00D16D41">
        <w:rPr>
          <w:rFonts w:ascii="Calibri" w:eastAsia="Calibri" w:hAnsi="Calibri" w:cs="Calibri"/>
          <w:i/>
          <w:sz w:val="22"/>
          <w:szCs w:val="20"/>
        </w:rPr>
        <w:t xml:space="preserve">, e </w:t>
      </w:r>
      <w:r w:rsidR="00D16D41" w:rsidRPr="00D16D41">
        <w:rPr>
          <w:rFonts w:ascii="Calibri" w:eastAsia="Calibri" w:hAnsi="Calibri" w:cs="Calibri"/>
          <w:i/>
          <w:iCs/>
          <w:sz w:val="22"/>
          <w:szCs w:val="20"/>
        </w:rPr>
        <w:t>l’effetto anticipatore del mercato milanese</w:t>
      </w:r>
      <w:r w:rsidR="00D16D41">
        <w:rPr>
          <w:rFonts w:ascii="Calibri" w:eastAsia="Calibri" w:hAnsi="Calibri" w:cs="Calibri"/>
          <w:i/>
          <w:iCs/>
          <w:sz w:val="22"/>
          <w:szCs w:val="20"/>
        </w:rPr>
        <w:t xml:space="preserve">, che oggi mostra </w:t>
      </w:r>
      <w:r w:rsidR="00D16D41" w:rsidRPr="00E658F0">
        <w:rPr>
          <w:rFonts w:ascii="Calibri" w:eastAsia="Calibri" w:hAnsi="Calibri" w:cs="Calibri"/>
          <w:i/>
          <w:iCs/>
          <w:sz w:val="22"/>
          <w:szCs w:val="20"/>
        </w:rPr>
        <w:t>una stabilizzazione del numero di compravendite</w:t>
      </w:r>
      <w:r w:rsidR="00D16D41">
        <w:rPr>
          <w:rFonts w:ascii="Calibri" w:eastAsia="Calibri" w:hAnsi="Calibri" w:cs="Calibri"/>
          <w:i/>
          <w:iCs/>
          <w:sz w:val="22"/>
          <w:szCs w:val="20"/>
        </w:rPr>
        <w:t>,</w:t>
      </w:r>
      <w:r w:rsidR="00D16D41" w:rsidRPr="00D16D41">
        <w:rPr>
          <w:rFonts w:ascii="Calibri" w:eastAsia="Calibri" w:hAnsi="Calibri" w:cs="Calibri"/>
          <w:i/>
          <w:iCs/>
          <w:sz w:val="22"/>
          <w:szCs w:val="20"/>
        </w:rPr>
        <w:t xml:space="preserve"> ci porta a credere che l’importante crescita </w:t>
      </w:r>
      <w:r w:rsidR="00D16D41">
        <w:rPr>
          <w:rFonts w:ascii="Calibri" w:eastAsia="Calibri" w:hAnsi="Calibri" w:cs="Calibri"/>
          <w:i/>
          <w:iCs/>
          <w:sz w:val="22"/>
          <w:szCs w:val="20"/>
        </w:rPr>
        <w:t xml:space="preserve">del mercato </w:t>
      </w:r>
      <w:r w:rsidR="00F24E45">
        <w:rPr>
          <w:rFonts w:ascii="Calibri" w:eastAsia="Calibri" w:hAnsi="Calibri" w:cs="Calibri"/>
          <w:i/>
          <w:iCs/>
          <w:sz w:val="22"/>
          <w:szCs w:val="20"/>
        </w:rPr>
        <w:t>del capoluogo lombardo</w:t>
      </w:r>
      <w:r w:rsidR="00D16D41" w:rsidRPr="00D16D41">
        <w:rPr>
          <w:rFonts w:ascii="Calibri" w:eastAsia="Calibri" w:hAnsi="Calibri" w:cs="Calibri"/>
          <w:i/>
          <w:iCs/>
          <w:sz w:val="22"/>
          <w:szCs w:val="20"/>
        </w:rPr>
        <w:t xml:space="preserve"> </w:t>
      </w:r>
      <w:r w:rsidR="00D16D41">
        <w:rPr>
          <w:rFonts w:ascii="Calibri" w:eastAsia="Calibri" w:hAnsi="Calibri" w:cs="Calibri"/>
          <w:i/>
          <w:iCs/>
          <w:sz w:val="22"/>
          <w:szCs w:val="20"/>
        </w:rPr>
        <w:t>d</w:t>
      </w:r>
      <w:r w:rsidR="00D16D41" w:rsidRPr="00D16D41">
        <w:rPr>
          <w:rFonts w:ascii="Calibri" w:eastAsia="Calibri" w:hAnsi="Calibri" w:cs="Calibri"/>
          <w:i/>
          <w:iCs/>
          <w:sz w:val="22"/>
          <w:szCs w:val="20"/>
        </w:rPr>
        <w:t>e</w:t>
      </w:r>
      <w:r w:rsidR="00F24E45">
        <w:rPr>
          <w:rFonts w:ascii="Calibri" w:eastAsia="Calibri" w:hAnsi="Calibri" w:cs="Calibri"/>
          <w:i/>
          <w:iCs/>
          <w:sz w:val="22"/>
          <w:szCs w:val="20"/>
        </w:rPr>
        <w:t xml:space="preserve">ll’ultimo ciclo </w:t>
      </w:r>
      <w:r w:rsidR="00D16D41" w:rsidRPr="00D16D41">
        <w:rPr>
          <w:rFonts w:ascii="Calibri" w:eastAsia="Calibri" w:hAnsi="Calibri" w:cs="Calibri"/>
          <w:i/>
          <w:iCs/>
          <w:sz w:val="22"/>
          <w:szCs w:val="20"/>
        </w:rPr>
        <w:t>toccherà anche le grandi città e la Provincia con un ritmo simile.</w:t>
      </w:r>
    </w:p>
    <w:p w:rsidR="00E658F0" w:rsidRPr="00E658F0" w:rsidRDefault="00E658F0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 w:rsidRPr="00E658F0">
        <w:rPr>
          <w:rFonts w:ascii="Calibri" w:eastAsia="Calibri" w:hAnsi="Calibri" w:cs="Calibri"/>
          <w:i/>
          <w:iCs/>
          <w:sz w:val="22"/>
          <w:szCs w:val="20"/>
        </w:rPr>
        <w:t xml:space="preserve">Questo effetto </w:t>
      </w:r>
      <w:r w:rsidR="00F24E45">
        <w:rPr>
          <w:rFonts w:ascii="Calibri" w:eastAsia="Calibri" w:hAnsi="Calibri" w:cs="Calibri"/>
          <w:i/>
          <w:iCs/>
          <w:sz w:val="22"/>
          <w:szCs w:val="20"/>
        </w:rPr>
        <w:t xml:space="preserve">vaticinante </w:t>
      </w:r>
      <w:r w:rsidRPr="00E658F0">
        <w:rPr>
          <w:rFonts w:ascii="Calibri" w:eastAsia="Calibri" w:hAnsi="Calibri" w:cs="Calibri"/>
          <w:i/>
          <w:iCs/>
          <w:sz w:val="22"/>
          <w:szCs w:val="20"/>
        </w:rPr>
        <w:t>nei confronti del resto del Paese potrebbe essere definito “onda lunga di Milano</w:t>
      </w:r>
      <w:r w:rsidRPr="00F24E45">
        <w:rPr>
          <w:rFonts w:ascii="Calibri" w:eastAsia="Calibri" w:hAnsi="Calibri" w:cs="Calibri"/>
          <w:i/>
          <w:sz w:val="22"/>
          <w:szCs w:val="20"/>
        </w:rPr>
        <w:t>”</w:t>
      </w:r>
      <w:r w:rsidR="00F24E45" w:rsidRPr="00F24E45">
        <w:rPr>
          <w:rFonts w:ascii="Calibri" w:eastAsia="Calibri" w:hAnsi="Calibri" w:cs="Calibri"/>
          <w:i/>
          <w:sz w:val="22"/>
          <w:szCs w:val="20"/>
        </w:rPr>
        <w:t>, anche se per avere conferma delle supposizioni bisognerà attendere i dati del secondo trimestre</w:t>
      </w:r>
      <w:r w:rsidR="00F24E45">
        <w:rPr>
          <w:rFonts w:ascii="Calibri" w:eastAsia="Calibri" w:hAnsi="Calibri" w:cs="Calibri"/>
          <w:sz w:val="22"/>
          <w:szCs w:val="20"/>
        </w:rPr>
        <w:t>”</w:t>
      </w:r>
      <w:r w:rsidRPr="00E658F0">
        <w:rPr>
          <w:rFonts w:ascii="Calibri" w:eastAsia="Calibri" w:hAnsi="Calibri" w:cs="Calibri"/>
          <w:sz w:val="22"/>
          <w:szCs w:val="20"/>
        </w:rPr>
        <w:t>.</w:t>
      </w:r>
    </w:p>
    <w:p w:rsidR="00E658F0" w:rsidRDefault="00E658F0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 w:rsidRPr="00E658F0">
        <w:rPr>
          <w:rFonts w:ascii="Calibri" w:eastAsia="Calibri" w:hAnsi="Calibri" w:cs="Calibri"/>
          <w:sz w:val="22"/>
          <w:szCs w:val="20"/>
        </w:rPr>
        <w:t> </w:t>
      </w:r>
    </w:p>
    <w:p w:rsidR="00B733A0" w:rsidRDefault="00B733A0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</w:p>
    <w:p w:rsidR="00B733A0" w:rsidRDefault="00B733A0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</w:p>
    <w:p w:rsidR="00B733A0" w:rsidRPr="00E658F0" w:rsidRDefault="00B733A0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</w:p>
    <w:p w:rsidR="00E658F0" w:rsidRPr="00E658F0" w:rsidRDefault="00E658F0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 w:rsidRPr="00E658F0">
        <w:rPr>
          <w:rFonts w:ascii="Calibri" w:eastAsia="Calibri" w:hAnsi="Calibri" w:cs="Calibri"/>
          <w:b/>
          <w:bCs/>
          <w:sz w:val="22"/>
          <w:szCs w:val="20"/>
          <w:u w:val="single"/>
        </w:rPr>
        <w:lastRenderedPageBreak/>
        <w:t xml:space="preserve">Numero di transizioni </w:t>
      </w:r>
      <w:r w:rsidR="00736E81">
        <w:rPr>
          <w:rFonts w:ascii="Calibri" w:eastAsia="Calibri" w:hAnsi="Calibri" w:cs="Calibri"/>
          <w:b/>
          <w:bCs/>
          <w:sz w:val="22"/>
          <w:szCs w:val="20"/>
          <w:u w:val="single"/>
        </w:rPr>
        <w:t>2018</w:t>
      </w:r>
    </w:p>
    <w:p w:rsidR="00CF0BB4" w:rsidRDefault="00E658F0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 w:rsidRPr="00E658F0">
        <w:rPr>
          <w:rFonts w:ascii="Calibri" w:eastAsia="Calibri" w:hAnsi="Calibri" w:cs="Calibri"/>
          <w:sz w:val="22"/>
          <w:szCs w:val="20"/>
        </w:rPr>
        <w:t xml:space="preserve">Si registrano valori positivi anche considerando </w:t>
      </w:r>
      <w:r w:rsidRPr="00B733A0">
        <w:rPr>
          <w:rFonts w:ascii="Calibri" w:eastAsia="Calibri" w:hAnsi="Calibri" w:cs="Calibri"/>
          <w:sz w:val="22"/>
          <w:szCs w:val="20"/>
        </w:rPr>
        <w:t>il </w:t>
      </w:r>
      <w:r w:rsidRPr="00B733A0">
        <w:rPr>
          <w:rFonts w:ascii="Calibri" w:eastAsia="Calibri" w:hAnsi="Calibri" w:cs="Calibri"/>
          <w:bCs/>
          <w:sz w:val="22"/>
          <w:szCs w:val="20"/>
        </w:rPr>
        <w:t>numero di transazioni normalizzate</w:t>
      </w:r>
      <w:r w:rsidRPr="00B733A0">
        <w:rPr>
          <w:rFonts w:ascii="Calibri" w:eastAsia="Calibri" w:hAnsi="Calibri" w:cs="Calibri"/>
          <w:sz w:val="22"/>
          <w:szCs w:val="20"/>
        </w:rPr>
        <w:t> </w:t>
      </w:r>
      <w:r w:rsidRPr="00B733A0">
        <w:rPr>
          <w:rFonts w:ascii="Calibri" w:eastAsia="Calibri" w:hAnsi="Calibri" w:cs="Calibri"/>
          <w:bCs/>
          <w:sz w:val="22"/>
          <w:szCs w:val="20"/>
        </w:rPr>
        <w:t>(NTN)</w:t>
      </w:r>
      <w:r w:rsidRPr="00B733A0">
        <w:rPr>
          <w:rFonts w:ascii="Calibri" w:eastAsia="Calibri" w:hAnsi="Calibri" w:cs="Calibri"/>
          <w:sz w:val="22"/>
          <w:szCs w:val="20"/>
        </w:rPr>
        <w:t>.</w:t>
      </w:r>
      <w:r w:rsidRPr="00E658F0">
        <w:rPr>
          <w:rFonts w:ascii="Calibri" w:eastAsia="Calibri" w:hAnsi="Calibri" w:cs="Calibri"/>
          <w:sz w:val="22"/>
          <w:szCs w:val="20"/>
        </w:rPr>
        <w:t xml:space="preserve"> </w:t>
      </w:r>
    </w:p>
    <w:p w:rsidR="0003287C" w:rsidRDefault="00CF0BB4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>
        <w:rPr>
          <w:rFonts w:ascii="Calibri" w:eastAsia="Calibri" w:hAnsi="Calibri" w:cs="Calibri"/>
          <w:sz w:val="22"/>
          <w:szCs w:val="20"/>
        </w:rPr>
        <w:t>A</w:t>
      </w:r>
      <w:r w:rsidR="00E658F0" w:rsidRPr="00E658F0">
        <w:rPr>
          <w:rFonts w:ascii="Calibri" w:eastAsia="Calibri" w:hAnsi="Calibri" w:cs="Calibri"/>
          <w:sz w:val="22"/>
          <w:szCs w:val="20"/>
        </w:rPr>
        <w:t xml:space="preserve"> </w:t>
      </w:r>
      <w:r w:rsidR="00E658F0" w:rsidRPr="00B733A0">
        <w:rPr>
          <w:rFonts w:ascii="Calibri" w:eastAsia="Calibri" w:hAnsi="Calibri" w:cs="Calibri"/>
          <w:sz w:val="22"/>
          <w:szCs w:val="20"/>
        </w:rPr>
        <w:t>livello nazionale</w:t>
      </w:r>
      <w:r w:rsidR="00E658F0" w:rsidRPr="00E658F0">
        <w:rPr>
          <w:rFonts w:ascii="Calibri" w:eastAsia="Calibri" w:hAnsi="Calibri" w:cs="Calibri"/>
          <w:sz w:val="22"/>
          <w:szCs w:val="20"/>
        </w:rPr>
        <w:t xml:space="preserve"> il numero di transazioni residenziali è cresciuto del 6.5% nel 2018 rispetto all’anno precedente, per un totale di 578.647. </w:t>
      </w:r>
    </w:p>
    <w:p w:rsidR="00E658F0" w:rsidRDefault="00E658F0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 w:rsidRPr="00B733A0">
        <w:rPr>
          <w:rFonts w:ascii="Calibri" w:eastAsia="Calibri" w:hAnsi="Calibri" w:cs="Calibri"/>
          <w:sz w:val="22"/>
          <w:szCs w:val="20"/>
        </w:rPr>
        <w:t>A Roma le</w:t>
      </w:r>
      <w:r w:rsidRPr="00E658F0">
        <w:rPr>
          <w:rFonts w:ascii="Calibri" w:eastAsia="Calibri" w:hAnsi="Calibri" w:cs="Calibri"/>
          <w:sz w:val="22"/>
          <w:szCs w:val="20"/>
        </w:rPr>
        <w:t xml:space="preserve"> transazioni crescono del 3% rispetto al 2017, con due dati interessanti su trilocali e quadrilocali, che crescono significativamente del 7.4% e 5.5%. A Milano il numero di transazioni cresce lievemente più che a Roma (3</w:t>
      </w:r>
      <w:r w:rsidR="00DD2728">
        <w:rPr>
          <w:rFonts w:ascii="Calibri" w:eastAsia="Calibri" w:hAnsi="Calibri" w:cs="Calibri"/>
          <w:sz w:val="22"/>
          <w:szCs w:val="20"/>
        </w:rPr>
        <w:t>,</w:t>
      </w:r>
      <w:r w:rsidRPr="00E658F0">
        <w:rPr>
          <w:rFonts w:ascii="Calibri" w:eastAsia="Calibri" w:hAnsi="Calibri" w:cs="Calibri"/>
          <w:sz w:val="22"/>
          <w:szCs w:val="20"/>
        </w:rPr>
        <w:t>4%) rispetto all’anno precedente, anche se il dato più interessante è la crescita delle transazioni di monolocali al 13.2% rispetto al 2017. Confrontando le due città, seppur il livello di crescita generale delle transazioni sia quasi pari, è evidente come i due mercati principali del Paese presentino dimensione e dinamicità diverse: le superfici richieste sono molto differenti, di conseguenza anche gli ambiti in cui si muove la variazione non sono gli stessi.</w:t>
      </w:r>
    </w:p>
    <w:p w:rsidR="00B733A0" w:rsidRDefault="00B733A0" w:rsidP="00E658F0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</w:p>
    <w:p w:rsidR="0003287C" w:rsidRDefault="0003287C" w:rsidP="001F2809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>
        <w:rPr>
          <w:rFonts w:ascii="Calibri" w:eastAsia="Calibri" w:hAnsi="Calibri" w:cs="Calibri"/>
          <w:sz w:val="22"/>
          <w:szCs w:val="20"/>
        </w:rPr>
        <w:t xml:space="preserve">Facendo un </w:t>
      </w:r>
      <w:r w:rsidR="00DD2728" w:rsidRPr="00DD2728">
        <w:rPr>
          <w:rFonts w:ascii="Calibri" w:eastAsia="Calibri" w:hAnsi="Calibri" w:cs="Calibri"/>
          <w:i/>
          <w:sz w:val="22"/>
          <w:szCs w:val="20"/>
        </w:rPr>
        <w:t>excursus</w:t>
      </w:r>
      <w:r>
        <w:rPr>
          <w:rFonts w:ascii="Calibri" w:eastAsia="Calibri" w:hAnsi="Calibri" w:cs="Calibri"/>
          <w:sz w:val="22"/>
          <w:szCs w:val="20"/>
        </w:rPr>
        <w:t xml:space="preserve"> sulle </w:t>
      </w:r>
      <w:r w:rsidR="001F2809" w:rsidRPr="00E658F0">
        <w:rPr>
          <w:rFonts w:ascii="Calibri" w:eastAsia="Calibri" w:hAnsi="Calibri" w:cs="Calibri"/>
          <w:b/>
          <w:bCs/>
          <w:sz w:val="22"/>
          <w:szCs w:val="20"/>
        </w:rPr>
        <w:t>tipologi</w:t>
      </w:r>
      <w:r w:rsidR="001F2809">
        <w:rPr>
          <w:rFonts w:ascii="Calibri" w:eastAsia="Calibri" w:hAnsi="Calibri" w:cs="Calibri"/>
          <w:b/>
          <w:bCs/>
          <w:sz w:val="22"/>
          <w:szCs w:val="20"/>
        </w:rPr>
        <w:t>e più richieste</w:t>
      </w:r>
      <w:r>
        <w:rPr>
          <w:rFonts w:ascii="Calibri" w:eastAsia="Calibri" w:hAnsi="Calibri" w:cs="Calibri"/>
          <w:b/>
          <w:bCs/>
          <w:sz w:val="22"/>
          <w:szCs w:val="20"/>
        </w:rPr>
        <w:t xml:space="preserve"> </w:t>
      </w:r>
      <w:r w:rsidRPr="00B733A0">
        <w:rPr>
          <w:rFonts w:ascii="Calibri" w:eastAsia="Calibri" w:hAnsi="Calibri" w:cs="Calibri"/>
          <w:bCs/>
          <w:sz w:val="22"/>
          <w:szCs w:val="20"/>
        </w:rPr>
        <w:t>a Roma e Milano</w:t>
      </w:r>
      <w:r>
        <w:rPr>
          <w:rFonts w:ascii="Calibri" w:eastAsia="Calibri" w:hAnsi="Calibri" w:cs="Calibri"/>
          <w:b/>
          <w:bCs/>
          <w:sz w:val="22"/>
          <w:szCs w:val="20"/>
        </w:rPr>
        <w:t xml:space="preserve"> </w:t>
      </w:r>
      <w:r w:rsidR="00B733A0" w:rsidRPr="00B733A0">
        <w:rPr>
          <w:rFonts w:ascii="Calibri" w:eastAsia="Calibri" w:hAnsi="Calibri" w:cs="Calibri"/>
          <w:bCs/>
          <w:sz w:val="22"/>
          <w:szCs w:val="20"/>
        </w:rPr>
        <w:t>(</w:t>
      </w:r>
      <w:r w:rsidR="00B733A0">
        <w:rPr>
          <w:rFonts w:ascii="Calibri" w:eastAsia="Calibri" w:hAnsi="Calibri" w:cs="Calibri"/>
          <w:bCs/>
          <w:sz w:val="22"/>
          <w:szCs w:val="20"/>
        </w:rPr>
        <w:t xml:space="preserve">vedi </w:t>
      </w:r>
      <w:r w:rsidR="00B733A0" w:rsidRPr="00B733A0">
        <w:rPr>
          <w:rFonts w:ascii="Calibri" w:eastAsia="Calibri" w:hAnsi="Calibri" w:cs="Calibri"/>
          <w:bCs/>
          <w:sz w:val="22"/>
          <w:szCs w:val="20"/>
        </w:rPr>
        <w:t xml:space="preserve">tabella) </w:t>
      </w:r>
      <w:r w:rsidRPr="0003287C">
        <w:rPr>
          <w:rFonts w:ascii="Calibri" w:eastAsia="Calibri" w:hAnsi="Calibri" w:cs="Calibri"/>
          <w:bCs/>
          <w:sz w:val="22"/>
          <w:szCs w:val="20"/>
        </w:rPr>
        <w:t>emergono differenze importanti: s</w:t>
      </w:r>
      <w:r w:rsidR="001F2809" w:rsidRPr="0003287C">
        <w:rPr>
          <w:rFonts w:ascii="Calibri" w:eastAsia="Calibri" w:hAnsi="Calibri" w:cs="Calibri"/>
          <w:sz w:val="22"/>
          <w:szCs w:val="20"/>
        </w:rPr>
        <w:t>e</w:t>
      </w:r>
      <w:r w:rsidR="001F2809" w:rsidRPr="00E658F0">
        <w:rPr>
          <w:rFonts w:ascii="Calibri" w:eastAsia="Calibri" w:hAnsi="Calibri" w:cs="Calibri"/>
          <w:sz w:val="22"/>
          <w:szCs w:val="20"/>
        </w:rPr>
        <w:t xml:space="preserve"> consideriamo il </w:t>
      </w:r>
      <w:r w:rsidR="001F2809">
        <w:rPr>
          <w:rFonts w:ascii="Calibri" w:eastAsia="Calibri" w:hAnsi="Calibri" w:cs="Calibri"/>
          <w:sz w:val="22"/>
          <w:szCs w:val="20"/>
        </w:rPr>
        <w:t xml:space="preserve">mercato di </w:t>
      </w:r>
      <w:r w:rsidR="001F2809" w:rsidRPr="00B733A0">
        <w:rPr>
          <w:rFonts w:ascii="Calibri" w:eastAsia="Calibri" w:hAnsi="Calibri" w:cs="Calibri"/>
          <w:b/>
          <w:sz w:val="22"/>
          <w:szCs w:val="20"/>
        </w:rPr>
        <w:t>Roma</w:t>
      </w:r>
      <w:r w:rsidR="001F2809">
        <w:rPr>
          <w:rFonts w:ascii="Calibri" w:eastAsia="Calibri" w:hAnsi="Calibri" w:cs="Calibri"/>
          <w:sz w:val="22"/>
          <w:szCs w:val="20"/>
        </w:rPr>
        <w:t xml:space="preserve"> (totale transazioni 40% bilocale e 2</w:t>
      </w:r>
      <w:r w:rsidR="009E217E">
        <w:rPr>
          <w:rFonts w:ascii="Calibri" w:eastAsia="Calibri" w:hAnsi="Calibri" w:cs="Calibri"/>
          <w:sz w:val="22"/>
          <w:szCs w:val="20"/>
        </w:rPr>
        <w:t>9</w:t>
      </w:r>
      <w:r w:rsidR="001F2809">
        <w:rPr>
          <w:rFonts w:ascii="Calibri" w:eastAsia="Calibri" w:hAnsi="Calibri" w:cs="Calibri"/>
          <w:sz w:val="22"/>
          <w:szCs w:val="20"/>
        </w:rPr>
        <w:t xml:space="preserve">% trilocale) la migliore performance dell’anno è del trilocale (+7,4%) e la peggiore del monolocale (-1,3%). </w:t>
      </w:r>
      <w:r w:rsidR="00DD2728">
        <w:rPr>
          <w:rFonts w:ascii="Calibri" w:eastAsia="Calibri" w:hAnsi="Calibri" w:cs="Calibri"/>
          <w:sz w:val="22"/>
          <w:szCs w:val="20"/>
        </w:rPr>
        <w:t>Prendendo in considerazione</w:t>
      </w:r>
      <w:r w:rsidR="001F2809">
        <w:rPr>
          <w:rFonts w:ascii="Calibri" w:eastAsia="Calibri" w:hAnsi="Calibri" w:cs="Calibri"/>
          <w:sz w:val="22"/>
          <w:szCs w:val="20"/>
        </w:rPr>
        <w:t xml:space="preserve"> </w:t>
      </w:r>
      <w:r w:rsidR="001F2809" w:rsidRPr="00B733A0">
        <w:rPr>
          <w:rFonts w:ascii="Calibri" w:eastAsia="Calibri" w:hAnsi="Calibri" w:cs="Calibri"/>
          <w:b/>
          <w:sz w:val="22"/>
          <w:szCs w:val="20"/>
        </w:rPr>
        <w:t>Milano</w:t>
      </w:r>
      <w:r w:rsidR="001F2809">
        <w:rPr>
          <w:rFonts w:ascii="Calibri" w:eastAsia="Calibri" w:hAnsi="Calibri" w:cs="Calibri"/>
          <w:sz w:val="22"/>
          <w:szCs w:val="20"/>
        </w:rPr>
        <w:t xml:space="preserve"> (totale transazioni 42% bilocali e 2</w:t>
      </w:r>
      <w:r w:rsidR="009E217E">
        <w:rPr>
          <w:rFonts w:ascii="Calibri" w:eastAsia="Calibri" w:hAnsi="Calibri" w:cs="Calibri"/>
          <w:sz w:val="22"/>
          <w:szCs w:val="20"/>
        </w:rPr>
        <w:t>1</w:t>
      </w:r>
      <w:r w:rsidR="001F2809">
        <w:rPr>
          <w:rFonts w:ascii="Calibri" w:eastAsia="Calibri" w:hAnsi="Calibri" w:cs="Calibri"/>
          <w:sz w:val="22"/>
          <w:szCs w:val="20"/>
        </w:rPr>
        <w:t xml:space="preserve">% trilocale) </w:t>
      </w:r>
      <w:r w:rsidR="00DD2728">
        <w:rPr>
          <w:rFonts w:ascii="Calibri" w:eastAsia="Calibri" w:hAnsi="Calibri" w:cs="Calibri"/>
          <w:sz w:val="22"/>
          <w:szCs w:val="20"/>
        </w:rPr>
        <w:t>sale al primo posto</w:t>
      </w:r>
      <w:r w:rsidR="001F2809">
        <w:rPr>
          <w:rFonts w:ascii="Calibri" w:eastAsia="Calibri" w:hAnsi="Calibri" w:cs="Calibri"/>
          <w:sz w:val="22"/>
          <w:szCs w:val="20"/>
        </w:rPr>
        <w:t xml:space="preserve"> il monolocale (+13,2%)</w:t>
      </w:r>
      <w:r w:rsidR="00DD2728">
        <w:rPr>
          <w:rFonts w:ascii="Calibri" w:eastAsia="Calibri" w:hAnsi="Calibri" w:cs="Calibri"/>
          <w:sz w:val="22"/>
          <w:szCs w:val="20"/>
        </w:rPr>
        <w:t>,</w:t>
      </w:r>
      <w:r w:rsidR="001F2809">
        <w:rPr>
          <w:rFonts w:ascii="Calibri" w:eastAsia="Calibri" w:hAnsi="Calibri" w:cs="Calibri"/>
          <w:sz w:val="22"/>
          <w:szCs w:val="20"/>
        </w:rPr>
        <w:t xml:space="preserve"> mentre il fanalino di coda spetta ai plurilocali (-1,4%)</w:t>
      </w:r>
      <w:r>
        <w:rPr>
          <w:rFonts w:ascii="Calibri" w:eastAsia="Calibri" w:hAnsi="Calibri" w:cs="Calibri"/>
          <w:sz w:val="22"/>
          <w:szCs w:val="20"/>
        </w:rPr>
        <w:t>.</w:t>
      </w:r>
      <w:r w:rsidR="00B57380">
        <w:rPr>
          <w:rFonts w:ascii="Calibri" w:eastAsia="Calibri" w:hAnsi="Calibri" w:cs="Calibri"/>
          <w:sz w:val="22"/>
          <w:szCs w:val="20"/>
        </w:rPr>
        <w:t xml:space="preserve"> </w:t>
      </w:r>
    </w:p>
    <w:p w:rsidR="00B733A0" w:rsidRDefault="00B733A0" w:rsidP="001F2809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</w:p>
    <w:p w:rsidR="00B733A0" w:rsidRDefault="009F7B5B" w:rsidP="00835C58">
      <w:pPr>
        <w:pStyle w:val="p1"/>
        <w:jc w:val="both"/>
        <w:rPr>
          <w:rFonts w:ascii="Calibri" w:eastAsia="Calibri" w:hAnsi="Calibri" w:cs="Calibri"/>
          <w:sz w:val="22"/>
          <w:szCs w:val="20"/>
        </w:rPr>
      </w:pPr>
      <w:r w:rsidRPr="009F7B5B">
        <w:rPr>
          <w:noProof/>
        </w:rPr>
        <w:pict>
          <v:shape id="_x0000_s1026" type="#_x0000_t75" alt="/Users/../var/folders/_q/g4_cfjrs5137gnxsrf_k0rh40000gn/T/com.microsoft.Word/WebArchiveCopyPasteTempFiles/cidimage003.png@01D517C8.9E7A2240" style="position:absolute;left:0;text-align:left;margin-left:.3pt;margin-top:-.3pt;width:369.65pt;height:97.55pt;z-index:251667456;mso-wrap-edited:f">
            <v:imagedata r:id="rId11" o:title="cidimage003"/>
            <w10:wrap type="square"/>
          </v:shape>
        </w:pict>
      </w:r>
      <w:r w:rsidR="00B733A0">
        <w:rPr>
          <w:rFonts w:ascii="Calibri" w:eastAsia="Calibri" w:hAnsi="Calibri" w:cs="Calibri"/>
          <w:sz w:val="22"/>
          <w:szCs w:val="20"/>
        </w:rPr>
        <w:t>Per quanto riguarda il mercato dei grandi investitori, sia italiani che stranieri, è rec</w:t>
      </w:r>
      <w:bookmarkStart w:id="0" w:name="_GoBack"/>
      <w:bookmarkEnd w:id="0"/>
      <w:r w:rsidR="00B733A0">
        <w:rPr>
          <w:rFonts w:ascii="Calibri" w:eastAsia="Calibri" w:hAnsi="Calibri" w:cs="Calibri"/>
          <w:sz w:val="22"/>
          <w:szCs w:val="20"/>
        </w:rPr>
        <w:t xml:space="preserve">entemente emerso che molti di loro preferiscono Milano a Roma, perché in quest’ultima città è necessario troppo tempo per chiedere autorizzazioni e ottenere permessi. </w:t>
      </w:r>
    </w:p>
    <w:p w:rsidR="00025040" w:rsidRDefault="00025040" w:rsidP="00483783">
      <w:pPr>
        <w:pStyle w:val="p1"/>
        <w:jc w:val="both"/>
        <w:rPr>
          <w:rFonts w:ascii="Calibri" w:eastAsia="Calibri" w:hAnsi="Calibri" w:cs="Calibri"/>
          <w:sz w:val="24"/>
          <w:szCs w:val="20"/>
        </w:rPr>
      </w:pPr>
    </w:p>
    <w:p w:rsidR="00EE3272" w:rsidRDefault="00B74ADD" w:rsidP="00483783">
      <w:pPr>
        <w:pStyle w:val="p1"/>
        <w:jc w:val="both"/>
        <w:rPr>
          <w:rFonts w:ascii="Calibri" w:eastAsia="Calibri" w:hAnsi="Calibri" w:cs="Calibri"/>
          <w:i/>
          <w:iCs/>
          <w:sz w:val="22"/>
          <w:szCs w:val="20"/>
        </w:rPr>
      </w:pPr>
      <w:r w:rsidRPr="00F4519F">
        <w:rPr>
          <w:rFonts w:ascii="Calibri" w:eastAsia="Calibri" w:hAnsi="Calibri" w:cs="Calibri"/>
          <w:i/>
          <w:iCs/>
          <w:sz w:val="22"/>
          <w:szCs w:val="20"/>
        </w:rPr>
        <w:t>“</w:t>
      </w:r>
      <w:r w:rsidR="0003287C" w:rsidRPr="00B57380">
        <w:rPr>
          <w:rFonts w:ascii="Calibri" w:eastAsia="Calibri" w:hAnsi="Calibri" w:cs="Calibri"/>
          <w:i/>
          <w:iCs/>
          <w:sz w:val="22"/>
          <w:szCs w:val="20"/>
        </w:rPr>
        <w:t>La rilevazione del mercato residenziale nel 1</w:t>
      </w:r>
      <w:r w:rsidR="002E2632" w:rsidRPr="00B57380">
        <w:rPr>
          <w:rFonts w:ascii="Calibri" w:eastAsia="Calibri" w:hAnsi="Calibri" w:cs="Calibri"/>
          <w:i/>
          <w:iCs/>
          <w:sz w:val="22"/>
          <w:szCs w:val="20"/>
        </w:rPr>
        <w:t>°</w:t>
      </w:r>
      <w:r w:rsidR="0003287C" w:rsidRPr="00B57380">
        <w:rPr>
          <w:rFonts w:ascii="Calibri" w:eastAsia="Calibri" w:hAnsi="Calibri" w:cs="Calibri"/>
          <w:i/>
          <w:iCs/>
          <w:sz w:val="22"/>
          <w:szCs w:val="20"/>
        </w:rPr>
        <w:t xml:space="preserve"> trimestre 2019</w:t>
      </w:r>
      <w:r w:rsidR="00F24E45" w:rsidRPr="00F4519F">
        <w:rPr>
          <w:rFonts w:ascii="Calibri" w:eastAsia="Calibri" w:hAnsi="Calibri" w:cs="Calibri"/>
          <w:i/>
          <w:iCs/>
          <w:sz w:val="22"/>
          <w:szCs w:val="20"/>
        </w:rPr>
        <w:t xml:space="preserve"> – continua Enzo Albanese – </w:t>
      </w:r>
      <w:r w:rsidR="0003287C" w:rsidRPr="00B57380">
        <w:rPr>
          <w:rFonts w:ascii="Calibri" w:eastAsia="Calibri" w:hAnsi="Calibri" w:cs="Calibri"/>
          <w:i/>
          <w:iCs/>
          <w:sz w:val="22"/>
          <w:szCs w:val="20"/>
        </w:rPr>
        <w:t>mostra</w:t>
      </w:r>
      <w:r w:rsidR="00F24E45" w:rsidRPr="00B57380">
        <w:rPr>
          <w:rFonts w:ascii="Calibri" w:eastAsia="Calibri" w:hAnsi="Calibri" w:cs="Calibri"/>
          <w:i/>
          <w:iCs/>
          <w:sz w:val="22"/>
          <w:szCs w:val="20"/>
        </w:rPr>
        <w:t xml:space="preserve"> un</w:t>
      </w:r>
      <w:r w:rsidR="0003287C" w:rsidRPr="00B57380">
        <w:rPr>
          <w:rFonts w:ascii="Calibri" w:eastAsia="Calibri" w:hAnsi="Calibri" w:cs="Calibri"/>
          <w:i/>
          <w:iCs/>
          <w:sz w:val="22"/>
          <w:szCs w:val="20"/>
        </w:rPr>
        <w:t xml:space="preserve"> trend molto positivo sia a livello nazionale </w:t>
      </w:r>
      <w:r w:rsidR="00F24E45" w:rsidRPr="00B57380">
        <w:rPr>
          <w:rFonts w:ascii="Calibri" w:eastAsia="Calibri" w:hAnsi="Calibri" w:cs="Calibri"/>
          <w:i/>
          <w:iCs/>
          <w:sz w:val="22"/>
          <w:szCs w:val="20"/>
        </w:rPr>
        <w:t>(</w:t>
      </w:r>
      <w:r w:rsidR="0003287C" w:rsidRPr="00B57380">
        <w:rPr>
          <w:rFonts w:ascii="Calibri" w:eastAsia="Calibri" w:hAnsi="Calibri" w:cs="Calibri"/>
          <w:i/>
          <w:iCs/>
          <w:sz w:val="22"/>
          <w:szCs w:val="20"/>
        </w:rPr>
        <w:t>+8,8%</w:t>
      </w:r>
      <w:r w:rsidR="00F24E45" w:rsidRPr="00B57380">
        <w:rPr>
          <w:rFonts w:ascii="Calibri" w:eastAsia="Calibri" w:hAnsi="Calibri" w:cs="Calibri"/>
          <w:i/>
          <w:iCs/>
          <w:sz w:val="22"/>
          <w:szCs w:val="20"/>
        </w:rPr>
        <w:t>)</w:t>
      </w:r>
      <w:r w:rsidR="0003287C" w:rsidRPr="00B57380">
        <w:rPr>
          <w:rFonts w:ascii="Calibri" w:eastAsia="Calibri" w:hAnsi="Calibri" w:cs="Calibri"/>
          <w:i/>
          <w:iCs/>
          <w:sz w:val="22"/>
          <w:szCs w:val="20"/>
        </w:rPr>
        <w:t xml:space="preserve">, sia delle Grandi Città </w:t>
      </w:r>
      <w:r w:rsidR="00F24E45" w:rsidRPr="00B57380">
        <w:rPr>
          <w:rFonts w:ascii="Calibri" w:eastAsia="Calibri" w:hAnsi="Calibri" w:cs="Calibri"/>
          <w:i/>
          <w:iCs/>
          <w:sz w:val="22"/>
          <w:szCs w:val="20"/>
        </w:rPr>
        <w:t>(</w:t>
      </w:r>
      <w:r w:rsidR="0003287C" w:rsidRPr="00B57380">
        <w:rPr>
          <w:rFonts w:ascii="Calibri" w:eastAsia="Calibri" w:hAnsi="Calibri" w:cs="Calibri"/>
          <w:i/>
          <w:iCs/>
          <w:sz w:val="22"/>
          <w:szCs w:val="20"/>
        </w:rPr>
        <w:t>+ 8,2%</w:t>
      </w:r>
      <w:r w:rsidR="00F24E45" w:rsidRPr="00B57380">
        <w:rPr>
          <w:rFonts w:ascii="Calibri" w:eastAsia="Calibri" w:hAnsi="Calibri" w:cs="Calibri"/>
          <w:i/>
          <w:iCs/>
          <w:sz w:val="22"/>
          <w:szCs w:val="20"/>
        </w:rPr>
        <w:t>)</w:t>
      </w:r>
      <w:r w:rsidR="0003287C" w:rsidRPr="00B57380">
        <w:rPr>
          <w:rFonts w:ascii="Calibri" w:eastAsia="Calibri" w:hAnsi="Calibri" w:cs="Calibri"/>
          <w:i/>
          <w:iCs/>
          <w:sz w:val="22"/>
          <w:szCs w:val="20"/>
        </w:rPr>
        <w:t>. In quest’ultima analisi i mercati di Roma e Milano hanno brillato particolarmente, con v</w:t>
      </w:r>
      <w:r w:rsidRPr="00B57380">
        <w:rPr>
          <w:rFonts w:ascii="Calibri" w:eastAsia="Calibri" w:hAnsi="Calibri" w:cs="Calibri"/>
          <w:i/>
          <w:iCs/>
          <w:sz w:val="22"/>
          <w:szCs w:val="20"/>
        </w:rPr>
        <w:t xml:space="preserve">ariazioni </w:t>
      </w:r>
      <w:r w:rsidR="0003287C" w:rsidRPr="00B57380">
        <w:rPr>
          <w:rFonts w:ascii="Calibri" w:eastAsia="Calibri" w:hAnsi="Calibri" w:cs="Calibri"/>
          <w:i/>
          <w:iCs/>
          <w:sz w:val="22"/>
          <w:szCs w:val="20"/>
        </w:rPr>
        <w:t>che sono rispettivamente +11,9% e +11,3%.</w:t>
      </w:r>
      <w:r w:rsidR="002E2632" w:rsidRPr="00B57380">
        <w:rPr>
          <w:rFonts w:ascii="Calibri" w:eastAsia="Calibri" w:hAnsi="Calibri" w:cs="Calibri"/>
          <w:i/>
          <w:iCs/>
          <w:sz w:val="22"/>
          <w:szCs w:val="20"/>
        </w:rPr>
        <w:t xml:space="preserve"> </w:t>
      </w:r>
    </w:p>
    <w:p w:rsidR="00F4519F" w:rsidRPr="007B018A" w:rsidRDefault="007B018A" w:rsidP="00483783">
      <w:pPr>
        <w:pStyle w:val="p1"/>
        <w:jc w:val="both"/>
        <w:rPr>
          <w:rFonts w:ascii="Calibri" w:eastAsia="Calibri" w:hAnsi="Calibri" w:cs="Calibri"/>
          <w:i/>
          <w:iCs/>
          <w:sz w:val="22"/>
          <w:szCs w:val="20"/>
        </w:rPr>
      </w:pPr>
      <w:r w:rsidRPr="007B018A">
        <w:rPr>
          <w:rFonts w:ascii="Calibri" w:eastAsia="Calibri" w:hAnsi="Calibri" w:cs="Calibri"/>
          <w:i/>
          <w:iCs/>
          <w:sz w:val="22"/>
          <w:szCs w:val="20"/>
        </w:rPr>
        <w:t xml:space="preserve">Bisogna comunque tenere conto che </w:t>
      </w:r>
      <w:r w:rsidR="00EE3272" w:rsidRPr="007B018A">
        <w:rPr>
          <w:rFonts w:ascii="Calibri" w:eastAsia="Calibri" w:hAnsi="Calibri" w:cs="Calibri"/>
          <w:i/>
          <w:iCs/>
          <w:sz w:val="22"/>
          <w:szCs w:val="20"/>
        </w:rPr>
        <w:t>i dati OMI, rappresentando atti notarili registra</w:t>
      </w:r>
      <w:r w:rsidR="00F4519F" w:rsidRPr="007B018A">
        <w:rPr>
          <w:rFonts w:ascii="Calibri" w:eastAsia="Calibri" w:hAnsi="Calibri" w:cs="Calibri"/>
          <w:i/>
          <w:iCs/>
          <w:sz w:val="22"/>
          <w:szCs w:val="20"/>
        </w:rPr>
        <w:t xml:space="preserve">ti, mostrano un </w:t>
      </w:r>
      <w:r w:rsidR="00EE3272" w:rsidRPr="007B018A">
        <w:rPr>
          <w:rFonts w:ascii="Calibri" w:eastAsia="Calibri" w:hAnsi="Calibri" w:cs="Calibri"/>
          <w:i/>
          <w:iCs/>
          <w:sz w:val="22"/>
          <w:szCs w:val="20"/>
        </w:rPr>
        <w:t>ritardo di circa</w:t>
      </w:r>
      <w:r w:rsidRPr="007B018A">
        <w:rPr>
          <w:rFonts w:ascii="Calibri" w:eastAsia="Calibri" w:hAnsi="Calibri" w:cs="Calibri"/>
          <w:i/>
          <w:iCs/>
          <w:sz w:val="22"/>
          <w:szCs w:val="20"/>
        </w:rPr>
        <w:t xml:space="preserve"> sei</w:t>
      </w:r>
      <w:r w:rsidR="00EE3272" w:rsidRPr="007B018A">
        <w:rPr>
          <w:rFonts w:ascii="Calibri" w:eastAsia="Calibri" w:hAnsi="Calibri" w:cs="Calibri"/>
          <w:i/>
          <w:iCs/>
          <w:sz w:val="22"/>
          <w:szCs w:val="20"/>
        </w:rPr>
        <w:t xml:space="preserve"> mesi rispetto a quanto </w:t>
      </w:r>
      <w:r w:rsidR="00F4519F" w:rsidRPr="007B018A">
        <w:rPr>
          <w:rFonts w:ascii="Calibri" w:eastAsia="Calibri" w:hAnsi="Calibri" w:cs="Calibri"/>
          <w:i/>
          <w:iCs/>
          <w:sz w:val="22"/>
          <w:szCs w:val="20"/>
        </w:rPr>
        <w:t xml:space="preserve">avviene </w:t>
      </w:r>
      <w:r w:rsidR="00EE3272" w:rsidRPr="007B018A">
        <w:rPr>
          <w:rFonts w:ascii="Calibri" w:eastAsia="Calibri" w:hAnsi="Calibri" w:cs="Calibri"/>
          <w:i/>
          <w:iCs/>
          <w:sz w:val="22"/>
          <w:szCs w:val="20"/>
        </w:rPr>
        <w:t>sul mercato</w:t>
      </w:r>
      <w:r w:rsidRPr="007B018A">
        <w:rPr>
          <w:rFonts w:ascii="Calibri" w:eastAsia="Calibri" w:hAnsi="Calibri" w:cs="Calibri"/>
          <w:i/>
          <w:iCs/>
          <w:sz w:val="22"/>
          <w:szCs w:val="20"/>
        </w:rPr>
        <w:t>, mentre</w:t>
      </w:r>
      <w:r w:rsidR="00F4519F" w:rsidRPr="007B018A">
        <w:rPr>
          <w:rFonts w:ascii="Calibri" w:eastAsia="Calibri" w:hAnsi="Calibri" w:cs="Calibri"/>
          <w:i/>
          <w:iCs/>
          <w:sz w:val="22"/>
          <w:szCs w:val="20"/>
        </w:rPr>
        <w:t xml:space="preserve"> chi vi opera quotidianamente</w:t>
      </w:r>
      <w:r w:rsidRPr="007B018A">
        <w:rPr>
          <w:rFonts w:ascii="Calibri" w:eastAsia="Calibri" w:hAnsi="Calibri" w:cs="Calibri"/>
          <w:i/>
          <w:iCs/>
          <w:sz w:val="22"/>
          <w:szCs w:val="20"/>
        </w:rPr>
        <w:t xml:space="preserve"> ha una percezione dei fatti più aggiornata</w:t>
      </w:r>
      <w:r w:rsidR="00F4519F" w:rsidRPr="007B018A">
        <w:rPr>
          <w:rFonts w:ascii="Calibri" w:eastAsia="Calibri" w:hAnsi="Calibri" w:cs="Calibri"/>
          <w:i/>
          <w:iCs/>
          <w:sz w:val="22"/>
          <w:szCs w:val="20"/>
        </w:rPr>
        <w:t xml:space="preserve">. </w:t>
      </w:r>
    </w:p>
    <w:p w:rsidR="00B74ADD" w:rsidRDefault="00F4519F" w:rsidP="00483783">
      <w:pPr>
        <w:pStyle w:val="p1"/>
        <w:jc w:val="both"/>
        <w:rPr>
          <w:rFonts w:ascii="Calibri" w:eastAsia="Calibri" w:hAnsi="Calibri" w:cs="Calibri"/>
          <w:i/>
          <w:iCs/>
          <w:sz w:val="22"/>
          <w:szCs w:val="20"/>
        </w:rPr>
      </w:pPr>
      <w:r w:rsidRPr="007B018A">
        <w:rPr>
          <w:rFonts w:ascii="Calibri" w:eastAsia="Calibri" w:hAnsi="Calibri" w:cs="Calibri"/>
          <w:i/>
          <w:iCs/>
          <w:sz w:val="22"/>
          <w:szCs w:val="20"/>
        </w:rPr>
        <w:t>Sebbene la fase sia</w:t>
      </w:r>
      <w:r w:rsidR="007B018A" w:rsidRPr="007B018A">
        <w:rPr>
          <w:rFonts w:ascii="Calibri" w:eastAsia="Calibri" w:hAnsi="Calibri" w:cs="Calibri"/>
          <w:i/>
          <w:iCs/>
          <w:sz w:val="22"/>
          <w:szCs w:val="20"/>
        </w:rPr>
        <w:t xml:space="preserve"> sicuramente</w:t>
      </w:r>
      <w:r w:rsidRPr="007B018A">
        <w:rPr>
          <w:rFonts w:ascii="Calibri" w:eastAsia="Calibri" w:hAnsi="Calibri" w:cs="Calibri"/>
          <w:i/>
          <w:iCs/>
          <w:sz w:val="22"/>
          <w:szCs w:val="20"/>
        </w:rPr>
        <w:t xml:space="preserve"> positiva, riteniamo che solo il II trimestre 2019 </w:t>
      </w:r>
      <w:r w:rsidR="007B018A" w:rsidRPr="007B018A">
        <w:rPr>
          <w:rFonts w:ascii="Calibri" w:eastAsia="Calibri" w:hAnsi="Calibri" w:cs="Calibri"/>
          <w:i/>
          <w:iCs/>
          <w:sz w:val="22"/>
          <w:szCs w:val="20"/>
        </w:rPr>
        <w:t>potrà</w:t>
      </w:r>
      <w:r w:rsidRPr="007B018A">
        <w:rPr>
          <w:rFonts w:ascii="Calibri" w:eastAsia="Calibri" w:hAnsi="Calibri" w:cs="Calibri"/>
          <w:i/>
          <w:iCs/>
          <w:sz w:val="22"/>
          <w:szCs w:val="20"/>
        </w:rPr>
        <w:t xml:space="preserve"> </w:t>
      </w:r>
      <w:r w:rsidR="007B018A" w:rsidRPr="007B018A">
        <w:rPr>
          <w:rFonts w:ascii="Calibri" w:eastAsia="Calibri" w:hAnsi="Calibri" w:cs="Calibri"/>
          <w:i/>
          <w:iCs/>
          <w:sz w:val="22"/>
          <w:szCs w:val="20"/>
        </w:rPr>
        <w:t>dissipare ogni dubbio riguardo</w:t>
      </w:r>
      <w:r w:rsidRPr="007B018A">
        <w:rPr>
          <w:rFonts w:ascii="Calibri" w:eastAsia="Calibri" w:hAnsi="Calibri" w:cs="Calibri"/>
          <w:i/>
          <w:iCs/>
          <w:sz w:val="22"/>
          <w:szCs w:val="20"/>
        </w:rPr>
        <w:t xml:space="preserve"> l’andamento del mercato</w:t>
      </w:r>
      <w:r w:rsidR="007B018A" w:rsidRPr="007B018A">
        <w:rPr>
          <w:rFonts w:ascii="Calibri" w:eastAsia="Calibri" w:hAnsi="Calibri" w:cs="Calibri"/>
          <w:i/>
          <w:iCs/>
          <w:sz w:val="22"/>
          <w:szCs w:val="20"/>
        </w:rPr>
        <w:t xml:space="preserve">, e se abbia </w:t>
      </w:r>
      <w:r w:rsidRPr="007B018A">
        <w:rPr>
          <w:rFonts w:ascii="Calibri" w:eastAsia="Calibri" w:hAnsi="Calibri" w:cs="Calibri"/>
          <w:i/>
          <w:iCs/>
          <w:sz w:val="22"/>
          <w:szCs w:val="20"/>
        </w:rPr>
        <w:t>ridotto la sua dinamicità</w:t>
      </w:r>
      <w:r w:rsidR="007B018A" w:rsidRPr="007B018A">
        <w:rPr>
          <w:rFonts w:ascii="Calibri" w:eastAsia="Calibri" w:hAnsi="Calibri" w:cs="Calibri"/>
          <w:i/>
          <w:iCs/>
          <w:sz w:val="22"/>
          <w:szCs w:val="20"/>
        </w:rPr>
        <w:t xml:space="preserve"> come da noi ipotizzato</w:t>
      </w:r>
      <w:r w:rsidRPr="007B018A">
        <w:rPr>
          <w:rFonts w:ascii="Calibri" w:eastAsia="Calibri" w:hAnsi="Calibri" w:cs="Calibri"/>
          <w:i/>
          <w:iCs/>
          <w:sz w:val="22"/>
          <w:szCs w:val="20"/>
        </w:rPr>
        <w:t>. Nella speranza di essere smentiti, attendiamo i dati che saranno pubblicati a settembre dall’Agenzia delle Entrate.”</w:t>
      </w:r>
    </w:p>
    <w:p w:rsidR="00B733A0" w:rsidRPr="00B74ADD" w:rsidRDefault="00B733A0" w:rsidP="00483783">
      <w:pPr>
        <w:pStyle w:val="p1"/>
        <w:jc w:val="both"/>
        <w:rPr>
          <w:rFonts w:ascii="Calibri" w:eastAsia="Calibri" w:hAnsi="Calibri" w:cs="Calibri"/>
          <w:i/>
          <w:iCs/>
          <w:sz w:val="22"/>
          <w:szCs w:val="20"/>
        </w:rPr>
      </w:pPr>
    </w:p>
    <w:p w:rsidR="00B74ADD" w:rsidRDefault="00061FB9" w:rsidP="00483783">
      <w:pPr>
        <w:pStyle w:val="p1"/>
        <w:jc w:val="both"/>
        <w:rPr>
          <w:rFonts w:ascii="Calibri" w:eastAsia="Calibri" w:hAnsi="Calibri" w:cs="Calibri"/>
          <w:sz w:val="24"/>
          <w:szCs w:val="20"/>
        </w:rPr>
      </w:pPr>
      <w:r w:rsidRPr="009F7B5B">
        <w:rPr>
          <w:rFonts w:ascii="Calibri" w:eastAsia="Calibri" w:hAnsi="Calibri" w:cs="Calibri"/>
          <w:noProof/>
          <w:sz w:val="24"/>
          <w:szCs w:val="20"/>
        </w:rPr>
        <w:pict>
          <v:shape id="_x0000_i1025" type="#_x0000_t75" alt="Tabella 2" style="width:267.9pt;height:100.5pt;mso-width-percent:0;mso-height-percent:0;mso-width-percent:0;mso-height-percent:0">
            <v:imagedata r:id="rId12" o:title="Tabella 2"/>
          </v:shape>
        </w:pict>
      </w:r>
    </w:p>
    <w:p w:rsidR="00B74ADD" w:rsidRDefault="00B74ADD" w:rsidP="00483783">
      <w:pPr>
        <w:pStyle w:val="p1"/>
        <w:jc w:val="both"/>
        <w:rPr>
          <w:rFonts w:ascii="Calibri" w:eastAsia="Calibri" w:hAnsi="Calibri" w:cs="Calibri"/>
          <w:sz w:val="24"/>
          <w:szCs w:val="20"/>
        </w:rPr>
      </w:pPr>
    </w:p>
    <w:p w:rsidR="00B74ADD" w:rsidRDefault="00B74ADD" w:rsidP="00483783">
      <w:pPr>
        <w:pStyle w:val="p1"/>
        <w:jc w:val="both"/>
        <w:rPr>
          <w:rFonts w:ascii="Calibri" w:eastAsia="Calibri" w:hAnsi="Calibri" w:cs="Calibri"/>
          <w:sz w:val="24"/>
          <w:szCs w:val="20"/>
          <w:highlight w:val="yellow"/>
        </w:rPr>
      </w:pPr>
    </w:p>
    <w:p w:rsidR="00483783" w:rsidRDefault="00483783" w:rsidP="00483783">
      <w:pPr>
        <w:pStyle w:val="p1"/>
        <w:jc w:val="both"/>
        <w:rPr>
          <w:rFonts w:ascii="Calibri" w:eastAsia="Calibri" w:hAnsi="Calibri" w:cs="Calibri"/>
          <w:sz w:val="20"/>
          <w:szCs w:val="20"/>
          <w:shd w:val="clear" w:color="auto" w:fill="FFFFFF"/>
        </w:rPr>
      </w:pPr>
    </w:p>
    <w:p w:rsidR="00B74ADD" w:rsidRDefault="00B74ADD" w:rsidP="00483783">
      <w:pPr>
        <w:pStyle w:val="p1"/>
        <w:jc w:val="both"/>
        <w:rPr>
          <w:rFonts w:ascii="Calibri" w:eastAsia="Calibri" w:hAnsi="Calibri" w:cs="Calibri"/>
          <w:sz w:val="20"/>
          <w:szCs w:val="20"/>
          <w:shd w:val="clear" w:color="auto" w:fill="FFFFFF"/>
        </w:rPr>
      </w:pPr>
    </w:p>
    <w:p w:rsidR="00025040" w:rsidRDefault="00A463F9" w:rsidP="00BC469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***</w:t>
      </w:r>
    </w:p>
    <w:sectPr w:rsidR="00025040" w:rsidSect="009F7B5B">
      <w:headerReference w:type="default" r:id="rId13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9E5" w:rsidRDefault="00C859E5">
      <w:r>
        <w:separator/>
      </w:r>
    </w:p>
  </w:endnote>
  <w:endnote w:type="continuationSeparator" w:id="0">
    <w:p w:rsidR="00C859E5" w:rsidRDefault="00C859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9E5" w:rsidRDefault="00C859E5">
      <w:r>
        <w:separator/>
      </w:r>
    </w:p>
  </w:footnote>
  <w:footnote w:type="continuationSeparator" w:id="0">
    <w:p w:rsidR="00C859E5" w:rsidRDefault="00C859E5">
      <w:r>
        <w:continuationSeparator/>
      </w:r>
    </w:p>
  </w:footnote>
  <w:footnote w:type="continuationNotice" w:id="1">
    <w:p w:rsidR="00C859E5" w:rsidRDefault="00C859E5"/>
  </w:footnote>
  <w:footnote w:id="2">
    <w:p w:rsidR="000350B3" w:rsidRDefault="000350B3">
      <w:pPr>
        <w:pStyle w:val="Testonotaapidipagina"/>
      </w:pPr>
      <w:r>
        <w:rPr>
          <w:rStyle w:val="Rimandonotaapidipagina"/>
        </w:rPr>
        <w:footnoteRef/>
      </w:r>
      <w:r>
        <w:t xml:space="preserve"> Agenzia delle Entrate. OMI, report settore residenziale 2018, 23 maggio 2019, e Nota trimestrale I trim 2019, 6 giugno 2019.</w:t>
      </w:r>
    </w:p>
  </w:footnote>
  <w:footnote w:id="3">
    <w:p w:rsidR="00CF0BB4" w:rsidRDefault="00CF0BB4">
      <w:pPr>
        <w:pStyle w:val="Testonotaapidipagina"/>
      </w:pPr>
      <w:r>
        <w:rPr>
          <w:rStyle w:val="Rimandonotaapidipagina"/>
        </w:rPr>
        <w:footnoteRef/>
      </w:r>
      <w:r>
        <w:t xml:space="preserve"> CBRE. Il mercato degli investimenti in Italia nel 2018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040" w:rsidRDefault="00A463F9">
    <w:r>
      <w:rPr>
        <w:noProof/>
      </w:rPr>
      <w:drawing>
        <wp:inline distT="0" distB="0" distL="0" distR="0">
          <wp:extent cx="1339373" cy="738966"/>
          <wp:effectExtent l="0" t="0" r="0" b="0"/>
          <wp:docPr id="1073741825" name="officeArt object" descr="Firma mail 30t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Firma mail 30th" descr="Firma mail 30th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9373" cy="7389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025040" w:rsidRDefault="00025040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oofState w:spelling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  <w:footnote w:id="1"/>
  </w:footnotePr>
  <w:endnotePr>
    <w:endnote w:id="-1"/>
    <w:endnote w:id="0"/>
  </w:endnotePr>
  <w:compat>
    <w:useFELayout/>
  </w:compat>
  <w:rsids>
    <w:rsidRoot w:val="00025040"/>
    <w:rsid w:val="00011C04"/>
    <w:rsid w:val="00025040"/>
    <w:rsid w:val="0003287C"/>
    <w:rsid w:val="000337F8"/>
    <w:rsid w:val="000350B3"/>
    <w:rsid w:val="00061FB9"/>
    <w:rsid w:val="00097B1A"/>
    <w:rsid w:val="000F4A59"/>
    <w:rsid w:val="0010320D"/>
    <w:rsid w:val="001573A2"/>
    <w:rsid w:val="00162269"/>
    <w:rsid w:val="001818E1"/>
    <w:rsid w:val="001A7C8F"/>
    <w:rsid w:val="001B6418"/>
    <w:rsid w:val="001F2809"/>
    <w:rsid w:val="0026546D"/>
    <w:rsid w:val="00296362"/>
    <w:rsid w:val="002B030B"/>
    <w:rsid w:val="002E2632"/>
    <w:rsid w:val="00301808"/>
    <w:rsid w:val="00301C9C"/>
    <w:rsid w:val="00307417"/>
    <w:rsid w:val="00315BC8"/>
    <w:rsid w:val="00336BF7"/>
    <w:rsid w:val="003C2688"/>
    <w:rsid w:val="003D4A04"/>
    <w:rsid w:val="004217B3"/>
    <w:rsid w:val="00437153"/>
    <w:rsid w:val="004422AE"/>
    <w:rsid w:val="00483783"/>
    <w:rsid w:val="004C1F8A"/>
    <w:rsid w:val="004C5A68"/>
    <w:rsid w:val="00515F05"/>
    <w:rsid w:val="00542230"/>
    <w:rsid w:val="00544F37"/>
    <w:rsid w:val="005561AD"/>
    <w:rsid w:val="0057070B"/>
    <w:rsid w:val="005A6B69"/>
    <w:rsid w:val="005C01B6"/>
    <w:rsid w:val="005D4927"/>
    <w:rsid w:val="005F7307"/>
    <w:rsid w:val="00635D60"/>
    <w:rsid w:val="00642B82"/>
    <w:rsid w:val="00663D03"/>
    <w:rsid w:val="00665F33"/>
    <w:rsid w:val="006F4920"/>
    <w:rsid w:val="00707776"/>
    <w:rsid w:val="007341BA"/>
    <w:rsid w:val="00736E81"/>
    <w:rsid w:val="007647F4"/>
    <w:rsid w:val="00765044"/>
    <w:rsid w:val="00796068"/>
    <w:rsid w:val="007B018A"/>
    <w:rsid w:val="007E61B7"/>
    <w:rsid w:val="0081067E"/>
    <w:rsid w:val="008123CB"/>
    <w:rsid w:val="00834960"/>
    <w:rsid w:val="00835C58"/>
    <w:rsid w:val="0083636A"/>
    <w:rsid w:val="00843D8F"/>
    <w:rsid w:val="00844B44"/>
    <w:rsid w:val="008555FF"/>
    <w:rsid w:val="0088047D"/>
    <w:rsid w:val="008A0240"/>
    <w:rsid w:val="008A7CE3"/>
    <w:rsid w:val="008B2DD0"/>
    <w:rsid w:val="008B461D"/>
    <w:rsid w:val="008B465C"/>
    <w:rsid w:val="008E6D95"/>
    <w:rsid w:val="00901502"/>
    <w:rsid w:val="00915468"/>
    <w:rsid w:val="009422A3"/>
    <w:rsid w:val="0096051B"/>
    <w:rsid w:val="00965AEE"/>
    <w:rsid w:val="009710F6"/>
    <w:rsid w:val="00976F4A"/>
    <w:rsid w:val="009A51FB"/>
    <w:rsid w:val="009D1205"/>
    <w:rsid w:val="009E217E"/>
    <w:rsid w:val="009F7B5B"/>
    <w:rsid w:val="009F7F59"/>
    <w:rsid w:val="00A203FB"/>
    <w:rsid w:val="00A463F9"/>
    <w:rsid w:val="00A50A68"/>
    <w:rsid w:val="00A9273B"/>
    <w:rsid w:val="00A97411"/>
    <w:rsid w:val="00AE3F7F"/>
    <w:rsid w:val="00AF5805"/>
    <w:rsid w:val="00B15BFC"/>
    <w:rsid w:val="00B167A5"/>
    <w:rsid w:val="00B25465"/>
    <w:rsid w:val="00B27BDA"/>
    <w:rsid w:val="00B327A6"/>
    <w:rsid w:val="00B57380"/>
    <w:rsid w:val="00B6538A"/>
    <w:rsid w:val="00B733A0"/>
    <w:rsid w:val="00B74ADD"/>
    <w:rsid w:val="00BA35F9"/>
    <w:rsid w:val="00BA44A9"/>
    <w:rsid w:val="00BB41DC"/>
    <w:rsid w:val="00BC4694"/>
    <w:rsid w:val="00BC56FE"/>
    <w:rsid w:val="00BE3006"/>
    <w:rsid w:val="00BE6AFB"/>
    <w:rsid w:val="00C0150C"/>
    <w:rsid w:val="00C36994"/>
    <w:rsid w:val="00C859E5"/>
    <w:rsid w:val="00CD18D2"/>
    <w:rsid w:val="00CE0079"/>
    <w:rsid w:val="00CF0BB4"/>
    <w:rsid w:val="00D13759"/>
    <w:rsid w:val="00D16D41"/>
    <w:rsid w:val="00D71EAB"/>
    <w:rsid w:val="00D865E6"/>
    <w:rsid w:val="00DB0D07"/>
    <w:rsid w:val="00DD2728"/>
    <w:rsid w:val="00DF076A"/>
    <w:rsid w:val="00E37FE7"/>
    <w:rsid w:val="00E658F0"/>
    <w:rsid w:val="00E65F3B"/>
    <w:rsid w:val="00E70FBB"/>
    <w:rsid w:val="00E85A62"/>
    <w:rsid w:val="00E86D7F"/>
    <w:rsid w:val="00EB308B"/>
    <w:rsid w:val="00EE13CF"/>
    <w:rsid w:val="00EE3272"/>
    <w:rsid w:val="00F24E45"/>
    <w:rsid w:val="00F272E5"/>
    <w:rsid w:val="00F43E23"/>
    <w:rsid w:val="00F4519F"/>
    <w:rsid w:val="00F610D9"/>
    <w:rsid w:val="00FC0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7B5B"/>
    <w:rPr>
      <w:rFonts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9F7B5B"/>
    <w:rPr>
      <w:u w:val="single"/>
    </w:rPr>
  </w:style>
  <w:style w:type="table" w:customStyle="1" w:styleId="TableNormal">
    <w:name w:val="Table Normal"/>
    <w:rsid w:val="009F7B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9F7B5B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p1">
    <w:name w:val="p1"/>
    <w:rsid w:val="009F7B5B"/>
    <w:rPr>
      <w:rFonts w:ascii="Helvetica" w:hAnsi="Helvetica" w:cs="Arial Unicode MS"/>
      <w:color w:val="000000"/>
      <w:sz w:val="15"/>
      <w:szCs w:val="15"/>
      <w:u w:color="000000"/>
    </w:rPr>
  </w:style>
  <w:style w:type="paragraph" w:styleId="Testonotaapidipagina">
    <w:name w:val="footnote text"/>
    <w:rsid w:val="009F7B5B"/>
    <w:rPr>
      <w:rFonts w:eastAsia="Times New Roman"/>
      <w:color w:val="000000"/>
      <w:u w:color="000000"/>
    </w:rPr>
  </w:style>
  <w:style w:type="character" w:customStyle="1" w:styleId="Link">
    <w:name w:val="Link"/>
    <w:rsid w:val="009F7B5B"/>
    <w:rPr>
      <w:color w:val="0000FF"/>
      <w:u w:val="single" w:color="0000FF"/>
    </w:rPr>
  </w:style>
  <w:style w:type="character" w:customStyle="1" w:styleId="Hyperlink0">
    <w:name w:val="Hyperlink.0"/>
    <w:basedOn w:val="Link"/>
    <w:rsid w:val="009F7B5B"/>
    <w:rPr>
      <w:rFonts w:ascii="Calibri" w:eastAsia="Calibri" w:hAnsi="Calibri" w:cs="Calibri"/>
      <w:color w:val="0000FF"/>
      <w:sz w:val="20"/>
      <w:szCs w:val="20"/>
      <w:u w:val="single" w:color="0000FF"/>
    </w:rPr>
  </w:style>
  <w:style w:type="character" w:customStyle="1" w:styleId="Nessuno">
    <w:name w:val="Nessuno"/>
    <w:rsid w:val="009F7B5B"/>
  </w:style>
  <w:style w:type="character" w:customStyle="1" w:styleId="Hyperlink1">
    <w:name w:val="Hyperlink.1"/>
    <w:basedOn w:val="Nessuno"/>
    <w:rsid w:val="009F7B5B"/>
    <w:rPr>
      <w:rFonts w:ascii="Calibri" w:eastAsia="Calibri" w:hAnsi="Calibri" w:cs="Calibri"/>
      <w:color w:val="0000FF"/>
      <w:sz w:val="20"/>
      <w:szCs w:val="20"/>
      <w:u w:color="0000FF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D1205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15BC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5BC8"/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315BC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BC8"/>
    <w:rPr>
      <w:rFonts w:cs="Arial Unicode MS"/>
      <w:color w:val="000000"/>
      <w:sz w:val="24"/>
      <w:szCs w:val="24"/>
      <w:u w:color="000000"/>
    </w:rPr>
  </w:style>
  <w:style w:type="paragraph" w:customStyle="1" w:styleId="didefault">
    <w:name w:val="didefault"/>
    <w:basedOn w:val="Normale"/>
    <w:rsid w:val="00315B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bdr w:val="none" w:sz="0" w:space="0" w:color="auto"/>
    </w:rPr>
  </w:style>
  <w:style w:type="character" w:customStyle="1" w:styleId="apple-converted-space">
    <w:name w:val="apple-converted-space"/>
    <w:basedOn w:val="Carpredefinitoparagrafo"/>
    <w:rsid w:val="00315BC8"/>
  </w:style>
  <w:style w:type="character" w:styleId="Rimandonotaapidipagina">
    <w:name w:val="footnote reference"/>
    <w:basedOn w:val="Carpredefinitoparagrafo"/>
    <w:uiPriority w:val="99"/>
    <w:semiHidden/>
    <w:unhideWhenUsed/>
    <w:rsid w:val="008A7CE3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6418"/>
    <w:rPr>
      <w:rFonts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6418"/>
    <w:rPr>
      <w:color w:val="000000"/>
      <w:sz w:val="18"/>
      <w:szCs w:val="18"/>
      <w:u w:color="000000"/>
    </w:rPr>
  </w:style>
  <w:style w:type="character" w:styleId="Testosegnaposto">
    <w:name w:val="Placeholder Text"/>
    <w:basedOn w:val="Carpredefinitoparagrafo"/>
    <w:uiPriority w:val="99"/>
    <w:semiHidden/>
    <w:rsid w:val="006F4920"/>
    <w:rPr>
      <w:color w:val="80808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E658F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63389-72B7-4030-AD2A-5019FDD17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Verdiana Ierecitano</dc:creator>
  <cp:lastModifiedBy>paola</cp:lastModifiedBy>
  <cp:revision>4</cp:revision>
  <cp:lastPrinted>2019-06-18T14:30:00Z</cp:lastPrinted>
  <dcterms:created xsi:type="dcterms:W3CDTF">2019-06-17T09:36:00Z</dcterms:created>
  <dcterms:modified xsi:type="dcterms:W3CDTF">2019-06-18T14:31:00Z</dcterms:modified>
</cp:coreProperties>
</file>