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762" w:rsidRDefault="00EA3F24" w:rsidP="00EE766C">
      <w:pPr>
        <w:tabs>
          <w:tab w:val="left" w:pos="3420"/>
        </w:tabs>
        <w:suppressAutoHyphens/>
        <w:rPr>
          <w:rFonts w:ascii="Calibri" w:hAnsi="Calibri" w:cs="Calibri"/>
          <w:color w:val="1F497D"/>
          <w:sz w:val="28"/>
          <w:szCs w:val="28"/>
        </w:rPr>
      </w:pPr>
      <w:r>
        <w:rPr>
          <w:rFonts w:ascii="Calibri" w:hAnsi="Calibri" w:cs="Calibri"/>
          <w:noProof/>
          <w:color w:val="1F497D"/>
          <w:sz w:val="28"/>
          <w:szCs w:val="28"/>
        </w:rPr>
        <w:drawing>
          <wp:anchor distT="0" distB="0" distL="114300" distR="114300" simplePos="0" relativeHeight="251660288" behindDoc="1" locked="0" layoutInCell="1" allowOverlap="1">
            <wp:simplePos x="0" y="0"/>
            <wp:positionH relativeFrom="column">
              <wp:posOffset>4575810</wp:posOffset>
            </wp:positionH>
            <wp:positionV relativeFrom="paragraph">
              <wp:posOffset>64770</wp:posOffset>
            </wp:positionV>
            <wp:extent cx="1216660" cy="1395095"/>
            <wp:effectExtent l="0" t="0" r="2540" b="0"/>
            <wp:wrapTight wrapText="bothSides">
              <wp:wrapPolygon edited="0">
                <wp:start x="0" y="0"/>
                <wp:lineTo x="0" y="21236"/>
                <wp:lineTo x="21307" y="21236"/>
                <wp:lineTo x="21307"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IMAA_ITAL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6660" cy="1395095"/>
                    </a:xfrm>
                    <a:prstGeom prst="rect">
                      <a:avLst/>
                    </a:prstGeom>
                  </pic:spPr>
                </pic:pic>
              </a:graphicData>
            </a:graphic>
            <wp14:sizeRelH relativeFrom="margin">
              <wp14:pctWidth>0</wp14:pctWidth>
            </wp14:sizeRelH>
            <wp14:sizeRelV relativeFrom="margin">
              <wp14:pctHeight>0</wp14:pctHeight>
            </wp14:sizeRelV>
          </wp:anchor>
        </w:drawing>
      </w:r>
      <w:r w:rsidR="00EE766C">
        <w:rPr>
          <w:rFonts w:ascii="Calibri" w:hAnsi="Calibri" w:cs="Calibri"/>
          <w:color w:val="1F497D"/>
          <w:sz w:val="28"/>
          <w:szCs w:val="28"/>
        </w:rPr>
        <w:tab/>
      </w:r>
    </w:p>
    <w:p w:rsidR="002D3762" w:rsidRDefault="00264937" w:rsidP="00AE50F2">
      <w:pPr>
        <w:tabs>
          <w:tab w:val="left" w:pos="357"/>
        </w:tabs>
        <w:suppressAutoHyphens/>
        <w:rPr>
          <w:rFonts w:ascii="Calibri" w:hAnsi="Calibri" w:cs="Calibri"/>
          <w:color w:val="1F497D"/>
          <w:sz w:val="28"/>
          <w:szCs w:val="28"/>
        </w:rPr>
      </w:pPr>
      <w:r>
        <w:rPr>
          <w:rFonts w:ascii="Calibri" w:hAnsi="Calibri" w:cs="Calibri"/>
          <w:color w:val="1F497D"/>
          <w:sz w:val="28"/>
          <w:szCs w:val="28"/>
        </w:rPr>
        <w:t xml:space="preserve">            </w:t>
      </w:r>
      <w:r w:rsidR="00207589">
        <w:rPr>
          <w:rFonts w:ascii="Calibri" w:hAnsi="Calibri" w:cs="Calibri"/>
          <w:noProof/>
          <w:color w:val="1F497D"/>
          <w:sz w:val="28"/>
          <w:szCs w:val="28"/>
        </w:rPr>
        <w:drawing>
          <wp:inline distT="0" distB="0" distL="0" distR="0" wp14:anchorId="4DB95714" wp14:editId="5A4E674A">
            <wp:extent cx="2191956" cy="1032933"/>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FCOMMERCI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1956" cy="1032933"/>
                    </a:xfrm>
                    <a:prstGeom prst="rect">
                      <a:avLst/>
                    </a:prstGeom>
                  </pic:spPr>
                </pic:pic>
              </a:graphicData>
            </a:graphic>
          </wp:inline>
        </w:drawing>
      </w: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07589" w:rsidP="00207589">
      <w:pPr>
        <w:tabs>
          <w:tab w:val="left" w:pos="1093"/>
        </w:tabs>
        <w:suppressAutoHyphens/>
        <w:rPr>
          <w:rFonts w:ascii="Calibri" w:hAnsi="Calibri" w:cs="Calibri"/>
          <w:color w:val="1F497D"/>
          <w:sz w:val="28"/>
          <w:szCs w:val="28"/>
        </w:rPr>
      </w:pPr>
      <w:r>
        <w:rPr>
          <w:rFonts w:ascii="Calibri" w:hAnsi="Calibri" w:cs="Calibri"/>
          <w:color w:val="1F497D"/>
          <w:sz w:val="28"/>
          <w:szCs w:val="28"/>
        </w:rPr>
        <w:t xml:space="preserve">                                                           </w:t>
      </w:r>
      <w:r>
        <w:rPr>
          <w:rFonts w:ascii="Calibri" w:hAnsi="Calibri" w:cs="Calibri"/>
          <w:color w:val="1F497D"/>
          <w:sz w:val="28"/>
          <w:szCs w:val="28"/>
        </w:rPr>
        <w:tab/>
      </w: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w:drawing>
          <wp:anchor distT="0" distB="0" distL="114300" distR="114300" simplePos="0" relativeHeight="251658240" behindDoc="0" locked="0" layoutInCell="1" allowOverlap="1">
            <wp:simplePos x="0" y="0"/>
            <wp:positionH relativeFrom="column">
              <wp:posOffset>109644</wp:posOffset>
            </wp:positionH>
            <wp:positionV relativeFrom="paragraph">
              <wp:posOffset>13970</wp:posOffset>
            </wp:positionV>
            <wp:extent cx="6002444" cy="2142067"/>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02444" cy="214206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D3762" w:rsidRDefault="007351F6" w:rsidP="00AE50F2">
      <w:pPr>
        <w:tabs>
          <w:tab w:val="left" w:pos="357"/>
        </w:tabs>
        <w:suppressAutoHyphens/>
        <w:rPr>
          <w:rFonts w:ascii="Calibri" w:hAnsi="Calibri" w:cs="Calibri"/>
          <w:color w:val="1F497D"/>
          <w:sz w:val="28"/>
          <w:szCs w:val="28"/>
        </w:rPr>
      </w:pPr>
      <w:r>
        <w:rPr>
          <w:rFonts w:asciiTheme="minorHAnsi" w:hAnsiTheme="minorHAnsi"/>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191135</wp:posOffset>
                </wp:positionV>
                <wp:extent cx="6010910" cy="1304925"/>
                <wp:effectExtent l="0" t="0" r="0" b="952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130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224E" w:rsidRDefault="004B224E"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sidR="00851093">
                              <w:rPr>
                                <w:rFonts w:ascii="Calibri" w:hAnsi="Calibri" w:cs="Calibri"/>
                                <w:iCs/>
                                <w:color w:val="FFFFFF"/>
                                <w:sz w:val="36"/>
                                <w:szCs w:val="36"/>
                              </w:rPr>
                              <w:t>NAZIO</w:t>
                            </w:r>
                            <w:r w:rsidR="009611F1">
                              <w:rPr>
                                <w:rFonts w:ascii="Calibri" w:hAnsi="Calibri" w:cs="Calibri"/>
                                <w:iCs/>
                                <w:color w:val="FFFFFF"/>
                                <w:sz w:val="36"/>
                                <w:szCs w:val="36"/>
                              </w:rPr>
                              <w:t>N</w:t>
                            </w:r>
                            <w:r w:rsidR="00851093">
                              <w:rPr>
                                <w:rFonts w:ascii="Calibri" w:hAnsi="Calibri" w:cs="Calibri"/>
                                <w:iCs/>
                                <w:color w:val="FFFFFF"/>
                                <w:sz w:val="36"/>
                                <w:szCs w:val="36"/>
                              </w:rPr>
                              <w:t>A</w:t>
                            </w:r>
                            <w:r w:rsidR="009611F1">
                              <w:rPr>
                                <w:rFonts w:ascii="Calibri" w:hAnsi="Calibri" w:cs="Calibri"/>
                                <w:iCs/>
                                <w:color w:val="FFFFFF"/>
                                <w:sz w:val="36"/>
                                <w:szCs w:val="36"/>
                              </w:rPr>
                              <w:t xml:space="preserve">LE </w:t>
                            </w:r>
                            <w:r w:rsidRPr="002D3762">
                              <w:rPr>
                                <w:rFonts w:ascii="Calibri" w:hAnsi="Calibri" w:cs="Calibri"/>
                                <w:iCs/>
                                <w:color w:val="FFFFFF"/>
                                <w:sz w:val="36"/>
                                <w:szCs w:val="36"/>
                              </w:rPr>
                              <w:t>IMMOBILIARE TURISTICO 201</w:t>
                            </w:r>
                            <w:r>
                              <w:rPr>
                                <w:rFonts w:ascii="Calibri" w:hAnsi="Calibri" w:cs="Calibri"/>
                                <w:iCs/>
                                <w:color w:val="FFFFFF"/>
                                <w:sz w:val="36"/>
                                <w:szCs w:val="36"/>
                              </w:rPr>
                              <w:t>9</w:t>
                            </w:r>
                          </w:p>
                          <w:p w:rsidR="00207589" w:rsidRDefault="00207589" w:rsidP="00207589">
                            <w:pPr>
                              <w:jc w:val="center"/>
                              <w:rPr>
                                <w:rFonts w:ascii="Calibri" w:hAnsi="Calibri" w:cs="Calibri"/>
                                <w:iCs/>
                                <w:color w:val="FFFFFF"/>
                                <w:sz w:val="36"/>
                                <w:szCs w:val="36"/>
                              </w:rPr>
                            </w:pPr>
                          </w:p>
                          <w:p w:rsidR="00207589" w:rsidRPr="002D3762" w:rsidRDefault="00207589"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rsidR="004B224E" w:rsidRPr="002D3762" w:rsidRDefault="004B224E" w:rsidP="00575691">
                            <w:pPr>
                              <w:jc w:val="right"/>
                              <w:rPr>
                                <w:rFonts w:ascii="Calibri" w:hAnsi="Calibri" w:cs="Calibri"/>
                                <w:iCs/>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7.8pt;margin-top:15.05pt;width:473.3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" filled="f" stroked="f">
                <v:textbox>
                  <w:txbxContent>
                    <w:p w:rsidR="004B224E" w:rsidRDefault="004B224E" w:rsidP="00207589">
                      <w:pPr>
                        <w:jc w:val="center"/>
                        <w:rPr>
                          <w:rFonts w:ascii="Calibri" w:hAnsi="Calibri" w:cs="Calibri"/>
                          <w:iCs/>
                          <w:color w:val="FFFFFF"/>
                          <w:sz w:val="36"/>
                          <w:szCs w:val="36"/>
                        </w:rPr>
                      </w:pPr>
                      <w:r w:rsidRPr="002D3762">
                        <w:rPr>
                          <w:rFonts w:ascii="Calibri" w:hAnsi="Calibri" w:cs="Calibri"/>
                          <w:iCs/>
                          <w:color w:val="FFFFFF"/>
                          <w:sz w:val="36"/>
                          <w:szCs w:val="36"/>
                        </w:rPr>
                        <w:t xml:space="preserve">OSSERVATORIO </w:t>
                      </w:r>
                      <w:r w:rsidR="00851093">
                        <w:rPr>
                          <w:rFonts w:ascii="Calibri" w:hAnsi="Calibri" w:cs="Calibri"/>
                          <w:iCs/>
                          <w:color w:val="FFFFFF"/>
                          <w:sz w:val="36"/>
                          <w:szCs w:val="36"/>
                        </w:rPr>
                        <w:t>NAZIO</w:t>
                      </w:r>
                      <w:r w:rsidR="009611F1">
                        <w:rPr>
                          <w:rFonts w:ascii="Calibri" w:hAnsi="Calibri" w:cs="Calibri"/>
                          <w:iCs/>
                          <w:color w:val="FFFFFF"/>
                          <w:sz w:val="36"/>
                          <w:szCs w:val="36"/>
                        </w:rPr>
                        <w:t>N</w:t>
                      </w:r>
                      <w:r w:rsidR="00851093">
                        <w:rPr>
                          <w:rFonts w:ascii="Calibri" w:hAnsi="Calibri" w:cs="Calibri"/>
                          <w:iCs/>
                          <w:color w:val="FFFFFF"/>
                          <w:sz w:val="36"/>
                          <w:szCs w:val="36"/>
                        </w:rPr>
                        <w:t>A</w:t>
                      </w:r>
                      <w:r w:rsidR="009611F1">
                        <w:rPr>
                          <w:rFonts w:ascii="Calibri" w:hAnsi="Calibri" w:cs="Calibri"/>
                          <w:iCs/>
                          <w:color w:val="FFFFFF"/>
                          <w:sz w:val="36"/>
                          <w:szCs w:val="36"/>
                        </w:rPr>
                        <w:t xml:space="preserve">LE </w:t>
                      </w:r>
                      <w:r w:rsidRPr="002D3762">
                        <w:rPr>
                          <w:rFonts w:ascii="Calibri" w:hAnsi="Calibri" w:cs="Calibri"/>
                          <w:iCs/>
                          <w:color w:val="FFFFFF"/>
                          <w:sz w:val="36"/>
                          <w:szCs w:val="36"/>
                        </w:rPr>
                        <w:t>IMMOBILIARE TURISTICO 201</w:t>
                      </w:r>
                      <w:r>
                        <w:rPr>
                          <w:rFonts w:ascii="Calibri" w:hAnsi="Calibri" w:cs="Calibri"/>
                          <w:iCs/>
                          <w:color w:val="FFFFFF"/>
                          <w:sz w:val="36"/>
                          <w:szCs w:val="36"/>
                        </w:rPr>
                        <w:t>9</w:t>
                      </w:r>
                    </w:p>
                    <w:p w:rsidR="00207589" w:rsidRDefault="00207589" w:rsidP="00207589">
                      <w:pPr>
                        <w:jc w:val="center"/>
                        <w:rPr>
                          <w:rFonts w:ascii="Calibri" w:hAnsi="Calibri" w:cs="Calibri"/>
                          <w:iCs/>
                          <w:color w:val="FFFFFF"/>
                          <w:sz w:val="36"/>
                          <w:szCs w:val="36"/>
                        </w:rPr>
                      </w:pPr>
                    </w:p>
                    <w:p w:rsidR="00207589" w:rsidRPr="002D3762" w:rsidRDefault="00207589" w:rsidP="00207589">
                      <w:pPr>
                        <w:jc w:val="center"/>
                        <w:rPr>
                          <w:rFonts w:ascii="Calibri" w:hAnsi="Calibri" w:cs="Calibri"/>
                          <w:iCs/>
                          <w:color w:val="FFFFFF"/>
                          <w:sz w:val="36"/>
                          <w:szCs w:val="36"/>
                        </w:rPr>
                      </w:pPr>
                      <w:r>
                        <w:rPr>
                          <w:rFonts w:ascii="Calibri" w:hAnsi="Calibri" w:cs="Calibri"/>
                          <w:iCs/>
                          <w:color w:val="FFFFFF"/>
                          <w:sz w:val="36"/>
                          <w:szCs w:val="36"/>
                        </w:rPr>
                        <w:t xml:space="preserve">Il mercato delle case nelle località turistiche </w:t>
                      </w:r>
                    </w:p>
                    <w:p w:rsidR="004B224E" w:rsidRPr="002D3762" w:rsidRDefault="004B224E" w:rsidP="00575691">
                      <w:pPr>
                        <w:jc w:val="right"/>
                        <w:rPr>
                          <w:rFonts w:ascii="Calibri" w:hAnsi="Calibri" w:cs="Calibri"/>
                          <w:iCs/>
                          <w:color w:val="FFFFFF"/>
                          <w:sz w:val="36"/>
                          <w:szCs w:val="36"/>
                        </w:rPr>
                      </w:pPr>
                    </w:p>
                  </w:txbxContent>
                </v:textbox>
              </v:shape>
            </w:pict>
          </mc:Fallback>
        </mc:AlternateContent>
      </w: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2D3762" w:rsidRDefault="002D3762" w:rsidP="00AE50F2">
      <w:pPr>
        <w:tabs>
          <w:tab w:val="left" w:pos="357"/>
        </w:tabs>
        <w:suppressAutoHyphens/>
        <w:rPr>
          <w:rFonts w:ascii="Calibri" w:hAnsi="Calibri" w:cs="Calibri"/>
          <w:color w:val="1F497D"/>
          <w:sz w:val="28"/>
          <w:szCs w:val="28"/>
        </w:rPr>
      </w:pPr>
    </w:p>
    <w:p w:rsidR="00D859D7" w:rsidRDefault="00D859D7" w:rsidP="00D859D7">
      <w:pPr>
        <w:tabs>
          <w:tab w:val="left" w:pos="357"/>
        </w:tabs>
        <w:suppressAutoHyphens/>
        <w:jc w:val="center"/>
        <w:rPr>
          <w:rFonts w:ascii="Calibri" w:hAnsi="Calibri" w:cs="Calibri"/>
          <w:b/>
          <w:color w:val="1F497D"/>
          <w:sz w:val="28"/>
          <w:szCs w:val="28"/>
          <w:u w:val="single"/>
        </w:rPr>
      </w:pPr>
      <w:r w:rsidRPr="00D859D7">
        <w:rPr>
          <w:rFonts w:ascii="Calibri" w:hAnsi="Calibri" w:cs="Calibri"/>
          <w:b/>
          <w:color w:val="1F497D"/>
          <w:sz w:val="28"/>
          <w:szCs w:val="28"/>
          <w:u w:val="single"/>
        </w:rPr>
        <w:t>SINTESI PER LA STAMPA</w:t>
      </w:r>
    </w:p>
    <w:p w:rsidR="00D57539" w:rsidRPr="00D57539" w:rsidRDefault="00D57539" w:rsidP="00D859D7">
      <w:pPr>
        <w:tabs>
          <w:tab w:val="left" w:pos="357"/>
        </w:tabs>
        <w:suppressAutoHyphens/>
        <w:jc w:val="center"/>
        <w:rPr>
          <w:rFonts w:ascii="Calibri" w:hAnsi="Calibri" w:cs="Calibri"/>
          <w:b/>
          <w:color w:val="1F497D"/>
          <w:sz w:val="8"/>
          <w:szCs w:val="28"/>
          <w:u w:val="single"/>
        </w:rPr>
      </w:pPr>
    </w:p>
    <w:p w:rsidR="00207589" w:rsidRDefault="00207589" w:rsidP="00207589">
      <w:pPr>
        <w:tabs>
          <w:tab w:val="left" w:pos="357"/>
        </w:tabs>
        <w:suppressAutoHyphens/>
        <w:jc w:val="center"/>
        <w:rPr>
          <w:rFonts w:ascii="Calibri" w:hAnsi="Calibri" w:cs="Calibri"/>
          <w:color w:val="1F497D"/>
          <w:sz w:val="28"/>
          <w:szCs w:val="28"/>
        </w:rPr>
      </w:pPr>
      <w:r>
        <w:rPr>
          <w:rFonts w:ascii="Calibri" w:hAnsi="Calibri" w:cs="Calibri"/>
          <w:color w:val="1F497D"/>
          <w:sz w:val="28"/>
          <w:szCs w:val="28"/>
        </w:rPr>
        <w:t>Roma, 30 luglio 2019</w:t>
      </w:r>
    </w:p>
    <w:p w:rsidR="002D3762" w:rsidRDefault="002D3762" w:rsidP="002D3762">
      <w:pPr>
        <w:tabs>
          <w:tab w:val="left" w:pos="357"/>
        </w:tabs>
        <w:suppressAutoHyphens/>
        <w:jc w:val="center"/>
        <w:rPr>
          <w:rFonts w:ascii="Calibri" w:hAnsi="Calibri" w:cs="Calibri"/>
          <w:color w:val="1F497D"/>
          <w:sz w:val="28"/>
          <w:szCs w:val="28"/>
        </w:rPr>
      </w:pPr>
    </w:p>
    <w:p w:rsidR="002D3762" w:rsidRDefault="002D3762" w:rsidP="002D3762">
      <w:pPr>
        <w:tabs>
          <w:tab w:val="left" w:pos="357"/>
        </w:tabs>
        <w:suppressAutoHyphens/>
        <w:jc w:val="center"/>
        <w:rPr>
          <w:rFonts w:ascii="Calibri" w:hAnsi="Calibri" w:cs="Calibri"/>
          <w:color w:val="1F497D"/>
          <w:sz w:val="28"/>
          <w:szCs w:val="28"/>
        </w:rPr>
      </w:pPr>
    </w:p>
    <w:p w:rsidR="00D859D7" w:rsidRDefault="00D859D7" w:rsidP="002D3762">
      <w:pPr>
        <w:tabs>
          <w:tab w:val="left" w:pos="357"/>
        </w:tabs>
        <w:suppressAutoHyphens/>
        <w:jc w:val="center"/>
        <w:rPr>
          <w:rFonts w:ascii="Calibri" w:hAnsi="Calibri" w:cs="Calibri"/>
          <w:color w:val="1F497D"/>
          <w:sz w:val="28"/>
          <w:szCs w:val="28"/>
        </w:rPr>
      </w:pPr>
    </w:p>
    <w:p w:rsidR="00207589" w:rsidRDefault="00207589" w:rsidP="002D3762">
      <w:pPr>
        <w:tabs>
          <w:tab w:val="left" w:pos="357"/>
        </w:tabs>
        <w:suppressAutoHyphens/>
        <w:jc w:val="center"/>
        <w:rPr>
          <w:rFonts w:ascii="Calibri" w:hAnsi="Calibri" w:cs="Calibri"/>
          <w:color w:val="1F497D"/>
          <w:sz w:val="28"/>
          <w:szCs w:val="28"/>
        </w:rPr>
      </w:pPr>
    </w:p>
    <w:p w:rsidR="008A4E21" w:rsidRDefault="008A4E21" w:rsidP="002D3762">
      <w:pPr>
        <w:tabs>
          <w:tab w:val="left" w:pos="357"/>
        </w:tabs>
        <w:suppressAutoHyphens/>
        <w:jc w:val="center"/>
        <w:rPr>
          <w:rFonts w:ascii="Calibri" w:hAnsi="Calibri" w:cs="Calibri"/>
          <w:color w:val="1F497D"/>
          <w:sz w:val="28"/>
          <w:szCs w:val="28"/>
        </w:rPr>
      </w:pPr>
    </w:p>
    <w:p w:rsidR="008A4E21" w:rsidRDefault="008A4E21" w:rsidP="002D3762">
      <w:pPr>
        <w:tabs>
          <w:tab w:val="left" w:pos="357"/>
        </w:tabs>
        <w:suppressAutoHyphens/>
        <w:jc w:val="center"/>
        <w:rPr>
          <w:rFonts w:ascii="Calibri" w:hAnsi="Calibri" w:cs="Calibri"/>
          <w:color w:val="1F497D"/>
          <w:sz w:val="28"/>
          <w:szCs w:val="28"/>
        </w:rPr>
      </w:pPr>
    </w:p>
    <w:p w:rsidR="008A4E21" w:rsidRDefault="00207589" w:rsidP="002D3762">
      <w:pPr>
        <w:tabs>
          <w:tab w:val="left" w:pos="357"/>
        </w:tabs>
        <w:suppressAutoHyphens/>
        <w:jc w:val="center"/>
        <w:rPr>
          <w:rFonts w:asciiTheme="minorHAnsi" w:hAnsiTheme="minorHAnsi"/>
          <w:b/>
          <w:sz w:val="28"/>
          <w:szCs w:val="28"/>
        </w:rPr>
      </w:pPr>
      <w:r w:rsidRPr="00207589">
        <w:rPr>
          <w:rFonts w:asciiTheme="minorHAnsi" w:hAnsiTheme="minorHAnsi"/>
          <w:sz w:val="28"/>
          <w:szCs w:val="28"/>
        </w:rPr>
        <w:t>Con la collaborazione di</w:t>
      </w:r>
      <w:r>
        <w:rPr>
          <w:rFonts w:asciiTheme="minorHAnsi" w:hAnsiTheme="minorHAnsi"/>
          <w:b/>
          <w:sz w:val="28"/>
          <w:szCs w:val="28"/>
        </w:rPr>
        <w:t xml:space="preserve"> </w:t>
      </w:r>
      <w:r w:rsidRPr="00E4690F">
        <w:rPr>
          <w:noProof/>
        </w:rPr>
        <w:drawing>
          <wp:inline distT="0" distB="0" distL="0" distR="0" wp14:anchorId="4E79D380" wp14:editId="32B3C0E0">
            <wp:extent cx="2162610" cy="1074567"/>
            <wp:effectExtent l="0" t="0" r="9525" b="0"/>
            <wp:docPr id="17" name="Immagine 2" descr="C:\Users\margherita.tamburini\Desktop\Nomisma - pant 2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herita.tamburini\Desktop\Nomisma - pant 28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8921" cy="1077703"/>
                    </a:xfrm>
                    <a:prstGeom prst="rect">
                      <a:avLst/>
                    </a:prstGeom>
                    <a:noFill/>
                    <a:ln>
                      <a:noFill/>
                    </a:ln>
                  </pic:spPr>
                </pic:pic>
              </a:graphicData>
            </a:graphic>
          </wp:inline>
        </w:drawing>
      </w:r>
    </w:p>
    <w:p w:rsidR="006E2E9E" w:rsidRDefault="006E2E9E" w:rsidP="00AE50F2">
      <w:pPr>
        <w:tabs>
          <w:tab w:val="left" w:pos="357"/>
        </w:tabs>
        <w:suppressAutoHyphens/>
        <w:rPr>
          <w:rFonts w:asciiTheme="minorHAnsi" w:hAnsiTheme="minorHAnsi"/>
          <w:b/>
          <w:sz w:val="28"/>
          <w:szCs w:val="28"/>
        </w:rPr>
      </w:pPr>
    </w:p>
    <w:p w:rsidR="006A0BF2" w:rsidRPr="00AD1FA3" w:rsidRDefault="007A64EE" w:rsidP="00F72B38">
      <w:pPr>
        <w:spacing w:after="120" w:line="276" w:lineRule="auto"/>
        <w:rPr>
          <w:rFonts w:asciiTheme="minorHAnsi" w:eastAsia="Calibri" w:hAnsiTheme="minorHAnsi" w:cstheme="minorHAnsi"/>
          <w:szCs w:val="24"/>
        </w:rPr>
      </w:pPr>
      <w:r w:rsidRPr="00AD1FA3">
        <w:rPr>
          <w:rFonts w:asciiTheme="minorHAnsi" w:eastAsia="Calibri" w:hAnsiTheme="minorHAnsi" w:cstheme="minorHAnsi"/>
          <w:szCs w:val="24"/>
        </w:rPr>
        <w:t>L’Osser</w:t>
      </w:r>
      <w:r w:rsidR="00693364" w:rsidRPr="00AD1FA3">
        <w:rPr>
          <w:rFonts w:asciiTheme="minorHAnsi" w:eastAsia="Calibri" w:hAnsiTheme="minorHAnsi" w:cstheme="minorHAnsi"/>
          <w:szCs w:val="24"/>
        </w:rPr>
        <w:t>v</w:t>
      </w:r>
      <w:r w:rsidRPr="00AD1FA3">
        <w:rPr>
          <w:rFonts w:asciiTheme="minorHAnsi" w:eastAsia="Calibri" w:hAnsiTheme="minorHAnsi" w:cstheme="minorHAnsi"/>
          <w:szCs w:val="24"/>
        </w:rPr>
        <w:t>atorio Nazionale Immobiliare Turistico 201</w:t>
      </w:r>
      <w:r w:rsidR="004626C7" w:rsidRPr="00AD1FA3">
        <w:rPr>
          <w:rFonts w:asciiTheme="minorHAnsi" w:eastAsia="Calibri" w:hAnsiTheme="minorHAnsi" w:cstheme="minorHAnsi"/>
          <w:szCs w:val="24"/>
        </w:rPr>
        <w:t>9</w:t>
      </w:r>
      <w:r w:rsidRPr="00AD1FA3">
        <w:rPr>
          <w:rFonts w:asciiTheme="minorHAnsi" w:eastAsia="Calibri" w:hAnsiTheme="minorHAnsi" w:cstheme="minorHAnsi"/>
          <w:szCs w:val="24"/>
        </w:rPr>
        <w:t xml:space="preserve"> di FIMAA-Confcommercio (Federazione Italiana Mediatori Agenti d’Affari) con la collaborazione della Società di Studi Economici NOMISMA ha</w:t>
      </w:r>
      <w:r w:rsidR="006A0BF2" w:rsidRPr="00AD1FA3">
        <w:rPr>
          <w:rFonts w:asciiTheme="minorHAnsi" w:eastAsia="Calibri" w:hAnsiTheme="minorHAnsi" w:cstheme="minorHAnsi"/>
          <w:szCs w:val="24"/>
        </w:rPr>
        <w:t xml:space="preserve"> </w:t>
      </w:r>
      <w:r w:rsidRPr="00AD1FA3">
        <w:rPr>
          <w:rFonts w:asciiTheme="minorHAnsi" w:eastAsia="Calibri" w:hAnsiTheme="minorHAnsi" w:cstheme="minorHAnsi"/>
          <w:szCs w:val="24"/>
        </w:rPr>
        <w:t>“</w:t>
      </w:r>
      <w:r w:rsidR="006A0BF2" w:rsidRPr="00AD1FA3">
        <w:rPr>
          <w:rFonts w:asciiTheme="minorHAnsi" w:eastAsia="Calibri" w:hAnsiTheme="minorHAnsi" w:cstheme="minorHAnsi"/>
          <w:szCs w:val="24"/>
        </w:rPr>
        <w:t>fotogra</w:t>
      </w:r>
      <w:r w:rsidRPr="00AD1FA3">
        <w:rPr>
          <w:rFonts w:asciiTheme="minorHAnsi" w:eastAsia="Calibri" w:hAnsiTheme="minorHAnsi" w:cstheme="minorHAnsi"/>
          <w:szCs w:val="24"/>
        </w:rPr>
        <w:t>f</w:t>
      </w:r>
      <w:r w:rsidR="006A0BF2" w:rsidRPr="00AD1FA3">
        <w:rPr>
          <w:rFonts w:asciiTheme="minorHAnsi" w:eastAsia="Calibri" w:hAnsiTheme="minorHAnsi" w:cstheme="minorHAnsi"/>
          <w:szCs w:val="24"/>
        </w:rPr>
        <w:t>a</w:t>
      </w:r>
      <w:r w:rsidRPr="00AD1FA3">
        <w:rPr>
          <w:rFonts w:asciiTheme="minorHAnsi" w:eastAsia="Calibri" w:hAnsiTheme="minorHAnsi" w:cstheme="minorHAnsi"/>
          <w:szCs w:val="24"/>
        </w:rPr>
        <w:t>to”</w:t>
      </w:r>
      <w:r w:rsidR="006A0BF2" w:rsidRPr="00AD1FA3">
        <w:rPr>
          <w:rFonts w:asciiTheme="minorHAnsi" w:eastAsia="Calibri" w:hAnsiTheme="minorHAnsi" w:cstheme="minorHAnsi"/>
          <w:szCs w:val="24"/>
        </w:rPr>
        <w:t xml:space="preserve"> </w:t>
      </w:r>
      <w:r w:rsidR="00864A95" w:rsidRPr="00AD1FA3">
        <w:rPr>
          <w:rFonts w:asciiTheme="minorHAnsi" w:eastAsia="Calibri" w:hAnsiTheme="minorHAnsi" w:cstheme="minorHAnsi"/>
          <w:szCs w:val="24"/>
        </w:rPr>
        <w:t>l’andamento del</w:t>
      </w:r>
      <w:r w:rsidR="006A0BF2" w:rsidRPr="00AD1FA3">
        <w:rPr>
          <w:rFonts w:asciiTheme="minorHAnsi" w:eastAsia="Calibri" w:hAnsiTheme="minorHAnsi" w:cstheme="minorHAnsi"/>
          <w:szCs w:val="24"/>
        </w:rPr>
        <w:t xml:space="preserve"> m</w:t>
      </w:r>
      <w:r w:rsidR="009C78FC" w:rsidRPr="00AD1FA3">
        <w:rPr>
          <w:rFonts w:asciiTheme="minorHAnsi" w:eastAsia="Calibri" w:hAnsiTheme="minorHAnsi" w:cstheme="minorHAnsi"/>
          <w:szCs w:val="24"/>
        </w:rPr>
        <w:t xml:space="preserve">ercato </w:t>
      </w:r>
      <w:r w:rsidR="001534C0" w:rsidRPr="00AD1FA3">
        <w:rPr>
          <w:rFonts w:asciiTheme="minorHAnsi" w:eastAsia="Calibri" w:hAnsiTheme="minorHAnsi" w:cstheme="minorHAnsi"/>
          <w:szCs w:val="24"/>
        </w:rPr>
        <w:t>201</w:t>
      </w:r>
      <w:r w:rsidR="00AD1FA3" w:rsidRPr="00AD1FA3">
        <w:rPr>
          <w:rFonts w:asciiTheme="minorHAnsi" w:eastAsia="Calibri" w:hAnsiTheme="minorHAnsi" w:cstheme="minorHAnsi"/>
          <w:szCs w:val="24"/>
        </w:rPr>
        <w:t>9</w:t>
      </w:r>
      <w:r w:rsidR="001534C0" w:rsidRPr="00AD1FA3">
        <w:rPr>
          <w:rFonts w:asciiTheme="minorHAnsi" w:eastAsia="Calibri" w:hAnsiTheme="minorHAnsi" w:cstheme="minorHAnsi"/>
          <w:szCs w:val="24"/>
        </w:rPr>
        <w:t xml:space="preserve"> </w:t>
      </w:r>
      <w:r w:rsidR="006A0BF2" w:rsidRPr="00AD1FA3">
        <w:rPr>
          <w:rFonts w:asciiTheme="minorHAnsi" w:eastAsia="Calibri" w:hAnsiTheme="minorHAnsi" w:cstheme="minorHAnsi"/>
          <w:szCs w:val="24"/>
        </w:rPr>
        <w:t xml:space="preserve">delle case per vacanza </w:t>
      </w:r>
      <w:r w:rsidR="00864A95" w:rsidRPr="00AD1FA3">
        <w:rPr>
          <w:rFonts w:asciiTheme="minorHAnsi" w:eastAsia="Calibri" w:hAnsiTheme="minorHAnsi" w:cstheme="minorHAnsi"/>
          <w:szCs w:val="24"/>
        </w:rPr>
        <w:t xml:space="preserve">in </w:t>
      </w:r>
      <w:r w:rsidR="006A0BF2" w:rsidRPr="00AD1FA3">
        <w:rPr>
          <w:rFonts w:asciiTheme="minorHAnsi" w:eastAsia="Calibri" w:hAnsiTheme="minorHAnsi" w:cstheme="minorHAnsi"/>
          <w:szCs w:val="24"/>
        </w:rPr>
        <w:t>Italia</w:t>
      </w:r>
      <w:r w:rsidR="00AF3CF5" w:rsidRPr="00AD1FA3">
        <w:rPr>
          <w:rFonts w:asciiTheme="minorHAnsi" w:eastAsia="Calibri" w:hAnsiTheme="minorHAnsi" w:cstheme="minorHAnsi"/>
          <w:szCs w:val="24"/>
        </w:rPr>
        <w:t>,</w:t>
      </w:r>
      <w:r w:rsidR="00864A95" w:rsidRPr="00AD1FA3">
        <w:rPr>
          <w:rFonts w:asciiTheme="minorHAnsi" w:eastAsia="Calibri" w:hAnsiTheme="minorHAnsi" w:cstheme="minorHAnsi"/>
          <w:szCs w:val="24"/>
        </w:rPr>
        <w:t xml:space="preserve"> attraverso l’analisi dei dati </w:t>
      </w:r>
      <w:r w:rsidR="004D2B7B" w:rsidRPr="00AD1FA3">
        <w:rPr>
          <w:rFonts w:asciiTheme="minorHAnsi" w:eastAsia="Calibri" w:hAnsiTheme="minorHAnsi" w:cstheme="minorHAnsi"/>
          <w:szCs w:val="24"/>
        </w:rPr>
        <w:t xml:space="preserve">delle </w:t>
      </w:r>
      <w:r w:rsidR="00F72B38" w:rsidRPr="00AD1FA3">
        <w:rPr>
          <w:rFonts w:asciiTheme="minorHAnsi" w:eastAsia="Calibri" w:hAnsiTheme="minorHAnsi" w:cstheme="minorHAnsi"/>
          <w:szCs w:val="24"/>
        </w:rPr>
        <w:t xml:space="preserve">compravendite e delle locazioni </w:t>
      </w:r>
      <w:r w:rsidR="0019429B" w:rsidRPr="00AD1FA3">
        <w:rPr>
          <w:rFonts w:asciiTheme="minorHAnsi" w:eastAsia="Calibri" w:hAnsiTheme="minorHAnsi" w:cstheme="minorHAnsi"/>
          <w:szCs w:val="24"/>
        </w:rPr>
        <w:t xml:space="preserve">di </w:t>
      </w:r>
      <w:r w:rsidR="006A427A" w:rsidRPr="00AD1FA3">
        <w:rPr>
          <w:rFonts w:asciiTheme="minorHAnsi" w:eastAsia="Calibri" w:hAnsiTheme="minorHAnsi" w:cstheme="minorHAnsi"/>
          <w:szCs w:val="24"/>
        </w:rPr>
        <w:t>20</w:t>
      </w:r>
      <w:r w:rsidR="00AD1FA3" w:rsidRPr="00AD1FA3">
        <w:rPr>
          <w:rFonts w:asciiTheme="minorHAnsi" w:eastAsia="Calibri" w:hAnsiTheme="minorHAnsi" w:cstheme="minorHAnsi"/>
          <w:szCs w:val="24"/>
        </w:rPr>
        <w:t>5</w:t>
      </w:r>
      <w:r w:rsidR="00864A95" w:rsidRPr="00AD1FA3">
        <w:rPr>
          <w:rFonts w:asciiTheme="minorHAnsi" w:eastAsia="Calibri" w:hAnsiTheme="minorHAnsi" w:cstheme="minorHAnsi"/>
          <w:szCs w:val="24"/>
        </w:rPr>
        <w:t xml:space="preserve"> località di mare e </w:t>
      </w:r>
      <w:r w:rsidR="00AF3CF5" w:rsidRPr="00AD1FA3">
        <w:rPr>
          <w:rFonts w:asciiTheme="minorHAnsi" w:eastAsia="Calibri" w:hAnsiTheme="minorHAnsi" w:cstheme="minorHAnsi"/>
          <w:szCs w:val="24"/>
        </w:rPr>
        <w:t>1</w:t>
      </w:r>
      <w:r w:rsidR="006A427A" w:rsidRPr="00AD1FA3">
        <w:rPr>
          <w:rFonts w:asciiTheme="minorHAnsi" w:eastAsia="Calibri" w:hAnsiTheme="minorHAnsi" w:cstheme="minorHAnsi"/>
          <w:szCs w:val="24"/>
        </w:rPr>
        <w:t>12</w:t>
      </w:r>
      <w:r w:rsidR="00864A95" w:rsidRPr="00AD1FA3">
        <w:rPr>
          <w:rFonts w:asciiTheme="minorHAnsi" w:eastAsia="Calibri" w:hAnsiTheme="minorHAnsi" w:cstheme="minorHAnsi"/>
          <w:szCs w:val="24"/>
        </w:rPr>
        <w:t xml:space="preserve"> di montagna e lago. </w:t>
      </w:r>
    </w:p>
    <w:p w:rsidR="00582B11" w:rsidRPr="00AD1FA3" w:rsidRDefault="00582B11" w:rsidP="00126AC8">
      <w:pPr>
        <w:rPr>
          <w:rFonts w:asciiTheme="minorHAnsi" w:eastAsia="Calibri" w:hAnsiTheme="minorHAnsi" w:cstheme="minorHAnsi"/>
          <w:szCs w:val="24"/>
        </w:rPr>
      </w:pPr>
    </w:p>
    <w:p w:rsidR="00D859D7" w:rsidRPr="00AD1FA3" w:rsidRDefault="005942A3" w:rsidP="00F72B38">
      <w:pPr>
        <w:spacing w:after="120" w:line="276" w:lineRule="auto"/>
        <w:rPr>
          <w:rFonts w:asciiTheme="minorHAnsi" w:eastAsia="Calibri" w:hAnsiTheme="minorHAnsi" w:cstheme="minorHAnsi"/>
          <w:szCs w:val="24"/>
        </w:rPr>
      </w:pPr>
      <w:r w:rsidRPr="00AD1FA3">
        <w:rPr>
          <w:rFonts w:asciiTheme="minorHAnsi" w:eastAsia="Calibri" w:hAnsiTheme="minorHAnsi" w:cstheme="minorHAnsi"/>
          <w:szCs w:val="24"/>
        </w:rPr>
        <w:t>I</w:t>
      </w:r>
      <w:r w:rsidR="00D859D7" w:rsidRPr="00AD1FA3">
        <w:rPr>
          <w:rFonts w:asciiTheme="minorHAnsi" w:eastAsia="Calibri" w:hAnsiTheme="minorHAnsi" w:cstheme="minorHAnsi"/>
          <w:szCs w:val="24"/>
        </w:rPr>
        <w:t xml:space="preserve"> punti principali dell’analisi:</w:t>
      </w:r>
    </w:p>
    <w:p w:rsidR="00D859D7" w:rsidRPr="00AD1FA3" w:rsidRDefault="00AD1FA3" w:rsidP="007B6950">
      <w:pPr>
        <w:pStyle w:val="Paragrafoelenco"/>
        <w:numPr>
          <w:ilvl w:val="0"/>
          <w:numId w:val="4"/>
        </w:numPr>
        <w:spacing w:after="200" w:line="276" w:lineRule="auto"/>
        <w:rPr>
          <w:rFonts w:asciiTheme="minorHAnsi" w:eastAsia="Calibri" w:hAnsiTheme="minorHAnsi" w:cstheme="minorHAnsi"/>
          <w:b/>
          <w:szCs w:val="24"/>
        </w:rPr>
      </w:pPr>
      <w:r w:rsidRPr="00AD1FA3">
        <w:rPr>
          <w:rFonts w:asciiTheme="minorHAnsi" w:eastAsia="Calibri" w:hAnsiTheme="minorHAnsi" w:cstheme="minorHAnsi"/>
          <w:b/>
          <w:szCs w:val="24"/>
        </w:rPr>
        <w:t>C</w:t>
      </w:r>
      <w:r w:rsidR="00E93DED" w:rsidRPr="00AD1FA3">
        <w:rPr>
          <w:rFonts w:asciiTheme="minorHAnsi" w:eastAsia="Calibri" w:hAnsiTheme="minorHAnsi" w:cstheme="minorHAnsi"/>
          <w:b/>
          <w:szCs w:val="24"/>
        </w:rPr>
        <w:t>rescita</w:t>
      </w:r>
      <w:r w:rsidR="006561E7" w:rsidRPr="00AD1FA3">
        <w:rPr>
          <w:rFonts w:asciiTheme="minorHAnsi" w:eastAsia="Calibri" w:hAnsiTheme="minorHAnsi" w:cstheme="minorHAnsi"/>
          <w:b/>
          <w:szCs w:val="24"/>
        </w:rPr>
        <w:t xml:space="preserve"> delle </w:t>
      </w:r>
      <w:r w:rsidR="004527F2" w:rsidRPr="00AD1FA3">
        <w:rPr>
          <w:rFonts w:asciiTheme="minorHAnsi" w:eastAsia="Calibri" w:hAnsiTheme="minorHAnsi" w:cstheme="minorHAnsi"/>
          <w:b/>
          <w:szCs w:val="24"/>
        </w:rPr>
        <w:t>compravendite di</w:t>
      </w:r>
      <w:r w:rsidR="00D859D7" w:rsidRPr="00AD1FA3">
        <w:rPr>
          <w:rFonts w:asciiTheme="minorHAnsi" w:eastAsia="Calibri" w:hAnsiTheme="minorHAnsi" w:cstheme="minorHAnsi"/>
          <w:b/>
          <w:szCs w:val="24"/>
        </w:rPr>
        <w:t xml:space="preserve"> abitazioni </w:t>
      </w:r>
      <w:r w:rsidR="00D67779" w:rsidRPr="00AD1FA3">
        <w:rPr>
          <w:rFonts w:asciiTheme="minorHAnsi" w:eastAsia="Calibri" w:hAnsiTheme="minorHAnsi" w:cstheme="minorHAnsi"/>
          <w:b/>
          <w:szCs w:val="24"/>
        </w:rPr>
        <w:t>nelle località turistiche</w:t>
      </w:r>
      <w:r w:rsidR="00D859D7" w:rsidRPr="00AD1FA3">
        <w:rPr>
          <w:rFonts w:asciiTheme="minorHAnsi" w:eastAsia="Calibri" w:hAnsiTheme="minorHAnsi" w:cstheme="minorHAnsi"/>
          <w:b/>
          <w:szCs w:val="24"/>
        </w:rPr>
        <w:t>. Rispetto al 201</w:t>
      </w:r>
      <w:r w:rsidRPr="00AD1FA3">
        <w:rPr>
          <w:rFonts w:asciiTheme="minorHAnsi" w:eastAsia="Calibri" w:hAnsiTheme="minorHAnsi" w:cstheme="minorHAnsi"/>
          <w:b/>
          <w:szCs w:val="24"/>
        </w:rPr>
        <w:t>7</w:t>
      </w:r>
      <w:r w:rsidR="00D859D7" w:rsidRPr="00AD1FA3">
        <w:rPr>
          <w:rFonts w:asciiTheme="minorHAnsi" w:eastAsia="Calibri" w:hAnsiTheme="minorHAnsi" w:cstheme="minorHAnsi"/>
          <w:b/>
          <w:szCs w:val="24"/>
        </w:rPr>
        <w:t xml:space="preserve">, infatti, </w:t>
      </w:r>
      <w:r w:rsidR="004527F2" w:rsidRPr="00AD1FA3">
        <w:rPr>
          <w:rFonts w:asciiTheme="minorHAnsi" w:eastAsia="Calibri" w:hAnsiTheme="minorHAnsi" w:cstheme="minorHAnsi"/>
          <w:b/>
          <w:szCs w:val="24"/>
        </w:rPr>
        <w:t>nel</w:t>
      </w:r>
      <w:r w:rsidR="00C83ACE" w:rsidRPr="00AD1FA3">
        <w:rPr>
          <w:rFonts w:asciiTheme="minorHAnsi" w:eastAsia="Calibri" w:hAnsiTheme="minorHAnsi" w:cstheme="minorHAnsi"/>
          <w:b/>
          <w:szCs w:val="24"/>
        </w:rPr>
        <w:t xml:space="preserve"> 201</w:t>
      </w:r>
      <w:r w:rsidRPr="00AD1FA3">
        <w:rPr>
          <w:rFonts w:asciiTheme="minorHAnsi" w:eastAsia="Calibri" w:hAnsiTheme="minorHAnsi" w:cstheme="minorHAnsi"/>
          <w:b/>
          <w:szCs w:val="24"/>
        </w:rPr>
        <w:t>8</w:t>
      </w:r>
      <w:r w:rsidR="00F72B38" w:rsidRPr="00AD1FA3">
        <w:rPr>
          <w:rFonts w:asciiTheme="minorHAnsi" w:eastAsia="Calibri" w:hAnsiTheme="minorHAnsi" w:cstheme="minorHAnsi"/>
          <w:b/>
          <w:szCs w:val="24"/>
        </w:rPr>
        <w:t xml:space="preserve"> </w:t>
      </w:r>
      <w:r w:rsidR="00D859D7" w:rsidRPr="00AD1FA3">
        <w:rPr>
          <w:rFonts w:asciiTheme="minorHAnsi" w:eastAsia="Calibri" w:hAnsiTheme="minorHAnsi" w:cstheme="minorHAnsi"/>
          <w:b/>
          <w:szCs w:val="24"/>
        </w:rPr>
        <w:t>le transazioni registrate a livello complessivo</w:t>
      </w:r>
      <w:r w:rsidR="006561E7" w:rsidRPr="00AD1FA3">
        <w:rPr>
          <w:rFonts w:asciiTheme="minorHAnsi" w:eastAsia="Calibri" w:hAnsiTheme="minorHAnsi" w:cstheme="minorHAnsi"/>
          <w:b/>
          <w:szCs w:val="24"/>
        </w:rPr>
        <w:t xml:space="preserve"> sono aumentate </w:t>
      </w:r>
      <w:r w:rsidR="00D67779" w:rsidRPr="00AD1FA3">
        <w:rPr>
          <w:rFonts w:asciiTheme="minorHAnsi" w:eastAsia="Calibri" w:hAnsiTheme="minorHAnsi" w:cstheme="minorHAnsi"/>
          <w:b/>
          <w:szCs w:val="24"/>
        </w:rPr>
        <w:t xml:space="preserve">del </w:t>
      </w:r>
      <w:r w:rsidRPr="00AD1FA3">
        <w:rPr>
          <w:rFonts w:asciiTheme="minorHAnsi" w:eastAsia="Calibri" w:hAnsiTheme="minorHAnsi" w:cstheme="minorHAnsi"/>
          <w:b/>
          <w:szCs w:val="24"/>
        </w:rPr>
        <w:t>6</w:t>
      </w:r>
      <w:r w:rsidR="006A427A" w:rsidRPr="00AD1FA3">
        <w:rPr>
          <w:rFonts w:asciiTheme="minorHAnsi" w:eastAsia="Calibri" w:hAnsiTheme="minorHAnsi" w:cstheme="minorHAnsi"/>
          <w:b/>
          <w:szCs w:val="24"/>
        </w:rPr>
        <w:t>,</w:t>
      </w:r>
      <w:r w:rsidRPr="00AD1FA3">
        <w:rPr>
          <w:rFonts w:asciiTheme="minorHAnsi" w:eastAsia="Calibri" w:hAnsiTheme="minorHAnsi" w:cstheme="minorHAnsi"/>
          <w:b/>
          <w:szCs w:val="24"/>
        </w:rPr>
        <w:t>1</w:t>
      </w:r>
      <w:r w:rsidR="00D859D7" w:rsidRPr="00AD1FA3">
        <w:rPr>
          <w:rFonts w:asciiTheme="minorHAnsi" w:eastAsia="Calibri" w:hAnsiTheme="minorHAnsi" w:cstheme="minorHAnsi"/>
          <w:b/>
          <w:szCs w:val="24"/>
        </w:rPr>
        <w:t>%</w:t>
      </w:r>
      <w:r w:rsidRPr="00AD1FA3">
        <w:rPr>
          <w:rFonts w:asciiTheme="minorHAnsi" w:eastAsia="Calibri" w:hAnsiTheme="minorHAnsi" w:cstheme="minorHAnsi"/>
          <w:b/>
          <w:szCs w:val="24"/>
        </w:rPr>
        <w:t>, in linea col dato nazionale (+6,5%)</w:t>
      </w:r>
      <w:r w:rsidR="00F72B38" w:rsidRPr="00AD1FA3">
        <w:rPr>
          <w:rFonts w:asciiTheme="minorHAnsi" w:eastAsia="Calibri" w:hAnsiTheme="minorHAnsi" w:cstheme="minorHAnsi"/>
          <w:b/>
          <w:szCs w:val="24"/>
        </w:rPr>
        <w:t>: in particolare</w:t>
      </w:r>
      <w:r w:rsidR="00D859D7" w:rsidRPr="00AD1FA3">
        <w:rPr>
          <w:rFonts w:asciiTheme="minorHAnsi" w:eastAsia="Calibri" w:hAnsiTheme="minorHAnsi" w:cstheme="minorHAnsi"/>
          <w:b/>
          <w:szCs w:val="24"/>
        </w:rPr>
        <w:t>, le località marine</w:t>
      </w:r>
      <w:r w:rsidR="005942A3" w:rsidRPr="00AD1FA3">
        <w:rPr>
          <w:rFonts w:asciiTheme="minorHAnsi" w:eastAsia="Calibri" w:hAnsiTheme="minorHAnsi" w:cstheme="minorHAnsi"/>
          <w:b/>
          <w:szCs w:val="24"/>
        </w:rPr>
        <w:t xml:space="preserve"> hanno fatto</w:t>
      </w:r>
      <w:r w:rsidR="00F72B38" w:rsidRPr="00AD1FA3">
        <w:rPr>
          <w:rFonts w:asciiTheme="minorHAnsi" w:eastAsia="Calibri" w:hAnsiTheme="minorHAnsi" w:cstheme="minorHAnsi"/>
          <w:b/>
          <w:szCs w:val="24"/>
        </w:rPr>
        <w:t xml:space="preserve"> segnare +</w:t>
      </w:r>
      <w:r w:rsidR="005904AF">
        <w:rPr>
          <w:rFonts w:asciiTheme="minorHAnsi" w:eastAsia="Calibri" w:hAnsiTheme="minorHAnsi" w:cstheme="minorHAnsi"/>
          <w:b/>
          <w:szCs w:val="24"/>
        </w:rPr>
        <w:t>6,</w:t>
      </w:r>
      <w:r w:rsidR="00C83ACE" w:rsidRPr="00AD1FA3">
        <w:rPr>
          <w:rFonts w:asciiTheme="minorHAnsi" w:eastAsia="Calibri" w:hAnsiTheme="minorHAnsi" w:cstheme="minorHAnsi"/>
          <w:b/>
          <w:szCs w:val="24"/>
        </w:rPr>
        <w:t>4</w:t>
      </w:r>
      <w:r w:rsidR="00F72B38" w:rsidRPr="00AD1FA3">
        <w:rPr>
          <w:rFonts w:asciiTheme="minorHAnsi" w:eastAsia="Calibri" w:hAnsiTheme="minorHAnsi" w:cstheme="minorHAnsi"/>
          <w:b/>
          <w:szCs w:val="24"/>
        </w:rPr>
        <w:t>%</w:t>
      </w:r>
      <w:r w:rsidR="00CC41FA" w:rsidRPr="00AD1FA3">
        <w:rPr>
          <w:rFonts w:asciiTheme="minorHAnsi" w:eastAsia="Calibri" w:hAnsiTheme="minorHAnsi" w:cstheme="minorHAnsi"/>
          <w:b/>
          <w:szCs w:val="24"/>
        </w:rPr>
        <w:t xml:space="preserve">, </w:t>
      </w:r>
      <w:r w:rsidR="00F72B38" w:rsidRPr="00AD1FA3">
        <w:rPr>
          <w:rFonts w:asciiTheme="minorHAnsi" w:eastAsia="Calibri" w:hAnsiTheme="minorHAnsi" w:cstheme="minorHAnsi"/>
          <w:b/>
          <w:szCs w:val="24"/>
        </w:rPr>
        <w:t xml:space="preserve">quelle </w:t>
      </w:r>
      <w:r w:rsidR="005904AF" w:rsidRPr="00AD1FA3">
        <w:rPr>
          <w:rFonts w:asciiTheme="minorHAnsi" w:eastAsia="Calibri" w:hAnsiTheme="minorHAnsi" w:cstheme="minorHAnsi"/>
          <w:b/>
          <w:szCs w:val="24"/>
        </w:rPr>
        <w:t xml:space="preserve">montane </w:t>
      </w:r>
      <w:r w:rsidR="005904AF">
        <w:rPr>
          <w:rFonts w:asciiTheme="minorHAnsi" w:eastAsia="Calibri" w:hAnsiTheme="minorHAnsi" w:cstheme="minorHAnsi"/>
          <w:b/>
          <w:szCs w:val="24"/>
        </w:rPr>
        <w:t>+</w:t>
      </w:r>
      <w:r w:rsidR="005904AF" w:rsidRPr="00AD1FA3">
        <w:rPr>
          <w:rFonts w:asciiTheme="minorHAnsi" w:eastAsia="Calibri" w:hAnsiTheme="minorHAnsi" w:cstheme="minorHAnsi"/>
          <w:b/>
          <w:szCs w:val="24"/>
        </w:rPr>
        <w:t>4,</w:t>
      </w:r>
      <w:r w:rsidR="005904AF">
        <w:rPr>
          <w:rFonts w:asciiTheme="minorHAnsi" w:eastAsia="Calibri" w:hAnsiTheme="minorHAnsi" w:cstheme="minorHAnsi"/>
          <w:b/>
          <w:szCs w:val="24"/>
        </w:rPr>
        <w:t>0</w:t>
      </w:r>
      <w:r w:rsidR="005904AF" w:rsidRPr="00AD1FA3">
        <w:rPr>
          <w:rFonts w:asciiTheme="minorHAnsi" w:eastAsia="Calibri" w:hAnsiTheme="minorHAnsi" w:cstheme="minorHAnsi"/>
          <w:b/>
          <w:szCs w:val="24"/>
        </w:rPr>
        <w:t>%</w:t>
      </w:r>
      <w:r w:rsidR="00C83ACE" w:rsidRPr="00AD1FA3">
        <w:rPr>
          <w:rFonts w:asciiTheme="minorHAnsi" w:eastAsia="Calibri" w:hAnsiTheme="minorHAnsi" w:cstheme="minorHAnsi"/>
          <w:b/>
          <w:szCs w:val="24"/>
        </w:rPr>
        <w:t xml:space="preserve">, mentre quelle </w:t>
      </w:r>
      <w:r w:rsidR="005904AF">
        <w:rPr>
          <w:rFonts w:asciiTheme="minorHAnsi" w:eastAsia="Calibri" w:hAnsiTheme="minorHAnsi" w:cstheme="minorHAnsi"/>
          <w:b/>
          <w:szCs w:val="24"/>
        </w:rPr>
        <w:t>lacuali +7</w:t>
      </w:r>
      <w:r w:rsidR="005904AF" w:rsidRPr="00AD1FA3">
        <w:rPr>
          <w:rFonts w:asciiTheme="minorHAnsi" w:eastAsia="Calibri" w:hAnsiTheme="minorHAnsi" w:cstheme="minorHAnsi"/>
          <w:b/>
          <w:szCs w:val="24"/>
        </w:rPr>
        <w:t>,</w:t>
      </w:r>
      <w:r w:rsidR="005904AF">
        <w:rPr>
          <w:rFonts w:asciiTheme="minorHAnsi" w:eastAsia="Calibri" w:hAnsiTheme="minorHAnsi" w:cstheme="minorHAnsi"/>
          <w:b/>
          <w:szCs w:val="24"/>
        </w:rPr>
        <w:t>6</w:t>
      </w:r>
      <w:r w:rsidR="005904AF" w:rsidRPr="00AD1FA3">
        <w:rPr>
          <w:rFonts w:asciiTheme="minorHAnsi" w:eastAsia="Calibri" w:hAnsiTheme="minorHAnsi" w:cstheme="minorHAnsi"/>
          <w:b/>
          <w:szCs w:val="24"/>
        </w:rPr>
        <w:t xml:space="preserve">% </w:t>
      </w:r>
      <w:r w:rsidR="000D7640" w:rsidRPr="00AD1FA3">
        <w:rPr>
          <w:rFonts w:asciiTheme="minorHAnsi" w:eastAsia="Calibri" w:hAnsiTheme="minorHAnsi" w:cstheme="minorHAnsi"/>
          <w:b/>
          <w:szCs w:val="24"/>
        </w:rPr>
        <w:t>(tav.</w:t>
      </w:r>
      <w:r w:rsidR="00D859D7" w:rsidRPr="00AD1FA3">
        <w:rPr>
          <w:rFonts w:asciiTheme="minorHAnsi" w:eastAsia="Calibri" w:hAnsiTheme="minorHAnsi" w:cstheme="minorHAnsi"/>
          <w:b/>
          <w:szCs w:val="24"/>
        </w:rPr>
        <w:t xml:space="preserve"> </w:t>
      </w:r>
      <w:r w:rsidR="000D7640" w:rsidRPr="00AD1FA3">
        <w:rPr>
          <w:rFonts w:asciiTheme="minorHAnsi" w:eastAsia="Calibri" w:hAnsiTheme="minorHAnsi" w:cstheme="minorHAnsi"/>
          <w:b/>
          <w:szCs w:val="24"/>
        </w:rPr>
        <w:t>2)</w:t>
      </w:r>
      <w:r w:rsidR="00FE0AD1" w:rsidRPr="00AD1FA3">
        <w:rPr>
          <w:rFonts w:asciiTheme="minorHAnsi" w:eastAsia="Calibri" w:hAnsiTheme="minorHAnsi" w:cstheme="minorHAnsi"/>
          <w:b/>
          <w:szCs w:val="24"/>
        </w:rPr>
        <w:t>.</w:t>
      </w:r>
    </w:p>
    <w:p w:rsidR="00D859D7" w:rsidRPr="005904AF" w:rsidRDefault="00D859D7" w:rsidP="007B6950">
      <w:pPr>
        <w:pStyle w:val="Paragrafoelenco"/>
        <w:ind w:left="357"/>
        <w:rPr>
          <w:rFonts w:asciiTheme="minorHAnsi" w:eastAsia="Calibri" w:hAnsiTheme="minorHAnsi" w:cstheme="minorHAnsi"/>
          <w:b/>
          <w:szCs w:val="24"/>
        </w:rPr>
      </w:pPr>
    </w:p>
    <w:p w:rsidR="00EF4800" w:rsidRPr="005904AF" w:rsidRDefault="00813DE3" w:rsidP="005942A3">
      <w:pPr>
        <w:pStyle w:val="Paragrafoelenco"/>
        <w:numPr>
          <w:ilvl w:val="0"/>
          <w:numId w:val="4"/>
        </w:numPr>
        <w:spacing w:after="200" w:line="276" w:lineRule="auto"/>
        <w:rPr>
          <w:rFonts w:asciiTheme="minorHAnsi" w:eastAsia="Calibri" w:hAnsiTheme="minorHAnsi" w:cstheme="minorHAnsi"/>
          <w:b/>
          <w:spacing w:val="-2"/>
          <w:szCs w:val="24"/>
        </w:rPr>
      </w:pPr>
      <w:r w:rsidRPr="005904AF">
        <w:rPr>
          <w:rFonts w:asciiTheme="minorHAnsi" w:eastAsia="Calibri" w:hAnsiTheme="minorHAnsi" w:cstheme="minorHAnsi"/>
          <w:b/>
          <w:spacing w:val="-2"/>
          <w:szCs w:val="24"/>
        </w:rPr>
        <w:t>N</w:t>
      </w:r>
      <w:r w:rsidR="000D7640" w:rsidRPr="005904AF">
        <w:rPr>
          <w:rFonts w:asciiTheme="minorHAnsi" w:eastAsia="Calibri" w:hAnsiTheme="minorHAnsi" w:cstheme="minorHAnsi"/>
          <w:b/>
          <w:spacing w:val="-2"/>
          <w:szCs w:val="24"/>
        </w:rPr>
        <w:t>el 201</w:t>
      </w:r>
      <w:r w:rsidR="005904AF" w:rsidRPr="005904AF">
        <w:rPr>
          <w:rFonts w:asciiTheme="minorHAnsi" w:eastAsia="Calibri" w:hAnsiTheme="minorHAnsi" w:cstheme="minorHAnsi"/>
          <w:b/>
          <w:spacing w:val="-2"/>
          <w:szCs w:val="24"/>
        </w:rPr>
        <w:t>9</w:t>
      </w:r>
      <w:r w:rsidR="000D7640" w:rsidRPr="005904AF">
        <w:rPr>
          <w:rFonts w:asciiTheme="minorHAnsi" w:eastAsia="Calibri" w:hAnsiTheme="minorHAnsi" w:cstheme="minorHAnsi"/>
          <w:b/>
          <w:spacing w:val="-2"/>
          <w:szCs w:val="24"/>
        </w:rPr>
        <w:t xml:space="preserve">, </w:t>
      </w:r>
      <w:r w:rsidR="00582B11" w:rsidRPr="005904AF">
        <w:rPr>
          <w:rFonts w:asciiTheme="minorHAnsi" w:eastAsia="Calibri" w:hAnsiTheme="minorHAnsi" w:cstheme="minorHAnsi"/>
          <w:b/>
          <w:spacing w:val="-2"/>
          <w:szCs w:val="24"/>
        </w:rPr>
        <w:t xml:space="preserve">il prezzo medio per l’acquisto di un’abitazione turistica in Italia </w:t>
      </w:r>
      <w:r w:rsidR="005942A3" w:rsidRPr="005904AF">
        <w:rPr>
          <w:rFonts w:asciiTheme="minorHAnsi" w:eastAsia="Calibri" w:hAnsiTheme="minorHAnsi" w:cstheme="minorHAnsi"/>
          <w:b/>
          <w:spacing w:val="-2"/>
          <w:szCs w:val="24"/>
        </w:rPr>
        <w:t>si attesta a</w:t>
      </w:r>
      <w:r w:rsidR="00582B11" w:rsidRPr="005904AF">
        <w:rPr>
          <w:rFonts w:asciiTheme="minorHAnsi" w:eastAsia="Calibri" w:hAnsiTheme="minorHAnsi" w:cstheme="minorHAnsi"/>
          <w:b/>
          <w:spacing w:val="-2"/>
          <w:szCs w:val="24"/>
        </w:rPr>
        <w:t xml:space="preserve"> 2.</w:t>
      </w:r>
      <w:r w:rsidR="00724440" w:rsidRPr="005904AF">
        <w:rPr>
          <w:rFonts w:asciiTheme="minorHAnsi" w:eastAsia="Calibri" w:hAnsiTheme="minorHAnsi" w:cstheme="minorHAnsi"/>
          <w:b/>
          <w:spacing w:val="-2"/>
          <w:szCs w:val="24"/>
        </w:rPr>
        <w:t>13</w:t>
      </w:r>
      <w:r w:rsidR="005904AF" w:rsidRPr="005904AF">
        <w:rPr>
          <w:rFonts w:asciiTheme="minorHAnsi" w:eastAsia="Calibri" w:hAnsiTheme="minorHAnsi" w:cstheme="minorHAnsi"/>
          <w:b/>
          <w:spacing w:val="-2"/>
          <w:szCs w:val="24"/>
        </w:rPr>
        <w:t>4</w:t>
      </w:r>
      <w:r w:rsidR="00582B11" w:rsidRPr="005904AF">
        <w:rPr>
          <w:rFonts w:asciiTheme="minorHAnsi" w:eastAsia="Calibri" w:hAnsiTheme="minorHAnsi" w:cstheme="minorHAnsi"/>
          <w:b/>
          <w:spacing w:val="-2"/>
          <w:szCs w:val="24"/>
        </w:rPr>
        <w:t xml:space="preserve"> euro al mq commerciale</w:t>
      </w:r>
      <w:r w:rsidR="00C07801" w:rsidRPr="005904AF">
        <w:rPr>
          <w:rFonts w:asciiTheme="minorHAnsi" w:eastAsia="Calibri" w:hAnsiTheme="minorHAnsi" w:cstheme="minorHAnsi"/>
          <w:b/>
          <w:spacing w:val="-2"/>
          <w:szCs w:val="24"/>
        </w:rPr>
        <w:t>,</w:t>
      </w:r>
      <w:r w:rsidR="00582B11" w:rsidRPr="005904AF">
        <w:rPr>
          <w:rFonts w:asciiTheme="minorHAnsi" w:eastAsia="Calibri" w:hAnsiTheme="minorHAnsi" w:cstheme="minorHAnsi"/>
          <w:b/>
          <w:spacing w:val="-2"/>
          <w:szCs w:val="24"/>
        </w:rPr>
        <w:t xml:space="preserve"> con un trend de</w:t>
      </w:r>
      <w:r w:rsidR="00D859D7" w:rsidRPr="005904AF">
        <w:rPr>
          <w:rFonts w:asciiTheme="minorHAnsi" w:eastAsia="Calibri" w:hAnsiTheme="minorHAnsi" w:cstheme="minorHAnsi"/>
          <w:b/>
          <w:spacing w:val="-2"/>
          <w:szCs w:val="24"/>
        </w:rPr>
        <w:t>i prezzi di vendita delle case per vacanza</w:t>
      </w:r>
      <w:r w:rsidR="00582B11" w:rsidRPr="005904AF">
        <w:rPr>
          <w:rFonts w:asciiTheme="minorHAnsi" w:eastAsia="Calibri" w:hAnsiTheme="minorHAnsi" w:cstheme="minorHAnsi"/>
          <w:b/>
          <w:spacing w:val="-2"/>
          <w:szCs w:val="24"/>
        </w:rPr>
        <w:t xml:space="preserve"> </w:t>
      </w:r>
      <w:r w:rsidR="0000195A">
        <w:rPr>
          <w:rFonts w:asciiTheme="minorHAnsi" w:eastAsia="Calibri" w:hAnsiTheme="minorHAnsi" w:cstheme="minorHAnsi"/>
          <w:b/>
          <w:spacing w:val="-2"/>
          <w:szCs w:val="24"/>
        </w:rPr>
        <w:t>ancora in</w:t>
      </w:r>
      <w:r w:rsidR="004527F2" w:rsidRPr="005904AF">
        <w:rPr>
          <w:rFonts w:asciiTheme="minorHAnsi" w:eastAsia="Calibri" w:hAnsiTheme="minorHAnsi" w:cstheme="minorHAnsi"/>
          <w:b/>
          <w:spacing w:val="-2"/>
          <w:szCs w:val="24"/>
        </w:rPr>
        <w:t xml:space="preserve"> contrazione</w:t>
      </w:r>
      <w:r w:rsidR="00D859D7" w:rsidRPr="005904AF">
        <w:rPr>
          <w:rFonts w:asciiTheme="minorHAnsi" w:eastAsia="Calibri" w:hAnsiTheme="minorHAnsi" w:cstheme="minorHAnsi"/>
          <w:b/>
          <w:spacing w:val="-2"/>
          <w:szCs w:val="24"/>
        </w:rPr>
        <w:t>: il dato medio</w:t>
      </w:r>
      <w:r w:rsidR="004527F2" w:rsidRPr="005904AF">
        <w:rPr>
          <w:rFonts w:asciiTheme="minorHAnsi" w:eastAsia="Calibri" w:hAnsiTheme="minorHAnsi" w:cstheme="minorHAnsi"/>
          <w:b/>
          <w:spacing w:val="-2"/>
          <w:szCs w:val="24"/>
        </w:rPr>
        <w:t xml:space="preserve"> fa</w:t>
      </w:r>
      <w:r w:rsidR="00D859D7" w:rsidRPr="005904AF">
        <w:rPr>
          <w:rFonts w:asciiTheme="minorHAnsi" w:eastAsia="Calibri" w:hAnsiTheme="minorHAnsi" w:cstheme="minorHAnsi"/>
          <w:b/>
          <w:spacing w:val="-2"/>
          <w:szCs w:val="24"/>
        </w:rPr>
        <w:t xml:space="preserve"> segna</w:t>
      </w:r>
      <w:r w:rsidR="004527F2" w:rsidRPr="005904AF">
        <w:rPr>
          <w:rFonts w:asciiTheme="minorHAnsi" w:eastAsia="Calibri" w:hAnsiTheme="minorHAnsi" w:cstheme="minorHAnsi"/>
          <w:b/>
          <w:spacing w:val="-2"/>
          <w:szCs w:val="24"/>
        </w:rPr>
        <w:t>re</w:t>
      </w:r>
      <w:r w:rsidR="00D859D7" w:rsidRPr="005904AF">
        <w:rPr>
          <w:rFonts w:asciiTheme="minorHAnsi" w:eastAsia="Calibri" w:hAnsiTheme="minorHAnsi" w:cstheme="minorHAnsi"/>
          <w:b/>
          <w:spacing w:val="-2"/>
          <w:szCs w:val="24"/>
        </w:rPr>
        <w:t xml:space="preserve"> un</w:t>
      </w:r>
      <w:r w:rsidR="00D67779" w:rsidRPr="005904AF">
        <w:rPr>
          <w:rFonts w:asciiTheme="minorHAnsi" w:eastAsia="Calibri" w:hAnsiTheme="minorHAnsi" w:cstheme="minorHAnsi"/>
          <w:b/>
          <w:spacing w:val="-2"/>
          <w:szCs w:val="24"/>
        </w:rPr>
        <w:t>a flessione annua pari a</w:t>
      </w:r>
      <w:r w:rsidR="00D859D7" w:rsidRPr="005904AF">
        <w:rPr>
          <w:rFonts w:asciiTheme="minorHAnsi" w:eastAsia="Calibri" w:hAnsiTheme="minorHAnsi" w:cstheme="minorHAnsi"/>
          <w:b/>
          <w:spacing w:val="-2"/>
          <w:szCs w:val="24"/>
        </w:rPr>
        <w:t xml:space="preserve"> -</w:t>
      </w:r>
      <w:r w:rsidR="005904AF" w:rsidRPr="005904AF">
        <w:rPr>
          <w:rFonts w:asciiTheme="minorHAnsi" w:eastAsia="Calibri" w:hAnsiTheme="minorHAnsi" w:cstheme="minorHAnsi"/>
          <w:b/>
          <w:spacing w:val="-2"/>
          <w:szCs w:val="24"/>
        </w:rPr>
        <w:t>1</w:t>
      </w:r>
      <w:r w:rsidR="00D859D7" w:rsidRPr="005904AF">
        <w:rPr>
          <w:rFonts w:asciiTheme="minorHAnsi" w:eastAsia="Calibri" w:hAnsiTheme="minorHAnsi" w:cstheme="minorHAnsi"/>
          <w:b/>
          <w:spacing w:val="-2"/>
          <w:szCs w:val="24"/>
        </w:rPr>
        <w:t>,</w:t>
      </w:r>
      <w:r w:rsidR="005904AF" w:rsidRPr="005904AF">
        <w:rPr>
          <w:rFonts w:asciiTheme="minorHAnsi" w:eastAsia="Calibri" w:hAnsiTheme="minorHAnsi" w:cstheme="minorHAnsi"/>
          <w:b/>
          <w:spacing w:val="-2"/>
          <w:szCs w:val="24"/>
        </w:rPr>
        <w:t>8</w:t>
      </w:r>
      <w:r w:rsidR="00D859D7" w:rsidRPr="005904AF">
        <w:rPr>
          <w:rFonts w:asciiTheme="minorHAnsi" w:eastAsia="Calibri" w:hAnsiTheme="minorHAnsi" w:cstheme="minorHAnsi"/>
          <w:b/>
          <w:spacing w:val="-2"/>
          <w:szCs w:val="24"/>
        </w:rPr>
        <w:t xml:space="preserve">% </w:t>
      </w:r>
      <w:r w:rsidR="000D7640" w:rsidRPr="005904AF">
        <w:rPr>
          <w:rFonts w:asciiTheme="minorHAnsi" w:eastAsia="Calibri" w:hAnsiTheme="minorHAnsi" w:cstheme="minorHAnsi"/>
          <w:b/>
          <w:spacing w:val="-2"/>
          <w:szCs w:val="24"/>
        </w:rPr>
        <w:t>(tav. 3)</w:t>
      </w:r>
      <w:r w:rsidR="00D859D7" w:rsidRPr="005904AF">
        <w:rPr>
          <w:rFonts w:asciiTheme="minorHAnsi" w:eastAsia="Calibri" w:hAnsiTheme="minorHAnsi" w:cstheme="minorHAnsi"/>
          <w:b/>
          <w:spacing w:val="-2"/>
          <w:szCs w:val="24"/>
        </w:rPr>
        <w:t>.</w:t>
      </w:r>
      <w:r w:rsidR="00EF4800" w:rsidRPr="005904AF">
        <w:rPr>
          <w:rFonts w:asciiTheme="minorHAnsi" w:eastAsia="Calibri" w:hAnsiTheme="minorHAnsi" w:cstheme="minorHAnsi"/>
          <w:b/>
          <w:spacing w:val="-2"/>
          <w:szCs w:val="24"/>
        </w:rPr>
        <w:t xml:space="preserve"> </w:t>
      </w:r>
      <w:r w:rsidR="005904AF">
        <w:rPr>
          <w:rFonts w:asciiTheme="minorHAnsi" w:eastAsia="Calibri" w:hAnsiTheme="minorHAnsi" w:cstheme="minorHAnsi"/>
          <w:b/>
          <w:spacing w:val="-2"/>
          <w:szCs w:val="24"/>
        </w:rPr>
        <w:br/>
      </w:r>
      <w:r w:rsidR="005904AF" w:rsidRPr="005904AF">
        <w:rPr>
          <w:rFonts w:asciiTheme="minorHAnsi" w:eastAsia="Calibri" w:hAnsiTheme="minorHAnsi" w:cstheme="minorHAnsi"/>
          <w:b/>
          <w:spacing w:val="-2"/>
          <w:szCs w:val="24"/>
        </w:rPr>
        <w:t>Il Lazio</w:t>
      </w:r>
      <w:r w:rsidR="00EF4800" w:rsidRPr="005904AF">
        <w:rPr>
          <w:rFonts w:asciiTheme="minorHAnsi" w:eastAsia="Calibri" w:hAnsiTheme="minorHAnsi" w:cstheme="minorHAnsi"/>
          <w:b/>
          <w:spacing w:val="-2"/>
          <w:szCs w:val="24"/>
        </w:rPr>
        <w:t xml:space="preserve"> è la regione che ha registra</w:t>
      </w:r>
      <w:r w:rsidR="008972E6" w:rsidRPr="005904AF">
        <w:rPr>
          <w:rFonts w:asciiTheme="minorHAnsi" w:eastAsia="Calibri" w:hAnsiTheme="minorHAnsi" w:cstheme="minorHAnsi"/>
          <w:b/>
          <w:spacing w:val="-2"/>
          <w:szCs w:val="24"/>
        </w:rPr>
        <w:t xml:space="preserve">to </w:t>
      </w:r>
      <w:r w:rsidR="00760BF0" w:rsidRPr="005904AF">
        <w:rPr>
          <w:rFonts w:asciiTheme="minorHAnsi" w:eastAsia="Calibri" w:hAnsiTheme="minorHAnsi" w:cstheme="minorHAnsi"/>
          <w:b/>
          <w:spacing w:val="-2"/>
          <w:szCs w:val="24"/>
        </w:rPr>
        <w:t>il</w:t>
      </w:r>
      <w:r w:rsidR="008972E6" w:rsidRPr="005904AF">
        <w:rPr>
          <w:rFonts w:asciiTheme="minorHAnsi" w:eastAsia="Calibri" w:hAnsiTheme="minorHAnsi" w:cstheme="minorHAnsi"/>
          <w:b/>
          <w:spacing w:val="-2"/>
          <w:szCs w:val="24"/>
        </w:rPr>
        <w:t xml:space="preserve"> calo più </w:t>
      </w:r>
      <w:r w:rsidR="005904AF" w:rsidRPr="005904AF">
        <w:rPr>
          <w:rFonts w:asciiTheme="minorHAnsi" w:eastAsia="Calibri" w:hAnsiTheme="minorHAnsi" w:cstheme="minorHAnsi"/>
          <w:b/>
          <w:spacing w:val="-2"/>
          <w:szCs w:val="24"/>
        </w:rPr>
        <w:t>intenso (-3</w:t>
      </w:r>
      <w:r w:rsidR="005942A3" w:rsidRPr="005904AF">
        <w:rPr>
          <w:rFonts w:asciiTheme="minorHAnsi" w:eastAsia="Calibri" w:hAnsiTheme="minorHAnsi" w:cstheme="minorHAnsi"/>
          <w:b/>
          <w:spacing w:val="-2"/>
          <w:szCs w:val="24"/>
        </w:rPr>
        <w:t>,5%),</w:t>
      </w:r>
      <w:r w:rsidR="008972E6" w:rsidRPr="005904AF">
        <w:rPr>
          <w:rFonts w:asciiTheme="minorHAnsi" w:eastAsia="Calibri" w:hAnsiTheme="minorHAnsi" w:cstheme="minorHAnsi"/>
          <w:b/>
          <w:spacing w:val="-2"/>
          <w:szCs w:val="24"/>
        </w:rPr>
        <w:t xml:space="preserve"> a seguire </w:t>
      </w:r>
      <w:r w:rsidR="005904AF" w:rsidRPr="005904AF">
        <w:rPr>
          <w:rFonts w:asciiTheme="minorHAnsi" w:eastAsia="Calibri" w:hAnsiTheme="minorHAnsi" w:cstheme="minorHAnsi"/>
          <w:b/>
          <w:spacing w:val="-2"/>
          <w:szCs w:val="24"/>
        </w:rPr>
        <w:t>Liguria (-3</w:t>
      </w:r>
      <w:r w:rsidR="00724440" w:rsidRPr="005904AF">
        <w:rPr>
          <w:rFonts w:asciiTheme="minorHAnsi" w:eastAsia="Calibri" w:hAnsiTheme="minorHAnsi" w:cstheme="minorHAnsi"/>
          <w:b/>
          <w:spacing w:val="-2"/>
          <w:szCs w:val="24"/>
        </w:rPr>
        <w:t>,</w:t>
      </w:r>
      <w:r w:rsidR="005904AF" w:rsidRPr="005904AF">
        <w:rPr>
          <w:rFonts w:asciiTheme="minorHAnsi" w:eastAsia="Calibri" w:hAnsiTheme="minorHAnsi" w:cstheme="minorHAnsi"/>
          <w:b/>
          <w:spacing w:val="-2"/>
          <w:szCs w:val="24"/>
        </w:rPr>
        <w:t>1</w:t>
      </w:r>
      <w:r w:rsidR="00724440" w:rsidRPr="005904AF">
        <w:rPr>
          <w:rFonts w:asciiTheme="minorHAnsi" w:eastAsia="Calibri" w:hAnsiTheme="minorHAnsi" w:cstheme="minorHAnsi"/>
          <w:b/>
          <w:spacing w:val="-2"/>
          <w:szCs w:val="24"/>
        </w:rPr>
        <w:t>%)</w:t>
      </w:r>
      <w:r w:rsidR="005904AF">
        <w:rPr>
          <w:rFonts w:asciiTheme="minorHAnsi" w:eastAsia="Calibri" w:hAnsiTheme="minorHAnsi" w:cstheme="minorHAnsi"/>
          <w:b/>
          <w:spacing w:val="-2"/>
          <w:szCs w:val="24"/>
        </w:rPr>
        <w:t>, Valle d’Aosta, Toscana, Campania e Molise (-2</w:t>
      </w:r>
      <w:r w:rsidR="00760BF0" w:rsidRPr="005904AF">
        <w:rPr>
          <w:rFonts w:asciiTheme="minorHAnsi" w:eastAsia="Calibri" w:hAnsiTheme="minorHAnsi" w:cstheme="minorHAnsi"/>
          <w:b/>
          <w:spacing w:val="-2"/>
          <w:szCs w:val="24"/>
        </w:rPr>
        <w:t>,</w:t>
      </w:r>
      <w:r w:rsidR="00724440" w:rsidRPr="005904AF">
        <w:rPr>
          <w:rFonts w:asciiTheme="minorHAnsi" w:eastAsia="Calibri" w:hAnsiTheme="minorHAnsi" w:cstheme="minorHAnsi"/>
          <w:b/>
          <w:spacing w:val="-2"/>
          <w:szCs w:val="24"/>
        </w:rPr>
        <w:t>5</w:t>
      </w:r>
      <w:r w:rsidR="008972E6" w:rsidRPr="005904AF">
        <w:rPr>
          <w:rFonts w:asciiTheme="minorHAnsi" w:eastAsia="Calibri" w:hAnsiTheme="minorHAnsi" w:cstheme="minorHAnsi"/>
          <w:b/>
          <w:spacing w:val="-2"/>
          <w:szCs w:val="24"/>
        </w:rPr>
        <w:t>%)</w:t>
      </w:r>
      <w:r w:rsidR="005904AF">
        <w:rPr>
          <w:rFonts w:asciiTheme="minorHAnsi" w:eastAsia="Calibri" w:hAnsiTheme="minorHAnsi" w:cstheme="minorHAnsi"/>
          <w:b/>
          <w:spacing w:val="-2"/>
          <w:szCs w:val="24"/>
        </w:rPr>
        <w:t>.</w:t>
      </w:r>
      <w:r w:rsidR="004B224E">
        <w:rPr>
          <w:rFonts w:asciiTheme="minorHAnsi" w:eastAsia="Calibri" w:hAnsiTheme="minorHAnsi" w:cstheme="minorHAnsi"/>
          <w:b/>
          <w:spacing w:val="-2"/>
          <w:szCs w:val="24"/>
        </w:rPr>
        <w:t xml:space="preserve"> Il </w:t>
      </w:r>
      <w:r w:rsidR="004B224E" w:rsidRPr="004B224E">
        <w:rPr>
          <w:rFonts w:asciiTheme="minorHAnsi" w:eastAsia="Calibri" w:hAnsiTheme="minorHAnsi" w:cstheme="minorHAnsi"/>
          <w:b/>
          <w:spacing w:val="-2"/>
          <w:szCs w:val="24"/>
        </w:rPr>
        <w:t>Friuli Venezia-Giulia</w:t>
      </w:r>
      <w:r w:rsidR="004B224E">
        <w:rPr>
          <w:rFonts w:asciiTheme="minorHAnsi" w:eastAsia="Calibri" w:hAnsiTheme="minorHAnsi" w:cstheme="minorHAnsi"/>
          <w:b/>
          <w:spacing w:val="-2"/>
          <w:szCs w:val="24"/>
        </w:rPr>
        <w:t xml:space="preserve"> è l’unica regione a registrare un aumento dei prezzi medi (+1,5).</w:t>
      </w:r>
    </w:p>
    <w:p w:rsidR="00D859D7" w:rsidRPr="0000195A" w:rsidRDefault="00D859D7" w:rsidP="007B6950">
      <w:pPr>
        <w:pStyle w:val="Paragrafoelenco"/>
        <w:ind w:left="357"/>
        <w:rPr>
          <w:rFonts w:asciiTheme="minorHAnsi" w:eastAsia="Calibri" w:hAnsiTheme="minorHAnsi" w:cstheme="minorHAnsi"/>
          <w:b/>
          <w:szCs w:val="24"/>
        </w:rPr>
      </w:pPr>
    </w:p>
    <w:p w:rsidR="00346450" w:rsidRPr="0000195A" w:rsidRDefault="00813DE3" w:rsidP="00346450">
      <w:pPr>
        <w:pStyle w:val="Paragrafoelenco"/>
        <w:numPr>
          <w:ilvl w:val="0"/>
          <w:numId w:val="4"/>
        </w:numPr>
        <w:spacing w:after="200" w:line="276" w:lineRule="auto"/>
        <w:rPr>
          <w:rFonts w:asciiTheme="minorHAnsi" w:eastAsia="Calibri" w:hAnsiTheme="minorHAnsi" w:cstheme="minorHAnsi"/>
          <w:b/>
          <w:szCs w:val="24"/>
        </w:rPr>
      </w:pPr>
      <w:r w:rsidRPr="0000195A">
        <w:rPr>
          <w:rFonts w:asciiTheme="minorHAnsi" w:eastAsia="Calibri" w:hAnsiTheme="minorHAnsi" w:cstheme="minorHAnsi"/>
          <w:b/>
          <w:szCs w:val="24"/>
        </w:rPr>
        <w:t>N</w:t>
      </w:r>
      <w:r w:rsidR="008D2F7D" w:rsidRPr="0000195A">
        <w:rPr>
          <w:rFonts w:asciiTheme="minorHAnsi" w:eastAsia="Calibri" w:hAnsiTheme="minorHAnsi" w:cstheme="minorHAnsi"/>
          <w:b/>
          <w:szCs w:val="24"/>
        </w:rPr>
        <w:t>elle località marine, il calo maggiore dei prezzi medi di compravendita di appartamenti nel</w:t>
      </w:r>
      <w:r w:rsidR="004E3938" w:rsidRPr="0000195A">
        <w:rPr>
          <w:rFonts w:asciiTheme="minorHAnsi" w:eastAsia="Calibri" w:hAnsiTheme="minorHAnsi" w:cstheme="minorHAnsi"/>
          <w:b/>
          <w:szCs w:val="24"/>
        </w:rPr>
        <w:t xml:space="preserve"> 201</w:t>
      </w:r>
      <w:r w:rsidR="0000195A">
        <w:rPr>
          <w:rFonts w:asciiTheme="minorHAnsi" w:eastAsia="Calibri" w:hAnsiTheme="minorHAnsi" w:cstheme="minorHAnsi"/>
          <w:b/>
          <w:szCs w:val="24"/>
        </w:rPr>
        <w:t>9</w:t>
      </w:r>
      <w:r w:rsidR="004E3938" w:rsidRPr="0000195A">
        <w:rPr>
          <w:rFonts w:asciiTheme="minorHAnsi" w:eastAsia="Calibri" w:hAnsiTheme="minorHAnsi" w:cstheme="minorHAnsi"/>
          <w:b/>
          <w:szCs w:val="24"/>
        </w:rPr>
        <w:t xml:space="preserve"> si registra in </w:t>
      </w:r>
      <w:r w:rsidR="0000195A">
        <w:rPr>
          <w:rFonts w:asciiTheme="minorHAnsi" w:eastAsia="Calibri" w:hAnsiTheme="minorHAnsi" w:cstheme="minorHAnsi"/>
          <w:b/>
          <w:szCs w:val="24"/>
        </w:rPr>
        <w:t>Lazio</w:t>
      </w:r>
      <w:r w:rsidR="00D972E6" w:rsidRPr="0000195A">
        <w:rPr>
          <w:rFonts w:asciiTheme="minorHAnsi" w:eastAsia="Calibri" w:hAnsiTheme="minorHAnsi" w:cstheme="minorHAnsi"/>
          <w:b/>
          <w:szCs w:val="24"/>
        </w:rPr>
        <w:t xml:space="preserve"> </w:t>
      </w:r>
      <w:r w:rsidR="004E3938" w:rsidRPr="0000195A">
        <w:rPr>
          <w:rFonts w:asciiTheme="minorHAnsi" w:eastAsia="Calibri" w:hAnsiTheme="minorHAnsi" w:cstheme="minorHAnsi"/>
          <w:b/>
          <w:szCs w:val="24"/>
        </w:rPr>
        <w:t>(-</w:t>
      </w:r>
      <w:r w:rsidR="0000195A">
        <w:rPr>
          <w:rFonts w:asciiTheme="minorHAnsi" w:eastAsia="Calibri" w:hAnsiTheme="minorHAnsi" w:cstheme="minorHAnsi"/>
          <w:b/>
          <w:szCs w:val="24"/>
        </w:rPr>
        <w:t>3</w:t>
      </w:r>
      <w:r w:rsidR="004E3938" w:rsidRPr="0000195A">
        <w:rPr>
          <w:rFonts w:asciiTheme="minorHAnsi" w:eastAsia="Calibri" w:hAnsiTheme="minorHAnsi" w:cstheme="minorHAnsi"/>
          <w:b/>
          <w:szCs w:val="24"/>
        </w:rPr>
        <w:t>,</w:t>
      </w:r>
      <w:r w:rsidR="0000195A">
        <w:rPr>
          <w:rFonts w:asciiTheme="minorHAnsi" w:eastAsia="Calibri" w:hAnsiTheme="minorHAnsi" w:cstheme="minorHAnsi"/>
          <w:b/>
          <w:szCs w:val="24"/>
        </w:rPr>
        <w:t>5</w:t>
      </w:r>
      <w:r w:rsidR="008D2F7D" w:rsidRPr="0000195A">
        <w:rPr>
          <w:rFonts w:asciiTheme="minorHAnsi" w:eastAsia="Calibri" w:hAnsiTheme="minorHAnsi" w:cstheme="minorHAnsi"/>
          <w:b/>
          <w:szCs w:val="24"/>
        </w:rPr>
        <w:t>%</w:t>
      </w:r>
      <w:r w:rsidR="0000195A">
        <w:rPr>
          <w:rFonts w:asciiTheme="minorHAnsi" w:eastAsia="Calibri" w:hAnsiTheme="minorHAnsi" w:cstheme="minorHAnsi"/>
          <w:b/>
          <w:szCs w:val="24"/>
        </w:rPr>
        <w:t xml:space="preserve"> annuo</w:t>
      </w:r>
      <w:r w:rsidR="008D2F7D" w:rsidRPr="0000195A">
        <w:rPr>
          <w:rFonts w:asciiTheme="minorHAnsi" w:eastAsia="Calibri" w:hAnsiTheme="minorHAnsi" w:cstheme="minorHAnsi"/>
          <w:b/>
          <w:szCs w:val="24"/>
        </w:rPr>
        <w:t>)</w:t>
      </w:r>
      <w:r w:rsidR="0000195A">
        <w:rPr>
          <w:rFonts w:asciiTheme="minorHAnsi" w:eastAsia="Calibri" w:hAnsiTheme="minorHAnsi" w:cstheme="minorHAnsi"/>
          <w:b/>
          <w:szCs w:val="24"/>
        </w:rPr>
        <w:t xml:space="preserve"> e Liguria (-3,1%)</w:t>
      </w:r>
      <w:r w:rsidR="004E3938" w:rsidRPr="0000195A">
        <w:rPr>
          <w:rFonts w:asciiTheme="minorHAnsi" w:eastAsia="Calibri" w:hAnsiTheme="minorHAnsi" w:cstheme="minorHAnsi"/>
          <w:b/>
          <w:szCs w:val="24"/>
        </w:rPr>
        <w:t xml:space="preserve">, </w:t>
      </w:r>
      <w:r w:rsidR="0000195A">
        <w:rPr>
          <w:rFonts w:asciiTheme="minorHAnsi" w:eastAsia="Calibri" w:hAnsiTheme="minorHAnsi" w:cstheme="minorHAnsi"/>
          <w:b/>
          <w:szCs w:val="24"/>
        </w:rPr>
        <w:t xml:space="preserve">mentre il </w:t>
      </w:r>
      <w:r w:rsidR="0000195A" w:rsidRPr="004B224E">
        <w:rPr>
          <w:rFonts w:asciiTheme="minorHAnsi" w:eastAsia="Calibri" w:hAnsiTheme="minorHAnsi" w:cstheme="minorHAnsi"/>
          <w:b/>
          <w:spacing w:val="-2"/>
          <w:szCs w:val="24"/>
        </w:rPr>
        <w:t>Friuli Venezia-Giulia</w:t>
      </w:r>
      <w:r w:rsidR="0000195A">
        <w:rPr>
          <w:rFonts w:asciiTheme="minorHAnsi" w:eastAsia="Calibri" w:hAnsiTheme="minorHAnsi" w:cstheme="minorHAnsi"/>
          <w:b/>
          <w:spacing w:val="-2"/>
          <w:szCs w:val="24"/>
        </w:rPr>
        <w:t xml:space="preserve"> segna un +0,8%</w:t>
      </w:r>
      <w:r w:rsidR="008D2F7D" w:rsidRPr="0000195A">
        <w:rPr>
          <w:rFonts w:asciiTheme="minorHAnsi" w:eastAsia="Calibri" w:hAnsiTheme="minorHAnsi" w:cstheme="minorHAnsi"/>
          <w:b/>
          <w:szCs w:val="24"/>
        </w:rPr>
        <w:t xml:space="preserve">; tra le località di montagna o lago la maggiore variazione negativa è </w:t>
      </w:r>
      <w:r w:rsidR="00D972E6" w:rsidRPr="0000195A">
        <w:rPr>
          <w:rFonts w:asciiTheme="minorHAnsi" w:eastAsia="Calibri" w:hAnsiTheme="minorHAnsi" w:cstheme="minorHAnsi"/>
          <w:b/>
          <w:szCs w:val="24"/>
        </w:rPr>
        <w:t xml:space="preserve">in </w:t>
      </w:r>
      <w:r w:rsidR="0000195A">
        <w:rPr>
          <w:rFonts w:asciiTheme="minorHAnsi" w:eastAsia="Calibri" w:hAnsiTheme="minorHAnsi" w:cstheme="minorHAnsi"/>
          <w:b/>
          <w:spacing w:val="-2"/>
          <w:szCs w:val="24"/>
        </w:rPr>
        <w:t>Valle d’Aosta</w:t>
      </w:r>
      <w:r w:rsidR="0000195A" w:rsidRPr="0000195A">
        <w:rPr>
          <w:rFonts w:asciiTheme="minorHAnsi" w:eastAsia="Calibri" w:hAnsiTheme="minorHAnsi" w:cstheme="minorHAnsi"/>
          <w:b/>
          <w:szCs w:val="24"/>
        </w:rPr>
        <w:t xml:space="preserve"> </w:t>
      </w:r>
      <w:r w:rsidR="0000195A">
        <w:rPr>
          <w:rFonts w:asciiTheme="minorHAnsi" w:eastAsia="Calibri" w:hAnsiTheme="minorHAnsi" w:cstheme="minorHAnsi"/>
          <w:b/>
          <w:szCs w:val="24"/>
        </w:rPr>
        <w:t>(-2</w:t>
      </w:r>
      <w:r w:rsidR="00D972E6" w:rsidRPr="0000195A">
        <w:rPr>
          <w:rFonts w:asciiTheme="minorHAnsi" w:eastAsia="Calibri" w:hAnsiTheme="minorHAnsi" w:cstheme="minorHAnsi"/>
          <w:b/>
          <w:szCs w:val="24"/>
        </w:rPr>
        <w:t>,5</w:t>
      </w:r>
      <w:r w:rsidR="00FC30BB" w:rsidRPr="0000195A">
        <w:rPr>
          <w:rFonts w:asciiTheme="minorHAnsi" w:eastAsia="Calibri" w:hAnsiTheme="minorHAnsi" w:cstheme="minorHAnsi"/>
          <w:b/>
          <w:szCs w:val="24"/>
        </w:rPr>
        <w:t>%)</w:t>
      </w:r>
      <w:r w:rsidR="008D2F7D" w:rsidRPr="0000195A">
        <w:rPr>
          <w:rFonts w:asciiTheme="minorHAnsi" w:eastAsia="Calibri" w:hAnsiTheme="minorHAnsi" w:cstheme="minorHAnsi"/>
          <w:b/>
          <w:szCs w:val="24"/>
        </w:rPr>
        <w:t xml:space="preserve">, mentre in </w:t>
      </w:r>
      <w:r w:rsidR="0000195A" w:rsidRPr="004B224E">
        <w:rPr>
          <w:rFonts w:asciiTheme="minorHAnsi" w:eastAsia="Calibri" w:hAnsiTheme="minorHAnsi" w:cstheme="minorHAnsi"/>
          <w:b/>
          <w:spacing w:val="-2"/>
          <w:szCs w:val="24"/>
        </w:rPr>
        <w:t>Friuli Venezia-Giulia</w:t>
      </w:r>
      <w:r w:rsidR="0000195A">
        <w:rPr>
          <w:rFonts w:asciiTheme="minorHAnsi" w:eastAsia="Calibri" w:hAnsiTheme="minorHAnsi" w:cstheme="minorHAnsi"/>
          <w:b/>
          <w:spacing w:val="-2"/>
          <w:szCs w:val="24"/>
        </w:rPr>
        <w:t xml:space="preserve"> </w:t>
      </w:r>
      <w:r w:rsidR="0000195A">
        <w:rPr>
          <w:rFonts w:asciiTheme="minorHAnsi" w:eastAsia="Calibri" w:hAnsiTheme="minorHAnsi" w:cstheme="minorHAnsi"/>
          <w:b/>
          <w:szCs w:val="24"/>
        </w:rPr>
        <w:t>si è rilevato un aumento dei prezzi medi pari a +1,7%</w:t>
      </w:r>
      <w:r w:rsidR="00FE0AD1" w:rsidRPr="0000195A">
        <w:rPr>
          <w:rFonts w:asciiTheme="minorHAnsi" w:eastAsia="Calibri" w:hAnsiTheme="minorHAnsi" w:cstheme="minorHAnsi"/>
          <w:b/>
          <w:szCs w:val="24"/>
        </w:rPr>
        <w:t xml:space="preserve"> [tavola B].</w:t>
      </w:r>
    </w:p>
    <w:p w:rsidR="00346450" w:rsidRPr="00BF39B4" w:rsidRDefault="00346450" w:rsidP="00346450">
      <w:pPr>
        <w:pStyle w:val="Paragrafoelenco"/>
        <w:rPr>
          <w:rFonts w:asciiTheme="minorHAnsi" w:eastAsia="Calibri" w:hAnsiTheme="minorHAnsi" w:cstheme="minorHAnsi"/>
          <w:b/>
          <w:szCs w:val="24"/>
        </w:rPr>
      </w:pPr>
    </w:p>
    <w:p w:rsidR="00D859D7" w:rsidRPr="008D3071" w:rsidRDefault="00584EB0" w:rsidP="00BF39B4">
      <w:pPr>
        <w:pStyle w:val="Paragrafoelenco"/>
        <w:numPr>
          <w:ilvl w:val="0"/>
          <w:numId w:val="4"/>
        </w:numPr>
        <w:spacing w:after="200" w:line="276" w:lineRule="auto"/>
        <w:rPr>
          <w:rFonts w:asciiTheme="minorHAnsi" w:eastAsia="Calibri" w:hAnsiTheme="minorHAnsi" w:cstheme="minorHAnsi"/>
          <w:b/>
          <w:szCs w:val="24"/>
        </w:rPr>
      </w:pPr>
      <w:r w:rsidRPr="00BF39B4">
        <w:rPr>
          <w:rFonts w:asciiTheme="minorHAnsi" w:eastAsia="Calibri" w:hAnsiTheme="minorHAnsi" w:cstheme="minorHAnsi"/>
          <w:b/>
          <w:szCs w:val="24"/>
        </w:rPr>
        <w:t xml:space="preserve">In cima alla classifica delle principali località turistiche per quanto riguarda i prezzi massimi di compravendita di appartamenti top o nuovi nel 2019 troviamo Capri (NA), con valori </w:t>
      </w:r>
      <w:r w:rsidR="00BF39B4" w:rsidRPr="00BF39B4">
        <w:rPr>
          <w:rFonts w:asciiTheme="minorHAnsi" w:eastAsia="Calibri" w:hAnsiTheme="minorHAnsi" w:cstheme="minorHAnsi"/>
          <w:b/>
          <w:szCs w:val="24"/>
        </w:rPr>
        <w:t>che raggiungono i</w:t>
      </w:r>
      <w:r w:rsidRPr="00BF39B4">
        <w:rPr>
          <w:rFonts w:asciiTheme="minorHAnsi" w:eastAsia="Calibri" w:hAnsiTheme="minorHAnsi" w:cstheme="minorHAnsi"/>
          <w:b/>
          <w:szCs w:val="24"/>
        </w:rPr>
        <w:t xml:space="preserve"> 1</w:t>
      </w:r>
      <w:r w:rsidR="00BF39B4" w:rsidRPr="00BF39B4">
        <w:rPr>
          <w:rFonts w:asciiTheme="minorHAnsi" w:eastAsia="Calibri" w:hAnsiTheme="minorHAnsi" w:cstheme="minorHAnsi"/>
          <w:b/>
          <w:szCs w:val="24"/>
        </w:rPr>
        <w:t>2</w:t>
      </w:r>
      <w:r w:rsidRPr="00BF39B4">
        <w:rPr>
          <w:rFonts w:asciiTheme="minorHAnsi" w:eastAsia="Calibri" w:hAnsiTheme="minorHAnsi" w:cstheme="minorHAnsi"/>
          <w:b/>
          <w:szCs w:val="24"/>
        </w:rPr>
        <w:t>.</w:t>
      </w:r>
      <w:r w:rsidR="00BF39B4" w:rsidRPr="00BF39B4">
        <w:rPr>
          <w:rFonts w:asciiTheme="minorHAnsi" w:eastAsia="Calibri" w:hAnsiTheme="minorHAnsi" w:cstheme="minorHAnsi"/>
          <w:b/>
          <w:szCs w:val="24"/>
        </w:rPr>
        <w:t>7</w:t>
      </w:r>
      <w:r w:rsidRPr="00BF39B4">
        <w:rPr>
          <w:rFonts w:asciiTheme="minorHAnsi" w:eastAsia="Calibri" w:hAnsiTheme="minorHAnsi" w:cstheme="minorHAnsi"/>
          <w:b/>
          <w:szCs w:val="24"/>
        </w:rPr>
        <w:t>00 €/</w:t>
      </w:r>
      <w:r w:rsidR="00BF39B4" w:rsidRPr="00BF39B4">
        <w:rPr>
          <w:rFonts w:asciiTheme="minorHAnsi" w:eastAsia="Calibri" w:hAnsiTheme="minorHAnsi" w:cstheme="minorHAnsi"/>
          <w:b/>
          <w:szCs w:val="24"/>
        </w:rPr>
        <w:t>mq.</w:t>
      </w:r>
      <w:r w:rsidR="00D859D7" w:rsidRPr="00BF39B4">
        <w:rPr>
          <w:rFonts w:asciiTheme="minorHAnsi" w:eastAsia="Calibri" w:hAnsiTheme="minorHAnsi" w:cstheme="minorHAnsi"/>
          <w:b/>
          <w:szCs w:val="24"/>
        </w:rPr>
        <w:t xml:space="preserve"> Completano il podio Forte dei Marmi (LU) con 1</w:t>
      </w:r>
      <w:r w:rsidR="00633F06" w:rsidRPr="00BF39B4">
        <w:rPr>
          <w:rFonts w:asciiTheme="minorHAnsi" w:eastAsia="Calibri" w:hAnsiTheme="minorHAnsi" w:cstheme="minorHAnsi"/>
          <w:b/>
          <w:szCs w:val="24"/>
        </w:rPr>
        <w:t>2</w:t>
      </w:r>
      <w:r w:rsidR="00D859D7" w:rsidRPr="00BF39B4">
        <w:rPr>
          <w:rFonts w:asciiTheme="minorHAnsi" w:eastAsia="Calibri" w:hAnsiTheme="minorHAnsi" w:cstheme="minorHAnsi"/>
          <w:b/>
          <w:szCs w:val="24"/>
        </w:rPr>
        <w:t>.</w:t>
      </w:r>
      <w:r w:rsidR="00BF39B4" w:rsidRPr="00BF39B4">
        <w:rPr>
          <w:rFonts w:asciiTheme="minorHAnsi" w:eastAsia="Calibri" w:hAnsiTheme="minorHAnsi" w:cstheme="minorHAnsi"/>
          <w:b/>
          <w:szCs w:val="24"/>
        </w:rPr>
        <w:t>6</w:t>
      </w:r>
      <w:r w:rsidR="00D859D7" w:rsidRPr="00BF39B4">
        <w:rPr>
          <w:rFonts w:asciiTheme="minorHAnsi" w:eastAsia="Calibri" w:hAnsiTheme="minorHAnsi" w:cstheme="minorHAnsi"/>
          <w:b/>
          <w:szCs w:val="24"/>
        </w:rPr>
        <w:t>00 €/mq</w:t>
      </w:r>
      <w:r w:rsidR="00BF39B4" w:rsidRPr="00BF39B4">
        <w:rPr>
          <w:rFonts w:asciiTheme="minorHAnsi" w:eastAsia="Calibri" w:hAnsiTheme="minorHAnsi" w:cstheme="minorHAnsi"/>
          <w:b/>
          <w:szCs w:val="24"/>
        </w:rPr>
        <w:t xml:space="preserve"> e Madonna di Campiglio (TN) con 12.400 €/mq</w:t>
      </w:r>
      <w:r w:rsidR="00D859D7" w:rsidRPr="00BF39B4">
        <w:rPr>
          <w:rFonts w:asciiTheme="minorHAnsi" w:eastAsia="Calibri" w:hAnsiTheme="minorHAnsi" w:cstheme="minorHAnsi"/>
          <w:b/>
          <w:szCs w:val="24"/>
        </w:rPr>
        <w:t xml:space="preserve">. </w:t>
      </w:r>
      <w:r w:rsidR="00BF39B4" w:rsidRPr="00BF39B4">
        <w:rPr>
          <w:rFonts w:asciiTheme="minorHAnsi" w:eastAsia="Calibri" w:hAnsiTheme="minorHAnsi" w:cstheme="minorHAnsi"/>
          <w:b/>
          <w:szCs w:val="24"/>
        </w:rPr>
        <w:t>Santa Margherita Ligure (GE)</w:t>
      </w:r>
      <w:r w:rsidR="00BF39B4">
        <w:rPr>
          <w:rFonts w:asciiTheme="minorHAnsi" w:eastAsia="Calibri" w:hAnsiTheme="minorHAnsi" w:cstheme="minorHAnsi"/>
          <w:b/>
          <w:szCs w:val="24"/>
        </w:rPr>
        <w:t xml:space="preserve">, dopo parecchi anni in vetta alla classifica, scende al quarto posto, seguita da </w:t>
      </w:r>
      <w:r w:rsidR="00D859D7" w:rsidRPr="00BF39B4">
        <w:rPr>
          <w:rFonts w:asciiTheme="minorHAnsi" w:eastAsia="Calibri" w:hAnsiTheme="minorHAnsi" w:cstheme="minorHAnsi"/>
          <w:b/>
          <w:szCs w:val="24"/>
        </w:rPr>
        <w:t>Courmayeur (AO)</w:t>
      </w:r>
      <w:r w:rsidR="00BF39B4">
        <w:rPr>
          <w:rFonts w:asciiTheme="minorHAnsi" w:eastAsia="Calibri" w:hAnsiTheme="minorHAnsi" w:cstheme="minorHAnsi"/>
          <w:b/>
          <w:szCs w:val="24"/>
        </w:rPr>
        <w:t>,</w:t>
      </w:r>
      <w:r w:rsidR="00D859D7" w:rsidRPr="00BF39B4">
        <w:rPr>
          <w:rFonts w:asciiTheme="minorHAnsi" w:eastAsia="Calibri" w:hAnsiTheme="minorHAnsi" w:cstheme="minorHAnsi"/>
          <w:b/>
          <w:szCs w:val="24"/>
        </w:rPr>
        <w:t xml:space="preserve"> Co</w:t>
      </w:r>
      <w:r w:rsidR="002C1088" w:rsidRPr="00BF39B4">
        <w:rPr>
          <w:rFonts w:asciiTheme="minorHAnsi" w:eastAsia="Calibri" w:hAnsiTheme="minorHAnsi" w:cstheme="minorHAnsi"/>
          <w:b/>
          <w:szCs w:val="24"/>
        </w:rPr>
        <w:t>rtina d</w:t>
      </w:r>
      <w:r w:rsidR="00FE0AD1" w:rsidRPr="00BF39B4">
        <w:rPr>
          <w:rFonts w:asciiTheme="minorHAnsi" w:eastAsia="Calibri" w:hAnsiTheme="minorHAnsi" w:cstheme="minorHAnsi"/>
          <w:b/>
          <w:szCs w:val="24"/>
        </w:rPr>
        <w:t>'Ampezzo (BL)</w:t>
      </w:r>
      <w:r w:rsidR="00BF39B4">
        <w:rPr>
          <w:rFonts w:asciiTheme="minorHAnsi" w:eastAsia="Calibri" w:hAnsiTheme="minorHAnsi" w:cstheme="minorHAnsi"/>
          <w:b/>
          <w:szCs w:val="24"/>
        </w:rPr>
        <w:t xml:space="preserve">, </w:t>
      </w:r>
      <w:r w:rsidR="00BF39B4" w:rsidRPr="00BF39B4">
        <w:rPr>
          <w:rFonts w:asciiTheme="minorHAnsi" w:eastAsia="Calibri" w:hAnsiTheme="minorHAnsi" w:cstheme="minorHAnsi"/>
          <w:b/>
          <w:szCs w:val="24"/>
        </w:rPr>
        <w:t>Selva di Val Gardena (BZ)</w:t>
      </w:r>
      <w:r w:rsidR="00BF39B4">
        <w:rPr>
          <w:rFonts w:asciiTheme="minorHAnsi" w:eastAsia="Calibri" w:hAnsiTheme="minorHAnsi" w:cstheme="minorHAnsi"/>
          <w:b/>
          <w:szCs w:val="24"/>
        </w:rPr>
        <w:t xml:space="preserve"> e Porto Cervo (SS)</w:t>
      </w:r>
      <w:r w:rsidR="00FE0AD1" w:rsidRPr="00BF39B4">
        <w:rPr>
          <w:rFonts w:asciiTheme="minorHAnsi" w:eastAsia="Calibri" w:hAnsiTheme="minorHAnsi" w:cstheme="minorHAnsi"/>
          <w:b/>
          <w:szCs w:val="24"/>
        </w:rPr>
        <w:t xml:space="preserve"> </w:t>
      </w:r>
      <w:r w:rsidR="00FE0AD1" w:rsidRPr="008D3071">
        <w:rPr>
          <w:rFonts w:asciiTheme="minorHAnsi" w:eastAsia="Calibri" w:hAnsiTheme="minorHAnsi" w:cstheme="minorHAnsi"/>
          <w:b/>
          <w:szCs w:val="24"/>
        </w:rPr>
        <w:t>[tavola C].</w:t>
      </w:r>
    </w:p>
    <w:p w:rsidR="003E6C72" w:rsidRPr="008D3071" w:rsidRDefault="003E6C72" w:rsidP="003E6C72">
      <w:pPr>
        <w:pStyle w:val="Paragrafoelenco"/>
        <w:rPr>
          <w:rFonts w:asciiTheme="minorHAnsi" w:eastAsia="Calibri" w:hAnsiTheme="minorHAnsi" w:cstheme="minorHAnsi"/>
          <w:b/>
          <w:szCs w:val="24"/>
        </w:rPr>
      </w:pPr>
    </w:p>
    <w:p w:rsidR="003E6C72" w:rsidRPr="008D3071" w:rsidRDefault="00DA215B" w:rsidP="00BF39B4">
      <w:pPr>
        <w:pStyle w:val="Paragrafoelenco"/>
        <w:numPr>
          <w:ilvl w:val="0"/>
          <w:numId w:val="4"/>
        </w:numPr>
        <w:shd w:val="clear" w:color="auto" w:fill="FFFFFF" w:themeFill="background1"/>
        <w:spacing w:line="276" w:lineRule="auto"/>
        <w:rPr>
          <w:rFonts w:asciiTheme="minorHAnsi" w:eastAsia="Calibri" w:hAnsiTheme="minorHAnsi" w:cstheme="minorHAnsi"/>
          <w:b/>
          <w:szCs w:val="24"/>
        </w:rPr>
      </w:pPr>
      <w:r w:rsidRPr="008D3071">
        <w:rPr>
          <w:rFonts w:asciiTheme="minorHAnsi" w:eastAsia="Calibri" w:hAnsiTheme="minorHAnsi" w:cstheme="minorHAnsi"/>
          <w:b/>
          <w:szCs w:val="24"/>
        </w:rPr>
        <w:t>Nel 201</w:t>
      </w:r>
      <w:r w:rsidR="00BF39B4" w:rsidRPr="008D3071">
        <w:rPr>
          <w:rFonts w:asciiTheme="minorHAnsi" w:eastAsia="Calibri" w:hAnsiTheme="minorHAnsi" w:cstheme="minorHAnsi"/>
          <w:b/>
          <w:szCs w:val="24"/>
        </w:rPr>
        <w:t>9</w:t>
      </w:r>
      <w:r w:rsidRPr="008D3071">
        <w:rPr>
          <w:rFonts w:asciiTheme="minorHAnsi" w:eastAsia="Calibri" w:hAnsiTheme="minorHAnsi" w:cstheme="minorHAnsi"/>
          <w:b/>
          <w:szCs w:val="24"/>
        </w:rPr>
        <w:t xml:space="preserve">, </w:t>
      </w:r>
      <w:r w:rsidR="00A63275" w:rsidRPr="008D3071">
        <w:rPr>
          <w:rFonts w:asciiTheme="minorHAnsi" w:eastAsia="Calibri" w:hAnsiTheme="minorHAnsi" w:cstheme="minorHAnsi"/>
          <w:b/>
          <w:szCs w:val="24"/>
        </w:rPr>
        <w:t>i</w:t>
      </w:r>
      <w:r w:rsidRPr="008D3071">
        <w:rPr>
          <w:rFonts w:asciiTheme="minorHAnsi" w:eastAsia="Calibri" w:hAnsiTheme="minorHAnsi" w:cstheme="minorHAnsi"/>
          <w:b/>
          <w:szCs w:val="24"/>
        </w:rPr>
        <w:t>l mercato</w:t>
      </w:r>
      <w:r w:rsidR="003E6C72" w:rsidRPr="008D3071">
        <w:rPr>
          <w:rFonts w:asciiTheme="minorHAnsi" w:eastAsia="Calibri" w:hAnsiTheme="minorHAnsi" w:cstheme="minorHAnsi"/>
          <w:b/>
          <w:szCs w:val="24"/>
        </w:rPr>
        <w:t xml:space="preserve"> della locazione</w:t>
      </w:r>
      <w:r w:rsidR="008D3071">
        <w:rPr>
          <w:rFonts w:asciiTheme="minorHAnsi" w:eastAsia="Calibri" w:hAnsiTheme="minorHAnsi" w:cstheme="minorHAnsi"/>
          <w:b/>
          <w:szCs w:val="24"/>
        </w:rPr>
        <w:t xml:space="preserve"> delle abitazioni segna un +1,3</w:t>
      </w:r>
      <w:r w:rsidRPr="008D3071">
        <w:rPr>
          <w:rFonts w:asciiTheme="minorHAnsi" w:eastAsia="Calibri" w:hAnsiTheme="minorHAnsi" w:cstheme="minorHAnsi"/>
          <w:b/>
          <w:szCs w:val="24"/>
        </w:rPr>
        <w:t>% su base annua, i</w:t>
      </w:r>
      <w:r w:rsidR="00BF39B4" w:rsidRPr="008D3071">
        <w:rPr>
          <w:rFonts w:asciiTheme="minorHAnsi" w:eastAsia="Calibri" w:hAnsiTheme="minorHAnsi" w:cstheme="minorHAnsi"/>
          <w:b/>
          <w:szCs w:val="24"/>
        </w:rPr>
        <w:t>n miglioramento rispetto al 2018</w:t>
      </w:r>
      <w:r w:rsidRPr="008D3071">
        <w:rPr>
          <w:rFonts w:asciiTheme="minorHAnsi" w:eastAsia="Calibri" w:hAnsiTheme="minorHAnsi" w:cstheme="minorHAnsi"/>
          <w:b/>
          <w:szCs w:val="24"/>
        </w:rPr>
        <w:t xml:space="preserve">, beneficiando della crescita dei flussi turistici. L’aumento ha interessato </w:t>
      </w:r>
      <w:r w:rsidR="008D3071">
        <w:rPr>
          <w:rFonts w:asciiTheme="minorHAnsi" w:eastAsia="Calibri" w:hAnsiTheme="minorHAnsi" w:cstheme="minorHAnsi"/>
          <w:b/>
          <w:szCs w:val="24"/>
        </w:rPr>
        <w:t xml:space="preserve">maggiormente le </w:t>
      </w:r>
      <w:r w:rsidR="008D3071" w:rsidRPr="008D3071">
        <w:rPr>
          <w:rFonts w:asciiTheme="minorHAnsi" w:eastAsia="Calibri" w:hAnsiTheme="minorHAnsi" w:cstheme="minorHAnsi"/>
          <w:b/>
          <w:szCs w:val="24"/>
        </w:rPr>
        <w:t>località marittime</w:t>
      </w:r>
      <w:r w:rsidR="008D3071">
        <w:rPr>
          <w:rFonts w:asciiTheme="minorHAnsi" w:eastAsia="Calibri" w:hAnsiTheme="minorHAnsi" w:cstheme="minorHAnsi"/>
          <w:b/>
          <w:szCs w:val="24"/>
        </w:rPr>
        <w:t xml:space="preserve"> (</w:t>
      </w:r>
      <w:r w:rsidRPr="008D3071">
        <w:rPr>
          <w:rFonts w:asciiTheme="minorHAnsi" w:eastAsia="Calibri" w:hAnsiTheme="minorHAnsi" w:cstheme="minorHAnsi"/>
          <w:b/>
          <w:szCs w:val="24"/>
        </w:rPr>
        <w:t>+1,</w:t>
      </w:r>
      <w:r w:rsidR="008D3071">
        <w:rPr>
          <w:rFonts w:asciiTheme="minorHAnsi" w:eastAsia="Calibri" w:hAnsiTheme="minorHAnsi" w:cstheme="minorHAnsi"/>
          <w:b/>
          <w:szCs w:val="24"/>
        </w:rPr>
        <w:t>9</w:t>
      </w:r>
      <w:r w:rsidRPr="008D3071">
        <w:rPr>
          <w:rFonts w:asciiTheme="minorHAnsi" w:eastAsia="Calibri" w:hAnsiTheme="minorHAnsi" w:cstheme="minorHAnsi"/>
          <w:b/>
          <w:szCs w:val="24"/>
        </w:rPr>
        <w:t>%</w:t>
      </w:r>
      <w:r w:rsidR="008D3071">
        <w:rPr>
          <w:rFonts w:asciiTheme="minorHAnsi" w:eastAsia="Calibri" w:hAnsiTheme="minorHAnsi" w:cstheme="minorHAnsi"/>
          <w:b/>
          <w:szCs w:val="24"/>
        </w:rPr>
        <w:t xml:space="preserve"> in media)</w:t>
      </w:r>
      <w:r w:rsidRPr="008D3071">
        <w:rPr>
          <w:rFonts w:asciiTheme="minorHAnsi" w:eastAsia="Calibri" w:hAnsiTheme="minorHAnsi" w:cstheme="minorHAnsi"/>
          <w:b/>
          <w:szCs w:val="24"/>
        </w:rPr>
        <w:t xml:space="preserve"> </w:t>
      </w:r>
      <w:r w:rsidR="008D3071">
        <w:rPr>
          <w:rFonts w:asciiTheme="minorHAnsi" w:eastAsia="Calibri" w:hAnsiTheme="minorHAnsi" w:cstheme="minorHAnsi"/>
          <w:b/>
          <w:szCs w:val="24"/>
        </w:rPr>
        <w:t xml:space="preserve">e </w:t>
      </w:r>
      <w:r w:rsidRPr="008D3071">
        <w:rPr>
          <w:rFonts w:asciiTheme="minorHAnsi" w:eastAsia="Calibri" w:hAnsiTheme="minorHAnsi" w:cstheme="minorHAnsi"/>
          <w:b/>
          <w:szCs w:val="24"/>
        </w:rPr>
        <w:t>le località lacuali</w:t>
      </w:r>
      <w:r w:rsidR="008D3071">
        <w:rPr>
          <w:rFonts w:asciiTheme="minorHAnsi" w:eastAsia="Calibri" w:hAnsiTheme="minorHAnsi" w:cstheme="minorHAnsi"/>
          <w:b/>
          <w:szCs w:val="24"/>
        </w:rPr>
        <w:t xml:space="preserve"> (</w:t>
      </w:r>
      <w:r w:rsidRPr="008D3071">
        <w:rPr>
          <w:rFonts w:asciiTheme="minorHAnsi" w:eastAsia="Calibri" w:hAnsiTheme="minorHAnsi" w:cstheme="minorHAnsi"/>
          <w:b/>
          <w:szCs w:val="24"/>
        </w:rPr>
        <w:t>+1,</w:t>
      </w:r>
      <w:r w:rsidR="008D3071">
        <w:rPr>
          <w:rFonts w:asciiTheme="minorHAnsi" w:eastAsia="Calibri" w:hAnsiTheme="minorHAnsi" w:cstheme="minorHAnsi"/>
          <w:b/>
          <w:szCs w:val="24"/>
        </w:rPr>
        <w:t>0</w:t>
      </w:r>
      <w:r w:rsidRPr="008D3071">
        <w:rPr>
          <w:rFonts w:asciiTheme="minorHAnsi" w:eastAsia="Calibri" w:hAnsiTheme="minorHAnsi" w:cstheme="minorHAnsi"/>
          <w:b/>
          <w:szCs w:val="24"/>
        </w:rPr>
        <w:t>%</w:t>
      </w:r>
      <w:r w:rsidR="008D3071">
        <w:rPr>
          <w:rFonts w:asciiTheme="minorHAnsi" w:eastAsia="Calibri" w:hAnsiTheme="minorHAnsi" w:cstheme="minorHAnsi"/>
          <w:b/>
          <w:szCs w:val="24"/>
        </w:rPr>
        <w:t>), mentre le località di mo</w:t>
      </w:r>
      <w:r w:rsidRPr="008D3071">
        <w:rPr>
          <w:rFonts w:asciiTheme="minorHAnsi" w:eastAsia="Calibri" w:hAnsiTheme="minorHAnsi" w:cstheme="minorHAnsi"/>
          <w:b/>
          <w:szCs w:val="24"/>
        </w:rPr>
        <w:t>ntagna</w:t>
      </w:r>
      <w:r w:rsidR="008D3071">
        <w:rPr>
          <w:rFonts w:asciiTheme="minorHAnsi" w:eastAsia="Calibri" w:hAnsiTheme="minorHAnsi" w:cstheme="minorHAnsi"/>
          <w:b/>
          <w:szCs w:val="24"/>
        </w:rPr>
        <w:t xml:space="preserve"> sono in media sugli stessi livelli del 2018</w:t>
      </w:r>
      <w:r w:rsidRPr="008D3071">
        <w:rPr>
          <w:rFonts w:asciiTheme="minorHAnsi" w:eastAsia="Calibri" w:hAnsiTheme="minorHAnsi" w:cstheme="minorHAnsi"/>
          <w:b/>
          <w:szCs w:val="24"/>
        </w:rPr>
        <w:t>.</w:t>
      </w:r>
    </w:p>
    <w:p w:rsidR="0036139B" w:rsidRDefault="0036139B" w:rsidP="00346450">
      <w:pPr>
        <w:spacing w:line="276" w:lineRule="auto"/>
        <w:rPr>
          <w:rFonts w:asciiTheme="minorHAnsi" w:eastAsia="Calibri" w:hAnsiTheme="minorHAnsi" w:cstheme="minorHAnsi"/>
          <w:szCs w:val="24"/>
        </w:rPr>
      </w:pPr>
    </w:p>
    <w:p w:rsidR="00F617BC" w:rsidRPr="00E550E3" w:rsidRDefault="000B575C" w:rsidP="00346450">
      <w:pPr>
        <w:spacing w:line="276" w:lineRule="auto"/>
        <w:rPr>
          <w:rFonts w:asciiTheme="minorHAnsi" w:eastAsia="Calibri" w:hAnsiTheme="minorHAnsi" w:cstheme="minorHAnsi"/>
          <w:szCs w:val="24"/>
        </w:rPr>
      </w:pPr>
      <w:r w:rsidRPr="00E550E3">
        <w:rPr>
          <w:rFonts w:asciiTheme="minorHAnsi" w:eastAsia="Calibri" w:hAnsiTheme="minorHAnsi" w:cstheme="minorHAnsi"/>
          <w:szCs w:val="24"/>
        </w:rPr>
        <w:lastRenderedPageBreak/>
        <w:t>Anche nel 201</w:t>
      </w:r>
      <w:r w:rsidR="00E550E3" w:rsidRPr="00E550E3">
        <w:rPr>
          <w:rFonts w:asciiTheme="minorHAnsi" w:eastAsia="Calibri" w:hAnsiTheme="minorHAnsi" w:cstheme="minorHAnsi"/>
          <w:szCs w:val="24"/>
        </w:rPr>
        <w:t>9</w:t>
      </w:r>
      <w:r w:rsidRPr="00E550E3">
        <w:rPr>
          <w:rFonts w:asciiTheme="minorHAnsi" w:eastAsia="Calibri" w:hAnsiTheme="minorHAnsi" w:cstheme="minorHAnsi"/>
          <w:szCs w:val="24"/>
        </w:rPr>
        <w:t xml:space="preserve"> </w:t>
      </w:r>
      <w:r w:rsidR="003A7A09" w:rsidRPr="00E550E3">
        <w:rPr>
          <w:rFonts w:asciiTheme="minorHAnsi" w:eastAsia="Calibri" w:hAnsiTheme="minorHAnsi" w:cstheme="minorHAnsi"/>
          <w:szCs w:val="24"/>
        </w:rPr>
        <w:t>i prezzi di mercato</w:t>
      </w:r>
      <w:r w:rsidR="00695C61" w:rsidRPr="00E550E3">
        <w:rPr>
          <w:rFonts w:asciiTheme="minorHAnsi" w:eastAsia="Calibri" w:hAnsiTheme="minorHAnsi" w:cstheme="minorHAnsi"/>
          <w:szCs w:val="24"/>
        </w:rPr>
        <w:t xml:space="preserve"> delle abitazioni turistiche</w:t>
      </w:r>
      <w:r w:rsidR="003A7A09" w:rsidRPr="00E550E3">
        <w:rPr>
          <w:rFonts w:asciiTheme="minorHAnsi" w:eastAsia="Calibri" w:hAnsiTheme="minorHAnsi" w:cstheme="minorHAnsi"/>
          <w:szCs w:val="24"/>
        </w:rPr>
        <w:t xml:space="preserve"> sono diminuiti</w:t>
      </w:r>
      <w:r w:rsidR="00EF12C4" w:rsidRPr="00E550E3">
        <w:rPr>
          <w:rFonts w:asciiTheme="minorHAnsi" w:eastAsia="Calibri" w:hAnsiTheme="minorHAnsi" w:cstheme="minorHAnsi"/>
          <w:szCs w:val="24"/>
        </w:rPr>
        <w:t>,</w:t>
      </w:r>
      <w:r w:rsidR="003A7A09" w:rsidRPr="00E550E3">
        <w:rPr>
          <w:rFonts w:asciiTheme="minorHAnsi" w:eastAsia="Calibri" w:hAnsiTheme="minorHAnsi" w:cstheme="minorHAnsi"/>
          <w:szCs w:val="24"/>
        </w:rPr>
        <w:t xml:space="preserve"> facendo</w:t>
      </w:r>
      <w:r w:rsidR="00EF12C4" w:rsidRPr="00E550E3">
        <w:rPr>
          <w:rFonts w:asciiTheme="minorHAnsi" w:eastAsia="Calibri" w:hAnsiTheme="minorHAnsi" w:cstheme="minorHAnsi"/>
          <w:szCs w:val="24"/>
        </w:rPr>
        <w:t xml:space="preserve"> segnare</w:t>
      </w:r>
      <w:r w:rsidR="00E93DED" w:rsidRPr="00E550E3">
        <w:rPr>
          <w:rFonts w:asciiTheme="minorHAnsi" w:eastAsia="Calibri" w:hAnsiTheme="minorHAnsi" w:cstheme="minorHAnsi"/>
          <w:szCs w:val="24"/>
        </w:rPr>
        <w:t xml:space="preserve"> </w:t>
      </w:r>
      <w:r w:rsidRPr="00E550E3">
        <w:rPr>
          <w:rFonts w:asciiTheme="minorHAnsi" w:eastAsia="Calibri" w:hAnsiTheme="minorHAnsi" w:cstheme="minorHAnsi"/>
          <w:szCs w:val="24"/>
        </w:rPr>
        <w:t xml:space="preserve">una flessione </w:t>
      </w:r>
      <w:r w:rsidR="00E550E3">
        <w:rPr>
          <w:rFonts w:asciiTheme="minorHAnsi" w:eastAsia="Calibri" w:hAnsiTheme="minorHAnsi" w:cstheme="minorHAnsi"/>
          <w:szCs w:val="24"/>
        </w:rPr>
        <w:t xml:space="preserve">annuale </w:t>
      </w:r>
      <w:r w:rsidRPr="00E550E3">
        <w:rPr>
          <w:rFonts w:asciiTheme="minorHAnsi" w:eastAsia="Calibri" w:hAnsiTheme="minorHAnsi" w:cstheme="minorHAnsi"/>
          <w:szCs w:val="24"/>
        </w:rPr>
        <w:t xml:space="preserve">del </w:t>
      </w:r>
      <w:r w:rsidR="00E550E3" w:rsidRPr="00E550E3">
        <w:rPr>
          <w:rFonts w:asciiTheme="minorHAnsi" w:eastAsia="Calibri" w:hAnsiTheme="minorHAnsi" w:cstheme="minorHAnsi"/>
          <w:szCs w:val="24"/>
        </w:rPr>
        <w:t>-1</w:t>
      </w:r>
      <w:r w:rsidR="00B25BF8" w:rsidRPr="00E550E3">
        <w:rPr>
          <w:rFonts w:asciiTheme="minorHAnsi" w:eastAsia="Calibri" w:hAnsiTheme="minorHAnsi" w:cstheme="minorHAnsi"/>
          <w:szCs w:val="24"/>
        </w:rPr>
        <w:t>,</w:t>
      </w:r>
      <w:r w:rsidR="00E550E3" w:rsidRPr="00E550E3">
        <w:rPr>
          <w:rFonts w:asciiTheme="minorHAnsi" w:eastAsia="Calibri" w:hAnsiTheme="minorHAnsi" w:cstheme="minorHAnsi"/>
          <w:szCs w:val="24"/>
        </w:rPr>
        <w:t>8</w:t>
      </w:r>
      <w:r w:rsidR="00B25BF8" w:rsidRPr="00E550E3">
        <w:rPr>
          <w:rFonts w:asciiTheme="minorHAnsi" w:eastAsia="Calibri" w:hAnsiTheme="minorHAnsi" w:cstheme="minorHAnsi"/>
          <w:szCs w:val="24"/>
        </w:rPr>
        <w:t>%,</w:t>
      </w:r>
      <w:r w:rsidR="000F3862" w:rsidRPr="00E550E3">
        <w:rPr>
          <w:rFonts w:asciiTheme="minorHAnsi" w:eastAsia="Calibri" w:hAnsiTheme="minorHAnsi" w:cstheme="minorHAnsi"/>
          <w:szCs w:val="24"/>
        </w:rPr>
        <w:t xml:space="preserve"> </w:t>
      </w:r>
      <w:r w:rsidR="00E550E3" w:rsidRPr="00E550E3">
        <w:rPr>
          <w:rFonts w:asciiTheme="minorHAnsi" w:eastAsia="Calibri" w:hAnsiTheme="minorHAnsi" w:cstheme="minorHAnsi"/>
          <w:szCs w:val="24"/>
        </w:rPr>
        <w:t>meno intensa del</w:t>
      </w:r>
      <w:r w:rsidR="000F3862" w:rsidRPr="00E550E3">
        <w:rPr>
          <w:rFonts w:asciiTheme="minorHAnsi" w:eastAsia="Calibri" w:hAnsiTheme="minorHAnsi" w:cstheme="minorHAnsi"/>
          <w:szCs w:val="24"/>
        </w:rPr>
        <w:t>l</w:t>
      </w:r>
      <w:r w:rsidR="00E550E3" w:rsidRPr="00E550E3">
        <w:rPr>
          <w:rFonts w:asciiTheme="minorHAnsi" w:eastAsia="Calibri" w:hAnsiTheme="minorHAnsi" w:cstheme="minorHAnsi"/>
          <w:szCs w:val="24"/>
        </w:rPr>
        <w:t>a variazione registrata nel 2018</w:t>
      </w:r>
      <w:r w:rsidR="00E550E3">
        <w:rPr>
          <w:rFonts w:asciiTheme="minorHAnsi" w:eastAsia="Calibri" w:hAnsiTheme="minorHAnsi" w:cstheme="minorHAnsi"/>
          <w:szCs w:val="24"/>
        </w:rPr>
        <w:t xml:space="preserve"> (-2,5%)</w:t>
      </w:r>
      <w:r w:rsidR="000F3862" w:rsidRPr="00E550E3">
        <w:rPr>
          <w:rFonts w:asciiTheme="minorHAnsi" w:eastAsia="Calibri" w:hAnsiTheme="minorHAnsi" w:cstheme="minorHAnsi"/>
          <w:szCs w:val="24"/>
        </w:rPr>
        <w:t>.</w:t>
      </w:r>
    </w:p>
    <w:p w:rsidR="007237D6" w:rsidRPr="00670B5F" w:rsidRDefault="007237D6" w:rsidP="00C82DCF">
      <w:pPr>
        <w:spacing w:line="276" w:lineRule="auto"/>
        <w:rPr>
          <w:rFonts w:asciiTheme="minorHAnsi" w:eastAsia="Calibri" w:hAnsiTheme="minorHAnsi" w:cstheme="minorHAnsi"/>
          <w:szCs w:val="24"/>
        </w:rPr>
      </w:pPr>
    </w:p>
    <w:p w:rsidR="008B7E41" w:rsidRDefault="002F0AF4" w:rsidP="00C82DCF">
      <w:pPr>
        <w:spacing w:line="276" w:lineRule="auto"/>
        <w:rPr>
          <w:rFonts w:asciiTheme="minorHAnsi" w:eastAsia="Calibri" w:hAnsiTheme="minorHAnsi" w:cstheme="minorHAnsi"/>
          <w:szCs w:val="24"/>
        </w:rPr>
      </w:pPr>
      <w:r w:rsidRPr="00670B5F">
        <w:rPr>
          <w:rFonts w:asciiTheme="minorHAnsi" w:eastAsia="Calibri" w:hAnsiTheme="minorHAnsi" w:cstheme="minorHAnsi"/>
          <w:szCs w:val="24"/>
        </w:rPr>
        <w:t xml:space="preserve">A far segnare gli arretramenti più marcati sono state le località </w:t>
      </w:r>
      <w:r w:rsidR="00BE5970" w:rsidRPr="00670B5F">
        <w:rPr>
          <w:rFonts w:asciiTheme="minorHAnsi" w:eastAsia="Calibri" w:hAnsiTheme="minorHAnsi" w:cstheme="minorHAnsi"/>
          <w:szCs w:val="24"/>
        </w:rPr>
        <w:t xml:space="preserve">marine </w:t>
      </w:r>
      <w:r w:rsidR="00E550E3" w:rsidRPr="00670B5F">
        <w:rPr>
          <w:rFonts w:asciiTheme="minorHAnsi" w:eastAsia="Calibri" w:hAnsiTheme="minorHAnsi" w:cstheme="minorHAnsi"/>
          <w:szCs w:val="24"/>
        </w:rPr>
        <w:t>in provincia di Genova (</w:t>
      </w:r>
      <w:r w:rsidR="005D4569">
        <w:rPr>
          <w:rFonts w:asciiTheme="minorHAnsi" w:eastAsia="Calibri" w:hAnsiTheme="minorHAnsi" w:cstheme="minorHAnsi"/>
          <w:szCs w:val="24"/>
        </w:rPr>
        <w:t>in media</w:t>
      </w:r>
      <w:r w:rsidR="005D4569" w:rsidRPr="00670B5F">
        <w:rPr>
          <w:rFonts w:asciiTheme="minorHAnsi" w:eastAsia="Calibri" w:hAnsiTheme="minorHAnsi" w:cstheme="minorHAnsi"/>
          <w:szCs w:val="24"/>
        </w:rPr>
        <w:t xml:space="preserve"> </w:t>
      </w:r>
      <w:r w:rsidR="00E550E3" w:rsidRPr="00670B5F">
        <w:rPr>
          <w:rFonts w:asciiTheme="minorHAnsi" w:eastAsia="Calibri" w:hAnsiTheme="minorHAnsi" w:cstheme="minorHAnsi"/>
          <w:szCs w:val="24"/>
        </w:rPr>
        <w:t>-5,7%) e di Roma (</w:t>
      </w:r>
      <w:r w:rsidR="00896EB3" w:rsidRPr="00670B5F">
        <w:rPr>
          <w:rFonts w:asciiTheme="minorHAnsi" w:eastAsia="Calibri" w:hAnsiTheme="minorHAnsi" w:cstheme="minorHAnsi"/>
          <w:szCs w:val="24"/>
        </w:rPr>
        <w:t>-</w:t>
      </w:r>
      <w:r w:rsidR="00E550E3" w:rsidRPr="00670B5F">
        <w:rPr>
          <w:rFonts w:asciiTheme="minorHAnsi" w:eastAsia="Calibri" w:hAnsiTheme="minorHAnsi" w:cstheme="minorHAnsi"/>
          <w:szCs w:val="24"/>
        </w:rPr>
        <w:t>3</w:t>
      </w:r>
      <w:r w:rsidR="00896EB3" w:rsidRPr="00670B5F">
        <w:rPr>
          <w:rFonts w:asciiTheme="minorHAnsi" w:eastAsia="Calibri" w:hAnsiTheme="minorHAnsi" w:cstheme="minorHAnsi"/>
          <w:szCs w:val="24"/>
        </w:rPr>
        <w:t>,</w:t>
      </w:r>
      <w:r w:rsidR="00E550E3" w:rsidRPr="00670B5F">
        <w:rPr>
          <w:rFonts w:asciiTheme="minorHAnsi" w:eastAsia="Calibri" w:hAnsiTheme="minorHAnsi" w:cstheme="minorHAnsi"/>
          <w:szCs w:val="24"/>
        </w:rPr>
        <w:t>8</w:t>
      </w:r>
      <w:r w:rsidR="00896EB3" w:rsidRPr="00670B5F">
        <w:rPr>
          <w:rFonts w:asciiTheme="minorHAnsi" w:eastAsia="Calibri" w:hAnsiTheme="minorHAnsi" w:cstheme="minorHAnsi"/>
          <w:szCs w:val="24"/>
        </w:rPr>
        <w:t>%</w:t>
      </w:r>
      <w:r w:rsidR="005D4569">
        <w:rPr>
          <w:rFonts w:asciiTheme="minorHAnsi" w:eastAsia="Calibri" w:hAnsiTheme="minorHAnsi" w:cstheme="minorHAnsi"/>
          <w:szCs w:val="24"/>
        </w:rPr>
        <w:t xml:space="preserve"> medio</w:t>
      </w:r>
      <w:r w:rsidR="00896EB3" w:rsidRPr="00670B5F">
        <w:rPr>
          <w:rFonts w:asciiTheme="minorHAnsi" w:eastAsia="Calibri" w:hAnsiTheme="minorHAnsi" w:cstheme="minorHAnsi"/>
          <w:szCs w:val="24"/>
        </w:rPr>
        <w:t>)</w:t>
      </w:r>
      <w:r w:rsidR="00495B02" w:rsidRPr="00670B5F">
        <w:rPr>
          <w:rFonts w:asciiTheme="minorHAnsi" w:eastAsia="Calibri" w:hAnsiTheme="minorHAnsi" w:cstheme="minorHAnsi"/>
          <w:szCs w:val="24"/>
        </w:rPr>
        <w:t xml:space="preserve">. </w:t>
      </w:r>
      <w:r w:rsidR="00BE5970" w:rsidRPr="00670B5F">
        <w:rPr>
          <w:rFonts w:asciiTheme="minorHAnsi" w:eastAsia="Calibri" w:hAnsiTheme="minorHAnsi" w:cstheme="minorHAnsi"/>
          <w:szCs w:val="24"/>
        </w:rPr>
        <w:t>In particolare, si segnalano il -6,8% di Santa Margherita Ligure, il -6,4% di Rapallo, il -5,3% di Sestri Levante e il -5,0% di Fregene</w:t>
      </w:r>
      <w:r w:rsidR="00695C61" w:rsidRPr="00670B5F">
        <w:rPr>
          <w:rFonts w:asciiTheme="minorHAnsi" w:eastAsia="Calibri" w:hAnsiTheme="minorHAnsi" w:cstheme="minorHAnsi"/>
          <w:szCs w:val="24"/>
        </w:rPr>
        <w:t>.</w:t>
      </w:r>
    </w:p>
    <w:p w:rsidR="001F12BF" w:rsidRPr="00670B5F" w:rsidRDefault="001F12BF" w:rsidP="00C82DCF">
      <w:pPr>
        <w:spacing w:line="276" w:lineRule="auto"/>
        <w:rPr>
          <w:rFonts w:asciiTheme="minorHAnsi" w:eastAsia="Calibri" w:hAnsiTheme="minorHAnsi" w:cstheme="minorHAnsi"/>
          <w:szCs w:val="24"/>
        </w:rPr>
      </w:pPr>
    </w:p>
    <w:p w:rsidR="00625A1A" w:rsidRPr="00670B5F" w:rsidRDefault="00BE5970" w:rsidP="00C82DCF">
      <w:pPr>
        <w:spacing w:line="276" w:lineRule="auto"/>
        <w:rPr>
          <w:rFonts w:asciiTheme="minorHAnsi" w:eastAsia="Calibri" w:hAnsiTheme="minorHAnsi" w:cstheme="minorHAnsi"/>
          <w:szCs w:val="24"/>
        </w:rPr>
      </w:pPr>
      <w:r w:rsidRPr="00670B5F">
        <w:rPr>
          <w:rFonts w:asciiTheme="minorHAnsi" w:eastAsia="Calibri" w:hAnsiTheme="minorHAnsi" w:cstheme="minorHAnsi"/>
          <w:szCs w:val="24"/>
        </w:rPr>
        <w:t xml:space="preserve">Le località che hanno registrato variazioni positive sono solo una decina. Tra di esse, Senigallia (AN), con un aumento del 3,8%, alcune località montane in provincia di Udine (es. Tarvisio, +3,3%), Livigno (SO) e Lignano Sabbiadoro (UD), </w:t>
      </w:r>
      <w:r w:rsidR="005D4569">
        <w:rPr>
          <w:rFonts w:asciiTheme="minorHAnsi" w:eastAsia="Calibri" w:hAnsiTheme="minorHAnsi" w:cstheme="minorHAnsi"/>
          <w:szCs w:val="24"/>
        </w:rPr>
        <w:t>che hanno registrato un aumento dei prezzi medi del 2,0%</w:t>
      </w:r>
      <w:r w:rsidR="00625A1A" w:rsidRPr="00670B5F">
        <w:rPr>
          <w:rFonts w:asciiTheme="minorHAnsi" w:eastAsia="Calibri" w:hAnsiTheme="minorHAnsi" w:cstheme="minorHAnsi"/>
          <w:szCs w:val="24"/>
        </w:rPr>
        <w:t xml:space="preserve">. </w:t>
      </w:r>
    </w:p>
    <w:p w:rsidR="007237D6" w:rsidRPr="005D4569" w:rsidRDefault="007237D6" w:rsidP="00771EF7">
      <w:pPr>
        <w:shd w:val="clear" w:color="auto" w:fill="FFFFFF" w:themeFill="background1"/>
        <w:spacing w:line="276" w:lineRule="auto"/>
        <w:rPr>
          <w:rFonts w:asciiTheme="minorHAnsi" w:eastAsia="Calibri" w:hAnsiTheme="minorHAnsi" w:cstheme="minorHAnsi"/>
          <w:szCs w:val="24"/>
        </w:rPr>
      </w:pPr>
    </w:p>
    <w:p w:rsidR="007C0B66" w:rsidRPr="005D4569" w:rsidRDefault="002F0AF4" w:rsidP="00771EF7">
      <w:pPr>
        <w:shd w:val="clear" w:color="auto" w:fill="FFFFFF" w:themeFill="background1"/>
        <w:spacing w:line="276" w:lineRule="auto"/>
        <w:rPr>
          <w:rFonts w:asciiTheme="minorHAnsi" w:eastAsia="Calibri" w:hAnsiTheme="minorHAnsi" w:cstheme="minorHAnsi"/>
          <w:szCs w:val="24"/>
        </w:rPr>
      </w:pPr>
      <w:r w:rsidRPr="005D4569">
        <w:rPr>
          <w:rFonts w:asciiTheme="minorHAnsi" w:eastAsia="Calibri" w:hAnsiTheme="minorHAnsi" w:cstheme="minorHAnsi"/>
          <w:szCs w:val="24"/>
        </w:rPr>
        <w:t xml:space="preserve">All’interno dei singoli mercati, </w:t>
      </w:r>
      <w:r w:rsidR="00061089" w:rsidRPr="005D4569">
        <w:rPr>
          <w:rFonts w:asciiTheme="minorHAnsi" w:eastAsia="Calibri" w:hAnsiTheme="minorHAnsi" w:cstheme="minorHAnsi"/>
          <w:szCs w:val="24"/>
        </w:rPr>
        <w:t xml:space="preserve">sono in genere gli immobili usati e localizzati nelle zone periferiche </w:t>
      </w:r>
      <w:r w:rsidRPr="005D4569">
        <w:rPr>
          <w:rFonts w:asciiTheme="minorHAnsi" w:eastAsia="Calibri" w:hAnsiTheme="minorHAnsi" w:cstheme="minorHAnsi"/>
          <w:szCs w:val="24"/>
        </w:rPr>
        <w:t>ad evidenziare</w:t>
      </w:r>
      <w:r w:rsidR="0043545C" w:rsidRPr="005D4569">
        <w:rPr>
          <w:rFonts w:asciiTheme="minorHAnsi" w:eastAsia="Calibri" w:hAnsiTheme="minorHAnsi" w:cstheme="minorHAnsi"/>
          <w:szCs w:val="24"/>
        </w:rPr>
        <w:t xml:space="preserve"> i</w:t>
      </w:r>
      <w:r w:rsidRPr="005D4569">
        <w:rPr>
          <w:rFonts w:asciiTheme="minorHAnsi" w:eastAsia="Calibri" w:hAnsiTheme="minorHAnsi" w:cstheme="minorHAnsi"/>
          <w:szCs w:val="24"/>
        </w:rPr>
        <w:t xml:space="preserve"> segnali di debolezza più </w:t>
      </w:r>
      <w:r w:rsidR="0043545C" w:rsidRPr="005D4569">
        <w:rPr>
          <w:rFonts w:asciiTheme="minorHAnsi" w:eastAsia="Calibri" w:hAnsiTheme="minorHAnsi" w:cstheme="minorHAnsi"/>
          <w:szCs w:val="24"/>
        </w:rPr>
        <w:t xml:space="preserve">accentuati, con cali medi </w:t>
      </w:r>
      <w:r w:rsidR="00061089" w:rsidRPr="005D4569">
        <w:rPr>
          <w:rFonts w:asciiTheme="minorHAnsi" w:eastAsia="Calibri" w:hAnsiTheme="minorHAnsi" w:cstheme="minorHAnsi"/>
          <w:szCs w:val="24"/>
        </w:rPr>
        <w:t xml:space="preserve">dei prezzi delle abitazioni che </w:t>
      </w:r>
      <w:r w:rsidR="007237D6" w:rsidRPr="005D4569">
        <w:rPr>
          <w:rFonts w:asciiTheme="minorHAnsi" w:eastAsia="Calibri" w:hAnsiTheme="minorHAnsi" w:cstheme="minorHAnsi"/>
          <w:szCs w:val="24"/>
        </w:rPr>
        <w:t>vanno</w:t>
      </w:r>
      <w:r w:rsidR="005D4569">
        <w:rPr>
          <w:rFonts w:asciiTheme="minorHAnsi" w:eastAsia="Calibri" w:hAnsiTheme="minorHAnsi" w:cstheme="minorHAnsi"/>
          <w:szCs w:val="24"/>
        </w:rPr>
        <w:t xml:space="preserve"> dal </w:t>
      </w:r>
      <w:r w:rsidR="0009610F">
        <w:rPr>
          <w:rFonts w:asciiTheme="minorHAnsi" w:eastAsia="Calibri" w:hAnsiTheme="minorHAnsi" w:cstheme="minorHAnsi"/>
          <w:szCs w:val="24"/>
        </w:rPr>
        <w:t>-2,1</w:t>
      </w:r>
      <w:r w:rsidR="005D4569" w:rsidRPr="005D4569">
        <w:rPr>
          <w:rFonts w:asciiTheme="minorHAnsi" w:eastAsia="Calibri" w:hAnsiTheme="minorHAnsi" w:cstheme="minorHAnsi"/>
          <w:szCs w:val="24"/>
        </w:rPr>
        <w:t xml:space="preserve">% </w:t>
      </w:r>
      <w:r w:rsidR="0009610F" w:rsidRPr="005D4569">
        <w:rPr>
          <w:rFonts w:asciiTheme="minorHAnsi" w:eastAsia="Calibri" w:hAnsiTheme="minorHAnsi" w:cstheme="minorHAnsi"/>
          <w:szCs w:val="24"/>
        </w:rPr>
        <w:t xml:space="preserve">nelle località </w:t>
      </w:r>
      <w:r w:rsidR="005D4569" w:rsidRPr="005D4569">
        <w:rPr>
          <w:rFonts w:asciiTheme="minorHAnsi" w:eastAsia="Calibri" w:hAnsiTheme="minorHAnsi" w:cstheme="minorHAnsi"/>
          <w:szCs w:val="24"/>
        </w:rPr>
        <w:t>monta</w:t>
      </w:r>
      <w:r w:rsidR="0009610F">
        <w:rPr>
          <w:rFonts w:asciiTheme="minorHAnsi" w:eastAsia="Calibri" w:hAnsiTheme="minorHAnsi" w:cstheme="minorHAnsi"/>
          <w:szCs w:val="24"/>
        </w:rPr>
        <w:t xml:space="preserve">ne e </w:t>
      </w:r>
      <w:r w:rsidR="00061089" w:rsidRPr="005D4569">
        <w:rPr>
          <w:rFonts w:asciiTheme="minorHAnsi" w:eastAsia="Calibri" w:hAnsiTheme="minorHAnsi" w:cstheme="minorHAnsi"/>
          <w:szCs w:val="24"/>
        </w:rPr>
        <w:t xml:space="preserve">lacuali </w:t>
      </w:r>
      <w:r w:rsidR="0009610F">
        <w:rPr>
          <w:rFonts w:asciiTheme="minorHAnsi" w:eastAsia="Calibri" w:hAnsiTheme="minorHAnsi" w:cstheme="minorHAnsi"/>
          <w:szCs w:val="24"/>
        </w:rPr>
        <w:t xml:space="preserve">al </w:t>
      </w:r>
      <w:r w:rsidR="005D4569">
        <w:rPr>
          <w:rFonts w:asciiTheme="minorHAnsi" w:eastAsia="Calibri" w:hAnsiTheme="minorHAnsi" w:cstheme="minorHAnsi"/>
          <w:szCs w:val="24"/>
        </w:rPr>
        <w:t>-2</w:t>
      </w:r>
      <w:r w:rsidR="00061089" w:rsidRPr="005D4569">
        <w:rPr>
          <w:rFonts w:asciiTheme="minorHAnsi" w:eastAsia="Calibri" w:hAnsiTheme="minorHAnsi" w:cstheme="minorHAnsi"/>
          <w:szCs w:val="24"/>
        </w:rPr>
        <w:t>,</w:t>
      </w:r>
      <w:r w:rsidR="005D4569">
        <w:rPr>
          <w:rFonts w:asciiTheme="minorHAnsi" w:eastAsia="Calibri" w:hAnsiTheme="minorHAnsi" w:cstheme="minorHAnsi"/>
          <w:szCs w:val="24"/>
        </w:rPr>
        <w:t>4</w:t>
      </w:r>
      <w:r w:rsidR="00061089" w:rsidRPr="005D4569">
        <w:rPr>
          <w:rFonts w:asciiTheme="minorHAnsi" w:eastAsia="Calibri" w:hAnsiTheme="minorHAnsi" w:cstheme="minorHAnsi"/>
          <w:szCs w:val="24"/>
        </w:rPr>
        <w:t xml:space="preserve">% </w:t>
      </w:r>
      <w:r w:rsidR="0009610F" w:rsidRPr="005D4569">
        <w:rPr>
          <w:rFonts w:asciiTheme="minorHAnsi" w:eastAsia="Calibri" w:hAnsiTheme="minorHAnsi" w:cstheme="minorHAnsi"/>
          <w:szCs w:val="24"/>
        </w:rPr>
        <w:t xml:space="preserve">nelle località </w:t>
      </w:r>
      <w:r w:rsidR="0009610F">
        <w:rPr>
          <w:rFonts w:asciiTheme="minorHAnsi" w:eastAsia="Calibri" w:hAnsiTheme="minorHAnsi" w:cstheme="minorHAnsi"/>
          <w:szCs w:val="24"/>
        </w:rPr>
        <w:t xml:space="preserve">di </w:t>
      </w:r>
      <w:r w:rsidR="00061089" w:rsidRPr="005D4569">
        <w:rPr>
          <w:rFonts w:asciiTheme="minorHAnsi" w:eastAsia="Calibri" w:hAnsiTheme="minorHAnsi" w:cstheme="minorHAnsi"/>
          <w:szCs w:val="24"/>
        </w:rPr>
        <w:t>mare</w:t>
      </w:r>
      <w:r w:rsidRPr="005D4569">
        <w:rPr>
          <w:rFonts w:asciiTheme="minorHAnsi" w:eastAsia="Calibri" w:hAnsiTheme="minorHAnsi" w:cstheme="minorHAnsi"/>
          <w:szCs w:val="24"/>
        </w:rPr>
        <w:t>.</w:t>
      </w:r>
    </w:p>
    <w:p w:rsidR="007237D6" w:rsidRPr="0009610F" w:rsidRDefault="007237D6" w:rsidP="009D1C10">
      <w:pPr>
        <w:spacing w:line="276" w:lineRule="auto"/>
        <w:rPr>
          <w:rFonts w:asciiTheme="minorHAnsi" w:eastAsia="Calibri" w:hAnsiTheme="minorHAnsi" w:cstheme="minorHAnsi"/>
          <w:szCs w:val="24"/>
        </w:rPr>
      </w:pPr>
    </w:p>
    <w:p w:rsidR="00F23EA6" w:rsidRPr="00F25710" w:rsidRDefault="00C35CC4" w:rsidP="009D1C10">
      <w:pPr>
        <w:spacing w:line="276" w:lineRule="auto"/>
        <w:rPr>
          <w:rFonts w:asciiTheme="minorHAnsi" w:eastAsia="Calibri" w:hAnsiTheme="minorHAnsi" w:cstheme="minorHAnsi"/>
          <w:szCs w:val="24"/>
        </w:rPr>
      </w:pPr>
      <w:r w:rsidRPr="0009610F">
        <w:rPr>
          <w:rFonts w:asciiTheme="minorHAnsi" w:eastAsia="Calibri" w:hAnsiTheme="minorHAnsi" w:cstheme="minorHAnsi"/>
          <w:szCs w:val="24"/>
        </w:rPr>
        <w:t>Tengono</w:t>
      </w:r>
      <w:r w:rsidR="000458CF" w:rsidRPr="0009610F">
        <w:rPr>
          <w:rFonts w:asciiTheme="minorHAnsi" w:eastAsia="Calibri" w:hAnsiTheme="minorHAnsi" w:cstheme="minorHAnsi"/>
          <w:szCs w:val="24"/>
        </w:rPr>
        <w:t xml:space="preserve"> maggiormente</w:t>
      </w:r>
      <w:r w:rsidRPr="0009610F">
        <w:rPr>
          <w:rFonts w:asciiTheme="minorHAnsi" w:eastAsia="Calibri" w:hAnsiTheme="minorHAnsi" w:cstheme="minorHAnsi"/>
          <w:szCs w:val="24"/>
        </w:rPr>
        <w:t xml:space="preserve"> </w:t>
      </w:r>
      <w:r w:rsidR="002F0AF4" w:rsidRPr="0009610F">
        <w:rPr>
          <w:rFonts w:asciiTheme="minorHAnsi" w:eastAsia="Calibri" w:hAnsiTheme="minorHAnsi" w:cstheme="minorHAnsi"/>
          <w:szCs w:val="24"/>
        </w:rPr>
        <w:t xml:space="preserve">gli immobili </w:t>
      </w:r>
      <w:r w:rsidR="00284BD6" w:rsidRPr="0009610F">
        <w:rPr>
          <w:rFonts w:asciiTheme="minorHAnsi" w:eastAsia="Calibri" w:hAnsiTheme="minorHAnsi" w:cstheme="minorHAnsi"/>
          <w:szCs w:val="24"/>
        </w:rPr>
        <w:t xml:space="preserve">di qualità </w:t>
      </w:r>
      <w:r w:rsidR="00DF36A5" w:rsidRPr="0009610F">
        <w:rPr>
          <w:rFonts w:asciiTheme="minorHAnsi" w:eastAsia="Calibri" w:hAnsiTheme="minorHAnsi" w:cstheme="minorHAnsi"/>
          <w:szCs w:val="24"/>
        </w:rPr>
        <w:t>e nuovi</w:t>
      </w:r>
      <w:r w:rsidR="002F0AF4" w:rsidRPr="0009610F">
        <w:rPr>
          <w:rFonts w:asciiTheme="minorHAnsi" w:eastAsia="Calibri" w:hAnsiTheme="minorHAnsi" w:cstheme="minorHAnsi"/>
          <w:szCs w:val="24"/>
        </w:rPr>
        <w:t>, per i quali si regist</w:t>
      </w:r>
      <w:r w:rsidRPr="0009610F">
        <w:rPr>
          <w:rFonts w:asciiTheme="minorHAnsi" w:eastAsia="Calibri" w:hAnsiTheme="minorHAnsi" w:cstheme="minorHAnsi"/>
          <w:szCs w:val="24"/>
        </w:rPr>
        <w:t xml:space="preserve">ra una flessione media </w:t>
      </w:r>
      <w:r w:rsidRPr="00F25710">
        <w:rPr>
          <w:rFonts w:asciiTheme="minorHAnsi" w:eastAsia="Calibri" w:hAnsiTheme="minorHAnsi" w:cstheme="minorHAnsi"/>
          <w:szCs w:val="24"/>
        </w:rPr>
        <w:t xml:space="preserve">annuale </w:t>
      </w:r>
      <w:r w:rsidR="00430EC9" w:rsidRPr="00F25710">
        <w:rPr>
          <w:rFonts w:asciiTheme="minorHAnsi" w:eastAsia="Calibri" w:hAnsiTheme="minorHAnsi" w:cstheme="minorHAnsi"/>
          <w:szCs w:val="24"/>
        </w:rPr>
        <w:t>del</w:t>
      </w:r>
      <w:r w:rsidR="007237D6" w:rsidRPr="00F25710">
        <w:rPr>
          <w:rFonts w:asciiTheme="minorHAnsi" w:eastAsia="Calibri" w:hAnsiTheme="minorHAnsi" w:cstheme="minorHAnsi"/>
          <w:szCs w:val="24"/>
        </w:rPr>
        <w:t xml:space="preserve"> </w:t>
      </w:r>
      <w:r w:rsidR="00430EC9" w:rsidRPr="00F25710">
        <w:rPr>
          <w:rFonts w:asciiTheme="minorHAnsi" w:eastAsia="Calibri" w:hAnsiTheme="minorHAnsi" w:cstheme="minorHAnsi"/>
          <w:szCs w:val="24"/>
        </w:rPr>
        <w:t>-</w:t>
      </w:r>
      <w:r w:rsidR="009D1C10" w:rsidRPr="00F25710">
        <w:rPr>
          <w:rFonts w:asciiTheme="minorHAnsi" w:eastAsia="Calibri" w:hAnsiTheme="minorHAnsi" w:cstheme="minorHAnsi"/>
          <w:szCs w:val="24"/>
        </w:rPr>
        <w:t>1</w:t>
      </w:r>
      <w:r w:rsidR="002F0AF4" w:rsidRPr="00F25710">
        <w:rPr>
          <w:rFonts w:asciiTheme="minorHAnsi" w:eastAsia="Calibri" w:hAnsiTheme="minorHAnsi" w:cstheme="minorHAnsi"/>
          <w:szCs w:val="24"/>
        </w:rPr>
        <w:t>,</w:t>
      </w:r>
      <w:r w:rsidR="0009610F" w:rsidRPr="00F25710">
        <w:rPr>
          <w:rFonts w:asciiTheme="minorHAnsi" w:eastAsia="Calibri" w:hAnsiTheme="minorHAnsi" w:cstheme="minorHAnsi"/>
          <w:szCs w:val="24"/>
        </w:rPr>
        <w:t>1</w:t>
      </w:r>
      <w:r w:rsidR="00AF06EB" w:rsidRPr="00F25710">
        <w:rPr>
          <w:rFonts w:asciiTheme="minorHAnsi" w:eastAsia="Calibri" w:hAnsiTheme="minorHAnsi" w:cstheme="minorHAnsi"/>
          <w:szCs w:val="24"/>
        </w:rPr>
        <w:t>%</w:t>
      </w:r>
      <w:r w:rsidR="00DF36A5" w:rsidRPr="00F25710">
        <w:rPr>
          <w:rFonts w:asciiTheme="minorHAnsi" w:eastAsia="Calibri" w:hAnsiTheme="minorHAnsi" w:cstheme="minorHAnsi"/>
          <w:szCs w:val="24"/>
        </w:rPr>
        <w:t xml:space="preserve"> nelle località lacuali, </w:t>
      </w:r>
      <w:r w:rsidR="0009610F" w:rsidRPr="00F25710">
        <w:rPr>
          <w:rFonts w:asciiTheme="minorHAnsi" w:eastAsia="Calibri" w:hAnsiTheme="minorHAnsi" w:cstheme="minorHAnsi"/>
          <w:szCs w:val="24"/>
        </w:rPr>
        <w:t>del -1,3% in montagna e del -1,6% al mare</w:t>
      </w:r>
      <w:r w:rsidR="009D1C10" w:rsidRPr="00F25710">
        <w:rPr>
          <w:rFonts w:asciiTheme="minorHAnsi" w:eastAsia="Calibri" w:hAnsiTheme="minorHAnsi" w:cstheme="minorHAnsi"/>
          <w:szCs w:val="24"/>
        </w:rPr>
        <w:t>.</w:t>
      </w:r>
    </w:p>
    <w:p w:rsidR="007237D6" w:rsidRPr="00F25710" w:rsidRDefault="007237D6" w:rsidP="00771EF7">
      <w:pPr>
        <w:shd w:val="clear" w:color="auto" w:fill="FFFFFF" w:themeFill="background1"/>
        <w:spacing w:line="276" w:lineRule="auto"/>
        <w:rPr>
          <w:rFonts w:asciiTheme="minorHAnsi" w:eastAsia="Calibri" w:hAnsiTheme="minorHAnsi" w:cstheme="minorHAnsi"/>
          <w:szCs w:val="24"/>
        </w:rPr>
      </w:pPr>
    </w:p>
    <w:p w:rsidR="00AF3CF5" w:rsidRPr="00F25710" w:rsidRDefault="002F0AF4" w:rsidP="00771EF7">
      <w:pPr>
        <w:shd w:val="clear" w:color="auto" w:fill="FFFFFF" w:themeFill="background1"/>
        <w:spacing w:line="276" w:lineRule="auto"/>
        <w:rPr>
          <w:rFonts w:asciiTheme="minorHAnsi" w:eastAsia="Calibri" w:hAnsiTheme="minorHAnsi" w:cstheme="minorHAnsi"/>
          <w:szCs w:val="24"/>
        </w:rPr>
      </w:pPr>
      <w:r w:rsidRPr="00F25710">
        <w:rPr>
          <w:rFonts w:asciiTheme="minorHAnsi" w:eastAsia="Calibri" w:hAnsiTheme="minorHAnsi" w:cstheme="minorHAnsi"/>
          <w:szCs w:val="24"/>
        </w:rPr>
        <w:t xml:space="preserve">Dal comparto locativo emergono segnali di </w:t>
      </w:r>
      <w:r w:rsidR="008A6E01" w:rsidRPr="00F25710">
        <w:rPr>
          <w:rFonts w:asciiTheme="minorHAnsi" w:eastAsia="Calibri" w:hAnsiTheme="minorHAnsi" w:cstheme="minorHAnsi"/>
          <w:szCs w:val="24"/>
        </w:rPr>
        <w:t>maggiore</w:t>
      </w:r>
      <w:r w:rsidRPr="00F25710">
        <w:rPr>
          <w:rFonts w:asciiTheme="minorHAnsi" w:eastAsia="Calibri" w:hAnsiTheme="minorHAnsi" w:cstheme="minorHAnsi"/>
          <w:szCs w:val="24"/>
        </w:rPr>
        <w:t xml:space="preserve"> stabilità in termini di valori. Il dato medio, sintesi dei canoni richiesti in giugno, luglio e agosto nelle singole località turistiche monitorate, segna un +</w:t>
      </w:r>
      <w:r w:rsidR="00184DB4" w:rsidRPr="00F25710">
        <w:rPr>
          <w:rFonts w:asciiTheme="minorHAnsi" w:eastAsia="Calibri" w:hAnsiTheme="minorHAnsi" w:cstheme="minorHAnsi"/>
          <w:szCs w:val="24"/>
        </w:rPr>
        <w:t>1</w:t>
      </w:r>
      <w:r w:rsidRPr="00F25710">
        <w:rPr>
          <w:rFonts w:asciiTheme="minorHAnsi" w:eastAsia="Calibri" w:hAnsiTheme="minorHAnsi" w:cstheme="minorHAnsi"/>
          <w:szCs w:val="24"/>
        </w:rPr>
        <w:t>,</w:t>
      </w:r>
      <w:r w:rsidR="00F25710">
        <w:rPr>
          <w:rFonts w:asciiTheme="minorHAnsi" w:eastAsia="Calibri" w:hAnsiTheme="minorHAnsi" w:cstheme="minorHAnsi"/>
          <w:szCs w:val="24"/>
        </w:rPr>
        <w:t>3</w:t>
      </w:r>
      <w:r w:rsidRPr="00F25710">
        <w:rPr>
          <w:rFonts w:asciiTheme="minorHAnsi" w:eastAsia="Calibri" w:hAnsiTheme="minorHAnsi" w:cstheme="minorHAnsi"/>
          <w:szCs w:val="24"/>
        </w:rPr>
        <w:t xml:space="preserve">% </w:t>
      </w:r>
      <w:r w:rsidR="00284BD6" w:rsidRPr="00F25710">
        <w:rPr>
          <w:rFonts w:asciiTheme="minorHAnsi" w:eastAsia="Calibri" w:hAnsiTheme="minorHAnsi" w:cstheme="minorHAnsi"/>
          <w:szCs w:val="24"/>
        </w:rPr>
        <w:t>su base annua</w:t>
      </w:r>
      <w:r w:rsidRPr="00F25710">
        <w:rPr>
          <w:rFonts w:asciiTheme="minorHAnsi" w:eastAsia="Calibri" w:hAnsiTheme="minorHAnsi" w:cstheme="minorHAnsi"/>
          <w:szCs w:val="24"/>
        </w:rPr>
        <w:t>,</w:t>
      </w:r>
      <w:r w:rsidR="00F25710">
        <w:rPr>
          <w:rFonts w:asciiTheme="minorHAnsi" w:eastAsia="Calibri" w:hAnsiTheme="minorHAnsi" w:cstheme="minorHAnsi"/>
          <w:szCs w:val="24"/>
        </w:rPr>
        <w:t xml:space="preserve"> in lieve aumento rispetto al 2018</w:t>
      </w:r>
      <w:r w:rsidR="008A6E01" w:rsidRPr="00F25710">
        <w:rPr>
          <w:rFonts w:asciiTheme="minorHAnsi" w:eastAsia="Calibri" w:hAnsiTheme="minorHAnsi" w:cstheme="minorHAnsi"/>
          <w:szCs w:val="24"/>
        </w:rPr>
        <w:t>.</w:t>
      </w:r>
    </w:p>
    <w:p w:rsidR="007237D6" w:rsidRPr="00F25710" w:rsidRDefault="007237D6" w:rsidP="00452138">
      <w:pPr>
        <w:shd w:val="clear" w:color="auto" w:fill="FFFFFF" w:themeFill="background1"/>
        <w:spacing w:line="276" w:lineRule="auto"/>
        <w:rPr>
          <w:rFonts w:asciiTheme="minorHAnsi" w:eastAsia="Calibri" w:hAnsiTheme="minorHAnsi" w:cstheme="minorHAnsi"/>
          <w:szCs w:val="24"/>
        </w:rPr>
      </w:pPr>
    </w:p>
    <w:p w:rsidR="00DE53A9" w:rsidRPr="0009610F" w:rsidRDefault="00452138" w:rsidP="00452138">
      <w:pPr>
        <w:shd w:val="clear" w:color="auto" w:fill="FFFFFF" w:themeFill="background1"/>
        <w:spacing w:line="276" w:lineRule="auto"/>
        <w:rPr>
          <w:rFonts w:asciiTheme="minorHAnsi" w:eastAsia="Calibri" w:hAnsiTheme="minorHAnsi" w:cstheme="minorHAnsi"/>
          <w:szCs w:val="24"/>
        </w:rPr>
      </w:pPr>
      <w:r w:rsidRPr="00F25710">
        <w:rPr>
          <w:rFonts w:asciiTheme="minorHAnsi" w:eastAsia="Calibri" w:hAnsiTheme="minorHAnsi" w:cstheme="minorHAnsi"/>
          <w:szCs w:val="24"/>
        </w:rPr>
        <w:t xml:space="preserve">La lenta ripresa del comparto trova conferma </w:t>
      </w:r>
      <w:r w:rsidR="00DE53A9" w:rsidRPr="00F25710">
        <w:rPr>
          <w:rFonts w:asciiTheme="minorHAnsi" w:eastAsia="Calibri" w:hAnsiTheme="minorHAnsi" w:cstheme="minorHAnsi"/>
          <w:szCs w:val="24"/>
        </w:rPr>
        <w:t>ne</w:t>
      </w:r>
      <w:r w:rsidR="002D7597" w:rsidRPr="00F25710">
        <w:rPr>
          <w:rFonts w:asciiTheme="minorHAnsi" w:eastAsia="Calibri" w:hAnsiTheme="minorHAnsi" w:cstheme="minorHAnsi"/>
          <w:szCs w:val="24"/>
        </w:rPr>
        <w:t>lla crescita progressiva delle compravendite</w:t>
      </w:r>
      <w:r w:rsidR="00DE53A9" w:rsidRPr="00F25710">
        <w:rPr>
          <w:rFonts w:asciiTheme="minorHAnsi" w:eastAsia="Calibri" w:hAnsiTheme="minorHAnsi" w:cstheme="minorHAnsi"/>
          <w:szCs w:val="24"/>
        </w:rPr>
        <w:t xml:space="preserve"> </w:t>
      </w:r>
      <w:r w:rsidRPr="00F25710">
        <w:rPr>
          <w:rFonts w:asciiTheme="minorHAnsi" w:eastAsia="Calibri" w:hAnsiTheme="minorHAnsi" w:cstheme="minorHAnsi"/>
          <w:szCs w:val="24"/>
        </w:rPr>
        <w:t xml:space="preserve">degli </w:t>
      </w:r>
      <w:r w:rsidRPr="0009610F">
        <w:rPr>
          <w:rFonts w:asciiTheme="minorHAnsi" w:eastAsia="Calibri" w:hAnsiTheme="minorHAnsi" w:cstheme="minorHAnsi"/>
          <w:szCs w:val="24"/>
        </w:rPr>
        <w:t>immobili localizzati nelle località turistiche</w:t>
      </w:r>
      <w:r w:rsidR="00A63275" w:rsidRPr="0009610F">
        <w:rPr>
          <w:rFonts w:asciiTheme="minorHAnsi" w:eastAsia="Calibri" w:hAnsiTheme="minorHAnsi" w:cstheme="minorHAnsi"/>
          <w:szCs w:val="24"/>
        </w:rPr>
        <w:t xml:space="preserve"> (+</w:t>
      </w:r>
      <w:r w:rsidR="0009610F">
        <w:rPr>
          <w:rFonts w:asciiTheme="minorHAnsi" w:eastAsia="Calibri" w:hAnsiTheme="minorHAnsi" w:cstheme="minorHAnsi"/>
          <w:szCs w:val="24"/>
        </w:rPr>
        <w:t>6</w:t>
      </w:r>
      <w:r w:rsidR="00A63275" w:rsidRPr="0009610F">
        <w:rPr>
          <w:rFonts w:asciiTheme="minorHAnsi" w:eastAsia="Calibri" w:hAnsiTheme="minorHAnsi" w:cstheme="minorHAnsi"/>
          <w:szCs w:val="24"/>
        </w:rPr>
        <w:t>,</w:t>
      </w:r>
      <w:r w:rsidR="0009610F">
        <w:rPr>
          <w:rFonts w:asciiTheme="minorHAnsi" w:eastAsia="Calibri" w:hAnsiTheme="minorHAnsi" w:cstheme="minorHAnsi"/>
          <w:szCs w:val="24"/>
        </w:rPr>
        <w:t>1</w:t>
      </w:r>
      <w:r w:rsidR="00A63275" w:rsidRPr="0009610F">
        <w:rPr>
          <w:rFonts w:asciiTheme="minorHAnsi" w:eastAsia="Calibri" w:hAnsiTheme="minorHAnsi" w:cstheme="minorHAnsi"/>
          <w:szCs w:val="24"/>
        </w:rPr>
        <w:t>%)</w:t>
      </w:r>
      <w:r w:rsidR="00DE53A9" w:rsidRPr="0009610F">
        <w:rPr>
          <w:rFonts w:asciiTheme="minorHAnsi" w:eastAsia="Calibri" w:hAnsiTheme="minorHAnsi" w:cstheme="minorHAnsi"/>
          <w:szCs w:val="24"/>
        </w:rPr>
        <w:t xml:space="preserve">, con una intensità </w:t>
      </w:r>
      <w:r w:rsidR="0009610F">
        <w:rPr>
          <w:rFonts w:asciiTheme="minorHAnsi" w:eastAsia="Calibri" w:hAnsiTheme="minorHAnsi" w:cstheme="minorHAnsi"/>
          <w:szCs w:val="24"/>
        </w:rPr>
        <w:t xml:space="preserve">maggiore rispetto al 2017 </w:t>
      </w:r>
      <w:r w:rsidR="00DE53A9" w:rsidRPr="0009610F">
        <w:rPr>
          <w:rFonts w:asciiTheme="minorHAnsi" w:eastAsia="Calibri" w:hAnsiTheme="minorHAnsi" w:cstheme="minorHAnsi"/>
          <w:szCs w:val="24"/>
        </w:rPr>
        <w:t>(</w:t>
      </w:r>
      <w:r w:rsidR="00A63275" w:rsidRPr="0009610F">
        <w:rPr>
          <w:rFonts w:asciiTheme="minorHAnsi" w:eastAsia="Calibri" w:hAnsiTheme="minorHAnsi" w:cstheme="minorHAnsi"/>
          <w:szCs w:val="24"/>
        </w:rPr>
        <w:t>+</w:t>
      </w:r>
      <w:r w:rsidR="0009610F">
        <w:rPr>
          <w:rFonts w:asciiTheme="minorHAnsi" w:eastAsia="Calibri" w:hAnsiTheme="minorHAnsi" w:cstheme="minorHAnsi"/>
          <w:szCs w:val="24"/>
        </w:rPr>
        <w:t>3</w:t>
      </w:r>
      <w:r w:rsidR="00DE53A9" w:rsidRPr="0009610F">
        <w:rPr>
          <w:rFonts w:asciiTheme="minorHAnsi" w:eastAsia="Calibri" w:hAnsiTheme="minorHAnsi" w:cstheme="minorHAnsi"/>
          <w:szCs w:val="24"/>
        </w:rPr>
        <w:t>,</w:t>
      </w:r>
      <w:r w:rsidR="0009610F">
        <w:rPr>
          <w:rFonts w:asciiTheme="minorHAnsi" w:eastAsia="Calibri" w:hAnsiTheme="minorHAnsi" w:cstheme="minorHAnsi"/>
          <w:szCs w:val="24"/>
        </w:rPr>
        <w:t>5</w:t>
      </w:r>
      <w:r w:rsidR="00DE53A9" w:rsidRPr="0009610F">
        <w:rPr>
          <w:rFonts w:asciiTheme="minorHAnsi" w:eastAsia="Calibri" w:hAnsiTheme="minorHAnsi" w:cstheme="minorHAnsi"/>
          <w:szCs w:val="24"/>
        </w:rPr>
        <w:t>%)</w:t>
      </w:r>
      <w:r w:rsidRPr="0009610F">
        <w:rPr>
          <w:rFonts w:asciiTheme="minorHAnsi" w:eastAsia="Calibri" w:hAnsiTheme="minorHAnsi" w:cstheme="minorHAnsi"/>
          <w:szCs w:val="24"/>
        </w:rPr>
        <w:t xml:space="preserve">. </w:t>
      </w:r>
    </w:p>
    <w:p w:rsidR="00073B14" w:rsidRPr="0009610F" w:rsidRDefault="00073B14" w:rsidP="00BC4B97">
      <w:pPr>
        <w:rPr>
          <w:rFonts w:asciiTheme="minorHAnsi" w:hAnsiTheme="minorHAnsi"/>
          <w:szCs w:val="28"/>
        </w:rPr>
      </w:pPr>
      <w:r w:rsidRPr="0009610F">
        <w:rPr>
          <w:rFonts w:asciiTheme="minorHAnsi" w:hAnsiTheme="minorHAnsi"/>
          <w:szCs w:val="28"/>
        </w:rPr>
        <w:br w:type="page"/>
      </w:r>
    </w:p>
    <w:p w:rsidR="00B74650" w:rsidRPr="00A02EB4" w:rsidRDefault="002D3762" w:rsidP="00AE50F2">
      <w:pPr>
        <w:tabs>
          <w:tab w:val="left" w:pos="357"/>
        </w:tabs>
        <w:suppressAutoHyphens/>
        <w:rPr>
          <w:rFonts w:asciiTheme="minorHAnsi" w:hAnsiTheme="minorHAnsi"/>
          <w:b/>
          <w:sz w:val="28"/>
          <w:szCs w:val="28"/>
        </w:rPr>
      </w:pPr>
      <w:r w:rsidRPr="00A02EB4">
        <w:rPr>
          <w:rFonts w:asciiTheme="minorHAnsi" w:hAnsiTheme="minorHAnsi"/>
          <w:b/>
          <w:sz w:val="28"/>
          <w:szCs w:val="28"/>
        </w:rPr>
        <w:lastRenderedPageBreak/>
        <w:t>I</w:t>
      </w:r>
      <w:r w:rsidR="00AE50F2" w:rsidRPr="00A02EB4">
        <w:rPr>
          <w:rFonts w:asciiTheme="minorHAnsi" w:hAnsiTheme="minorHAnsi"/>
          <w:b/>
          <w:sz w:val="28"/>
          <w:szCs w:val="28"/>
        </w:rPr>
        <w:t>l mercato immobiliare in Italia</w:t>
      </w:r>
    </w:p>
    <w:p w:rsidR="00AE50F2" w:rsidRPr="006344E1" w:rsidRDefault="00AE50F2" w:rsidP="00364602">
      <w:pPr>
        <w:rPr>
          <w:rFonts w:asciiTheme="minorHAnsi" w:eastAsia="Calibri" w:hAnsiTheme="minorHAnsi" w:cstheme="minorHAnsi"/>
          <w:sz w:val="22"/>
          <w:szCs w:val="24"/>
        </w:rPr>
      </w:pPr>
    </w:p>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La fragilità del quadro economico domestico non sembra compromettere le capacità di risalita del settore immobiliare che, dopo la pesantissima crisi che lo ha colpito, sta ora faticosamente recuperando le posizioni perse durante la lunga parentesi recessiva. Si tratta di evidenze che è possibile ricavare sia dall’ulteriore espansione dell’attività transattiva che dal graduale miglioramento di tutti i principali indicatori economici del comparto. </w:t>
      </w:r>
    </w:p>
    <w:tbl>
      <w:tblPr>
        <w:tblpPr w:leftFromText="141" w:rightFromText="141" w:vertAnchor="text" w:horzAnchor="margin" w:tblpY="83"/>
        <w:tblOverlap w:val="never"/>
        <w:tblW w:w="2501" w:type="pct"/>
        <w:tblCellMar>
          <w:left w:w="71" w:type="dxa"/>
          <w:right w:w="71" w:type="dxa"/>
        </w:tblCellMar>
        <w:tblLook w:val="0000" w:firstRow="0" w:lastRow="0" w:firstColumn="0" w:lastColumn="0" w:noHBand="0" w:noVBand="0"/>
      </w:tblPr>
      <w:tblGrid>
        <w:gridCol w:w="4821"/>
      </w:tblGrid>
      <w:tr w:rsidR="00851093" w:rsidRPr="00CA59C1" w:rsidTr="00747B5B">
        <w:trPr>
          <w:trHeight w:val="81"/>
        </w:trPr>
        <w:tc>
          <w:tcPr>
            <w:tcW w:w="5000" w:type="pct"/>
          </w:tcPr>
          <w:p w:rsidR="00851093" w:rsidRPr="00CA59C1" w:rsidRDefault="00851093" w:rsidP="00747B5B">
            <w:pPr>
              <w:keepNext/>
              <w:widowControl w:val="0"/>
              <w:jc w:val="left"/>
              <w:rPr>
                <w:rFonts w:asciiTheme="minorHAnsi" w:hAnsiTheme="minorHAnsi" w:cs="Calibri"/>
                <w:b/>
                <w:color w:val="2E74B5"/>
                <w:sz w:val="20"/>
              </w:rPr>
            </w:pPr>
            <w:r w:rsidRPr="00CA59C1">
              <w:rPr>
                <w:rFonts w:asciiTheme="minorHAnsi" w:hAnsiTheme="minorHAnsi" w:cs="Calibri"/>
                <w:b/>
                <w:color w:val="2E74B5"/>
                <w:sz w:val="20"/>
              </w:rPr>
              <w:t>Figura 1</w:t>
            </w:r>
          </w:p>
          <w:p w:rsidR="00851093" w:rsidRPr="00CA59C1" w:rsidRDefault="00851093" w:rsidP="00747B5B">
            <w:pPr>
              <w:keepNext/>
              <w:widowControl w:val="0"/>
              <w:spacing w:after="60"/>
              <w:jc w:val="left"/>
              <w:rPr>
                <w:rFonts w:asciiTheme="minorHAnsi" w:hAnsiTheme="minorHAnsi" w:cs="Calibri"/>
                <w:bCs/>
                <w:color w:val="003399"/>
              </w:rPr>
            </w:pPr>
            <w:r w:rsidRPr="00CA59C1">
              <w:rPr>
                <w:rFonts w:asciiTheme="minorHAnsi" w:hAnsiTheme="minorHAnsi" w:cs="Calibri"/>
                <w:b/>
                <w:color w:val="2E74B5"/>
                <w:sz w:val="20"/>
              </w:rPr>
              <w:t>Media 13 grandi città – Evoluzione dell’Indice Nomisma di performance delle abitazioni</w:t>
            </w:r>
          </w:p>
        </w:tc>
      </w:tr>
      <w:tr w:rsidR="00851093" w:rsidRPr="00CA59C1" w:rsidTr="00747B5B">
        <w:trPr>
          <w:trHeight w:val="283"/>
        </w:trPr>
        <w:tc>
          <w:tcPr>
            <w:tcW w:w="5000" w:type="pct"/>
            <w:vAlign w:val="center"/>
          </w:tcPr>
          <w:p w:rsidR="00851093" w:rsidRPr="00CA59C1" w:rsidRDefault="00851093" w:rsidP="00747B5B">
            <w:pPr>
              <w:suppressAutoHyphens/>
              <w:spacing w:before="120" w:after="120"/>
              <w:jc w:val="left"/>
              <w:rPr>
                <w:rFonts w:asciiTheme="minorHAnsi" w:hAnsiTheme="minorHAnsi" w:cs="Calibri"/>
                <w:sz w:val="20"/>
              </w:rPr>
            </w:pPr>
            <w:r w:rsidRPr="00CA59C1">
              <w:rPr>
                <w:rFonts w:asciiTheme="minorHAnsi" w:hAnsiTheme="minorHAnsi" w:cs="Calibri"/>
                <w:noProof/>
                <w:sz w:val="20"/>
              </w:rPr>
              <w:drawing>
                <wp:inline distT="0" distB="0" distL="0" distR="0" wp14:anchorId="3B07BAB1" wp14:editId="3291E15B">
                  <wp:extent cx="2736273" cy="1782125"/>
                  <wp:effectExtent l="0" t="0" r="0" b="0"/>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35427" cy="1781574"/>
                          </a:xfrm>
                          <a:prstGeom prst="rect">
                            <a:avLst/>
                          </a:prstGeom>
                          <a:noFill/>
                          <a:ln>
                            <a:noFill/>
                          </a:ln>
                        </pic:spPr>
                      </pic:pic>
                    </a:graphicData>
                  </a:graphic>
                </wp:inline>
              </w:drawing>
            </w:r>
          </w:p>
        </w:tc>
      </w:tr>
      <w:tr w:rsidR="00851093" w:rsidRPr="00CA59C1" w:rsidTr="00747B5B">
        <w:trPr>
          <w:trHeight w:val="78"/>
        </w:trPr>
        <w:tc>
          <w:tcPr>
            <w:tcW w:w="5000" w:type="pct"/>
          </w:tcPr>
          <w:p w:rsidR="00851093" w:rsidRPr="00CA59C1" w:rsidRDefault="00851093" w:rsidP="00747B5B">
            <w:pPr>
              <w:suppressAutoHyphens/>
              <w:spacing w:before="60"/>
              <w:rPr>
                <w:rFonts w:asciiTheme="minorHAnsi" w:hAnsiTheme="minorHAnsi" w:cs="Calibri"/>
                <w:noProof/>
                <w:sz w:val="18"/>
                <w:szCs w:val="18"/>
              </w:rPr>
            </w:pPr>
            <w:r w:rsidRPr="00CA59C1">
              <w:rPr>
                <w:rFonts w:asciiTheme="minorHAnsi" w:hAnsiTheme="minorHAnsi" w:cs="Calibri"/>
                <w:noProof/>
                <w:sz w:val="18"/>
                <w:szCs w:val="18"/>
              </w:rPr>
              <w:t>Fonte: Nomisma</w:t>
            </w:r>
          </w:p>
        </w:tc>
      </w:tr>
    </w:tbl>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Come testimoniato dall’Indice Nomisma di performance residenziale, la media dei principali mercati si colloca in posizione ascendente nel nuovo ciclo economico. Tale dinamica è alimentata non solo dalla pressione della domanda e dall’incremento delle compravendite, ma dalla contrazione di tempi di vendita e sconti praticati, nonché, per la prima volta, dalla timida risalita dei valori. Proprio l’inversione di tendenza dei prezzi, seppure circoscritta a taluni mercati, rappresenta un elemento di potenziale irrobustimento della congiuntura favorevole che ha caratterizzato il mercato negli ultimi anni. L’attenuazione del rischio di minusvalenze contribuisce, infatti, ad ampliare l’interesse della componente di investimento, il cui peso, ancorché in crescita, risulta tuttora secondario. Ferma restando la preminenza della domanda volta a soddisfare un’esigenza di utilizzo diretto, un ricorso più massiccio all’immobiliare quale forma di impiego del risparmio finirebbe, inevitabilmente, per aumentare la liquidità del mercato, ridimensionando i timori di un rallentamento indotto dal deterioramento del contesto economico di riferimento. </w:t>
      </w:r>
    </w:p>
    <w:tbl>
      <w:tblPr>
        <w:tblpPr w:leftFromText="141" w:rightFromText="141" w:vertAnchor="text" w:horzAnchor="margin" w:tblpY="83"/>
        <w:tblOverlap w:val="never"/>
        <w:tblW w:w="2457" w:type="pct"/>
        <w:tblCellMar>
          <w:left w:w="71" w:type="dxa"/>
          <w:right w:w="71" w:type="dxa"/>
        </w:tblCellMar>
        <w:tblLook w:val="0000" w:firstRow="0" w:lastRow="0" w:firstColumn="0" w:lastColumn="0" w:noHBand="0" w:noVBand="0"/>
      </w:tblPr>
      <w:tblGrid>
        <w:gridCol w:w="4736"/>
      </w:tblGrid>
      <w:tr w:rsidR="00851093" w:rsidRPr="00CA59C1" w:rsidTr="00747B5B">
        <w:trPr>
          <w:trHeight w:val="81"/>
        </w:trPr>
        <w:tc>
          <w:tcPr>
            <w:tcW w:w="5000" w:type="pct"/>
          </w:tcPr>
          <w:p w:rsidR="00851093" w:rsidRPr="00CA59C1" w:rsidRDefault="00851093" w:rsidP="00747B5B">
            <w:pPr>
              <w:keepNext/>
              <w:widowControl w:val="0"/>
              <w:jc w:val="left"/>
              <w:rPr>
                <w:rFonts w:asciiTheme="minorHAnsi" w:hAnsiTheme="minorHAnsi" w:cs="Calibri"/>
                <w:b/>
                <w:color w:val="2E74B5"/>
                <w:sz w:val="20"/>
              </w:rPr>
            </w:pPr>
            <w:r w:rsidRPr="00CA59C1">
              <w:rPr>
                <w:rFonts w:asciiTheme="minorHAnsi" w:hAnsiTheme="minorHAnsi" w:cs="Calibri"/>
                <w:b/>
                <w:color w:val="2E74B5"/>
                <w:sz w:val="20"/>
              </w:rPr>
              <w:t>Figura 2</w:t>
            </w:r>
          </w:p>
          <w:p w:rsidR="00851093" w:rsidRPr="00CA59C1" w:rsidRDefault="00851093" w:rsidP="00747B5B">
            <w:pPr>
              <w:keepNext/>
              <w:widowControl w:val="0"/>
              <w:spacing w:after="60"/>
              <w:jc w:val="left"/>
              <w:rPr>
                <w:rFonts w:asciiTheme="minorHAnsi" w:hAnsiTheme="minorHAnsi" w:cs="Calibri"/>
                <w:bCs/>
                <w:color w:val="003399"/>
              </w:rPr>
            </w:pPr>
            <w:r w:rsidRPr="00CA59C1">
              <w:rPr>
                <w:rFonts w:asciiTheme="minorHAnsi" w:hAnsiTheme="minorHAnsi" w:cs="Calibri"/>
                <w:b/>
                <w:color w:val="2E74B5"/>
                <w:sz w:val="20"/>
              </w:rPr>
              <w:t xml:space="preserve">Utilizzo della casa che si intende acquistare nei prossimi 12 mesi </w:t>
            </w:r>
            <w:r w:rsidRPr="00CA59C1">
              <w:rPr>
                <w:rFonts w:asciiTheme="minorHAnsi" w:hAnsiTheme="minorHAnsi" w:cs="Calibri"/>
                <w:color w:val="2E74B5"/>
                <w:sz w:val="20"/>
              </w:rPr>
              <w:t>(% sul totale delle famiglie che intendono acquistare casa)</w:t>
            </w:r>
          </w:p>
        </w:tc>
      </w:tr>
      <w:tr w:rsidR="00851093" w:rsidRPr="00CA59C1" w:rsidTr="00747B5B">
        <w:trPr>
          <w:trHeight w:val="283"/>
        </w:trPr>
        <w:tc>
          <w:tcPr>
            <w:tcW w:w="5000" w:type="pct"/>
            <w:vAlign w:val="center"/>
          </w:tcPr>
          <w:p w:rsidR="00851093" w:rsidRPr="00CA59C1" w:rsidRDefault="00851093" w:rsidP="00747B5B">
            <w:pPr>
              <w:suppressAutoHyphens/>
              <w:spacing w:before="120" w:after="120"/>
              <w:jc w:val="left"/>
              <w:rPr>
                <w:rFonts w:asciiTheme="minorHAnsi" w:hAnsiTheme="minorHAnsi" w:cs="Calibri"/>
                <w:sz w:val="20"/>
              </w:rPr>
            </w:pPr>
            <w:r w:rsidRPr="00CA59C1">
              <w:rPr>
                <w:rFonts w:asciiTheme="minorHAnsi" w:hAnsiTheme="minorHAnsi" w:cs="Calibri"/>
                <w:noProof/>
                <w:sz w:val="20"/>
              </w:rPr>
              <w:drawing>
                <wp:inline distT="0" distB="0" distL="0" distR="0" wp14:anchorId="650A585E" wp14:editId="58ED0369">
                  <wp:extent cx="2736273" cy="1454727"/>
                  <wp:effectExtent l="0" t="0" r="6985" b="0"/>
                  <wp:docPr id="256" name="Immagin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53608" cy="1463943"/>
                          </a:xfrm>
                          <a:prstGeom prst="rect">
                            <a:avLst/>
                          </a:prstGeom>
                          <a:noFill/>
                          <a:ln>
                            <a:noFill/>
                          </a:ln>
                        </pic:spPr>
                      </pic:pic>
                    </a:graphicData>
                  </a:graphic>
                </wp:inline>
              </w:drawing>
            </w:r>
          </w:p>
        </w:tc>
      </w:tr>
      <w:tr w:rsidR="00851093" w:rsidRPr="00CA59C1" w:rsidTr="00747B5B">
        <w:trPr>
          <w:trHeight w:val="78"/>
        </w:trPr>
        <w:tc>
          <w:tcPr>
            <w:tcW w:w="5000" w:type="pct"/>
          </w:tcPr>
          <w:p w:rsidR="00851093" w:rsidRPr="00CA59C1" w:rsidRDefault="00851093" w:rsidP="00747B5B">
            <w:pPr>
              <w:suppressAutoHyphens/>
              <w:spacing w:before="60"/>
              <w:rPr>
                <w:rFonts w:asciiTheme="minorHAnsi" w:hAnsiTheme="minorHAnsi" w:cs="Calibri"/>
                <w:noProof/>
                <w:sz w:val="18"/>
                <w:szCs w:val="18"/>
              </w:rPr>
            </w:pPr>
            <w:r w:rsidRPr="00CA59C1">
              <w:rPr>
                <w:rFonts w:asciiTheme="minorHAnsi" w:hAnsiTheme="minorHAnsi" w:cs="Calibri"/>
                <w:noProof/>
                <w:sz w:val="18"/>
                <w:szCs w:val="18"/>
              </w:rPr>
              <w:t>Fonte: Nomisma, Indagine sulle famiglie, 2019</w:t>
            </w:r>
          </w:p>
        </w:tc>
      </w:tr>
    </w:tbl>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La modestia della crescita attesa, l’esiguità della prospettiva inflattiva e il perdurare delle tensioni finanziarie sono, infatti, elementi che non possono non penalizzare le dinamiche del settore. In uno scenario in cui la dipendenza da credito è diventata il fattore di più rilevante connotazione della propensione all’acquisto immobiliare, non è pensabile che l’accresciuta precarietà della prospettiva economico-finanziaria non condizioni il mercato immobiliare. In tale quadro, il deterioramento del clima di fiducia delle famiglie si configura come segnale di allarme, alla luce del peso che tale indicatore è andato assumendo nell’orientamento delle intenzioni di acquisto. È, infatti, in corrispondenza del miglioramento delle attese sulla situazione personale e del Paese, manifestatosi a partire dal 2015, che l’intensità della ripresa ha acquistato vigore, nonostante gli andamenti reali non giustificassero l’ottimismo che era andato diffondendosi non appena la morsa della doppia ondata recessiva aveva iniziato ad allentare la propria presa.</w:t>
      </w:r>
    </w:p>
    <w:p w:rsidR="00FB75B8" w:rsidRDefault="00FB75B8" w:rsidP="00851093">
      <w:pPr>
        <w:widowControl w:val="0"/>
        <w:spacing w:after="120"/>
        <w:rPr>
          <w:rFonts w:asciiTheme="minorHAnsi" w:eastAsia="Calibri" w:hAnsiTheme="minorHAnsi"/>
          <w:sz w:val="22"/>
          <w:szCs w:val="22"/>
          <w:lang w:eastAsia="en-US"/>
        </w:rPr>
      </w:pPr>
    </w:p>
    <w:tbl>
      <w:tblPr>
        <w:tblStyle w:val="Grigliatabella"/>
        <w:tblpPr w:leftFromText="141" w:rightFromText="141" w:vertAnchor="page" w:horzAnchor="margin" w:tblpY="2441"/>
        <w:tblW w:w="2501" w:type="pct"/>
        <w:tblLook w:val="04A0" w:firstRow="1" w:lastRow="0" w:firstColumn="1" w:lastColumn="0" w:noHBand="0" w:noVBand="1"/>
      </w:tblPr>
      <w:tblGrid>
        <w:gridCol w:w="1752"/>
        <w:gridCol w:w="1536"/>
        <w:gridCol w:w="1533"/>
      </w:tblGrid>
      <w:tr w:rsidR="00FB75B8" w:rsidRPr="00CA59C1" w:rsidTr="00FB75B8">
        <w:tc>
          <w:tcPr>
            <w:tcW w:w="5000" w:type="pct"/>
            <w:gridSpan w:val="3"/>
            <w:tcBorders>
              <w:top w:val="nil"/>
              <w:left w:val="nil"/>
              <w:bottom w:val="nil"/>
              <w:right w:val="nil"/>
            </w:tcBorders>
            <w:shd w:val="clear" w:color="auto" w:fill="auto"/>
          </w:tcPr>
          <w:p w:rsidR="00FB75B8" w:rsidRPr="00CA59C1" w:rsidRDefault="0036139B" w:rsidP="00FB75B8">
            <w:pPr>
              <w:rPr>
                <w:rFonts w:asciiTheme="minorHAnsi" w:hAnsiTheme="minorHAnsi" w:cs="Calibri"/>
                <w:b w:val="0"/>
                <w:color w:val="2E74B5"/>
                <w:sz w:val="20"/>
              </w:rPr>
            </w:pPr>
            <w:r w:rsidRPr="00CA59C1">
              <w:rPr>
                <w:rFonts w:asciiTheme="minorHAnsi" w:hAnsiTheme="minorHAnsi" w:cs="Calibri"/>
                <w:caps w:val="0"/>
                <w:color w:val="2E74B5"/>
                <w:sz w:val="20"/>
              </w:rPr>
              <w:lastRenderedPageBreak/>
              <w:t>Tavola 1</w:t>
            </w:r>
          </w:p>
          <w:p w:rsidR="00FB75B8" w:rsidRPr="00CA59C1" w:rsidRDefault="0036139B" w:rsidP="00FB75B8">
            <w:pPr>
              <w:spacing w:after="60"/>
              <w:rPr>
                <w:rFonts w:asciiTheme="minorHAnsi" w:hAnsiTheme="minorHAnsi"/>
                <w:b w:val="0"/>
                <w:sz w:val="18"/>
                <w:szCs w:val="18"/>
              </w:rPr>
            </w:pPr>
            <w:r w:rsidRPr="0036139B">
              <w:rPr>
                <w:rFonts w:asciiTheme="minorHAnsi" w:hAnsiTheme="minorHAnsi" w:cs="Calibri"/>
                <w:caps w:val="0"/>
                <w:color w:val="2E74B5"/>
                <w:sz w:val="20"/>
              </w:rPr>
              <w:t>Variazioni</w:t>
            </w:r>
            <w:r>
              <w:rPr>
                <w:rFonts w:asciiTheme="minorHAnsi" w:hAnsiTheme="minorHAnsi" w:cs="Calibri"/>
                <w:b w:val="0"/>
                <w:caps w:val="0"/>
                <w:color w:val="2E74B5"/>
                <w:sz w:val="20"/>
              </w:rPr>
              <w:t xml:space="preserve"> </w:t>
            </w:r>
            <w:r w:rsidRPr="00CA59C1">
              <w:rPr>
                <w:rFonts w:asciiTheme="minorHAnsi" w:hAnsiTheme="minorHAnsi" w:cs="Calibri"/>
                <w:caps w:val="0"/>
                <w:color w:val="2E74B5"/>
                <w:sz w:val="20"/>
              </w:rPr>
              <w:t>tendenziali delle compravendite di abitazioni nelle 8 principali città e in Italia</w:t>
            </w:r>
          </w:p>
        </w:tc>
      </w:tr>
      <w:tr w:rsidR="00FB75B8" w:rsidRPr="00CA59C1" w:rsidTr="00FB75B8">
        <w:tc>
          <w:tcPr>
            <w:tcW w:w="1817" w:type="pct"/>
            <w:tcBorders>
              <w:top w:val="single" w:sz="6" w:space="0" w:color="808080" w:themeColor="background1" w:themeShade="80"/>
              <w:left w:val="nil"/>
              <w:bottom w:val="nil"/>
              <w:right w:val="nil"/>
            </w:tcBorders>
            <w:shd w:val="clear" w:color="auto" w:fill="D9D9D9" w:themeFill="background1" w:themeFillShade="D9"/>
          </w:tcPr>
          <w:p w:rsidR="00FB75B8" w:rsidRPr="00CA59C1" w:rsidRDefault="00FB75B8" w:rsidP="00FB75B8">
            <w:pPr>
              <w:rPr>
                <w:rFonts w:asciiTheme="minorHAnsi" w:hAnsiTheme="minorHAnsi"/>
                <w:b w:val="0"/>
                <w:sz w:val="18"/>
                <w:szCs w:val="18"/>
              </w:rPr>
            </w:pPr>
          </w:p>
        </w:tc>
        <w:tc>
          <w:tcPr>
            <w:tcW w:w="1593" w:type="pct"/>
            <w:tcBorders>
              <w:top w:val="single" w:sz="6" w:space="0" w:color="808080" w:themeColor="background1" w:themeShade="80"/>
              <w:left w:val="nil"/>
              <w:bottom w:val="nil"/>
              <w:right w:val="nil"/>
            </w:tcBorders>
            <w:shd w:val="clear" w:color="auto" w:fill="D9D9D9" w:themeFill="background1" w:themeFillShade="D9"/>
          </w:tcPr>
          <w:p w:rsidR="00FB75B8" w:rsidRPr="00CA59C1" w:rsidRDefault="00FB75B8" w:rsidP="00FB75B8">
            <w:pPr>
              <w:jc w:val="center"/>
              <w:rPr>
                <w:rFonts w:asciiTheme="minorHAnsi" w:hAnsiTheme="minorHAnsi"/>
                <w:b w:val="0"/>
                <w:sz w:val="18"/>
                <w:szCs w:val="18"/>
              </w:rPr>
            </w:pPr>
            <w:r w:rsidRPr="00CA59C1">
              <w:rPr>
                <w:rFonts w:asciiTheme="minorHAnsi" w:hAnsiTheme="minorHAnsi"/>
                <w:sz w:val="18"/>
                <w:szCs w:val="18"/>
              </w:rPr>
              <w:t xml:space="preserve">IV </w:t>
            </w:r>
            <w:r w:rsidR="0036139B" w:rsidRPr="00CA59C1">
              <w:rPr>
                <w:rFonts w:asciiTheme="minorHAnsi" w:hAnsiTheme="minorHAnsi"/>
                <w:caps w:val="0"/>
                <w:sz w:val="18"/>
                <w:szCs w:val="18"/>
              </w:rPr>
              <w:t>trim18</w:t>
            </w:r>
            <w:r w:rsidRPr="00CA59C1">
              <w:rPr>
                <w:rFonts w:asciiTheme="minorHAnsi" w:hAnsiTheme="minorHAnsi"/>
                <w:sz w:val="18"/>
                <w:szCs w:val="18"/>
              </w:rPr>
              <w:t xml:space="preserve">/ </w:t>
            </w:r>
          </w:p>
          <w:p w:rsidR="00FB75B8" w:rsidRPr="00CA59C1" w:rsidRDefault="00FB75B8" w:rsidP="00FB75B8">
            <w:pPr>
              <w:jc w:val="center"/>
              <w:rPr>
                <w:rFonts w:asciiTheme="minorHAnsi" w:hAnsiTheme="minorHAnsi"/>
                <w:b w:val="0"/>
                <w:sz w:val="18"/>
                <w:szCs w:val="18"/>
              </w:rPr>
            </w:pPr>
            <w:r w:rsidRPr="00CA59C1">
              <w:rPr>
                <w:rFonts w:asciiTheme="minorHAnsi" w:hAnsiTheme="minorHAnsi"/>
                <w:sz w:val="18"/>
                <w:szCs w:val="18"/>
              </w:rPr>
              <w:t xml:space="preserve">IV </w:t>
            </w:r>
            <w:r w:rsidR="0036139B" w:rsidRPr="00CA59C1">
              <w:rPr>
                <w:rFonts w:asciiTheme="minorHAnsi" w:hAnsiTheme="minorHAnsi"/>
                <w:caps w:val="0"/>
                <w:sz w:val="18"/>
                <w:szCs w:val="18"/>
              </w:rPr>
              <w:t>trim17</w:t>
            </w:r>
          </w:p>
        </w:tc>
        <w:tc>
          <w:tcPr>
            <w:tcW w:w="1591" w:type="pct"/>
            <w:tcBorders>
              <w:top w:val="single" w:sz="6" w:space="0" w:color="808080" w:themeColor="background1" w:themeShade="80"/>
              <w:left w:val="nil"/>
              <w:bottom w:val="nil"/>
              <w:right w:val="nil"/>
            </w:tcBorders>
            <w:shd w:val="clear" w:color="auto" w:fill="D9D9D9" w:themeFill="background1" w:themeFillShade="D9"/>
          </w:tcPr>
          <w:p w:rsidR="00FB75B8" w:rsidRPr="00CA59C1" w:rsidRDefault="00FB75B8" w:rsidP="00FB75B8">
            <w:pPr>
              <w:jc w:val="center"/>
              <w:rPr>
                <w:rFonts w:asciiTheme="minorHAnsi" w:hAnsiTheme="minorHAnsi"/>
                <w:b w:val="0"/>
                <w:sz w:val="18"/>
                <w:szCs w:val="18"/>
              </w:rPr>
            </w:pPr>
            <w:r w:rsidRPr="00CA59C1">
              <w:rPr>
                <w:rFonts w:asciiTheme="minorHAnsi" w:hAnsiTheme="minorHAnsi"/>
                <w:sz w:val="18"/>
                <w:szCs w:val="18"/>
              </w:rPr>
              <w:t xml:space="preserve">I </w:t>
            </w:r>
            <w:r w:rsidR="0036139B" w:rsidRPr="00CA59C1">
              <w:rPr>
                <w:rFonts w:asciiTheme="minorHAnsi" w:hAnsiTheme="minorHAnsi"/>
                <w:caps w:val="0"/>
                <w:sz w:val="18"/>
                <w:szCs w:val="18"/>
              </w:rPr>
              <w:t>trim19</w:t>
            </w:r>
            <w:r w:rsidRPr="00CA59C1">
              <w:rPr>
                <w:rFonts w:asciiTheme="minorHAnsi" w:hAnsiTheme="minorHAnsi"/>
                <w:sz w:val="18"/>
                <w:szCs w:val="18"/>
              </w:rPr>
              <w:t>/</w:t>
            </w:r>
          </w:p>
          <w:p w:rsidR="00FB75B8" w:rsidRPr="00CA59C1" w:rsidRDefault="00FB75B8" w:rsidP="00FB75B8">
            <w:pPr>
              <w:jc w:val="center"/>
              <w:rPr>
                <w:rFonts w:asciiTheme="minorHAnsi" w:hAnsiTheme="minorHAnsi"/>
                <w:b w:val="0"/>
                <w:sz w:val="18"/>
                <w:szCs w:val="18"/>
              </w:rPr>
            </w:pPr>
            <w:r w:rsidRPr="00CA59C1">
              <w:rPr>
                <w:rFonts w:asciiTheme="minorHAnsi" w:hAnsiTheme="minorHAnsi"/>
                <w:sz w:val="18"/>
                <w:szCs w:val="18"/>
              </w:rPr>
              <w:t xml:space="preserve">I </w:t>
            </w:r>
            <w:r w:rsidR="0036139B" w:rsidRPr="00CA59C1">
              <w:rPr>
                <w:rFonts w:asciiTheme="minorHAnsi" w:hAnsiTheme="minorHAnsi"/>
                <w:caps w:val="0"/>
                <w:sz w:val="18"/>
                <w:szCs w:val="18"/>
              </w:rPr>
              <w:t>trim18</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Roma</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10,9%</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11,9%</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Milano</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9,5%</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11,3%</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Torino</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4,8%</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2,0%</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Napoli</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7,0%</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-1,3%</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Genova</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6,4%</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15,2%</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Palermo</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18,5%</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2,0%</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Bologna</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20,9%</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12,9%</w:t>
            </w:r>
          </w:p>
        </w:tc>
      </w:tr>
      <w:tr w:rsidR="00FB75B8" w:rsidRPr="00CA59C1" w:rsidTr="00FB75B8">
        <w:trPr>
          <w:trHeight w:val="255"/>
        </w:trPr>
        <w:tc>
          <w:tcPr>
            <w:tcW w:w="1817" w:type="pct"/>
            <w:tcBorders>
              <w:top w:val="nil"/>
              <w:left w:val="nil"/>
              <w:bottom w:val="nil"/>
              <w:right w:val="nil"/>
            </w:tcBorders>
            <w:vAlign w:val="center"/>
          </w:tcPr>
          <w:p w:rsidR="00FB75B8" w:rsidRPr="0036139B" w:rsidRDefault="0036139B" w:rsidP="00FB75B8">
            <w:pPr>
              <w:jc w:val="left"/>
              <w:rPr>
                <w:rFonts w:asciiTheme="minorHAnsi" w:hAnsiTheme="minorHAnsi"/>
                <w:b w:val="0"/>
                <w:sz w:val="18"/>
                <w:szCs w:val="18"/>
              </w:rPr>
            </w:pPr>
            <w:r w:rsidRPr="0036139B">
              <w:rPr>
                <w:rFonts w:asciiTheme="minorHAnsi" w:hAnsiTheme="minorHAnsi"/>
                <w:b w:val="0"/>
                <w:caps w:val="0"/>
                <w:sz w:val="18"/>
                <w:szCs w:val="18"/>
              </w:rPr>
              <w:t>Firenze</w:t>
            </w:r>
          </w:p>
        </w:tc>
        <w:tc>
          <w:tcPr>
            <w:tcW w:w="1593"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4,8%</w:t>
            </w:r>
          </w:p>
        </w:tc>
        <w:tc>
          <w:tcPr>
            <w:tcW w:w="1591" w:type="pct"/>
            <w:tcBorders>
              <w:top w:val="nil"/>
              <w:left w:val="nil"/>
              <w:bottom w:val="nil"/>
              <w:right w:val="nil"/>
            </w:tcBorders>
            <w:vAlign w:val="center"/>
          </w:tcPr>
          <w:p w:rsidR="00FB75B8" w:rsidRPr="0036139B" w:rsidRDefault="00FB75B8" w:rsidP="00FB75B8">
            <w:pPr>
              <w:ind w:right="397"/>
              <w:jc w:val="right"/>
              <w:rPr>
                <w:rFonts w:asciiTheme="minorHAnsi" w:hAnsiTheme="minorHAnsi"/>
                <w:b w:val="0"/>
                <w:sz w:val="18"/>
                <w:szCs w:val="18"/>
              </w:rPr>
            </w:pPr>
            <w:r w:rsidRPr="0036139B">
              <w:rPr>
                <w:rFonts w:asciiTheme="minorHAnsi" w:hAnsiTheme="minorHAnsi"/>
                <w:b w:val="0"/>
                <w:sz w:val="18"/>
                <w:szCs w:val="18"/>
              </w:rPr>
              <w:t>-5,2%</w:t>
            </w:r>
          </w:p>
        </w:tc>
      </w:tr>
      <w:tr w:rsidR="00FB75B8" w:rsidRPr="00CA59C1" w:rsidTr="00FB75B8">
        <w:trPr>
          <w:trHeight w:val="255"/>
        </w:trPr>
        <w:tc>
          <w:tcPr>
            <w:tcW w:w="1817" w:type="pct"/>
            <w:tcBorders>
              <w:top w:val="nil"/>
              <w:left w:val="nil"/>
              <w:bottom w:val="nil"/>
              <w:right w:val="nil"/>
            </w:tcBorders>
            <w:shd w:val="clear" w:color="auto" w:fill="E7E6E6" w:themeFill="background2"/>
            <w:vAlign w:val="center"/>
          </w:tcPr>
          <w:p w:rsidR="00FB75B8" w:rsidRPr="0036139B" w:rsidRDefault="0036139B" w:rsidP="00FB75B8">
            <w:pPr>
              <w:jc w:val="left"/>
              <w:rPr>
                <w:rFonts w:asciiTheme="minorHAnsi" w:hAnsiTheme="minorHAnsi"/>
                <w:sz w:val="18"/>
                <w:szCs w:val="18"/>
              </w:rPr>
            </w:pPr>
            <w:r w:rsidRPr="0036139B">
              <w:rPr>
                <w:rFonts w:asciiTheme="minorHAnsi" w:hAnsiTheme="minorHAnsi"/>
                <w:caps w:val="0"/>
                <w:sz w:val="18"/>
                <w:szCs w:val="18"/>
              </w:rPr>
              <w:t xml:space="preserve">Totale </w:t>
            </w:r>
            <w:r w:rsidR="00FB75B8" w:rsidRPr="0036139B">
              <w:rPr>
                <w:rFonts w:asciiTheme="minorHAnsi" w:hAnsiTheme="minorHAnsi"/>
                <w:sz w:val="18"/>
                <w:szCs w:val="18"/>
              </w:rPr>
              <w:t xml:space="preserve">8 </w:t>
            </w:r>
            <w:r w:rsidRPr="0036139B">
              <w:rPr>
                <w:rFonts w:asciiTheme="minorHAnsi" w:hAnsiTheme="minorHAnsi"/>
                <w:caps w:val="0"/>
                <w:sz w:val="18"/>
                <w:szCs w:val="18"/>
              </w:rPr>
              <w:t>città</w:t>
            </w:r>
          </w:p>
        </w:tc>
        <w:tc>
          <w:tcPr>
            <w:tcW w:w="1593" w:type="pct"/>
            <w:tcBorders>
              <w:top w:val="nil"/>
              <w:left w:val="nil"/>
              <w:bottom w:val="nil"/>
              <w:right w:val="nil"/>
            </w:tcBorders>
            <w:shd w:val="clear" w:color="auto" w:fill="E7E6E6" w:themeFill="background2"/>
            <w:vAlign w:val="center"/>
          </w:tcPr>
          <w:p w:rsidR="00FB75B8" w:rsidRPr="0036139B" w:rsidRDefault="00FB75B8" w:rsidP="00FB75B8">
            <w:pPr>
              <w:ind w:right="397"/>
              <w:jc w:val="right"/>
              <w:rPr>
                <w:rFonts w:asciiTheme="minorHAnsi" w:hAnsiTheme="minorHAnsi"/>
                <w:sz w:val="18"/>
                <w:szCs w:val="18"/>
              </w:rPr>
            </w:pPr>
            <w:r w:rsidRPr="0036139B">
              <w:rPr>
                <w:rFonts w:asciiTheme="minorHAnsi" w:hAnsiTheme="minorHAnsi"/>
                <w:sz w:val="18"/>
                <w:szCs w:val="18"/>
              </w:rPr>
              <w:t>9,7%</w:t>
            </w:r>
          </w:p>
        </w:tc>
        <w:tc>
          <w:tcPr>
            <w:tcW w:w="1591" w:type="pct"/>
            <w:tcBorders>
              <w:top w:val="nil"/>
              <w:left w:val="nil"/>
              <w:bottom w:val="nil"/>
              <w:right w:val="nil"/>
            </w:tcBorders>
            <w:shd w:val="clear" w:color="auto" w:fill="E7E6E6" w:themeFill="background2"/>
            <w:vAlign w:val="center"/>
          </w:tcPr>
          <w:p w:rsidR="00FB75B8" w:rsidRPr="0036139B" w:rsidRDefault="00FB75B8" w:rsidP="00FB75B8">
            <w:pPr>
              <w:ind w:right="397"/>
              <w:jc w:val="right"/>
              <w:rPr>
                <w:rFonts w:asciiTheme="minorHAnsi" w:hAnsiTheme="minorHAnsi"/>
                <w:sz w:val="18"/>
                <w:szCs w:val="18"/>
              </w:rPr>
            </w:pPr>
            <w:r w:rsidRPr="0036139B">
              <w:rPr>
                <w:rFonts w:asciiTheme="minorHAnsi" w:hAnsiTheme="minorHAnsi"/>
                <w:sz w:val="18"/>
                <w:szCs w:val="18"/>
              </w:rPr>
              <w:t>8,2%</w:t>
            </w:r>
          </w:p>
        </w:tc>
      </w:tr>
      <w:tr w:rsidR="00FB75B8" w:rsidRPr="00CA59C1" w:rsidTr="00FB75B8">
        <w:trPr>
          <w:trHeight w:val="255"/>
        </w:trPr>
        <w:tc>
          <w:tcPr>
            <w:tcW w:w="1817" w:type="pct"/>
            <w:tcBorders>
              <w:top w:val="nil"/>
              <w:left w:val="nil"/>
              <w:bottom w:val="single" w:sz="6" w:space="0" w:color="808080" w:themeColor="background1" w:themeShade="80"/>
              <w:right w:val="nil"/>
            </w:tcBorders>
            <w:shd w:val="clear" w:color="auto" w:fill="DEEAF6" w:themeFill="accent1" w:themeFillTint="33"/>
            <w:vAlign w:val="center"/>
          </w:tcPr>
          <w:p w:rsidR="00FB75B8" w:rsidRPr="00CA59C1" w:rsidRDefault="0036139B" w:rsidP="00FB75B8">
            <w:pPr>
              <w:jc w:val="left"/>
              <w:rPr>
                <w:rFonts w:asciiTheme="minorHAnsi" w:hAnsiTheme="minorHAnsi"/>
                <w:b w:val="0"/>
                <w:sz w:val="18"/>
                <w:szCs w:val="18"/>
              </w:rPr>
            </w:pPr>
            <w:r w:rsidRPr="00CA59C1">
              <w:rPr>
                <w:rFonts w:asciiTheme="minorHAnsi" w:hAnsiTheme="minorHAnsi"/>
                <w:caps w:val="0"/>
                <w:sz w:val="18"/>
                <w:szCs w:val="18"/>
              </w:rPr>
              <w:t>Italia</w:t>
            </w:r>
          </w:p>
        </w:tc>
        <w:tc>
          <w:tcPr>
            <w:tcW w:w="1593" w:type="pct"/>
            <w:tcBorders>
              <w:top w:val="nil"/>
              <w:left w:val="nil"/>
              <w:bottom w:val="single" w:sz="6" w:space="0" w:color="808080" w:themeColor="background1" w:themeShade="80"/>
              <w:right w:val="nil"/>
            </w:tcBorders>
            <w:shd w:val="clear" w:color="auto" w:fill="DEEAF6" w:themeFill="accent1" w:themeFillTint="33"/>
            <w:vAlign w:val="center"/>
          </w:tcPr>
          <w:p w:rsidR="00FB75B8" w:rsidRPr="00CA59C1" w:rsidRDefault="00FB75B8" w:rsidP="00FB75B8">
            <w:pPr>
              <w:ind w:right="397"/>
              <w:jc w:val="right"/>
              <w:rPr>
                <w:rFonts w:asciiTheme="minorHAnsi" w:hAnsiTheme="minorHAnsi"/>
                <w:b w:val="0"/>
                <w:sz w:val="18"/>
                <w:szCs w:val="18"/>
              </w:rPr>
            </w:pPr>
            <w:r w:rsidRPr="00CA59C1">
              <w:rPr>
                <w:rFonts w:asciiTheme="minorHAnsi" w:hAnsiTheme="minorHAnsi"/>
                <w:sz w:val="18"/>
                <w:szCs w:val="18"/>
              </w:rPr>
              <w:t>9,3%</w:t>
            </w:r>
          </w:p>
        </w:tc>
        <w:tc>
          <w:tcPr>
            <w:tcW w:w="1591" w:type="pct"/>
            <w:tcBorders>
              <w:top w:val="nil"/>
              <w:left w:val="nil"/>
              <w:bottom w:val="single" w:sz="6" w:space="0" w:color="808080" w:themeColor="background1" w:themeShade="80"/>
              <w:right w:val="nil"/>
            </w:tcBorders>
            <w:shd w:val="clear" w:color="auto" w:fill="DEEAF6" w:themeFill="accent1" w:themeFillTint="33"/>
            <w:vAlign w:val="center"/>
          </w:tcPr>
          <w:p w:rsidR="00FB75B8" w:rsidRPr="00CA59C1" w:rsidRDefault="00FB75B8" w:rsidP="00FB75B8">
            <w:pPr>
              <w:ind w:right="397"/>
              <w:jc w:val="right"/>
              <w:rPr>
                <w:rFonts w:asciiTheme="minorHAnsi" w:hAnsiTheme="minorHAnsi"/>
                <w:b w:val="0"/>
                <w:sz w:val="18"/>
                <w:szCs w:val="18"/>
              </w:rPr>
            </w:pPr>
            <w:r w:rsidRPr="00CA59C1">
              <w:rPr>
                <w:rFonts w:asciiTheme="minorHAnsi" w:hAnsiTheme="minorHAnsi"/>
                <w:sz w:val="18"/>
                <w:szCs w:val="18"/>
              </w:rPr>
              <w:t>8,8%</w:t>
            </w:r>
          </w:p>
        </w:tc>
      </w:tr>
      <w:tr w:rsidR="00FB75B8" w:rsidRPr="00CA59C1" w:rsidTr="00FB75B8">
        <w:tc>
          <w:tcPr>
            <w:tcW w:w="5000" w:type="pct"/>
            <w:gridSpan w:val="3"/>
            <w:tcBorders>
              <w:top w:val="single" w:sz="6" w:space="0" w:color="808080" w:themeColor="background1" w:themeShade="80"/>
              <w:left w:val="nil"/>
              <w:bottom w:val="nil"/>
              <w:right w:val="nil"/>
            </w:tcBorders>
            <w:shd w:val="clear" w:color="auto" w:fill="FFFFFF" w:themeFill="background1"/>
          </w:tcPr>
          <w:p w:rsidR="00FB75B8" w:rsidRPr="0036139B" w:rsidRDefault="0036139B" w:rsidP="00FB75B8">
            <w:pPr>
              <w:spacing w:before="60"/>
              <w:rPr>
                <w:rFonts w:asciiTheme="minorHAnsi" w:hAnsiTheme="minorHAnsi"/>
                <w:b w:val="0"/>
                <w:sz w:val="18"/>
                <w:szCs w:val="18"/>
              </w:rPr>
            </w:pPr>
            <w:r w:rsidRPr="0036139B">
              <w:rPr>
                <w:rFonts w:asciiTheme="minorHAnsi" w:hAnsiTheme="minorHAnsi"/>
                <w:b w:val="0"/>
                <w:caps w:val="0"/>
                <w:sz w:val="18"/>
                <w:szCs w:val="18"/>
              </w:rPr>
              <w:t>Fonte</w:t>
            </w:r>
            <w:r w:rsidR="00FB75B8" w:rsidRPr="0036139B">
              <w:rPr>
                <w:rFonts w:asciiTheme="minorHAnsi" w:hAnsiTheme="minorHAnsi"/>
                <w:b w:val="0"/>
                <w:sz w:val="18"/>
                <w:szCs w:val="18"/>
              </w:rPr>
              <w:t xml:space="preserve">: </w:t>
            </w:r>
            <w:r w:rsidRPr="0036139B">
              <w:rPr>
                <w:rFonts w:asciiTheme="minorHAnsi" w:hAnsiTheme="minorHAnsi"/>
                <w:b w:val="0"/>
                <w:caps w:val="0"/>
                <w:sz w:val="18"/>
                <w:szCs w:val="18"/>
              </w:rPr>
              <w:t>Agenzia delle Entrate</w:t>
            </w:r>
          </w:p>
        </w:tc>
      </w:tr>
    </w:tbl>
    <w:p w:rsidR="00851093"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Il ripiegamento degli ultimi mesi, ancorché parziale, non può dunque non suscitare timori, alla luce del condizionamento che l’elemento finanziario è in grado di esercitare sul settore. </w:t>
      </w:r>
    </w:p>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Se a ciò si aggiunge la contestuale flessione della domanda di mutui, ecco che l’incremento delle compravendite, protrattosi anche nella prima parte di quest’anno, risulta sorprendente. Se non vi sono dubbi che la domanda potenziale risulti tuttora imponente, è altrettanto evidente il graduale differimento di parte delle intenzioni di acquisto, in attesa che la prospettiva reddituale del nucleo familiare assuma un profilo più preciso. </w:t>
      </w:r>
    </w:p>
    <w:p w:rsidR="00851093" w:rsidRDefault="00851093" w:rsidP="00851093">
      <w:pPr>
        <w:widowControl w:val="0"/>
        <w:spacing w:after="120"/>
        <w:rPr>
          <w:rFonts w:asciiTheme="minorHAnsi" w:eastAsia="Calibri" w:hAnsiTheme="minorHAnsi"/>
          <w:sz w:val="8"/>
          <w:szCs w:val="22"/>
          <w:lang w:eastAsia="en-US"/>
        </w:rPr>
      </w:pPr>
    </w:p>
    <w:p w:rsidR="00851093" w:rsidRDefault="00851093" w:rsidP="00851093">
      <w:pPr>
        <w:widowControl w:val="0"/>
        <w:spacing w:after="120"/>
        <w:rPr>
          <w:rFonts w:asciiTheme="minorHAnsi" w:eastAsia="Calibri" w:hAnsiTheme="minorHAnsi"/>
          <w:sz w:val="8"/>
          <w:szCs w:val="22"/>
          <w:lang w:eastAsia="en-US"/>
        </w:rPr>
      </w:pPr>
    </w:p>
    <w:p w:rsidR="00851093" w:rsidRPr="00CA59C1" w:rsidRDefault="00851093" w:rsidP="00851093">
      <w:pPr>
        <w:widowControl w:val="0"/>
        <w:rPr>
          <w:rFonts w:asciiTheme="minorHAnsi" w:eastAsia="Calibri" w:hAnsiTheme="minorHAnsi"/>
          <w:sz w:val="6"/>
          <w:szCs w:val="22"/>
          <w:lang w:eastAsia="en-US"/>
        </w:rPr>
      </w:pPr>
    </w:p>
    <w:tbl>
      <w:tblPr>
        <w:tblStyle w:val="Grigliatabella"/>
        <w:tblpPr w:leftFromText="141" w:rightFromText="141" w:vertAnchor="text" w:horzAnchor="margin" w:tblpY="122"/>
        <w:tblW w:w="2501" w:type="pct"/>
        <w:tblLook w:val="04A0" w:firstRow="1" w:lastRow="0" w:firstColumn="1" w:lastColumn="0" w:noHBand="0" w:noVBand="1"/>
      </w:tblPr>
      <w:tblGrid>
        <w:gridCol w:w="1330"/>
        <w:gridCol w:w="1164"/>
        <w:gridCol w:w="1164"/>
        <w:gridCol w:w="1163"/>
      </w:tblGrid>
      <w:tr w:rsidR="00851093" w:rsidRPr="00CA59C1" w:rsidTr="00747B5B">
        <w:tc>
          <w:tcPr>
            <w:tcW w:w="5000" w:type="pct"/>
            <w:gridSpan w:val="4"/>
            <w:tcBorders>
              <w:top w:val="nil"/>
              <w:left w:val="nil"/>
              <w:bottom w:val="nil"/>
              <w:right w:val="nil"/>
            </w:tcBorders>
          </w:tcPr>
          <w:p w:rsidR="00851093" w:rsidRPr="00CA59C1" w:rsidRDefault="00851093" w:rsidP="00747B5B">
            <w:pPr>
              <w:rPr>
                <w:rFonts w:asciiTheme="minorHAnsi" w:hAnsiTheme="minorHAnsi" w:cs="Calibri"/>
                <w:b w:val="0"/>
                <w:color w:val="2E74B5"/>
                <w:sz w:val="20"/>
              </w:rPr>
            </w:pPr>
          </w:p>
          <w:p w:rsidR="00AF6526" w:rsidRDefault="00AF6526" w:rsidP="00747B5B">
            <w:pPr>
              <w:spacing w:after="60"/>
              <w:rPr>
                <w:rFonts w:asciiTheme="minorHAnsi" w:hAnsiTheme="minorHAnsi" w:cs="Calibri"/>
                <w:caps w:val="0"/>
                <w:color w:val="2E74B5"/>
                <w:sz w:val="8"/>
              </w:rPr>
            </w:pPr>
          </w:p>
          <w:p w:rsidR="00792062" w:rsidRPr="00AF6526" w:rsidRDefault="00792062" w:rsidP="00747B5B">
            <w:pPr>
              <w:spacing w:after="60"/>
              <w:rPr>
                <w:rFonts w:asciiTheme="minorHAnsi" w:hAnsiTheme="minorHAnsi" w:cs="Calibri"/>
                <w:caps w:val="0"/>
                <w:color w:val="2E74B5"/>
                <w:sz w:val="8"/>
              </w:rPr>
            </w:pPr>
          </w:p>
          <w:p w:rsidR="00792062" w:rsidRDefault="00792062" w:rsidP="00747B5B">
            <w:pPr>
              <w:spacing w:after="60"/>
              <w:rPr>
                <w:rFonts w:asciiTheme="minorHAnsi" w:hAnsiTheme="minorHAnsi" w:cs="Calibri"/>
                <w:caps w:val="0"/>
                <w:color w:val="2E74B5"/>
                <w:sz w:val="20"/>
              </w:rPr>
            </w:pPr>
            <w:r w:rsidRPr="00CA59C1">
              <w:rPr>
                <w:rFonts w:asciiTheme="minorHAnsi" w:hAnsiTheme="minorHAnsi" w:cs="Calibri"/>
                <w:caps w:val="0"/>
                <w:color w:val="2E74B5"/>
                <w:sz w:val="20"/>
              </w:rPr>
              <w:t>Tavola 2</w:t>
            </w:r>
          </w:p>
          <w:p w:rsidR="00851093" w:rsidRPr="00CA59C1" w:rsidRDefault="0036139B" w:rsidP="00747B5B">
            <w:pPr>
              <w:spacing w:after="60"/>
              <w:rPr>
                <w:rFonts w:asciiTheme="minorHAnsi" w:hAnsiTheme="minorHAnsi" w:cs="Calibri"/>
                <w:b w:val="0"/>
                <w:color w:val="2E74B5"/>
                <w:sz w:val="20"/>
              </w:rPr>
            </w:pPr>
            <w:r w:rsidRPr="00CA59C1">
              <w:rPr>
                <w:rFonts w:asciiTheme="minorHAnsi" w:hAnsiTheme="minorHAnsi" w:cs="Calibri"/>
                <w:caps w:val="0"/>
                <w:color w:val="2E74B5"/>
                <w:sz w:val="20"/>
              </w:rPr>
              <w:t xml:space="preserve">Variazione semestrale dei prezzi correnti nelle 13 grandi città </w:t>
            </w:r>
          </w:p>
        </w:tc>
      </w:tr>
      <w:tr w:rsidR="00851093" w:rsidRPr="00CA59C1" w:rsidTr="00747B5B">
        <w:tc>
          <w:tcPr>
            <w:tcW w:w="1380" w:type="pct"/>
            <w:tcBorders>
              <w:top w:val="single" w:sz="6" w:space="0" w:color="808080" w:themeColor="background1" w:themeShade="80"/>
              <w:left w:val="nil"/>
              <w:bottom w:val="nil"/>
              <w:right w:val="nil"/>
            </w:tcBorders>
            <w:shd w:val="clear" w:color="auto" w:fill="D9D9D9" w:themeFill="background1" w:themeFillShade="D9"/>
          </w:tcPr>
          <w:p w:rsidR="00851093" w:rsidRPr="00CA59C1" w:rsidRDefault="00851093" w:rsidP="00747B5B">
            <w:pPr>
              <w:rPr>
                <w:rFonts w:asciiTheme="minorHAnsi" w:hAnsiTheme="minorHAnsi"/>
                <w:b w:val="0"/>
                <w:sz w:val="18"/>
                <w:szCs w:val="18"/>
              </w:rPr>
            </w:pPr>
          </w:p>
        </w:tc>
        <w:tc>
          <w:tcPr>
            <w:tcW w:w="1207" w:type="pct"/>
            <w:tcBorders>
              <w:top w:val="single" w:sz="6" w:space="0" w:color="808080" w:themeColor="background1" w:themeShade="80"/>
              <w:left w:val="nil"/>
              <w:bottom w:val="nil"/>
              <w:right w:val="nil"/>
            </w:tcBorders>
            <w:shd w:val="clear" w:color="auto" w:fill="D9D9D9" w:themeFill="background1" w:themeFillShade="D9"/>
          </w:tcPr>
          <w:p w:rsidR="00851093" w:rsidRPr="00CA59C1" w:rsidRDefault="0036139B" w:rsidP="00747B5B">
            <w:pPr>
              <w:jc w:val="center"/>
              <w:rPr>
                <w:rFonts w:asciiTheme="minorHAnsi" w:hAnsiTheme="minorHAnsi"/>
                <w:b w:val="0"/>
                <w:sz w:val="18"/>
                <w:szCs w:val="18"/>
              </w:rPr>
            </w:pPr>
            <w:r w:rsidRPr="00CA59C1">
              <w:rPr>
                <w:rFonts w:asciiTheme="minorHAnsi" w:hAnsiTheme="minorHAnsi"/>
                <w:caps w:val="0"/>
                <w:sz w:val="18"/>
                <w:szCs w:val="18"/>
              </w:rPr>
              <w:t>Abitazioni usate</w:t>
            </w:r>
          </w:p>
        </w:tc>
        <w:tc>
          <w:tcPr>
            <w:tcW w:w="1207" w:type="pct"/>
            <w:tcBorders>
              <w:top w:val="single" w:sz="6" w:space="0" w:color="808080" w:themeColor="background1" w:themeShade="80"/>
              <w:left w:val="nil"/>
              <w:bottom w:val="nil"/>
              <w:right w:val="nil"/>
            </w:tcBorders>
            <w:shd w:val="clear" w:color="auto" w:fill="D9D9D9" w:themeFill="background1" w:themeFillShade="D9"/>
            <w:vAlign w:val="center"/>
          </w:tcPr>
          <w:p w:rsidR="00851093" w:rsidRPr="00CA59C1" w:rsidRDefault="0036139B" w:rsidP="00747B5B">
            <w:pPr>
              <w:jc w:val="center"/>
              <w:rPr>
                <w:rFonts w:asciiTheme="minorHAnsi" w:hAnsiTheme="minorHAnsi"/>
                <w:b w:val="0"/>
                <w:sz w:val="18"/>
                <w:szCs w:val="18"/>
              </w:rPr>
            </w:pPr>
            <w:r w:rsidRPr="00CA59C1">
              <w:rPr>
                <w:rFonts w:asciiTheme="minorHAnsi" w:hAnsiTheme="minorHAnsi"/>
                <w:caps w:val="0"/>
                <w:sz w:val="18"/>
                <w:szCs w:val="18"/>
              </w:rPr>
              <w:t>Uffici</w:t>
            </w:r>
          </w:p>
        </w:tc>
        <w:tc>
          <w:tcPr>
            <w:tcW w:w="1207" w:type="pct"/>
            <w:tcBorders>
              <w:top w:val="single" w:sz="6" w:space="0" w:color="808080" w:themeColor="background1" w:themeShade="80"/>
              <w:left w:val="nil"/>
              <w:bottom w:val="nil"/>
              <w:right w:val="nil"/>
            </w:tcBorders>
            <w:shd w:val="clear" w:color="auto" w:fill="D9D9D9" w:themeFill="background1" w:themeFillShade="D9"/>
            <w:vAlign w:val="center"/>
          </w:tcPr>
          <w:p w:rsidR="00851093" w:rsidRPr="00CA59C1" w:rsidRDefault="0036139B" w:rsidP="00747B5B">
            <w:pPr>
              <w:jc w:val="center"/>
              <w:rPr>
                <w:rFonts w:asciiTheme="minorHAnsi" w:hAnsiTheme="minorHAnsi"/>
                <w:b w:val="0"/>
                <w:sz w:val="18"/>
                <w:szCs w:val="18"/>
              </w:rPr>
            </w:pPr>
            <w:r w:rsidRPr="00CA59C1">
              <w:rPr>
                <w:rFonts w:asciiTheme="minorHAnsi" w:hAnsiTheme="minorHAnsi"/>
                <w:caps w:val="0"/>
                <w:sz w:val="18"/>
                <w:szCs w:val="18"/>
              </w:rPr>
              <w:t>Negozi</w:t>
            </w:r>
          </w:p>
        </w:tc>
      </w:tr>
      <w:tr w:rsidR="00851093" w:rsidRPr="00CA59C1" w:rsidTr="00747B5B">
        <w:trPr>
          <w:trHeight w:val="255"/>
        </w:trPr>
        <w:tc>
          <w:tcPr>
            <w:tcW w:w="1380"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I 2019/II 2018</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+0,2%</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-0,5%</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-0,3%</w:t>
            </w:r>
          </w:p>
        </w:tc>
      </w:tr>
      <w:tr w:rsidR="00851093" w:rsidRPr="00CA59C1" w:rsidTr="00747B5B">
        <w:trPr>
          <w:trHeight w:val="255"/>
        </w:trPr>
        <w:tc>
          <w:tcPr>
            <w:tcW w:w="1380"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II 2018/I 2018</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-0,4%</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-0,6%</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-0,3%</w:t>
            </w:r>
          </w:p>
        </w:tc>
      </w:tr>
      <w:tr w:rsidR="00851093" w:rsidRPr="00CA59C1" w:rsidTr="00747B5B">
        <w:trPr>
          <w:trHeight w:val="255"/>
        </w:trPr>
        <w:tc>
          <w:tcPr>
            <w:tcW w:w="1380"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I 2018/II 2017</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-0,5%</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-0,8%</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-0,5%</w:t>
            </w:r>
          </w:p>
        </w:tc>
      </w:tr>
      <w:tr w:rsidR="00851093" w:rsidRPr="00CA59C1" w:rsidTr="00747B5B">
        <w:trPr>
          <w:trHeight w:val="255"/>
        </w:trPr>
        <w:tc>
          <w:tcPr>
            <w:tcW w:w="1380"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II 2017/I 2017</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-0,6%</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-0,7%</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-0,6%</w:t>
            </w:r>
          </w:p>
        </w:tc>
      </w:tr>
      <w:tr w:rsidR="00851093" w:rsidRPr="00CA59C1" w:rsidTr="00747B5B">
        <w:trPr>
          <w:trHeight w:val="255"/>
        </w:trPr>
        <w:tc>
          <w:tcPr>
            <w:tcW w:w="1380"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I 2017/II 2016</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-0,6%</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-0,8%</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-0,7%</w:t>
            </w:r>
          </w:p>
        </w:tc>
      </w:tr>
      <w:tr w:rsidR="00851093" w:rsidRPr="00CA59C1" w:rsidTr="00747B5B">
        <w:trPr>
          <w:trHeight w:val="255"/>
        </w:trPr>
        <w:tc>
          <w:tcPr>
            <w:tcW w:w="1380"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II 2016/I 2016</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-0,6%</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-1,1%</w:t>
            </w:r>
          </w:p>
        </w:tc>
        <w:tc>
          <w:tcPr>
            <w:tcW w:w="1207" w:type="pct"/>
            <w:tcBorders>
              <w:top w:val="nil"/>
              <w:left w:val="nil"/>
              <w:bottom w:val="nil"/>
              <w:right w:val="nil"/>
            </w:tcBorders>
            <w:vAlign w:val="center"/>
          </w:tcPr>
          <w:p w:rsidR="00851093" w:rsidRPr="0036139B" w:rsidRDefault="00851093" w:rsidP="00747B5B">
            <w:pPr>
              <w:jc w:val="center"/>
              <w:rPr>
                <w:rFonts w:asciiTheme="minorHAnsi" w:hAnsiTheme="minorHAnsi"/>
                <w:b w:val="0"/>
                <w:sz w:val="18"/>
                <w:szCs w:val="18"/>
              </w:rPr>
            </w:pPr>
            <w:r w:rsidRPr="0036139B">
              <w:rPr>
                <w:rFonts w:asciiTheme="minorHAnsi" w:hAnsiTheme="minorHAnsi"/>
                <w:b w:val="0"/>
                <w:sz w:val="18"/>
                <w:szCs w:val="18"/>
              </w:rPr>
              <w:t>-0,7%</w:t>
            </w:r>
          </w:p>
        </w:tc>
      </w:tr>
      <w:tr w:rsidR="00851093" w:rsidRPr="00CA59C1" w:rsidTr="00747B5B">
        <w:tc>
          <w:tcPr>
            <w:tcW w:w="5000" w:type="pct"/>
            <w:gridSpan w:val="4"/>
            <w:tcBorders>
              <w:top w:val="single" w:sz="6" w:space="0" w:color="808080" w:themeColor="background1" w:themeShade="80"/>
              <w:left w:val="nil"/>
              <w:bottom w:val="nil"/>
              <w:right w:val="nil"/>
            </w:tcBorders>
            <w:shd w:val="clear" w:color="auto" w:fill="FFFFFF" w:themeFill="background1"/>
          </w:tcPr>
          <w:p w:rsidR="00851093" w:rsidRPr="0036139B" w:rsidRDefault="0036139B" w:rsidP="00747B5B">
            <w:pPr>
              <w:spacing w:before="60"/>
              <w:rPr>
                <w:rFonts w:asciiTheme="minorHAnsi" w:hAnsiTheme="minorHAnsi"/>
                <w:b w:val="0"/>
                <w:sz w:val="18"/>
                <w:szCs w:val="18"/>
              </w:rPr>
            </w:pPr>
            <w:r w:rsidRPr="0036139B">
              <w:rPr>
                <w:rFonts w:asciiTheme="minorHAnsi" w:hAnsiTheme="minorHAnsi"/>
                <w:b w:val="0"/>
                <w:caps w:val="0"/>
                <w:sz w:val="18"/>
                <w:szCs w:val="18"/>
              </w:rPr>
              <w:t>Fonte</w:t>
            </w:r>
            <w:r w:rsidR="00851093" w:rsidRPr="0036139B">
              <w:rPr>
                <w:rFonts w:asciiTheme="minorHAnsi" w:hAnsiTheme="minorHAnsi"/>
                <w:b w:val="0"/>
                <w:sz w:val="18"/>
                <w:szCs w:val="18"/>
              </w:rPr>
              <w:t xml:space="preserve">: </w:t>
            </w:r>
            <w:r w:rsidRPr="0036139B">
              <w:rPr>
                <w:rFonts w:asciiTheme="minorHAnsi" w:hAnsiTheme="minorHAnsi"/>
                <w:b w:val="0"/>
                <w:caps w:val="0"/>
                <w:sz w:val="18"/>
                <w:szCs w:val="18"/>
              </w:rPr>
              <w:t>Nomisma</w:t>
            </w:r>
          </w:p>
        </w:tc>
      </w:tr>
    </w:tbl>
    <w:p w:rsidR="00FB75B8" w:rsidRPr="00FB75B8" w:rsidRDefault="00FB75B8" w:rsidP="00851093">
      <w:pPr>
        <w:widowControl w:val="0"/>
        <w:spacing w:after="120"/>
        <w:rPr>
          <w:rFonts w:asciiTheme="minorHAnsi" w:eastAsia="Calibri" w:hAnsiTheme="minorHAnsi"/>
          <w:sz w:val="10"/>
          <w:szCs w:val="10"/>
          <w:lang w:eastAsia="en-US"/>
        </w:rPr>
      </w:pPr>
    </w:p>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La capacità di recupero che il settore ha continuato ad evidenziare, anche in un contesto meno favorevole, deve essere ascritta, oltre all’imponenza del fabbisogno compresso nella lunga fase recessiva, alla lunghezza dei tempi di gestazione e conclusione di una transazione immobiliare. Il </w:t>
      </w:r>
      <w:proofErr w:type="spellStart"/>
      <w:r w:rsidRPr="00CA59C1">
        <w:rPr>
          <w:rFonts w:asciiTheme="minorHAnsi" w:eastAsia="Calibri" w:hAnsiTheme="minorHAnsi"/>
          <w:sz w:val="22"/>
          <w:szCs w:val="22"/>
          <w:lang w:eastAsia="en-US"/>
        </w:rPr>
        <w:t>lag</w:t>
      </w:r>
      <w:proofErr w:type="spellEnd"/>
      <w:r w:rsidRPr="00CA59C1">
        <w:rPr>
          <w:rFonts w:asciiTheme="minorHAnsi" w:eastAsia="Calibri" w:hAnsiTheme="minorHAnsi"/>
          <w:sz w:val="22"/>
          <w:szCs w:val="22"/>
          <w:lang w:eastAsia="en-US"/>
        </w:rPr>
        <w:t xml:space="preserve"> temporale tra manifestazione di interesse e rogito rappresenta il principale fattore di asincronia tra quadro congiunturale e dinamiche monitorate. </w:t>
      </w:r>
    </w:p>
    <w:p w:rsidR="00851093" w:rsidRDefault="00851093" w:rsidP="00851093">
      <w:pPr>
        <w:widowControl w:val="0"/>
        <w:spacing w:after="120"/>
        <w:rPr>
          <w:rFonts w:asciiTheme="minorHAnsi" w:eastAsia="Calibri" w:hAnsiTheme="minorHAnsi"/>
          <w:sz w:val="10"/>
          <w:szCs w:val="22"/>
          <w:lang w:eastAsia="en-US"/>
        </w:rPr>
      </w:pPr>
    </w:p>
    <w:p w:rsidR="00851093" w:rsidRPr="00CA59C1" w:rsidRDefault="00851093" w:rsidP="00851093">
      <w:pPr>
        <w:widowControl w:val="0"/>
        <w:spacing w:after="120"/>
        <w:rPr>
          <w:rFonts w:asciiTheme="minorHAnsi" w:eastAsia="Calibri" w:hAnsiTheme="minorHAnsi"/>
          <w:sz w:val="10"/>
          <w:szCs w:val="22"/>
          <w:lang w:eastAsia="en-US"/>
        </w:rPr>
      </w:pPr>
    </w:p>
    <w:tbl>
      <w:tblPr>
        <w:tblpPr w:leftFromText="141" w:rightFromText="141" w:vertAnchor="text" w:horzAnchor="margin" w:tblpY="83"/>
        <w:tblOverlap w:val="never"/>
        <w:tblW w:w="4961" w:type="pct"/>
        <w:tblCellMar>
          <w:left w:w="71" w:type="dxa"/>
          <w:right w:w="71" w:type="dxa"/>
        </w:tblCellMar>
        <w:tblLook w:val="0000" w:firstRow="0" w:lastRow="0" w:firstColumn="0" w:lastColumn="0" w:noHBand="0" w:noVBand="0"/>
      </w:tblPr>
      <w:tblGrid>
        <w:gridCol w:w="4781"/>
        <w:gridCol w:w="4782"/>
      </w:tblGrid>
      <w:tr w:rsidR="00851093" w:rsidRPr="00CA59C1" w:rsidTr="00747B5B">
        <w:trPr>
          <w:trHeight w:val="81"/>
        </w:trPr>
        <w:tc>
          <w:tcPr>
            <w:tcW w:w="2500" w:type="pct"/>
          </w:tcPr>
          <w:p w:rsidR="00F40F01" w:rsidRPr="008C5572" w:rsidRDefault="00F40F01" w:rsidP="00747B5B">
            <w:pPr>
              <w:keepNext/>
              <w:widowControl w:val="0"/>
              <w:jc w:val="left"/>
              <w:rPr>
                <w:rFonts w:asciiTheme="minorHAnsi" w:hAnsiTheme="minorHAnsi" w:cs="Calibri"/>
                <w:b/>
                <w:color w:val="2E74B5"/>
                <w:sz w:val="4"/>
              </w:rPr>
            </w:pPr>
          </w:p>
          <w:p w:rsidR="00851093" w:rsidRPr="00CA59C1" w:rsidRDefault="00851093" w:rsidP="00747B5B">
            <w:pPr>
              <w:keepNext/>
              <w:widowControl w:val="0"/>
              <w:jc w:val="left"/>
              <w:rPr>
                <w:rFonts w:asciiTheme="minorHAnsi" w:hAnsiTheme="minorHAnsi" w:cs="Calibri"/>
                <w:b/>
                <w:color w:val="2E74B5"/>
                <w:sz w:val="20"/>
              </w:rPr>
            </w:pPr>
            <w:r w:rsidRPr="00CA59C1">
              <w:rPr>
                <w:rFonts w:asciiTheme="minorHAnsi" w:hAnsiTheme="minorHAnsi" w:cs="Calibri"/>
                <w:b/>
                <w:color w:val="2E74B5"/>
                <w:sz w:val="20"/>
              </w:rPr>
              <w:t>Figura 3</w:t>
            </w:r>
          </w:p>
          <w:p w:rsidR="00851093" w:rsidRPr="00CA59C1" w:rsidRDefault="00851093" w:rsidP="00747B5B">
            <w:pPr>
              <w:keepNext/>
              <w:widowControl w:val="0"/>
              <w:spacing w:after="60"/>
              <w:jc w:val="left"/>
              <w:rPr>
                <w:rFonts w:asciiTheme="minorHAnsi" w:hAnsiTheme="minorHAnsi" w:cs="Calibri"/>
                <w:b/>
                <w:color w:val="2E74B5"/>
                <w:sz w:val="20"/>
              </w:rPr>
            </w:pPr>
            <w:r w:rsidRPr="00CA59C1">
              <w:rPr>
                <w:rFonts w:asciiTheme="minorHAnsi" w:hAnsiTheme="minorHAnsi" w:cs="Calibri"/>
                <w:b/>
                <w:color w:val="2E74B5"/>
                <w:sz w:val="20"/>
              </w:rPr>
              <w:t xml:space="preserve">Intenzioni di acquisto di un'abitazione nei prossimi 12 mesi - Numero di famiglie </w:t>
            </w:r>
            <w:r w:rsidRPr="00CA59C1">
              <w:rPr>
                <w:rFonts w:asciiTheme="minorHAnsi" w:hAnsiTheme="minorHAnsi" w:cs="Calibri"/>
                <w:bCs/>
                <w:color w:val="2E74B5"/>
                <w:sz w:val="20"/>
              </w:rPr>
              <w:t>(migliaia)</w:t>
            </w:r>
          </w:p>
        </w:tc>
        <w:tc>
          <w:tcPr>
            <w:tcW w:w="2500" w:type="pct"/>
          </w:tcPr>
          <w:p w:rsidR="00851093" w:rsidRPr="00CA59C1" w:rsidRDefault="00851093" w:rsidP="00747B5B">
            <w:pPr>
              <w:keepNext/>
              <w:widowControl w:val="0"/>
              <w:jc w:val="left"/>
              <w:rPr>
                <w:rFonts w:asciiTheme="minorHAnsi" w:hAnsiTheme="minorHAnsi" w:cs="Calibri"/>
                <w:b/>
                <w:color w:val="2E74B5"/>
                <w:sz w:val="20"/>
              </w:rPr>
            </w:pPr>
            <w:r w:rsidRPr="00CA59C1">
              <w:rPr>
                <w:rFonts w:asciiTheme="minorHAnsi" w:hAnsiTheme="minorHAnsi" w:cs="Calibri"/>
                <w:b/>
                <w:color w:val="2E74B5"/>
                <w:sz w:val="20"/>
              </w:rPr>
              <w:t>Figura 4</w:t>
            </w:r>
          </w:p>
          <w:p w:rsidR="00851093" w:rsidRPr="00CA59C1" w:rsidRDefault="00851093" w:rsidP="00747B5B">
            <w:pPr>
              <w:keepNext/>
              <w:widowControl w:val="0"/>
              <w:jc w:val="left"/>
              <w:rPr>
                <w:rFonts w:asciiTheme="minorHAnsi" w:hAnsiTheme="minorHAnsi" w:cs="Calibri"/>
                <w:b/>
                <w:color w:val="2E74B5"/>
                <w:sz w:val="20"/>
              </w:rPr>
            </w:pPr>
            <w:r w:rsidRPr="00CA59C1">
              <w:rPr>
                <w:rFonts w:asciiTheme="minorHAnsi" w:hAnsiTheme="minorHAnsi" w:cs="Calibri"/>
                <w:b/>
                <w:color w:val="2E74B5"/>
                <w:sz w:val="20"/>
              </w:rPr>
              <w:t xml:space="preserve">Famiglie che hanno intenzione di accendere un mutuo per l'acquisto dell'abitazione </w:t>
            </w:r>
            <w:r w:rsidRPr="00CA59C1">
              <w:rPr>
                <w:rFonts w:asciiTheme="minorHAnsi" w:hAnsiTheme="minorHAnsi" w:cs="Calibri"/>
                <w:color w:val="2E74B5"/>
                <w:sz w:val="20"/>
              </w:rPr>
              <w:t>(% sul totale delle famiglie che intendono acquistare)</w:t>
            </w:r>
          </w:p>
        </w:tc>
      </w:tr>
      <w:tr w:rsidR="00851093" w:rsidRPr="00CA59C1" w:rsidTr="00747B5B">
        <w:trPr>
          <w:trHeight w:val="283"/>
        </w:trPr>
        <w:tc>
          <w:tcPr>
            <w:tcW w:w="2500" w:type="pct"/>
            <w:vAlign w:val="center"/>
          </w:tcPr>
          <w:p w:rsidR="00851093" w:rsidRPr="00CA59C1" w:rsidRDefault="00851093" w:rsidP="00747B5B">
            <w:pPr>
              <w:suppressAutoHyphens/>
              <w:spacing w:before="120" w:after="120"/>
              <w:jc w:val="center"/>
              <w:rPr>
                <w:rFonts w:asciiTheme="minorHAnsi" w:hAnsiTheme="minorHAnsi" w:cs="Calibri"/>
                <w:sz w:val="20"/>
              </w:rPr>
            </w:pPr>
            <w:r w:rsidRPr="00CA59C1">
              <w:rPr>
                <w:rFonts w:asciiTheme="minorHAnsi" w:hAnsiTheme="minorHAnsi" w:cs="Calibri"/>
                <w:noProof/>
                <w:sz w:val="20"/>
              </w:rPr>
              <w:drawing>
                <wp:inline distT="0" distB="0" distL="0" distR="0" wp14:anchorId="1259DDE9" wp14:editId="1CA2E3D3">
                  <wp:extent cx="2543119" cy="1656000"/>
                  <wp:effectExtent l="0" t="0" r="0" b="1905"/>
                  <wp:docPr id="257" name="Immagin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119" cy="1656000"/>
                          </a:xfrm>
                          <a:prstGeom prst="rect">
                            <a:avLst/>
                          </a:prstGeom>
                          <a:noFill/>
                          <a:ln>
                            <a:noFill/>
                          </a:ln>
                        </pic:spPr>
                      </pic:pic>
                    </a:graphicData>
                  </a:graphic>
                </wp:inline>
              </w:drawing>
            </w:r>
          </w:p>
        </w:tc>
        <w:tc>
          <w:tcPr>
            <w:tcW w:w="2500" w:type="pct"/>
          </w:tcPr>
          <w:p w:rsidR="00851093" w:rsidRPr="00CA59C1" w:rsidRDefault="00851093" w:rsidP="00747B5B">
            <w:pPr>
              <w:suppressAutoHyphens/>
              <w:spacing w:before="120" w:after="120"/>
              <w:jc w:val="center"/>
              <w:rPr>
                <w:rFonts w:asciiTheme="minorHAnsi" w:hAnsiTheme="minorHAnsi" w:cs="Calibri"/>
                <w:noProof/>
                <w:sz w:val="20"/>
              </w:rPr>
            </w:pPr>
            <w:r w:rsidRPr="00CA59C1">
              <w:rPr>
                <w:rFonts w:asciiTheme="minorHAnsi" w:hAnsiTheme="minorHAnsi" w:cs="Calibri"/>
                <w:noProof/>
                <w:sz w:val="20"/>
              </w:rPr>
              <w:drawing>
                <wp:inline distT="0" distB="0" distL="0" distR="0" wp14:anchorId="300AE7A0" wp14:editId="2D64B407">
                  <wp:extent cx="2537419" cy="1656000"/>
                  <wp:effectExtent l="0" t="0" r="0" b="0"/>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37419" cy="1656000"/>
                          </a:xfrm>
                          <a:prstGeom prst="rect">
                            <a:avLst/>
                          </a:prstGeom>
                          <a:noFill/>
                          <a:ln>
                            <a:noFill/>
                          </a:ln>
                        </pic:spPr>
                      </pic:pic>
                    </a:graphicData>
                  </a:graphic>
                </wp:inline>
              </w:drawing>
            </w:r>
          </w:p>
        </w:tc>
      </w:tr>
      <w:tr w:rsidR="00851093" w:rsidRPr="00CA59C1" w:rsidTr="00747B5B">
        <w:trPr>
          <w:trHeight w:val="78"/>
        </w:trPr>
        <w:tc>
          <w:tcPr>
            <w:tcW w:w="2500" w:type="pct"/>
          </w:tcPr>
          <w:p w:rsidR="00851093" w:rsidRPr="00CA59C1" w:rsidRDefault="00851093" w:rsidP="00747B5B">
            <w:pPr>
              <w:suppressAutoHyphens/>
              <w:spacing w:before="60"/>
              <w:rPr>
                <w:rFonts w:asciiTheme="minorHAnsi" w:hAnsiTheme="minorHAnsi" w:cs="Calibri"/>
                <w:noProof/>
                <w:sz w:val="18"/>
                <w:szCs w:val="18"/>
              </w:rPr>
            </w:pPr>
            <w:r w:rsidRPr="00CA59C1">
              <w:rPr>
                <w:rFonts w:asciiTheme="minorHAnsi" w:hAnsiTheme="minorHAnsi" w:cs="Calibri"/>
                <w:noProof/>
                <w:sz w:val="18"/>
              </w:rPr>
              <w:t xml:space="preserve">Fonte: </w:t>
            </w:r>
            <w:r w:rsidRPr="00CA59C1">
              <w:rPr>
                <w:rFonts w:asciiTheme="minorHAnsi" w:hAnsiTheme="minorHAnsi" w:cs="Calibri"/>
                <w:sz w:val="18"/>
              </w:rPr>
              <w:t>Nomisma, Indagine sulle famiglie, anni vari</w:t>
            </w:r>
          </w:p>
        </w:tc>
        <w:tc>
          <w:tcPr>
            <w:tcW w:w="2500" w:type="pct"/>
          </w:tcPr>
          <w:p w:rsidR="00851093" w:rsidRPr="00CA59C1" w:rsidRDefault="00851093" w:rsidP="00747B5B">
            <w:pPr>
              <w:suppressAutoHyphens/>
              <w:spacing w:before="60"/>
              <w:rPr>
                <w:rFonts w:asciiTheme="minorHAnsi" w:hAnsiTheme="minorHAnsi" w:cs="Calibri"/>
                <w:noProof/>
                <w:sz w:val="18"/>
                <w:szCs w:val="18"/>
              </w:rPr>
            </w:pPr>
            <w:r w:rsidRPr="00CA59C1">
              <w:rPr>
                <w:rFonts w:asciiTheme="minorHAnsi" w:hAnsiTheme="minorHAnsi" w:cs="Calibri"/>
                <w:noProof/>
                <w:sz w:val="18"/>
              </w:rPr>
              <w:t xml:space="preserve">Fonte: </w:t>
            </w:r>
            <w:r w:rsidRPr="00CA59C1">
              <w:rPr>
                <w:rFonts w:asciiTheme="minorHAnsi" w:hAnsiTheme="minorHAnsi" w:cs="Calibri"/>
                <w:sz w:val="18"/>
              </w:rPr>
              <w:t>Nomisma, Indagine sulle famiglie, anni vari</w:t>
            </w:r>
          </w:p>
        </w:tc>
      </w:tr>
    </w:tbl>
    <w:p w:rsidR="00851093" w:rsidRPr="00CA59C1" w:rsidRDefault="00851093" w:rsidP="00851093">
      <w:pPr>
        <w:widowControl w:val="0"/>
        <w:spacing w:after="120"/>
        <w:rPr>
          <w:rFonts w:asciiTheme="minorHAnsi" w:eastAsia="Calibri" w:hAnsiTheme="minorHAnsi"/>
          <w:sz w:val="22"/>
          <w:szCs w:val="22"/>
          <w:lang w:eastAsia="en-US"/>
        </w:rPr>
      </w:pPr>
    </w:p>
    <w:p w:rsidR="008C5572" w:rsidRPr="008C5572" w:rsidRDefault="008C5572" w:rsidP="00851093">
      <w:pPr>
        <w:spacing w:after="120"/>
        <w:rPr>
          <w:rFonts w:asciiTheme="minorHAnsi" w:eastAsia="Calibri" w:hAnsiTheme="minorHAnsi"/>
          <w:sz w:val="14"/>
          <w:szCs w:val="22"/>
          <w:lang w:eastAsia="en-US"/>
        </w:rPr>
      </w:pPr>
    </w:p>
    <w:p w:rsidR="00851093" w:rsidRPr="00CA59C1" w:rsidRDefault="00851093" w:rsidP="00851093">
      <w:pPr>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La tendenza espansiva, certificata anche da numeri tutto sommato recenti, rappresenta il portato di condizioni più favorevoli rispetto alle attuali e non deve indurre affrettati proclami sulle capacità anticicliche del comparto. Come si evince dalla composizione della domanda (plebiscitariamente per utilizzo diretto) e </w:t>
      </w:r>
      <w:r w:rsidRPr="00CA59C1">
        <w:rPr>
          <w:rFonts w:asciiTheme="minorHAnsi" w:eastAsia="Calibri" w:hAnsiTheme="minorHAnsi"/>
          <w:sz w:val="22"/>
          <w:szCs w:val="22"/>
          <w:lang w:eastAsia="en-US"/>
        </w:rPr>
        <w:lastRenderedPageBreak/>
        <w:t xml:space="preserve">dalla dipendenza da credito della stessa (le famiglie intenzionate all’acquisto che intendono con ogni probabilità accendere un mutuo sono quasi l’80%), non è ipotizzabile il protrarsi di andamenti difformi tra mercato e sue determinanti. </w:t>
      </w:r>
    </w:p>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 xml:space="preserve">In tale scenario non mancano, tuttavia, gli elementi che potrebbero scongiurare la prospettiva di rallentamento che, in assenza di novità, parrebbe inevitabile. Da una parte, una dinamica moderatamente espansiva dei prezzi, che dopo anni di continue flessioni hanno fatto segnare lievi incrementi non unicamente circoscritti al mercato milanese, dall’altra, un’accelerazione della crescita economica rispetto ai rialzi frazionali previsti per il prossimo biennio. Se il primo fattore favorirebbe un più massiccio afflusso verso il settore della componente di investimento, favorendo la liquidità del mercato, il secondo avrebbe l’effetto di ridurre l’attendismo che oggi caratterizza una parte significativa della domanda potenziale, a prescindere dalle finalità di utilizzo. </w:t>
      </w:r>
    </w:p>
    <w:p w:rsidR="00851093" w:rsidRPr="00CA59C1" w:rsidRDefault="00851093" w:rsidP="00851093">
      <w:pPr>
        <w:widowControl w:val="0"/>
        <w:spacing w:after="120"/>
        <w:rPr>
          <w:rFonts w:asciiTheme="minorHAnsi" w:eastAsia="Calibri" w:hAnsiTheme="minorHAnsi"/>
          <w:sz w:val="22"/>
          <w:szCs w:val="22"/>
          <w:lang w:eastAsia="en-US"/>
        </w:rPr>
      </w:pPr>
      <w:r w:rsidRPr="00CA59C1">
        <w:rPr>
          <w:rFonts w:asciiTheme="minorHAnsi" w:eastAsia="Calibri" w:hAnsiTheme="minorHAnsi"/>
          <w:sz w:val="22"/>
          <w:szCs w:val="22"/>
          <w:lang w:eastAsia="en-US"/>
        </w:rPr>
        <w:t>Seppure lo scenario avverso, specie sul versante macroeconomico, rimanga, tuttora, la prospettiva più verosimile, non si può escludere che l’allentamento delle tensioni finanziarie, testimoniato dal ripiegamento dello spread BTP-BUND verso quota 200, possa contribuire ad un miglioramento del quadro congiunturale più marcato di quanto previsto dalle principali istituzioni finanziarie internazionali. A beneficiarne non sarebbe solo il segmento residenziale, che può comunque contare sul ragguardevole peso del fabbisogno domestico di necessità, quanto quello corporate, la cui evoluzione appare strettamene legata allo stato di salute dell’economia e alla stabilità e affidabilità della politica economica soprattutto se, come nel caso italiano, la principale fonte di movimentazione del mercato è di provenienza straniera.</w:t>
      </w:r>
    </w:p>
    <w:p w:rsidR="00F34283" w:rsidRDefault="00F34283" w:rsidP="00F34283">
      <w:pPr>
        <w:suppressAutoHyphens/>
        <w:spacing w:before="60"/>
        <w:rPr>
          <w:rFonts w:asciiTheme="minorHAnsi" w:hAnsiTheme="minorHAnsi" w:cstheme="minorHAnsi"/>
          <w:noProof/>
          <w:sz w:val="18"/>
          <w:szCs w:val="18"/>
        </w:rPr>
      </w:pPr>
    </w:p>
    <w:p w:rsidR="00623961" w:rsidRDefault="00623961">
      <w:pPr>
        <w:spacing w:after="200" w:line="276" w:lineRule="auto"/>
        <w:jc w:val="left"/>
        <w:rPr>
          <w:rFonts w:asciiTheme="minorHAnsi" w:eastAsia="Calibri" w:hAnsiTheme="minorHAnsi" w:cs="Calibri"/>
          <w:b/>
          <w:sz w:val="28"/>
          <w:szCs w:val="28"/>
        </w:rPr>
      </w:pPr>
      <w:r>
        <w:rPr>
          <w:rFonts w:asciiTheme="minorHAnsi" w:hAnsiTheme="minorHAnsi" w:cs="Calibri"/>
          <w:b/>
          <w:sz w:val="28"/>
          <w:szCs w:val="28"/>
        </w:rPr>
        <w:br w:type="page"/>
      </w:r>
    </w:p>
    <w:p w:rsidR="00170F64" w:rsidRPr="003D3270" w:rsidRDefault="00170F64" w:rsidP="007F37E0">
      <w:pPr>
        <w:pStyle w:val="Paragrafoelenco1"/>
        <w:tabs>
          <w:tab w:val="left" w:pos="1418"/>
        </w:tabs>
        <w:suppressAutoHyphens/>
        <w:ind w:left="0"/>
        <w:rPr>
          <w:rFonts w:asciiTheme="minorHAnsi" w:hAnsiTheme="minorHAnsi" w:cs="Calibri"/>
          <w:b/>
          <w:sz w:val="28"/>
          <w:szCs w:val="28"/>
        </w:rPr>
      </w:pPr>
      <w:r w:rsidRPr="003D3270">
        <w:rPr>
          <w:rFonts w:asciiTheme="minorHAnsi" w:hAnsiTheme="minorHAnsi" w:cs="Calibri"/>
          <w:b/>
          <w:sz w:val="28"/>
          <w:szCs w:val="28"/>
        </w:rPr>
        <w:t xml:space="preserve">Il mercato delle abitazioni per vacanza </w:t>
      </w:r>
    </w:p>
    <w:p w:rsidR="00170F64" w:rsidRPr="00474E67" w:rsidRDefault="00170F64" w:rsidP="00364602">
      <w:pPr>
        <w:rPr>
          <w:rFonts w:asciiTheme="minorHAnsi" w:eastAsia="Calibri" w:hAnsiTheme="minorHAnsi" w:cstheme="minorHAnsi"/>
          <w:sz w:val="22"/>
          <w:szCs w:val="24"/>
        </w:rPr>
      </w:pPr>
    </w:p>
    <w:p w:rsidR="00775E1B" w:rsidRPr="00474E67" w:rsidRDefault="00775E1B"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sidRPr="00474E67">
        <w:rPr>
          <w:rFonts w:asciiTheme="minorHAnsi" w:eastAsia="Calibri" w:hAnsiTheme="minorHAnsi" w:cstheme="minorHAnsi"/>
          <w:sz w:val="22"/>
          <w:szCs w:val="22"/>
        </w:rPr>
        <w:t xml:space="preserve">In un contesto di forte crescita dei flussi turistici </w:t>
      </w:r>
      <w:r w:rsidR="00EF74F0" w:rsidRPr="00474E67">
        <w:rPr>
          <w:rFonts w:asciiTheme="minorHAnsi" w:eastAsia="Calibri" w:hAnsiTheme="minorHAnsi" w:cstheme="minorHAnsi"/>
          <w:sz w:val="22"/>
          <w:szCs w:val="22"/>
        </w:rPr>
        <w:t>registrati nel 201</w:t>
      </w:r>
      <w:r w:rsidR="00474E67">
        <w:rPr>
          <w:rFonts w:asciiTheme="minorHAnsi" w:eastAsia="Calibri" w:hAnsiTheme="minorHAnsi" w:cstheme="minorHAnsi"/>
          <w:sz w:val="22"/>
          <w:szCs w:val="22"/>
        </w:rPr>
        <w:t>8</w:t>
      </w:r>
      <w:r w:rsidR="00EF74F0" w:rsidRPr="00474E67">
        <w:rPr>
          <w:rFonts w:asciiTheme="minorHAnsi" w:eastAsia="Calibri" w:hAnsiTheme="minorHAnsi" w:cstheme="minorHAnsi"/>
          <w:sz w:val="22"/>
          <w:szCs w:val="22"/>
        </w:rPr>
        <w:t xml:space="preserve"> e previsti </w:t>
      </w:r>
      <w:r w:rsidRPr="00474E67">
        <w:rPr>
          <w:rFonts w:asciiTheme="minorHAnsi" w:eastAsia="Calibri" w:hAnsiTheme="minorHAnsi" w:cstheme="minorHAnsi"/>
          <w:sz w:val="22"/>
          <w:szCs w:val="22"/>
        </w:rPr>
        <w:t xml:space="preserve">per l’anno in corso, il mercato delle case vacanze segna un ulteriore incremento delle compravendite di abitazioni nelle località turistiche. </w:t>
      </w:r>
    </w:p>
    <w:p w:rsidR="00775E1B" w:rsidRPr="00474E67" w:rsidRDefault="00775E1B" w:rsidP="00775E1B">
      <w:pPr>
        <w:pStyle w:val="NormaleWeb"/>
        <w:shd w:val="clear" w:color="auto" w:fill="FFFFFF"/>
        <w:spacing w:before="0" w:beforeAutospacing="0" w:after="0" w:afterAutospacing="0"/>
        <w:jc w:val="both"/>
        <w:rPr>
          <w:rFonts w:asciiTheme="minorHAnsi" w:eastAsia="Calibri" w:hAnsiTheme="minorHAnsi" w:cstheme="minorHAnsi"/>
          <w:sz w:val="22"/>
          <w:szCs w:val="22"/>
        </w:rPr>
      </w:pPr>
      <w:r w:rsidRPr="00474E67">
        <w:rPr>
          <w:rFonts w:asciiTheme="minorHAnsi" w:eastAsia="Calibri" w:hAnsiTheme="minorHAnsi" w:cstheme="minorHAnsi"/>
          <w:sz w:val="22"/>
          <w:szCs w:val="22"/>
        </w:rPr>
        <w:t>Le transazioni registrate sono</w:t>
      </w:r>
      <w:r w:rsidR="00D5490D" w:rsidRPr="00474E67">
        <w:rPr>
          <w:rFonts w:asciiTheme="minorHAnsi" w:eastAsia="Calibri" w:hAnsiTheme="minorHAnsi" w:cstheme="minorHAnsi"/>
          <w:sz w:val="22"/>
          <w:szCs w:val="22"/>
        </w:rPr>
        <w:t xml:space="preserve"> </w:t>
      </w:r>
      <w:r w:rsidRPr="00474E67">
        <w:rPr>
          <w:rFonts w:asciiTheme="minorHAnsi" w:eastAsia="Calibri" w:hAnsiTheme="minorHAnsi" w:cstheme="minorHAnsi"/>
          <w:sz w:val="22"/>
          <w:szCs w:val="22"/>
        </w:rPr>
        <w:t>aumentate nel 201</w:t>
      </w:r>
      <w:r w:rsidR="00474E67">
        <w:rPr>
          <w:rFonts w:asciiTheme="minorHAnsi" w:eastAsia="Calibri" w:hAnsiTheme="minorHAnsi" w:cstheme="minorHAnsi"/>
          <w:sz w:val="22"/>
          <w:szCs w:val="22"/>
        </w:rPr>
        <w:t>8</w:t>
      </w:r>
      <w:r w:rsidRPr="00474E67">
        <w:rPr>
          <w:rFonts w:asciiTheme="minorHAnsi" w:eastAsia="Calibri" w:hAnsiTheme="minorHAnsi" w:cstheme="minorHAnsi"/>
          <w:sz w:val="22"/>
          <w:szCs w:val="22"/>
        </w:rPr>
        <w:t xml:space="preserve"> (+</w:t>
      </w:r>
      <w:r w:rsidR="00474E67">
        <w:rPr>
          <w:rFonts w:asciiTheme="minorHAnsi" w:eastAsia="Calibri" w:hAnsiTheme="minorHAnsi" w:cstheme="minorHAnsi"/>
          <w:sz w:val="22"/>
          <w:szCs w:val="22"/>
        </w:rPr>
        <w:t>6</w:t>
      </w:r>
      <w:r w:rsidRPr="00474E67">
        <w:rPr>
          <w:rFonts w:asciiTheme="minorHAnsi" w:eastAsia="Calibri" w:hAnsiTheme="minorHAnsi" w:cstheme="minorHAnsi"/>
          <w:sz w:val="22"/>
          <w:szCs w:val="22"/>
        </w:rPr>
        <w:t>,</w:t>
      </w:r>
      <w:r w:rsidR="00474E67">
        <w:rPr>
          <w:rFonts w:asciiTheme="minorHAnsi" w:eastAsia="Calibri" w:hAnsiTheme="minorHAnsi" w:cstheme="minorHAnsi"/>
          <w:sz w:val="22"/>
          <w:szCs w:val="22"/>
        </w:rPr>
        <w:t>1</w:t>
      </w:r>
      <w:r w:rsidRPr="00474E67">
        <w:rPr>
          <w:rFonts w:asciiTheme="minorHAnsi" w:eastAsia="Calibri" w:hAnsiTheme="minorHAnsi" w:cstheme="minorHAnsi"/>
          <w:sz w:val="22"/>
          <w:szCs w:val="22"/>
        </w:rPr>
        <w:t xml:space="preserve">% rispetto all’anno precedente), con intensità </w:t>
      </w:r>
      <w:r w:rsidR="00474E67">
        <w:rPr>
          <w:rFonts w:asciiTheme="minorHAnsi" w:eastAsia="Calibri" w:hAnsiTheme="minorHAnsi" w:cstheme="minorHAnsi"/>
          <w:sz w:val="22"/>
          <w:szCs w:val="22"/>
        </w:rPr>
        <w:t xml:space="preserve">maggiore </w:t>
      </w:r>
      <w:r w:rsidRPr="00474E67">
        <w:rPr>
          <w:rFonts w:asciiTheme="minorHAnsi" w:eastAsia="Calibri" w:hAnsiTheme="minorHAnsi" w:cstheme="minorHAnsi"/>
          <w:sz w:val="22"/>
          <w:szCs w:val="22"/>
        </w:rPr>
        <w:t>rispetto alla variazione registrata nel 201</w:t>
      </w:r>
      <w:r w:rsidR="00474E67">
        <w:rPr>
          <w:rFonts w:asciiTheme="minorHAnsi" w:eastAsia="Calibri" w:hAnsiTheme="minorHAnsi" w:cstheme="minorHAnsi"/>
          <w:sz w:val="22"/>
          <w:szCs w:val="22"/>
        </w:rPr>
        <w:t>7</w:t>
      </w:r>
      <w:r w:rsidRPr="00474E67">
        <w:rPr>
          <w:rFonts w:asciiTheme="minorHAnsi" w:eastAsia="Calibri" w:hAnsiTheme="minorHAnsi" w:cstheme="minorHAnsi"/>
          <w:sz w:val="22"/>
          <w:szCs w:val="22"/>
        </w:rPr>
        <w:t xml:space="preserve"> (+</w:t>
      </w:r>
      <w:r w:rsidR="00474E67">
        <w:rPr>
          <w:rFonts w:asciiTheme="minorHAnsi" w:eastAsia="Calibri" w:hAnsiTheme="minorHAnsi" w:cstheme="minorHAnsi"/>
          <w:sz w:val="22"/>
          <w:szCs w:val="22"/>
        </w:rPr>
        <w:t>3</w:t>
      </w:r>
      <w:r w:rsidRPr="00474E67">
        <w:rPr>
          <w:rFonts w:asciiTheme="minorHAnsi" w:eastAsia="Calibri" w:hAnsiTheme="minorHAnsi" w:cstheme="minorHAnsi"/>
          <w:sz w:val="22"/>
          <w:szCs w:val="22"/>
        </w:rPr>
        <w:t>,</w:t>
      </w:r>
      <w:r w:rsidR="00474E67">
        <w:rPr>
          <w:rFonts w:asciiTheme="minorHAnsi" w:eastAsia="Calibri" w:hAnsiTheme="minorHAnsi" w:cstheme="minorHAnsi"/>
          <w:sz w:val="22"/>
          <w:szCs w:val="22"/>
        </w:rPr>
        <w:t>5% su base annua).</w:t>
      </w:r>
    </w:p>
    <w:p w:rsidR="00F36BB9" w:rsidRPr="00474E67" w:rsidRDefault="00F36BB9" w:rsidP="00B23B9D">
      <w:pPr>
        <w:rPr>
          <w:rFonts w:asciiTheme="minorHAnsi" w:eastAsia="Calibri" w:hAnsiTheme="minorHAnsi" w:cstheme="minorHAnsi"/>
          <w:szCs w:val="24"/>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1810"/>
        <w:gridCol w:w="1811"/>
        <w:gridCol w:w="1810"/>
        <w:gridCol w:w="1811"/>
      </w:tblGrid>
      <w:tr w:rsidR="0041716C" w:rsidRPr="0041716C" w:rsidTr="00CF1C82">
        <w:trPr>
          <w:trHeight w:val="340"/>
        </w:trPr>
        <w:tc>
          <w:tcPr>
            <w:tcW w:w="2444" w:type="dxa"/>
            <w:vAlign w:val="center"/>
          </w:tcPr>
          <w:p w:rsidR="00B23B9D" w:rsidRPr="0041716C" w:rsidRDefault="00B23B9D" w:rsidP="00CF1C82">
            <w:pPr>
              <w:jc w:val="left"/>
              <w:rPr>
                <w:rFonts w:asciiTheme="minorHAnsi" w:eastAsia="Calibri" w:hAnsiTheme="minorHAnsi" w:cstheme="minorHAnsi"/>
                <w:b w:val="0"/>
                <w:sz w:val="20"/>
              </w:rPr>
            </w:pPr>
            <w:r w:rsidRPr="0041716C">
              <w:rPr>
                <w:rFonts w:asciiTheme="minorHAnsi" w:eastAsia="Calibri" w:hAnsiTheme="minorHAnsi" w:cstheme="minorHAnsi"/>
                <w:b w:val="0"/>
                <w:caps w:val="0"/>
                <w:sz w:val="20"/>
              </w:rPr>
              <w:t xml:space="preserve">Tavola </w:t>
            </w:r>
            <w:r w:rsidR="00514FB7" w:rsidRPr="0041716C">
              <w:rPr>
                <w:rFonts w:asciiTheme="minorHAnsi" w:eastAsia="Calibri" w:hAnsiTheme="minorHAnsi" w:cstheme="minorHAnsi"/>
                <w:b w:val="0"/>
                <w:sz w:val="20"/>
              </w:rPr>
              <w:t>2</w:t>
            </w:r>
          </w:p>
        </w:tc>
        <w:tc>
          <w:tcPr>
            <w:tcW w:w="7334" w:type="dxa"/>
            <w:gridSpan w:val="4"/>
            <w:shd w:val="clear" w:color="auto" w:fill="F2F2F2" w:themeFill="background1" w:themeFillShade="F2"/>
            <w:vAlign w:val="center"/>
          </w:tcPr>
          <w:p w:rsidR="00B23B9D" w:rsidRPr="0041716C" w:rsidRDefault="00B23B9D" w:rsidP="00CF1C82">
            <w:pPr>
              <w:jc w:val="center"/>
              <w:rPr>
                <w:rFonts w:asciiTheme="minorHAnsi" w:eastAsia="Calibri" w:hAnsiTheme="minorHAnsi" w:cstheme="minorHAnsi"/>
                <w:caps w:val="0"/>
                <w:sz w:val="20"/>
              </w:rPr>
            </w:pPr>
            <w:r w:rsidRPr="0041716C">
              <w:rPr>
                <w:rFonts w:ascii="Calibri" w:hAnsi="Calibri" w:cs="Arial"/>
                <w:caps w:val="0"/>
                <w:sz w:val="20"/>
              </w:rPr>
              <w:t>Numero di compravendite di abitazioni – Variazioni % annuali</w:t>
            </w:r>
          </w:p>
        </w:tc>
      </w:tr>
      <w:tr w:rsidR="00C420B9" w:rsidRPr="0041716C" w:rsidTr="00CF1C82">
        <w:trPr>
          <w:trHeight w:val="340"/>
        </w:trPr>
        <w:tc>
          <w:tcPr>
            <w:tcW w:w="2444" w:type="dxa"/>
            <w:vAlign w:val="center"/>
          </w:tcPr>
          <w:p w:rsidR="00C420B9" w:rsidRPr="0041716C" w:rsidRDefault="00C420B9" w:rsidP="00C420B9">
            <w:pPr>
              <w:jc w:val="left"/>
              <w:rPr>
                <w:rFonts w:asciiTheme="minorHAnsi" w:eastAsia="Calibri" w:hAnsiTheme="minorHAnsi" w:cstheme="minorHAnsi"/>
                <w:b w:val="0"/>
                <w:sz w:val="20"/>
              </w:rPr>
            </w:pPr>
          </w:p>
        </w:tc>
        <w:tc>
          <w:tcPr>
            <w:tcW w:w="1833" w:type="dxa"/>
            <w:shd w:val="clear" w:color="auto" w:fill="F2F2F2" w:themeFill="background1" w:themeFillShade="F2"/>
            <w:vAlign w:val="center"/>
          </w:tcPr>
          <w:p w:rsidR="00C420B9" w:rsidRPr="0041716C" w:rsidRDefault="00C420B9" w:rsidP="00C420B9">
            <w:pPr>
              <w:jc w:val="center"/>
              <w:rPr>
                <w:rFonts w:ascii="Calibri" w:hAnsi="Calibri" w:cs="Arial"/>
                <w:caps w:val="0"/>
                <w:sz w:val="20"/>
              </w:rPr>
            </w:pPr>
            <w:r w:rsidRPr="0041716C">
              <w:rPr>
                <w:rFonts w:ascii="Calibri" w:hAnsi="Calibri" w:cs="Arial"/>
                <w:caps w:val="0"/>
                <w:sz w:val="20"/>
              </w:rPr>
              <w:t>2015/2014</w:t>
            </w:r>
          </w:p>
        </w:tc>
        <w:tc>
          <w:tcPr>
            <w:tcW w:w="1834" w:type="dxa"/>
            <w:shd w:val="clear" w:color="auto" w:fill="F2F2F2" w:themeFill="background1" w:themeFillShade="F2"/>
            <w:vAlign w:val="center"/>
          </w:tcPr>
          <w:p w:rsidR="00C420B9" w:rsidRPr="0041716C" w:rsidRDefault="00C420B9" w:rsidP="00C420B9">
            <w:pPr>
              <w:jc w:val="center"/>
              <w:rPr>
                <w:rFonts w:ascii="Calibri" w:hAnsi="Calibri" w:cs="Arial"/>
                <w:caps w:val="0"/>
                <w:sz w:val="20"/>
              </w:rPr>
            </w:pPr>
            <w:r w:rsidRPr="0041716C">
              <w:rPr>
                <w:rFonts w:ascii="Calibri" w:hAnsi="Calibri" w:cs="Arial"/>
                <w:caps w:val="0"/>
                <w:sz w:val="20"/>
              </w:rPr>
              <w:t>2016/2015</w:t>
            </w:r>
          </w:p>
        </w:tc>
        <w:tc>
          <w:tcPr>
            <w:tcW w:w="1833" w:type="dxa"/>
            <w:shd w:val="clear" w:color="auto" w:fill="F2F2F2" w:themeFill="background1" w:themeFillShade="F2"/>
            <w:vAlign w:val="center"/>
          </w:tcPr>
          <w:p w:rsidR="00C420B9" w:rsidRPr="0041716C" w:rsidRDefault="00C420B9" w:rsidP="00C420B9">
            <w:pPr>
              <w:jc w:val="center"/>
              <w:rPr>
                <w:rFonts w:ascii="Calibri" w:hAnsi="Calibri" w:cs="Arial"/>
                <w:caps w:val="0"/>
                <w:sz w:val="20"/>
              </w:rPr>
            </w:pPr>
            <w:r w:rsidRPr="0041716C">
              <w:rPr>
                <w:rFonts w:ascii="Calibri" w:hAnsi="Calibri" w:cs="Arial"/>
                <w:caps w:val="0"/>
                <w:sz w:val="20"/>
              </w:rPr>
              <w:t>2017/2016</w:t>
            </w:r>
          </w:p>
        </w:tc>
        <w:tc>
          <w:tcPr>
            <w:tcW w:w="1834" w:type="dxa"/>
            <w:shd w:val="clear" w:color="auto" w:fill="F2F2F2" w:themeFill="background1" w:themeFillShade="F2"/>
            <w:vAlign w:val="center"/>
          </w:tcPr>
          <w:p w:rsidR="00C420B9" w:rsidRPr="0041716C" w:rsidRDefault="00C420B9" w:rsidP="00C420B9">
            <w:pPr>
              <w:jc w:val="center"/>
              <w:rPr>
                <w:rFonts w:ascii="Calibri" w:hAnsi="Calibri" w:cs="Arial"/>
                <w:caps w:val="0"/>
                <w:sz w:val="20"/>
              </w:rPr>
            </w:pPr>
            <w:r w:rsidRPr="0041716C">
              <w:rPr>
                <w:rFonts w:ascii="Calibri" w:hAnsi="Calibri" w:cs="Arial"/>
                <w:caps w:val="0"/>
                <w:sz w:val="20"/>
              </w:rPr>
              <w:t>201</w:t>
            </w:r>
            <w:r>
              <w:rPr>
                <w:rFonts w:ascii="Calibri" w:hAnsi="Calibri" w:cs="Arial"/>
                <w:caps w:val="0"/>
                <w:sz w:val="20"/>
              </w:rPr>
              <w:t>8</w:t>
            </w:r>
            <w:r w:rsidRPr="0041716C">
              <w:rPr>
                <w:rFonts w:ascii="Calibri" w:hAnsi="Calibri" w:cs="Arial"/>
                <w:caps w:val="0"/>
                <w:sz w:val="20"/>
              </w:rPr>
              <w:t>/201</w:t>
            </w:r>
            <w:r>
              <w:rPr>
                <w:rFonts w:ascii="Calibri" w:hAnsi="Calibri" w:cs="Arial"/>
                <w:caps w:val="0"/>
                <w:sz w:val="20"/>
              </w:rPr>
              <w:t>7</w:t>
            </w:r>
          </w:p>
        </w:tc>
      </w:tr>
      <w:tr w:rsidR="00C420B9" w:rsidRPr="0041716C" w:rsidTr="00C420B9">
        <w:trPr>
          <w:trHeight w:val="340"/>
        </w:trPr>
        <w:tc>
          <w:tcPr>
            <w:tcW w:w="2444" w:type="dxa"/>
            <w:shd w:val="clear" w:color="auto" w:fill="DEEAF6" w:themeFill="accent1" w:themeFillTint="33"/>
            <w:vAlign w:val="center"/>
          </w:tcPr>
          <w:p w:rsidR="00C420B9" w:rsidRPr="0041716C" w:rsidRDefault="00C420B9" w:rsidP="00C420B9">
            <w:pPr>
              <w:jc w:val="left"/>
              <w:rPr>
                <w:rFonts w:asciiTheme="minorHAnsi" w:eastAsia="Calibri" w:hAnsiTheme="minorHAnsi" w:cstheme="minorHAnsi"/>
                <w:sz w:val="20"/>
              </w:rPr>
            </w:pPr>
            <w:r w:rsidRPr="0041716C">
              <w:rPr>
                <w:rFonts w:asciiTheme="minorHAnsi" w:eastAsia="Calibri" w:hAnsiTheme="minorHAnsi" w:cstheme="minorHAnsi"/>
                <w:caps w:val="0"/>
                <w:sz w:val="20"/>
              </w:rPr>
              <w:t xml:space="preserve">Località lacuali </w:t>
            </w:r>
            <w:r w:rsidRPr="0041716C">
              <w:rPr>
                <w:rFonts w:asciiTheme="minorHAnsi" w:eastAsia="Calibri" w:hAnsiTheme="minorHAnsi" w:cstheme="minorHAnsi"/>
                <w:b w:val="0"/>
                <w:caps w:val="0"/>
                <w:sz w:val="16"/>
              </w:rPr>
              <w:t>(13)</w:t>
            </w:r>
          </w:p>
        </w:tc>
        <w:tc>
          <w:tcPr>
            <w:tcW w:w="1833"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16,7</w:t>
            </w:r>
          </w:p>
        </w:tc>
        <w:tc>
          <w:tcPr>
            <w:tcW w:w="1834"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15,2</w:t>
            </w:r>
          </w:p>
        </w:tc>
        <w:tc>
          <w:tcPr>
            <w:tcW w:w="1833"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8,0</w:t>
            </w:r>
          </w:p>
        </w:tc>
        <w:tc>
          <w:tcPr>
            <w:tcW w:w="1834" w:type="dxa"/>
            <w:shd w:val="clear" w:color="auto" w:fill="DEEAF6" w:themeFill="accent1" w:themeFillTint="33"/>
            <w:vAlign w:val="center"/>
          </w:tcPr>
          <w:p w:rsidR="00C420B9" w:rsidRPr="00C420B9" w:rsidRDefault="00C420B9" w:rsidP="00C420B9">
            <w:pPr>
              <w:jc w:val="center"/>
              <w:rPr>
                <w:rFonts w:ascii="Calibri" w:hAnsi="Calibri" w:cs="Arial"/>
                <w:b w:val="0"/>
                <w:color w:val="000000"/>
                <w:sz w:val="20"/>
              </w:rPr>
            </w:pPr>
            <w:r w:rsidRPr="00C420B9">
              <w:rPr>
                <w:rFonts w:ascii="Calibri" w:hAnsi="Calibri" w:cs="Arial"/>
                <w:b w:val="0"/>
                <w:color w:val="000000"/>
                <w:sz w:val="20"/>
              </w:rPr>
              <w:t>7,6</w:t>
            </w:r>
          </w:p>
        </w:tc>
      </w:tr>
      <w:tr w:rsidR="00C420B9" w:rsidRPr="0041716C" w:rsidTr="00C420B9">
        <w:trPr>
          <w:trHeight w:val="340"/>
        </w:trPr>
        <w:tc>
          <w:tcPr>
            <w:tcW w:w="2444" w:type="dxa"/>
            <w:shd w:val="clear" w:color="auto" w:fill="DEEAF6" w:themeFill="accent1" w:themeFillTint="33"/>
            <w:vAlign w:val="center"/>
          </w:tcPr>
          <w:p w:rsidR="00C420B9" w:rsidRPr="0041716C" w:rsidRDefault="00C420B9" w:rsidP="00C420B9">
            <w:pPr>
              <w:jc w:val="left"/>
              <w:rPr>
                <w:rFonts w:asciiTheme="minorHAnsi" w:eastAsia="Calibri" w:hAnsiTheme="minorHAnsi" w:cstheme="minorHAnsi"/>
                <w:sz w:val="20"/>
              </w:rPr>
            </w:pPr>
            <w:r w:rsidRPr="0041716C">
              <w:rPr>
                <w:rFonts w:asciiTheme="minorHAnsi" w:eastAsia="Calibri" w:hAnsiTheme="minorHAnsi" w:cstheme="minorHAnsi"/>
                <w:caps w:val="0"/>
                <w:sz w:val="20"/>
              </w:rPr>
              <w:t xml:space="preserve">Località marine </w:t>
            </w:r>
            <w:r w:rsidRPr="0041716C">
              <w:rPr>
                <w:rFonts w:asciiTheme="minorHAnsi" w:eastAsia="Calibri" w:hAnsiTheme="minorHAnsi" w:cstheme="minorHAnsi"/>
                <w:b w:val="0"/>
                <w:caps w:val="0"/>
                <w:sz w:val="16"/>
              </w:rPr>
              <w:t>(132)</w:t>
            </w:r>
          </w:p>
        </w:tc>
        <w:tc>
          <w:tcPr>
            <w:tcW w:w="1833"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6,6</w:t>
            </w:r>
          </w:p>
        </w:tc>
        <w:tc>
          <w:tcPr>
            <w:tcW w:w="1834"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19,9</w:t>
            </w:r>
          </w:p>
        </w:tc>
        <w:tc>
          <w:tcPr>
            <w:tcW w:w="1833"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4,8</w:t>
            </w:r>
          </w:p>
        </w:tc>
        <w:tc>
          <w:tcPr>
            <w:tcW w:w="1834" w:type="dxa"/>
            <w:shd w:val="clear" w:color="auto" w:fill="DEEAF6" w:themeFill="accent1" w:themeFillTint="33"/>
            <w:vAlign w:val="center"/>
          </w:tcPr>
          <w:p w:rsidR="00C420B9" w:rsidRPr="00C420B9" w:rsidRDefault="00C420B9" w:rsidP="00C420B9">
            <w:pPr>
              <w:jc w:val="center"/>
              <w:rPr>
                <w:rFonts w:ascii="Calibri" w:hAnsi="Calibri" w:cs="Arial"/>
                <w:b w:val="0"/>
                <w:color w:val="000000"/>
                <w:sz w:val="20"/>
              </w:rPr>
            </w:pPr>
            <w:r w:rsidRPr="00C420B9">
              <w:rPr>
                <w:rFonts w:ascii="Calibri" w:hAnsi="Calibri" w:cs="Arial"/>
                <w:b w:val="0"/>
                <w:color w:val="000000"/>
                <w:sz w:val="20"/>
              </w:rPr>
              <w:t>6,4</w:t>
            </w:r>
          </w:p>
        </w:tc>
      </w:tr>
      <w:tr w:rsidR="00C420B9" w:rsidRPr="0041716C" w:rsidTr="00C420B9">
        <w:trPr>
          <w:trHeight w:val="340"/>
        </w:trPr>
        <w:tc>
          <w:tcPr>
            <w:tcW w:w="2444" w:type="dxa"/>
            <w:shd w:val="clear" w:color="auto" w:fill="DEEAF6" w:themeFill="accent1" w:themeFillTint="33"/>
            <w:vAlign w:val="center"/>
          </w:tcPr>
          <w:p w:rsidR="00C420B9" w:rsidRPr="0041716C" w:rsidRDefault="00C420B9" w:rsidP="00C420B9">
            <w:pPr>
              <w:jc w:val="left"/>
              <w:rPr>
                <w:rFonts w:asciiTheme="minorHAnsi" w:eastAsia="Calibri" w:hAnsiTheme="minorHAnsi" w:cstheme="minorHAnsi"/>
                <w:sz w:val="20"/>
              </w:rPr>
            </w:pPr>
            <w:r w:rsidRPr="0041716C">
              <w:rPr>
                <w:rFonts w:asciiTheme="minorHAnsi" w:eastAsia="Calibri" w:hAnsiTheme="minorHAnsi" w:cstheme="minorHAnsi"/>
                <w:caps w:val="0"/>
                <w:sz w:val="20"/>
              </w:rPr>
              <w:t xml:space="preserve">Località montane </w:t>
            </w:r>
            <w:r w:rsidRPr="0041716C">
              <w:rPr>
                <w:rFonts w:asciiTheme="minorHAnsi" w:eastAsia="Calibri" w:hAnsiTheme="minorHAnsi" w:cstheme="minorHAnsi"/>
                <w:b w:val="0"/>
                <w:caps w:val="0"/>
                <w:sz w:val="16"/>
              </w:rPr>
              <w:t>(51)</w:t>
            </w:r>
          </w:p>
        </w:tc>
        <w:tc>
          <w:tcPr>
            <w:tcW w:w="1833"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8,3</w:t>
            </w:r>
          </w:p>
        </w:tc>
        <w:tc>
          <w:tcPr>
            <w:tcW w:w="1834"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23,5</w:t>
            </w:r>
          </w:p>
        </w:tc>
        <w:tc>
          <w:tcPr>
            <w:tcW w:w="1833" w:type="dxa"/>
            <w:shd w:val="clear" w:color="auto" w:fill="DEEAF6" w:themeFill="accent1" w:themeFillTint="33"/>
            <w:vAlign w:val="center"/>
          </w:tcPr>
          <w:p w:rsidR="00C420B9" w:rsidRPr="0041716C" w:rsidRDefault="00C420B9" w:rsidP="00C420B9">
            <w:pPr>
              <w:jc w:val="center"/>
              <w:rPr>
                <w:rFonts w:ascii="Calibri" w:hAnsi="Calibri" w:cs="Arial"/>
                <w:b w:val="0"/>
                <w:sz w:val="20"/>
              </w:rPr>
            </w:pPr>
            <w:r w:rsidRPr="0041716C">
              <w:rPr>
                <w:rFonts w:ascii="Calibri" w:hAnsi="Calibri" w:cs="Arial"/>
                <w:b w:val="0"/>
                <w:sz w:val="20"/>
              </w:rPr>
              <w:t>-4,3</w:t>
            </w:r>
          </w:p>
        </w:tc>
        <w:tc>
          <w:tcPr>
            <w:tcW w:w="1834" w:type="dxa"/>
            <w:shd w:val="clear" w:color="auto" w:fill="DEEAF6" w:themeFill="accent1" w:themeFillTint="33"/>
            <w:vAlign w:val="center"/>
          </w:tcPr>
          <w:p w:rsidR="00C420B9" w:rsidRPr="00C420B9" w:rsidRDefault="00C420B9" w:rsidP="00C420B9">
            <w:pPr>
              <w:jc w:val="center"/>
              <w:rPr>
                <w:rFonts w:ascii="Calibri" w:hAnsi="Calibri" w:cs="Arial"/>
                <w:b w:val="0"/>
                <w:color w:val="000000"/>
                <w:sz w:val="20"/>
              </w:rPr>
            </w:pPr>
            <w:r w:rsidRPr="00C420B9">
              <w:rPr>
                <w:rFonts w:ascii="Calibri" w:hAnsi="Calibri" w:cs="Arial"/>
                <w:b w:val="0"/>
                <w:color w:val="000000"/>
                <w:sz w:val="20"/>
              </w:rPr>
              <w:t>4,0</w:t>
            </w:r>
          </w:p>
        </w:tc>
      </w:tr>
      <w:tr w:rsidR="00C420B9" w:rsidRPr="0041716C" w:rsidTr="00C420B9">
        <w:trPr>
          <w:trHeight w:val="340"/>
        </w:trPr>
        <w:tc>
          <w:tcPr>
            <w:tcW w:w="2444" w:type="dxa"/>
            <w:shd w:val="clear" w:color="auto" w:fill="F2F2F2" w:themeFill="background1" w:themeFillShade="F2"/>
            <w:vAlign w:val="center"/>
          </w:tcPr>
          <w:p w:rsidR="00C420B9" w:rsidRPr="0041716C" w:rsidRDefault="00C420B9" w:rsidP="00C420B9">
            <w:pPr>
              <w:jc w:val="left"/>
              <w:rPr>
                <w:rFonts w:asciiTheme="minorHAnsi" w:eastAsia="Calibri" w:hAnsiTheme="minorHAnsi" w:cstheme="minorHAnsi"/>
                <w:caps w:val="0"/>
                <w:sz w:val="20"/>
              </w:rPr>
            </w:pPr>
            <w:r w:rsidRPr="0041716C">
              <w:rPr>
                <w:rFonts w:asciiTheme="minorHAnsi" w:eastAsia="Calibri" w:hAnsiTheme="minorHAnsi" w:cstheme="minorHAnsi"/>
                <w:caps w:val="0"/>
                <w:sz w:val="20"/>
              </w:rPr>
              <w:t>Totale località turistiche</w:t>
            </w:r>
          </w:p>
        </w:tc>
        <w:tc>
          <w:tcPr>
            <w:tcW w:w="1833" w:type="dxa"/>
            <w:shd w:val="clear" w:color="auto" w:fill="F2F2F2" w:themeFill="background1" w:themeFillShade="F2"/>
            <w:vAlign w:val="center"/>
          </w:tcPr>
          <w:p w:rsidR="00C420B9" w:rsidRPr="0041716C" w:rsidRDefault="00C420B9" w:rsidP="00C420B9">
            <w:pPr>
              <w:jc w:val="center"/>
              <w:rPr>
                <w:rFonts w:ascii="Calibri" w:hAnsi="Calibri" w:cs="Arial"/>
                <w:bCs w:val="0"/>
                <w:sz w:val="20"/>
              </w:rPr>
            </w:pPr>
            <w:r w:rsidRPr="0041716C">
              <w:rPr>
                <w:rFonts w:ascii="Calibri" w:hAnsi="Calibri" w:cs="Arial"/>
                <w:bCs w:val="0"/>
                <w:sz w:val="20"/>
              </w:rPr>
              <w:t>7,3</w:t>
            </w:r>
          </w:p>
        </w:tc>
        <w:tc>
          <w:tcPr>
            <w:tcW w:w="1834" w:type="dxa"/>
            <w:shd w:val="clear" w:color="auto" w:fill="F2F2F2" w:themeFill="background1" w:themeFillShade="F2"/>
            <w:vAlign w:val="center"/>
          </w:tcPr>
          <w:p w:rsidR="00C420B9" w:rsidRPr="0041716C" w:rsidRDefault="00C420B9" w:rsidP="00C420B9">
            <w:pPr>
              <w:jc w:val="center"/>
              <w:rPr>
                <w:rFonts w:ascii="Calibri" w:hAnsi="Calibri" w:cs="Arial"/>
                <w:bCs w:val="0"/>
                <w:sz w:val="20"/>
              </w:rPr>
            </w:pPr>
            <w:r w:rsidRPr="0041716C">
              <w:rPr>
                <w:rFonts w:ascii="Calibri" w:hAnsi="Calibri" w:cs="Arial"/>
                <w:bCs w:val="0"/>
                <w:sz w:val="20"/>
              </w:rPr>
              <w:t>20,2</w:t>
            </w:r>
          </w:p>
        </w:tc>
        <w:tc>
          <w:tcPr>
            <w:tcW w:w="1833" w:type="dxa"/>
            <w:shd w:val="clear" w:color="auto" w:fill="F2F2F2" w:themeFill="background1" w:themeFillShade="F2"/>
            <w:vAlign w:val="center"/>
          </w:tcPr>
          <w:p w:rsidR="00C420B9" w:rsidRPr="0041716C" w:rsidRDefault="00C420B9" w:rsidP="00C420B9">
            <w:pPr>
              <w:jc w:val="center"/>
              <w:rPr>
                <w:rFonts w:ascii="Calibri" w:hAnsi="Calibri" w:cs="Arial"/>
                <w:bCs w:val="0"/>
                <w:sz w:val="20"/>
              </w:rPr>
            </w:pPr>
            <w:r w:rsidRPr="0041716C">
              <w:rPr>
                <w:rFonts w:ascii="Calibri" w:hAnsi="Calibri" w:cs="Arial"/>
                <w:bCs w:val="0"/>
                <w:sz w:val="20"/>
              </w:rPr>
              <w:t>3,5</w:t>
            </w:r>
          </w:p>
        </w:tc>
        <w:tc>
          <w:tcPr>
            <w:tcW w:w="1834" w:type="dxa"/>
            <w:shd w:val="clear" w:color="auto" w:fill="F2F2F2" w:themeFill="background1" w:themeFillShade="F2"/>
            <w:vAlign w:val="center"/>
          </w:tcPr>
          <w:p w:rsidR="00C420B9" w:rsidRPr="00C420B9" w:rsidRDefault="00C420B9" w:rsidP="00C420B9">
            <w:pPr>
              <w:jc w:val="center"/>
              <w:rPr>
                <w:rFonts w:ascii="Calibri" w:hAnsi="Calibri" w:cs="Arial"/>
                <w:color w:val="000000"/>
                <w:sz w:val="20"/>
              </w:rPr>
            </w:pPr>
            <w:r w:rsidRPr="00C420B9">
              <w:rPr>
                <w:rFonts w:ascii="Calibri" w:hAnsi="Calibri" w:cs="Arial"/>
                <w:bCs w:val="0"/>
                <w:color w:val="000000"/>
                <w:sz w:val="20"/>
              </w:rPr>
              <w:t>6,1</w:t>
            </w:r>
          </w:p>
        </w:tc>
      </w:tr>
    </w:tbl>
    <w:p w:rsidR="00B23B9D" w:rsidRPr="0041716C" w:rsidRDefault="00B23B9D" w:rsidP="008D7331">
      <w:pPr>
        <w:spacing w:before="60"/>
        <w:rPr>
          <w:rFonts w:asciiTheme="minorHAnsi" w:eastAsia="Calibri" w:hAnsiTheme="minorHAnsi" w:cstheme="minorHAnsi"/>
          <w:sz w:val="18"/>
        </w:rPr>
      </w:pPr>
      <w:r w:rsidRPr="0041716C">
        <w:rPr>
          <w:rFonts w:asciiTheme="minorHAnsi" w:eastAsia="Calibri" w:hAnsiTheme="minorHAnsi" w:cstheme="minorHAnsi"/>
          <w:sz w:val="18"/>
        </w:rPr>
        <w:t xml:space="preserve">Fonte: </w:t>
      </w:r>
      <w:r w:rsidR="008D7331" w:rsidRPr="0041716C">
        <w:rPr>
          <w:rFonts w:asciiTheme="minorHAnsi" w:eastAsia="Calibri" w:hAnsiTheme="minorHAnsi" w:cstheme="minorHAnsi"/>
          <w:sz w:val="18"/>
        </w:rPr>
        <w:t xml:space="preserve">elaborazioni </w:t>
      </w:r>
      <w:r w:rsidRPr="0041716C">
        <w:rPr>
          <w:rFonts w:asciiTheme="minorHAnsi" w:eastAsia="Calibri" w:hAnsiTheme="minorHAnsi" w:cstheme="minorHAnsi"/>
          <w:sz w:val="18"/>
        </w:rPr>
        <w:t>Nomisma su dati Agenzia delle Entrate</w:t>
      </w:r>
    </w:p>
    <w:p w:rsidR="00B23B9D" w:rsidRPr="00474E67" w:rsidRDefault="00B23B9D" w:rsidP="00B23B9D">
      <w:pPr>
        <w:rPr>
          <w:rFonts w:asciiTheme="minorHAnsi" w:eastAsia="Calibri" w:hAnsiTheme="minorHAnsi" w:cstheme="minorHAnsi"/>
          <w:strike/>
          <w:sz w:val="22"/>
          <w:szCs w:val="22"/>
        </w:rPr>
      </w:pPr>
    </w:p>
    <w:p w:rsidR="00775E1B" w:rsidRPr="00474E67" w:rsidRDefault="00775E1B" w:rsidP="00364602">
      <w:pPr>
        <w:rPr>
          <w:rFonts w:asciiTheme="minorHAnsi" w:eastAsia="Calibri" w:hAnsiTheme="minorHAnsi" w:cstheme="minorHAnsi"/>
          <w:sz w:val="22"/>
          <w:szCs w:val="22"/>
        </w:rPr>
      </w:pPr>
      <w:r w:rsidRPr="00474E67">
        <w:rPr>
          <w:rFonts w:asciiTheme="minorHAnsi" w:eastAsia="Calibri" w:hAnsiTheme="minorHAnsi" w:cstheme="minorHAnsi"/>
          <w:sz w:val="22"/>
          <w:szCs w:val="22"/>
        </w:rPr>
        <w:t>A favorire la risalita del mercato ha contribuito, anche nelle località turistiche, l’ulteriore diminuzione dei valori di mercato.</w:t>
      </w:r>
    </w:p>
    <w:p w:rsidR="00775E1B" w:rsidRPr="00474E67" w:rsidRDefault="00775E1B" w:rsidP="00775E1B">
      <w:pPr>
        <w:rPr>
          <w:rFonts w:asciiTheme="minorHAnsi" w:eastAsia="Calibri" w:hAnsiTheme="minorHAnsi" w:cstheme="minorHAnsi"/>
          <w:sz w:val="22"/>
          <w:szCs w:val="22"/>
        </w:rPr>
      </w:pPr>
      <w:r w:rsidRPr="00474E67">
        <w:rPr>
          <w:rFonts w:asciiTheme="minorHAnsi" w:eastAsia="Calibri" w:hAnsiTheme="minorHAnsi" w:cstheme="minorHAnsi"/>
          <w:sz w:val="22"/>
          <w:szCs w:val="22"/>
        </w:rPr>
        <w:t xml:space="preserve">Il segmento delle case per vacanza, </w:t>
      </w:r>
      <w:r w:rsidR="00474E67">
        <w:rPr>
          <w:rFonts w:asciiTheme="minorHAnsi" w:eastAsia="Calibri" w:hAnsiTheme="minorHAnsi" w:cstheme="minorHAnsi"/>
          <w:sz w:val="22"/>
          <w:szCs w:val="22"/>
        </w:rPr>
        <w:t>come è successo</w:t>
      </w:r>
      <w:r w:rsidRPr="00474E67">
        <w:rPr>
          <w:rFonts w:asciiTheme="minorHAnsi" w:eastAsia="Calibri" w:hAnsiTheme="minorHAnsi" w:cstheme="minorHAnsi"/>
          <w:sz w:val="22"/>
          <w:szCs w:val="22"/>
        </w:rPr>
        <w:t xml:space="preserve"> </w:t>
      </w:r>
      <w:r w:rsidR="00474E67">
        <w:rPr>
          <w:rFonts w:asciiTheme="minorHAnsi" w:eastAsia="Calibri" w:hAnsiTheme="minorHAnsi" w:cstheme="minorHAnsi"/>
          <w:sz w:val="22"/>
          <w:szCs w:val="22"/>
        </w:rPr>
        <w:t>n</w:t>
      </w:r>
      <w:r w:rsidRPr="00474E67">
        <w:rPr>
          <w:rFonts w:asciiTheme="minorHAnsi" w:eastAsia="Calibri" w:hAnsiTheme="minorHAnsi" w:cstheme="minorHAnsi"/>
          <w:sz w:val="22"/>
          <w:szCs w:val="22"/>
        </w:rPr>
        <w:t xml:space="preserve">el mercato nelle maggiori </w:t>
      </w:r>
      <w:r w:rsidR="002E37C5" w:rsidRPr="00474E67">
        <w:rPr>
          <w:rFonts w:asciiTheme="minorHAnsi" w:eastAsia="Calibri" w:hAnsiTheme="minorHAnsi" w:cstheme="minorHAnsi"/>
          <w:sz w:val="22"/>
          <w:szCs w:val="22"/>
        </w:rPr>
        <w:t>città italiane</w:t>
      </w:r>
      <w:r w:rsidRPr="00474E67">
        <w:rPr>
          <w:rFonts w:asciiTheme="minorHAnsi" w:eastAsia="Calibri" w:hAnsiTheme="minorHAnsi" w:cstheme="minorHAnsi"/>
          <w:sz w:val="22"/>
          <w:szCs w:val="22"/>
        </w:rPr>
        <w:t xml:space="preserve">, è stato investito da una riduzione dei prezzi di vendita lievemente </w:t>
      </w:r>
      <w:r w:rsidR="00474E67">
        <w:rPr>
          <w:rFonts w:asciiTheme="minorHAnsi" w:eastAsia="Calibri" w:hAnsiTheme="minorHAnsi" w:cstheme="minorHAnsi"/>
          <w:sz w:val="22"/>
          <w:szCs w:val="22"/>
        </w:rPr>
        <w:t>inf</w:t>
      </w:r>
      <w:r w:rsidRPr="00474E67">
        <w:rPr>
          <w:rFonts w:asciiTheme="minorHAnsi" w:eastAsia="Calibri" w:hAnsiTheme="minorHAnsi" w:cstheme="minorHAnsi"/>
          <w:sz w:val="22"/>
          <w:szCs w:val="22"/>
        </w:rPr>
        <w:t xml:space="preserve">eriore a quella del precedente anno. </w:t>
      </w:r>
    </w:p>
    <w:p w:rsidR="00775E1B" w:rsidRPr="00474E67" w:rsidRDefault="00775E1B" w:rsidP="00775E1B">
      <w:pPr>
        <w:rPr>
          <w:rFonts w:asciiTheme="minorHAnsi" w:eastAsia="Calibri" w:hAnsiTheme="minorHAnsi" w:cstheme="minorHAnsi"/>
          <w:sz w:val="22"/>
          <w:szCs w:val="22"/>
        </w:rPr>
      </w:pPr>
      <w:r w:rsidRPr="00474E67">
        <w:rPr>
          <w:rFonts w:asciiTheme="minorHAnsi" w:eastAsia="Calibri" w:hAnsiTheme="minorHAnsi" w:cstheme="minorHAnsi"/>
          <w:sz w:val="22"/>
          <w:szCs w:val="22"/>
        </w:rPr>
        <w:t xml:space="preserve">La variazione media, sintesi dei mercati top, centrali e periferici delle singole località turistiche monitorate, </w:t>
      </w:r>
      <w:r w:rsidR="00474E67">
        <w:rPr>
          <w:rFonts w:asciiTheme="minorHAnsi" w:eastAsia="Calibri" w:hAnsiTheme="minorHAnsi" w:cstheme="minorHAnsi"/>
          <w:sz w:val="22"/>
          <w:szCs w:val="22"/>
        </w:rPr>
        <w:t>evidenzia un arretramento del -1</w:t>
      </w:r>
      <w:r w:rsidRPr="00474E67">
        <w:rPr>
          <w:rFonts w:asciiTheme="minorHAnsi" w:eastAsia="Calibri" w:hAnsiTheme="minorHAnsi" w:cstheme="minorHAnsi"/>
          <w:sz w:val="22"/>
          <w:szCs w:val="22"/>
        </w:rPr>
        <w:t>,</w:t>
      </w:r>
      <w:r w:rsidR="00474E67">
        <w:rPr>
          <w:rFonts w:asciiTheme="minorHAnsi" w:eastAsia="Calibri" w:hAnsiTheme="minorHAnsi" w:cstheme="minorHAnsi"/>
          <w:sz w:val="22"/>
          <w:szCs w:val="22"/>
        </w:rPr>
        <w:t>8% annuo (rispetto al -2,5</w:t>
      </w:r>
      <w:r w:rsidRPr="00474E67">
        <w:rPr>
          <w:rFonts w:asciiTheme="minorHAnsi" w:eastAsia="Calibri" w:hAnsiTheme="minorHAnsi" w:cstheme="minorHAnsi"/>
          <w:sz w:val="22"/>
          <w:szCs w:val="22"/>
        </w:rPr>
        <w:t>% registrato un anno fa), con un campo di oscillazione, in funzione della tipologia abitativa, compreso tra -</w:t>
      </w:r>
      <w:r w:rsidR="00474E67">
        <w:rPr>
          <w:rFonts w:asciiTheme="minorHAnsi" w:eastAsia="Calibri" w:hAnsiTheme="minorHAnsi" w:cstheme="minorHAnsi"/>
          <w:sz w:val="22"/>
          <w:szCs w:val="22"/>
        </w:rPr>
        <w:t>0</w:t>
      </w:r>
      <w:r w:rsidR="00147009" w:rsidRPr="00474E67">
        <w:rPr>
          <w:rFonts w:asciiTheme="minorHAnsi" w:eastAsia="Calibri" w:hAnsiTheme="minorHAnsi" w:cstheme="minorHAnsi"/>
          <w:sz w:val="22"/>
          <w:szCs w:val="22"/>
        </w:rPr>
        <w:t>,</w:t>
      </w:r>
      <w:r w:rsidR="00695100" w:rsidRPr="00474E67">
        <w:rPr>
          <w:rFonts w:asciiTheme="minorHAnsi" w:eastAsia="Calibri" w:hAnsiTheme="minorHAnsi" w:cstheme="minorHAnsi"/>
          <w:sz w:val="22"/>
          <w:szCs w:val="22"/>
        </w:rPr>
        <w:t>1</w:t>
      </w:r>
      <w:r w:rsidRPr="00474E67">
        <w:rPr>
          <w:rFonts w:asciiTheme="minorHAnsi" w:eastAsia="Calibri" w:hAnsiTheme="minorHAnsi" w:cstheme="minorHAnsi"/>
          <w:sz w:val="22"/>
          <w:szCs w:val="22"/>
        </w:rPr>
        <w:t>% e -</w:t>
      </w:r>
      <w:r w:rsidR="00474E67">
        <w:rPr>
          <w:rFonts w:asciiTheme="minorHAnsi" w:eastAsia="Calibri" w:hAnsiTheme="minorHAnsi" w:cstheme="minorHAnsi"/>
          <w:sz w:val="22"/>
          <w:szCs w:val="22"/>
        </w:rPr>
        <w:t>4,</w:t>
      </w:r>
      <w:r w:rsidRPr="00474E67">
        <w:rPr>
          <w:rFonts w:asciiTheme="minorHAnsi" w:eastAsia="Calibri" w:hAnsiTheme="minorHAnsi" w:cstheme="minorHAnsi"/>
          <w:sz w:val="22"/>
          <w:szCs w:val="22"/>
        </w:rPr>
        <w:t>3%.</w:t>
      </w:r>
    </w:p>
    <w:p w:rsidR="00775E1B" w:rsidRPr="00F4759C" w:rsidRDefault="00775E1B" w:rsidP="00775E1B">
      <w:pPr>
        <w:rPr>
          <w:rFonts w:asciiTheme="minorHAnsi" w:eastAsia="Calibri" w:hAnsiTheme="minorHAnsi" w:cstheme="minorHAnsi"/>
          <w:sz w:val="22"/>
          <w:szCs w:val="22"/>
        </w:rPr>
      </w:pPr>
      <w:r w:rsidRPr="00F4759C">
        <w:rPr>
          <w:rFonts w:asciiTheme="minorHAnsi" w:eastAsia="Calibri" w:hAnsiTheme="minorHAnsi" w:cstheme="minorHAnsi"/>
          <w:sz w:val="22"/>
          <w:szCs w:val="22"/>
        </w:rPr>
        <w:t>La flessione dei valori ha riguardato anche le case vacanze “top nuove”</w:t>
      </w:r>
      <w:r w:rsidR="00695100" w:rsidRPr="00F4759C">
        <w:rPr>
          <w:rFonts w:asciiTheme="minorHAnsi" w:eastAsia="Calibri" w:hAnsiTheme="minorHAnsi" w:cstheme="minorHAnsi"/>
          <w:sz w:val="22"/>
          <w:szCs w:val="22"/>
        </w:rPr>
        <w:t>,</w:t>
      </w:r>
      <w:r w:rsidRPr="00F4759C">
        <w:rPr>
          <w:rFonts w:asciiTheme="minorHAnsi" w:eastAsia="Calibri" w:hAnsiTheme="minorHAnsi" w:cstheme="minorHAnsi"/>
          <w:sz w:val="22"/>
          <w:szCs w:val="22"/>
        </w:rPr>
        <w:t xml:space="preserve"> che segnano un’ulteriore ridimensionamento dei prezzi di mercato in un </w:t>
      </w:r>
      <w:proofErr w:type="spellStart"/>
      <w:r w:rsidRPr="00F4759C">
        <w:rPr>
          <w:rFonts w:asciiTheme="minorHAnsi" w:eastAsia="Calibri" w:hAnsiTheme="minorHAnsi" w:cstheme="minorHAnsi"/>
          <w:sz w:val="22"/>
          <w:szCs w:val="22"/>
        </w:rPr>
        <w:t>range</w:t>
      </w:r>
      <w:proofErr w:type="spellEnd"/>
      <w:r w:rsidRPr="00F4759C">
        <w:rPr>
          <w:rFonts w:asciiTheme="minorHAnsi" w:eastAsia="Calibri" w:hAnsiTheme="minorHAnsi" w:cstheme="minorHAnsi"/>
          <w:sz w:val="22"/>
          <w:szCs w:val="22"/>
        </w:rPr>
        <w:t xml:space="preserve"> che varia da -</w:t>
      </w:r>
      <w:r w:rsidR="00A82402">
        <w:rPr>
          <w:rFonts w:asciiTheme="minorHAnsi" w:eastAsia="Calibri" w:hAnsiTheme="minorHAnsi" w:cstheme="minorHAnsi"/>
          <w:sz w:val="22"/>
          <w:szCs w:val="22"/>
        </w:rPr>
        <w:t>0</w:t>
      </w:r>
      <w:r w:rsidR="00F4759C">
        <w:rPr>
          <w:rFonts w:asciiTheme="minorHAnsi" w:eastAsia="Calibri" w:hAnsiTheme="minorHAnsi" w:cstheme="minorHAnsi"/>
          <w:sz w:val="22"/>
          <w:szCs w:val="22"/>
        </w:rPr>
        <w:t>,</w:t>
      </w:r>
      <w:r w:rsidR="00A82402">
        <w:rPr>
          <w:rFonts w:asciiTheme="minorHAnsi" w:eastAsia="Calibri" w:hAnsiTheme="minorHAnsi" w:cstheme="minorHAnsi"/>
          <w:sz w:val="22"/>
          <w:szCs w:val="22"/>
        </w:rPr>
        <w:t>5</w:t>
      </w:r>
      <w:r w:rsidRPr="00F4759C">
        <w:rPr>
          <w:rFonts w:asciiTheme="minorHAnsi" w:eastAsia="Calibri" w:hAnsiTheme="minorHAnsi" w:cstheme="minorHAnsi"/>
          <w:sz w:val="22"/>
          <w:szCs w:val="22"/>
        </w:rPr>
        <w:t>% a -</w:t>
      </w:r>
      <w:r w:rsidR="00A82402">
        <w:rPr>
          <w:rFonts w:asciiTheme="minorHAnsi" w:eastAsia="Calibri" w:hAnsiTheme="minorHAnsi" w:cstheme="minorHAnsi"/>
          <w:sz w:val="22"/>
          <w:szCs w:val="22"/>
        </w:rPr>
        <w:t>2</w:t>
      </w:r>
      <w:r w:rsidR="00F4759C">
        <w:rPr>
          <w:rFonts w:asciiTheme="minorHAnsi" w:eastAsia="Calibri" w:hAnsiTheme="minorHAnsi" w:cstheme="minorHAnsi"/>
          <w:sz w:val="22"/>
          <w:szCs w:val="22"/>
        </w:rPr>
        <w:t>,</w:t>
      </w:r>
      <w:r w:rsidR="00A82402">
        <w:rPr>
          <w:rFonts w:asciiTheme="minorHAnsi" w:eastAsia="Calibri" w:hAnsiTheme="minorHAnsi" w:cstheme="minorHAnsi"/>
          <w:sz w:val="22"/>
          <w:szCs w:val="22"/>
        </w:rPr>
        <w:t>8</w:t>
      </w:r>
      <w:bookmarkStart w:id="0" w:name="_GoBack"/>
      <w:bookmarkEnd w:id="0"/>
      <w:r w:rsidRPr="00F4759C">
        <w:rPr>
          <w:rFonts w:asciiTheme="minorHAnsi" w:eastAsia="Calibri" w:hAnsiTheme="minorHAnsi" w:cstheme="minorHAnsi"/>
          <w:sz w:val="22"/>
          <w:szCs w:val="22"/>
        </w:rPr>
        <w:t xml:space="preserve">%, prevalentemente nelle località marittime e montane. </w:t>
      </w:r>
    </w:p>
    <w:p w:rsidR="000D7640" w:rsidRPr="00F4759C" w:rsidRDefault="00CF1C82" w:rsidP="00CF1C82">
      <w:pPr>
        <w:rPr>
          <w:rFonts w:asciiTheme="minorHAnsi" w:eastAsia="Calibri" w:hAnsiTheme="minorHAnsi" w:cstheme="minorHAnsi"/>
          <w:sz w:val="22"/>
          <w:szCs w:val="22"/>
        </w:rPr>
      </w:pPr>
      <w:r w:rsidRPr="00F4759C">
        <w:rPr>
          <w:rFonts w:asciiTheme="minorHAnsi" w:eastAsia="Calibri" w:hAnsiTheme="minorHAnsi" w:cstheme="minorHAnsi"/>
          <w:sz w:val="22"/>
          <w:szCs w:val="22"/>
        </w:rPr>
        <w:t xml:space="preserve">La variabilità della flessione annuale dei prezzi </w:t>
      </w:r>
      <w:r w:rsidR="00DE3B5B" w:rsidRPr="00F4759C">
        <w:rPr>
          <w:rFonts w:asciiTheme="minorHAnsi" w:eastAsia="Calibri" w:hAnsiTheme="minorHAnsi" w:cstheme="minorHAnsi"/>
          <w:sz w:val="22"/>
          <w:szCs w:val="22"/>
        </w:rPr>
        <w:t xml:space="preserve">registrata nelle località turistiche oggetto di monitoraggio </w:t>
      </w:r>
      <w:r w:rsidRPr="00F4759C">
        <w:rPr>
          <w:rFonts w:asciiTheme="minorHAnsi" w:eastAsia="Calibri" w:hAnsiTheme="minorHAnsi" w:cstheme="minorHAnsi"/>
          <w:sz w:val="22"/>
          <w:szCs w:val="22"/>
        </w:rPr>
        <w:t xml:space="preserve">in rapporto alla localizzazione è espressa </w:t>
      </w:r>
      <w:r w:rsidR="00262584" w:rsidRPr="00F4759C">
        <w:rPr>
          <w:rFonts w:asciiTheme="minorHAnsi" w:eastAsia="Calibri" w:hAnsiTheme="minorHAnsi" w:cstheme="minorHAnsi"/>
          <w:sz w:val="22"/>
          <w:szCs w:val="22"/>
        </w:rPr>
        <w:t>dalla</w:t>
      </w:r>
      <w:r w:rsidRPr="00F4759C">
        <w:rPr>
          <w:rFonts w:asciiTheme="minorHAnsi" w:eastAsia="Calibri" w:hAnsiTheme="minorHAnsi" w:cstheme="minorHAnsi"/>
          <w:sz w:val="22"/>
          <w:szCs w:val="22"/>
        </w:rPr>
        <w:t xml:space="preserve"> scala</w:t>
      </w:r>
      <w:r w:rsidR="00262584" w:rsidRPr="00F4759C">
        <w:rPr>
          <w:rFonts w:asciiTheme="minorHAnsi" w:eastAsia="Calibri" w:hAnsiTheme="minorHAnsi" w:cstheme="minorHAnsi"/>
          <w:sz w:val="22"/>
          <w:szCs w:val="22"/>
        </w:rPr>
        <w:t xml:space="preserve"> di seguito riportata</w:t>
      </w:r>
      <w:r w:rsidR="00F02CF0" w:rsidRPr="00F4759C">
        <w:rPr>
          <w:rFonts w:asciiTheme="minorHAnsi" w:eastAsia="Calibri" w:hAnsiTheme="minorHAnsi" w:cstheme="minorHAnsi"/>
          <w:sz w:val="22"/>
          <w:szCs w:val="22"/>
        </w:rPr>
        <w:t>:</w:t>
      </w:r>
    </w:p>
    <w:p w:rsidR="00B246EF" w:rsidRPr="00F4759C" w:rsidRDefault="00B246EF" w:rsidP="00CF1C82">
      <w:pPr>
        <w:rPr>
          <w:rFonts w:asciiTheme="minorHAnsi" w:eastAsia="Calibri" w:hAnsiTheme="minorHAnsi" w:cstheme="minorHAnsi"/>
          <w:sz w:val="22"/>
          <w:szCs w:val="22"/>
          <w:highlight w:val="yellow"/>
        </w:rPr>
      </w:pPr>
    </w:p>
    <w:p w:rsidR="00F02CF0" w:rsidRPr="0041716C" w:rsidRDefault="00F02CF0" w:rsidP="00DB782A">
      <w:pPr>
        <w:spacing w:after="60"/>
        <w:jc w:val="left"/>
        <w:rPr>
          <w:rFonts w:asciiTheme="minorHAnsi" w:eastAsia="Calibri" w:hAnsiTheme="minorHAnsi" w:cstheme="minorHAnsi"/>
          <w:sz w:val="20"/>
          <w:szCs w:val="22"/>
        </w:rPr>
      </w:pPr>
      <w:r w:rsidRPr="0041716C">
        <w:rPr>
          <w:rFonts w:asciiTheme="minorHAnsi" w:eastAsia="Calibri" w:hAnsiTheme="minorHAnsi" w:cstheme="minorHAnsi"/>
          <w:sz w:val="20"/>
          <w:szCs w:val="22"/>
        </w:rPr>
        <w:t>Tavola 3</w:t>
      </w:r>
    </w:p>
    <w:tbl>
      <w:tblPr>
        <w:tblW w:w="0" w:type="auto"/>
        <w:tblCellMar>
          <w:left w:w="70" w:type="dxa"/>
          <w:right w:w="70" w:type="dxa"/>
        </w:tblCellMar>
        <w:tblLook w:val="04A0" w:firstRow="1" w:lastRow="0" w:firstColumn="1" w:lastColumn="0" w:noHBand="0" w:noVBand="1"/>
      </w:tblPr>
      <w:tblGrid>
        <w:gridCol w:w="617"/>
        <w:gridCol w:w="627"/>
        <w:gridCol w:w="1168"/>
        <w:gridCol w:w="982"/>
        <w:gridCol w:w="1418"/>
        <w:gridCol w:w="1417"/>
        <w:gridCol w:w="851"/>
        <w:gridCol w:w="968"/>
        <w:gridCol w:w="709"/>
        <w:gridCol w:w="871"/>
      </w:tblGrid>
      <w:tr w:rsidR="00F4759C" w:rsidRPr="00002E27" w:rsidTr="00286A17">
        <w:trPr>
          <w:trHeight w:val="408"/>
        </w:trPr>
        <w:tc>
          <w:tcPr>
            <w:tcW w:w="63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-3,5%</w:t>
            </w:r>
          </w:p>
        </w:tc>
        <w:tc>
          <w:tcPr>
            <w:tcW w:w="627"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-3,0%</w:t>
            </w:r>
          </w:p>
        </w:tc>
        <w:tc>
          <w:tcPr>
            <w:tcW w:w="1219" w:type="dxa"/>
            <w:tcBorders>
              <w:top w:val="single" w:sz="4" w:space="0" w:color="auto"/>
              <w:left w:val="nil"/>
              <w:bottom w:val="single" w:sz="4" w:space="0" w:color="auto"/>
              <w:right w:val="single" w:sz="4" w:space="0" w:color="auto"/>
            </w:tcBorders>
            <w:shd w:val="clear" w:color="auto" w:fill="BDD6EE" w:themeFill="accent1" w:themeFillTint="66"/>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-2,5%</w:t>
            </w:r>
          </w:p>
        </w:tc>
        <w:tc>
          <w:tcPr>
            <w:tcW w:w="992" w:type="dxa"/>
            <w:tcBorders>
              <w:top w:val="single" w:sz="4" w:space="0" w:color="auto"/>
              <w:left w:val="nil"/>
              <w:bottom w:val="single" w:sz="4" w:space="0" w:color="auto"/>
              <w:right w:val="nil"/>
            </w:tcBorders>
            <w:shd w:val="clear" w:color="auto" w:fill="BDD6EE" w:themeFill="accent1" w:themeFillTint="66"/>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w:t>
            </w:r>
            <w:r>
              <w:rPr>
                <w:rFonts w:ascii="Calibri" w:hAnsi="Calibri" w:cs="Arial"/>
                <w:b/>
                <w:bCs/>
                <w:color w:val="000000"/>
                <w:sz w:val="18"/>
                <w:szCs w:val="18"/>
              </w:rPr>
              <w:t>2</w:t>
            </w:r>
            <w:r w:rsidRPr="00F4759C">
              <w:rPr>
                <w:rFonts w:ascii="Calibri" w:hAnsi="Calibri" w:cs="Arial"/>
                <w:b/>
                <w:bCs/>
                <w:color w:val="000000"/>
                <w:sz w:val="18"/>
                <w:szCs w:val="18"/>
              </w:rPr>
              <w:t>,0%</w:t>
            </w:r>
          </w:p>
        </w:tc>
        <w:tc>
          <w:tcPr>
            <w:tcW w:w="1418" w:type="dxa"/>
            <w:tcBorders>
              <w:top w:val="single" w:sz="4" w:space="0" w:color="auto"/>
              <w:left w:val="nil"/>
              <w:bottom w:val="single" w:sz="4" w:space="0" w:color="auto"/>
              <w:right w:val="nil"/>
            </w:tcBorders>
            <w:shd w:val="clear" w:color="000000" w:fill="1F497D"/>
            <w:vAlign w:val="center"/>
            <w:hideMark/>
          </w:tcPr>
          <w:p w:rsidR="00F4759C" w:rsidRPr="00F4759C" w:rsidRDefault="00F4759C" w:rsidP="00F4759C">
            <w:pPr>
              <w:jc w:val="center"/>
              <w:rPr>
                <w:rFonts w:ascii="Calibri" w:hAnsi="Calibri" w:cs="Arial"/>
                <w:b/>
                <w:bCs/>
                <w:color w:val="FFFFFF"/>
                <w:sz w:val="18"/>
                <w:szCs w:val="18"/>
              </w:rPr>
            </w:pPr>
            <w:r w:rsidRPr="00F4759C">
              <w:rPr>
                <w:rFonts w:ascii="Calibri" w:hAnsi="Calibri" w:cs="Arial"/>
                <w:b/>
                <w:bCs/>
                <w:color w:val="FFFFFF"/>
                <w:sz w:val="18"/>
                <w:szCs w:val="18"/>
              </w:rPr>
              <w:t>Media località turistiche: -</w:t>
            </w:r>
            <w:r>
              <w:rPr>
                <w:rFonts w:ascii="Calibri" w:hAnsi="Calibri" w:cs="Arial"/>
                <w:b/>
                <w:bCs/>
                <w:color w:val="FFFFFF"/>
                <w:sz w:val="18"/>
                <w:szCs w:val="18"/>
              </w:rPr>
              <w:t>1</w:t>
            </w:r>
            <w:r w:rsidRPr="00F4759C">
              <w:rPr>
                <w:rFonts w:ascii="Calibri" w:hAnsi="Calibri" w:cs="Arial"/>
                <w:b/>
                <w:bCs/>
                <w:color w:val="FFFFFF"/>
                <w:sz w:val="18"/>
                <w:szCs w:val="18"/>
              </w:rPr>
              <w:t>,</w:t>
            </w:r>
            <w:r>
              <w:rPr>
                <w:rFonts w:ascii="Calibri" w:hAnsi="Calibri" w:cs="Arial"/>
                <w:b/>
                <w:bCs/>
                <w:color w:val="FFFFFF"/>
                <w:sz w:val="18"/>
                <w:szCs w:val="18"/>
              </w:rPr>
              <w:t>8</w:t>
            </w:r>
            <w:r w:rsidRPr="00F4759C">
              <w:rPr>
                <w:rFonts w:ascii="Calibri" w:hAnsi="Calibri" w:cs="Arial"/>
                <w:b/>
                <w:bCs/>
                <w:color w:val="FFFFFF"/>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-1,5%</w:t>
            </w:r>
          </w:p>
        </w:tc>
        <w:tc>
          <w:tcPr>
            <w:tcW w:w="851" w:type="dxa"/>
            <w:tcBorders>
              <w:top w:val="single" w:sz="4" w:space="0" w:color="auto"/>
              <w:left w:val="nil"/>
              <w:bottom w:val="single" w:sz="4" w:space="0" w:color="auto"/>
              <w:right w:val="single" w:sz="4" w:space="0" w:color="auto"/>
            </w:tcBorders>
            <w:shd w:val="clear" w:color="auto" w:fill="BDD6EE" w:themeFill="accent1" w:themeFillTint="66"/>
            <w:noWrap/>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-1,0%</w:t>
            </w:r>
          </w:p>
        </w:tc>
        <w:tc>
          <w:tcPr>
            <w:tcW w:w="992" w:type="dxa"/>
            <w:tcBorders>
              <w:top w:val="single" w:sz="4" w:space="0" w:color="auto"/>
              <w:left w:val="single" w:sz="4" w:space="0" w:color="auto"/>
              <w:bottom w:val="single" w:sz="4" w:space="0" w:color="auto"/>
              <w:right w:val="nil"/>
            </w:tcBorders>
            <w:shd w:val="clear" w:color="auto" w:fill="BDD6EE" w:themeFill="accent1" w:themeFillTint="66"/>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-0,5%</w:t>
            </w:r>
          </w:p>
        </w:tc>
        <w:tc>
          <w:tcPr>
            <w:tcW w:w="709"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rsidR="00F4759C" w:rsidRPr="00F4759C" w:rsidRDefault="00F4759C" w:rsidP="00F4759C">
            <w:pPr>
              <w:jc w:val="center"/>
              <w:rPr>
                <w:rFonts w:ascii="Calibri" w:hAnsi="Calibri" w:cs="Arial"/>
                <w:b/>
                <w:bCs/>
                <w:color w:val="000000"/>
                <w:sz w:val="18"/>
                <w:szCs w:val="18"/>
              </w:rPr>
            </w:pPr>
            <w:r w:rsidRPr="00F4759C">
              <w:rPr>
                <w:rFonts w:ascii="Calibri" w:hAnsi="Calibri" w:cs="Arial"/>
                <w:b/>
                <w:bCs/>
                <w:color w:val="000000"/>
                <w:sz w:val="18"/>
                <w:szCs w:val="18"/>
              </w:rPr>
              <w:t>0,0%</w:t>
            </w:r>
          </w:p>
        </w:tc>
        <w:tc>
          <w:tcPr>
            <w:tcW w:w="91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F4759C" w:rsidRPr="00F4759C" w:rsidRDefault="00F4759C" w:rsidP="00F4759C">
            <w:pPr>
              <w:jc w:val="center"/>
              <w:rPr>
                <w:rFonts w:ascii="Calibri" w:hAnsi="Calibri" w:cs="Arial"/>
                <w:b/>
                <w:bCs/>
                <w:color w:val="000000"/>
                <w:sz w:val="18"/>
                <w:szCs w:val="18"/>
              </w:rPr>
            </w:pPr>
            <w:r>
              <w:rPr>
                <w:rFonts w:ascii="Calibri" w:hAnsi="Calibri" w:cs="Arial"/>
                <w:b/>
                <w:bCs/>
                <w:color w:val="000000"/>
                <w:sz w:val="18"/>
                <w:szCs w:val="18"/>
              </w:rPr>
              <w:t>+</w:t>
            </w:r>
            <w:r w:rsidRPr="00F4759C">
              <w:rPr>
                <w:rFonts w:ascii="Calibri" w:hAnsi="Calibri" w:cs="Arial"/>
                <w:b/>
                <w:bCs/>
                <w:color w:val="000000"/>
                <w:sz w:val="18"/>
                <w:szCs w:val="18"/>
              </w:rPr>
              <w:t>1,5%</w:t>
            </w:r>
          </w:p>
        </w:tc>
      </w:tr>
      <w:tr w:rsidR="00F4759C" w:rsidRPr="00002E27" w:rsidTr="00286A17">
        <w:trPr>
          <w:trHeight w:val="276"/>
        </w:trPr>
        <w:tc>
          <w:tcPr>
            <w:tcW w:w="634" w:type="dxa"/>
            <w:tcBorders>
              <w:top w:val="nil"/>
              <w:left w:val="single" w:sz="4" w:space="0" w:color="auto"/>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Lazio</w:t>
            </w:r>
          </w:p>
        </w:tc>
        <w:tc>
          <w:tcPr>
            <w:tcW w:w="627"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Liguria</w:t>
            </w:r>
          </w:p>
        </w:tc>
        <w:tc>
          <w:tcPr>
            <w:tcW w:w="1219"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Campania</w:t>
            </w:r>
          </w:p>
        </w:tc>
        <w:tc>
          <w:tcPr>
            <w:tcW w:w="992" w:type="dxa"/>
            <w:tcBorders>
              <w:top w:val="nil"/>
              <w:left w:val="nil"/>
              <w:bottom w:val="nil"/>
              <w:right w:val="nil"/>
            </w:tcBorders>
            <w:vAlign w:val="center"/>
          </w:tcPr>
          <w:p w:rsidR="00F4759C" w:rsidRPr="00F4759C" w:rsidRDefault="00F4759C" w:rsidP="00F4759C">
            <w:pPr>
              <w:jc w:val="center"/>
              <w:rPr>
                <w:rFonts w:ascii="Calibri" w:hAnsi="Calibri" w:cs="Arial"/>
                <w:sz w:val="18"/>
                <w:szCs w:val="18"/>
              </w:rPr>
            </w:pPr>
            <w:r w:rsidRPr="00F4759C">
              <w:rPr>
                <w:rFonts w:ascii="Calibri" w:hAnsi="Calibri" w:cs="Arial"/>
                <w:sz w:val="18"/>
                <w:szCs w:val="18"/>
              </w:rPr>
              <w:t>Lombardia</w:t>
            </w:r>
          </w:p>
        </w:tc>
        <w:tc>
          <w:tcPr>
            <w:tcW w:w="1418" w:type="dxa"/>
            <w:tcBorders>
              <w:top w:val="nil"/>
              <w:left w:val="nil"/>
              <w:bottom w:val="nil"/>
              <w:right w:val="single" w:sz="4" w:space="0" w:color="auto"/>
            </w:tcBorders>
            <w:shd w:val="clear" w:color="000000" w:fill="1F497D"/>
            <w:noWrap/>
            <w:vAlign w:val="center"/>
          </w:tcPr>
          <w:p w:rsidR="00F4759C" w:rsidRPr="00F4759C" w:rsidRDefault="00F4759C" w:rsidP="00F4759C">
            <w:pPr>
              <w:jc w:val="center"/>
              <w:rPr>
                <w:rFonts w:ascii="Calibri" w:hAnsi="Calibri" w:cs="Arial"/>
                <w:color w:val="FFFFFF"/>
                <w:sz w:val="18"/>
                <w:szCs w:val="18"/>
              </w:rPr>
            </w:pPr>
            <w:r w:rsidRPr="00F4759C">
              <w:rPr>
                <w:rFonts w:ascii="Calibri" w:hAnsi="Calibri" w:cs="Arial"/>
                <w:color w:val="FFFFFF"/>
                <w:sz w:val="18"/>
                <w:szCs w:val="18"/>
              </w:rPr>
              <w:t>Marche</w:t>
            </w:r>
          </w:p>
        </w:tc>
        <w:tc>
          <w:tcPr>
            <w:tcW w:w="1417" w:type="dxa"/>
            <w:tcBorders>
              <w:top w:val="nil"/>
              <w:left w:val="nil"/>
              <w:bottom w:val="nil"/>
              <w:right w:val="single" w:sz="4" w:space="0" w:color="auto"/>
            </w:tcBorders>
            <w:shd w:val="clear" w:color="auto" w:fill="auto"/>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Abruzzo</w:t>
            </w:r>
          </w:p>
        </w:tc>
        <w:tc>
          <w:tcPr>
            <w:tcW w:w="851"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Puglia</w:t>
            </w:r>
          </w:p>
        </w:tc>
        <w:tc>
          <w:tcPr>
            <w:tcW w:w="992"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Basilicata</w:t>
            </w:r>
          </w:p>
        </w:tc>
        <w:tc>
          <w:tcPr>
            <w:tcW w:w="709"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Umbria</w:t>
            </w:r>
          </w:p>
        </w:tc>
        <w:tc>
          <w:tcPr>
            <w:tcW w:w="919"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Friuli V.G.</w:t>
            </w:r>
          </w:p>
        </w:tc>
      </w:tr>
      <w:tr w:rsidR="00F4759C" w:rsidRPr="00002E27" w:rsidTr="00286A17">
        <w:trPr>
          <w:trHeight w:val="276"/>
        </w:trPr>
        <w:tc>
          <w:tcPr>
            <w:tcW w:w="634" w:type="dxa"/>
            <w:tcBorders>
              <w:top w:val="nil"/>
              <w:left w:val="single" w:sz="4" w:space="0" w:color="auto"/>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c>
          <w:tcPr>
            <w:tcW w:w="627"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1219"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Molise</w:t>
            </w:r>
          </w:p>
        </w:tc>
        <w:tc>
          <w:tcPr>
            <w:tcW w:w="992" w:type="dxa"/>
            <w:tcBorders>
              <w:top w:val="nil"/>
              <w:left w:val="nil"/>
              <w:bottom w:val="nil"/>
              <w:right w:val="nil"/>
            </w:tcBorders>
            <w:vAlign w:val="center"/>
          </w:tcPr>
          <w:p w:rsidR="00F4759C" w:rsidRPr="00F4759C" w:rsidRDefault="00F4759C" w:rsidP="00F4759C">
            <w:pPr>
              <w:jc w:val="center"/>
              <w:rPr>
                <w:rFonts w:ascii="Calibri" w:hAnsi="Calibri" w:cs="Arial"/>
                <w:sz w:val="18"/>
                <w:szCs w:val="18"/>
              </w:rPr>
            </w:pPr>
            <w:r w:rsidRPr="00F4759C">
              <w:rPr>
                <w:rFonts w:ascii="Calibri" w:hAnsi="Calibri" w:cs="Arial"/>
                <w:sz w:val="18"/>
                <w:szCs w:val="18"/>
              </w:rPr>
              <w:t>Piemonte</w:t>
            </w:r>
          </w:p>
        </w:tc>
        <w:tc>
          <w:tcPr>
            <w:tcW w:w="1418" w:type="dxa"/>
            <w:tcBorders>
              <w:top w:val="nil"/>
              <w:left w:val="nil"/>
              <w:bottom w:val="nil"/>
              <w:right w:val="single" w:sz="4" w:space="0" w:color="auto"/>
            </w:tcBorders>
            <w:shd w:val="clear" w:color="000000" w:fill="1F497D"/>
            <w:noWrap/>
            <w:vAlign w:val="center"/>
          </w:tcPr>
          <w:p w:rsidR="00F4759C" w:rsidRPr="00F4759C" w:rsidRDefault="00F4759C" w:rsidP="00F4759C">
            <w:pPr>
              <w:jc w:val="center"/>
              <w:rPr>
                <w:rFonts w:ascii="Calibri" w:hAnsi="Calibri" w:cs="Arial"/>
                <w:color w:val="FFFFFF"/>
                <w:sz w:val="18"/>
                <w:szCs w:val="18"/>
              </w:rPr>
            </w:pPr>
          </w:p>
        </w:tc>
        <w:tc>
          <w:tcPr>
            <w:tcW w:w="1417" w:type="dxa"/>
            <w:tcBorders>
              <w:top w:val="nil"/>
              <w:left w:val="nil"/>
              <w:bottom w:val="nil"/>
              <w:right w:val="nil"/>
            </w:tcBorders>
            <w:shd w:val="clear" w:color="auto" w:fill="auto"/>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Emilia Romagna</w:t>
            </w:r>
          </w:p>
        </w:tc>
        <w:tc>
          <w:tcPr>
            <w:tcW w:w="851" w:type="dxa"/>
            <w:tcBorders>
              <w:top w:val="nil"/>
              <w:left w:val="single" w:sz="4" w:space="0" w:color="auto"/>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Sicilia</w:t>
            </w:r>
          </w:p>
        </w:tc>
        <w:tc>
          <w:tcPr>
            <w:tcW w:w="992" w:type="dxa"/>
            <w:tcBorders>
              <w:top w:val="nil"/>
              <w:left w:val="single" w:sz="4" w:space="0" w:color="auto"/>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Calabria</w:t>
            </w:r>
          </w:p>
        </w:tc>
        <w:tc>
          <w:tcPr>
            <w:tcW w:w="709"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919"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r>
      <w:tr w:rsidR="00F4759C" w:rsidRPr="00002E27" w:rsidTr="00286A17">
        <w:trPr>
          <w:trHeight w:val="276"/>
        </w:trPr>
        <w:tc>
          <w:tcPr>
            <w:tcW w:w="634" w:type="dxa"/>
            <w:tcBorders>
              <w:top w:val="nil"/>
              <w:left w:val="single" w:sz="4" w:space="0" w:color="auto"/>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c>
          <w:tcPr>
            <w:tcW w:w="627"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1219"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Toscana</w:t>
            </w:r>
          </w:p>
        </w:tc>
        <w:tc>
          <w:tcPr>
            <w:tcW w:w="992" w:type="dxa"/>
            <w:tcBorders>
              <w:top w:val="nil"/>
              <w:left w:val="nil"/>
              <w:bottom w:val="nil"/>
              <w:right w:val="nil"/>
            </w:tcBorders>
            <w:vAlign w:val="center"/>
          </w:tcPr>
          <w:p w:rsidR="00F4759C" w:rsidRPr="00F4759C" w:rsidRDefault="00F4759C" w:rsidP="00F4759C">
            <w:pPr>
              <w:jc w:val="center"/>
              <w:rPr>
                <w:rFonts w:ascii="Calibri" w:hAnsi="Calibri" w:cs="Arial"/>
                <w:sz w:val="18"/>
                <w:szCs w:val="18"/>
              </w:rPr>
            </w:pPr>
            <w:r w:rsidRPr="00F4759C">
              <w:rPr>
                <w:rFonts w:ascii="Calibri" w:hAnsi="Calibri" w:cs="Arial"/>
                <w:sz w:val="18"/>
                <w:szCs w:val="18"/>
              </w:rPr>
              <w:t>Sardegna</w:t>
            </w:r>
          </w:p>
        </w:tc>
        <w:tc>
          <w:tcPr>
            <w:tcW w:w="1418" w:type="dxa"/>
            <w:tcBorders>
              <w:top w:val="nil"/>
              <w:left w:val="nil"/>
              <w:bottom w:val="nil"/>
              <w:right w:val="single" w:sz="4" w:space="0" w:color="auto"/>
            </w:tcBorders>
            <w:shd w:val="clear" w:color="000000" w:fill="1F497D"/>
            <w:noWrap/>
            <w:vAlign w:val="center"/>
          </w:tcPr>
          <w:p w:rsidR="00F4759C" w:rsidRPr="00F4759C" w:rsidRDefault="00F4759C" w:rsidP="00F4759C">
            <w:pPr>
              <w:jc w:val="center"/>
              <w:rPr>
                <w:rFonts w:ascii="Calibri" w:hAnsi="Calibri" w:cs="Arial"/>
                <w:color w:val="FFFFFF"/>
                <w:sz w:val="18"/>
                <w:szCs w:val="18"/>
              </w:rPr>
            </w:pPr>
          </w:p>
        </w:tc>
        <w:tc>
          <w:tcPr>
            <w:tcW w:w="1417" w:type="dxa"/>
            <w:tcBorders>
              <w:top w:val="nil"/>
              <w:left w:val="nil"/>
              <w:bottom w:val="nil"/>
              <w:right w:val="nil"/>
            </w:tcBorders>
            <w:shd w:val="clear" w:color="auto" w:fill="auto"/>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Trentino-Alto A.</w:t>
            </w:r>
          </w:p>
        </w:tc>
        <w:tc>
          <w:tcPr>
            <w:tcW w:w="851" w:type="dxa"/>
            <w:tcBorders>
              <w:top w:val="nil"/>
              <w:left w:val="single" w:sz="4" w:space="0" w:color="auto"/>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992" w:type="dxa"/>
            <w:tcBorders>
              <w:top w:val="nil"/>
              <w:left w:val="single" w:sz="4" w:space="0" w:color="auto"/>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c>
          <w:tcPr>
            <w:tcW w:w="709" w:type="dxa"/>
            <w:tcBorders>
              <w:top w:val="nil"/>
              <w:left w:val="nil"/>
              <w:bottom w:val="nil"/>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919" w:type="dxa"/>
            <w:tcBorders>
              <w:top w:val="nil"/>
              <w:left w:val="nil"/>
              <w:bottom w:val="nil"/>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r>
      <w:tr w:rsidR="00F4759C" w:rsidRPr="00002E27" w:rsidTr="00286A17">
        <w:trPr>
          <w:trHeight w:val="276"/>
        </w:trPr>
        <w:tc>
          <w:tcPr>
            <w:tcW w:w="634" w:type="dxa"/>
            <w:tcBorders>
              <w:top w:val="nil"/>
              <w:left w:val="single" w:sz="4" w:space="0" w:color="auto"/>
              <w:bottom w:val="single" w:sz="4" w:space="0" w:color="auto"/>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c>
          <w:tcPr>
            <w:tcW w:w="627" w:type="dxa"/>
            <w:tcBorders>
              <w:top w:val="nil"/>
              <w:left w:val="nil"/>
              <w:bottom w:val="single" w:sz="4" w:space="0" w:color="auto"/>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1219" w:type="dxa"/>
            <w:tcBorders>
              <w:top w:val="nil"/>
              <w:left w:val="nil"/>
              <w:bottom w:val="single" w:sz="4" w:space="0" w:color="auto"/>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Valle d'Aosta</w:t>
            </w:r>
          </w:p>
        </w:tc>
        <w:tc>
          <w:tcPr>
            <w:tcW w:w="992" w:type="dxa"/>
            <w:tcBorders>
              <w:top w:val="nil"/>
              <w:left w:val="nil"/>
              <w:bottom w:val="single" w:sz="4" w:space="0" w:color="auto"/>
              <w:right w:val="nil"/>
            </w:tcBorders>
            <w:vAlign w:val="center"/>
          </w:tcPr>
          <w:p w:rsidR="00F4759C" w:rsidRPr="00F4759C" w:rsidRDefault="00F4759C" w:rsidP="00F4759C">
            <w:pPr>
              <w:jc w:val="center"/>
              <w:rPr>
                <w:rFonts w:ascii="Calibri" w:hAnsi="Calibri" w:cs="Arial"/>
                <w:sz w:val="18"/>
                <w:szCs w:val="18"/>
              </w:rPr>
            </w:pPr>
          </w:p>
        </w:tc>
        <w:tc>
          <w:tcPr>
            <w:tcW w:w="1418" w:type="dxa"/>
            <w:tcBorders>
              <w:top w:val="nil"/>
              <w:left w:val="nil"/>
              <w:bottom w:val="single" w:sz="4" w:space="0" w:color="auto"/>
              <w:right w:val="single" w:sz="4" w:space="0" w:color="auto"/>
            </w:tcBorders>
            <w:shd w:val="clear" w:color="000000" w:fill="1F497D"/>
            <w:noWrap/>
            <w:vAlign w:val="center"/>
          </w:tcPr>
          <w:p w:rsidR="00F4759C" w:rsidRPr="00F4759C" w:rsidRDefault="00F4759C" w:rsidP="00F4759C">
            <w:pPr>
              <w:jc w:val="center"/>
              <w:rPr>
                <w:rFonts w:ascii="Calibri" w:hAnsi="Calibri" w:cs="Arial"/>
                <w:color w:val="FFFFFF"/>
                <w:sz w:val="18"/>
                <w:szCs w:val="18"/>
              </w:rPr>
            </w:pPr>
          </w:p>
        </w:tc>
        <w:tc>
          <w:tcPr>
            <w:tcW w:w="1417" w:type="dxa"/>
            <w:tcBorders>
              <w:top w:val="nil"/>
              <w:left w:val="nil"/>
              <w:bottom w:val="single" w:sz="4" w:space="0" w:color="auto"/>
              <w:right w:val="single" w:sz="4" w:space="0" w:color="auto"/>
            </w:tcBorders>
            <w:shd w:val="clear" w:color="auto" w:fill="auto"/>
            <w:noWrap/>
            <w:vAlign w:val="center"/>
          </w:tcPr>
          <w:p w:rsidR="00F4759C" w:rsidRPr="00F4759C" w:rsidRDefault="00F4759C" w:rsidP="00F4759C">
            <w:pPr>
              <w:jc w:val="center"/>
              <w:rPr>
                <w:rFonts w:ascii="Calibri" w:hAnsi="Calibri" w:cs="Arial"/>
                <w:color w:val="000000"/>
                <w:sz w:val="18"/>
                <w:szCs w:val="18"/>
              </w:rPr>
            </w:pPr>
            <w:r w:rsidRPr="00F4759C">
              <w:rPr>
                <w:rFonts w:ascii="Calibri" w:hAnsi="Calibri" w:cs="Arial"/>
                <w:color w:val="000000"/>
                <w:sz w:val="18"/>
                <w:szCs w:val="18"/>
              </w:rPr>
              <w:t>Veneto</w:t>
            </w:r>
          </w:p>
        </w:tc>
        <w:tc>
          <w:tcPr>
            <w:tcW w:w="851" w:type="dxa"/>
            <w:tcBorders>
              <w:top w:val="nil"/>
              <w:left w:val="nil"/>
              <w:bottom w:val="single" w:sz="4" w:space="0" w:color="auto"/>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c>
          <w:tcPr>
            <w:tcW w:w="709" w:type="dxa"/>
            <w:tcBorders>
              <w:top w:val="nil"/>
              <w:left w:val="nil"/>
              <w:bottom w:val="single" w:sz="4" w:space="0" w:color="auto"/>
              <w:right w:val="single" w:sz="4" w:space="0" w:color="auto"/>
            </w:tcBorders>
            <w:shd w:val="clear" w:color="auto" w:fill="E7E6E6" w:themeFill="background2"/>
            <w:noWrap/>
            <w:vAlign w:val="center"/>
          </w:tcPr>
          <w:p w:rsidR="00F4759C" w:rsidRPr="00F4759C" w:rsidRDefault="00F4759C" w:rsidP="00F4759C">
            <w:pPr>
              <w:jc w:val="center"/>
              <w:rPr>
                <w:rFonts w:ascii="Calibri" w:hAnsi="Calibri" w:cs="Arial"/>
                <w:color w:val="000000"/>
                <w:sz w:val="18"/>
                <w:szCs w:val="18"/>
              </w:rPr>
            </w:pPr>
          </w:p>
        </w:tc>
        <w:tc>
          <w:tcPr>
            <w:tcW w:w="919" w:type="dxa"/>
            <w:tcBorders>
              <w:top w:val="nil"/>
              <w:left w:val="nil"/>
              <w:bottom w:val="single" w:sz="4" w:space="0" w:color="auto"/>
              <w:right w:val="single" w:sz="4" w:space="0" w:color="auto"/>
            </w:tcBorders>
            <w:shd w:val="clear" w:color="auto" w:fill="auto"/>
            <w:vAlign w:val="center"/>
          </w:tcPr>
          <w:p w:rsidR="00F4759C" w:rsidRPr="00F4759C" w:rsidRDefault="00F4759C" w:rsidP="00F4759C">
            <w:pPr>
              <w:jc w:val="center"/>
              <w:rPr>
                <w:rFonts w:ascii="Calibri" w:hAnsi="Calibri" w:cs="Arial"/>
                <w:color w:val="000000"/>
                <w:sz w:val="18"/>
                <w:szCs w:val="18"/>
              </w:rPr>
            </w:pPr>
          </w:p>
        </w:tc>
      </w:tr>
    </w:tbl>
    <w:p w:rsidR="00CC41FA" w:rsidRPr="003D3270" w:rsidRDefault="00CC41FA" w:rsidP="00CC41FA">
      <w:pPr>
        <w:spacing w:before="60"/>
        <w:rPr>
          <w:rFonts w:asciiTheme="minorHAnsi" w:eastAsia="Calibri" w:hAnsiTheme="minorHAnsi" w:cstheme="minorHAnsi"/>
          <w:sz w:val="18"/>
        </w:rPr>
      </w:pPr>
      <w:r w:rsidRPr="003D3270">
        <w:rPr>
          <w:rFonts w:asciiTheme="minorHAnsi" w:eastAsia="Calibri" w:hAnsiTheme="minorHAnsi" w:cstheme="minorHAnsi"/>
          <w:sz w:val="18"/>
        </w:rPr>
        <w:t>Fonte: Nomisma e Fimaa-Confcommercio</w:t>
      </w:r>
    </w:p>
    <w:p w:rsidR="00CC41FA" w:rsidRPr="00F4759C" w:rsidRDefault="00CC41FA" w:rsidP="00364602">
      <w:pPr>
        <w:rPr>
          <w:rFonts w:asciiTheme="minorHAnsi" w:eastAsia="Calibri" w:hAnsiTheme="minorHAnsi" w:cstheme="minorHAnsi"/>
          <w:sz w:val="22"/>
          <w:szCs w:val="22"/>
        </w:rPr>
      </w:pPr>
    </w:p>
    <w:p w:rsidR="00853E99" w:rsidRPr="00F4759C" w:rsidRDefault="005D0767" w:rsidP="005D0767">
      <w:pPr>
        <w:rPr>
          <w:rFonts w:asciiTheme="minorHAnsi" w:eastAsia="Calibri" w:hAnsiTheme="minorHAnsi" w:cstheme="minorHAnsi"/>
          <w:sz w:val="22"/>
          <w:szCs w:val="22"/>
        </w:rPr>
      </w:pPr>
      <w:r w:rsidRPr="00F4759C">
        <w:rPr>
          <w:rFonts w:asciiTheme="minorHAnsi" w:eastAsia="Calibri" w:hAnsiTheme="minorHAnsi" w:cstheme="minorHAnsi"/>
          <w:sz w:val="22"/>
          <w:szCs w:val="22"/>
        </w:rPr>
        <w:t>La maggior parte delle regioni ha fatto segnare una diminuzi</w:t>
      </w:r>
      <w:r w:rsidR="00F4759C">
        <w:rPr>
          <w:rFonts w:asciiTheme="minorHAnsi" w:eastAsia="Calibri" w:hAnsiTheme="minorHAnsi" w:cstheme="minorHAnsi"/>
          <w:sz w:val="22"/>
          <w:szCs w:val="22"/>
        </w:rPr>
        <w:t>one annuale dei prezzi tra il -1,5</w:t>
      </w:r>
      <w:r w:rsidRPr="00F4759C">
        <w:rPr>
          <w:rFonts w:asciiTheme="minorHAnsi" w:eastAsia="Calibri" w:hAnsiTheme="minorHAnsi" w:cstheme="minorHAnsi"/>
          <w:sz w:val="22"/>
          <w:szCs w:val="22"/>
        </w:rPr>
        <w:t>% e il -</w:t>
      </w:r>
      <w:r w:rsidR="00F4759C">
        <w:rPr>
          <w:rFonts w:asciiTheme="minorHAnsi" w:eastAsia="Calibri" w:hAnsiTheme="minorHAnsi" w:cstheme="minorHAnsi"/>
          <w:sz w:val="22"/>
          <w:szCs w:val="22"/>
        </w:rPr>
        <w:t>2,5</w:t>
      </w:r>
      <w:r w:rsidRPr="00F4759C">
        <w:rPr>
          <w:rFonts w:asciiTheme="minorHAnsi" w:eastAsia="Calibri" w:hAnsiTheme="minorHAnsi" w:cstheme="minorHAnsi"/>
          <w:sz w:val="22"/>
          <w:szCs w:val="22"/>
        </w:rPr>
        <w:t>%, in li</w:t>
      </w:r>
      <w:r w:rsidR="00F4759C">
        <w:rPr>
          <w:rFonts w:asciiTheme="minorHAnsi" w:eastAsia="Calibri" w:hAnsiTheme="minorHAnsi" w:cstheme="minorHAnsi"/>
          <w:sz w:val="22"/>
          <w:szCs w:val="22"/>
        </w:rPr>
        <w:t>nea con la media nazionale (-1,8</w:t>
      </w:r>
      <w:r w:rsidRPr="00F4759C">
        <w:rPr>
          <w:rFonts w:asciiTheme="minorHAnsi" w:eastAsia="Calibri" w:hAnsiTheme="minorHAnsi" w:cstheme="minorHAnsi"/>
          <w:sz w:val="22"/>
          <w:szCs w:val="22"/>
        </w:rPr>
        <w:t xml:space="preserve">%). </w:t>
      </w:r>
      <w:r w:rsidR="004B6802">
        <w:rPr>
          <w:rFonts w:asciiTheme="minorHAnsi" w:eastAsia="Calibri" w:hAnsiTheme="minorHAnsi" w:cstheme="minorHAnsi"/>
          <w:sz w:val="22"/>
          <w:szCs w:val="22"/>
        </w:rPr>
        <w:t>Il Lazio</w:t>
      </w:r>
      <w:r w:rsidRPr="00F4759C">
        <w:rPr>
          <w:rFonts w:asciiTheme="minorHAnsi" w:eastAsia="Calibri" w:hAnsiTheme="minorHAnsi" w:cstheme="minorHAnsi"/>
          <w:sz w:val="22"/>
          <w:szCs w:val="22"/>
        </w:rPr>
        <w:t xml:space="preserve"> è la regione che ha re</w:t>
      </w:r>
      <w:r w:rsidR="004B6802">
        <w:rPr>
          <w:rFonts w:asciiTheme="minorHAnsi" w:eastAsia="Calibri" w:hAnsiTheme="minorHAnsi" w:cstheme="minorHAnsi"/>
          <w:sz w:val="22"/>
          <w:szCs w:val="22"/>
        </w:rPr>
        <w:t>gistrato il calo più intenso (-3</w:t>
      </w:r>
      <w:r w:rsidRPr="00F4759C">
        <w:rPr>
          <w:rFonts w:asciiTheme="minorHAnsi" w:eastAsia="Calibri" w:hAnsiTheme="minorHAnsi" w:cstheme="minorHAnsi"/>
          <w:sz w:val="22"/>
          <w:szCs w:val="22"/>
        </w:rPr>
        <w:t>,5%), a segu</w:t>
      </w:r>
      <w:r w:rsidR="00853E99" w:rsidRPr="00F4759C">
        <w:rPr>
          <w:rFonts w:asciiTheme="minorHAnsi" w:eastAsia="Calibri" w:hAnsiTheme="minorHAnsi" w:cstheme="minorHAnsi"/>
          <w:sz w:val="22"/>
          <w:szCs w:val="22"/>
        </w:rPr>
        <w:t xml:space="preserve">ire </w:t>
      </w:r>
      <w:r w:rsidR="004B6802">
        <w:rPr>
          <w:rFonts w:asciiTheme="minorHAnsi" w:eastAsia="Calibri" w:hAnsiTheme="minorHAnsi" w:cstheme="minorHAnsi"/>
          <w:sz w:val="22"/>
          <w:szCs w:val="22"/>
        </w:rPr>
        <w:t xml:space="preserve">Liguria (-3,0%), </w:t>
      </w:r>
      <w:r w:rsidR="004B6802" w:rsidRPr="004B6802">
        <w:rPr>
          <w:rFonts w:asciiTheme="minorHAnsi" w:eastAsia="Calibri" w:hAnsiTheme="minorHAnsi" w:cstheme="minorHAnsi"/>
          <w:sz w:val="22"/>
          <w:szCs w:val="22"/>
        </w:rPr>
        <w:t>Valle d’Aosta, Toscana, Campania e Molise</w:t>
      </w:r>
      <w:r w:rsidR="004B6802">
        <w:rPr>
          <w:rFonts w:asciiTheme="minorHAnsi" w:eastAsia="Calibri" w:hAnsiTheme="minorHAnsi" w:cstheme="minorHAnsi"/>
          <w:sz w:val="22"/>
          <w:szCs w:val="22"/>
        </w:rPr>
        <w:t xml:space="preserve"> (-2,5%)</w:t>
      </w:r>
      <w:r w:rsidR="00853E99" w:rsidRPr="00F4759C">
        <w:rPr>
          <w:rFonts w:asciiTheme="minorHAnsi" w:eastAsia="Calibri" w:hAnsiTheme="minorHAnsi" w:cstheme="minorHAnsi"/>
          <w:sz w:val="22"/>
          <w:szCs w:val="22"/>
        </w:rPr>
        <w:t>.</w:t>
      </w:r>
    </w:p>
    <w:p w:rsidR="005D0767" w:rsidRPr="00F4759C" w:rsidRDefault="004B6802" w:rsidP="005D0767">
      <w:pPr>
        <w:rPr>
          <w:rFonts w:asciiTheme="minorHAnsi" w:eastAsia="Calibri" w:hAnsiTheme="minorHAnsi" w:cstheme="minorHAnsi"/>
          <w:sz w:val="22"/>
          <w:szCs w:val="22"/>
        </w:rPr>
      </w:pPr>
      <w:r w:rsidRPr="004B6802">
        <w:rPr>
          <w:rFonts w:asciiTheme="minorHAnsi" w:eastAsia="Calibri" w:hAnsiTheme="minorHAnsi" w:cstheme="minorHAnsi"/>
          <w:sz w:val="22"/>
          <w:szCs w:val="22"/>
        </w:rPr>
        <w:t>Il Friuli Venezia-Giulia è</w:t>
      </w:r>
      <w:r w:rsidRPr="00F4759C">
        <w:rPr>
          <w:rFonts w:asciiTheme="minorHAnsi" w:eastAsia="Calibri" w:hAnsiTheme="minorHAnsi" w:cstheme="minorHAnsi"/>
          <w:sz w:val="22"/>
          <w:szCs w:val="22"/>
        </w:rPr>
        <w:t>, all’opposto,</w:t>
      </w:r>
      <w:r w:rsidRPr="004B6802">
        <w:rPr>
          <w:rFonts w:asciiTheme="minorHAnsi" w:eastAsia="Calibri" w:hAnsiTheme="minorHAnsi" w:cstheme="minorHAnsi"/>
          <w:sz w:val="22"/>
          <w:szCs w:val="22"/>
        </w:rPr>
        <w:t xml:space="preserve"> l’unica regione a registrare un aumento dei prezzi medi (+1,5)</w:t>
      </w:r>
      <w:r>
        <w:rPr>
          <w:rFonts w:asciiTheme="minorHAnsi" w:eastAsia="Calibri" w:hAnsiTheme="minorHAnsi" w:cstheme="minorHAnsi"/>
          <w:sz w:val="22"/>
          <w:szCs w:val="22"/>
        </w:rPr>
        <w:t>.</w:t>
      </w:r>
    </w:p>
    <w:p w:rsidR="004B6802" w:rsidRDefault="004B6802">
      <w:pPr>
        <w:spacing w:after="200" w:line="276" w:lineRule="auto"/>
        <w:jc w:val="left"/>
        <w:rPr>
          <w:rFonts w:asciiTheme="minorHAnsi" w:eastAsia="Calibri" w:hAnsiTheme="minorHAnsi" w:cstheme="minorHAnsi"/>
          <w:spacing w:val="2"/>
          <w:sz w:val="22"/>
        </w:rPr>
      </w:pPr>
      <w:r>
        <w:rPr>
          <w:rFonts w:asciiTheme="minorHAnsi" w:eastAsia="Calibri" w:hAnsiTheme="minorHAnsi" w:cstheme="minorHAnsi"/>
          <w:spacing w:val="2"/>
          <w:sz w:val="22"/>
        </w:rPr>
        <w:br w:type="page"/>
      </w:r>
    </w:p>
    <w:p w:rsidR="00FC7BBB" w:rsidRPr="004B6802" w:rsidRDefault="00161EC2" w:rsidP="00853E99">
      <w:pPr>
        <w:rPr>
          <w:rFonts w:asciiTheme="minorHAnsi" w:eastAsia="Calibri" w:hAnsiTheme="minorHAnsi" w:cstheme="minorHAnsi"/>
          <w:sz w:val="22"/>
          <w:szCs w:val="22"/>
        </w:rPr>
      </w:pPr>
      <w:r w:rsidRPr="004B6802">
        <w:rPr>
          <w:rFonts w:asciiTheme="minorHAnsi" w:eastAsia="Calibri" w:hAnsiTheme="minorHAnsi" w:cstheme="minorHAnsi"/>
          <w:sz w:val="22"/>
          <w:szCs w:val="22"/>
        </w:rPr>
        <w:t xml:space="preserve">Il </w:t>
      </w:r>
      <w:r w:rsidRPr="004B6802">
        <w:rPr>
          <w:rFonts w:asciiTheme="minorHAnsi" w:eastAsia="Calibri" w:hAnsiTheme="minorHAnsi" w:cstheme="minorHAnsi"/>
          <w:b/>
          <w:sz w:val="22"/>
          <w:szCs w:val="22"/>
        </w:rPr>
        <w:t>prezzo medio di un’abitazione turistica in Italia è</w:t>
      </w:r>
      <w:r w:rsidR="00633F06" w:rsidRPr="004B6802">
        <w:rPr>
          <w:rFonts w:asciiTheme="minorHAnsi" w:eastAsia="Calibri" w:hAnsiTheme="minorHAnsi" w:cstheme="minorHAnsi"/>
          <w:b/>
          <w:sz w:val="22"/>
          <w:szCs w:val="22"/>
        </w:rPr>
        <w:t xml:space="preserve"> 2.13</w:t>
      </w:r>
      <w:r w:rsidR="004B6802">
        <w:rPr>
          <w:rFonts w:asciiTheme="minorHAnsi" w:eastAsia="Calibri" w:hAnsiTheme="minorHAnsi" w:cstheme="minorHAnsi"/>
          <w:b/>
          <w:sz w:val="22"/>
          <w:szCs w:val="22"/>
        </w:rPr>
        <w:t>4</w:t>
      </w:r>
      <w:r w:rsidRPr="004B6802">
        <w:rPr>
          <w:rFonts w:asciiTheme="minorHAnsi" w:eastAsia="Calibri" w:hAnsiTheme="minorHAnsi" w:cstheme="minorHAnsi"/>
          <w:b/>
          <w:sz w:val="22"/>
          <w:szCs w:val="22"/>
        </w:rPr>
        <w:t xml:space="preserve"> euro al mq commerciale</w:t>
      </w:r>
      <w:r w:rsidR="00853E99" w:rsidRPr="004B6802">
        <w:rPr>
          <w:rFonts w:asciiTheme="minorHAnsi" w:eastAsia="Calibri" w:hAnsiTheme="minorHAnsi" w:cstheme="minorHAnsi"/>
          <w:sz w:val="22"/>
          <w:szCs w:val="22"/>
        </w:rPr>
        <w:t>,</w:t>
      </w:r>
      <w:r w:rsidR="00A22364" w:rsidRPr="004B6802">
        <w:rPr>
          <w:rFonts w:asciiTheme="minorHAnsi" w:eastAsia="Calibri" w:hAnsiTheme="minorHAnsi" w:cstheme="minorHAnsi"/>
          <w:sz w:val="22"/>
          <w:szCs w:val="22"/>
        </w:rPr>
        <w:t xml:space="preserve"> che rappresenta la </w:t>
      </w:r>
      <w:r w:rsidRPr="004B6802">
        <w:rPr>
          <w:rFonts w:asciiTheme="minorHAnsi" w:eastAsia="Calibri" w:hAnsiTheme="minorHAnsi" w:cstheme="minorHAnsi"/>
          <w:sz w:val="22"/>
          <w:szCs w:val="22"/>
        </w:rPr>
        <w:t>sintesi dei seguenti valori differenziati per tipologia</w:t>
      </w:r>
      <w:r w:rsidR="00A22364" w:rsidRPr="004B6802">
        <w:rPr>
          <w:rFonts w:asciiTheme="minorHAnsi" w:eastAsia="Calibri" w:hAnsiTheme="minorHAnsi" w:cstheme="minorHAnsi"/>
          <w:sz w:val="22"/>
          <w:szCs w:val="22"/>
        </w:rPr>
        <w:t xml:space="preserve"> abitativa e</w:t>
      </w:r>
      <w:r w:rsidRPr="004B6802">
        <w:rPr>
          <w:rFonts w:asciiTheme="minorHAnsi" w:eastAsia="Calibri" w:hAnsiTheme="minorHAnsi" w:cstheme="minorHAnsi"/>
          <w:sz w:val="22"/>
          <w:szCs w:val="22"/>
        </w:rPr>
        <w:t xml:space="preserve"> località turistica.</w:t>
      </w:r>
    </w:p>
    <w:p w:rsidR="00695100" w:rsidRPr="004B6802" w:rsidRDefault="00695100" w:rsidP="00853E99">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8"/>
        <w:gridCol w:w="2099"/>
        <w:gridCol w:w="2652"/>
        <w:gridCol w:w="2859"/>
      </w:tblGrid>
      <w:tr w:rsidR="0041716C" w:rsidRPr="0041716C" w:rsidTr="00C72373">
        <w:trPr>
          <w:trHeight w:val="340"/>
          <w:jc w:val="center"/>
        </w:trPr>
        <w:tc>
          <w:tcPr>
            <w:tcW w:w="2055" w:type="dxa"/>
            <w:vAlign w:val="center"/>
          </w:tcPr>
          <w:p w:rsidR="00FC7BBB" w:rsidRPr="0041716C" w:rsidRDefault="00B23B9D" w:rsidP="000D7640">
            <w:pPr>
              <w:jc w:val="left"/>
              <w:rPr>
                <w:rFonts w:asciiTheme="minorHAnsi" w:eastAsia="Calibri" w:hAnsiTheme="minorHAnsi" w:cstheme="minorHAnsi"/>
                <w:b w:val="0"/>
                <w:sz w:val="20"/>
              </w:rPr>
            </w:pPr>
            <w:r w:rsidRPr="0041716C">
              <w:rPr>
                <w:rFonts w:asciiTheme="minorHAnsi" w:eastAsia="Calibri" w:hAnsiTheme="minorHAnsi" w:cstheme="minorHAnsi"/>
                <w:b w:val="0"/>
                <w:caps w:val="0"/>
                <w:sz w:val="20"/>
              </w:rPr>
              <w:t xml:space="preserve">Tavola </w:t>
            </w:r>
            <w:r w:rsidR="000D7640" w:rsidRPr="0041716C">
              <w:rPr>
                <w:rFonts w:asciiTheme="minorHAnsi" w:eastAsia="Calibri" w:hAnsiTheme="minorHAnsi" w:cstheme="minorHAnsi"/>
                <w:b w:val="0"/>
                <w:caps w:val="0"/>
                <w:sz w:val="20"/>
              </w:rPr>
              <w:t>4</w:t>
            </w:r>
          </w:p>
        </w:tc>
        <w:tc>
          <w:tcPr>
            <w:tcW w:w="7723" w:type="dxa"/>
            <w:gridSpan w:val="3"/>
            <w:shd w:val="clear" w:color="auto" w:fill="D9D9D9" w:themeFill="background1" w:themeFillShade="D9"/>
            <w:vAlign w:val="center"/>
          </w:tcPr>
          <w:p w:rsidR="00FC7BBB" w:rsidRPr="0041716C" w:rsidRDefault="00FC7BBB" w:rsidP="00633F06">
            <w:pPr>
              <w:jc w:val="center"/>
              <w:rPr>
                <w:rFonts w:asciiTheme="minorHAnsi" w:eastAsia="Calibri" w:hAnsiTheme="minorHAnsi" w:cstheme="minorHAnsi"/>
                <w:caps w:val="0"/>
                <w:sz w:val="20"/>
              </w:rPr>
            </w:pPr>
            <w:r w:rsidRPr="0041716C">
              <w:rPr>
                <w:rFonts w:asciiTheme="minorHAnsi" w:eastAsia="Calibri" w:hAnsiTheme="minorHAnsi" w:cstheme="minorHAnsi"/>
                <w:caps w:val="0"/>
                <w:sz w:val="20"/>
              </w:rPr>
              <w:t>Prezz</w:t>
            </w:r>
            <w:r w:rsidR="00161EC2" w:rsidRPr="0041716C">
              <w:rPr>
                <w:rFonts w:asciiTheme="minorHAnsi" w:eastAsia="Calibri" w:hAnsiTheme="minorHAnsi" w:cstheme="minorHAnsi"/>
                <w:caps w:val="0"/>
                <w:sz w:val="20"/>
              </w:rPr>
              <w:t>i</w:t>
            </w:r>
            <w:r w:rsidRPr="0041716C">
              <w:rPr>
                <w:rFonts w:asciiTheme="minorHAnsi" w:eastAsia="Calibri" w:hAnsiTheme="minorHAnsi" w:cstheme="minorHAnsi"/>
                <w:caps w:val="0"/>
                <w:sz w:val="20"/>
              </w:rPr>
              <w:t xml:space="preserve"> medi</w:t>
            </w:r>
            <w:r w:rsidR="00F02CF0" w:rsidRPr="0041716C">
              <w:rPr>
                <w:rFonts w:asciiTheme="minorHAnsi" w:eastAsia="Calibri" w:hAnsiTheme="minorHAnsi" w:cstheme="minorHAnsi"/>
                <w:caps w:val="0"/>
                <w:sz w:val="20"/>
              </w:rPr>
              <w:t xml:space="preserve"> 201</w:t>
            </w:r>
            <w:r w:rsidR="004B6802">
              <w:rPr>
                <w:rFonts w:asciiTheme="minorHAnsi" w:eastAsia="Calibri" w:hAnsiTheme="minorHAnsi" w:cstheme="minorHAnsi"/>
                <w:caps w:val="0"/>
                <w:sz w:val="20"/>
              </w:rPr>
              <w:t>9</w:t>
            </w:r>
            <w:r w:rsidR="00C04B49" w:rsidRPr="0041716C">
              <w:rPr>
                <w:rFonts w:asciiTheme="minorHAnsi" w:eastAsia="Calibri" w:hAnsiTheme="minorHAnsi" w:cstheme="minorHAnsi"/>
                <w:caps w:val="0"/>
                <w:sz w:val="20"/>
              </w:rPr>
              <w:t xml:space="preserve"> (€/mq)</w:t>
            </w:r>
          </w:p>
        </w:tc>
      </w:tr>
      <w:tr w:rsidR="0041716C" w:rsidRPr="0041716C" w:rsidTr="00C72373">
        <w:trPr>
          <w:trHeight w:val="340"/>
          <w:jc w:val="center"/>
        </w:trPr>
        <w:tc>
          <w:tcPr>
            <w:tcW w:w="2055" w:type="dxa"/>
            <w:vAlign w:val="center"/>
          </w:tcPr>
          <w:p w:rsidR="00FC7BBB" w:rsidRPr="0041716C" w:rsidRDefault="00FC7BBB" w:rsidP="00C72373">
            <w:pPr>
              <w:jc w:val="left"/>
              <w:rPr>
                <w:rFonts w:asciiTheme="minorHAnsi" w:eastAsia="Calibri" w:hAnsiTheme="minorHAnsi" w:cstheme="minorHAnsi"/>
                <w:sz w:val="20"/>
              </w:rPr>
            </w:pPr>
          </w:p>
        </w:tc>
        <w:tc>
          <w:tcPr>
            <w:tcW w:w="2126" w:type="dxa"/>
            <w:shd w:val="clear" w:color="auto" w:fill="F2F2F2" w:themeFill="background1" w:themeFillShade="F2"/>
            <w:vAlign w:val="center"/>
          </w:tcPr>
          <w:p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 xml:space="preserve">Abitazioni </w:t>
            </w:r>
            <w:r w:rsidR="00FC7BBB" w:rsidRPr="0041716C">
              <w:rPr>
                <w:rFonts w:asciiTheme="minorHAnsi" w:eastAsia="Calibri" w:hAnsiTheme="minorHAnsi" w:cstheme="minorHAnsi"/>
                <w:caps w:val="0"/>
                <w:sz w:val="20"/>
              </w:rPr>
              <w:t>top nuove</w:t>
            </w:r>
          </w:p>
        </w:tc>
        <w:tc>
          <w:tcPr>
            <w:tcW w:w="2693" w:type="dxa"/>
            <w:shd w:val="clear" w:color="auto" w:fill="F2F2F2" w:themeFill="background1" w:themeFillShade="F2"/>
            <w:vAlign w:val="center"/>
          </w:tcPr>
          <w:p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Abitazioni centrali usate</w:t>
            </w:r>
          </w:p>
        </w:tc>
        <w:tc>
          <w:tcPr>
            <w:tcW w:w="2904" w:type="dxa"/>
            <w:shd w:val="clear" w:color="auto" w:fill="F2F2F2" w:themeFill="background1" w:themeFillShade="F2"/>
            <w:vAlign w:val="center"/>
          </w:tcPr>
          <w:p w:rsidR="00FC7BBB" w:rsidRPr="0041716C" w:rsidRDefault="00F63B06" w:rsidP="00C72373">
            <w:pPr>
              <w:jc w:val="center"/>
              <w:rPr>
                <w:rFonts w:asciiTheme="minorHAnsi" w:eastAsia="Calibri" w:hAnsiTheme="minorHAnsi" w:cstheme="minorHAnsi"/>
                <w:sz w:val="20"/>
              </w:rPr>
            </w:pPr>
            <w:r w:rsidRPr="0041716C">
              <w:rPr>
                <w:rFonts w:asciiTheme="minorHAnsi" w:eastAsia="Calibri" w:hAnsiTheme="minorHAnsi" w:cstheme="minorHAnsi"/>
                <w:caps w:val="0"/>
                <w:sz w:val="20"/>
              </w:rPr>
              <w:t>Abitazioni periferiche usate</w:t>
            </w:r>
          </w:p>
        </w:tc>
      </w:tr>
      <w:tr w:rsidR="004B6802" w:rsidRPr="0041716C" w:rsidTr="004B6802">
        <w:trPr>
          <w:trHeight w:val="340"/>
          <w:jc w:val="center"/>
        </w:trPr>
        <w:tc>
          <w:tcPr>
            <w:tcW w:w="2055" w:type="dxa"/>
            <w:shd w:val="clear" w:color="auto" w:fill="DEEAF6" w:themeFill="accent1" w:themeFillTint="33"/>
            <w:vAlign w:val="center"/>
          </w:tcPr>
          <w:p w:rsidR="004B6802" w:rsidRPr="0041716C" w:rsidRDefault="004B6802" w:rsidP="004B6802">
            <w:pPr>
              <w:jc w:val="left"/>
              <w:rPr>
                <w:rFonts w:asciiTheme="minorHAnsi" w:eastAsia="Calibri" w:hAnsiTheme="minorHAnsi" w:cstheme="minorHAnsi"/>
                <w:caps w:val="0"/>
                <w:sz w:val="20"/>
              </w:rPr>
            </w:pPr>
            <w:r w:rsidRPr="0041716C">
              <w:rPr>
                <w:rFonts w:asciiTheme="minorHAnsi" w:eastAsia="Calibri" w:hAnsiTheme="minorHAnsi" w:cstheme="minorHAnsi"/>
                <w:caps w:val="0"/>
                <w:sz w:val="20"/>
              </w:rPr>
              <w:t>Località lacuali</w:t>
            </w:r>
          </w:p>
        </w:tc>
        <w:tc>
          <w:tcPr>
            <w:tcW w:w="2126"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3.264</w:t>
            </w:r>
          </w:p>
        </w:tc>
        <w:tc>
          <w:tcPr>
            <w:tcW w:w="2693"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1.964</w:t>
            </w:r>
          </w:p>
        </w:tc>
        <w:tc>
          <w:tcPr>
            <w:tcW w:w="2904"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1.303</w:t>
            </w:r>
          </w:p>
        </w:tc>
      </w:tr>
      <w:tr w:rsidR="004B6802" w:rsidRPr="0041716C" w:rsidTr="004B6802">
        <w:trPr>
          <w:trHeight w:val="340"/>
          <w:jc w:val="center"/>
        </w:trPr>
        <w:tc>
          <w:tcPr>
            <w:tcW w:w="2055" w:type="dxa"/>
            <w:shd w:val="clear" w:color="auto" w:fill="DEEAF6" w:themeFill="accent1" w:themeFillTint="33"/>
            <w:vAlign w:val="center"/>
          </w:tcPr>
          <w:p w:rsidR="004B6802" w:rsidRPr="0041716C" w:rsidRDefault="004B6802" w:rsidP="004B6802">
            <w:pPr>
              <w:jc w:val="left"/>
              <w:rPr>
                <w:rFonts w:asciiTheme="minorHAnsi" w:eastAsia="Calibri" w:hAnsiTheme="minorHAnsi" w:cstheme="minorHAnsi"/>
                <w:sz w:val="20"/>
              </w:rPr>
            </w:pPr>
            <w:r w:rsidRPr="0041716C">
              <w:rPr>
                <w:rFonts w:asciiTheme="minorHAnsi" w:eastAsia="Calibri" w:hAnsiTheme="minorHAnsi" w:cstheme="minorHAnsi"/>
                <w:caps w:val="0"/>
                <w:sz w:val="20"/>
              </w:rPr>
              <w:t>Località marine</w:t>
            </w:r>
          </w:p>
        </w:tc>
        <w:tc>
          <w:tcPr>
            <w:tcW w:w="2126"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2.849</w:t>
            </w:r>
          </w:p>
        </w:tc>
        <w:tc>
          <w:tcPr>
            <w:tcW w:w="2693"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2.004</w:t>
            </w:r>
          </w:p>
        </w:tc>
        <w:tc>
          <w:tcPr>
            <w:tcW w:w="2904"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1.454</w:t>
            </w:r>
          </w:p>
        </w:tc>
      </w:tr>
      <w:tr w:rsidR="004B6802" w:rsidRPr="0041716C" w:rsidTr="004B6802">
        <w:trPr>
          <w:trHeight w:val="340"/>
          <w:jc w:val="center"/>
        </w:trPr>
        <w:tc>
          <w:tcPr>
            <w:tcW w:w="2055" w:type="dxa"/>
            <w:shd w:val="clear" w:color="auto" w:fill="DEEAF6" w:themeFill="accent1" w:themeFillTint="33"/>
            <w:vAlign w:val="center"/>
          </w:tcPr>
          <w:p w:rsidR="004B6802" w:rsidRPr="0041716C" w:rsidRDefault="004B6802" w:rsidP="004B6802">
            <w:pPr>
              <w:jc w:val="left"/>
              <w:rPr>
                <w:rFonts w:asciiTheme="minorHAnsi" w:eastAsia="Calibri" w:hAnsiTheme="minorHAnsi" w:cstheme="minorHAnsi"/>
                <w:sz w:val="20"/>
              </w:rPr>
            </w:pPr>
            <w:r w:rsidRPr="0041716C">
              <w:rPr>
                <w:rFonts w:asciiTheme="minorHAnsi" w:eastAsia="Calibri" w:hAnsiTheme="minorHAnsi" w:cstheme="minorHAnsi"/>
                <w:caps w:val="0"/>
                <w:sz w:val="20"/>
              </w:rPr>
              <w:t>Località montane</w:t>
            </w:r>
          </w:p>
        </w:tc>
        <w:tc>
          <w:tcPr>
            <w:tcW w:w="2126"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3.051</w:t>
            </w:r>
          </w:p>
        </w:tc>
        <w:tc>
          <w:tcPr>
            <w:tcW w:w="2693"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2.122</w:t>
            </w:r>
          </w:p>
        </w:tc>
        <w:tc>
          <w:tcPr>
            <w:tcW w:w="2904" w:type="dxa"/>
            <w:shd w:val="clear" w:color="auto" w:fill="DEEAF6" w:themeFill="accent1" w:themeFillTint="33"/>
            <w:vAlign w:val="center"/>
          </w:tcPr>
          <w:p w:rsidR="004B6802" w:rsidRPr="004B6802" w:rsidRDefault="004B6802" w:rsidP="004B6802">
            <w:pPr>
              <w:jc w:val="center"/>
              <w:rPr>
                <w:rFonts w:ascii="Calibri" w:hAnsi="Calibri" w:cs="Arial"/>
                <w:b w:val="0"/>
                <w:color w:val="000000"/>
                <w:sz w:val="20"/>
              </w:rPr>
            </w:pPr>
            <w:r w:rsidRPr="004B6802">
              <w:rPr>
                <w:rFonts w:ascii="Calibri" w:hAnsi="Calibri" w:cs="Arial"/>
                <w:b w:val="0"/>
                <w:color w:val="000000"/>
                <w:sz w:val="20"/>
              </w:rPr>
              <w:t>1.451</w:t>
            </w:r>
          </w:p>
        </w:tc>
      </w:tr>
    </w:tbl>
    <w:p w:rsidR="008D7331" w:rsidRPr="0041716C" w:rsidRDefault="008D7331" w:rsidP="008D7331">
      <w:pPr>
        <w:spacing w:before="60"/>
        <w:rPr>
          <w:rFonts w:asciiTheme="minorHAnsi" w:eastAsia="Calibri" w:hAnsiTheme="minorHAnsi" w:cstheme="minorHAnsi"/>
          <w:sz w:val="18"/>
        </w:rPr>
      </w:pPr>
      <w:r w:rsidRPr="0041716C">
        <w:rPr>
          <w:rFonts w:asciiTheme="minorHAnsi" w:eastAsia="Calibri" w:hAnsiTheme="minorHAnsi" w:cstheme="minorHAnsi"/>
          <w:sz w:val="18"/>
        </w:rPr>
        <w:t>Fonte: Nomisma e Fimaa</w:t>
      </w:r>
      <w:r w:rsidR="00AC5889" w:rsidRPr="0041716C">
        <w:rPr>
          <w:rFonts w:asciiTheme="minorHAnsi" w:eastAsia="Calibri" w:hAnsiTheme="minorHAnsi" w:cstheme="minorHAnsi"/>
          <w:sz w:val="18"/>
        </w:rPr>
        <w:t>-Confcommercio</w:t>
      </w:r>
    </w:p>
    <w:p w:rsidR="00FC7BBB" w:rsidRPr="00973C53" w:rsidRDefault="00FC7BBB" w:rsidP="00364602">
      <w:pPr>
        <w:rPr>
          <w:rFonts w:asciiTheme="minorHAnsi" w:eastAsia="Calibri" w:hAnsiTheme="minorHAnsi" w:cstheme="minorHAnsi"/>
          <w:sz w:val="22"/>
          <w:szCs w:val="24"/>
        </w:rPr>
      </w:pPr>
    </w:p>
    <w:p w:rsidR="009E53B6" w:rsidRPr="00973C53" w:rsidRDefault="00695100" w:rsidP="00695100">
      <w:pPr>
        <w:rPr>
          <w:rFonts w:asciiTheme="minorHAnsi" w:eastAsia="Calibri" w:hAnsiTheme="minorHAnsi" w:cstheme="minorHAnsi"/>
          <w:sz w:val="22"/>
          <w:szCs w:val="22"/>
        </w:rPr>
      </w:pPr>
      <w:r w:rsidRPr="00973C53">
        <w:rPr>
          <w:rFonts w:asciiTheme="minorHAnsi" w:eastAsia="Calibri" w:hAnsiTheme="minorHAnsi" w:cstheme="minorHAnsi"/>
          <w:sz w:val="22"/>
          <w:szCs w:val="22"/>
        </w:rPr>
        <w:t xml:space="preserve">Le località che rappresentano gli estremi dell’ampio </w:t>
      </w:r>
      <w:proofErr w:type="spellStart"/>
      <w:r w:rsidRPr="00973C53">
        <w:rPr>
          <w:rFonts w:asciiTheme="minorHAnsi" w:eastAsia="Calibri" w:hAnsiTheme="minorHAnsi" w:cstheme="minorHAnsi"/>
          <w:sz w:val="22"/>
          <w:szCs w:val="22"/>
        </w:rPr>
        <w:t>range</w:t>
      </w:r>
      <w:proofErr w:type="spellEnd"/>
      <w:r w:rsidRPr="00973C53">
        <w:rPr>
          <w:rFonts w:asciiTheme="minorHAnsi" w:eastAsia="Calibri" w:hAnsiTheme="minorHAnsi" w:cstheme="minorHAnsi"/>
          <w:sz w:val="22"/>
          <w:szCs w:val="22"/>
        </w:rPr>
        <w:t xml:space="preserve"> dei prezzi delle abitazioni nelle località turistiche sono </w:t>
      </w:r>
      <w:r w:rsidR="00973C53" w:rsidRPr="00973C53">
        <w:rPr>
          <w:rFonts w:asciiTheme="minorHAnsi" w:eastAsia="Calibri" w:hAnsiTheme="minorHAnsi" w:cstheme="minorHAnsi"/>
          <w:sz w:val="22"/>
          <w:szCs w:val="22"/>
        </w:rPr>
        <w:t>Capri</w:t>
      </w:r>
      <w:r w:rsidRPr="00973C53">
        <w:rPr>
          <w:rFonts w:asciiTheme="minorHAnsi" w:eastAsia="Calibri" w:hAnsiTheme="minorHAnsi" w:cstheme="minorHAnsi"/>
          <w:sz w:val="22"/>
          <w:szCs w:val="22"/>
        </w:rPr>
        <w:t xml:space="preserve"> per la parte superiore della distribuzione</w:t>
      </w:r>
      <w:r w:rsidRPr="00973C53">
        <w:rPr>
          <w:rFonts w:asciiTheme="minorHAnsi" w:eastAsia="Calibri" w:hAnsiTheme="minorHAnsi"/>
          <w:sz w:val="22"/>
          <w:szCs w:val="22"/>
          <w:vertAlign w:val="superscript"/>
        </w:rPr>
        <w:footnoteReference w:id="1"/>
      </w:r>
      <w:r w:rsidRPr="00973C53">
        <w:rPr>
          <w:rFonts w:asciiTheme="minorHAnsi" w:eastAsia="Calibri" w:hAnsiTheme="minorHAnsi" w:cstheme="minorHAnsi"/>
          <w:sz w:val="22"/>
          <w:szCs w:val="22"/>
        </w:rPr>
        <w:t>, con quotazioni sul mercato top che arrivano fino a 1</w:t>
      </w:r>
      <w:r w:rsidR="00973C53" w:rsidRPr="00973C53">
        <w:rPr>
          <w:rFonts w:asciiTheme="minorHAnsi" w:eastAsia="Calibri" w:hAnsiTheme="minorHAnsi" w:cstheme="minorHAnsi"/>
          <w:sz w:val="22"/>
          <w:szCs w:val="22"/>
        </w:rPr>
        <w:t>2</w:t>
      </w:r>
      <w:r w:rsidRPr="00973C53">
        <w:rPr>
          <w:rFonts w:asciiTheme="minorHAnsi" w:eastAsia="Calibri" w:hAnsiTheme="minorHAnsi" w:cstheme="minorHAnsi"/>
          <w:sz w:val="22"/>
          <w:szCs w:val="22"/>
        </w:rPr>
        <w:t>.</w:t>
      </w:r>
      <w:r w:rsidR="00973C53" w:rsidRPr="00973C53">
        <w:rPr>
          <w:rFonts w:asciiTheme="minorHAnsi" w:eastAsia="Calibri" w:hAnsiTheme="minorHAnsi" w:cstheme="minorHAnsi"/>
          <w:sz w:val="22"/>
          <w:szCs w:val="22"/>
        </w:rPr>
        <w:t>7</w:t>
      </w:r>
      <w:r w:rsidRPr="00973C53">
        <w:rPr>
          <w:rFonts w:asciiTheme="minorHAnsi" w:eastAsia="Calibri" w:hAnsiTheme="minorHAnsi" w:cstheme="minorHAnsi"/>
          <w:sz w:val="22"/>
          <w:szCs w:val="22"/>
        </w:rPr>
        <w:t xml:space="preserve">00 €/mq, e Serra San Bruno (VV) </w:t>
      </w:r>
      <w:r w:rsidR="00EA3F24">
        <w:rPr>
          <w:rFonts w:asciiTheme="minorHAnsi" w:eastAsia="Calibri" w:hAnsiTheme="minorHAnsi" w:cstheme="minorHAnsi"/>
          <w:sz w:val="22"/>
          <w:szCs w:val="22"/>
        </w:rPr>
        <w:t>e Portor</w:t>
      </w:r>
      <w:r w:rsidRPr="00973C53">
        <w:rPr>
          <w:rFonts w:asciiTheme="minorHAnsi" w:eastAsia="Calibri" w:hAnsiTheme="minorHAnsi" w:cstheme="minorHAnsi"/>
          <w:sz w:val="22"/>
          <w:szCs w:val="22"/>
        </w:rPr>
        <w:t>osa (ME) per quella inferiore, con valori minimi delle abitazioni periferiche usate nell’ordine dei 400 €/mq.</w:t>
      </w:r>
    </w:p>
    <w:p w:rsidR="00283E96" w:rsidRDefault="00283E96" w:rsidP="00695100">
      <w:pPr>
        <w:pStyle w:val="Paragrafoelenco"/>
        <w:ind w:left="0"/>
        <w:rPr>
          <w:rFonts w:asciiTheme="minorHAnsi" w:eastAsia="Calibri" w:hAnsiTheme="minorHAnsi" w:cstheme="minorHAnsi"/>
          <w:sz w:val="22"/>
          <w:szCs w:val="22"/>
        </w:rPr>
      </w:pPr>
      <w:r w:rsidRPr="00283E96">
        <w:rPr>
          <w:rFonts w:asciiTheme="minorHAnsi" w:eastAsia="Calibri" w:hAnsiTheme="minorHAnsi" w:cstheme="minorHAnsi"/>
          <w:sz w:val="22"/>
          <w:szCs w:val="22"/>
        </w:rPr>
        <w:t>In cima alla classifica delle principali località turistiche per quanto riguarda i prezzi massimi di compravendita di appartamenti top o nuovi troviamo</w:t>
      </w:r>
      <w:r w:rsidR="00D45EFA">
        <w:rPr>
          <w:rFonts w:asciiTheme="minorHAnsi" w:eastAsia="Calibri" w:hAnsiTheme="minorHAnsi" w:cstheme="minorHAnsi"/>
          <w:sz w:val="22"/>
          <w:szCs w:val="22"/>
        </w:rPr>
        <w:t xml:space="preserve">, appunto, </w:t>
      </w:r>
      <w:r w:rsidRPr="00283E96">
        <w:rPr>
          <w:rFonts w:asciiTheme="minorHAnsi" w:eastAsia="Calibri" w:hAnsiTheme="minorHAnsi" w:cstheme="minorHAnsi"/>
          <w:sz w:val="22"/>
          <w:szCs w:val="22"/>
        </w:rPr>
        <w:t>Capri (NA), con valori che raggiungono i 12.700 €/mq. Completano il podio Forte dei Marmi (LU) con 12.600 €/mq e Madonna di Campiglio (TN) con 12.400 €/mq. Santa Margherita Ligure (GE), dopo parecchi anni in vetta alla classifica, scende al quarto posto, seguita da Courmayeur (AO), Cortina d'Ampezzo (BL), Selva di Val Gardena (BZ) e Porto Cervo (SS)</w:t>
      </w:r>
      <w:r>
        <w:rPr>
          <w:rFonts w:asciiTheme="minorHAnsi" w:eastAsia="Calibri" w:hAnsiTheme="minorHAnsi" w:cstheme="minorHAnsi"/>
          <w:sz w:val="22"/>
          <w:szCs w:val="22"/>
        </w:rPr>
        <w:t>.</w:t>
      </w:r>
    </w:p>
    <w:p w:rsidR="009B6F34" w:rsidRPr="00F25710" w:rsidRDefault="009B6F34" w:rsidP="007816E7">
      <w:pPr>
        <w:rPr>
          <w:rFonts w:asciiTheme="minorHAnsi" w:eastAsia="Calibri" w:hAnsiTheme="minorHAnsi" w:cstheme="minorHAnsi"/>
          <w:sz w:val="22"/>
          <w:szCs w:val="22"/>
        </w:rPr>
      </w:pPr>
    </w:p>
    <w:p w:rsidR="007816E7" w:rsidRPr="00F25710" w:rsidRDefault="007816E7" w:rsidP="007816E7">
      <w:pPr>
        <w:rPr>
          <w:rFonts w:asciiTheme="minorHAnsi" w:eastAsia="Calibri" w:hAnsiTheme="minorHAnsi" w:cstheme="minorHAnsi"/>
          <w:sz w:val="22"/>
          <w:szCs w:val="22"/>
        </w:rPr>
      </w:pPr>
      <w:r w:rsidRPr="00F25710">
        <w:rPr>
          <w:rFonts w:asciiTheme="minorHAnsi" w:eastAsia="Calibri" w:hAnsiTheme="minorHAnsi" w:cstheme="minorHAnsi"/>
          <w:sz w:val="22"/>
          <w:szCs w:val="22"/>
        </w:rPr>
        <w:t>Dal comparto locativo emergono segnali di maggiore stabilità in termini di valori. Il dato medio, sintesi dei canoni richiesti in giugno, luglio e agosto nelle singole località turistiche monitorate, evidenzia un +1,</w:t>
      </w:r>
      <w:r w:rsidR="00F25710">
        <w:rPr>
          <w:rFonts w:asciiTheme="minorHAnsi" w:eastAsia="Calibri" w:hAnsiTheme="minorHAnsi" w:cstheme="minorHAnsi"/>
          <w:sz w:val="22"/>
          <w:szCs w:val="22"/>
        </w:rPr>
        <w:t>3</w:t>
      </w:r>
      <w:r w:rsidRPr="00F25710">
        <w:rPr>
          <w:rFonts w:asciiTheme="minorHAnsi" w:eastAsia="Calibri" w:hAnsiTheme="minorHAnsi" w:cstheme="minorHAnsi"/>
          <w:sz w:val="22"/>
          <w:szCs w:val="22"/>
        </w:rPr>
        <w:t>% su base annua.</w:t>
      </w:r>
    </w:p>
    <w:p w:rsidR="007816E7" w:rsidRPr="00F25710" w:rsidRDefault="007816E7" w:rsidP="007816E7">
      <w:pPr>
        <w:rPr>
          <w:rFonts w:asciiTheme="minorHAnsi" w:eastAsia="Calibri" w:hAnsiTheme="minorHAnsi" w:cstheme="minorHAnsi"/>
          <w:sz w:val="22"/>
          <w:szCs w:val="22"/>
        </w:rPr>
      </w:pPr>
      <w:r w:rsidRPr="00F25710">
        <w:rPr>
          <w:rFonts w:asciiTheme="minorHAnsi" w:eastAsia="Calibri" w:hAnsiTheme="minorHAnsi" w:cstheme="minorHAnsi"/>
          <w:sz w:val="22"/>
          <w:szCs w:val="22"/>
        </w:rPr>
        <w:t xml:space="preserve">Il mercato della locazione delle località turistiche è caratterizzato da un canone medio settimanale ordinario (valore di massima frequenza per un appartamento con camera matrimoniale, cameretta, cucina e bagno, 4 posti letto spese incluse) di </w:t>
      </w:r>
      <w:r w:rsidR="00F25710">
        <w:rPr>
          <w:rFonts w:asciiTheme="minorHAnsi" w:eastAsia="Calibri" w:hAnsiTheme="minorHAnsi" w:cstheme="minorHAnsi"/>
          <w:sz w:val="22"/>
          <w:szCs w:val="22"/>
        </w:rPr>
        <w:t>400</w:t>
      </w:r>
      <w:r w:rsidRPr="00F25710">
        <w:rPr>
          <w:rFonts w:asciiTheme="minorHAnsi" w:eastAsia="Calibri" w:hAnsiTheme="minorHAnsi" w:cstheme="minorHAnsi"/>
          <w:sz w:val="22"/>
          <w:szCs w:val="22"/>
        </w:rPr>
        <w:t xml:space="preserve"> € per il mese di giugno, 5</w:t>
      </w:r>
      <w:r w:rsidR="00F25710">
        <w:rPr>
          <w:rFonts w:asciiTheme="minorHAnsi" w:eastAsia="Calibri" w:hAnsiTheme="minorHAnsi" w:cstheme="minorHAnsi"/>
          <w:sz w:val="22"/>
          <w:szCs w:val="22"/>
        </w:rPr>
        <w:t>70</w:t>
      </w:r>
      <w:r w:rsidRPr="00F25710">
        <w:rPr>
          <w:rFonts w:asciiTheme="minorHAnsi" w:eastAsia="Calibri" w:hAnsiTheme="minorHAnsi" w:cstheme="minorHAnsi"/>
          <w:sz w:val="22"/>
          <w:szCs w:val="22"/>
        </w:rPr>
        <w:t xml:space="preserve"> € per luglio e 7</w:t>
      </w:r>
      <w:r w:rsidR="00F25710">
        <w:rPr>
          <w:rFonts w:asciiTheme="minorHAnsi" w:eastAsia="Calibri" w:hAnsiTheme="minorHAnsi" w:cstheme="minorHAnsi"/>
          <w:sz w:val="22"/>
          <w:szCs w:val="22"/>
        </w:rPr>
        <w:t>3</w:t>
      </w:r>
      <w:r w:rsidRPr="00F25710">
        <w:rPr>
          <w:rFonts w:asciiTheme="minorHAnsi" w:eastAsia="Calibri" w:hAnsiTheme="minorHAnsi" w:cstheme="minorHAnsi"/>
          <w:sz w:val="22"/>
          <w:szCs w:val="22"/>
        </w:rPr>
        <w:t>0 € per agosto.</w:t>
      </w:r>
    </w:p>
    <w:p w:rsidR="007816E7" w:rsidRPr="00F25710" w:rsidRDefault="007816E7" w:rsidP="007816E7">
      <w:pPr>
        <w:rPr>
          <w:rFonts w:asciiTheme="minorHAnsi" w:eastAsia="Calibri" w:hAnsiTheme="minorHAnsi" w:cstheme="minorHAnsi"/>
          <w:sz w:val="22"/>
          <w:szCs w:val="22"/>
        </w:rPr>
      </w:pPr>
    </w:p>
    <w:p w:rsidR="00B057C6" w:rsidRPr="00F25710" w:rsidRDefault="007816E7" w:rsidP="007816E7">
      <w:pPr>
        <w:rPr>
          <w:rFonts w:asciiTheme="minorHAnsi" w:eastAsia="Calibri" w:hAnsiTheme="minorHAnsi" w:cstheme="minorHAnsi"/>
          <w:sz w:val="22"/>
          <w:szCs w:val="22"/>
        </w:rPr>
      </w:pPr>
      <w:r w:rsidRPr="00F25710">
        <w:rPr>
          <w:rFonts w:asciiTheme="minorHAnsi" w:eastAsia="Calibri" w:hAnsiTheme="minorHAnsi" w:cstheme="minorHAnsi"/>
          <w:sz w:val="22"/>
          <w:szCs w:val="22"/>
        </w:rPr>
        <w:t>In questo segmento del mercato si riscontrano differenze tra le località lacuali e quelle marine/montane:</w:t>
      </w:r>
    </w:p>
    <w:p w:rsidR="007816E7" w:rsidRPr="00F25710" w:rsidRDefault="007816E7" w:rsidP="007816E7">
      <w:pPr>
        <w:rPr>
          <w:rFonts w:asciiTheme="minorHAnsi" w:eastAsia="Calibri" w:hAnsiTheme="minorHAnsi" w:cstheme="minorHAnsi"/>
          <w:sz w:val="22"/>
          <w:szCs w:val="22"/>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2409"/>
        <w:gridCol w:w="2407"/>
        <w:gridCol w:w="2409"/>
      </w:tblGrid>
      <w:tr w:rsidR="0041716C" w:rsidRPr="00F25710" w:rsidTr="002D78BD">
        <w:trPr>
          <w:trHeight w:val="340"/>
          <w:jc w:val="center"/>
        </w:trPr>
        <w:tc>
          <w:tcPr>
            <w:tcW w:w="2444" w:type="dxa"/>
            <w:vAlign w:val="center"/>
          </w:tcPr>
          <w:p w:rsidR="00CC3C69" w:rsidRPr="00F25710" w:rsidRDefault="00B23B9D" w:rsidP="000D7640">
            <w:pPr>
              <w:jc w:val="left"/>
              <w:rPr>
                <w:rFonts w:asciiTheme="minorHAnsi" w:eastAsia="Calibri" w:hAnsiTheme="minorHAnsi" w:cstheme="minorHAnsi"/>
                <w:b w:val="0"/>
                <w:sz w:val="20"/>
              </w:rPr>
            </w:pPr>
            <w:r w:rsidRPr="00F25710">
              <w:rPr>
                <w:rFonts w:asciiTheme="minorHAnsi" w:eastAsia="Calibri" w:hAnsiTheme="minorHAnsi" w:cstheme="minorHAnsi"/>
                <w:b w:val="0"/>
                <w:caps w:val="0"/>
                <w:sz w:val="20"/>
              </w:rPr>
              <w:t xml:space="preserve">Tavola </w:t>
            </w:r>
            <w:r w:rsidR="000D7640" w:rsidRPr="00F25710">
              <w:rPr>
                <w:rFonts w:asciiTheme="minorHAnsi" w:eastAsia="Calibri" w:hAnsiTheme="minorHAnsi" w:cstheme="minorHAnsi"/>
                <w:b w:val="0"/>
                <w:caps w:val="0"/>
                <w:sz w:val="20"/>
              </w:rPr>
              <w:t>5</w:t>
            </w:r>
          </w:p>
        </w:tc>
        <w:tc>
          <w:tcPr>
            <w:tcW w:w="7334" w:type="dxa"/>
            <w:gridSpan w:val="3"/>
            <w:shd w:val="clear" w:color="auto" w:fill="D9D9D9" w:themeFill="background1" w:themeFillShade="D9"/>
            <w:vAlign w:val="center"/>
          </w:tcPr>
          <w:p w:rsidR="00B34199" w:rsidRPr="00F25710" w:rsidRDefault="00CC3C69" w:rsidP="00853E99">
            <w:pPr>
              <w:jc w:val="center"/>
              <w:rPr>
                <w:rFonts w:asciiTheme="minorHAnsi" w:eastAsia="Calibri" w:hAnsiTheme="minorHAnsi" w:cstheme="minorHAnsi"/>
                <w:caps w:val="0"/>
                <w:sz w:val="20"/>
              </w:rPr>
            </w:pPr>
            <w:r w:rsidRPr="00F25710">
              <w:rPr>
                <w:rFonts w:asciiTheme="minorHAnsi" w:eastAsia="Calibri" w:hAnsiTheme="minorHAnsi" w:cstheme="minorHAnsi"/>
                <w:caps w:val="0"/>
                <w:sz w:val="20"/>
              </w:rPr>
              <w:t>Canone medio</w:t>
            </w:r>
            <w:r w:rsidR="00856627" w:rsidRPr="00F25710">
              <w:rPr>
                <w:rFonts w:asciiTheme="minorHAnsi" w:eastAsia="Calibri" w:hAnsiTheme="minorHAnsi" w:cstheme="minorHAnsi"/>
                <w:caps w:val="0"/>
                <w:sz w:val="20"/>
              </w:rPr>
              <w:t xml:space="preserve"> </w:t>
            </w:r>
            <w:r w:rsidR="003D3270" w:rsidRPr="00F25710">
              <w:rPr>
                <w:rFonts w:asciiTheme="minorHAnsi" w:eastAsia="Calibri" w:hAnsiTheme="minorHAnsi" w:cstheme="minorHAnsi"/>
                <w:caps w:val="0"/>
                <w:sz w:val="20"/>
              </w:rPr>
              <w:t>settimanale</w:t>
            </w:r>
            <w:r w:rsidR="00F02CF0" w:rsidRPr="00F25710">
              <w:rPr>
                <w:rFonts w:asciiTheme="minorHAnsi" w:eastAsia="Calibri" w:hAnsiTheme="minorHAnsi" w:cstheme="minorHAnsi"/>
                <w:caps w:val="0"/>
                <w:sz w:val="20"/>
              </w:rPr>
              <w:t xml:space="preserve"> 201</w:t>
            </w:r>
            <w:r w:rsidR="00F25710">
              <w:rPr>
                <w:rFonts w:asciiTheme="minorHAnsi" w:eastAsia="Calibri" w:hAnsiTheme="minorHAnsi" w:cstheme="minorHAnsi"/>
                <w:caps w:val="0"/>
                <w:sz w:val="20"/>
              </w:rPr>
              <w:t>9</w:t>
            </w:r>
          </w:p>
        </w:tc>
      </w:tr>
      <w:tr w:rsidR="0041716C" w:rsidRPr="00F25710" w:rsidTr="002D78BD">
        <w:trPr>
          <w:trHeight w:val="340"/>
          <w:jc w:val="center"/>
        </w:trPr>
        <w:tc>
          <w:tcPr>
            <w:tcW w:w="2444" w:type="dxa"/>
            <w:vAlign w:val="center"/>
          </w:tcPr>
          <w:p w:rsidR="00CC3C69" w:rsidRPr="00F25710" w:rsidRDefault="00CC3C69" w:rsidP="002D78BD">
            <w:pPr>
              <w:jc w:val="left"/>
              <w:rPr>
                <w:rFonts w:asciiTheme="minorHAnsi" w:eastAsia="Calibri" w:hAnsiTheme="minorHAnsi" w:cstheme="minorHAnsi"/>
                <w:sz w:val="20"/>
              </w:rPr>
            </w:pPr>
          </w:p>
        </w:tc>
        <w:tc>
          <w:tcPr>
            <w:tcW w:w="2444" w:type="dxa"/>
            <w:shd w:val="clear" w:color="auto" w:fill="F2F2F2" w:themeFill="background1" w:themeFillShade="F2"/>
            <w:vAlign w:val="center"/>
          </w:tcPr>
          <w:p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giugno</w:t>
            </w:r>
          </w:p>
        </w:tc>
        <w:tc>
          <w:tcPr>
            <w:tcW w:w="2445" w:type="dxa"/>
            <w:shd w:val="clear" w:color="auto" w:fill="F2F2F2" w:themeFill="background1" w:themeFillShade="F2"/>
            <w:vAlign w:val="center"/>
          </w:tcPr>
          <w:p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luglio</w:t>
            </w:r>
          </w:p>
        </w:tc>
        <w:tc>
          <w:tcPr>
            <w:tcW w:w="2445" w:type="dxa"/>
            <w:shd w:val="clear" w:color="auto" w:fill="F2F2F2" w:themeFill="background1" w:themeFillShade="F2"/>
            <w:vAlign w:val="center"/>
          </w:tcPr>
          <w:p w:rsidR="00CC3C69" w:rsidRPr="00F25710" w:rsidRDefault="00CC3C69" w:rsidP="002D78BD">
            <w:pPr>
              <w:jc w:val="center"/>
              <w:rPr>
                <w:rFonts w:asciiTheme="minorHAnsi" w:eastAsia="Calibri" w:hAnsiTheme="minorHAnsi" w:cstheme="minorHAnsi"/>
                <w:sz w:val="20"/>
              </w:rPr>
            </w:pPr>
            <w:r w:rsidRPr="00F25710">
              <w:rPr>
                <w:rFonts w:asciiTheme="minorHAnsi" w:eastAsia="Calibri" w:hAnsiTheme="minorHAnsi" w:cstheme="minorHAnsi"/>
                <w:caps w:val="0"/>
                <w:sz w:val="20"/>
              </w:rPr>
              <w:t>Mese di agosto</w:t>
            </w:r>
          </w:p>
        </w:tc>
      </w:tr>
      <w:tr w:rsidR="0041716C" w:rsidRPr="00F25710" w:rsidTr="0050113E">
        <w:trPr>
          <w:trHeight w:val="340"/>
          <w:jc w:val="center"/>
        </w:trPr>
        <w:tc>
          <w:tcPr>
            <w:tcW w:w="2444" w:type="dxa"/>
            <w:shd w:val="clear" w:color="auto" w:fill="DEEAF6" w:themeFill="accent1" w:themeFillTint="33"/>
            <w:vAlign w:val="center"/>
          </w:tcPr>
          <w:p w:rsidR="0050113E" w:rsidRPr="00F25710" w:rsidRDefault="0050113E" w:rsidP="0050113E">
            <w:pPr>
              <w:jc w:val="left"/>
              <w:rPr>
                <w:rFonts w:asciiTheme="minorHAnsi" w:eastAsia="Calibri" w:hAnsiTheme="minorHAnsi" w:cstheme="minorHAnsi"/>
                <w:caps w:val="0"/>
                <w:sz w:val="20"/>
              </w:rPr>
            </w:pPr>
            <w:r w:rsidRPr="00F25710">
              <w:rPr>
                <w:rFonts w:asciiTheme="minorHAnsi" w:eastAsia="Calibri" w:hAnsiTheme="minorHAnsi" w:cstheme="minorHAnsi"/>
                <w:caps w:val="0"/>
                <w:sz w:val="20"/>
              </w:rPr>
              <w:t>Località lacuali</w:t>
            </w:r>
          </w:p>
        </w:tc>
        <w:tc>
          <w:tcPr>
            <w:tcW w:w="2444" w:type="dxa"/>
            <w:shd w:val="clear" w:color="auto" w:fill="DEEAF6" w:themeFill="accent1" w:themeFillTint="33"/>
            <w:vAlign w:val="center"/>
          </w:tcPr>
          <w:p w:rsidR="0050113E" w:rsidRPr="00F25710" w:rsidRDefault="0050113E" w:rsidP="00F25710">
            <w:pPr>
              <w:jc w:val="center"/>
              <w:rPr>
                <w:rFonts w:ascii="Calibri" w:hAnsi="Calibri" w:cs="Arial"/>
                <w:b w:val="0"/>
                <w:sz w:val="20"/>
              </w:rPr>
            </w:pPr>
            <w:r w:rsidRPr="00F25710">
              <w:rPr>
                <w:rFonts w:ascii="Calibri" w:hAnsi="Calibri" w:cs="Arial"/>
                <w:b w:val="0"/>
                <w:sz w:val="20"/>
              </w:rPr>
              <w:t>5</w:t>
            </w:r>
            <w:r w:rsidR="00F25710">
              <w:rPr>
                <w:rFonts w:ascii="Calibri" w:hAnsi="Calibri" w:cs="Arial"/>
                <w:b w:val="0"/>
                <w:sz w:val="20"/>
              </w:rPr>
              <w:t>90</w:t>
            </w:r>
            <w:r w:rsidRPr="00F25710">
              <w:rPr>
                <w:rFonts w:ascii="Calibri" w:hAnsi="Calibri" w:cs="Arial"/>
                <w:b w:val="0"/>
                <w:sz w:val="20"/>
              </w:rPr>
              <w:t xml:space="preserve"> €</w:t>
            </w:r>
          </w:p>
        </w:tc>
        <w:tc>
          <w:tcPr>
            <w:tcW w:w="2445" w:type="dxa"/>
            <w:shd w:val="clear" w:color="auto" w:fill="DEEAF6" w:themeFill="accent1" w:themeFillTint="33"/>
            <w:vAlign w:val="center"/>
          </w:tcPr>
          <w:p w:rsidR="0050113E" w:rsidRPr="00F25710" w:rsidRDefault="0050113E" w:rsidP="0050113E">
            <w:pPr>
              <w:jc w:val="center"/>
              <w:rPr>
                <w:rFonts w:ascii="Calibri" w:hAnsi="Calibri" w:cs="Arial"/>
                <w:b w:val="0"/>
                <w:sz w:val="20"/>
              </w:rPr>
            </w:pPr>
            <w:r w:rsidRPr="00F25710">
              <w:rPr>
                <w:rFonts w:ascii="Calibri" w:hAnsi="Calibri" w:cs="Arial"/>
                <w:b w:val="0"/>
                <w:sz w:val="20"/>
              </w:rPr>
              <w:t>75</w:t>
            </w:r>
            <w:r w:rsidR="00F25710">
              <w:rPr>
                <w:rFonts w:ascii="Calibri" w:hAnsi="Calibri" w:cs="Arial"/>
                <w:b w:val="0"/>
                <w:sz w:val="20"/>
              </w:rPr>
              <w:t>0</w:t>
            </w:r>
            <w:r w:rsidRPr="00F25710">
              <w:rPr>
                <w:rFonts w:ascii="Calibri" w:hAnsi="Calibri" w:cs="Arial"/>
                <w:b w:val="0"/>
                <w:sz w:val="20"/>
              </w:rPr>
              <w:t xml:space="preserve"> €</w:t>
            </w:r>
          </w:p>
        </w:tc>
        <w:tc>
          <w:tcPr>
            <w:tcW w:w="2445" w:type="dxa"/>
            <w:shd w:val="clear" w:color="auto" w:fill="DEEAF6" w:themeFill="accent1" w:themeFillTint="33"/>
            <w:vAlign w:val="center"/>
          </w:tcPr>
          <w:p w:rsidR="0050113E" w:rsidRPr="00F25710" w:rsidRDefault="00F25710" w:rsidP="000828A6">
            <w:pPr>
              <w:jc w:val="center"/>
              <w:rPr>
                <w:rFonts w:ascii="Calibri" w:hAnsi="Calibri" w:cs="Arial"/>
                <w:b w:val="0"/>
                <w:sz w:val="20"/>
              </w:rPr>
            </w:pPr>
            <w:r>
              <w:rPr>
                <w:rFonts w:ascii="Calibri" w:hAnsi="Calibri" w:cs="Arial"/>
                <w:b w:val="0"/>
                <w:sz w:val="20"/>
              </w:rPr>
              <w:t>88</w:t>
            </w:r>
            <w:r w:rsidR="000828A6" w:rsidRPr="00F25710">
              <w:rPr>
                <w:rFonts w:ascii="Calibri" w:hAnsi="Calibri" w:cs="Arial"/>
                <w:b w:val="0"/>
                <w:sz w:val="20"/>
              </w:rPr>
              <w:t>5</w:t>
            </w:r>
            <w:r w:rsidR="0050113E" w:rsidRPr="00F25710">
              <w:rPr>
                <w:rFonts w:ascii="Calibri" w:hAnsi="Calibri" w:cs="Arial"/>
                <w:b w:val="0"/>
                <w:sz w:val="20"/>
              </w:rPr>
              <w:t xml:space="preserve"> €</w:t>
            </w:r>
          </w:p>
        </w:tc>
      </w:tr>
      <w:tr w:rsidR="00F25710" w:rsidRPr="00F25710" w:rsidTr="0050113E">
        <w:trPr>
          <w:trHeight w:val="340"/>
          <w:jc w:val="center"/>
        </w:trPr>
        <w:tc>
          <w:tcPr>
            <w:tcW w:w="2444" w:type="dxa"/>
            <w:shd w:val="clear" w:color="auto" w:fill="DEEAF6" w:themeFill="accent1" w:themeFillTint="33"/>
            <w:vAlign w:val="center"/>
          </w:tcPr>
          <w:p w:rsidR="0050113E" w:rsidRPr="00F25710" w:rsidRDefault="0050113E" w:rsidP="0050113E">
            <w:pPr>
              <w:jc w:val="left"/>
              <w:rPr>
                <w:rFonts w:asciiTheme="minorHAnsi" w:eastAsia="Calibri" w:hAnsiTheme="minorHAnsi" w:cstheme="minorHAnsi"/>
                <w:sz w:val="20"/>
              </w:rPr>
            </w:pPr>
            <w:r w:rsidRPr="00F25710">
              <w:rPr>
                <w:rFonts w:asciiTheme="minorHAnsi" w:eastAsia="Calibri" w:hAnsiTheme="minorHAnsi" w:cstheme="minorHAnsi"/>
                <w:caps w:val="0"/>
                <w:sz w:val="20"/>
              </w:rPr>
              <w:t>Località marine</w:t>
            </w:r>
          </w:p>
        </w:tc>
        <w:tc>
          <w:tcPr>
            <w:tcW w:w="2444" w:type="dxa"/>
            <w:shd w:val="clear" w:color="auto" w:fill="DEEAF6" w:themeFill="accent1" w:themeFillTint="33"/>
            <w:vAlign w:val="center"/>
          </w:tcPr>
          <w:p w:rsidR="0050113E" w:rsidRPr="00F25710" w:rsidRDefault="00F25710" w:rsidP="0050113E">
            <w:pPr>
              <w:jc w:val="center"/>
              <w:rPr>
                <w:rFonts w:ascii="Calibri" w:hAnsi="Calibri" w:cs="Arial"/>
                <w:b w:val="0"/>
                <w:sz w:val="20"/>
              </w:rPr>
            </w:pPr>
            <w:r>
              <w:rPr>
                <w:rFonts w:ascii="Calibri" w:hAnsi="Calibri" w:cs="Arial"/>
                <w:b w:val="0"/>
                <w:sz w:val="20"/>
              </w:rPr>
              <w:t>40</w:t>
            </w:r>
            <w:r w:rsidR="000828A6" w:rsidRPr="00F25710">
              <w:rPr>
                <w:rFonts w:ascii="Calibri" w:hAnsi="Calibri" w:cs="Arial"/>
                <w:b w:val="0"/>
                <w:sz w:val="20"/>
              </w:rPr>
              <w:t>0</w:t>
            </w:r>
            <w:r w:rsidR="0050113E" w:rsidRPr="00F25710">
              <w:rPr>
                <w:rFonts w:ascii="Calibri" w:hAnsi="Calibri" w:cs="Arial"/>
                <w:b w:val="0"/>
                <w:sz w:val="20"/>
              </w:rPr>
              <w:t xml:space="preserve"> €</w:t>
            </w:r>
          </w:p>
        </w:tc>
        <w:tc>
          <w:tcPr>
            <w:tcW w:w="2445" w:type="dxa"/>
            <w:shd w:val="clear" w:color="auto" w:fill="DEEAF6" w:themeFill="accent1" w:themeFillTint="33"/>
            <w:vAlign w:val="center"/>
          </w:tcPr>
          <w:p w:rsidR="0050113E" w:rsidRPr="00F25710" w:rsidRDefault="0050113E" w:rsidP="00F25710">
            <w:pPr>
              <w:jc w:val="center"/>
              <w:rPr>
                <w:rFonts w:ascii="Calibri" w:hAnsi="Calibri" w:cs="Arial"/>
                <w:b w:val="0"/>
                <w:sz w:val="20"/>
              </w:rPr>
            </w:pPr>
            <w:r w:rsidRPr="00F25710">
              <w:rPr>
                <w:rFonts w:ascii="Calibri" w:hAnsi="Calibri" w:cs="Arial"/>
                <w:b w:val="0"/>
                <w:sz w:val="20"/>
              </w:rPr>
              <w:t>5</w:t>
            </w:r>
            <w:r w:rsidR="00F25710">
              <w:rPr>
                <w:rFonts w:ascii="Calibri" w:hAnsi="Calibri" w:cs="Arial"/>
                <w:b w:val="0"/>
                <w:sz w:val="20"/>
              </w:rPr>
              <w:t>70</w:t>
            </w:r>
            <w:r w:rsidRPr="00F25710">
              <w:rPr>
                <w:rFonts w:ascii="Calibri" w:hAnsi="Calibri" w:cs="Arial"/>
                <w:b w:val="0"/>
                <w:sz w:val="20"/>
              </w:rPr>
              <w:t xml:space="preserve"> €</w:t>
            </w:r>
          </w:p>
        </w:tc>
        <w:tc>
          <w:tcPr>
            <w:tcW w:w="2445" w:type="dxa"/>
            <w:shd w:val="clear" w:color="auto" w:fill="DEEAF6" w:themeFill="accent1" w:themeFillTint="33"/>
            <w:vAlign w:val="center"/>
          </w:tcPr>
          <w:p w:rsidR="0050113E" w:rsidRPr="00F25710" w:rsidRDefault="0050113E" w:rsidP="00F25710">
            <w:pPr>
              <w:jc w:val="center"/>
              <w:rPr>
                <w:rFonts w:ascii="Calibri" w:hAnsi="Calibri" w:cs="Arial"/>
                <w:b w:val="0"/>
                <w:sz w:val="20"/>
              </w:rPr>
            </w:pPr>
            <w:r w:rsidRPr="00F25710">
              <w:rPr>
                <w:rFonts w:ascii="Calibri" w:hAnsi="Calibri" w:cs="Arial"/>
                <w:b w:val="0"/>
                <w:sz w:val="20"/>
              </w:rPr>
              <w:t>7</w:t>
            </w:r>
            <w:r w:rsidR="00F25710">
              <w:rPr>
                <w:rFonts w:ascii="Calibri" w:hAnsi="Calibri" w:cs="Arial"/>
                <w:b w:val="0"/>
                <w:sz w:val="20"/>
              </w:rPr>
              <w:t>4</w:t>
            </w:r>
            <w:r w:rsidR="000828A6" w:rsidRPr="00F25710">
              <w:rPr>
                <w:rFonts w:ascii="Calibri" w:hAnsi="Calibri" w:cs="Arial"/>
                <w:b w:val="0"/>
                <w:sz w:val="20"/>
              </w:rPr>
              <w:t>0</w:t>
            </w:r>
            <w:r w:rsidRPr="00F25710">
              <w:rPr>
                <w:rFonts w:ascii="Calibri" w:hAnsi="Calibri" w:cs="Arial"/>
                <w:b w:val="0"/>
                <w:sz w:val="20"/>
              </w:rPr>
              <w:t xml:space="preserve"> €</w:t>
            </w:r>
          </w:p>
        </w:tc>
      </w:tr>
      <w:tr w:rsidR="0041716C" w:rsidRPr="00F25710" w:rsidTr="0050113E">
        <w:trPr>
          <w:trHeight w:val="340"/>
          <w:jc w:val="center"/>
        </w:trPr>
        <w:tc>
          <w:tcPr>
            <w:tcW w:w="2444" w:type="dxa"/>
            <w:shd w:val="clear" w:color="auto" w:fill="DEEAF6" w:themeFill="accent1" w:themeFillTint="33"/>
            <w:vAlign w:val="center"/>
          </w:tcPr>
          <w:p w:rsidR="0050113E" w:rsidRPr="00F25710" w:rsidRDefault="0050113E" w:rsidP="0050113E">
            <w:pPr>
              <w:jc w:val="left"/>
              <w:rPr>
                <w:rFonts w:asciiTheme="minorHAnsi" w:eastAsia="Calibri" w:hAnsiTheme="minorHAnsi" w:cstheme="minorHAnsi"/>
                <w:sz w:val="20"/>
              </w:rPr>
            </w:pPr>
            <w:r w:rsidRPr="00F25710">
              <w:rPr>
                <w:rFonts w:asciiTheme="minorHAnsi" w:eastAsia="Calibri" w:hAnsiTheme="minorHAnsi" w:cstheme="minorHAnsi"/>
                <w:caps w:val="0"/>
                <w:sz w:val="20"/>
              </w:rPr>
              <w:t>Località montane</w:t>
            </w:r>
          </w:p>
        </w:tc>
        <w:tc>
          <w:tcPr>
            <w:tcW w:w="2444" w:type="dxa"/>
            <w:shd w:val="clear" w:color="auto" w:fill="DEEAF6" w:themeFill="accent1" w:themeFillTint="33"/>
            <w:vAlign w:val="center"/>
          </w:tcPr>
          <w:p w:rsidR="0050113E" w:rsidRPr="00F25710" w:rsidRDefault="0050113E" w:rsidP="000828A6">
            <w:pPr>
              <w:jc w:val="center"/>
              <w:rPr>
                <w:rFonts w:ascii="Calibri" w:hAnsi="Calibri" w:cs="Arial"/>
                <w:b w:val="0"/>
                <w:sz w:val="20"/>
              </w:rPr>
            </w:pPr>
            <w:r w:rsidRPr="00F25710">
              <w:rPr>
                <w:rFonts w:ascii="Calibri" w:hAnsi="Calibri" w:cs="Arial"/>
                <w:b w:val="0"/>
                <w:sz w:val="20"/>
              </w:rPr>
              <w:t>36</w:t>
            </w:r>
            <w:r w:rsidR="000828A6" w:rsidRPr="00F25710">
              <w:rPr>
                <w:rFonts w:ascii="Calibri" w:hAnsi="Calibri" w:cs="Arial"/>
                <w:b w:val="0"/>
                <w:sz w:val="20"/>
              </w:rPr>
              <w:t>0</w:t>
            </w:r>
            <w:r w:rsidRPr="00F25710">
              <w:rPr>
                <w:rFonts w:ascii="Calibri" w:hAnsi="Calibri" w:cs="Arial"/>
                <w:b w:val="0"/>
                <w:sz w:val="20"/>
              </w:rPr>
              <w:t xml:space="preserve"> €</w:t>
            </w:r>
          </w:p>
        </w:tc>
        <w:tc>
          <w:tcPr>
            <w:tcW w:w="2445" w:type="dxa"/>
            <w:shd w:val="clear" w:color="auto" w:fill="DEEAF6" w:themeFill="accent1" w:themeFillTint="33"/>
            <w:vAlign w:val="center"/>
          </w:tcPr>
          <w:p w:rsidR="0050113E" w:rsidRPr="00F25710" w:rsidRDefault="0050113E" w:rsidP="0050113E">
            <w:pPr>
              <w:jc w:val="center"/>
              <w:rPr>
                <w:rFonts w:ascii="Calibri" w:hAnsi="Calibri" w:cs="Arial"/>
                <w:b w:val="0"/>
                <w:sz w:val="20"/>
              </w:rPr>
            </w:pPr>
            <w:r w:rsidRPr="00F25710">
              <w:rPr>
                <w:rFonts w:ascii="Calibri" w:hAnsi="Calibri" w:cs="Arial"/>
                <w:b w:val="0"/>
                <w:sz w:val="20"/>
              </w:rPr>
              <w:t>525 €</w:t>
            </w:r>
          </w:p>
        </w:tc>
        <w:tc>
          <w:tcPr>
            <w:tcW w:w="2445" w:type="dxa"/>
            <w:shd w:val="clear" w:color="auto" w:fill="DEEAF6" w:themeFill="accent1" w:themeFillTint="33"/>
            <w:vAlign w:val="center"/>
          </w:tcPr>
          <w:p w:rsidR="0050113E" w:rsidRPr="00F25710" w:rsidRDefault="0050113E" w:rsidP="000828A6">
            <w:pPr>
              <w:jc w:val="center"/>
              <w:rPr>
                <w:rFonts w:ascii="Calibri" w:hAnsi="Calibri" w:cs="Arial"/>
                <w:b w:val="0"/>
                <w:sz w:val="20"/>
              </w:rPr>
            </w:pPr>
            <w:r w:rsidRPr="00F25710">
              <w:rPr>
                <w:rFonts w:ascii="Calibri" w:hAnsi="Calibri" w:cs="Arial"/>
                <w:b w:val="0"/>
                <w:sz w:val="20"/>
              </w:rPr>
              <w:t>68</w:t>
            </w:r>
            <w:r w:rsidR="000828A6" w:rsidRPr="00F25710">
              <w:rPr>
                <w:rFonts w:ascii="Calibri" w:hAnsi="Calibri" w:cs="Arial"/>
                <w:b w:val="0"/>
                <w:sz w:val="20"/>
              </w:rPr>
              <w:t>0</w:t>
            </w:r>
            <w:r w:rsidRPr="00F25710">
              <w:rPr>
                <w:rFonts w:ascii="Calibri" w:hAnsi="Calibri" w:cs="Arial"/>
                <w:b w:val="0"/>
                <w:sz w:val="20"/>
              </w:rPr>
              <w:t xml:space="preserve"> €</w:t>
            </w:r>
          </w:p>
        </w:tc>
      </w:tr>
    </w:tbl>
    <w:p w:rsidR="008D7331" w:rsidRPr="00F25710" w:rsidRDefault="008D7331" w:rsidP="008D7331">
      <w:pPr>
        <w:spacing w:before="60"/>
        <w:rPr>
          <w:rFonts w:asciiTheme="minorHAnsi" w:eastAsia="Calibri" w:hAnsiTheme="minorHAnsi" w:cstheme="minorHAnsi"/>
          <w:sz w:val="18"/>
        </w:rPr>
      </w:pPr>
      <w:r w:rsidRPr="00F25710">
        <w:rPr>
          <w:rFonts w:asciiTheme="minorHAnsi" w:eastAsia="Calibri" w:hAnsiTheme="minorHAnsi" w:cstheme="minorHAnsi"/>
          <w:sz w:val="18"/>
        </w:rPr>
        <w:t>Fonte: Nomisma e Fimaa</w:t>
      </w:r>
      <w:r w:rsidR="00AC5889" w:rsidRPr="00F25710">
        <w:rPr>
          <w:rFonts w:asciiTheme="minorHAnsi" w:eastAsia="Calibri" w:hAnsiTheme="minorHAnsi" w:cstheme="minorHAnsi"/>
          <w:sz w:val="18"/>
        </w:rPr>
        <w:t>-Confcommercio</w:t>
      </w:r>
    </w:p>
    <w:p w:rsidR="00743303" w:rsidRPr="00D45EFA" w:rsidRDefault="00743303" w:rsidP="00364602">
      <w:pPr>
        <w:rPr>
          <w:rFonts w:asciiTheme="minorHAnsi" w:eastAsia="Calibri" w:hAnsiTheme="minorHAnsi" w:cstheme="minorHAnsi"/>
          <w:sz w:val="22"/>
          <w:szCs w:val="24"/>
        </w:rPr>
      </w:pPr>
    </w:p>
    <w:p w:rsidR="007C4B27" w:rsidRDefault="007C4B27" w:rsidP="007C4B27">
      <w:pPr>
        <w:rPr>
          <w:rFonts w:asciiTheme="minorHAnsi" w:eastAsia="Calibri" w:hAnsiTheme="minorHAnsi" w:cstheme="minorHAnsi"/>
          <w:sz w:val="22"/>
          <w:szCs w:val="22"/>
        </w:rPr>
      </w:pPr>
      <w:r w:rsidRPr="00D45EFA">
        <w:rPr>
          <w:rFonts w:asciiTheme="minorHAnsi" w:eastAsia="Calibri" w:hAnsiTheme="minorHAnsi" w:cstheme="minorHAnsi"/>
          <w:sz w:val="22"/>
          <w:szCs w:val="22"/>
        </w:rPr>
        <w:t>Secondo gli operatori del settore, anche quest’anno il mercato residenziale nelle località turistiche è alimentato principalmente dagli acquisti per utilizzo diretto (6</w:t>
      </w:r>
      <w:r w:rsidR="00D45EFA">
        <w:rPr>
          <w:rFonts w:asciiTheme="minorHAnsi" w:eastAsia="Calibri" w:hAnsiTheme="minorHAnsi" w:cstheme="minorHAnsi"/>
          <w:sz w:val="22"/>
          <w:szCs w:val="22"/>
        </w:rPr>
        <w:t>4</w:t>
      </w:r>
      <w:r w:rsidRPr="00D45EFA">
        <w:rPr>
          <w:rFonts w:asciiTheme="minorHAnsi" w:eastAsia="Calibri" w:hAnsiTheme="minorHAnsi" w:cstheme="minorHAnsi"/>
          <w:sz w:val="22"/>
          <w:szCs w:val="22"/>
        </w:rPr>
        <w:t>%), mentre le quote restanti sono riconducibil</w:t>
      </w:r>
      <w:r w:rsidR="00D45EFA">
        <w:rPr>
          <w:rFonts w:asciiTheme="minorHAnsi" w:eastAsia="Calibri" w:hAnsiTheme="minorHAnsi" w:cstheme="minorHAnsi"/>
          <w:sz w:val="22"/>
          <w:szCs w:val="22"/>
        </w:rPr>
        <w:t>i a finalità di investimento (17</w:t>
      </w:r>
      <w:r w:rsidRPr="00D45EFA">
        <w:rPr>
          <w:rFonts w:asciiTheme="minorHAnsi" w:eastAsia="Calibri" w:hAnsiTheme="minorHAnsi" w:cstheme="minorHAnsi"/>
          <w:sz w:val="22"/>
          <w:szCs w:val="22"/>
        </w:rPr>
        <w:t>%) o ad un misto delle due tip</w:t>
      </w:r>
      <w:r w:rsidR="00D45EFA">
        <w:rPr>
          <w:rFonts w:asciiTheme="minorHAnsi" w:eastAsia="Calibri" w:hAnsiTheme="minorHAnsi" w:cstheme="minorHAnsi"/>
          <w:sz w:val="22"/>
          <w:szCs w:val="22"/>
        </w:rPr>
        <w:t>ologie precedentemente citate (</w:t>
      </w:r>
      <w:r w:rsidRPr="00D45EFA">
        <w:rPr>
          <w:rFonts w:asciiTheme="minorHAnsi" w:eastAsia="Calibri" w:hAnsiTheme="minorHAnsi" w:cstheme="minorHAnsi"/>
          <w:sz w:val="22"/>
          <w:szCs w:val="22"/>
        </w:rPr>
        <w:t>1</w:t>
      </w:r>
      <w:r w:rsidR="00D45EFA">
        <w:rPr>
          <w:rFonts w:asciiTheme="minorHAnsi" w:eastAsia="Calibri" w:hAnsiTheme="minorHAnsi" w:cstheme="minorHAnsi"/>
          <w:sz w:val="22"/>
          <w:szCs w:val="22"/>
        </w:rPr>
        <w:t>9</w:t>
      </w:r>
      <w:r w:rsidRPr="00D45EFA">
        <w:rPr>
          <w:rFonts w:asciiTheme="minorHAnsi" w:eastAsia="Calibri" w:hAnsiTheme="minorHAnsi" w:cstheme="minorHAnsi"/>
          <w:sz w:val="22"/>
          <w:szCs w:val="22"/>
        </w:rPr>
        <w:t xml:space="preserve">%). </w:t>
      </w:r>
    </w:p>
    <w:p w:rsidR="009E53B6" w:rsidRPr="00D45EFA" w:rsidRDefault="009E53B6" w:rsidP="007C4B27">
      <w:pPr>
        <w:rPr>
          <w:rFonts w:asciiTheme="minorHAnsi" w:eastAsia="Calibri" w:hAnsiTheme="minorHAnsi" w:cstheme="minorHAnsi"/>
          <w:sz w:val="22"/>
          <w:szCs w:val="22"/>
        </w:rPr>
      </w:pPr>
    </w:p>
    <w:p w:rsidR="007C4B27" w:rsidRPr="00D45EFA" w:rsidRDefault="007C4B27" w:rsidP="007C4B27">
      <w:pPr>
        <w:rPr>
          <w:rFonts w:asciiTheme="minorHAnsi" w:eastAsia="Calibri" w:hAnsiTheme="minorHAnsi" w:cstheme="minorHAnsi"/>
          <w:sz w:val="22"/>
          <w:szCs w:val="22"/>
        </w:rPr>
      </w:pPr>
      <w:r w:rsidRPr="00D45EFA">
        <w:rPr>
          <w:rFonts w:asciiTheme="minorHAnsi" w:eastAsia="Calibri" w:hAnsiTheme="minorHAnsi" w:cstheme="minorHAnsi"/>
          <w:sz w:val="22"/>
          <w:szCs w:val="22"/>
        </w:rPr>
        <w:t>Sulla distribuzione delle intenzioni di acquisto tra italiani e stranieri, nel complesso la domanda di abitazioni per vacanza proviene da italiani nell’8</w:t>
      </w:r>
      <w:r w:rsidR="00D45EFA">
        <w:rPr>
          <w:rFonts w:asciiTheme="minorHAnsi" w:eastAsia="Calibri" w:hAnsiTheme="minorHAnsi" w:cstheme="minorHAnsi"/>
          <w:sz w:val="22"/>
          <w:szCs w:val="22"/>
        </w:rPr>
        <w:t>5</w:t>
      </w:r>
      <w:r w:rsidRPr="00D45EFA">
        <w:rPr>
          <w:rFonts w:asciiTheme="minorHAnsi" w:eastAsia="Calibri" w:hAnsiTheme="minorHAnsi" w:cstheme="minorHAnsi"/>
          <w:sz w:val="22"/>
          <w:szCs w:val="22"/>
        </w:rPr>
        <w:t>% dei casi, mentre per il 1</w:t>
      </w:r>
      <w:r w:rsidR="00D45EFA">
        <w:rPr>
          <w:rFonts w:asciiTheme="minorHAnsi" w:eastAsia="Calibri" w:hAnsiTheme="minorHAnsi" w:cstheme="minorHAnsi"/>
          <w:sz w:val="22"/>
          <w:szCs w:val="22"/>
        </w:rPr>
        <w:t>5</w:t>
      </w:r>
      <w:r w:rsidRPr="00D45EFA">
        <w:rPr>
          <w:rFonts w:asciiTheme="minorHAnsi" w:eastAsia="Calibri" w:hAnsiTheme="minorHAnsi" w:cstheme="minorHAnsi"/>
          <w:sz w:val="22"/>
          <w:szCs w:val="22"/>
        </w:rPr>
        <w:t xml:space="preserve">% risulta alimentata da soggetti stranieri, in </w:t>
      </w:r>
      <w:r w:rsidR="00D45EFA">
        <w:rPr>
          <w:rFonts w:asciiTheme="minorHAnsi" w:eastAsia="Calibri" w:hAnsiTheme="minorHAnsi" w:cstheme="minorHAnsi"/>
          <w:sz w:val="22"/>
          <w:szCs w:val="22"/>
        </w:rPr>
        <w:t>lieve calo rispetto all</w:t>
      </w:r>
      <w:r w:rsidRPr="00D45EFA">
        <w:rPr>
          <w:rFonts w:asciiTheme="minorHAnsi" w:eastAsia="Calibri" w:hAnsiTheme="minorHAnsi" w:cstheme="minorHAnsi"/>
          <w:sz w:val="22"/>
          <w:szCs w:val="22"/>
        </w:rPr>
        <w:t>a rilevazione</w:t>
      </w:r>
      <w:r w:rsidR="00853E99" w:rsidRPr="00D45EFA">
        <w:rPr>
          <w:rFonts w:asciiTheme="minorHAnsi" w:eastAsia="Calibri" w:hAnsiTheme="minorHAnsi" w:cstheme="minorHAnsi"/>
          <w:sz w:val="22"/>
          <w:szCs w:val="22"/>
        </w:rPr>
        <w:t xml:space="preserve"> dello scorso anno</w:t>
      </w:r>
      <w:r w:rsidRPr="00D45EFA">
        <w:rPr>
          <w:rFonts w:asciiTheme="minorHAnsi" w:eastAsia="Calibri" w:hAnsiTheme="minorHAnsi" w:cstheme="minorHAnsi"/>
          <w:sz w:val="22"/>
          <w:szCs w:val="22"/>
        </w:rPr>
        <w:t xml:space="preserve">. </w:t>
      </w:r>
    </w:p>
    <w:p w:rsidR="007C4B27" w:rsidRDefault="007C4B27" w:rsidP="007C4B27">
      <w:pPr>
        <w:rPr>
          <w:rFonts w:asciiTheme="minorHAnsi" w:eastAsia="Calibri" w:hAnsiTheme="minorHAnsi" w:cstheme="minorHAnsi"/>
          <w:sz w:val="22"/>
          <w:szCs w:val="22"/>
        </w:rPr>
      </w:pPr>
      <w:r w:rsidRPr="00D45EFA">
        <w:rPr>
          <w:rFonts w:asciiTheme="minorHAnsi" w:eastAsia="Calibri" w:hAnsiTheme="minorHAnsi" w:cstheme="minorHAnsi"/>
          <w:sz w:val="22"/>
          <w:szCs w:val="22"/>
        </w:rPr>
        <w:t>Per quanta riguarda la locazione, la domanda della componente straniera risulta più elevata</w:t>
      </w:r>
      <w:r w:rsidR="00D45EFA">
        <w:rPr>
          <w:rFonts w:asciiTheme="minorHAnsi" w:eastAsia="Calibri" w:hAnsiTheme="minorHAnsi" w:cstheme="minorHAnsi"/>
          <w:sz w:val="22"/>
          <w:szCs w:val="22"/>
        </w:rPr>
        <w:t xml:space="preserve"> e </w:t>
      </w:r>
      <w:r w:rsidRPr="00D45EFA">
        <w:rPr>
          <w:rFonts w:asciiTheme="minorHAnsi" w:eastAsia="Calibri" w:hAnsiTheme="minorHAnsi" w:cstheme="minorHAnsi"/>
          <w:sz w:val="22"/>
          <w:szCs w:val="22"/>
        </w:rPr>
        <w:t xml:space="preserve">raggiunge </w:t>
      </w:r>
      <w:r w:rsidR="00D45EFA">
        <w:rPr>
          <w:rFonts w:asciiTheme="minorHAnsi" w:eastAsia="Calibri" w:hAnsiTheme="minorHAnsi" w:cstheme="minorHAnsi"/>
          <w:sz w:val="22"/>
          <w:szCs w:val="22"/>
        </w:rPr>
        <w:t>il</w:t>
      </w:r>
      <w:r w:rsidRPr="00D45EFA">
        <w:rPr>
          <w:rFonts w:asciiTheme="minorHAnsi" w:eastAsia="Calibri" w:hAnsiTheme="minorHAnsi" w:cstheme="minorHAnsi"/>
          <w:sz w:val="22"/>
          <w:szCs w:val="22"/>
        </w:rPr>
        <w:t xml:space="preserve"> </w:t>
      </w:r>
      <w:r w:rsidR="00D45EFA">
        <w:rPr>
          <w:rFonts w:asciiTheme="minorHAnsi" w:eastAsia="Calibri" w:hAnsiTheme="minorHAnsi" w:cstheme="minorHAnsi"/>
          <w:sz w:val="22"/>
          <w:szCs w:val="22"/>
        </w:rPr>
        <w:t>29</w:t>
      </w:r>
      <w:r w:rsidRPr="00D45EFA">
        <w:rPr>
          <w:rFonts w:asciiTheme="minorHAnsi" w:eastAsia="Calibri" w:hAnsiTheme="minorHAnsi" w:cstheme="minorHAnsi"/>
          <w:sz w:val="22"/>
          <w:szCs w:val="22"/>
        </w:rPr>
        <w:t xml:space="preserve">%, mentre la componente italiana </w:t>
      </w:r>
      <w:r w:rsidR="00D45EFA">
        <w:rPr>
          <w:rFonts w:asciiTheme="minorHAnsi" w:eastAsia="Calibri" w:hAnsiTheme="minorHAnsi" w:cstheme="minorHAnsi"/>
          <w:sz w:val="22"/>
          <w:szCs w:val="22"/>
        </w:rPr>
        <w:t>è pari al</w:t>
      </w:r>
      <w:r w:rsidRPr="00D45EFA">
        <w:rPr>
          <w:rFonts w:asciiTheme="minorHAnsi" w:eastAsia="Calibri" w:hAnsiTheme="minorHAnsi" w:cstheme="minorHAnsi"/>
          <w:sz w:val="22"/>
          <w:szCs w:val="22"/>
        </w:rPr>
        <w:t xml:space="preserve"> 71%</w:t>
      </w:r>
      <w:r w:rsidR="00D45EFA">
        <w:rPr>
          <w:rFonts w:asciiTheme="minorHAnsi" w:eastAsia="Calibri" w:hAnsiTheme="minorHAnsi" w:cstheme="minorHAnsi"/>
          <w:sz w:val="22"/>
          <w:szCs w:val="22"/>
        </w:rPr>
        <w:t xml:space="preserve"> (identica distribuzione registrata un anno fa)</w:t>
      </w:r>
      <w:r w:rsidRPr="00D45EFA">
        <w:rPr>
          <w:rFonts w:asciiTheme="minorHAnsi" w:eastAsia="Calibri" w:hAnsiTheme="minorHAnsi" w:cstheme="minorHAnsi"/>
          <w:sz w:val="22"/>
          <w:szCs w:val="22"/>
        </w:rPr>
        <w:t>.</w:t>
      </w:r>
    </w:p>
    <w:p w:rsidR="009E53B6" w:rsidRPr="00D45EFA" w:rsidRDefault="009E53B6" w:rsidP="007C4B27">
      <w:pPr>
        <w:rPr>
          <w:rFonts w:asciiTheme="minorHAnsi" w:eastAsia="Calibri" w:hAnsiTheme="minorHAnsi" w:cstheme="minorHAnsi"/>
          <w:sz w:val="22"/>
          <w:szCs w:val="22"/>
        </w:rPr>
      </w:pPr>
    </w:p>
    <w:p w:rsidR="00853E99" w:rsidRDefault="007C4B27" w:rsidP="007C4B27">
      <w:pPr>
        <w:rPr>
          <w:rFonts w:asciiTheme="minorHAnsi" w:eastAsia="Calibri" w:hAnsiTheme="minorHAnsi" w:cstheme="minorHAnsi"/>
          <w:sz w:val="22"/>
          <w:szCs w:val="22"/>
        </w:rPr>
      </w:pPr>
      <w:r w:rsidRPr="00061E35">
        <w:rPr>
          <w:rFonts w:asciiTheme="minorHAnsi" w:eastAsia="Calibri" w:hAnsiTheme="minorHAnsi" w:cstheme="minorHAnsi"/>
          <w:sz w:val="22"/>
          <w:szCs w:val="22"/>
        </w:rPr>
        <w:t>Per ultimo è stato chiesto agli operatori di descrivere il profilo delle famiglie che prendono in locazione una casa per vacanza per almeno un mese e le dotazioni richieste. Si tratta, nella maggioranza dei casi, di famiglie numerose con 4 e più componenti (</w:t>
      </w:r>
      <w:r w:rsidR="00061E35">
        <w:rPr>
          <w:rFonts w:asciiTheme="minorHAnsi" w:eastAsia="Calibri" w:hAnsiTheme="minorHAnsi" w:cstheme="minorHAnsi"/>
          <w:sz w:val="22"/>
          <w:szCs w:val="22"/>
        </w:rPr>
        <w:t xml:space="preserve">oltre il </w:t>
      </w:r>
      <w:r w:rsidRPr="00061E35">
        <w:rPr>
          <w:rFonts w:asciiTheme="minorHAnsi" w:eastAsia="Calibri" w:hAnsiTheme="minorHAnsi" w:cstheme="minorHAnsi"/>
          <w:sz w:val="22"/>
          <w:szCs w:val="22"/>
        </w:rPr>
        <w:t>70% delle risposte) e, in misura minore, con 3 componenti (</w:t>
      </w:r>
      <w:r w:rsidR="00061E35">
        <w:rPr>
          <w:rFonts w:asciiTheme="minorHAnsi" w:eastAsia="Calibri" w:hAnsiTheme="minorHAnsi" w:cstheme="minorHAnsi"/>
          <w:sz w:val="22"/>
          <w:szCs w:val="22"/>
        </w:rPr>
        <w:t>23</w:t>
      </w:r>
      <w:r w:rsidRPr="00061E35">
        <w:rPr>
          <w:rFonts w:asciiTheme="minorHAnsi" w:eastAsia="Calibri" w:hAnsiTheme="minorHAnsi" w:cstheme="minorHAnsi"/>
          <w:sz w:val="22"/>
          <w:szCs w:val="22"/>
        </w:rPr>
        <w:t>%). Solo in piccola parte la domanda di locazione proviene da f</w:t>
      </w:r>
      <w:r w:rsidR="00061E35">
        <w:rPr>
          <w:rFonts w:asciiTheme="minorHAnsi" w:eastAsia="Calibri" w:hAnsiTheme="minorHAnsi" w:cstheme="minorHAnsi"/>
          <w:sz w:val="22"/>
          <w:szCs w:val="22"/>
        </w:rPr>
        <w:t>amiglie con 2 componenti (5</w:t>
      </w:r>
      <w:r w:rsidR="00853E99" w:rsidRPr="00061E35">
        <w:rPr>
          <w:rFonts w:asciiTheme="minorHAnsi" w:eastAsia="Calibri" w:hAnsiTheme="minorHAnsi" w:cstheme="minorHAnsi"/>
          <w:sz w:val="22"/>
          <w:szCs w:val="22"/>
        </w:rPr>
        <w:t>%).</w:t>
      </w:r>
    </w:p>
    <w:p w:rsidR="009E53B6" w:rsidRPr="00061E35" w:rsidRDefault="009E53B6" w:rsidP="007C4B27">
      <w:pPr>
        <w:rPr>
          <w:rFonts w:asciiTheme="minorHAnsi" w:eastAsia="Calibri" w:hAnsiTheme="minorHAnsi" w:cstheme="minorHAnsi"/>
          <w:sz w:val="22"/>
          <w:szCs w:val="22"/>
        </w:rPr>
      </w:pPr>
    </w:p>
    <w:p w:rsidR="007C4B27" w:rsidRDefault="007C4B27" w:rsidP="007C4B27">
      <w:pPr>
        <w:rPr>
          <w:rFonts w:asciiTheme="minorHAnsi" w:eastAsia="Calibri" w:hAnsiTheme="minorHAnsi" w:cstheme="minorHAnsi"/>
          <w:sz w:val="22"/>
          <w:szCs w:val="22"/>
        </w:rPr>
      </w:pPr>
      <w:r w:rsidRPr="00061E35">
        <w:rPr>
          <w:rFonts w:asciiTheme="minorHAnsi" w:eastAsia="Calibri" w:hAnsiTheme="minorHAnsi" w:cstheme="minorHAnsi"/>
          <w:sz w:val="22"/>
          <w:szCs w:val="22"/>
        </w:rPr>
        <w:t>Per quanto riguarda la provenienza, il 3</w:t>
      </w:r>
      <w:r w:rsidR="00061E35">
        <w:rPr>
          <w:rFonts w:asciiTheme="minorHAnsi" w:eastAsia="Calibri" w:hAnsiTheme="minorHAnsi" w:cstheme="minorHAnsi"/>
          <w:sz w:val="22"/>
          <w:szCs w:val="22"/>
        </w:rPr>
        <w:t>0</w:t>
      </w:r>
      <w:r w:rsidRPr="00061E35">
        <w:rPr>
          <w:rFonts w:asciiTheme="minorHAnsi" w:eastAsia="Calibri" w:hAnsiTheme="minorHAnsi" w:cstheme="minorHAnsi"/>
          <w:sz w:val="22"/>
          <w:szCs w:val="22"/>
        </w:rPr>
        <w:t>% della domanda di locazione proviene dalla stessa regione, il 5</w:t>
      </w:r>
      <w:r w:rsidR="00061E35">
        <w:rPr>
          <w:rFonts w:asciiTheme="minorHAnsi" w:eastAsia="Calibri" w:hAnsiTheme="minorHAnsi" w:cstheme="minorHAnsi"/>
          <w:sz w:val="22"/>
          <w:szCs w:val="22"/>
        </w:rPr>
        <w:t>4% da altre regioni e il 16</w:t>
      </w:r>
      <w:r w:rsidRPr="00061E35">
        <w:rPr>
          <w:rFonts w:asciiTheme="minorHAnsi" w:eastAsia="Calibri" w:hAnsiTheme="minorHAnsi" w:cstheme="minorHAnsi"/>
          <w:sz w:val="22"/>
          <w:szCs w:val="22"/>
        </w:rPr>
        <w:t>% dall’estero.</w:t>
      </w:r>
    </w:p>
    <w:p w:rsidR="009E53B6" w:rsidRPr="00061E35" w:rsidRDefault="009E53B6" w:rsidP="007C4B27">
      <w:pPr>
        <w:rPr>
          <w:rFonts w:asciiTheme="minorHAnsi" w:eastAsia="Calibri" w:hAnsiTheme="minorHAnsi" w:cstheme="minorHAnsi"/>
          <w:sz w:val="22"/>
          <w:szCs w:val="22"/>
        </w:rPr>
      </w:pPr>
    </w:p>
    <w:p w:rsidR="007C4B27" w:rsidRPr="00061E35" w:rsidRDefault="007C4B27" w:rsidP="007C4B27">
      <w:pPr>
        <w:rPr>
          <w:rFonts w:asciiTheme="minorHAnsi" w:eastAsia="Calibri" w:hAnsiTheme="minorHAnsi" w:cstheme="minorHAnsi"/>
          <w:sz w:val="22"/>
          <w:szCs w:val="22"/>
        </w:rPr>
      </w:pPr>
      <w:r w:rsidRPr="00061E35">
        <w:rPr>
          <w:rFonts w:asciiTheme="minorHAnsi" w:eastAsia="Calibri" w:hAnsiTheme="minorHAnsi" w:cstheme="minorHAnsi"/>
          <w:sz w:val="22"/>
          <w:szCs w:val="22"/>
        </w:rPr>
        <w:t xml:space="preserve">Per quanto riguarda le dotazioni, sono richieste in prevalenza abitazioni </w:t>
      </w:r>
      <w:r w:rsidR="000A0406" w:rsidRPr="00061E35">
        <w:rPr>
          <w:rFonts w:asciiTheme="minorHAnsi" w:eastAsia="Calibri" w:hAnsiTheme="minorHAnsi" w:cstheme="minorHAnsi"/>
          <w:sz w:val="22"/>
          <w:szCs w:val="22"/>
        </w:rPr>
        <w:t>con una cucina ben attrezzata</w:t>
      </w:r>
      <w:r w:rsidR="000A0406">
        <w:rPr>
          <w:rFonts w:asciiTheme="minorHAnsi" w:eastAsia="Calibri" w:hAnsiTheme="minorHAnsi" w:cstheme="minorHAnsi"/>
          <w:sz w:val="22"/>
          <w:szCs w:val="22"/>
        </w:rPr>
        <w:t>,</w:t>
      </w:r>
      <w:r w:rsidR="000A0406" w:rsidRPr="00061E35">
        <w:rPr>
          <w:rFonts w:asciiTheme="minorHAnsi" w:eastAsia="Calibri" w:hAnsiTheme="minorHAnsi" w:cstheme="minorHAnsi"/>
          <w:sz w:val="22"/>
          <w:szCs w:val="22"/>
        </w:rPr>
        <w:t xml:space="preserve"> </w:t>
      </w:r>
      <w:r w:rsidRPr="00061E35">
        <w:rPr>
          <w:rFonts w:asciiTheme="minorHAnsi" w:eastAsia="Calibri" w:hAnsiTheme="minorHAnsi" w:cstheme="minorHAnsi"/>
          <w:sz w:val="22"/>
          <w:szCs w:val="22"/>
        </w:rPr>
        <w:t>con balcone o terrazzo abitabile, in localizzazioni adiacenti a</w:t>
      </w:r>
      <w:r w:rsidR="00853E99" w:rsidRPr="00061E35">
        <w:rPr>
          <w:rFonts w:asciiTheme="minorHAnsi" w:eastAsia="Calibri" w:hAnsiTheme="minorHAnsi" w:cstheme="minorHAnsi"/>
          <w:sz w:val="22"/>
          <w:szCs w:val="22"/>
        </w:rPr>
        <w:t>ll’a</w:t>
      </w:r>
      <w:r w:rsidRPr="00061E35">
        <w:rPr>
          <w:rFonts w:asciiTheme="minorHAnsi" w:eastAsia="Calibri" w:hAnsiTheme="minorHAnsi" w:cstheme="minorHAnsi"/>
          <w:sz w:val="22"/>
          <w:szCs w:val="22"/>
        </w:rPr>
        <w:t>ttrattor</w:t>
      </w:r>
      <w:r w:rsidR="00853E99" w:rsidRPr="00061E35">
        <w:rPr>
          <w:rFonts w:asciiTheme="minorHAnsi" w:eastAsia="Calibri" w:hAnsiTheme="minorHAnsi" w:cstheme="minorHAnsi"/>
          <w:sz w:val="22"/>
          <w:szCs w:val="22"/>
        </w:rPr>
        <w:t>e</w:t>
      </w:r>
      <w:r w:rsidRPr="00061E35">
        <w:rPr>
          <w:rFonts w:asciiTheme="minorHAnsi" w:eastAsia="Calibri" w:hAnsiTheme="minorHAnsi" w:cstheme="minorHAnsi"/>
          <w:sz w:val="22"/>
          <w:szCs w:val="22"/>
        </w:rPr>
        <w:t xml:space="preserve"> turistic</w:t>
      </w:r>
      <w:r w:rsidR="00853E99" w:rsidRPr="00061E35">
        <w:rPr>
          <w:rFonts w:asciiTheme="minorHAnsi" w:eastAsia="Calibri" w:hAnsiTheme="minorHAnsi" w:cstheme="minorHAnsi"/>
          <w:sz w:val="22"/>
          <w:szCs w:val="22"/>
        </w:rPr>
        <w:t>o</w:t>
      </w:r>
      <w:r w:rsidRPr="00061E35">
        <w:rPr>
          <w:rFonts w:asciiTheme="minorHAnsi" w:eastAsia="Calibri" w:hAnsiTheme="minorHAnsi" w:cstheme="minorHAnsi"/>
          <w:sz w:val="22"/>
          <w:szCs w:val="22"/>
        </w:rPr>
        <w:t xml:space="preserve"> e possibilmente con posto auto.</w:t>
      </w:r>
    </w:p>
    <w:p w:rsidR="00853E99" w:rsidRPr="00061E35" w:rsidRDefault="00853E99" w:rsidP="007C4B27">
      <w:pPr>
        <w:rPr>
          <w:rFonts w:asciiTheme="minorHAnsi" w:eastAsia="Calibri" w:hAnsiTheme="minorHAnsi" w:cstheme="minorHAnsi"/>
          <w:sz w:val="22"/>
          <w:szCs w:val="22"/>
        </w:rPr>
      </w:pPr>
    </w:p>
    <w:p w:rsidR="007C4B27" w:rsidRPr="000A0406" w:rsidRDefault="007C4B27" w:rsidP="007C4B27">
      <w:pPr>
        <w:rPr>
          <w:rFonts w:asciiTheme="minorHAnsi" w:eastAsia="Calibri" w:hAnsiTheme="minorHAnsi" w:cstheme="minorHAnsi"/>
          <w:sz w:val="22"/>
          <w:szCs w:val="22"/>
        </w:rPr>
      </w:pPr>
      <w:r w:rsidRPr="000A0406">
        <w:rPr>
          <w:rFonts w:asciiTheme="minorHAnsi" w:eastAsia="Calibri" w:hAnsiTheme="minorHAnsi" w:cstheme="minorHAnsi"/>
          <w:sz w:val="22"/>
          <w:szCs w:val="22"/>
        </w:rPr>
        <w:t>In conclusione, nel corso del 201</w:t>
      </w:r>
      <w:r w:rsidR="000A0406">
        <w:rPr>
          <w:rFonts w:asciiTheme="minorHAnsi" w:eastAsia="Calibri" w:hAnsiTheme="minorHAnsi" w:cstheme="minorHAnsi"/>
          <w:sz w:val="22"/>
          <w:szCs w:val="22"/>
        </w:rPr>
        <w:t>8</w:t>
      </w:r>
      <w:r w:rsidRPr="000A0406">
        <w:rPr>
          <w:rFonts w:asciiTheme="minorHAnsi" w:eastAsia="Calibri" w:hAnsiTheme="minorHAnsi" w:cstheme="minorHAnsi"/>
          <w:sz w:val="22"/>
          <w:szCs w:val="22"/>
        </w:rPr>
        <w:t>-201</w:t>
      </w:r>
      <w:r w:rsidR="000A0406">
        <w:rPr>
          <w:rFonts w:asciiTheme="minorHAnsi" w:eastAsia="Calibri" w:hAnsiTheme="minorHAnsi" w:cstheme="minorHAnsi"/>
          <w:sz w:val="22"/>
          <w:szCs w:val="22"/>
        </w:rPr>
        <w:t>9</w:t>
      </w:r>
      <w:r w:rsidRPr="000A0406">
        <w:rPr>
          <w:rFonts w:asciiTheme="minorHAnsi" w:eastAsia="Calibri" w:hAnsiTheme="minorHAnsi" w:cstheme="minorHAnsi"/>
          <w:sz w:val="22"/>
          <w:szCs w:val="22"/>
        </w:rPr>
        <w:t xml:space="preserve"> si è ulteriormente consolidato il recupero del mercato immobiliare anche nelle località turistiche, seppure in un contesto congiunturale di fragilità e incertezza che rende difficile il contagio della ripresa ai valori di mercato ed espone i contesti territoriali ancora poco conosciuti da un punto di vista turistico al rischio di perdurante debolezza e ricadute.</w:t>
      </w:r>
    </w:p>
    <w:p w:rsidR="002E4D47" w:rsidRPr="007C4B27" w:rsidRDefault="002E4D47" w:rsidP="00486B1F">
      <w:pPr>
        <w:rPr>
          <w:rFonts w:asciiTheme="minorHAnsi" w:eastAsia="Calibri" w:hAnsiTheme="minorHAnsi" w:cstheme="minorHAnsi"/>
          <w:sz w:val="22"/>
          <w:szCs w:val="22"/>
        </w:rPr>
      </w:pPr>
    </w:p>
    <w:p w:rsidR="00504879" w:rsidRPr="000A0406" w:rsidRDefault="00504879" w:rsidP="00486B1F">
      <w:pPr>
        <w:rPr>
          <w:rFonts w:asciiTheme="minorHAnsi" w:eastAsia="Calibri" w:hAnsiTheme="minorHAnsi" w:cstheme="minorHAnsi"/>
          <w:sz w:val="22"/>
          <w:szCs w:val="22"/>
        </w:rPr>
      </w:pPr>
    </w:p>
    <w:p w:rsidR="00695100" w:rsidRDefault="00695100">
      <w:pPr>
        <w:spacing w:after="200" w:line="276" w:lineRule="auto"/>
        <w:jc w:val="left"/>
        <w:rPr>
          <w:rFonts w:asciiTheme="minorHAnsi" w:eastAsia="Calibri" w:hAnsiTheme="minorHAnsi" w:cstheme="minorHAnsi"/>
          <w:szCs w:val="22"/>
        </w:rPr>
      </w:pPr>
      <w:r>
        <w:rPr>
          <w:rFonts w:asciiTheme="minorHAnsi" w:eastAsia="Calibri" w:hAnsiTheme="minorHAnsi" w:cstheme="minorHAnsi"/>
          <w:szCs w:val="22"/>
        </w:rPr>
        <w:br w:type="page"/>
      </w:r>
    </w:p>
    <w:p w:rsidR="00504879" w:rsidRPr="0041716C" w:rsidRDefault="00504879" w:rsidP="00486B1F">
      <w:pPr>
        <w:rPr>
          <w:rFonts w:asciiTheme="minorHAnsi" w:eastAsia="Calibri" w:hAnsiTheme="minorHAnsi" w:cstheme="minorHAnsi"/>
          <w:szCs w:val="22"/>
        </w:rPr>
      </w:pPr>
    </w:p>
    <w:p w:rsidR="002D78BD" w:rsidRPr="00AD1FA3" w:rsidRDefault="00575691" w:rsidP="006C6E61">
      <w:pPr>
        <w:shd w:val="clear" w:color="auto" w:fill="D9D9D9" w:themeFill="background1" w:themeFillShade="D9"/>
        <w:jc w:val="center"/>
        <w:rPr>
          <w:rFonts w:asciiTheme="minorHAnsi" w:eastAsia="Calibri" w:hAnsiTheme="minorHAnsi" w:cstheme="minorHAnsi"/>
          <w:sz w:val="32"/>
          <w:szCs w:val="32"/>
        </w:rPr>
      </w:pPr>
      <w:r w:rsidRPr="00AD1FA3">
        <w:rPr>
          <w:rFonts w:asciiTheme="minorHAnsi" w:eastAsia="Calibri" w:hAnsiTheme="minorHAnsi" w:cstheme="minorHAnsi"/>
          <w:sz w:val="32"/>
          <w:szCs w:val="32"/>
        </w:rPr>
        <w:t>APPENDICE STATISTICA</w:t>
      </w:r>
    </w:p>
    <w:p w:rsidR="00575691" w:rsidRPr="00AD1FA3" w:rsidRDefault="00575691" w:rsidP="00575691">
      <w:pPr>
        <w:jc w:val="left"/>
        <w:rPr>
          <w:rFonts w:asciiTheme="minorHAnsi" w:eastAsia="Calibri" w:hAnsiTheme="minorHAnsi" w:cstheme="minorHAnsi"/>
          <w:sz w:val="22"/>
          <w:szCs w:val="22"/>
        </w:rPr>
      </w:pPr>
    </w:p>
    <w:p w:rsidR="00575691" w:rsidRPr="00AD1FA3" w:rsidRDefault="00575691" w:rsidP="007469F5">
      <w:pPr>
        <w:jc w:val="center"/>
        <w:rPr>
          <w:rFonts w:ascii="Calibri" w:hAnsi="Calibri" w:cs="Arial"/>
          <w:b/>
          <w:bCs/>
          <w:sz w:val="22"/>
          <w:szCs w:val="22"/>
        </w:rPr>
      </w:pPr>
      <w:r w:rsidRPr="00AD1FA3">
        <w:rPr>
          <w:rFonts w:ascii="Calibri" w:hAnsi="Calibri" w:cs="Arial"/>
          <w:b/>
          <w:bCs/>
          <w:sz w:val="22"/>
          <w:szCs w:val="22"/>
        </w:rPr>
        <w:t xml:space="preserve">Tavola </w:t>
      </w:r>
      <w:r w:rsidR="00915F00" w:rsidRPr="00AD1FA3">
        <w:rPr>
          <w:rFonts w:ascii="Calibri" w:hAnsi="Calibri" w:cs="Arial"/>
          <w:b/>
          <w:bCs/>
          <w:sz w:val="22"/>
          <w:szCs w:val="22"/>
        </w:rPr>
        <w:t>A</w:t>
      </w:r>
    </w:p>
    <w:p w:rsidR="00575691" w:rsidRPr="00AD1FA3" w:rsidRDefault="00575691" w:rsidP="00575691">
      <w:pPr>
        <w:jc w:val="center"/>
        <w:rPr>
          <w:rFonts w:ascii="Calibri" w:hAnsi="Calibri" w:cs="Arial"/>
          <w:b/>
          <w:bCs/>
          <w:sz w:val="22"/>
          <w:szCs w:val="22"/>
        </w:rPr>
      </w:pPr>
    </w:p>
    <w:p w:rsidR="00575691" w:rsidRPr="0006589D" w:rsidRDefault="00BB1615" w:rsidP="00760BF0">
      <w:pPr>
        <w:jc w:val="left"/>
        <w:rPr>
          <w:rFonts w:ascii="Calibri" w:hAnsi="Calibri" w:cs="Arial"/>
          <w:b/>
          <w:bCs/>
          <w:sz w:val="22"/>
          <w:szCs w:val="22"/>
        </w:rPr>
      </w:pPr>
      <w:r w:rsidRPr="0006589D">
        <w:rPr>
          <w:rFonts w:ascii="Calibri" w:hAnsi="Calibri" w:cs="Arial"/>
          <w:b/>
          <w:bCs/>
          <w:sz w:val="22"/>
          <w:szCs w:val="22"/>
        </w:rPr>
        <w:t>Località che, rispetto al 201</w:t>
      </w:r>
      <w:r w:rsidR="0006589D" w:rsidRPr="0006589D">
        <w:rPr>
          <w:rFonts w:ascii="Calibri" w:hAnsi="Calibri" w:cs="Arial"/>
          <w:b/>
          <w:bCs/>
          <w:sz w:val="22"/>
          <w:szCs w:val="22"/>
        </w:rPr>
        <w:t>8</w:t>
      </w:r>
      <w:r w:rsidRPr="0006589D">
        <w:rPr>
          <w:rFonts w:ascii="Calibri" w:hAnsi="Calibri" w:cs="Arial"/>
          <w:b/>
          <w:bCs/>
          <w:sz w:val="22"/>
          <w:szCs w:val="22"/>
        </w:rPr>
        <w:t xml:space="preserve">, hanno registrato </w:t>
      </w:r>
      <w:r w:rsidR="00760BF0" w:rsidRPr="0006589D">
        <w:rPr>
          <w:rFonts w:ascii="Calibri" w:hAnsi="Calibri" w:cs="Arial"/>
          <w:b/>
          <w:bCs/>
          <w:sz w:val="22"/>
          <w:szCs w:val="22"/>
        </w:rPr>
        <w:t xml:space="preserve">aggiustamenti positivi </w:t>
      </w:r>
      <w:r w:rsidRPr="0006589D">
        <w:rPr>
          <w:rFonts w:ascii="Calibri" w:hAnsi="Calibri" w:cs="Arial"/>
          <w:b/>
          <w:bCs/>
          <w:sz w:val="22"/>
          <w:szCs w:val="22"/>
        </w:rPr>
        <w:t>dei prezzi medi di compravendita</w:t>
      </w:r>
    </w:p>
    <w:p w:rsidR="00760BF0" w:rsidRPr="0041716C" w:rsidRDefault="00760BF0" w:rsidP="006C6E61">
      <w:pPr>
        <w:pStyle w:val="Default"/>
        <w:rPr>
          <w:b/>
          <w:bCs/>
          <w:color w:val="auto"/>
          <w:sz w:val="20"/>
          <w:szCs w:val="20"/>
        </w:rPr>
      </w:pPr>
    </w:p>
    <w:p w:rsidR="0006589D" w:rsidRPr="0041716C" w:rsidRDefault="0006589D" w:rsidP="0006589D">
      <w:pPr>
        <w:pStyle w:val="Default"/>
        <w:rPr>
          <w:color w:val="auto"/>
          <w:sz w:val="20"/>
          <w:szCs w:val="20"/>
        </w:rPr>
      </w:pPr>
      <w:r w:rsidRPr="0041716C">
        <w:rPr>
          <w:b/>
          <w:bCs/>
          <w:color w:val="auto"/>
          <w:sz w:val="20"/>
          <w:szCs w:val="20"/>
        </w:rPr>
        <w:t xml:space="preserve">Località di </w:t>
      </w:r>
      <w:r>
        <w:rPr>
          <w:b/>
          <w:bCs/>
          <w:color w:val="auto"/>
          <w:sz w:val="20"/>
          <w:szCs w:val="20"/>
        </w:rPr>
        <w:t>lago</w:t>
      </w:r>
    </w:p>
    <w:p w:rsidR="0006589D" w:rsidRPr="0041716C" w:rsidRDefault="0006589D" w:rsidP="0006589D">
      <w:pPr>
        <w:pStyle w:val="Default"/>
        <w:rPr>
          <w:color w:val="auto"/>
          <w:sz w:val="20"/>
          <w:szCs w:val="20"/>
        </w:rPr>
      </w:pPr>
      <w:r w:rsidRPr="0006589D">
        <w:rPr>
          <w:color w:val="auto"/>
          <w:sz w:val="20"/>
          <w:szCs w:val="20"/>
        </w:rPr>
        <w:t xml:space="preserve">Cernobbio </w:t>
      </w:r>
      <w:r>
        <w:rPr>
          <w:color w:val="auto"/>
          <w:sz w:val="20"/>
          <w:szCs w:val="20"/>
        </w:rPr>
        <w:t>(CO</w:t>
      </w:r>
      <w:r w:rsidRPr="0041716C">
        <w:rPr>
          <w:color w:val="auto"/>
          <w:sz w:val="20"/>
          <w:szCs w:val="20"/>
        </w:rPr>
        <w:t>): +</w:t>
      </w:r>
      <w:r>
        <w:rPr>
          <w:color w:val="auto"/>
          <w:sz w:val="20"/>
          <w:szCs w:val="20"/>
        </w:rPr>
        <w:t>0</w:t>
      </w:r>
      <w:r w:rsidRPr="0041716C">
        <w:rPr>
          <w:color w:val="auto"/>
          <w:sz w:val="20"/>
          <w:szCs w:val="20"/>
        </w:rPr>
        <w:t>,</w:t>
      </w:r>
      <w:r>
        <w:rPr>
          <w:color w:val="auto"/>
          <w:sz w:val="20"/>
          <w:szCs w:val="20"/>
        </w:rPr>
        <w:t>9</w:t>
      </w:r>
      <w:proofErr w:type="gramStart"/>
      <w:r w:rsidRPr="0041716C">
        <w:rPr>
          <w:color w:val="auto"/>
          <w:sz w:val="20"/>
          <w:szCs w:val="20"/>
        </w:rPr>
        <w:t>%  –</w:t>
      </w:r>
      <w:proofErr w:type="gramEnd"/>
      <w:r w:rsidRPr="0041716C">
        <w:rPr>
          <w:color w:val="auto"/>
          <w:sz w:val="20"/>
          <w:szCs w:val="20"/>
        </w:rPr>
        <w:t xml:space="preserve">  </w:t>
      </w:r>
      <w:r w:rsidRPr="0006589D">
        <w:rPr>
          <w:color w:val="auto"/>
          <w:sz w:val="20"/>
          <w:szCs w:val="20"/>
        </w:rPr>
        <w:t xml:space="preserve">Riva del Garda </w:t>
      </w:r>
      <w:r>
        <w:rPr>
          <w:color w:val="auto"/>
          <w:sz w:val="20"/>
          <w:szCs w:val="20"/>
        </w:rPr>
        <w:t>(TN</w:t>
      </w:r>
      <w:r w:rsidRPr="0041716C">
        <w:rPr>
          <w:color w:val="auto"/>
          <w:sz w:val="20"/>
          <w:szCs w:val="20"/>
        </w:rPr>
        <w:t>): +</w:t>
      </w:r>
      <w:r>
        <w:rPr>
          <w:color w:val="auto"/>
          <w:sz w:val="20"/>
          <w:szCs w:val="20"/>
        </w:rPr>
        <w:t>0</w:t>
      </w:r>
      <w:r w:rsidRPr="0041716C">
        <w:rPr>
          <w:color w:val="auto"/>
          <w:sz w:val="20"/>
          <w:szCs w:val="20"/>
        </w:rPr>
        <w:t>,</w:t>
      </w:r>
      <w:r>
        <w:rPr>
          <w:color w:val="auto"/>
          <w:sz w:val="20"/>
          <w:szCs w:val="20"/>
        </w:rPr>
        <w:t>5</w:t>
      </w:r>
      <w:r w:rsidRPr="0041716C">
        <w:rPr>
          <w:color w:val="auto"/>
          <w:sz w:val="20"/>
          <w:szCs w:val="20"/>
        </w:rPr>
        <w:t>%.</w:t>
      </w:r>
    </w:p>
    <w:p w:rsidR="0006589D" w:rsidRDefault="0006589D" w:rsidP="0006589D">
      <w:pPr>
        <w:jc w:val="left"/>
        <w:rPr>
          <w:rFonts w:ascii="Calibri" w:hAnsi="Calibri" w:cs="Arial"/>
          <w:b/>
          <w:bCs/>
          <w:sz w:val="22"/>
          <w:szCs w:val="22"/>
        </w:rPr>
      </w:pPr>
    </w:p>
    <w:p w:rsidR="006C6E61" w:rsidRPr="0041716C" w:rsidRDefault="006C6E61" w:rsidP="006C6E61">
      <w:pPr>
        <w:pStyle w:val="Default"/>
        <w:rPr>
          <w:color w:val="auto"/>
          <w:sz w:val="20"/>
          <w:szCs w:val="20"/>
        </w:rPr>
      </w:pPr>
      <w:r w:rsidRPr="0041716C">
        <w:rPr>
          <w:b/>
          <w:bCs/>
          <w:color w:val="auto"/>
          <w:sz w:val="20"/>
          <w:szCs w:val="20"/>
        </w:rPr>
        <w:t>Località di mare</w:t>
      </w:r>
    </w:p>
    <w:p w:rsidR="0028773A" w:rsidRPr="0041716C" w:rsidRDefault="00922C6E" w:rsidP="00760BF0">
      <w:pPr>
        <w:pStyle w:val="Default"/>
        <w:rPr>
          <w:color w:val="auto"/>
          <w:sz w:val="20"/>
          <w:szCs w:val="20"/>
        </w:rPr>
      </w:pPr>
      <w:r w:rsidRPr="00922C6E">
        <w:rPr>
          <w:color w:val="auto"/>
          <w:sz w:val="20"/>
          <w:szCs w:val="20"/>
        </w:rPr>
        <w:t xml:space="preserve">Senigallia </w:t>
      </w:r>
      <w:r w:rsidR="006C6E61" w:rsidRPr="0041716C">
        <w:rPr>
          <w:color w:val="auto"/>
          <w:sz w:val="20"/>
          <w:szCs w:val="20"/>
        </w:rPr>
        <w:t>(A</w:t>
      </w:r>
      <w:r>
        <w:rPr>
          <w:color w:val="auto"/>
          <w:sz w:val="20"/>
          <w:szCs w:val="20"/>
        </w:rPr>
        <w:t>N</w:t>
      </w:r>
      <w:r w:rsidR="006C6E61" w:rsidRPr="0041716C">
        <w:rPr>
          <w:color w:val="auto"/>
          <w:sz w:val="20"/>
          <w:szCs w:val="20"/>
        </w:rPr>
        <w:t xml:space="preserve">): </w:t>
      </w:r>
      <w:r w:rsidR="00760BF0" w:rsidRPr="0041716C">
        <w:rPr>
          <w:color w:val="auto"/>
          <w:sz w:val="20"/>
          <w:szCs w:val="20"/>
        </w:rPr>
        <w:t>+</w:t>
      </w:r>
      <w:r w:rsidR="000828A6" w:rsidRPr="0041716C">
        <w:rPr>
          <w:color w:val="auto"/>
          <w:sz w:val="20"/>
          <w:szCs w:val="20"/>
        </w:rPr>
        <w:t>3,8</w:t>
      </w:r>
      <w:proofErr w:type="gramStart"/>
      <w:r w:rsidR="006C6E61" w:rsidRPr="0041716C">
        <w:rPr>
          <w:color w:val="auto"/>
          <w:sz w:val="20"/>
          <w:szCs w:val="20"/>
        </w:rPr>
        <w:t>%</w:t>
      </w:r>
      <w:r w:rsidR="00760BF0" w:rsidRPr="0041716C">
        <w:rPr>
          <w:color w:val="auto"/>
          <w:sz w:val="20"/>
          <w:szCs w:val="20"/>
        </w:rPr>
        <w:t xml:space="preserve"> </w:t>
      </w:r>
      <w:r w:rsidR="006C6E61" w:rsidRPr="0041716C">
        <w:rPr>
          <w:color w:val="auto"/>
          <w:sz w:val="20"/>
          <w:szCs w:val="20"/>
        </w:rPr>
        <w:t xml:space="preserve"> </w:t>
      </w:r>
      <w:r w:rsidR="00760BF0" w:rsidRPr="0041716C">
        <w:rPr>
          <w:color w:val="auto"/>
          <w:sz w:val="20"/>
          <w:szCs w:val="20"/>
        </w:rPr>
        <w:t>–</w:t>
      </w:r>
      <w:proofErr w:type="gramEnd"/>
      <w:r w:rsidR="00760BF0" w:rsidRPr="0041716C">
        <w:rPr>
          <w:color w:val="auto"/>
          <w:sz w:val="20"/>
          <w:szCs w:val="20"/>
        </w:rPr>
        <w:t xml:space="preserve"> </w:t>
      </w:r>
      <w:r w:rsidR="006C6E61" w:rsidRPr="0041716C">
        <w:rPr>
          <w:color w:val="auto"/>
          <w:sz w:val="20"/>
          <w:szCs w:val="20"/>
        </w:rPr>
        <w:t xml:space="preserve"> </w:t>
      </w:r>
      <w:r w:rsidRPr="00922C6E">
        <w:rPr>
          <w:color w:val="auto"/>
          <w:sz w:val="20"/>
          <w:szCs w:val="20"/>
        </w:rPr>
        <w:t>Muggia</w:t>
      </w:r>
      <w:r w:rsidR="000828A6" w:rsidRPr="0041716C">
        <w:rPr>
          <w:color w:val="auto"/>
          <w:sz w:val="20"/>
          <w:szCs w:val="20"/>
        </w:rPr>
        <w:t xml:space="preserve"> (</w:t>
      </w:r>
      <w:r>
        <w:rPr>
          <w:color w:val="auto"/>
          <w:sz w:val="20"/>
          <w:szCs w:val="20"/>
        </w:rPr>
        <w:t>TS</w:t>
      </w:r>
      <w:r w:rsidR="00760BF0" w:rsidRPr="0041716C">
        <w:rPr>
          <w:color w:val="auto"/>
          <w:sz w:val="20"/>
          <w:szCs w:val="20"/>
        </w:rPr>
        <w:t>): +</w:t>
      </w:r>
      <w:r>
        <w:rPr>
          <w:color w:val="auto"/>
          <w:sz w:val="20"/>
          <w:szCs w:val="20"/>
        </w:rPr>
        <w:t>3</w:t>
      </w:r>
      <w:r w:rsidR="000828A6" w:rsidRPr="0041716C">
        <w:rPr>
          <w:color w:val="auto"/>
          <w:sz w:val="20"/>
          <w:szCs w:val="20"/>
        </w:rPr>
        <w:t>,</w:t>
      </w:r>
      <w:r>
        <w:rPr>
          <w:color w:val="auto"/>
          <w:sz w:val="20"/>
          <w:szCs w:val="20"/>
        </w:rPr>
        <w:t>1</w:t>
      </w:r>
      <w:r w:rsidR="0028773A" w:rsidRPr="0041716C">
        <w:rPr>
          <w:color w:val="auto"/>
          <w:sz w:val="20"/>
          <w:szCs w:val="20"/>
        </w:rPr>
        <w:t>%</w:t>
      </w:r>
      <w:r w:rsidR="000828A6" w:rsidRPr="0041716C">
        <w:rPr>
          <w:color w:val="auto"/>
          <w:sz w:val="20"/>
          <w:szCs w:val="20"/>
        </w:rPr>
        <w:t xml:space="preserve">  –  </w:t>
      </w:r>
      <w:r w:rsidRPr="00922C6E">
        <w:rPr>
          <w:color w:val="auto"/>
          <w:sz w:val="20"/>
          <w:szCs w:val="20"/>
        </w:rPr>
        <w:t xml:space="preserve">Lignano Sabbiadoro </w:t>
      </w:r>
      <w:r w:rsidR="004B735C" w:rsidRPr="0041716C">
        <w:rPr>
          <w:color w:val="auto"/>
          <w:sz w:val="20"/>
          <w:szCs w:val="20"/>
        </w:rPr>
        <w:t>(</w:t>
      </w:r>
      <w:r>
        <w:rPr>
          <w:color w:val="auto"/>
          <w:sz w:val="20"/>
          <w:szCs w:val="20"/>
        </w:rPr>
        <w:t>UD</w:t>
      </w:r>
      <w:r w:rsidR="004B735C" w:rsidRPr="0041716C">
        <w:rPr>
          <w:color w:val="auto"/>
          <w:sz w:val="20"/>
          <w:szCs w:val="20"/>
        </w:rPr>
        <w:t xml:space="preserve">): </w:t>
      </w:r>
      <w:r w:rsidR="00760BF0" w:rsidRPr="0041716C">
        <w:rPr>
          <w:color w:val="auto"/>
          <w:sz w:val="20"/>
          <w:szCs w:val="20"/>
        </w:rPr>
        <w:t>+</w:t>
      </w:r>
      <w:r>
        <w:rPr>
          <w:color w:val="auto"/>
          <w:sz w:val="20"/>
          <w:szCs w:val="20"/>
        </w:rPr>
        <w:t>1</w:t>
      </w:r>
      <w:r w:rsidR="00760BF0" w:rsidRPr="0041716C">
        <w:rPr>
          <w:color w:val="auto"/>
          <w:sz w:val="20"/>
          <w:szCs w:val="20"/>
        </w:rPr>
        <w:t>,</w:t>
      </w:r>
      <w:r>
        <w:rPr>
          <w:color w:val="auto"/>
          <w:sz w:val="20"/>
          <w:szCs w:val="20"/>
        </w:rPr>
        <w:t>9</w:t>
      </w:r>
      <w:r w:rsidR="004B735C" w:rsidRPr="0041716C">
        <w:rPr>
          <w:color w:val="auto"/>
          <w:sz w:val="20"/>
          <w:szCs w:val="20"/>
        </w:rPr>
        <w:t>%</w:t>
      </w:r>
      <w:r w:rsidR="0028773A" w:rsidRPr="0041716C">
        <w:rPr>
          <w:color w:val="auto"/>
          <w:sz w:val="20"/>
          <w:szCs w:val="20"/>
        </w:rPr>
        <w:t>.</w:t>
      </w:r>
      <w:r w:rsidR="004B735C" w:rsidRPr="0041716C">
        <w:rPr>
          <w:color w:val="auto"/>
          <w:sz w:val="20"/>
          <w:szCs w:val="20"/>
        </w:rPr>
        <w:t xml:space="preserve"> </w:t>
      </w:r>
    </w:p>
    <w:p w:rsidR="00EB20F7" w:rsidRPr="0041716C" w:rsidRDefault="00EB20F7" w:rsidP="006C6E61">
      <w:pPr>
        <w:pStyle w:val="Default"/>
        <w:rPr>
          <w:b/>
          <w:bCs/>
          <w:color w:val="auto"/>
          <w:sz w:val="20"/>
          <w:szCs w:val="20"/>
        </w:rPr>
      </w:pPr>
    </w:p>
    <w:p w:rsidR="006C6E61" w:rsidRPr="0041716C" w:rsidRDefault="006C6E61" w:rsidP="006C6E61">
      <w:pPr>
        <w:pStyle w:val="Default"/>
        <w:rPr>
          <w:color w:val="auto"/>
          <w:sz w:val="20"/>
          <w:szCs w:val="20"/>
        </w:rPr>
      </w:pPr>
      <w:r w:rsidRPr="0041716C">
        <w:rPr>
          <w:b/>
          <w:bCs/>
          <w:color w:val="auto"/>
          <w:sz w:val="20"/>
          <w:szCs w:val="20"/>
        </w:rPr>
        <w:t>Località di montagna</w:t>
      </w:r>
    </w:p>
    <w:p w:rsidR="00753C86" w:rsidRPr="0041716C" w:rsidRDefault="005D5EEF" w:rsidP="006C6E61">
      <w:pPr>
        <w:pStyle w:val="Default"/>
        <w:rPr>
          <w:color w:val="auto"/>
          <w:sz w:val="20"/>
          <w:szCs w:val="20"/>
        </w:rPr>
      </w:pPr>
      <w:r w:rsidRPr="0041716C">
        <w:rPr>
          <w:color w:val="auto"/>
          <w:sz w:val="20"/>
          <w:szCs w:val="20"/>
        </w:rPr>
        <w:t>Ravascletto (UD</w:t>
      </w:r>
      <w:r w:rsidR="00D61316" w:rsidRPr="0041716C">
        <w:rPr>
          <w:color w:val="auto"/>
          <w:sz w:val="20"/>
          <w:szCs w:val="20"/>
        </w:rPr>
        <w:t xml:space="preserve">): </w:t>
      </w:r>
      <w:r w:rsidR="00760BF0" w:rsidRPr="0041716C">
        <w:rPr>
          <w:color w:val="auto"/>
          <w:sz w:val="20"/>
          <w:szCs w:val="20"/>
        </w:rPr>
        <w:t>+</w:t>
      </w:r>
      <w:r w:rsidRPr="0041716C">
        <w:rPr>
          <w:color w:val="auto"/>
          <w:sz w:val="20"/>
          <w:szCs w:val="20"/>
        </w:rPr>
        <w:t>3</w:t>
      </w:r>
      <w:r w:rsidR="00760BF0" w:rsidRPr="0041716C">
        <w:rPr>
          <w:color w:val="auto"/>
          <w:sz w:val="20"/>
          <w:szCs w:val="20"/>
        </w:rPr>
        <w:t>,</w:t>
      </w:r>
      <w:r w:rsidR="00AD1FA3">
        <w:rPr>
          <w:color w:val="auto"/>
          <w:sz w:val="20"/>
          <w:szCs w:val="20"/>
        </w:rPr>
        <w:t>4</w:t>
      </w:r>
      <w:proofErr w:type="gramStart"/>
      <w:r w:rsidR="00760BF0" w:rsidRPr="0041716C">
        <w:rPr>
          <w:color w:val="auto"/>
          <w:sz w:val="20"/>
          <w:szCs w:val="20"/>
        </w:rPr>
        <w:t>%</w:t>
      </w:r>
      <w:r w:rsidRPr="0041716C">
        <w:rPr>
          <w:color w:val="auto"/>
          <w:sz w:val="20"/>
          <w:szCs w:val="20"/>
        </w:rPr>
        <w:t xml:space="preserve">  –</w:t>
      </w:r>
      <w:proofErr w:type="gramEnd"/>
      <w:r w:rsidRPr="0041716C">
        <w:rPr>
          <w:color w:val="auto"/>
          <w:sz w:val="20"/>
          <w:szCs w:val="20"/>
        </w:rPr>
        <w:t xml:space="preserve">  </w:t>
      </w:r>
      <w:r w:rsidR="00AD1FA3" w:rsidRPr="00AD1FA3">
        <w:rPr>
          <w:color w:val="auto"/>
          <w:sz w:val="20"/>
          <w:szCs w:val="20"/>
        </w:rPr>
        <w:t>Tarvisio</w:t>
      </w:r>
      <w:r w:rsidRPr="0041716C">
        <w:rPr>
          <w:color w:val="auto"/>
          <w:sz w:val="20"/>
          <w:szCs w:val="20"/>
        </w:rPr>
        <w:t xml:space="preserve"> (</w:t>
      </w:r>
      <w:r w:rsidR="00AD1FA3">
        <w:rPr>
          <w:color w:val="auto"/>
          <w:sz w:val="20"/>
          <w:szCs w:val="20"/>
        </w:rPr>
        <w:t>UD</w:t>
      </w:r>
      <w:r w:rsidRPr="0041716C">
        <w:rPr>
          <w:color w:val="auto"/>
          <w:sz w:val="20"/>
          <w:szCs w:val="20"/>
        </w:rPr>
        <w:t>): +</w:t>
      </w:r>
      <w:r w:rsidR="00AD1FA3">
        <w:rPr>
          <w:color w:val="auto"/>
          <w:sz w:val="20"/>
          <w:szCs w:val="20"/>
        </w:rPr>
        <w:t>3</w:t>
      </w:r>
      <w:r w:rsidRPr="0041716C">
        <w:rPr>
          <w:color w:val="auto"/>
          <w:sz w:val="20"/>
          <w:szCs w:val="20"/>
        </w:rPr>
        <w:t>,</w:t>
      </w:r>
      <w:r w:rsidR="00AD1FA3">
        <w:rPr>
          <w:color w:val="auto"/>
          <w:sz w:val="20"/>
          <w:szCs w:val="20"/>
        </w:rPr>
        <w:t>3%  –  Sauris (UD): +3</w:t>
      </w:r>
      <w:r w:rsidRPr="0041716C">
        <w:rPr>
          <w:color w:val="auto"/>
          <w:sz w:val="20"/>
          <w:szCs w:val="20"/>
        </w:rPr>
        <w:t>,</w:t>
      </w:r>
      <w:r w:rsidR="00AD1FA3">
        <w:rPr>
          <w:color w:val="auto"/>
          <w:sz w:val="20"/>
          <w:szCs w:val="20"/>
        </w:rPr>
        <w:t>2</w:t>
      </w:r>
      <w:r w:rsidRPr="0041716C">
        <w:rPr>
          <w:color w:val="auto"/>
          <w:sz w:val="20"/>
          <w:szCs w:val="20"/>
        </w:rPr>
        <w:t xml:space="preserve">%  –  </w:t>
      </w:r>
      <w:r w:rsidR="00AD1FA3" w:rsidRPr="00AD1FA3">
        <w:rPr>
          <w:color w:val="auto"/>
          <w:sz w:val="20"/>
          <w:szCs w:val="20"/>
        </w:rPr>
        <w:t xml:space="preserve">Forni di Sopra </w:t>
      </w:r>
      <w:r w:rsidR="00AD1FA3">
        <w:rPr>
          <w:color w:val="auto"/>
          <w:sz w:val="20"/>
          <w:szCs w:val="20"/>
        </w:rPr>
        <w:t>(UD): +3</w:t>
      </w:r>
      <w:r w:rsidR="00AD1FA3" w:rsidRPr="0041716C">
        <w:rPr>
          <w:color w:val="auto"/>
          <w:sz w:val="20"/>
          <w:szCs w:val="20"/>
        </w:rPr>
        <w:t>,</w:t>
      </w:r>
      <w:r w:rsidR="00AD1FA3">
        <w:rPr>
          <w:color w:val="auto"/>
          <w:sz w:val="20"/>
          <w:szCs w:val="20"/>
        </w:rPr>
        <w:t>1</w:t>
      </w:r>
      <w:r w:rsidR="00AD1FA3" w:rsidRPr="0041716C">
        <w:rPr>
          <w:color w:val="auto"/>
          <w:sz w:val="20"/>
          <w:szCs w:val="20"/>
        </w:rPr>
        <w:t>%  –</w:t>
      </w:r>
      <w:r w:rsidR="00AD1FA3">
        <w:rPr>
          <w:color w:val="auto"/>
          <w:sz w:val="20"/>
          <w:szCs w:val="20"/>
        </w:rPr>
        <w:t xml:space="preserve"> </w:t>
      </w:r>
      <w:r w:rsidR="00AD1FA3" w:rsidRPr="00AD1FA3">
        <w:rPr>
          <w:color w:val="auto"/>
          <w:sz w:val="20"/>
          <w:szCs w:val="20"/>
        </w:rPr>
        <w:t xml:space="preserve">Livigno </w:t>
      </w:r>
      <w:r w:rsidR="00AD1FA3">
        <w:rPr>
          <w:color w:val="auto"/>
          <w:sz w:val="20"/>
          <w:szCs w:val="20"/>
        </w:rPr>
        <w:t>(SO</w:t>
      </w:r>
      <w:r w:rsidRPr="0041716C">
        <w:rPr>
          <w:color w:val="auto"/>
          <w:sz w:val="20"/>
          <w:szCs w:val="20"/>
        </w:rPr>
        <w:t>): +</w:t>
      </w:r>
      <w:r w:rsidR="00AD1FA3">
        <w:rPr>
          <w:color w:val="auto"/>
          <w:sz w:val="20"/>
          <w:szCs w:val="20"/>
        </w:rPr>
        <w:t>2</w:t>
      </w:r>
      <w:r w:rsidRPr="0041716C">
        <w:rPr>
          <w:color w:val="auto"/>
          <w:sz w:val="20"/>
          <w:szCs w:val="20"/>
        </w:rPr>
        <w:t>,</w:t>
      </w:r>
      <w:r w:rsidR="00AD1FA3">
        <w:rPr>
          <w:color w:val="auto"/>
          <w:sz w:val="20"/>
          <w:szCs w:val="20"/>
        </w:rPr>
        <w:t>0</w:t>
      </w:r>
      <w:r w:rsidRPr="0041716C">
        <w:rPr>
          <w:color w:val="auto"/>
          <w:sz w:val="20"/>
          <w:szCs w:val="20"/>
        </w:rPr>
        <w:t>%</w:t>
      </w:r>
      <w:r w:rsidR="00760BF0" w:rsidRPr="0041716C">
        <w:rPr>
          <w:color w:val="auto"/>
          <w:sz w:val="20"/>
          <w:szCs w:val="20"/>
        </w:rPr>
        <w:t>.</w:t>
      </w:r>
    </w:p>
    <w:p w:rsidR="00F335F2" w:rsidRDefault="00F335F2" w:rsidP="00695100">
      <w:pPr>
        <w:jc w:val="left"/>
        <w:rPr>
          <w:rFonts w:ascii="Calibri" w:hAnsi="Calibri" w:cs="Arial"/>
          <w:b/>
          <w:bCs/>
          <w:sz w:val="22"/>
          <w:szCs w:val="22"/>
        </w:rPr>
      </w:pPr>
    </w:p>
    <w:p w:rsidR="00695100" w:rsidRPr="0041716C" w:rsidRDefault="00695100" w:rsidP="00695100">
      <w:pPr>
        <w:jc w:val="left"/>
        <w:rPr>
          <w:rFonts w:ascii="Calibri" w:hAnsi="Calibri" w:cs="Arial"/>
          <w:b/>
          <w:bCs/>
          <w:sz w:val="22"/>
          <w:szCs w:val="22"/>
        </w:rPr>
      </w:pPr>
    </w:p>
    <w:p w:rsidR="00575691" w:rsidRPr="00875043" w:rsidRDefault="00575691" w:rsidP="007469F5">
      <w:pPr>
        <w:jc w:val="center"/>
        <w:rPr>
          <w:rFonts w:ascii="Calibri" w:hAnsi="Calibri" w:cs="Arial"/>
          <w:b/>
          <w:bCs/>
          <w:sz w:val="22"/>
          <w:szCs w:val="22"/>
        </w:rPr>
      </w:pPr>
      <w:r w:rsidRPr="00875043">
        <w:rPr>
          <w:rFonts w:ascii="Calibri" w:hAnsi="Calibri" w:cs="Arial"/>
          <w:b/>
          <w:bCs/>
          <w:sz w:val="22"/>
          <w:szCs w:val="22"/>
        </w:rPr>
        <w:t xml:space="preserve">Tavola </w:t>
      </w:r>
      <w:r w:rsidR="00915F00" w:rsidRPr="00875043">
        <w:rPr>
          <w:rFonts w:ascii="Calibri" w:hAnsi="Calibri" w:cs="Arial"/>
          <w:b/>
          <w:bCs/>
          <w:sz w:val="22"/>
          <w:szCs w:val="22"/>
        </w:rPr>
        <w:t>B</w:t>
      </w:r>
    </w:p>
    <w:p w:rsidR="00575691" w:rsidRPr="00875043" w:rsidRDefault="00575691" w:rsidP="00575691">
      <w:pPr>
        <w:jc w:val="center"/>
        <w:rPr>
          <w:rFonts w:ascii="Calibri" w:hAnsi="Calibri" w:cs="Arial"/>
          <w:bCs/>
          <w:sz w:val="22"/>
          <w:szCs w:val="22"/>
        </w:rPr>
      </w:pPr>
    </w:p>
    <w:p w:rsidR="00575691" w:rsidRPr="00875043" w:rsidRDefault="00575691" w:rsidP="00575691">
      <w:pPr>
        <w:jc w:val="center"/>
        <w:rPr>
          <w:rFonts w:ascii="Calibri" w:hAnsi="Calibri" w:cs="Arial"/>
          <w:bCs/>
          <w:i/>
          <w:sz w:val="22"/>
          <w:szCs w:val="22"/>
        </w:rPr>
      </w:pPr>
      <w:r w:rsidRPr="00875043">
        <w:rPr>
          <w:rFonts w:ascii="Calibri" w:hAnsi="Calibri" w:cs="Arial"/>
          <w:b/>
          <w:bCs/>
          <w:sz w:val="22"/>
          <w:szCs w:val="22"/>
        </w:rPr>
        <w:t>Variazioni percentuali annuali (201</w:t>
      </w:r>
      <w:r w:rsidR="00875043" w:rsidRPr="00875043">
        <w:rPr>
          <w:rFonts w:ascii="Calibri" w:hAnsi="Calibri" w:cs="Arial"/>
          <w:b/>
          <w:bCs/>
          <w:sz w:val="22"/>
          <w:szCs w:val="22"/>
        </w:rPr>
        <w:t>9</w:t>
      </w:r>
      <w:r w:rsidRPr="00875043">
        <w:rPr>
          <w:rFonts w:ascii="Calibri" w:hAnsi="Calibri" w:cs="Arial"/>
          <w:b/>
          <w:bCs/>
          <w:sz w:val="22"/>
          <w:szCs w:val="22"/>
        </w:rPr>
        <w:t>/201</w:t>
      </w:r>
      <w:r w:rsidR="00875043" w:rsidRPr="00875043">
        <w:rPr>
          <w:rFonts w:ascii="Calibri" w:hAnsi="Calibri" w:cs="Arial"/>
          <w:b/>
          <w:bCs/>
          <w:sz w:val="22"/>
          <w:szCs w:val="22"/>
        </w:rPr>
        <w:t>8</w:t>
      </w:r>
      <w:r w:rsidRPr="00875043">
        <w:rPr>
          <w:rFonts w:ascii="Calibri" w:hAnsi="Calibri" w:cs="Arial"/>
          <w:b/>
          <w:bCs/>
          <w:sz w:val="22"/>
          <w:szCs w:val="22"/>
        </w:rPr>
        <w:t xml:space="preserve">) nominali dei </w:t>
      </w:r>
      <w:r w:rsidR="00167778" w:rsidRPr="00875043">
        <w:rPr>
          <w:rFonts w:ascii="Calibri" w:hAnsi="Calibri" w:cs="Arial"/>
          <w:b/>
          <w:bCs/>
          <w:sz w:val="22"/>
          <w:szCs w:val="22"/>
        </w:rPr>
        <w:t>prezzi medi di compravendita di</w:t>
      </w:r>
      <w:r w:rsidR="00167778" w:rsidRPr="00875043">
        <w:rPr>
          <w:rFonts w:ascii="Calibri" w:hAnsi="Calibri" w:cs="Arial"/>
          <w:b/>
          <w:bCs/>
          <w:sz w:val="22"/>
          <w:szCs w:val="22"/>
        </w:rPr>
        <w:br/>
      </w:r>
      <w:r w:rsidRPr="00875043">
        <w:rPr>
          <w:rFonts w:ascii="Calibri" w:hAnsi="Calibri" w:cs="Arial"/>
          <w:b/>
          <w:bCs/>
          <w:sz w:val="22"/>
          <w:szCs w:val="22"/>
        </w:rPr>
        <w:t xml:space="preserve">appartamenti nelle principali località turistiche italiane, per Regione </w:t>
      </w:r>
      <w:r w:rsidRPr="00875043">
        <w:rPr>
          <w:rFonts w:ascii="Calibri" w:hAnsi="Calibri" w:cs="Arial"/>
          <w:bCs/>
          <w:i/>
          <w:sz w:val="22"/>
          <w:szCs w:val="22"/>
        </w:rPr>
        <w:t xml:space="preserve">(valori </w:t>
      </w:r>
      <w:r w:rsidR="002D3762" w:rsidRPr="00875043">
        <w:rPr>
          <w:rFonts w:ascii="Calibri" w:hAnsi="Calibri" w:cs="Arial"/>
          <w:bCs/>
          <w:i/>
          <w:sz w:val="22"/>
          <w:szCs w:val="22"/>
        </w:rPr>
        <w:t>%</w:t>
      </w:r>
      <w:r w:rsidRPr="00875043">
        <w:rPr>
          <w:rFonts w:ascii="Calibri" w:hAnsi="Calibri" w:cs="Arial"/>
          <w:bCs/>
          <w:i/>
          <w:sz w:val="22"/>
          <w:szCs w:val="22"/>
        </w:rPr>
        <w:t>)</w:t>
      </w:r>
    </w:p>
    <w:p w:rsidR="00575691" w:rsidRPr="0041716C" w:rsidRDefault="00575691" w:rsidP="00575691">
      <w:pPr>
        <w:autoSpaceDE w:val="0"/>
        <w:autoSpaceDN w:val="0"/>
        <w:adjustRightInd w:val="0"/>
        <w:jc w:val="center"/>
        <w:rPr>
          <w:rFonts w:ascii="Calibri" w:hAnsi="Calibri" w:cs="Calibri"/>
          <w:sz w:val="16"/>
          <w:szCs w:val="22"/>
        </w:rPr>
      </w:pPr>
    </w:p>
    <w:tbl>
      <w:tblPr>
        <w:tblW w:w="0" w:type="auto"/>
        <w:jc w:val="center"/>
        <w:tblBorders>
          <w:top w:val="nil"/>
          <w:left w:val="nil"/>
          <w:bottom w:val="nil"/>
          <w:right w:val="nil"/>
        </w:tblBorders>
        <w:tblLayout w:type="fixed"/>
        <w:tblLook w:val="0000" w:firstRow="0" w:lastRow="0" w:firstColumn="0" w:lastColumn="0" w:noHBand="0" w:noVBand="0"/>
      </w:tblPr>
      <w:tblGrid>
        <w:gridCol w:w="2717"/>
        <w:gridCol w:w="2821"/>
        <w:gridCol w:w="2822"/>
      </w:tblGrid>
      <w:tr w:rsidR="0041716C" w:rsidRPr="0041716C" w:rsidTr="002D3762">
        <w:trPr>
          <w:trHeight w:val="283"/>
          <w:jc w:val="center"/>
        </w:trPr>
        <w:tc>
          <w:tcPr>
            <w:tcW w:w="2717" w:type="dxa"/>
            <w:tcBorders>
              <w:top w:val="single" w:sz="8" w:space="0" w:color="auto"/>
              <w:left w:val="nil"/>
              <w:bottom w:val="single" w:sz="8" w:space="0" w:color="auto"/>
            </w:tcBorders>
            <w:shd w:val="clear" w:color="auto" w:fill="D9D9D9" w:themeFill="background1" w:themeFillShade="D9"/>
            <w:vAlign w:val="center"/>
          </w:tcPr>
          <w:p w:rsidR="00575691" w:rsidRPr="0041716C" w:rsidRDefault="00575691" w:rsidP="00575691">
            <w:pPr>
              <w:autoSpaceDE w:val="0"/>
              <w:autoSpaceDN w:val="0"/>
              <w:adjustRightInd w:val="0"/>
              <w:jc w:val="left"/>
              <w:rPr>
                <w:rFonts w:asciiTheme="minorHAnsi" w:hAnsiTheme="minorHAnsi" w:cstheme="minorHAnsi"/>
                <w:sz w:val="20"/>
              </w:rPr>
            </w:pPr>
            <w:r w:rsidRPr="0041716C">
              <w:rPr>
                <w:rFonts w:asciiTheme="minorHAnsi" w:hAnsiTheme="minorHAnsi" w:cstheme="minorHAnsi"/>
                <w:b/>
                <w:bCs/>
                <w:sz w:val="20"/>
              </w:rPr>
              <w:t>Regione</w:t>
            </w:r>
          </w:p>
        </w:tc>
        <w:tc>
          <w:tcPr>
            <w:tcW w:w="2821" w:type="dxa"/>
            <w:tcBorders>
              <w:top w:val="single" w:sz="8" w:space="0" w:color="auto"/>
              <w:bottom w:val="single" w:sz="8" w:space="0" w:color="auto"/>
            </w:tcBorders>
            <w:shd w:val="clear" w:color="auto" w:fill="D9D9D9" w:themeFill="background1" w:themeFillShade="D9"/>
            <w:vAlign w:val="center"/>
          </w:tcPr>
          <w:p w:rsidR="00575691" w:rsidRPr="0041716C" w:rsidRDefault="00575691" w:rsidP="008D2F7D">
            <w:pPr>
              <w:autoSpaceDE w:val="0"/>
              <w:autoSpaceDN w:val="0"/>
              <w:adjustRightInd w:val="0"/>
              <w:jc w:val="center"/>
              <w:rPr>
                <w:rFonts w:asciiTheme="minorHAnsi" w:hAnsiTheme="minorHAnsi" w:cstheme="minorHAnsi"/>
                <w:sz w:val="20"/>
              </w:rPr>
            </w:pPr>
            <w:r w:rsidRPr="0041716C">
              <w:rPr>
                <w:rFonts w:asciiTheme="minorHAnsi" w:hAnsiTheme="minorHAnsi" w:cstheme="minorHAnsi"/>
                <w:b/>
                <w:bCs/>
                <w:sz w:val="20"/>
              </w:rPr>
              <w:t xml:space="preserve">Località </w:t>
            </w:r>
            <w:r w:rsidR="008D2F7D" w:rsidRPr="0041716C">
              <w:rPr>
                <w:rFonts w:asciiTheme="minorHAnsi" w:hAnsiTheme="minorHAnsi" w:cstheme="minorHAnsi"/>
                <w:b/>
                <w:bCs/>
                <w:sz w:val="20"/>
              </w:rPr>
              <w:t>marine</w:t>
            </w:r>
          </w:p>
        </w:tc>
        <w:tc>
          <w:tcPr>
            <w:tcW w:w="2822" w:type="dxa"/>
            <w:tcBorders>
              <w:top w:val="single" w:sz="8" w:space="0" w:color="auto"/>
              <w:bottom w:val="single" w:sz="8" w:space="0" w:color="auto"/>
              <w:right w:val="nil"/>
            </w:tcBorders>
            <w:shd w:val="clear" w:color="auto" w:fill="D9D9D9" w:themeFill="background1" w:themeFillShade="D9"/>
            <w:vAlign w:val="center"/>
          </w:tcPr>
          <w:p w:rsidR="00575691" w:rsidRPr="0041716C" w:rsidRDefault="00575691" w:rsidP="008D2F7D">
            <w:pPr>
              <w:autoSpaceDE w:val="0"/>
              <w:autoSpaceDN w:val="0"/>
              <w:adjustRightInd w:val="0"/>
              <w:jc w:val="center"/>
              <w:rPr>
                <w:rFonts w:asciiTheme="minorHAnsi" w:hAnsiTheme="minorHAnsi" w:cstheme="minorHAnsi"/>
                <w:sz w:val="20"/>
              </w:rPr>
            </w:pPr>
            <w:r w:rsidRPr="0041716C">
              <w:rPr>
                <w:rFonts w:asciiTheme="minorHAnsi" w:hAnsiTheme="minorHAnsi" w:cstheme="minorHAnsi"/>
                <w:b/>
                <w:bCs/>
                <w:sz w:val="20"/>
              </w:rPr>
              <w:t xml:space="preserve">Località montane </w:t>
            </w:r>
            <w:r w:rsidR="008D2F7D" w:rsidRPr="0041716C">
              <w:rPr>
                <w:rFonts w:asciiTheme="minorHAnsi" w:hAnsiTheme="minorHAnsi" w:cstheme="minorHAnsi"/>
                <w:b/>
                <w:bCs/>
                <w:sz w:val="20"/>
              </w:rPr>
              <w:t>o</w:t>
            </w:r>
            <w:r w:rsidRPr="0041716C">
              <w:rPr>
                <w:rFonts w:asciiTheme="minorHAnsi" w:hAnsiTheme="minorHAnsi" w:cstheme="minorHAnsi"/>
                <w:b/>
                <w:bCs/>
                <w:sz w:val="20"/>
              </w:rPr>
              <w:t xml:space="preserve"> lacuali</w:t>
            </w:r>
          </w:p>
        </w:tc>
      </w:tr>
      <w:tr w:rsidR="004757A1" w:rsidRPr="0041716C" w:rsidTr="004757A1">
        <w:trPr>
          <w:trHeight w:val="283"/>
          <w:jc w:val="center"/>
        </w:trPr>
        <w:tc>
          <w:tcPr>
            <w:tcW w:w="2717" w:type="dxa"/>
            <w:tcBorders>
              <w:top w:val="single" w:sz="8" w:space="0" w:color="auto"/>
            </w:tcBorders>
            <w:vAlign w:val="center"/>
          </w:tcPr>
          <w:p w:rsidR="004757A1" w:rsidRPr="0041716C" w:rsidRDefault="004757A1" w:rsidP="004757A1">
            <w:pPr>
              <w:jc w:val="left"/>
              <w:rPr>
                <w:rFonts w:ascii="Calibri" w:hAnsi="Calibri" w:cs="Arial"/>
                <w:sz w:val="20"/>
              </w:rPr>
            </w:pPr>
            <w:r w:rsidRPr="0041716C">
              <w:rPr>
                <w:rFonts w:ascii="Calibri" w:hAnsi="Calibri" w:cs="Arial"/>
                <w:sz w:val="20"/>
              </w:rPr>
              <w:t>Abruzzo</w:t>
            </w:r>
          </w:p>
        </w:tc>
        <w:tc>
          <w:tcPr>
            <w:tcW w:w="2821" w:type="dxa"/>
            <w:tcBorders>
              <w:top w:val="single" w:sz="8" w:space="0" w:color="auto"/>
            </w:tcBorders>
            <w:vAlign w:val="center"/>
          </w:tcPr>
          <w:p w:rsidR="004757A1" w:rsidRDefault="004757A1" w:rsidP="004757A1">
            <w:pPr>
              <w:jc w:val="center"/>
              <w:rPr>
                <w:rFonts w:ascii="Calibri" w:hAnsi="Calibri" w:cs="Arial"/>
                <w:sz w:val="20"/>
              </w:rPr>
            </w:pPr>
            <w:r>
              <w:rPr>
                <w:rFonts w:ascii="Calibri" w:hAnsi="Calibri" w:cs="Arial"/>
                <w:sz w:val="20"/>
              </w:rPr>
              <w:t>-1,4</w:t>
            </w:r>
          </w:p>
        </w:tc>
        <w:tc>
          <w:tcPr>
            <w:tcW w:w="2822" w:type="dxa"/>
            <w:tcBorders>
              <w:top w:val="single" w:sz="8" w:space="0" w:color="auto"/>
            </w:tcBorders>
            <w:vAlign w:val="center"/>
          </w:tcPr>
          <w:p w:rsidR="004757A1" w:rsidRDefault="004757A1" w:rsidP="004757A1">
            <w:pPr>
              <w:jc w:val="center"/>
              <w:rPr>
                <w:rFonts w:ascii="Calibri" w:hAnsi="Calibri" w:cs="Arial"/>
                <w:sz w:val="20"/>
              </w:rPr>
            </w:pPr>
            <w:r>
              <w:rPr>
                <w:rFonts w:ascii="Calibri" w:hAnsi="Calibri" w:cs="Arial"/>
                <w:sz w:val="20"/>
              </w:rPr>
              <w:t>-2,1</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Basilicata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-0,3</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Calabria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-0,4</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0,0</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Campania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-2,5</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Emilia Romagna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-1,4</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Friuli Venezia-Giulia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0,8</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1,7</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Lazio</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-3,5</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Liguria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-3,1</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Lombardia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-2,0</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Marche</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-1,8</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Molise</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-2,4</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Piemonte</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-2,1</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Puglia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-1,1</w:t>
            </w:r>
          </w:p>
        </w:tc>
        <w:tc>
          <w:tcPr>
            <w:tcW w:w="2822" w:type="dxa"/>
            <w:vAlign w:val="center"/>
          </w:tcPr>
          <w:p w:rsidR="004757A1" w:rsidRDefault="004757A1" w:rsidP="004757A1">
            <w:pPr>
              <w:jc w:val="center"/>
              <w:rPr>
                <w:rFonts w:ascii="Calibri" w:hAnsi="Calibri" w:cs="Arial"/>
                <w:sz w:val="20"/>
              </w:rPr>
            </w:pP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Sardegna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-2,0</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Sicilia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-1,0</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Toscana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-2,4</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Trentino Alto-Adige</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-1,3</w:t>
            </w:r>
          </w:p>
        </w:tc>
      </w:tr>
      <w:tr w:rsidR="004757A1" w:rsidRPr="0041716C" w:rsidTr="004757A1">
        <w:trPr>
          <w:trHeight w:val="283"/>
          <w:jc w:val="center"/>
        </w:trPr>
        <w:tc>
          <w:tcPr>
            <w:tcW w:w="2717" w:type="dxa"/>
            <w:vAlign w:val="center"/>
          </w:tcPr>
          <w:p w:rsidR="004757A1" w:rsidRPr="0041716C" w:rsidRDefault="004757A1" w:rsidP="004757A1">
            <w:pPr>
              <w:jc w:val="left"/>
              <w:rPr>
                <w:rFonts w:ascii="Calibri" w:hAnsi="Calibri" w:cs="Arial"/>
                <w:sz w:val="20"/>
              </w:rPr>
            </w:pPr>
            <w:r w:rsidRPr="0041716C">
              <w:rPr>
                <w:rFonts w:ascii="Calibri" w:hAnsi="Calibri" w:cs="Arial"/>
                <w:sz w:val="20"/>
              </w:rPr>
              <w:t>Umbria</w:t>
            </w:r>
          </w:p>
        </w:tc>
        <w:tc>
          <w:tcPr>
            <w:tcW w:w="2821" w:type="dxa"/>
            <w:vAlign w:val="center"/>
          </w:tcPr>
          <w:p w:rsidR="004757A1" w:rsidRDefault="004757A1" w:rsidP="004757A1">
            <w:pPr>
              <w:jc w:val="center"/>
              <w:rPr>
                <w:rFonts w:ascii="Calibri" w:hAnsi="Calibri" w:cs="Arial"/>
                <w:sz w:val="20"/>
              </w:rPr>
            </w:pPr>
            <w:r>
              <w:rPr>
                <w:rFonts w:ascii="Calibri" w:hAnsi="Calibri" w:cs="Arial"/>
                <w:sz w:val="20"/>
              </w:rPr>
              <w:t>-</w:t>
            </w:r>
          </w:p>
        </w:tc>
        <w:tc>
          <w:tcPr>
            <w:tcW w:w="2822" w:type="dxa"/>
            <w:vAlign w:val="center"/>
          </w:tcPr>
          <w:p w:rsidR="004757A1" w:rsidRDefault="004757A1" w:rsidP="004757A1">
            <w:pPr>
              <w:jc w:val="center"/>
              <w:rPr>
                <w:rFonts w:ascii="Calibri" w:hAnsi="Calibri" w:cs="Arial"/>
                <w:sz w:val="20"/>
              </w:rPr>
            </w:pPr>
            <w:r>
              <w:rPr>
                <w:rFonts w:ascii="Calibri" w:hAnsi="Calibri" w:cs="Arial"/>
                <w:sz w:val="20"/>
              </w:rPr>
              <w:t>-0,2</w:t>
            </w:r>
          </w:p>
        </w:tc>
      </w:tr>
      <w:tr w:rsidR="004757A1" w:rsidRPr="0041716C" w:rsidTr="004757A1">
        <w:trPr>
          <w:trHeight w:val="283"/>
          <w:jc w:val="center"/>
        </w:trPr>
        <w:tc>
          <w:tcPr>
            <w:tcW w:w="2717" w:type="dxa"/>
            <w:tcBorders>
              <w:bottom w:val="nil"/>
            </w:tcBorders>
            <w:vAlign w:val="center"/>
          </w:tcPr>
          <w:p w:rsidR="004757A1" w:rsidRPr="0041716C" w:rsidRDefault="004757A1" w:rsidP="004757A1">
            <w:pPr>
              <w:jc w:val="left"/>
              <w:rPr>
                <w:rFonts w:ascii="Calibri" w:hAnsi="Calibri" w:cs="Arial"/>
                <w:sz w:val="20"/>
              </w:rPr>
            </w:pPr>
            <w:r w:rsidRPr="0041716C">
              <w:rPr>
                <w:rFonts w:ascii="Calibri" w:hAnsi="Calibri" w:cs="Arial"/>
                <w:sz w:val="20"/>
              </w:rPr>
              <w:t>Valle d'Aosta</w:t>
            </w:r>
          </w:p>
        </w:tc>
        <w:tc>
          <w:tcPr>
            <w:tcW w:w="2821" w:type="dxa"/>
            <w:tcBorders>
              <w:bottom w:val="nil"/>
            </w:tcBorders>
            <w:vAlign w:val="center"/>
          </w:tcPr>
          <w:p w:rsidR="004757A1" w:rsidRDefault="004757A1" w:rsidP="004757A1">
            <w:pPr>
              <w:jc w:val="center"/>
              <w:rPr>
                <w:rFonts w:ascii="Calibri" w:hAnsi="Calibri" w:cs="Arial"/>
                <w:sz w:val="20"/>
              </w:rPr>
            </w:pPr>
            <w:r>
              <w:rPr>
                <w:rFonts w:ascii="Calibri" w:hAnsi="Calibri" w:cs="Arial"/>
                <w:sz w:val="20"/>
              </w:rPr>
              <w:t>-</w:t>
            </w:r>
          </w:p>
        </w:tc>
        <w:tc>
          <w:tcPr>
            <w:tcW w:w="2822" w:type="dxa"/>
            <w:tcBorders>
              <w:bottom w:val="nil"/>
            </w:tcBorders>
            <w:vAlign w:val="center"/>
          </w:tcPr>
          <w:p w:rsidR="004757A1" w:rsidRDefault="004757A1" w:rsidP="004757A1">
            <w:pPr>
              <w:jc w:val="center"/>
              <w:rPr>
                <w:rFonts w:ascii="Calibri" w:hAnsi="Calibri" w:cs="Arial"/>
                <w:sz w:val="20"/>
              </w:rPr>
            </w:pPr>
            <w:r>
              <w:rPr>
                <w:rFonts w:ascii="Calibri" w:hAnsi="Calibri" w:cs="Arial"/>
                <w:sz w:val="20"/>
              </w:rPr>
              <w:t>-2,5</w:t>
            </w:r>
          </w:p>
        </w:tc>
      </w:tr>
      <w:tr w:rsidR="004757A1" w:rsidRPr="0041716C" w:rsidTr="004757A1">
        <w:trPr>
          <w:trHeight w:val="283"/>
          <w:jc w:val="center"/>
        </w:trPr>
        <w:tc>
          <w:tcPr>
            <w:tcW w:w="2717" w:type="dxa"/>
            <w:tcBorders>
              <w:top w:val="nil"/>
              <w:bottom w:val="single" w:sz="8" w:space="0" w:color="auto"/>
            </w:tcBorders>
            <w:vAlign w:val="center"/>
          </w:tcPr>
          <w:p w:rsidR="004757A1" w:rsidRPr="0041716C" w:rsidRDefault="004757A1" w:rsidP="004757A1">
            <w:pPr>
              <w:jc w:val="left"/>
              <w:rPr>
                <w:rFonts w:ascii="Calibri" w:hAnsi="Calibri" w:cs="Arial"/>
                <w:sz w:val="20"/>
              </w:rPr>
            </w:pPr>
            <w:r w:rsidRPr="0041716C">
              <w:rPr>
                <w:rFonts w:ascii="Calibri" w:hAnsi="Calibri" w:cs="Arial"/>
                <w:sz w:val="20"/>
              </w:rPr>
              <w:t>Veneto</w:t>
            </w:r>
          </w:p>
        </w:tc>
        <w:tc>
          <w:tcPr>
            <w:tcW w:w="2821" w:type="dxa"/>
            <w:tcBorders>
              <w:top w:val="nil"/>
              <w:bottom w:val="single" w:sz="8" w:space="0" w:color="auto"/>
            </w:tcBorders>
            <w:vAlign w:val="center"/>
          </w:tcPr>
          <w:p w:rsidR="004757A1" w:rsidRDefault="004757A1" w:rsidP="00922C6E">
            <w:pPr>
              <w:jc w:val="center"/>
              <w:rPr>
                <w:rFonts w:ascii="Calibri" w:hAnsi="Calibri" w:cs="Arial"/>
                <w:sz w:val="20"/>
              </w:rPr>
            </w:pPr>
            <w:r>
              <w:rPr>
                <w:rFonts w:ascii="Calibri" w:hAnsi="Calibri" w:cs="Arial"/>
                <w:sz w:val="20"/>
              </w:rPr>
              <w:t>-</w:t>
            </w:r>
            <w:r w:rsidR="00922C6E">
              <w:rPr>
                <w:rFonts w:ascii="Calibri" w:hAnsi="Calibri" w:cs="Arial"/>
                <w:sz w:val="20"/>
              </w:rPr>
              <w:t>1</w:t>
            </w:r>
            <w:r>
              <w:rPr>
                <w:rFonts w:ascii="Calibri" w:hAnsi="Calibri" w:cs="Arial"/>
                <w:sz w:val="20"/>
              </w:rPr>
              <w:t>,</w:t>
            </w:r>
            <w:r w:rsidR="00922C6E">
              <w:rPr>
                <w:rFonts w:ascii="Calibri" w:hAnsi="Calibri" w:cs="Arial"/>
                <w:sz w:val="20"/>
              </w:rPr>
              <w:t>8</w:t>
            </w:r>
          </w:p>
        </w:tc>
        <w:tc>
          <w:tcPr>
            <w:tcW w:w="2822" w:type="dxa"/>
            <w:tcBorders>
              <w:top w:val="nil"/>
              <w:bottom w:val="single" w:sz="8" w:space="0" w:color="auto"/>
            </w:tcBorders>
            <w:vAlign w:val="center"/>
          </w:tcPr>
          <w:p w:rsidR="004757A1" w:rsidRDefault="004757A1" w:rsidP="004757A1">
            <w:pPr>
              <w:jc w:val="center"/>
              <w:rPr>
                <w:rFonts w:ascii="Calibri" w:hAnsi="Calibri" w:cs="Arial"/>
                <w:sz w:val="20"/>
              </w:rPr>
            </w:pPr>
            <w:r>
              <w:rPr>
                <w:rFonts w:ascii="Calibri" w:hAnsi="Calibri" w:cs="Arial"/>
                <w:sz w:val="20"/>
              </w:rPr>
              <w:t>-1,2</w:t>
            </w:r>
          </w:p>
        </w:tc>
      </w:tr>
    </w:tbl>
    <w:p w:rsidR="00F335F2" w:rsidRDefault="005025ED" w:rsidP="003A7623">
      <w:pPr>
        <w:spacing w:before="60"/>
        <w:ind w:firstLine="708"/>
        <w:rPr>
          <w:rFonts w:asciiTheme="minorHAnsi" w:eastAsia="Calibri" w:hAnsiTheme="minorHAnsi" w:cstheme="minorHAnsi"/>
          <w:sz w:val="18"/>
        </w:rPr>
      </w:pPr>
      <w:r w:rsidRPr="0041716C">
        <w:rPr>
          <w:rFonts w:asciiTheme="minorHAnsi" w:eastAsia="Calibri" w:hAnsiTheme="minorHAnsi" w:cstheme="minorHAnsi"/>
          <w:sz w:val="18"/>
        </w:rPr>
        <w:t>Fonte: Nomisma e Fimaa-Confcommercio</w:t>
      </w:r>
    </w:p>
    <w:p w:rsidR="00695100" w:rsidRDefault="00695100">
      <w:pPr>
        <w:spacing w:after="200" w:line="276" w:lineRule="auto"/>
        <w:jc w:val="left"/>
        <w:rPr>
          <w:rFonts w:asciiTheme="minorHAnsi" w:eastAsia="Calibri" w:hAnsiTheme="minorHAnsi" w:cstheme="minorHAnsi"/>
          <w:sz w:val="18"/>
        </w:rPr>
      </w:pPr>
      <w:r>
        <w:rPr>
          <w:rFonts w:asciiTheme="minorHAnsi" w:eastAsia="Calibri" w:hAnsiTheme="minorHAnsi" w:cstheme="minorHAnsi"/>
          <w:sz w:val="18"/>
        </w:rPr>
        <w:br w:type="page"/>
      </w:r>
    </w:p>
    <w:p w:rsidR="00695100" w:rsidRPr="0041716C" w:rsidRDefault="00695100" w:rsidP="003A7623">
      <w:pPr>
        <w:spacing w:before="60"/>
        <w:ind w:firstLine="708"/>
        <w:rPr>
          <w:rFonts w:ascii="Calibri" w:hAnsi="Calibri" w:cs="Arial"/>
          <w:b/>
          <w:bCs/>
          <w:sz w:val="22"/>
          <w:szCs w:val="22"/>
        </w:rPr>
      </w:pPr>
    </w:p>
    <w:p w:rsidR="00575691" w:rsidRPr="0041716C" w:rsidRDefault="00575691" w:rsidP="007469F5">
      <w:pPr>
        <w:jc w:val="center"/>
        <w:rPr>
          <w:rFonts w:ascii="Calibri" w:hAnsi="Calibri" w:cs="Arial"/>
          <w:b/>
          <w:bCs/>
          <w:sz w:val="22"/>
          <w:szCs w:val="22"/>
        </w:rPr>
      </w:pPr>
      <w:r w:rsidRPr="0041716C">
        <w:rPr>
          <w:rFonts w:ascii="Calibri" w:hAnsi="Calibri" w:cs="Arial"/>
          <w:b/>
          <w:bCs/>
          <w:sz w:val="22"/>
          <w:szCs w:val="22"/>
        </w:rPr>
        <w:t xml:space="preserve">Tavola </w:t>
      </w:r>
      <w:r w:rsidR="00915F00" w:rsidRPr="0041716C">
        <w:rPr>
          <w:rFonts w:ascii="Calibri" w:hAnsi="Calibri" w:cs="Arial"/>
          <w:b/>
          <w:bCs/>
          <w:sz w:val="22"/>
          <w:szCs w:val="22"/>
        </w:rPr>
        <w:t>C</w:t>
      </w:r>
    </w:p>
    <w:p w:rsidR="000251ED" w:rsidRPr="0041716C" w:rsidRDefault="000251ED" w:rsidP="000251ED">
      <w:pPr>
        <w:jc w:val="center"/>
        <w:rPr>
          <w:rFonts w:ascii="Calibri" w:hAnsi="Calibri" w:cs="Arial"/>
          <w:b/>
          <w:bCs/>
          <w:sz w:val="22"/>
          <w:szCs w:val="22"/>
        </w:rPr>
      </w:pPr>
    </w:p>
    <w:p w:rsidR="00E80022" w:rsidRPr="0041716C" w:rsidRDefault="00BB1615" w:rsidP="000251ED">
      <w:pPr>
        <w:jc w:val="center"/>
        <w:rPr>
          <w:rFonts w:asciiTheme="minorHAnsi" w:hAnsiTheme="minorHAnsi" w:cstheme="minorHAnsi"/>
          <w:b/>
          <w:bCs/>
          <w:sz w:val="22"/>
          <w:szCs w:val="22"/>
        </w:rPr>
      </w:pPr>
      <w:r w:rsidRPr="0041716C">
        <w:rPr>
          <w:rFonts w:asciiTheme="minorHAnsi" w:hAnsiTheme="minorHAnsi" w:cstheme="minorHAnsi"/>
          <w:b/>
          <w:bCs/>
          <w:sz w:val="22"/>
          <w:szCs w:val="22"/>
        </w:rPr>
        <w:t>Prime 1</w:t>
      </w:r>
      <w:r w:rsidR="00E44897" w:rsidRPr="0041716C">
        <w:rPr>
          <w:rFonts w:asciiTheme="minorHAnsi" w:hAnsiTheme="minorHAnsi" w:cstheme="minorHAnsi"/>
          <w:b/>
          <w:bCs/>
          <w:sz w:val="22"/>
          <w:szCs w:val="22"/>
        </w:rPr>
        <w:t>3</w:t>
      </w:r>
      <w:r w:rsidRPr="0041716C">
        <w:rPr>
          <w:rFonts w:asciiTheme="minorHAnsi" w:hAnsiTheme="minorHAnsi" w:cstheme="minorHAnsi"/>
          <w:b/>
          <w:bCs/>
          <w:sz w:val="22"/>
          <w:szCs w:val="22"/>
        </w:rPr>
        <w:t xml:space="preserve"> località per prezzi massimi di compravendita di appartamenti top o nuovi</w:t>
      </w:r>
    </w:p>
    <w:p w:rsidR="000251ED" w:rsidRPr="0041716C" w:rsidRDefault="000251ED" w:rsidP="000251ED">
      <w:pPr>
        <w:jc w:val="center"/>
        <w:rPr>
          <w:rFonts w:asciiTheme="minorHAnsi" w:hAnsiTheme="minorHAnsi" w:cstheme="minorHAnsi"/>
          <w:i/>
          <w:iCs/>
          <w:sz w:val="22"/>
          <w:szCs w:val="22"/>
        </w:rPr>
      </w:pPr>
      <w:r w:rsidRPr="0041716C">
        <w:rPr>
          <w:rFonts w:asciiTheme="minorHAnsi" w:hAnsiTheme="minorHAnsi" w:cstheme="minorHAnsi"/>
          <w:i/>
          <w:iCs/>
          <w:sz w:val="22"/>
          <w:szCs w:val="22"/>
        </w:rPr>
        <w:t>(</w:t>
      </w:r>
      <w:r w:rsidR="00856627" w:rsidRPr="0041716C">
        <w:rPr>
          <w:rFonts w:asciiTheme="minorHAnsi" w:hAnsiTheme="minorHAnsi" w:cstheme="minorHAnsi"/>
          <w:i/>
          <w:iCs/>
          <w:sz w:val="22"/>
          <w:szCs w:val="22"/>
        </w:rPr>
        <w:t>€/</w:t>
      </w:r>
      <w:r w:rsidRPr="0041716C">
        <w:rPr>
          <w:rFonts w:asciiTheme="minorHAnsi" w:hAnsiTheme="minorHAnsi" w:cstheme="minorHAnsi"/>
          <w:i/>
          <w:iCs/>
          <w:sz w:val="22"/>
          <w:szCs w:val="22"/>
        </w:rPr>
        <w:t>mq)</w:t>
      </w:r>
    </w:p>
    <w:p w:rsidR="00F910D0" w:rsidRPr="0041716C" w:rsidRDefault="00F910D0" w:rsidP="003B5CE0">
      <w:pPr>
        <w:jc w:val="center"/>
        <w:rPr>
          <w:rFonts w:asciiTheme="minorHAnsi" w:hAnsiTheme="minorHAnsi" w:cstheme="minorHAnsi"/>
          <w:iCs/>
          <w:sz w:val="16"/>
          <w:szCs w:val="16"/>
        </w:rPr>
      </w:pPr>
    </w:p>
    <w:tbl>
      <w:tblPr>
        <w:tblW w:w="0" w:type="auto"/>
        <w:jc w:val="center"/>
        <w:tblLayout w:type="fixed"/>
        <w:tblLook w:val="04A0" w:firstRow="1" w:lastRow="0" w:firstColumn="1" w:lastColumn="0" w:noHBand="0" w:noVBand="1"/>
      </w:tblPr>
      <w:tblGrid>
        <w:gridCol w:w="3189"/>
        <w:gridCol w:w="2126"/>
        <w:gridCol w:w="3045"/>
      </w:tblGrid>
      <w:tr w:rsidR="0041716C" w:rsidRPr="0041716C" w:rsidTr="00F910D0">
        <w:trPr>
          <w:trHeight w:val="283"/>
          <w:jc w:val="center"/>
        </w:trPr>
        <w:tc>
          <w:tcPr>
            <w:tcW w:w="3189" w:type="dxa"/>
            <w:tcBorders>
              <w:top w:val="single" w:sz="8" w:space="0" w:color="auto"/>
              <w:left w:val="nil"/>
              <w:bottom w:val="single" w:sz="8" w:space="0" w:color="auto"/>
              <w:right w:val="nil"/>
            </w:tcBorders>
            <w:shd w:val="clear" w:color="auto" w:fill="D9D9D9" w:themeFill="background1" w:themeFillShade="D9"/>
            <w:vAlign w:val="center"/>
            <w:hideMark/>
          </w:tcPr>
          <w:p w:rsidR="00F910D0" w:rsidRPr="0041716C" w:rsidRDefault="00F910D0">
            <w:pPr>
              <w:autoSpaceDE w:val="0"/>
              <w:autoSpaceDN w:val="0"/>
              <w:adjustRightInd w:val="0"/>
              <w:spacing w:line="276" w:lineRule="auto"/>
              <w:jc w:val="left"/>
              <w:rPr>
                <w:rFonts w:asciiTheme="minorHAnsi" w:hAnsiTheme="minorHAnsi" w:cstheme="minorHAnsi"/>
                <w:sz w:val="20"/>
                <w:lang w:eastAsia="en-US"/>
              </w:rPr>
            </w:pPr>
            <w:r w:rsidRPr="0041716C">
              <w:rPr>
                <w:rFonts w:asciiTheme="minorHAnsi" w:hAnsiTheme="minorHAnsi" w:cstheme="minorHAnsi"/>
                <w:b/>
                <w:bCs/>
                <w:sz w:val="20"/>
                <w:lang w:eastAsia="en-US"/>
              </w:rPr>
              <w:t>Località</w:t>
            </w:r>
          </w:p>
        </w:tc>
        <w:tc>
          <w:tcPr>
            <w:tcW w:w="2126" w:type="dxa"/>
            <w:tcBorders>
              <w:top w:val="single" w:sz="8" w:space="0" w:color="auto"/>
              <w:left w:val="nil"/>
              <w:bottom w:val="single" w:sz="8" w:space="0" w:color="auto"/>
              <w:right w:val="nil"/>
            </w:tcBorders>
            <w:shd w:val="clear" w:color="auto" w:fill="D9D9D9" w:themeFill="background1" w:themeFillShade="D9"/>
            <w:vAlign w:val="center"/>
            <w:hideMark/>
          </w:tcPr>
          <w:p w:rsidR="00F910D0" w:rsidRPr="0041716C" w:rsidRDefault="00F910D0" w:rsidP="006C6E61">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Prezzi</w:t>
            </w:r>
            <w:r w:rsidR="006C6E61" w:rsidRPr="0041716C">
              <w:rPr>
                <w:rFonts w:asciiTheme="minorHAnsi" w:hAnsiTheme="minorHAnsi" w:cstheme="minorHAnsi"/>
                <w:b/>
                <w:bCs/>
                <w:sz w:val="20"/>
                <w:lang w:eastAsia="en-US"/>
              </w:rPr>
              <w:br/>
            </w:r>
            <w:r w:rsidRPr="0041716C">
              <w:rPr>
                <w:rFonts w:asciiTheme="minorHAnsi" w:hAnsiTheme="minorHAnsi" w:cstheme="minorHAnsi"/>
                <w:bCs/>
                <w:i/>
                <w:sz w:val="20"/>
                <w:lang w:eastAsia="en-US"/>
              </w:rPr>
              <w:t>(€/mq)</w:t>
            </w:r>
          </w:p>
        </w:tc>
        <w:tc>
          <w:tcPr>
            <w:tcW w:w="3045" w:type="dxa"/>
            <w:tcBorders>
              <w:top w:val="single" w:sz="8" w:space="0" w:color="auto"/>
              <w:left w:val="nil"/>
              <w:bottom w:val="single" w:sz="8" w:space="0" w:color="auto"/>
              <w:right w:val="nil"/>
            </w:tcBorders>
            <w:shd w:val="clear" w:color="auto" w:fill="D9D9D9" w:themeFill="background1" w:themeFillShade="D9"/>
            <w:vAlign w:val="center"/>
            <w:hideMark/>
          </w:tcPr>
          <w:p w:rsidR="00F910D0" w:rsidRPr="0041716C" w:rsidRDefault="00F910D0" w:rsidP="00771EF7">
            <w:pPr>
              <w:autoSpaceDE w:val="0"/>
              <w:autoSpaceDN w:val="0"/>
              <w:adjustRightInd w:val="0"/>
              <w:spacing w:line="276" w:lineRule="auto"/>
              <w:jc w:val="center"/>
              <w:rPr>
                <w:rFonts w:asciiTheme="minorHAnsi" w:hAnsiTheme="minorHAnsi" w:cstheme="minorHAnsi"/>
                <w:sz w:val="20"/>
                <w:lang w:eastAsia="en-US"/>
              </w:rPr>
            </w:pPr>
            <w:r w:rsidRPr="0041716C">
              <w:rPr>
                <w:rFonts w:asciiTheme="minorHAnsi" w:hAnsiTheme="minorHAnsi" w:cstheme="minorHAnsi"/>
                <w:b/>
                <w:bCs/>
                <w:sz w:val="20"/>
                <w:lang w:eastAsia="en-US"/>
              </w:rPr>
              <w:t xml:space="preserve">Movimento rispetto </w:t>
            </w:r>
            <w:r w:rsidR="00002C12" w:rsidRPr="0041716C">
              <w:rPr>
                <w:rFonts w:asciiTheme="minorHAnsi" w:hAnsiTheme="minorHAnsi" w:cstheme="minorHAnsi"/>
                <w:b/>
                <w:bCs/>
                <w:sz w:val="20"/>
                <w:lang w:eastAsia="en-US"/>
              </w:rPr>
              <w:t>alla posizione occupata nel 201</w:t>
            </w:r>
            <w:r w:rsidR="00875043">
              <w:rPr>
                <w:rFonts w:asciiTheme="minorHAnsi" w:hAnsiTheme="minorHAnsi" w:cstheme="minorHAnsi"/>
                <w:b/>
                <w:bCs/>
                <w:sz w:val="20"/>
                <w:lang w:eastAsia="en-US"/>
              </w:rPr>
              <w:t>8</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Pr>
                <w:rFonts w:ascii="Calibri" w:hAnsi="Calibri" w:cs="Arial"/>
                <w:sz w:val="20"/>
              </w:rPr>
              <w:t>1</w:t>
            </w:r>
            <w:r w:rsidRPr="0041716C">
              <w:rPr>
                <w:rFonts w:ascii="Calibri" w:hAnsi="Calibri" w:cs="Arial"/>
                <w:sz w:val="20"/>
              </w:rPr>
              <w:t>. Capri (NA)</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12.700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Pr>
                <w:rFonts w:ascii="Calibri" w:hAnsi="Calibri" w:cs="Arial"/>
                <w:sz w:val="20"/>
              </w:rPr>
              <w:t>+1</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Pr>
                <w:rFonts w:ascii="Calibri" w:hAnsi="Calibri" w:cs="Arial"/>
                <w:sz w:val="20"/>
              </w:rPr>
              <w:t>2</w:t>
            </w:r>
            <w:r w:rsidRPr="0041716C">
              <w:rPr>
                <w:rFonts w:ascii="Calibri" w:hAnsi="Calibri" w:cs="Arial"/>
                <w:sz w:val="20"/>
              </w:rPr>
              <w:t>. Forte dei Marmi (LU)</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12.600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Pr>
                <w:rFonts w:ascii="Calibri" w:hAnsi="Calibri" w:cs="Arial"/>
                <w:sz w:val="20"/>
              </w:rPr>
              <w:t>+1</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Pr>
                <w:rFonts w:ascii="Calibri" w:hAnsi="Calibri" w:cs="Arial"/>
                <w:sz w:val="20"/>
              </w:rPr>
              <w:t>3</w:t>
            </w:r>
            <w:r w:rsidRPr="0041716C">
              <w:rPr>
                <w:rFonts w:ascii="Calibri" w:hAnsi="Calibri" w:cs="Arial"/>
                <w:sz w:val="20"/>
              </w:rPr>
              <w:t>. Madonna di Campiglio (TN)</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12.400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Pr>
                <w:rFonts w:ascii="Calibri" w:hAnsi="Calibri" w:cs="Arial"/>
                <w:sz w:val="20"/>
              </w:rPr>
              <w:t>+1</w:t>
            </w:r>
          </w:p>
        </w:tc>
      </w:tr>
      <w:tr w:rsidR="00875043" w:rsidRPr="0041716C" w:rsidTr="00633F06">
        <w:trPr>
          <w:trHeight w:val="283"/>
          <w:jc w:val="center"/>
        </w:trPr>
        <w:tc>
          <w:tcPr>
            <w:tcW w:w="3189" w:type="dxa"/>
            <w:tcBorders>
              <w:top w:val="nil"/>
              <w:left w:val="nil"/>
              <w:bottom w:val="nil"/>
              <w:right w:val="nil"/>
            </w:tcBorders>
            <w:vAlign w:val="center"/>
          </w:tcPr>
          <w:p w:rsidR="00875043" w:rsidRPr="0041716C" w:rsidRDefault="00875043" w:rsidP="00875043">
            <w:pPr>
              <w:jc w:val="left"/>
              <w:rPr>
                <w:rFonts w:ascii="Calibri" w:hAnsi="Calibri" w:cs="Arial"/>
                <w:sz w:val="20"/>
              </w:rPr>
            </w:pPr>
            <w:r>
              <w:rPr>
                <w:rFonts w:ascii="Calibri" w:hAnsi="Calibri" w:cs="Arial"/>
                <w:sz w:val="20"/>
              </w:rPr>
              <w:t>4</w:t>
            </w:r>
            <w:r w:rsidRPr="0041716C">
              <w:rPr>
                <w:rFonts w:ascii="Calibri" w:hAnsi="Calibri" w:cs="Arial"/>
                <w:sz w:val="20"/>
              </w:rPr>
              <w:t>. Santa Margherita Ligure (GE)</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12.300</w:t>
            </w:r>
          </w:p>
        </w:tc>
        <w:tc>
          <w:tcPr>
            <w:tcW w:w="3045" w:type="dxa"/>
            <w:tcBorders>
              <w:top w:val="nil"/>
              <w:left w:val="nil"/>
              <w:bottom w:val="nil"/>
              <w:right w:val="nil"/>
            </w:tcBorders>
            <w:vAlign w:val="center"/>
          </w:tcPr>
          <w:p w:rsidR="00875043" w:rsidRPr="0041716C" w:rsidRDefault="00875043" w:rsidP="00875043">
            <w:pPr>
              <w:jc w:val="center"/>
              <w:rPr>
                <w:rFonts w:ascii="Calibri" w:hAnsi="Calibri" w:cs="Arial"/>
                <w:sz w:val="20"/>
              </w:rPr>
            </w:pPr>
            <w:r>
              <w:rPr>
                <w:rFonts w:ascii="Calibri" w:hAnsi="Calibri" w:cs="Arial"/>
                <w:sz w:val="20"/>
              </w:rPr>
              <w:t>-3</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5. Courmayeur (AO)</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11.000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6. Cortina d'Ampezzo (BL)</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10.700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7. Selva di Val Gardena (BZ)</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9.900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8. Porto Cervo (</w:t>
            </w:r>
            <w:r>
              <w:rPr>
                <w:rFonts w:ascii="Calibri" w:hAnsi="Calibri" w:cs="Arial"/>
                <w:sz w:val="20"/>
              </w:rPr>
              <w:t>SS</w:t>
            </w:r>
            <w:r w:rsidRPr="0041716C">
              <w:rPr>
                <w:rFonts w:ascii="Calibri" w:hAnsi="Calibri" w:cs="Arial"/>
                <w:sz w:val="20"/>
              </w:rPr>
              <w:t>)</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9.400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9. Anacapri (NA)</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8.900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10. Ortisei (BZ)</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8.900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11. Porto Rotondo (</w:t>
            </w:r>
            <w:r>
              <w:rPr>
                <w:rFonts w:ascii="Calibri" w:hAnsi="Calibri" w:cs="Arial"/>
                <w:sz w:val="20"/>
              </w:rPr>
              <w:t>SS</w:t>
            </w:r>
            <w:r w:rsidRPr="0041716C">
              <w:rPr>
                <w:rFonts w:ascii="Calibri" w:hAnsi="Calibri" w:cs="Arial"/>
                <w:sz w:val="20"/>
              </w:rPr>
              <w:t>)</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8.500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nil"/>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12. Corvara (BZ)</w:t>
            </w:r>
          </w:p>
        </w:tc>
        <w:tc>
          <w:tcPr>
            <w:tcW w:w="2126" w:type="dxa"/>
            <w:tcBorders>
              <w:top w:val="nil"/>
              <w:left w:val="nil"/>
              <w:bottom w:val="nil"/>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8.400</w:t>
            </w:r>
          </w:p>
        </w:tc>
        <w:tc>
          <w:tcPr>
            <w:tcW w:w="3045" w:type="dxa"/>
            <w:tcBorders>
              <w:top w:val="nil"/>
              <w:left w:val="nil"/>
              <w:bottom w:val="nil"/>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r w:rsidR="00875043" w:rsidRPr="0041716C" w:rsidTr="00633F06">
        <w:trPr>
          <w:trHeight w:val="283"/>
          <w:jc w:val="center"/>
        </w:trPr>
        <w:tc>
          <w:tcPr>
            <w:tcW w:w="3189" w:type="dxa"/>
            <w:tcBorders>
              <w:top w:val="nil"/>
              <w:left w:val="nil"/>
              <w:bottom w:val="single" w:sz="8" w:space="0" w:color="auto"/>
              <w:right w:val="nil"/>
            </w:tcBorders>
            <w:vAlign w:val="center"/>
            <w:hideMark/>
          </w:tcPr>
          <w:p w:rsidR="00875043" w:rsidRPr="0041716C" w:rsidRDefault="00875043" w:rsidP="00875043">
            <w:pPr>
              <w:jc w:val="left"/>
              <w:rPr>
                <w:rFonts w:ascii="Calibri" w:hAnsi="Calibri" w:cs="Arial"/>
                <w:sz w:val="20"/>
              </w:rPr>
            </w:pPr>
            <w:r w:rsidRPr="0041716C">
              <w:rPr>
                <w:rFonts w:ascii="Calibri" w:hAnsi="Calibri" w:cs="Arial"/>
                <w:sz w:val="20"/>
              </w:rPr>
              <w:t>13. Sirmione (BS)</w:t>
            </w:r>
          </w:p>
        </w:tc>
        <w:tc>
          <w:tcPr>
            <w:tcW w:w="2126" w:type="dxa"/>
            <w:tcBorders>
              <w:top w:val="nil"/>
              <w:left w:val="nil"/>
              <w:bottom w:val="single" w:sz="8" w:space="0" w:color="auto"/>
              <w:right w:val="nil"/>
            </w:tcBorders>
            <w:vAlign w:val="center"/>
          </w:tcPr>
          <w:p w:rsidR="00875043" w:rsidRDefault="00875043" w:rsidP="00875043">
            <w:pPr>
              <w:ind w:right="680"/>
              <w:jc w:val="right"/>
              <w:rPr>
                <w:rFonts w:ascii="Calibri" w:hAnsi="Calibri" w:cs="Arial"/>
                <w:color w:val="000000"/>
                <w:sz w:val="20"/>
              </w:rPr>
            </w:pPr>
            <w:r>
              <w:rPr>
                <w:rFonts w:ascii="Calibri" w:hAnsi="Calibri" w:cs="Arial"/>
                <w:color w:val="000000"/>
                <w:sz w:val="20"/>
              </w:rPr>
              <w:t>8.100</w:t>
            </w:r>
          </w:p>
        </w:tc>
        <w:tc>
          <w:tcPr>
            <w:tcW w:w="3045" w:type="dxa"/>
            <w:tcBorders>
              <w:top w:val="nil"/>
              <w:left w:val="nil"/>
              <w:bottom w:val="single" w:sz="8" w:space="0" w:color="auto"/>
              <w:right w:val="nil"/>
            </w:tcBorders>
            <w:vAlign w:val="center"/>
            <w:hideMark/>
          </w:tcPr>
          <w:p w:rsidR="00875043" w:rsidRPr="0041716C" w:rsidRDefault="00875043" w:rsidP="00875043">
            <w:pPr>
              <w:jc w:val="center"/>
              <w:rPr>
                <w:rFonts w:ascii="Calibri" w:hAnsi="Calibri" w:cs="Arial"/>
                <w:sz w:val="20"/>
              </w:rPr>
            </w:pPr>
            <w:r w:rsidRPr="0041716C">
              <w:rPr>
                <w:rFonts w:ascii="Calibri" w:hAnsi="Calibri" w:cs="Arial"/>
                <w:sz w:val="20"/>
              </w:rPr>
              <w:t>0</w:t>
            </w:r>
          </w:p>
        </w:tc>
      </w:tr>
    </w:tbl>
    <w:p w:rsidR="001A3468" w:rsidRPr="0041716C" w:rsidRDefault="001A3468" w:rsidP="001A3468">
      <w:pPr>
        <w:ind w:firstLine="708"/>
        <w:jc w:val="left"/>
        <w:rPr>
          <w:rFonts w:asciiTheme="minorHAnsi" w:eastAsia="Calibri" w:hAnsiTheme="minorHAnsi" w:cstheme="minorHAnsi"/>
          <w:sz w:val="2"/>
          <w:szCs w:val="2"/>
        </w:rPr>
      </w:pPr>
    </w:p>
    <w:p w:rsidR="00575691" w:rsidRPr="003D3270" w:rsidRDefault="001A3468" w:rsidP="009D59AA">
      <w:pPr>
        <w:spacing w:before="60"/>
        <w:ind w:firstLine="709"/>
        <w:jc w:val="left"/>
        <w:rPr>
          <w:rFonts w:asciiTheme="minorHAnsi" w:eastAsia="Calibri" w:hAnsiTheme="minorHAnsi" w:cstheme="minorHAnsi"/>
          <w:sz w:val="32"/>
          <w:szCs w:val="32"/>
        </w:rPr>
      </w:pPr>
      <w:r w:rsidRPr="0041716C">
        <w:rPr>
          <w:rFonts w:asciiTheme="minorHAnsi" w:eastAsia="Calibri" w:hAnsiTheme="minorHAnsi" w:cstheme="minorHAnsi"/>
          <w:sz w:val="18"/>
        </w:rPr>
        <w:t>Fonte: Nomis</w:t>
      </w:r>
      <w:r w:rsidRPr="003D3270">
        <w:rPr>
          <w:rFonts w:asciiTheme="minorHAnsi" w:eastAsia="Calibri" w:hAnsiTheme="minorHAnsi" w:cstheme="minorHAnsi"/>
          <w:sz w:val="18"/>
        </w:rPr>
        <w:t>ma e Fimaa-Confcommercio</w:t>
      </w:r>
    </w:p>
    <w:sectPr w:rsidR="00575691" w:rsidRPr="003D3270" w:rsidSect="00851093">
      <w:headerReference w:type="default" r:id="rId16"/>
      <w:footerReference w:type="default" r:id="rId17"/>
      <w:headerReference w:type="first" r:id="rId18"/>
      <w:pgSz w:w="11906" w:h="16838" w:code="9"/>
      <w:pgMar w:top="2092" w:right="1134" w:bottom="1701"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4E" w:rsidRDefault="004B224E" w:rsidP="00AE50F2">
      <w:r>
        <w:separator/>
      </w:r>
    </w:p>
  </w:endnote>
  <w:endnote w:type="continuationSeparator" w:id="0">
    <w:p w:rsidR="004B224E" w:rsidRDefault="004B224E" w:rsidP="00AE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elleyAndante BT">
    <w:altName w:val="Mistral"/>
    <w:charset w:val="00"/>
    <w:family w:val="script"/>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rPr>
      <w:id w:val="-654989620"/>
      <w:docPartObj>
        <w:docPartGallery w:val="Page Numbers (Bottom of Page)"/>
        <w:docPartUnique/>
      </w:docPartObj>
    </w:sdtPr>
    <w:sdtEndPr/>
    <w:sdtContent>
      <w:p w:rsidR="004B224E" w:rsidRPr="00E65333" w:rsidRDefault="009611F1" w:rsidP="00207589">
        <w:pPr>
          <w:pStyle w:val="Pidipagina"/>
          <w:pBdr>
            <w:top w:val="single" w:sz="4" w:space="1" w:color="auto"/>
          </w:pBdr>
          <w:rPr>
            <w:rFonts w:asciiTheme="minorHAnsi" w:hAnsiTheme="minorHAnsi"/>
            <w:sz w:val="20"/>
          </w:rPr>
        </w:pPr>
        <w:r w:rsidRPr="0004761A">
          <w:rPr>
            <w:rFonts w:ascii="ShelleyAndante BT" w:hAnsi="ShelleyAndante BT"/>
            <w:i/>
            <w:sz w:val="36"/>
            <w:szCs w:val="60"/>
          </w:rPr>
          <w:t>Nomisma</w:t>
        </w:r>
        <w:r w:rsidRPr="00CB214E">
          <w:rPr>
            <w:rFonts w:asciiTheme="minorHAnsi" w:hAnsiTheme="minorHAnsi"/>
            <w:sz w:val="20"/>
          </w:rPr>
          <w:t xml:space="preserve"> </w:t>
        </w:r>
        <w:r>
          <w:rPr>
            <w:rFonts w:asciiTheme="minorHAnsi" w:hAnsiTheme="minorHAnsi"/>
            <w:sz w:val="20"/>
          </w:rPr>
          <w:tab/>
        </w:r>
        <w:r w:rsidR="004B224E" w:rsidRPr="00CB214E">
          <w:rPr>
            <w:rFonts w:asciiTheme="minorHAnsi" w:hAnsiTheme="minorHAnsi"/>
            <w:sz w:val="20"/>
          </w:rPr>
          <w:t xml:space="preserve">Osservatorio Turistico, </w:t>
        </w:r>
        <w:r w:rsidR="004B224E">
          <w:rPr>
            <w:rFonts w:asciiTheme="minorHAnsi" w:hAnsiTheme="minorHAnsi"/>
            <w:sz w:val="20"/>
          </w:rPr>
          <w:t>30 Luglio 2019</w:t>
        </w:r>
        <w:r w:rsidR="004B224E" w:rsidRPr="00CB214E">
          <w:rPr>
            <w:rFonts w:asciiTheme="minorHAnsi" w:hAnsiTheme="minorHAnsi"/>
            <w:sz w:val="20"/>
          </w:rPr>
          <w:tab/>
        </w:r>
        <w:r w:rsidR="004B224E" w:rsidRPr="00CB214E">
          <w:rPr>
            <w:rFonts w:asciiTheme="minorHAnsi" w:hAnsiTheme="minorHAnsi"/>
            <w:sz w:val="20"/>
          </w:rPr>
          <w:fldChar w:fldCharType="begin"/>
        </w:r>
        <w:r w:rsidR="004B224E" w:rsidRPr="00CB214E">
          <w:rPr>
            <w:rFonts w:asciiTheme="minorHAnsi" w:hAnsiTheme="minorHAnsi"/>
            <w:sz w:val="20"/>
          </w:rPr>
          <w:instrText>PAGE   \* MERGEFORMAT</w:instrText>
        </w:r>
        <w:r w:rsidR="004B224E" w:rsidRPr="00CB214E">
          <w:rPr>
            <w:rFonts w:asciiTheme="minorHAnsi" w:hAnsiTheme="minorHAnsi"/>
            <w:sz w:val="20"/>
          </w:rPr>
          <w:fldChar w:fldCharType="separate"/>
        </w:r>
        <w:r w:rsidR="00A82402">
          <w:rPr>
            <w:rFonts w:asciiTheme="minorHAnsi" w:hAnsiTheme="minorHAnsi"/>
            <w:noProof/>
            <w:sz w:val="20"/>
          </w:rPr>
          <w:t>11</w:t>
        </w:r>
        <w:r w:rsidR="004B224E" w:rsidRPr="00CB214E">
          <w:rPr>
            <w:rFonts w:asciiTheme="minorHAnsi" w:hAnsiTheme="minorHAnsi"/>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4E" w:rsidRDefault="004B224E" w:rsidP="00AE50F2">
      <w:r>
        <w:separator/>
      </w:r>
    </w:p>
  </w:footnote>
  <w:footnote w:type="continuationSeparator" w:id="0">
    <w:p w:rsidR="004B224E" w:rsidRDefault="004B224E" w:rsidP="00AE50F2">
      <w:r>
        <w:continuationSeparator/>
      </w:r>
    </w:p>
  </w:footnote>
  <w:footnote w:id="1">
    <w:p w:rsidR="004B224E" w:rsidRPr="00273307" w:rsidRDefault="004B224E" w:rsidP="00695100">
      <w:pPr>
        <w:pStyle w:val="Testonotaapidipagina"/>
        <w:rPr>
          <w:rFonts w:asciiTheme="minorHAnsi" w:hAnsiTheme="minorHAnsi"/>
          <w:spacing w:val="-2"/>
          <w:szCs w:val="17"/>
        </w:rPr>
      </w:pPr>
      <w:r w:rsidRPr="00273307">
        <w:rPr>
          <w:rStyle w:val="Rimandonotaapidipagina"/>
          <w:rFonts w:asciiTheme="minorHAnsi" w:hAnsiTheme="minorHAnsi"/>
          <w:sz w:val="24"/>
        </w:rPr>
        <w:footnoteRef/>
      </w:r>
      <w:r w:rsidRPr="00273307">
        <w:rPr>
          <w:rFonts w:asciiTheme="minorHAnsi" w:hAnsiTheme="minorHAnsi"/>
          <w:sz w:val="24"/>
        </w:rPr>
        <w:t xml:space="preserve"> </w:t>
      </w:r>
      <w:r w:rsidRPr="00273307">
        <w:rPr>
          <w:rFonts w:asciiTheme="minorHAnsi" w:hAnsiTheme="minorHAnsi"/>
          <w:spacing w:val="-2"/>
          <w:szCs w:val="17"/>
        </w:rPr>
        <w:t>I valori prime sono da intendersi quali massimi medi</w:t>
      </w:r>
      <w:r>
        <w:rPr>
          <w:rFonts w:asciiTheme="minorHAnsi" w:hAnsiTheme="minorHAnsi"/>
          <w:spacing w:val="-2"/>
          <w:szCs w:val="17"/>
        </w:rPr>
        <w:t>,</w:t>
      </w:r>
      <w:r w:rsidRPr="00273307">
        <w:rPr>
          <w:rFonts w:asciiTheme="minorHAnsi" w:hAnsiTheme="minorHAnsi"/>
          <w:spacing w:val="-2"/>
          <w:szCs w:val="17"/>
        </w:rPr>
        <w:t xml:space="preserve"> non quali massimi assoluti.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4E" w:rsidRDefault="00207589" w:rsidP="00851093">
    <w:pPr>
      <w:pStyle w:val="Intestazione"/>
      <w:pBdr>
        <w:bottom w:val="single" w:sz="2" w:space="1" w:color="auto"/>
      </w:pBdr>
      <w:tabs>
        <w:tab w:val="left" w:pos="2613"/>
        <w:tab w:val="left" w:pos="3200"/>
      </w:tabs>
      <w:jc w:val="left"/>
    </w:pPr>
    <w:r>
      <w:rPr>
        <w:noProof/>
      </w:rPr>
      <w:drawing>
        <wp:anchor distT="0" distB="0" distL="114300" distR="114300" simplePos="0" relativeHeight="251659264" behindDoc="0" locked="0" layoutInCell="1" allowOverlap="1" wp14:anchorId="71016C1D" wp14:editId="5E9D8E38">
          <wp:simplePos x="0" y="0"/>
          <wp:positionH relativeFrom="column">
            <wp:posOffset>5417820</wp:posOffset>
          </wp:positionH>
          <wp:positionV relativeFrom="paragraph">
            <wp:posOffset>-84878</wp:posOffset>
          </wp:positionV>
          <wp:extent cx="641237" cy="702734"/>
          <wp:effectExtent l="0" t="0" r="6985" b="2540"/>
          <wp:wrapNone/>
          <wp:docPr id="11" name="Immagine 11" descr="F:\Aree\OssImm\Francesca Pagnini\2PROGETTI IN CORSO\2014\Turistico 2014\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ree\OssImm\Francesca Pagnini\2PROGETTI IN CORSO\2014\Turistico 2014\image0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237" cy="7027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D65E1F8" wp14:editId="289AC8F4">
          <wp:extent cx="1344438" cy="626534"/>
          <wp:effectExtent l="0" t="0" r="8255" b="2540"/>
          <wp:docPr id="16" name="Immagine 9" descr="LOGO CONFCOMMER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CONFCOMMER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4438" cy="626534"/>
                  </a:xfrm>
                  <a:prstGeom prst="rect">
                    <a:avLst/>
                  </a:prstGeom>
                  <a:noFill/>
                  <a:ln>
                    <a:noFill/>
                  </a:ln>
                </pic:spPr>
              </pic:pic>
            </a:graphicData>
          </a:graphic>
        </wp:inline>
      </w:drawing>
    </w:r>
    <w:r>
      <w:tab/>
    </w:r>
    <w:r>
      <w:tab/>
    </w:r>
    <w:r>
      <w:tab/>
    </w:r>
    <w:r>
      <w:tab/>
    </w:r>
  </w:p>
  <w:p w:rsidR="00851093" w:rsidRPr="00851093" w:rsidRDefault="00851093" w:rsidP="00851093">
    <w:pPr>
      <w:pStyle w:val="Intestazione"/>
      <w:pBdr>
        <w:bottom w:val="single" w:sz="2" w:space="1" w:color="auto"/>
      </w:pBdr>
      <w:tabs>
        <w:tab w:val="left" w:pos="2613"/>
        <w:tab w:val="left" w:pos="3200"/>
      </w:tabs>
      <w:jc w:val="left"/>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24E" w:rsidRDefault="004B224E">
    <w:pPr>
      <w:pStyle w:val="Intestazione"/>
    </w:pPr>
    <w:r w:rsidRPr="002D3762">
      <w:rPr>
        <w:snapToGrid w:val="0"/>
        <w:color w:val="000000"/>
        <w:w w:val="0"/>
        <w:sz w:val="0"/>
        <w:szCs w:val="0"/>
        <w:u w:color="000000"/>
        <w:bdr w:val="none" w:sz="0" w:space="0" w:color="000000"/>
        <w:shd w:val="clear" w:color="000000" w:fil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9192D"/>
    <w:multiLevelType w:val="hybridMultilevel"/>
    <w:tmpl w:val="9D648C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5AB63258"/>
    <w:multiLevelType w:val="hybridMultilevel"/>
    <w:tmpl w:val="1E7A9F1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3E92459"/>
    <w:multiLevelType w:val="hybridMultilevel"/>
    <w:tmpl w:val="5F42B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DC5FC3"/>
    <w:multiLevelType w:val="hybridMultilevel"/>
    <w:tmpl w:val="2CAE8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trackedChanges" w:enforcement="0"/>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02"/>
    <w:rsid w:val="0000195A"/>
    <w:rsid w:val="00002C12"/>
    <w:rsid w:val="00002E27"/>
    <w:rsid w:val="00003318"/>
    <w:rsid w:val="000149FE"/>
    <w:rsid w:val="000251ED"/>
    <w:rsid w:val="000268C1"/>
    <w:rsid w:val="00032A42"/>
    <w:rsid w:val="000435ED"/>
    <w:rsid w:val="000458CF"/>
    <w:rsid w:val="00052395"/>
    <w:rsid w:val="00061089"/>
    <w:rsid w:val="00061E35"/>
    <w:rsid w:val="0006589D"/>
    <w:rsid w:val="00067970"/>
    <w:rsid w:val="00073B14"/>
    <w:rsid w:val="00077198"/>
    <w:rsid w:val="000828A6"/>
    <w:rsid w:val="0009207A"/>
    <w:rsid w:val="0009610F"/>
    <w:rsid w:val="0009799C"/>
    <w:rsid w:val="00097E9A"/>
    <w:rsid w:val="000A0406"/>
    <w:rsid w:val="000A553E"/>
    <w:rsid w:val="000A733A"/>
    <w:rsid w:val="000B0BCD"/>
    <w:rsid w:val="000B575C"/>
    <w:rsid w:val="000C003A"/>
    <w:rsid w:val="000C1555"/>
    <w:rsid w:val="000D203E"/>
    <w:rsid w:val="000D69E5"/>
    <w:rsid w:val="000D7640"/>
    <w:rsid w:val="000E17D1"/>
    <w:rsid w:val="000E6955"/>
    <w:rsid w:val="000F3862"/>
    <w:rsid w:val="0010768A"/>
    <w:rsid w:val="00107D4A"/>
    <w:rsid w:val="00115CDF"/>
    <w:rsid w:val="00126AC8"/>
    <w:rsid w:val="001313C1"/>
    <w:rsid w:val="00146BCD"/>
    <w:rsid w:val="00147009"/>
    <w:rsid w:val="001534C0"/>
    <w:rsid w:val="0015563B"/>
    <w:rsid w:val="0015611C"/>
    <w:rsid w:val="001572CE"/>
    <w:rsid w:val="00160368"/>
    <w:rsid w:val="00161EC2"/>
    <w:rsid w:val="00164485"/>
    <w:rsid w:val="00167778"/>
    <w:rsid w:val="00170F64"/>
    <w:rsid w:val="00176583"/>
    <w:rsid w:val="001845DF"/>
    <w:rsid w:val="00184DB4"/>
    <w:rsid w:val="0019429B"/>
    <w:rsid w:val="001A3468"/>
    <w:rsid w:val="001A35B3"/>
    <w:rsid w:val="001A5409"/>
    <w:rsid w:val="001A7245"/>
    <w:rsid w:val="001B3F93"/>
    <w:rsid w:val="001C12EE"/>
    <w:rsid w:val="001C1DB8"/>
    <w:rsid w:val="001C4A04"/>
    <w:rsid w:val="001D4F5C"/>
    <w:rsid w:val="001E437C"/>
    <w:rsid w:val="001E789B"/>
    <w:rsid w:val="001F0AA4"/>
    <w:rsid w:val="001F12BF"/>
    <w:rsid w:val="001F1801"/>
    <w:rsid w:val="00202F6E"/>
    <w:rsid w:val="00207589"/>
    <w:rsid w:val="0021460A"/>
    <w:rsid w:val="00216F93"/>
    <w:rsid w:val="00224C40"/>
    <w:rsid w:val="00233F7C"/>
    <w:rsid w:val="00254BE2"/>
    <w:rsid w:val="00261881"/>
    <w:rsid w:val="00262584"/>
    <w:rsid w:val="00264809"/>
    <w:rsid w:val="00264937"/>
    <w:rsid w:val="00273307"/>
    <w:rsid w:val="00283E96"/>
    <w:rsid w:val="00284BD6"/>
    <w:rsid w:val="00286A17"/>
    <w:rsid w:val="0028773A"/>
    <w:rsid w:val="00295F1B"/>
    <w:rsid w:val="002979BE"/>
    <w:rsid w:val="002A76B1"/>
    <w:rsid w:val="002B5B2F"/>
    <w:rsid w:val="002C1088"/>
    <w:rsid w:val="002C1729"/>
    <w:rsid w:val="002D3762"/>
    <w:rsid w:val="002D7597"/>
    <w:rsid w:val="002D78BD"/>
    <w:rsid w:val="002E37C5"/>
    <w:rsid w:val="002E4D47"/>
    <w:rsid w:val="002F0AF4"/>
    <w:rsid w:val="002F6528"/>
    <w:rsid w:val="002F6F6E"/>
    <w:rsid w:val="003175D9"/>
    <w:rsid w:val="00321D49"/>
    <w:rsid w:val="00325A69"/>
    <w:rsid w:val="00346450"/>
    <w:rsid w:val="00346ABC"/>
    <w:rsid w:val="003516B6"/>
    <w:rsid w:val="0035263B"/>
    <w:rsid w:val="0035696B"/>
    <w:rsid w:val="0036139B"/>
    <w:rsid w:val="00364602"/>
    <w:rsid w:val="0036506C"/>
    <w:rsid w:val="003678A4"/>
    <w:rsid w:val="00375A39"/>
    <w:rsid w:val="003825B1"/>
    <w:rsid w:val="003A7274"/>
    <w:rsid w:val="003A7623"/>
    <w:rsid w:val="003A7A09"/>
    <w:rsid w:val="003B50D9"/>
    <w:rsid w:val="003B5CE0"/>
    <w:rsid w:val="003C060B"/>
    <w:rsid w:val="003C2AEC"/>
    <w:rsid w:val="003D3270"/>
    <w:rsid w:val="003D3670"/>
    <w:rsid w:val="003E6C72"/>
    <w:rsid w:val="003F450A"/>
    <w:rsid w:val="0040695F"/>
    <w:rsid w:val="0041163B"/>
    <w:rsid w:val="004134AE"/>
    <w:rsid w:val="004134FF"/>
    <w:rsid w:val="0041716C"/>
    <w:rsid w:val="00421BD4"/>
    <w:rsid w:val="00424593"/>
    <w:rsid w:val="00430EC9"/>
    <w:rsid w:val="004334B9"/>
    <w:rsid w:val="00433ED5"/>
    <w:rsid w:val="0043545C"/>
    <w:rsid w:val="00447C1C"/>
    <w:rsid w:val="00452138"/>
    <w:rsid w:val="004527F2"/>
    <w:rsid w:val="004626C7"/>
    <w:rsid w:val="00464424"/>
    <w:rsid w:val="004670CE"/>
    <w:rsid w:val="0047062A"/>
    <w:rsid w:val="004738DE"/>
    <w:rsid w:val="00474E67"/>
    <w:rsid w:val="004757A1"/>
    <w:rsid w:val="00480222"/>
    <w:rsid w:val="00484BC8"/>
    <w:rsid w:val="0048635A"/>
    <w:rsid w:val="00486B1F"/>
    <w:rsid w:val="00491036"/>
    <w:rsid w:val="00495B02"/>
    <w:rsid w:val="004A01CD"/>
    <w:rsid w:val="004A09C9"/>
    <w:rsid w:val="004A177A"/>
    <w:rsid w:val="004A29DB"/>
    <w:rsid w:val="004A4F2A"/>
    <w:rsid w:val="004B224E"/>
    <w:rsid w:val="004B5739"/>
    <w:rsid w:val="004B6802"/>
    <w:rsid w:val="004B735C"/>
    <w:rsid w:val="004D2B7B"/>
    <w:rsid w:val="004D6035"/>
    <w:rsid w:val="004E2076"/>
    <w:rsid w:val="004E3938"/>
    <w:rsid w:val="004F2E63"/>
    <w:rsid w:val="004F63F3"/>
    <w:rsid w:val="0050113E"/>
    <w:rsid w:val="005013C2"/>
    <w:rsid w:val="005014C9"/>
    <w:rsid w:val="005025ED"/>
    <w:rsid w:val="00504513"/>
    <w:rsid w:val="0050454B"/>
    <w:rsid w:val="00504879"/>
    <w:rsid w:val="00507476"/>
    <w:rsid w:val="0051067D"/>
    <w:rsid w:val="00514FB7"/>
    <w:rsid w:val="0052757E"/>
    <w:rsid w:val="00527B68"/>
    <w:rsid w:val="00536C7A"/>
    <w:rsid w:val="0054605D"/>
    <w:rsid w:val="00562B16"/>
    <w:rsid w:val="00562F3E"/>
    <w:rsid w:val="0056531D"/>
    <w:rsid w:val="005658BD"/>
    <w:rsid w:val="00571016"/>
    <w:rsid w:val="005750E9"/>
    <w:rsid w:val="005751CB"/>
    <w:rsid w:val="00575691"/>
    <w:rsid w:val="00582B11"/>
    <w:rsid w:val="00583877"/>
    <w:rsid w:val="00584EB0"/>
    <w:rsid w:val="005873E3"/>
    <w:rsid w:val="005904AF"/>
    <w:rsid w:val="00592D6A"/>
    <w:rsid w:val="005933D1"/>
    <w:rsid w:val="005942A3"/>
    <w:rsid w:val="005A0D42"/>
    <w:rsid w:val="005A1207"/>
    <w:rsid w:val="005A6382"/>
    <w:rsid w:val="005B3ACD"/>
    <w:rsid w:val="005C11B2"/>
    <w:rsid w:val="005D0767"/>
    <w:rsid w:val="005D35E9"/>
    <w:rsid w:val="005D4569"/>
    <w:rsid w:val="005D5EEF"/>
    <w:rsid w:val="005E066B"/>
    <w:rsid w:val="005E16C0"/>
    <w:rsid w:val="005E3971"/>
    <w:rsid w:val="005F14C8"/>
    <w:rsid w:val="005F49BD"/>
    <w:rsid w:val="00612ABB"/>
    <w:rsid w:val="0061393C"/>
    <w:rsid w:val="00623961"/>
    <w:rsid w:val="00624298"/>
    <w:rsid w:val="00625A1A"/>
    <w:rsid w:val="00625A85"/>
    <w:rsid w:val="00633F06"/>
    <w:rsid w:val="006344E1"/>
    <w:rsid w:val="0064021F"/>
    <w:rsid w:val="006432F2"/>
    <w:rsid w:val="006561E7"/>
    <w:rsid w:val="00662A53"/>
    <w:rsid w:val="0066700F"/>
    <w:rsid w:val="00670B5F"/>
    <w:rsid w:val="00671323"/>
    <w:rsid w:val="0068237F"/>
    <w:rsid w:val="00684FCF"/>
    <w:rsid w:val="00691109"/>
    <w:rsid w:val="00693364"/>
    <w:rsid w:val="00695100"/>
    <w:rsid w:val="00695C61"/>
    <w:rsid w:val="00697AAF"/>
    <w:rsid w:val="006A0BF2"/>
    <w:rsid w:val="006A10E4"/>
    <w:rsid w:val="006A383C"/>
    <w:rsid w:val="006A427A"/>
    <w:rsid w:val="006C0255"/>
    <w:rsid w:val="006C0271"/>
    <w:rsid w:val="006C36D3"/>
    <w:rsid w:val="006C3B5C"/>
    <w:rsid w:val="006C4DF4"/>
    <w:rsid w:val="006C6DE9"/>
    <w:rsid w:val="006C6E61"/>
    <w:rsid w:val="006D3C3D"/>
    <w:rsid w:val="006D6509"/>
    <w:rsid w:val="006E2E9E"/>
    <w:rsid w:val="006E4643"/>
    <w:rsid w:val="006E4A48"/>
    <w:rsid w:val="006F6E3E"/>
    <w:rsid w:val="00703E28"/>
    <w:rsid w:val="00707A17"/>
    <w:rsid w:val="007237D6"/>
    <w:rsid w:val="00724440"/>
    <w:rsid w:val="00730030"/>
    <w:rsid w:val="00732720"/>
    <w:rsid w:val="00733D27"/>
    <w:rsid w:val="007351F6"/>
    <w:rsid w:val="00740A87"/>
    <w:rsid w:val="00741D79"/>
    <w:rsid w:val="00743303"/>
    <w:rsid w:val="007443E9"/>
    <w:rsid w:val="007469F5"/>
    <w:rsid w:val="00747F84"/>
    <w:rsid w:val="00753C86"/>
    <w:rsid w:val="00760BF0"/>
    <w:rsid w:val="00763EF7"/>
    <w:rsid w:val="00771EF7"/>
    <w:rsid w:val="00775E1B"/>
    <w:rsid w:val="007816E7"/>
    <w:rsid w:val="00792062"/>
    <w:rsid w:val="007A3992"/>
    <w:rsid w:val="007A4858"/>
    <w:rsid w:val="007A64EE"/>
    <w:rsid w:val="007B1694"/>
    <w:rsid w:val="007B44FF"/>
    <w:rsid w:val="007B6950"/>
    <w:rsid w:val="007C0B66"/>
    <w:rsid w:val="007C20FE"/>
    <w:rsid w:val="007C3223"/>
    <w:rsid w:val="007C3764"/>
    <w:rsid w:val="007C4B27"/>
    <w:rsid w:val="007D1EDF"/>
    <w:rsid w:val="007D32E8"/>
    <w:rsid w:val="007D5AA4"/>
    <w:rsid w:val="007E13FF"/>
    <w:rsid w:val="007F37E0"/>
    <w:rsid w:val="00802A5B"/>
    <w:rsid w:val="0081339A"/>
    <w:rsid w:val="00813DE3"/>
    <w:rsid w:val="00823B23"/>
    <w:rsid w:val="00831C9D"/>
    <w:rsid w:val="0083793A"/>
    <w:rsid w:val="00851093"/>
    <w:rsid w:val="00853E99"/>
    <w:rsid w:val="0085601D"/>
    <w:rsid w:val="00856627"/>
    <w:rsid w:val="00864A95"/>
    <w:rsid w:val="00870C19"/>
    <w:rsid w:val="00875043"/>
    <w:rsid w:val="008858C8"/>
    <w:rsid w:val="00893C10"/>
    <w:rsid w:val="0089484C"/>
    <w:rsid w:val="00896EB3"/>
    <w:rsid w:val="008972E6"/>
    <w:rsid w:val="00897A38"/>
    <w:rsid w:val="008A1AEB"/>
    <w:rsid w:val="008A4E21"/>
    <w:rsid w:val="008A6E01"/>
    <w:rsid w:val="008B7E41"/>
    <w:rsid w:val="008C5572"/>
    <w:rsid w:val="008D062F"/>
    <w:rsid w:val="008D2645"/>
    <w:rsid w:val="008D2F7D"/>
    <w:rsid w:val="008D3071"/>
    <w:rsid w:val="008D7331"/>
    <w:rsid w:val="008E050B"/>
    <w:rsid w:val="008E6306"/>
    <w:rsid w:val="008F3A38"/>
    <w:rsid w:val="0090056D"/>
    <w:rsid w:val="00900FA7"/>
    <w:rsid w:val="00915F00"/>
    <w:rsid w:val="00922C6E"/>
    <w:rsid w:val="00930457"/>
    <w:rsid w:val="009315CD"/>
    <w:rsid w:val="009334E3"/>
    <w:rsid w:val="009526CE"/>
    <w:rsid w:val="009611F1"/>
    <w:rsid w:val="00973C53"/>
    <w:rsid w:val="00991B0A"/>
    <w:rsid w:val="0099794E"/>
    <w:rsid w:val="009A328E"/>
    <w:rsid w:val="009B610A"/>
    <w:rsid w:val="009B6F34"/>
    <w:rsid w:val="009C42A8"/>
    <w:rsid w:val="009C5CE1"/>
    <w:rsid w:val="009C78FC"/>
    <w:rsid w:val="009D1C10"/>
    <w:rsid w:val="009D59AA"/>
    <w:rsid w:val="009D67DC"/>
    <w:rsid w:val="009D7668"/>
    <w:rsid w:val="009E0F23"/>
    <w:rsid w:val="009E20FD"/>
    <w:rsid w:val="009E53B6"/>
    <w:rsid w:val="009E7B3C"/>
    <w:rsid w:val="009F3C49"/>
    <w:rsid w:val="00A02EB4"/>
    <w:rsid w:val="00A13210"/>
    <w:rsid w:val="00A20A33"/>
    <w:rsid w:val="00A21056"/>
    <w:rsid w:val="00A22364"/>
    <w:rsid w:val="00A23258"/>
    <w:rsid w:val="00A235C9"/>
    <w:rsid w:val="00A301AA"/>
    <w:rsid w:val="00A337CE"/>
    <w:rsid w:val="00A43CB5"/>
    <w:rsid w:val="00A52092"/>
    <w:rsid w:val="00A611E3"/>
    <w:rsid w:val="00A63275"/>
    <w:rsid w:val="00A730BA"/>
    <w:rsid w:val="00A76782"/>
    <w:rsid w:val="00A82402"/>
    <w:rsid w:val="00A848E5"/>
    <w:rsid w:val="00A9014F"/>
    <w:rsid w:val="00AC5889"/>
    <w:rsid w:val="00AD1FA3"/>
    <w:rsid w:val="00AD3815"/>
    <w:rsid w:val="00AE50F2"/>
    <w:rsid w:val="00AF06EB"/>
    <w:rsid w:val="00AF3CF5"/>
    <w:rsid w:val="00AF6526"/>
    <w:rsid w:val="00B04350"/>
    <w:rsid w:val="00B057C6"/>
    <w:rsid w:val="00B133B9"/>
    <w:rsid w:val="00B176F1"/>
    <w:rsid w:val="00B21983"/>
    <w:rsid w:val="00B23B9D"/>
    <w:rsid w:val="00B245A3"/>
    <w:rsid w:val="00B246EF"/>
    <w:rsid w:val="00B25BF8"/>
    <w:rsid w:val="00B34199"/>
    <w:rsid w:val="00B341AE"/>
    <w:rsid w:val="00B37398"/>
    <w:rsid w:val="00B41D26"/>
    <w:rsid w:val="00B53EB9"/>
    <w:rsid w:val="00B605A0"/>
    <w:rsid w:val="00B66678"/>
    <w:rsid w:val="00B74650"/>
    <w:rsid w:val="00B76E47"/>
    <w:rsid w:val="00B93A50"/>
    <w:rsid w:val="00B9680F"/>
    <w:rsid w:val="00BA12B8"/>
    <w:rsid w:val="00BB1615"/>
    <w:rsid w:val="00BB583E"/>
    <w:rsid w:val="00BC0139"/>
    <w:rsid w:val="00BC4B97"/>
    <w:rsid w:val="00BC5846"/>
    <w:rsid w:val="00BD452D"/>
    <w:rsid w:val="00BE5970"/>
    <w:rsid w:val="00BF39B4"/>
    <w:rsid w:val="00BF3C11"/>
    <w:rsid w:val="00C04B49"/>
    <w:rsid w:val="00C07801"/>
    <w:rsid w:val="00C16F93"/>
    <w:rsid w:val="00C226E9"/>
    <w:rsid w:val="00C25B34"/>
    <w:rsid w:val="00C347B9"/>
    <w:rsid w:val="00C35CC4"/>
    <w:rsid w:val="00C366CF"/>
    <w:rsid w:val="00C420B9"/>
    <w:rsid w:val="00C50228"/>
    <w:rsid w:val="00C51F61"/>
    <w:rsid w:val="00C52CB7"/>
    <w:rsid w:val="00C61B0B"/>
    <w:rsid w:val="00C71A77"/>
    <w:rsid w:val="00C720C6"/>
    <w:rsid w:val="00C72373"/>
    <w:rsid w:val="00C73A6B"/>
    <w:rsid w:val="00C765C8"/>
    <w:rsid w:val="00C77547"/>
    <w:rsid w:val="00C77B57"/>
    <w:rsid w:val="00C82DCF"/>
    <w:rsid w:val="00C83ACE"/>
    <w:rsid w:val="00C86D36"/>
    <w:rsid w:val="00CA1B28"/>
    <w:rsid w:val="00CA2679"/>
    <w:rsid w:val="00CA2C0B"/>
    <w:rsid w:val="00CB214E"/>
    <w:rsid w:val="00CB4779"/>
    <w:rsid w:val="00CB57EC"/>
    <w:rsid w:val="00CC3C69"/>
    <w:rsid w:val="00CC41FA"/>
    <w:rsid w:val="00CC76A7"/>
    <w:rsid w:val="00CD4EBB"/>
    <w:rsid w:val="00CF182C"/>
    <w:rsid w:val="00CF1C82"/>
    <w:rsid w:val="00CF2ECA"/>
    <w:rsid w:val="00D06810"/>
    <w:rsid w:val="00D1515D"/>
    <w:rsid w:val="00D3198C"/>
    <w:rsid w:val="00D335AF"/>
    <w:rsid w:val="00D346D7"/>
    <w:rsid w:val="00D3726F"/>
    <w:rsid w:val="00D44743"/>
    <w:rsid w:val="00D45EFA"/>
    <w:rsid w:val="00D5008E"/>
    <w:rsid w:val="00D50CA5"/>
    <w:rsid w:val="00D5490D"/>
    <w:rsid w:val="00D57539"/>
    <w:rsid w:val="00D61316"/>
    <w:rsid w:val="00D67779"/>
    <w:rsid w:val="00D756F5"/>
    <w:rsid w:val="00D859D7"/>
    <w:rsid w:val="00D8778F"/>
    <w:rsid w:val="00D972E6"/>
    <w:rsid w:val="00DA215B"/>
    <w:rsid w:val="00DA3DB3"/>
    <w:rsid w:val="00DB0182"/>
    <w:rsid w:val="00DB5FBA"/>
    <w:rsid w:val="00DB782A"/>
    <w:rsid w:val="00DC0FC2"/>
    <w:rsid w:val="00DE0DFB"/>
    <w:rsid w:val="00DE3B5B"/>
    <w:rsid w:val="00DE53A9"/>
    <w:rsid w:val="00DF00F7"/>
    <w:rsid w:val="00DF1E84"/>
    <w:rsid w:val="00DF36A5"/>
    <w:rsid w:val="00DF52F5"/>
    <w:rsid w:val="00DF5534"/>
    <w:rsid w:val="00DF5BB0"/>
    <w:rsid w:val="00DF6093"/>
    <w:rsid w:val="00DF7D06"/>
    <w:rsid w:val="00E029FB"/>
    <w:rsid w:val="00E04C12"/>
    <w:rsid w:val="00E07925"/>
    <w:rsid w:val="00E116C8"/>
    <w:rsid w:val="00E13F8E"/>
    <w:rsid w:val="00E22790"/>
    <w:rsid w:val="00E27478"/>
    <w:rsid w:val="00E349C4"/>
    <w:rsid w:val="00E44897"/>
    <w:rsid w:val="00E550E3"/>
    <w:rsid w:val="00E6358B"/>
    <w:rsid w:val="00E65333"/>
    <w:rsid w:val="00E7663C"/>
    <w:rsid w:val="00E80022"/>
    <w:rsid w:val="00E814EA"/>
    <w:rsid w:val="00E839AF"/>
    <w:rsid w:val="00E9116D"/>
    <w:rsid w:val="00E9333A"/>
    <w:rsid w:val="00E93DED"/>
    <w:rsid w:val="00EA36C5"/>
    <w:rsid w:val="00EA3F24"/>
    <w:rsid w:val="00EA4E01"/>
    <w:rsid w:val="00EB055B"/>
    <w:rsid w:val="00EB20F7"/>
    <w:rsid w:val="00EB3AE3"/>
    <w:rsid w:val="00EB4499"/>
    <w:rsid w:val="00EB6E74"/>
    <w:rsid w:val="00EC43DB"/>
    <w:rsid w:val="00EC45EC"/>
    <w:rsid w:val="00EC469A"/>
    <w:rsid w:val="00ED0C7F"/>
    <w:rsid w:val="00ED334A"/>
    <w:rsid w:val="00ED4CD8"/>
    <w:rsid w:val="00EE325E"/>
    <w:rsid w:val="00EE4042"/>
    <w:rsid w:val="00EE766C"/>
    <w:rsid w:val="00EE7E50"/>
    <w:rsid w:val="00EF12C4"/>
    <w:rsid w:val="00EF2F69"/>
    <w:rsid w:val="00EF314B"/>
    <w:rsid w:val="00EF4800"/>
    <w:rsid w:val="00EF74F0"/>
    <w:rsid w:val="00F02CF0"/>
    <w:rsid w:val="00F0365C"/>
    <w:rsid w:val="00F04F63"/>
    <w:rsid w:val="00F07FAE"/>
    <w:rsid w:val="00F13CF1"/>
    <w:rsid w:val="00F171FB"/>
    <w:rsid w:val="00F21E09"/>
    <w:rsid w:val="00F23EA6"/>
    <w:rsid w:val="00F25710"/>
    <w:rsid w:val="00F27DE3"/>
    <w:rsid w:val="00F27FA9"/>
    <w:rsid w:val="00F335F2"/>
    <w:rsid w:val="00F34283"/>
    <w:rsid w:val="00F36BB9"/>
    <w:rsid w:val="00F40F01"/>
    <w:rsid w:val="00F4759C"/>
    <w:rsid w:val="00F5371D"/>
    <w:rsid w:val="00F537B5"/>
    <w:rsid w:val="00F56574"/>
    <w:rsid w:val="00F617BC"/>
    <w:rsid w:val="00F63B06"/>
    <w:rsid w:val="00F72B38"/>
    <w:rsid w:val="00F74930"/>
    <w:rsid w:val="00F9000B"/>
    <w:rsid w:val="00F90D56"/>
    <w:rsid w:val="00F910D0"/>
    <w:rsid w:val="00FA4D09"/>
    <w:rsid w:val="00FA77A6"/>
    <w:rsid w:val="00FB1AED"/>
    <w:rsid w:val="00FB75B8"/>
    <w:rsid w:val="00FC30BB"/>
    <w:rsid w:val="00FC4118"/>
    <w:rsid w:val="00FC4DF6"/>
    <w:rsid w:val="00FC569A"/>
    <w:rsid w:val="00FC7BBB"/>
    <w:rsid w:val="00FD183D"/>
    <w:rsid w:val="00FD19E5"/>
    <w:rsid w:val="00FD5589"/>
    <w:rsid w:val="00FD65F8"/>
    <w:rsid w:val="00FE0A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5C294B56-4AA6-4BD2-9550-9B783BF9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460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D3C3D"/>
    <w:pPr>
      <w:spacing w:after="0" w:line="240" w:lineRule="auto"/>
    </w:pPr>
    <w:rPr>
      <w:rFonts w:ascii="Calibri" w:hAnsi="Calibri" w:cs="Times New Roman"/>
      <w:b/>
      <w:bCs/>
      <w:cap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D3C3D"/>
    <w:pPr>
      <w:ind w:left="720"/>
      <w:contextualSpacing/>
    </w:pPr>
  </w:style>
  <w:style w:type="paragraph" w:customStyle="1" w:styleId="Paragrafoelenco1">
    <w:name w:val="Paragrafo elenco1"/>
    <w:basedOn w:val="Normale"/>
    <w:uiPriority w:val="99"/>
    <w:rsid w:val="006D3C3D"/>
    <w:pPr>
      <w:ind w:left="720"/>
    </w:pPr>
    <w:rPr>
      <w:rFonts w:eastAsia="Calibri"/>
    </w:rPr>
  </w:style>
  <w:style w:type="paragraph" w:customStyle="1" w:styleId="testo2">
    <w:name w:val="testo2"/>
    <w:basedOn w:val="Normale"/>
    <w:uiPriority w:val="99"/>
    <w:rsid w:val="006D3C3D"/>
    <w:pPr>
      <w:widowControl w:val="0"/>
      <w:spacing w:before="120" w:line="360" w:lineRule="auto"/>
    </w:pPr>
  </w:style>
  <w:style w:type="paragraph" w:styleId="Intestazione">
    <w:name w:val="header"/>
    <w:basedOn w:val="Normale"/>
    <w:link w:val="IntestazioneCarattere"/>
    <w:uiPriority w:val="99"/>
    <w:unhideWhenUsed/>
    <w:rsid w:val="00AE50F2"/>
    <w:pPr>
      <w:tabs>
        <w:tab w:val="center" w:pos="4819"/>
        <w:tab w:val="right" w:pos="9638"/>
      </w:tabs>
    </w:pPr>
  </w:style>
  <w:style w:type="character" w:customStyle="1" w:styleId="IntestazioneCarattere">
    <w:name w:val="Intestazione Carattere"/>
    <w:basedOn w:val="Carpredefinitoparagrafo"/>
    <w:link w:val="Intestazione"/>
    <w:uiPriority w:val="99"/>
    <w:rsid w:val="00AE50F2"/>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AE50F2"/>
    <w:pPr>
      <w:tabs>
        <w:tab w:val="center" w:pos="4819"/>
        <w:tab w:val="right" w:pos="9638"/>
      </w:tabs>
    </w:pPr>
  </w:style>
  <w:style w:type="character" w:customStyle="1" w:styleId="PidipaginaCarattere">
    <w:name w:val="Piè di pagina Carattere"/>
    <w:basedOn w:val="Carpredefinitoparagrafo"/>
    <w:link w:val="Pidipagina"/>
    <w:uiPriority w:val="99"/>
    <w:rsid w:val="00AE50F2"/>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F63B0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3B06"/>
    <w:rPr>
      <w:rFonts w:ascii="Tahoma" w:eastAsia="Times New Roman" w:hAnsi="Tahoma" w:cs="Tahoma"/>
      <w:sz w:val="16"/>
      <w:szCs w:val="16"/>
      <w:lang w:eastAsia="it-IT"/>
    </w:rPr>
  </w:style>
  <w:style w:type="paragraph" w:customStyle="1" w:styleId="Default">
    <w:name w:val="Default"/>
    <w:uiPriority w:val="99"/>
    <w:rsid w:val="00575691"/>
    <w:pPr>
      <w:autoSpaceDE w:val="0"/>
      <w:autoSpaceDN w:val="0"/>
      <w:adjustRightInd w:val="0"/>
      <w:spacing w:after="0" w:line="240" w:lineRule="auto"/>
    </w:pPr>
    <w:rPr>
      <w:rFonts w:ascii="Calibri" w:hAnsi="Calibri" w:cs="Calibri"/>
      <w:color w:val="000000"/>
      <w:sz w:val="24"/>
      <w:szCs w:val="24"/>
    </w:rPr>
  </w:style>
  <w:style w:type="paragraph" w:styleId="Revisione">
    <w:name w:val="Revision"/>
    <w:hidden/>
    <w:uiPriority w:val="99"/>
    <w:semiHidden/>
    <w:rsid w:val="00FC4DF6"/>
    <w:pPr>
      <w:spacing w:after="0" w:line="240" w:lineRule="auto"/>
    </w:pPr>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uiPriority w:val="99"/>
    <w:semiHidden/>
    <w:unhideWhenUsed/>
    <w:rsid w:val="0068237F"/>
    <w:rPr>
      <w:sz w:val="20"/>
    </w:rPr>
  </w:style>
  <w:style w:type="character" w:customStyle="1" w:styleId="TestonotaapidipaginaCarattere">
    <w:name w:val="Testo nota a piè di pagina Carattere"/>
    <w:basedOn w:val="Carpredefinitoparagrafo"/>
    <w:link w:val="Testonotaapidipagina"/>
    <w:uiPriority w:val="99"/>
    <w:semiHidden/>
    <w:rsid w:val="0068237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8237F"/>
    <w:rPr>
      <w:vertAlign w:val="superscript"/>
    </w:rPr>
  </w:style>
  <w:style w:type="paragraph" w:styleId="NormaleWeb">
    <w:name w:val="Normal (Web)"/>
    <w:basedOn w:val="Normale"/>
    <w:uiPriority w:val="99"/>
    <w:unhideWhenUsed/>
    <w:rsid w:val="00775E1B"/>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668221">
      <w:bodyDiv w:val="1"/>
      <w:marLeft w:val="0"/>
      <w:marRight w:val="0"/>
      <w:marTop w:val="0"/>
      <w:marBottom w:val="0"/>
      <w:divBdr>
        <w:top w:val="none" w:sz="0" w:space="0" w:color="auto"/>
        <w:left w:val="none" w:sz="0" w:space="0" w:color="auto"/>
        <w:bottom w:val="none" w:sz="0" w:space="0" w:color="auto"/>
        <w:right w:val="none" w:sz="0" w:space="0" w:color="auto"/>
      </w:divBdr>
    </w:div>
    <w:div w:id="379549862">
      <w:bodyDiv w:val="1"/>
      <w:marLeft w:val="0"/>
      <w:marRight w:val="0"/>
      <w:marTop w:val="0"/>
      <w:marBottom w:val="0"/>
      <w:divBdr>
        <w:top w:val="none" w:sz="0" w:space="0" w:color="auto"/>
        <w:left w:val="none" w:sz="0" w:space="0" w:color="auto"/>
        <w:bottom w:val="none" w:sz="0" w:space="0" w:color="auto"/>
        <w:right w:val="none" w:sz="0" w:space="0" w:color="auto"/>
      </w:divBdr>
    </w:div>
    <w:div w:id="491220476">
      <w:bodyDiv w:val="1"/>
      <w:marLeft w:val="0"/>
      <w:marRight w:val="0"/>
      <w:marTop w:val="0"/>
      <w:marBottom w:val="0"/>
      <w:divBdr>
        <w:top w:val="none" w:sz="0" w:space="0" w:color="auto"/>
        <w:left w:val="none" w:sz="0" w:space="0" w:color="auto"/>
        <w:bottom w:val="none" w:sz="0" w:space="0" w:color="auto"/>
        <w:right w:val="none" w:sz="0" w:space="0" w:color="auto"/>
      </w:divBdr>
    </w:div>
    <w:div w:id="585966754">
      <w:bodyDiv w:val="1"/>
      <w:marLeft w:val="0"/>
      <w:marRight w:val="0"/>
      <w:marTop w:val="0"/>
      <w:marBottom w:val="0"/>
      <w:divBdr>
        <w:top w:val="none" w:sz="0" w:space="0" w:color="auto"/>
        <w:left w:val="none" w:sz="0" w:space="0" w:color="auto"/>
        <w:bottom w:val="none" w:sz="0" w:space="0" w:color="auto"/>
        <w:right w:val="none" w:sz="0" w:space="0" w:color="auto"/>
      </w:divBdr>
    </w:div>
    <w:div w:id="757212766">
      <w:bodyDiv w:val="1"/>
      <w:marLeft w:val="0"/>
      <w:marRight w:val="0"/>
      <w:marTop w:val="0"/>
      <w:marBottom w:val="0"/>
      <w:divBdr>
        <w:top w:val="none" w:sz="0" w:space="0" w:color="auto"/>
        <w:left w:val="none" w:sz="0" w:space="0" w:color="auto"/>
        <w:bottom w:val="none" w:sz="0" w:space="0" w:color="auto"/>
        <w:right w:val="none" w:sz="0" w:space="0" w:color="auto"/>
      </w:divBdr>
    </w:div>
    <w:div w:id="771055119">
      <w:bodyDiv w:val="1"/>
      <w:marLeft w:val="0"/>
      <w:marRight w:val="0"/>
      <w:marTop w:val="0"/>
      <w:marBottom w:val="0"/>
      <w:divBdr>
        <w:top w:val="none" w:sz="0" w:space="0" w:color="auto"/>
        <w:left w:val="none" w:sz="0" w:space="0" w:color="auto"/>
        <w:bottom w:val="none" w:sz="0" w:space="0" w:color="auto"/>
        <w:right w:val="none" w:sz="0" w:space="0" w:color="auto"/>
      </w:divBdr>
    </w:div>
    <w:div w:id="893201504">
      <w:bodyDiv w:val="1"/>
      <w:marLeft w:val="0"/>
      <w:marRight w:val="0"/>
      <w:marTop w:val="0"/>
      <w:marBottom w:val="0"/>
      <w:divBdr>
        <w:top w:val="none" w:sz="0" w:space="0" w:color="auto"/>
        <w:left w:val="none" w:sz="0" w:space="0" w:color="auto"/>
        <w:bottom w:val="none" w:sz="0" w:space="0" w:color="auto"/>
        <w:right w:val="none" w:sz="0" w:space="0" w:color="auto"/>
      </w:divBdr>
    </w:div>
    <w:div w:id="935551748">
      <w:bodyDiv w:val="1"/>
      <w:marLeft w:val="0"/>
      <w:marRight w:val="0"/>
      <w:marTop w:val="0"/>
      <w:marBottom w:val="0"/>
      <w:divBdr>
        <w:top w:val="none" w:sz="0" w:space="0" w:color="auto"/>
        <w:left w:val="none" w:sz="0" w:space="0" w:color="auto"/>
        <w:bottom w:val="none" w:sz="0" w:space="0" w:color="auto"/>
        <w:right w:val="none" w:sz="0" w:space="0" w:color="auto"/>
      </w:divBdr>
    </w:div>
    <w:div w:id="1016998825">
      <w:bodyDiv w:val="1"/>
      <w:marLeft w:val="0"/>
      <w:marRight w:val="0"/>
      <w:marTop w:val="0"/>
      <w:marBottom w:val="0"/>
      <w:divBdr>
        <w:top w:val="none" w:sz="0" w:space="0" w:color="auto"/>
        <w:left w:val="none" w:sz="0" w:space="0" w:color="auto"/>
        <w:bottom w:val="none" w:sz="0" w:space="0" w:color="auto"/>
        <w:right w:val="none" w:sz="0" w:space="0" w:color="auto"/>
      </w:divBdr>
    </w:div>
    <w:div w:id="1117024108">
      <w:bodyDiv w:val="1"/>
      <w:marLeft w:val="0"/>
      <w:marRight w:val="0"/>
      <w:marTop w:val="0"/>
      <w:marBottom w:val="0"/>
      <w:divBdr>
        <w:top w:val="none" w:sz="0" w:space="0" w:color="auto"/>
        <w:left w:val="none" w:sz="0" w:space="0" w:color="auto"/>
        <w:bottom w:val="none" w:sz="0" w:space="0" w:color="auto"/>
        <w:right w:val="none" w:sz="0" w:space="0" w:color="auto"/>
      </w:divBdr>
    </w:div>
    <w:div w:id="1367562018">
      <w:bodyDiv w:val="1"/>
      <w:marLeft w:val="0"/>
      <w:marRight w:val="0"/>
      <w:marTop w:val="0"/>
      <w:marBottom w:val="0"/>
      <w:divBdr>
        <w:top w:val="none" w:sz="0" w:space="0" w:color="auto"/>
        <w:left w:val="none" w:sz="0" w:space="0" w:color="auto"/>
        <w:bottom w:val="none" w:sz="0" w:space="0" w:color="auto"/>
        <w:right w:val="none" w:sz="0" w:space="0" w:color="auto"/>
      </w:divBdr>
    </w:div>
    <w:div w:id="1651707510">
      <w:bodyDiv w:val="1"/>
      <w:marLeft w:val="0"/>
      <w:marRight w:val="0"/>
      <w:marTop w:val="0"/>
      <w:marBottom w:val="0"/>
      <w:divBdr>
        <w:top w:val="none" w:sz="0" w:space="0" w:color="auto"/>
        <w:left w:val="none" w:sz="0" w:space="0" w:color="auto"/>
        <w:bottom w:val="none" w:sz="0" w:space="0" w:color="auto"/>
        <w:right w:val="none" w:sz="0" w:space="0" w:color="auto"/>
      </w:divBdr>
    </w:div>
    <w:div w:id="1712068703">
      <w:bodyDiv w:val="1"/>
      <w:marLeft w:val="0"/>
      <w:marRight w:val="0"/>
      <w:marTop w:val="0"/>
      <w:marBottom w:val="0"/>
      <w:divBdr>
        <w:top w:val="none" w:sz="0" w:space="0" w:color="auto"/>
        <w:left w:val="none" w:sz="0" w:space="0" w:color="auto"/>
        <w:bottom w:val="none" w:sz="0" w:space="0" w:color="auto"/>
        <w:right w:val="none" w:sz="0" w:space="0" w:color="auto"/>
      </w:divBdr>
    </w:div>
    <w:div w:id="1902592278">
      <w:bodyDiv w:val="1"/>
      <w:marLeft w:val="0"/>
      <w:marRight w:val="0"/>
      <w:marTop w:val="0"/>
      <w:marBottom w:val="0"/>
      <w:divBdr>
        <w:top w:val="none" w:sz="0" w:space="0" w:color="auto"/>
        <w:left w:val="none" w:sz="0" w:space="0" w:color="auto"/>
        <w:bottom w:val="none" w:sz="0" w:space="0" w:color="auto"/>
        <w:right w:val="none" w:sz="0" w:space="0" w:color="auto"/>
      </w:divBdr>
    </w:div>
    <w:div w:id="1919291746">
      <w:bodyDiv w:val="1"/>
      <w:marLeft w:val="0"/>
      <w:marRight w:val="0"/>
      <w:marTop w:val="0"/>
      <w:marBottom w:val="0"/>
      <w:divBdr>
        <w:top w:val="none" w:sz="0" w:space="0" w:color="auto"/>
        <w:left w:val="none" w:sz="0" w:space="0" w:color="auto"/>
        <w:bottom w:val="none" w:sz="0" w:space="0" w:color="auto"/>
        <w:right w:val="none" w:sz="0" w:space="0" w:color="auto"/>
      </w:divBdr>
    </w:div>
    <w:div w:id="2093771933">
      <w:bodyDiv w:val="1"/>
      <w:marLeft w:val="0"/>
      <w:marRight w:val="0"/>
      <w:marTop w:val="0"/>
      <w:marBottom w:val="0"/>
      <w:divBdr>
        <w:top w:val="none" w:sz="0" w:space="0" w:color="auto"/>
        <w:left w:val="none" w:sz="0" w:space="0" w:color="auto"/>
        <w:bottom w:val="none" w:sz="0" w:space="0" w:color="auto"/>
        <w:right w:val="none" w:sz="0" w:space="0" w:color="auto"/>
      </w:divBdr>
    </w:div>
    <w:div w:id="2095079366">
      <w:bodyDiv w:val="1"/>
      <w:marLeft w:val="0"/>
      <w:marRight w:val="0"/>
      <w:marTop w:val="0"/>
      <w:marBottom w:val="0"/>
      <w:divBdr>
        <w:top w:val="none" w:sz="0" w:space="0" w:color="auto"/>
        <w:left w:val="none" w:sz="0" w:space="0" w:color="auto"/>
        <w:bottom w:val="none" w:sz="0" w:space="0" w:color="auto"/>
        <w:right w:val="none" w:sz="0" w:space="0" w:color="auto"/>
      </w:divBdr>
    </w:div>
    <w:div w:id="2131706145">
      <w:bodyDiv w:val="1"/>
      <w:marLeft w:val="0"/>
      <w:marRight w:val="0"/>
      <w:marTop w:val="0"/>
      <w:marBottom w:val="0"/>
      <w:divBdr>
        <w:top w:val="none" w:sz="0" w:space="0" w:color="auto"/>
        <w:left w:val="none" w:sz="0" w:space="0" w:color="auto"/>
        <w:bottom w:val="none" w:sz="0" w:space="0" w:color="auto"/>
        <w:right w:val="none" w:sz="0" w:space="0" w:color="auto"/>
      </w:divBdr>
    </w:div>
    <w:div w:id="2137406574">
      <w:bodyDiv w:val="1"/>
      <w:marLeft w:val="0"/>
      <w:marRight w:val="0"/>
      <w:marTop w:val="0"/>
      <w:marBottom w:val="0"/>
      <w:divBdr>
        <w:top w:val="none" w:sz="0" w:space="0" w:color="auto"/>
        <w:left w:val="none" w:sz="0" w:space="0" w:color="auto"/>
        <w:bottom w:val="none" w:sz="0" w:space="0" w:color="auto"/>
        <w:right w:val="none" w:sz="0" w:space="0" w:color="auto"/>
      </w:divBdr>
    </w:div>
    <w:div w:id="214685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91661-BE2E-4AE4-A279-ECE1652D9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3027</Words>
  <Characters>17260</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Molignoni</dc:creator>
  <cp:lastModifiedBy>UfficioStampa</cp:lastModifiedBy>
  <cp:revision>16</cp:revision>
  <cp:lastPrinted>2019-07-24T10:12:00Z</cp:lastPrinted>
  <dcterms:created xsi:type="dcterms:W3CDTF">2019-07-24T09:42:00Z</dcterms:created>
  <dcterms:modified xsi:type="dcterms:W3CDTF">2019-07-29T13:10:00Z</dcterms:modified>
</cp:coreProperties>
</file>