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B1" w:rsidRPr="001D32E4" w:rsidRDefault="009E62B1" w:rsidP="009E62B1">
      <w:pPr>
        <w:tabs>
          <w:tab w:val="left" w:pos="6128"/>
        </w:tabs>
        <w:jc w:val="center"/>
        <w:rPr>
          <w:rFonts w:asciiTheme="minorHAnsi" w:hAnsiTheme="minorHAnsi"/>
          <w:b/>
          <w:sz w:val="22"/>
          <w:szCs w:val="22"/>
        </w:rPr>
      </w:pPr>
      <w:r w:rsidRPr="001D32E4">
        <w:rPr>
          <w:rFonts w:asciiTheme="minorHAnsi" w:hAnsiTheme="minorHAnsi"/>
          <w:b/>
          <w:sz w:val="22"/>
          <w:szCs w:val="22"/>
        </w:rPr>
        <w:t>comunicato stampa</w:t>
      </w:r>
    </w:p>
    <w:p w:rsidR="009E62B1" w:rsidRPr="001D32E4" w:rsidRDefault="009E62B1" w:rsidP="009E62B1">
      <w:pPr>
        <w:tabs>
          <w:tab w:val="left" w:pos="6128"/>
        </w:tabs>
        <w:jc w:val="center"/>
        <w:rPr>
          <w:rFonts w:asciiTheme="minorHAnsi" w:hAnsiTheme="minorHAnsi"/>
          <w:b/>
          <w:sz w:val="22"/>
          <w:szCs w:val="22"/>
        </w:rPr>
      </w:pPr>
    </w:p>
    <w:p w:rsidR="009E62B1" w:rsidRPr="001D32E4" w:rsidRDefault="003B5546" w:rsidP="009E62B1">
      <w:pPr>
        <w:tabs>
          <w:tab w:val="left" w:pos="6128"/>
        </w:tabs>
        <w:jc w:val="center"/>
        <w:rPr>
          <w:rFonts w:asciiTheme="minorHAnsi" w:hAnsiTheme="minorHAnsi"/>
          <w:b/>
          <w:sz w:val="32"/>
          <w:szCs w:val="32"/>
        </w:rPr>
      </w:pPr>
      <w:r w:rsidRPr="001D32E4">
        <w:rPr>
          <w:rFonts w:asciiTheme="minorHAnsi" w:hAnsiTheme="minorHAnsi"/>
          <w:b/>
          <w:sz w:val="32"/>
          <w:szCs w:val="32"/>
        </w:rPr>
        <w:t xml:space="preserve">GABETTI: A </w:t>
      </w:r>
      <w:r w:rsidR="00524C68">
        <w:rPr>
          <w:rFonts w:asciiTheme="minorHAnsi" w:hAnsiTheme="minorHAnsi"/>
          <w:b/>
          <w:sz w:val="32"/>
          <w:szCs w:val="32"/>
        </w:rPr>
        <w:t>MILANO</w:t>
      </w:r>
      <w:r w:rsidR="00E35B3C" w:rsidRPr="001D32E4">
        <w:rPr>
          <w:rFonts w:asciiTheme="minorHAnsi" w:hAnsiTheme="minorHAnsi"/>
          <w:b/>
          <w:sz w:val="32"/>
          <w:szCs w:val="32"/>
        </w:rPr>
        <w:t xml:space="preserve"> </w:t>
      </w:r>
      <w:r w:rsidR="00EA2B91">
        <w:rPr>
          <w:rFonts w:asciiTheme="minorHAnsi" w:hAnsiTheme="minorHAnsi"/>
          <w:b/>
          <w:sz w:val="32"/>
          <w:szCs w:val="32"/>
        </w:rPr>
        <w:t>L’83</w:t>
      </w:r>
      <w:r w:rsidR="00FB7BB0" w:rsidRPr="001D32E4">
        <w:rPr>
          <w:rFonts w:asciiTheme="minorHAnsi" w:hAnsiTheme="minorHAnsi"/>
          <w:b/>
          <w:sz w:val="32"/>
          <w:szCs w:val="32"/>
        </w:rPr>
        <w:t xml:space="preserve">% DEGLI EDIFICI COSTRUITI </w:t>
      </w:r>
      <w:r w:rsidR="009E62B1" w:rsidRPr="001D32E4">
        <w:rPr>
          <w:rFonts w:asciiTheme="minorHAnsi" w:hAnsiTheme="minorHAnsi"/>
          <w:b/>
          <w:sz w:val="32"/>
          <w:szCs w:val="32"/>
        </w:rPr>
        <w:t xml:space="preserve">PRIMA DEL 1970, </w:t>
      </w:r>
    </w:p>
    <w:p w:rsidR="001703EF" w:rsidRDefault="00EA2B91" w:rsidP="001703EF">
      <w:pPr>
        <w:tabs>
          <w:tab w:val="left" w:pos="6128"/>
        </w:tabs>
        <w:jc w:val="center"/>
        <w:rPr>
          <w:rFonts w:asciiTheme="minorHAnsi" w:hAnsiTheme="minorHAnsi"/>
          <w:b/>
          <w:sz w:val="32"/>
          <w:szCs w:val="32"/>
        </w:rPr>
      </w:pPr>
      <w:r>
        <w:rPr>
          <w:rFonts w:asciiTheme="minorHAnsi" w:hAnsiTheme="minorHAnsi"/>
          <w:b/>
          <w:sz w:val="32"/>
          <w:szCs w:val="32"/>
        </w:rPr>
        <w:t xml:space="preserve">ANCHE IN TUTTA LA </w:t>
      </w:r>
      <w:r w:rsidRPr="001D32E4">
        <w:rPr>
          <w:rFonts w:asciiTheme="minorHAnsi" w:hAnsiTheme="minorHAnsi"/>
          <w:b/>
          <w:sz w:val="32"/>
          <w:szCs w:val="32"/>
        </w:rPr>
        <w:t>LOMBARDIA</w:t>
      </w:r>
      <w:r>
        <w:rPr>
          <w:rFonts w:asciiTheme="minorHAnsi" w:hAnsiTheme="minorHAnsi"/>
          <w:b/>
          <w:sz w:val="32"/>
          <w:szCs w:val="32"/>
        </w:rPr>
        <w:t xml:space="preserve"> </w:t>
      </w:r>
      <w:r w:rsidR="00F51635" w:rsidRPr="001D32E4">
        <w:rPr>
          <w:rFonts w:asciiTheme="minorHAnsi" w:hAnsiTheme="minorHAnsi"/>
          <w:b/>
          <w:sz w:val="32"/>
          <w:szCs w:val="32"/>
        </w:rPr>
        <w:t>1 su 2</w:t>
      </w:r>
      <w:r w:rsidR="005D6CBC" w:rsidRPr="001D32E4">
        <w:rPr>
          <w:rFonts w:asciiTheme="minorHAnsi" w:hAnsiTheme="minorHAnsi"/>
          <w:b/>
          <w:sz w:val="32"/>
          <w:szCs w:val="32"/>
        </w:rPr>
        <w:t xml:space="preserve"> </w:t>
      </w:r>
      <w:r w:rsidR="00172B43" w:rsidRPr="001D32E4">
        <w:rPr>
          <w:rFonts w:asciiTheme="minorHAnsi" w:hAnsiTheme="minorHAnsi"/>
          <w:b/>
          <w:sz w:val="32"/>
          <w:szCs w:val="32"/>
        </w:rPr>
        <w:t>HA PIÙ DI 45 ANNI</w:t>
      </w:r>
    </w:p>
    <w:p w:rsidR="001703EF" w:rsidRPr="003D33FD" w:rsidRDefault="001703EF" w:rsidP="001703EF">
      <w:pPr>
        <w:jc w:val="center"/>
        <w:rPr>
          <w:rFonts w:ascii="Arial" w:hAnsi="Arial" w:cs="Arial"/>
          <w:b/>
          <w:sz w:val="28"/>
          <w:szCs w:val="28"/>
        </w:rPr>
      </w:pPr>
    </w:p>
    <w:p w:rsidR="00B82E78" w:rsidRPr="00B82E78" w:rsidRDefault="00B82E78" w:rsidP="00B82E78">
      <w:pPr>
        <w:pStyle w:val="Paragrafoelenco"/>
        <w:ind w:left="0"/>
        <w:jc w:val="both"/>
        <w:rPr>
          <w:rFonts w:ascii="Arial" w:hAnsi="Arial" w:cs="Arial"/>
          <w:i/>
          <w:sz w:val="22"/>
          <w:szCs w:val="22"/>
        </w:rPr>
      </w:pPr>
      <w:r w:rsidRPr="00B82E78">
        <w:rPr>
          <w:rFonts w:ascii="Arial" w:hAnsi="Arial" w:cs="Arial"/>
          <w:i/>
          <w:sz w:val="22"/>
          <w:szCs w:val="22"/>
        </w:rPr>
        <w:t>Fa tappa a Milano il roadshow che il Gruppo Gabetti ha organizzato</w:t>
      </w:r>
      <w:r>
        <w:rPr>
          <w:rFonts w:ascii="Arial" w:hAnsi="Arial" w:cs="Arial"/>
          <w:i/>
          <w:sz w:val="22"/>
          <w:szCs w:val="22"/>
        </w:rPr>
        <w:t xml:space="preserve">, </w:t>
      </w:r>
      <w:r w:rsidR="007663D6">
        <w:rPr>
          <w:rFonts w:ascii="Arial" w:hAnsi="Arial" w:cs="Arial"/>
          <w:i/>
          <w:sz w:val="22"/>
          <w:szCs w:val="22"/>
        </w:rPr>
        <w:t xml:space="preserve">con la partecipazione di </w:t>
      </w:r>
      <w:r>
        <w:rPr>
          <w:rFonts w:ascii="Arial" w:hAnsi="Arial" w:cs="Arial"/>
          <w:i/>
          <w:sz w:val="22"/>
          <w:szCs w:val="22"/>
        </w:rPr>
        <w:t>Enel X,</w:t>
      </w:r>
      <w:r w:rsidRPr="00B82E78">
        <w:rPr>
          <w:rFonts w:ascii="Arial" w:hAnsi="Arial" w:cs="Arial"/>
          <w:i/>
          <w:sz w:val="22"/>
          <w:szCs w:val="22"/>
        </w:rPr>
        <w:t xml:space="preserve"> per incontrare i consulenti immobiliari, le aziende di installazione, gli studi di progettazione, gli architetti e gli amministratori di condominio al fine di illustrare e far conoscere le nuove opportunità fornite da inizia</w:t>
      </w:r>
      <w:r>
        <w:rPr>
          <w:rFonts w:ascii="Arial" w:hAnsi="Arial" w:cs="Arial"/>
          <w:i/>
          <w:sz w:val="22"/>
          <w:szCs w:val="22"/>
        </w:rPr>
        <w:t>tive come Ecobonus e Sismabonus</w:t>
      </w:r>
    </w:p>
    <w:p w:rsidR="001703EF" w:rsidRPr="00B82E78" w:rsidRDefault="001703EF" w:rsidP="00B82E78">
      <w:pPr>
        <w:jc w:val="both"/>
        <w:rPr>
          <w:rFonts w:ascii="Arial" w:hAnsi="Arial" w:cs="Arial"/>
          <w:i/>
          <w:sz w:val="22"/>
          <w:szCs w:val="22"/>
        </w:rPr>
      </w:pPr>
    </w:p>
    <w:p w:rsidR="009B3A99" w:rsidRPr="001D32E4" w:rsidRDefault="00560200" w:rsidP="00BA29FE">
      <w:pPr>
        <w:jc w:val="both"/>
        <w:rPr>
          <w:rFonts w:asciiTheme="minorHAnsi" w:hAnsiTheme="minorHAnsi"/>
        </w:rPr>
      </w:pPr>
      <w:r w:rsidRPr="001D32E4">
        <w:rPr>
          <w:rFonts w:asciiTheme="minorHAnsi" w:hAnsiTheme="minorHAnsi"/>
        </w:rPr>
        <w:t>S</w:t>
      </w:r>
      <w:r w:rsidR="009C2A96" w:rsidRPr="001D32E4">
        <w:rPr>
          <w:rFonts w:asciiTheme="minorHAnsi" w:hAnsiTheme="minorHAnsi"/>
        </w:rPr>
        <w:t xml:space="preserve">u un </w:t>
      </w:r>
      <w:r w:rsidR="009C2A96" w:rsidRPr="001D32E4">
        <w:rPr>
          <w:rFonts w:asciiTheme="minorHAnsi" w:hAnsiTheme="minorHAnsi"/>
          <w:b/>
          <w:bCs/>
        </w:rPr>
        <w:t xml:space="preserve">totale di </w:t>
      </w:r>
      <w:r w:rsidR="00B47FB8">
        <w:rPr>
          <w:rFonts w:asciiTheme="minorHAnsi" w:hAnsiTheme="minorHAnsi"/>
          <w:b/>
          <w:bCs/>
        </w:rPr>
        <w:t>42.980</w:t>
      </w:r>
      <w:r w:rsidR="005C7841" w:rsidRPr="001D32E4">
        <w:rPr>
          <w:rFonts w:asciiTheme="minorHAnsi" w:hAnsiTheme="minorHAnsi"/>
          <w:b/>
          <w:bCs/>
        </w:rPr>
        <w:t xml:space="preserve"> edifici </w:t>
      </w:r>
      <w:r w:rsidR="00011212" w:rsidRPr="001D32E4">
        <w:rPr>
          <w:rFonts w:asciiTheme="minorHAnsi" w:hAnsiTheme="minorHAnsi"/>
          <w:b/>
          <w:bCs/>
        </w:rPr>
        <w:t xml:space="preserve">residenziali </w:t>
      </w:r>
      <w:r w:rsidR="00B47FB8">
        <w:rPr>
          <w:rFonts w:asciiTheme="minorHAnsi" w:hAnsiTheme="minorHAnsi"/>
          <w:b/>
          <w:bCs/>
        </w:rPr>
        <w:t>presenti a Milano</w:t>
      </w:r>
      <w:r w:rsidR="00F95A1E" w:rsidRPr="001D32E4">
        <w:rPr>
          <w:rFonts w:asciiTheme="minorHAnsi" w:hAnsiTheme="minorHAnsi"/>
        </w:rPr>
        <w:t xml:space="preserve">, </w:t>
      </w:r>
      <w:r w:rsidR="00FB7BB0" w:rsidRPr="001D32E4">
        <w:rPr>
          <w:rFonts w:asciiTheme="minorHAnsi" w:hAnsiTheme="minorHAnsi"/>
          <w:b/>
          <w:bCs/>
        </w:rPr>
        <w:t xml:space="preserve">ben </w:t>
      </w:r>
      <w:r w:rsidR="00B47FB8">
        <w:rPr>
          <w:rFonts w:asciiTheme="minorHAnsi" w:hAnsiTheme="minorHAnsi"/>
          <w:b/>
          <w:bCs/>
        </w:rPr>
        <w:t xml:space="preserve">35.854 </w:t>
      </w:r>
      <w:r w:rsidR="00F95A1E" w:rsidRPr="001D32E4">
        <w:rPr>
          <w:rFonts w:asciiTheme="minorHAnsi" w:hAnsiTheme="minorHAnsi"/>
          <w:b/>
          <w:bCs/>
        </w:rPr>
        <w:t>sono stati costruiti prima degli anni ’70</w:t>
      </w:r>
      <w:r w:rsidR="00B47FB8">
        <w:rPr>
          <w:rFonts w:asciiTheme="minorHAnsi" w:hAnsiTheme="minorHAnsi"/>
        </w:rPr>
        <w:t xml:space="preserve"> (83</w:t>
      </w:r>
      <w:r w:rsidR="009B0CAF" w:rsidRPr="001D32E4">
        <w:rPr>
          <w:rFonts w:asciiTheme="minorHAnsi" w:hAnsiTheme="minorHAnsi"/>
        </w:rPr>
        <w:t>%)</w:t>
      </w:r>
      <w:r w:rsidR="00F95A1E" w:rsidRPr="001D32E4">
        <w:rPr>
          <w:rFonts w:asciiTheme="minorHAnsi" w:hAnsiTheme="minorHAnsi"/>
        </w:rPr>
        <w:t xml:space="preserve">. Ciò significa che si tratta di edifici obsoleti che non dispongono delle più moderne tecnologie </w:t>
      </w:r>
      <w:r w:rsidRPr="001D32E4">
        <w:rPr>
          <w:rFonts w:asciiTheme="minorHAnsi" w:hAnsiTheme="minorHAnsi"/>
        </w:rPr>
        <w:t xml:space="preserve">in termini di </w:t>
      </w:r>
      <w:r w:rsidR="00F95A1E" w:rsidRPr="001D32E4">
        <w:rPr>
          <w:rFonts w:asciiTheme="minorHAnsi" w:hAnsiTheme="minorHAnsi"/>
        </w:rPr>
        <w:t>classe energetica.</w:t>
      </w:r>
      <w:r w:rsidR="00B61CA4" w:rsidRPr="001D32E4">
        <w:rPr>
          <w:rFonts w:asciiTheme="minorHAnsi" w:hAnsiTheme="minorHAnsi"/>
        </w:rPr>
        <w:t xml:space="preserve"> Nell’intera regione, </w:t>
      </w:r>
      <w:r w:rsidR="00B47FB8">
        <w:rPr>
          <w:rFonts w:asciiTheme="minorHAnsi" w:hAnsiTheme="minorHAnsi"/>
        </w:rPr>
        <w:t>il 56</w:t>
      </w:r>
      <w:r w:rsidR="00BA29FE" w:rsidRPr="001D32E4">
        <w:rPr>
          <w:rFonts w:asciiTheme="minorHAnsi" w:hAnsiTheme="minorHAnsi"/>
        </w:rPr>
        <w:t>% deg</w:t>
      </w:r>
      <w:r w:rsidR="00064772" w:rsidRPr="001D32E4">
        <w:rPr>
          <w:rFonts w:asciiTheme="minorHAnsi" w:hAnsiTheme="minorHAnsi"/>
        </w:rPr>
        <w:t>li edifici ha più di 45 anni (</w:t>
      </w:r>
      <w:r w:rsidR="00B47FB8">
        <w:rPr>
          <w:rFonts w:asciiTheme="minorHAnsi" w:hAnsiTheme="minorHAnsi"/>
        </w:rPr>
        <w:t>837.468</w:t>
      </w:r>
      <w:r w:rsidR="009B3A99" w:rsidRPr="001D32E4">
        <w:rPr>
          <w:rFonts w:asciiTheme="minorHAnsi" w:hAnsiTheme="minorHAnsi"/>
        </w:rPr>
        <w:t xml:space="preserve"> </w:t>
      </w:r>
      <w:r w:rsidR="00BA29FE" w:rsidRPr="001D32E4">
        <w:rPr>
          <w:rFonts w:asciiTheme="minorHAnsi" w:hAnsiTheme="minorHAnsi"/>
        </w:rPr>
        <w:t>su</w:t>
      </w:r>
      <w:r w:rsidR="00FB7BB0" w:rsidRPr="001D32E4">
        <w:rPr>
          <w:rFonts w:asciiTheme="minorHAnsi" w:hAnsiTheme="minorHAnsi"/>
        </w:rPr>
        <w:t xml:space="preserve"> </w:t>
      </w:r>
      <w:r w:rsidR="00B47FB8">
        <w:rPr>
          <w:rFonts w:asciiTheme="minorHAnsi" w:hAnsiTheme="minorHAnsi"/>
        </w:rPr>
        <w:t>1.488.</w:t>
      </w:r>
      <w:r w:rsidR="00F51635" w:rsidRPr="001D32E4">
        <w:rPr>
          <w:rFonts w:asciiTheme="minorHAnsi" w:hAnsiTheme="minorHAnsi"/>
        </w:rPr>
        <w:t>6</w:t>
      </w:r>
      <w:r w:rsidR="00B47FB8">
        <w:rPr>
          <w:rFonts w:asciiTheme="minorHAnsi" w:hAnsiTheme="minorHAnsi"/>
        </w:rPr>
        <w:t>40</w:t>
      </w:r>
      <w:r w:rsidR="00BA29FE" w:rsidRPr="001D32E4">
        <w:rPr>
          <w:rFonts w:asciiTheme="minorHAnsi" w:hAnsiTheme="minorHAnsi"/>
        </w:rPr>
        <w:t>).</w:t>
      </w:r>
    </w:p>
    <w:p w:rsidR="00FB7BB0" w:rsidRPr="001D32E4" w:rsidRDefault="00FB7BB0" w:rsidP="00BA29FE">
      <w:pPr>
        <w:jc w:val="both"/>
        <w:rPr>
          <w:rFonts w:asciiTheme="minorHAnsi" w:hAnsiTheme="minorHAnsi"/>
        </w:rPr>
      </w:pPr>
    </w:p>
    <w:p w:rsidR="005D6CBC" w:rsidRDefault="00EA2B91" w:rsidP="002C6340">
      <w:pPr>
        <w:ind w:right="-291"/>
        <w:rPr>
          <w:rFonts w:asciiTheme="minorHAnsi" w:hAnsiTheme="minorHAnsi"/>
          <w:b/>
        </w:rPr>
      </w:pPr>
      <w:r>
        <w:rPr>
          <w:rFonts w:asciiTheme="minorHAnsi" w:hAnsiTheme="minorHAnsi"/>
          <w:b/>
        </w:rPr>
        <w:t>Milano</w:t>
      </w:r>
    </w:p>
    <w:p w:rsidR="00EA2B91" w:rsidRDefault="00EA2B91" w:rsidP="002C6340">
      <w:pPr>
        <w:ind w:right="-291"/>
        <w:rPr>
          <w:rFonts w:asciiTheme="minorHAnsi" w:hAnsiTheme="minorHAnsi"/>
          <w:b/>
        </w:rPr>
      </w:pPr>
      <w:r>
        <w:rPr>
          <w:rFonts w:asciiTheme="minorHAnsi" w:hAnsiTheme="minorHAnsi"/>
          <w:b/>
          <w:noProof/>
        </w:rPr>
        <w:drawing>
          <wp:inline distT="0" distB="0" distL="0" distR="0">
            <wp:extent cx="6296025" cy="254635"/>
            <wp:effectExtent l="0" t="0" r="3175" b="0"/>
            <wp:docPr id="2" name="Immagine 2" descr="../Schermata%202019-06-28%20alle%2010.0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ta%202019-06-28%20alle%2010.04.47.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96025" cy="254635"/>
                    </a:xfrm>
                    <a:prstGeom prst="rect">
                      <a:avLst/>
                    </a:prstGeom>
                    <a:noFill/>
                    <a:ln>
                      <a:noFill/>
                    </a:ln>
                  </pic:spPr>
                </pic:pic>
              </a:graphicData>
            </a:graphic>
          </wp:inline>
        </w:drawing>
      </w:r>
    </w:p>
    <w:p w:rsidR="00476FDA" w:rsidRDefault="005D6CBC" w:rsidP="00476FDA">
      <w:pPr>
        <w:ind w:right="-291"/>
        <w:rPr>
          <w:rFonts w:asciiTheme="minorHAnsi" w:hAnsiTheme="minorHAnsi"/>
          <w:sz w:val="20"/>
          <w:szCs w:val="20"/>
        </w:rPr>
      </w:pPr>
      <w:r w:rsidRPr="00EA2B91">
        <w:rPr>
          <w:rFonts w:asciiTheme="minorHAnsi" w:hAnsiTheme="minorHAnsi"/>
          <w:sz w:val="20"/>
          <w:szCs w:val="20"/>
        </w:rPr>
        <w:t>(</w:t>
      </w:r>
      <w:r w:rsidR="00476FDA" w:rsidRPr="00ED4B8F">
        <w:rPr>
          <w:rFonts w:asciiTheme="minorHAnsi" w:hAnsiTheme="minorHAnsi"/>
          <w:sz w:val="20"/>
          <w:szCs w:val="20"/>
        </w:rPr>
        <w:t xml:space="preserve">Fonte dati: </w:t>
      </w:r>
      <w:r w:rsidR="00476FDA">
        <w:rPr>
          <w:rFonts w:asciiTheme="minorHAnsi" w:hAnsiTheme="minorHAnsi"/>
          <w:sz w:val="20"/>
          <w:szCs w:val="20"/>
        </w:rPr>
        <w:t xml:space="preserve">Elaborazione Ufficio Studi Gabetti su dati </w:t>
      </w:r>
      <w:r w:rsidR="00476FDA" w:rsidRPr="00ED4B8F">
        <w:rPr>
          <w:rFonts w:asciiTheme="minorHAnsi" w:hAnsiTheme="minorHAnsi"/>
          <w:sz w:val="20"/>
          <w:szCs w:val="20"/>
        </w:rPr>
        <w:t>ISTAT)</w:t>
      </w:r>
    </w:p>
    <w:p w:rsidR="005D6CBC" w:rsidRDefault="005D6CBC" w:rsidP="002C6340">
      <w:pPr>
        <w:ind w:right="-291"/>
      </w:pPr>
      <w:bookmarkStart w:id="0" w:name="_GoBack"/>
      <w:bookmarkEnd w:id="0"/>
    </w:p>
    <w:p w:rsidR="00F51635" w:rsidRPr="001D32E4" w:rsidRDefault="00EA2B91" w:rsidP="002C6340">
      <w:pPr>
        <w:ind w:right="-291"/>
        <w:rPr>
          <w:rFonts w:asciiTheme="minorHAnsi" w:hAnsiTheme="minorHAnsi"/>
          <w:b/>
        </w:rPr>
      </w:pPr>
      <w:r>
        <w:rPr>
          <w:rFonts w:asciiTheme="minorHAnsi" w:hAnsiTheme="minorHAnsi"/>
          <w:b/>
        </w:rPr>
        <w:t xml:space="preserve">Lombardia </w:t>
      </w:r>
    </w:p>
    <w:p w:rsidR="00F51635" w:rsidRDefault="00B47FB8" w:rsidP="002C6340">
      <w:pPr>
        <w:ind w:right="-291"/>
      </w:pPr>
      <w:r>
        <w:rPr>
          <w:noProof/>
        </w:rPr>
        <w:drawing>
          <wp:inline distT="0" distB="0" distL="0" distR="0">
            <wp:extent cx="6296025" cy="320040"/>
            <wp:effectExtent l="0" t="0" r="3175" b="10160"/>
            <wp:docPr id="3" name="Immagine 3" descr="../Schermata%202019-06-28%20alle%2010.0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9-06-28%20alle%2010.08.20.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96025" cy="320040"/>
                    </a:xfrm>
                    <a:prstGeom prst="rect">
                      <a:avLst/>
                    </a:prstGeom>
                    <a:noFill/>
                    <a:ln>
                      <a:noFill/>
                    </a:ln>
                  </pic:spPr>
                </pic:pic>
              </a:graphicData>
            </a:graphic>
          </wp:inline>
        </w:drawing>
      </w:r>
    </w:p>
    <w:p w:rsidR="00476FDA" w:rsidRDefault="00476FDA" w:rsidP="00476FDA">
      <w:pPr>
        <w:ind w:right="-291"/>
        <w:rPr>
          <w:rFonts w:asciiTheme="minorHAnsi" w:hAnsiTheme="minorHAnsi"/>
          <w:sz w:val="20"/>
          <w:szCs w:val="20"/>
        </w:rPr>
      </w:pPr>
      <w:r w:rsidRPr="00ED4B8F">
        <w:rPr>
          <w:rFonts w:asciiTheme="minorHAnsi" w:hAnsiTheme="minorHAnsi"/>
          <w:sz w:val="20"/>
          <w:szCs w:val="20"/>
        </w:rPr>
        <w:t xml:space="preserve">(Fonte dati: </w:t>
      </w:r>
      <w:r>
        <w:rPr>
          <w:rFonts w:asciiTheme="minorHAnsi" w:hAnsiTheme="minorHAnsi"/>
          <w:sz w:val="20"/>
          <w:szCs w:val="20"/>
        </w:rPr>
        <w:t xml:space="preserve">Elaborazione Ufficio Studi Gabetti su dati </w:t>
      </w:r>
      <w:r w:rsidRPr="00ED4B8F">
        <w:rPr>
          <w:rFonts w:asciiTheme="minorHAnsi" w:hAnsiTheme="minorHAnsi"/>
          <w:sz w:val="20"/>
          <w:szCs w:val="20"/>
        </w:rPr>
        <w:t>ISTAT)</w:t>
      </w:r>
    </w:p>
    <w:p w:rsidR="00B82E78" w:rsidRDefault="00B82E78" w:rsidP="00F51635">
      <w:pPr>
        <w:ind w:right="-291"/>
        <w:rPr>
          <w:rFonts w:asciiTheme="minorHAnsi" w:hAnsiTheme="minorHAnsi"/>
          <w:sz w:val="20"/>
          <w:szCs w:val="20"/>
        </w:rPr>
      </w:pPr>
    </w:p>
    <w:p w:rsidR="00B47FB8" w:rsidRPr="00FE646D" w:rsidRDefault="00B82E78" w:rsidP="00FE646D">
      <w:pPr>
        <w:pStyle w:val="Paragrafoelenco"/>
        <w:ind w:left="0"/>
        <w:jc w:val="both"/>
        <w:rPr>
          <w:rFonts w:cs="Arial"/>
        </w:rPr>
      </w:pPr>
      <w:r w:rsidRPr="00B82E78">
        <w:rPr>
          <w:rFonts w:cs="Arial"/>
        </w:rPr>
        <w:t xml:space="preserve">Fa tappa a Milano il roadshow che il Gruppo Gabetti ha organizzato </w:t>
      </w:r>
      <w:r w:rsidR="00FE646D">
        <w:rPr>
          <w:rFonts w:cs="Arial"/>
        </w:rPr>
        <w:t xml:space="preserve">con </w:t>
      </w:r>
      <w:r w:rsidR="007663D6">
        <w:rPr>
          <w:rFonts w:cs="Arial"/>
        </w:rPr>
        <w:t xml:space="preserve">la partecipazione di </w:t>
      </w:r>
      <w:r w:rsidR="00FE646D">
        <w:rPr>
          <w:rFonts w:cs="Arial"/>
        </w:rPr>
        <w:t xml:space="preserve">Enel X </w:t>
      </w:r>
      <w:r w:rsidRPr="00B82E78">
        <w:rPr>
          <w:rFonts w:cs="Arial"/>
        </w:rPr>
        <w:t>per incontrare i consulenti immobiliari, le aziende di installazione, gli studi di progettazione, gli architetti e gli amministratori di condominio al fine di illustrare e far conoscere le nuove opportunità fornite da iniziative come Ecobonus e Sismabonus</w:t>
      </w:r>
      <w:r>
        <w:rPr>
          <w:rFonts w:cs="Arial"/>
        </w:rPr>
        <w:t>.</w:t>
      </w:r>
      <w:r w:rsidR="00FE646D">
        <w:rPr>
          <w:rFonts w:cs="Arial"/>
        </w:rPr>
        <w:t xml:space="preserve"> </w:t>
      </w:r>
      <w:r w:rsidR="00665A44" w:rsidRPr="001D32E4">
        <w:t xml:space="preserve">Il seminario si terrà </w:t>
      </w:r>
      <w:r w:rsidR="00B47FB8">
        <w:t>mercoledì 3 luglio</w:t>
      </w:r>
      <w:r w:rsidR="009E62B1" w:rsidRPr="001D32E4">
        <w:t>,</w:t>
      </w:r>
      <w:r w:rsidR="00665A44" w:rsidRPr="001D32E4">
        <w:t xml:space="preserve"> </w:t>
      </w:r>
      <w:r w:rsidR="00CE0232" w:rsidRPr="001D32E4">
        <w:t>presso</w:t>
      </w:r>
      <w:r w:rsidR="001D32E4" w:rsidRPr="001D32E4">
        <w:t xml:space="preserve"> </w:t>
      </w:r>
      <w:r w:rsidR="00B47FB8">
        <w:t>l’Enterprise Hotel di C.so Sempione 91, dalle 14 alle 18.</w:t>
      </w:r>
    </w:p>
    <w:p w:rsidR="001703EF" w:rsidRDefault="001703EF" w:rsidP="00560200">
      <w:pPr>
        <w:jc w:val="both"/>
        <w:rPr>
          <w:rFonts w:asciiTheme="minorHAnsi" w:hAnsiTheme="minorHAnsi"/>
        </w:rPr>
      </w:pPr>
    </w:p>
    <w:p w:rsidR="001703EF" w:rsidRDefault="001703EF" w:rsidP="001703EF">
      <w:pPr>
        <w:pStyle w:val="p1"/>
        <w:jc w:val="both"/>
        <w:rPr>
          <w:rFonts w:asciiTheme="minorHAnsi" w:hAnsiTheme="minorHAnsi" w:cs="Arial"/>
          <w:i/>
          <w:sz w:val="24"/>
          <w:szCs w:val="24"/>
          <w:lang w:eastAsia="en-US"/>
        </w:rPr>
      </w:pPr>
      <w:r w:rsidRPr="003D33FD">
        <w:rPr>
          <w:rFonts w:ascii="Arial" w:hAnsi="Arial" w:cs="Arial"/>
          <w:sz w:val="24"/>
          <w:szCs w:val="24"/>
          <w:lang w:eastAsia="en-US"/>
        </w:rPr>
        <w:t>“</w:t>
      </w:r>
      <w:r w:rsidRPr="00B82E78">
        <w:rPr>
          <w:rFonts w:asciiTheme="minorHAnsi" w:hAnsiTheme="minorHAnsi" w:cs="Arial"/>
          <w:i/>
          <w:sz w:val="24"/>
          <w:szCs w:val="24"/>
          <w:lang w:eastAsia="en-US"/>
        </w:rPr>
        <w:t xml:space="preserve">La ristrutturazione dei condomini italiani è una priorità del sistema Paese. – </w:t>
      </w:r>
      <w:r w:rsidRPr="00B82E78">
        <w:rPr>
          <w:rFonts w:asciiTheme="minorHAnsi" w:hAnsiTheme="minorHAnsi" w:cs="Arial"/>
          <w:sz w:val="24"/>
          <w:szCs w:val="24"/>
          <w:lang w:eastAsia="en-US"/>
        </w:rPr>
        <w:t xml:space="preserve">specifica </w:t>
      </w:r>
      <w:r w:rsidRPr="00B82E78">
        <w:rPr>
          <w:rFonts w:asciiTheme="minorHAnsi" w:hAnsiTheme="minorHAnsi" w:cs="Arial"/>
          <w:b/>
          <w:sz w:val="24"/>
          <w:szCs w:val="24"/>
          <w:lang w:eastAsia="en-US"/>
        </w:rPr>
        <w:t>Marco Speretta, direttore generale Gruppo Gabetti</w:t>
      </w:r>
      <w:r w:rsidRPr="00B82E78">
        <w:rPr>
          <w:rFonts w:asciiTheme="minorHAnsi" w:hAnsiTheme="minorHAnsi" w:cs="Arial"/>
          <w:i/>
          <w:sz w:val="24"/>
          <w:szCs w:val="24"/>
          <w:lang w:eastAsia="en-US"/>
        </w:rPr>
        <w:t xml:space="preserve"> - Mai come in questo momento assistiamo a una concentrazione di incentivi e detrazioni fiscali, accompagnati da modalità operative di cessione del credito così favorevoli, riqualificare ora è davvero alla portata di tutti. Gabetti ha voluto concentrarsi sulle opportunità che offre questo settore, studiando con le società del nostro Gruppo, i maggiori operatori del settore ed Enel X un progetto di riqualificazione innovativo e vantaggioso per tutti i soggetti coinvolti. Siamo già attivi sui condomini e abbiamo allargato l’offerta anche ai privati, con le nostre 1278 agenzie, studi e imprese, delle cinque reti sul territorio”</w:t>
      </w:r>
      <w:r w:rsidR="00FE646D">
        <w:rPr>
          <w:rFonts w:asciiTheme="minorHAnsi" w:hAnsiTheme="minorHAnsi" w:cs="Arial"/>
          <w:i/>
          <w:sz w:val="24"/>
          <w:szCs w:val="24"/>
          <w:lang w:eastAsia="en-US"/>
        </w:rPr>
        <w:t>.</w:t>
      </w:r>
    </w:p>
    <w:p w:rsidR="00FE646D" w:rsidRDefault="00FE646D" w:rsidP="001703EF">
      <w:pPr>
        <w:pStyle w:val="p1"/>
        <w:jc w:val="both"/>
        <w:rPr>
          <w:rFonts w:asciiTheme="minorHAnsi" w:hAnsiTheme="minorHAnsi" w:cs="Arial"/>
          <w:i/>
          <w:sz w:val="24"/>
          <w:szCs w:val="24"/>
          <w:lang w:eastAsia="en-US"/>
        </w:rPr>
      </w:pPr>
    </w:p>
    <w:p w:rsidR="00FE646D" w:rsidRPr="00B82E78" w:rsidRDefault="00FE646D" w:rsidP="00FE646D">
      <w:pPr>
        <w:jc w:val="both"/>
        <w:rPr>
          <w:rFonts w:asciiTheme="minorHAnsi" w:hAnsiTheme="minorHAnsi"/>
        </w:rPr>
      </w:pPr>
      <w:r>
        <w:rPr>
          <w:rFonts w:asciiTheme="minorHAnsi" w:hAnsiTheme="minorHAnsi"/>
        </w:rPr>
        <w:t>Gabetti e Enel X hanno infatti firmato una partnership per f</w:t>
      </w:r>
      <w:r w:rsidRPr="00B82E78">
        <w:rPr>
          <w:rFonts w:asciiTheme="minorHAnsi" w:hAnsiTheme="minorHAnsi"/>
        </w:rPr>
        <w:t>avorire la riqualificazione dell’efficientamento energetico degli edifici residenziali e delle singole abitazioni attraverso gli inc</w:t>
      </w:r>
      <w:r>
        <w:rPr>
          <w:rFonts w:asciiTheme="minorHAnsi" w:hAnsiTheme="minorHAnsi"/>
        </w:rPr>
        <w:t>entivi di Ecobonus e Sismabonus</w:t>
      </w:r>
      <w:r w:rsidRPr="00B82E78">
        <w:rPr>
          <w:rFonts w:asciiTheme="minorHAnsi" w:hAnsiTheme="minorHAnsi"/>
        </w:rPr>
        <w:t>. L’iniziativa prevede una sinergia per lo sviluppo di progetti che favoriscano il miglioramento dell’impatto ambientale degli edifici, messa in sicurezza sismica e ammodernamento tecnologico dei condomini grazie al sistema di incentivi Ecobonus e Sismabonus</w:t>
      </w:r>
      <w:r>
        <w:rPr>
          <w:rFonts w:asciiTheme="minorHAnsi" w:hAnsiTheme="minorHAnsi"/>
        </w:rPr>
        <w:t>.</w:t>
      </w:r>
    </w:p>
    <w:p w:rsidR="00FE646D" w:rsidRDefault="00FE646D" w:rsidP="001703EF">
      <w:pPr>
        <w:pStyle w:val="p1"/>
        <w:jc w:val="both"/>
        <w:rPr>
          <w:rFonts w:asciiTheme="minorHAnsi" w:hAnsiTheme="minorHAnsi" w:cs="Arial"/>
          <w:i/>
          <w:sz w:val="24"/>
          <w:szCs w:val="24"/>
          <w:lang w:eastAsia="en-US"/>
        </w:rPr>
      </w:pPr>
    </w:p>
    <w:p w:rsidR="00FE646D" w:rsidRPr="00B82E78" w:rsidRDefault="00FE646D" w:rsidP="001703EF">
      <w:pPr>
        <w:pStyle w:val="p1"/>
        <w:jc w:val="both"/>
        <w:rPr>
          <w:rFonts w:asciiTheme="minorHAnsi" w:hAnsiTheme="minorHAnsi" w:cs="Arial"/>
          <w:i/>
          <w:sz w:val="24"/>
          <w:szCs w:val="24"/>
          <w:lang w:eastAsia="en-US"/>
        </w:rPr>
      </w:pPr>
    </w:p>
    <w:p w:rsidR="001703EF" w:rsidRDefault="001703EF" w:rsidP="001703EF">
      <w:pPr>
        <w:pStyle w:val="p1"/>
        <w:jc w:val="both"/>
        <w:rPr>
          <w:rFonts w:ascii="Arial" w:hAnsi="Arial" w:cs="Arial"/>
          <w:i/>
          <w:sz w:val="24"/>
          <w:szCs w:val="24"/>
          <w:lang w:eastAsia="en-US"/>
        </w:rPr>
      </w:pPr>
    </w:p>
    <w:p w:rsidR="001703EF" w:rsidRPr="00B82E78" w:rsidRDefault="001703EF" w:rsidP="001703EF">
      <w:pPr>
        <w:jc w:val="both"/>
        <w:rPr>
          <w:rFonts w:asciiTheme="minorHAnsi" w:hAnsiTheme="minorHAnsi" w:cs="Arial"/>
          <w:i/>
          <w:iCs/>
        </w:rPr>
      </w:pPr>
      <w:r w:rsidRPr="00A014E8">
        <w:rPr>
          <w:rFonts w:ascii="Arial" w:hAnsi="Arial" w:cs="Arial"/>
          <w:i/>
          <w:iCs/>
        </w:rPr>
        <w:t>“</w:t>
      </w:r>
      <w:r w:rsidRPr="00B82E78">
        <w:rPr>
          <w:rFonts w:asciiTheme="minorHAnsi" w:hAnsiTheme="minorHAnsi" w:cs="Arial"/>
          <w:i/>
          <w:iCs/>
        </w:rPr>
        <w:t>Siamo felici per la firma di questa accordo che inaugura una importante</w:t>
      </w:r>
      <w:r w:rsidRPr="00B82E78">
        <w:rPr>
          <w:rFonts w:asciiTheme="minorHAnsi" w:hAnsiTheme="minorHAnsi" w:cs="Arial"/>
          <w:i/>
          <w:iCs/>
          <w:color w:val="1F497D"/>
        </w:rPr>
        <w:t xml:space="preserve"> </w:t>
      </w:r>
      <w:r w:rsidRPr="00B82E78">
        <w:rPr>
          <w:rFonts w:asciiTheme="minorHAnsi" w:hAnsiTheme="minorHAnsi" w:cs="Arial"/>
          <w:i/>
          <w:iCs/>
        </w:rPr>
        <w:t xml:space="preserve">collaborazione con Gabetti nel programma di riqualificazione energetica dei condomini </w:t>
      </w:r>
      <w:r w:rsidR="00476FDA">
        <w:rPr>
          <w:rFonts w:asciiTheme="minorHAnsi" w:hAnsiTheme="minorHAnsi" w:cs="Arial"/>
          <w:i/>
          <w:iCs/>
        </w:rPr>
        <w:t>e delle case degli</w:t>
      </w:r>
      <w:r w:rsidR="008659B8">
        <w:rPr>
          <w:rFonts w:asciiTheme="minorHAnsi" w:hAnsiTheme="minorHAnsi" w:cs="Arial"/>
          <w:i/>
          <w:iCs/>
        </w:rPr>
        <w:t xml:space="preserve"> </w:t>
      </w:r>
      <w:r w:rsidRPr="00B82E78">
        <w:rPr>
          <w:rFonts w:asciiTheme="minorHAnsi" w:hAnsiTheme="minorHAnsi" w:cs="Arial"/>
          <w:i/>
          <w:iCs/>
        </w:rPr>
        <w:t xml:space="preserve">italiani” </w:t>
      </w:r>
      <w:r w:rsidRPr="00B82E78">
        <w:rPr>
          <w:rFonts w:asciiTheme="minorHAnsi" w:hAnsiTheme="minorHAnsi" w:cs="Arial"/>
          <w:b/>
          <w:bCs/>
        </w:rPr>
        <w:t>ha dichiarato Emanuele Ranieri, responsabile vendite Enel X Italia – “</w:t>
      </w:r>
      <w:r w:rsidRPr="00B82E78">
        <w:rPr>
          <w:rFonts w:asciiTheme="minorHAnsi" w:hAnsiTheme="minorHAnsi" w:cs="Arial"/>
          <w:i/>
          <w:iCs/>
        </w:rPr>
        <w:t>Questo accordo rappresenta un passo avanti importante nella proposizione delle nostre offerte ad amministratori e condòmini che vogliano riqualificare il proprio immobile, sia da un punto di vista energetico, riducendo drasticamente i propri consumi, sia migliorandone il rischio riducendo il versamento immediato e senza dover attendere le canoniche 10 rate in 10 anni per recuperare il credito”</w:t>
      </w:r>
    </w:p>
    <w:p w:rsidR="001703EF" w:rsidRPr="00B82E78" w:rsidRDefault="001703EF" w:rsidP="001703EF">
      <w:pPr>
        <w:jc w:val="both"/>
        <w:rPr>
          <w:rFonts w:asciiTheme="minorHAnsi" w:hAnsiTheme="minorHAnsi" w:cs="Arial"/>
        </w:rPr>
      </w:pPr>
    </w:p>
    <w:p w:rsidR="001703EF" w:rsidRPr="00B82E78" w:rsidRDefault="001703EF" w:rsidP="001703EF">
      <w:pPr>
        <w:jc w:val="both"/>
        <w:rPr>
          <w:rFonts w:asciiTheme="minorHAnsi" w:hAnsiTheme="minorHAnsi" w:cs="Arial"/>
        </w:rPr>
      </w:pPr>
      <w:r w:rsidRPr="00B82E78">
        <w:rPr>
          <w:rFonts w:asciiTheme="minorHAnsi" w:hAnsiTheme="minorHAnsi" w:cs="Arial"/>
        </w:rPr>
        <w:t>Gli incentivi di Ecobonus e Sismabonus danno la possibilità di ottenere un credito fiscale per un ammontare che, in funzione degli interventi effettuati, può arrivare all’85% del valore dei lavori e che può essere ceduto in un’unica soluzione a fornitori di beni e servizi necessari alla realizzazione degli interventi stessi. Grazie alla cessione del credito il condominio</w:t>
      </w:r>
      <w:r w:rsidR="00B82E78" w:rsidRPr="00B82E78">
        <w:rPr>
          <w:rFonts w:asciiTheme="minorHAnsi" w:hAnsiTheme="minorHAnsi" w:cs="Arial"/>
        </w:rPr>
        <w:t xml:space="preserve"> o il privato </w:t>
      </w:r>
      <w:r w:rsidRPr="00B82E78">
        <w:rPr>
          <w:rFonts w:asciiTheme="minorHAnsi" w:hAnsiTheme="minorHAnsi" w:cs="Arial"/>
        </w:rPr>
        <w:t xml:space="preserve">dovrà versare la sola quota non incentivabile, cedendo ad Enel X la restante parte sotto forma di credito d’imposta, quale parziale forma di pagamento. Solo fino al 2021, con gli incentivi previsti dall’Ecobonus, è possibile recuperare in 10 anni fino al 75% delle spese sostenute per interventi di miglioramento energetico dei condomini. Inoltre associando questi ultimi agli interventi di messa in sicurezza dell’edificio, grazie al Sismabonus, si può arrivare fino all’85%. </w:t>
      </w:r>
    </w:p>
    <w:p w:rsidR="001703EF" w:rsidRPr="00B82E78" w:rsidRDefault="001703EF" w:rsidP="001703EF">
      <w:pPr>
        <w:pStyle w:val="p1"/>
        <w:jc w:val="both"/>
        <w:rPr>
          <w:rFonts w:asciiTheme="minorHAnsi" w:hAnsiTheme="minorHAnsi" w:cs="Arial"/>
          <w:sz w:val="24"/>
          <w:szCs w:val="24"/>
        </w:rPr>
      </w:pPr>
    </w:p>
    <w:p w:rsidR="001703EF" w:rsidRPr="00B82E78" w:rsidRDefault="001703EF" w:rsidP="001703EF">
      <w:pPr>
        <w:pStyle w:val="p1"/>
        <w:jc w:val="both"/>
        <w:rPr>
          <w:rFonts w:asciiTheme="minorHAnsi" w:hAnsiTheme="minorHAnsi" w:cs="Arial"/>
          <w:b/>
          <w:sz w:val="24"/>
          <w:szCs w:val="24"/>
          <w:lang w:eastAsia="en-US"/>
        </w:rPr>
      </w:pPr>
      <w:r w:rsidRPr="00B82E78">
        <w:rPr>
          <w:rFonts w:asciiTheme="minorHAnsi" w:hAnsiTheme="minorHAnsi" w:cs="Arial"/>
          <w:sz w:val="24"/>
          <w:szCs w:val="24"/>
          <w:lang w:eastAsia="en-US"/>
        </w:rPr>
        <w:t xml:space="preserve">Secondo i </w:t>
      </w:r>
      <w:r w:rsidRPr="00B82E78">
        <w:rPr>
          <w:rFonts w:asciiTheme="minorHAnsi" w:hAnsiTheme="minorHAnsi" w:cs="Arial"/>
          <w:b/>
          <w:sz w:val="24"/>
          <w:szCs w:val="24"/>
          <w:lang w:eastAsia="en-US"/>
        </w:rPr>
        <w:t>dati Enel</w:t>
      </w:r>
      <w:r w:rsidRPr="00B82E78">
        <w:rPr>
          <w:rFonts w:asciiTheme="minorHAnsi" w:hAnsiTheme="minorHAnsi" w:cs="Arial"/>
          <w:sz w:val="24"/>
          <w:szCs w:val="24"/>
          <w:lang w:eastAsia="en-US"/>
        </w:rPr>
        <w:t xml:space="preserve"> l’aumento di valore di un edificio ottimizzato energeticamente può aumentare anche fino al 20% tanto che un vecchio condominio può vedere crescere il proprio valore di 0,5 – 1,2 milioni, un </w:t>
      </w:r>
      <w:r w:rsidRPr="00B82E78">
        <w:rPr>
          <w:rFonts w:asciiTheme="minorHAnsi" w:hAnsiTheme="minorHAnsi" w:cs="Arial"/>
          <w:b/>
          <w:sz w:val="24"/>
          <w:szCs w:val="24"/>
          <w:lang w:eastAsia="en-US"/>
        </w:rPr>
        <w:t>valore medio di crescita per appartamento di 40mila euro.</w:t>
      </w:r>
    </w:p>
    <w:p w:rsidR="00B82E78" w:rsidRDefault="001703EF" w:rsidP="00B82E78">
      <w:pPr>
        <w:pStyle w:val="p1"/>
        <w:jc w:val="both"/>
        <w:rPr>
          <w:rFonts w:asciiTheme="minorHAnsi" w:hAnsiTheme="minorHAnsi" w:cs="Arial"/>
          <w:sz w:val="24"/>
          <w:szCs w:val="24"/>
          <w:lang w:eastAsia="en-US"/>
        </w:rPr>
      </w:pPr>
      <w:r w:rsidRPr="00B82E78">
        <w:rPr>
          <w:rFonts w:asciiTheme="minorHAnsi" w:hAnsiTheme="minorHAnsi" w:cs="Arial"/>
          <w:sz w:val="24"/>
          <w:szCs w:val="24"/>
          <w:lang w:eastAsia="en-US"/>
        </w:rPr>
        <w:t xml:space="preserve">Secondo gli ultimi </w:t>
      </w:r>
      <w:r w:rsidRPr="00B82E78">
        <w:rPr>
          <w:rFonts w:asciiTheme="minorHAnsi" w:hAnsiTheme="minorHAnsi" w:cs="Arial"/>
          <w:b/>
          <w:sz w:val="24"/>
          <w:szCs w:val="24"/>
          <w:lang w:eastAsia="en-US"/>
        </w:rPr>
        <w:t>dati ENEA</w:t>
      </w:r>
      <w:r w:rsidRPr="00B82E78">
        <w:rPr>
          <w:rFonts w:asciiTheme="minorHAnsi" w:hAnsiTheme="minorHAnsi" w:cs="Arial"/>
          <w:sz w:val="24"/>
          <w:szCs w:val="24"/>
          <w:lang w:eastAsia="en-US"/>
        </w:rPr>
        <w:t xml:space="preserve"> (Legge di Bilancio 2018 e norme collegate), grazie all’installazione del cappotto termico e all’ammodernamento dell’impianto di riscaldamento condominiale, vi è una riduzione della spesa energetica fino al 50%.</w:t>
      </w:r>
    </w:p>
    <w:p w:rsidR="00B82E78" w:rsidRDefault="00B82E78" w:rsidP="00B82E78">
      <w:pPr>
        <w:pStyle w:val="p1"/>
        <w:jc w:val="both"/>
        <w:rPr>
          <w:rFonts w:asciiTheme="minorHAnsi" w:hAnsiTheme="minorHAnsi" w:cs="Arial"/>
          <w:sz w:val="24"/>
          <w:szCs w:val="24"/>
          <w:lang w:eastAsia="en-US"/>
        </w:rPr>
      </w:pPr>
    </w:p>
    <w:p w:rsidR="001703EF" w:rsidRPr="00B82E78" w:rsidRDefault="001703EF" w:rsidP="00B82E78">
      <w:pPr>
        <w:pStyle w:val="p1"/>
        <w:jc w:val="both"/>
        <w:rPr>
          <w:rFonts w:asciiTheme="minorHAnsi" w:hAnsiTheme="minorHAnsi" w:cs="Arial"/>
          <w:sz w:val="24"/>
          <w:szCs w:val="24"/>
          <w:lang w:eastAsia="en-US"/>
        </w:rPr>
      </w:pPr>
      <w:r w:rsidRPr="00B82E78">
        <w:rPr>
          <w:rFonts w:asciiTheme="minorHAnsi" w:hAnsiTheme="minorHAnsi" w:cs="Arial"/>
          <w:sz w:val="24"/>
          <w:szCs w:val="24"/>
          <w:lang w:eastAsia="en-US"/>
        </w:rPr>
        <w:t xml:space="preserve">Secondo quanto emerge dall’Osservatorio Congiunturale ANCE di gennaio 2019, nel 2017, rispetto al 2016 per gli investimenti in manutenzione straordinaria abitazioni è stimata una crescita dello 0,5%, per arrivare a 47 Mld €. </w:t>
      </w:r>
    </w:p>
    <w:p w:rsidR="001703EF" w:rsidRPr="00B82E78" w:rsidRDefault="001703EF" w:rsidP="001703EF">
      <w:pPr>
        <w:pStyle w:val="p1"/>
        <w:jc w:val="both"/>
        <w:rPr>
          <w:rFonts w:asciiTheme="minorHAnsi" w:hAnsiTheme="minorHAnsi" w:cs="Arial"/>
          <w:sz w:val="24"/>
          <w:szCs w:val="24"/>
          <w:lang w:eastAsia="en-US"/>
        </w:rPr>
      </w:pPr>
      <w:r w:rsidRPr="00B82E78">
        <w:rPr>
          <w:rFonts w:asciiTheme="minorHAnsi" w:hAnsiTheme="minorHAnsi" w:cs="Arial"/>
          <w:sz w:val="24"/>
          <w:szCs w:val="24"/>
          <w:lang w:eastAsia="en-US"/>
        </w:rPr>
        <w:t xml:space="preserve">I dati a preconsuntivo, per il 2018, rilevano una crescita prevista dell’1,3% mentre per il 2019, il Centro Studi ANCE prevede un ulteriore aumento dello 0,7% per gli investimenti in manutenzione straordinaria sullo stock abitativo. </w:t>
      </w:r>
    </w:p>
    <w:p w:rsidR="001703EF" w:rsidRPr="00B82E78" w:rsidRDefault="001703EF" w:rsidP="001703EF">
      <w:pPr>
        <w:jc w:val="both"/>
        <w:rPr>
          <w:rFonts w:asciiTheme="minorHAnsi" w:hAnsiTheme="minorHAnsi" w:cs="Arial"/>
          <w:lang w:eastAsia="en-US"/>
        </w:rPr>
      </w:pPr>
    </w:p>
    <w:p w:rsidR="001703EF" w:rsidRPr="00B82E78" w:rsidRDefault="001703EF" w:rsidP="001703EF">
      <w:pPr>
        <w:spacing w:line="155" w:lineRule="atLeast"/>
        <w:ind w:left="30"/>
        <w:jc w:val="both"/>
        <w:rPr>
          <w:rFonts w:asciiTheme="minorHAnsi" w:hAnsiTheme="minorHAnsi" w:cs="Arial"/>
          <w:lang w:eastAsia="en-US"/>
        </w:rPr>
      </w:pPr>
      <w:r w:rsidRPr="00B82E78">
        <w:rPr>
          <w:rFonts w:asciiTheme="minorHAnsi" w:hAnsiTheme="minorHAnsi" w:cs="Arial"/>
          <w:lang w:eastAsia="en-US"/>
        </w:rPr>
        <w:t>Secondo Scenari Immobiliari, gli investimenti necessari ad eseguire interventi di riqualificazione energetica sull'intero patrimonio immobiliare dei tre principali comparti richiederebbero circa 80 miliardi di euro nei prossimi vent'anni. Lo stock residenziale da solo necessiterebbe di oltre 65,2 miliardi di euro per riqualificare tutto lo stock realizzato tra il dopoguerra e il duemila, corrispondente a oltre 17,2 milioni di immobili. Tra gli immobili a uso commerciale e quelli a uso terziario la cifra necessaria per le riqualificazioni si attesta nell'ordine dei 14,6 miliardi di euro, in questo caso coinvolgendo l'intero stock non ancora interessato da interventi di riqualificazione negli anni passati (pari a 3,1 milioni di unità).</w:t>
      </w:r>
    </w:p>
    <w:p w:rsidR="001703EF" w:rsidRPr="003D33FD" w:rsidRDefault="001703EF" w:rsidP="001703EF">
      <w:pPr>
        <w:pStyle w:val="p1"/>
        <w:jc w:val="both"/>
        <w:rPr>
          <w:rFonts w:ascii="Arial" w:hAnsi="Arial" w:cs="Arial"/>
          <w:sz w:val="24"/>
          <w:szCs w:val="24"/>
          <w:lang w:eastAsia="en-US"/>
        </w:rPr>
      </w:pPr>
    </w:p>
    <w:p w:rsidR="001703EF" w:rsidRPr="00B82E78" w:rsidRDefault="001703EF" w:rsidP="001703EF">
      <w:pPr>
        <w:pStyle w:val="p1"/>
        <w:jc w:val="both"/>
        <w:rPr>
          <w:rFonts w:asciiTheme="minorHAnsi" w:hAnsiTheme="minorHAnsi" w:cs="Arial"/>
          <w:sz w:val="24"/>
          <w:szCs w:val="24"/>
          <w:lang w:eastAsia="en-US"/>
        </w:rPr>
      </w:pPr>
    </w:p>
    <w:p w:rsidR="001703EF" w:rsidRPr="00B82E78" w:rsidRDefault="001703EF" w:rsidP="001703EF">
      <w:pPr>
        <w:pStyle w:val="p1"/>
        <w:jc w:val="both"/>
        <w:rPr>
          <w:rFonts w:asciiTheme="minorHAnsi" w:hAnsiTheme="minorHAnsi" w:cs="Arial"/>
          <w:sz w:val="24"/>
          <w:szCs w:val="24"/>
          <w:lang w:eastAsia="en-US"/>
        </w:rPr>
      </w:pPr>
    </w:p>
    <w:p w:rsidR="001703EF" w:rsidRDefault="001703EF" w:rsidP="001703EF">
      <w:pPr>
        <w:pStyle w:val="p1"/>
        <w:jc w:val="both"/>
        <w:rPr>
          <w:rFonts w:ascii="Arial" w:hAnsi="Arial" w:cs="Arial"/>
          <w:b/>
          <w:sz w:val="24"/>
          <w:szCs w:val="24"/>
          <w:lang w:eastAsia="en-US"/>
        </w:rPr>
      </w:pPr>
    </w:p>
    <w:p w:rsidR="001703EF" w:rsidRDefault="001703EF" w:rsidP="00560200">
      <w:pPr>
        <w:jc w:val="both"/>
        <w:rPr>
          <w:rFonts w:asciiTheme="minorHAnsi" w:hAnsiTheme="minorHAnsi"/>
        </w:rPr>
      </w:pPr>
    </w:p>
    <w:p w:rsidR="00560200" w:rsidRDefault="00560200" w:rsidP="00B82E78">
      <w:pPr>
        <w:jc w:val="center"/>
        <w:rPr>
          <w:rFonts w:eastAsia="Calibri" w:cs="Arial"/>
        </w:rPr>
      </w:pPr>
      <w:r w:rsidRPr="00F91137">
        <w:rPr>
          <w:rFonts w:eastAsia="Calibri" w:cs="Arial"/>
        </w:rPr>
        <w:t>***</w:t>
      </w:r>
    </w:p>
    <w:p w:rsidR="00242C9B" w:rsidRPr="00F91137" w:rsidRDefault="00242C9B" w:rsidP="00560200">
      <w:pPr>
        <w:ind w:left="284"/>
        <w:jc w:val="center"/>
        <w:rPr>
          <w:rFonts w:eastAsia="Calibri" w:cs="Arial"/>
        </w:rPr>
      </w:pPr>
    </w:p>
    <w:p w:rsidR="00560200" w:rsidRPr="00B82E78" w:rsidRDefault="00560200" w:rsidP="00560200">
      <w:pPr>
        <w:jc w:val="both"/>
        <w:rPr>
          <w:rFonts w:asciiTheme="minorHAnsi" w:hAnsiTheme="minorHAnsi" w:cs="Arial"/>
          <w:sz w:val="20"/>
          <w:szCs w:val="20"/>
          <w:lang w:bidi="it-IT"/>
        </w:rPr>
      </w:pPr>
      <w:r w:rsidRPr="00B82E78">
        <w:rPr>
          <w:rFonts w:asciiTheme="minorHAnsi" w:hAnsiTheme="minorHAnsi" w:cs="Arial"/>
          <w:b/>
          <w:sz w:val="20"/>
          <w:szCs w:val="20"/>
          <w:lang w:bidi="it-IT"/>
        </w:rPr>
        <w:t>Gabetti Property Solutions</w:t>
      </w:r>
      <w:r w:rsidRPr="00B82E78">
        <w:rPr>
          <w:rFonts w:asciiTheme="minorHAnsi" w:hAnsiTheme="minorHAnsi" w:cs="Arial"/>
          <w:sz w:val="20"/>
          <w:szCs w:val="20"/>
          <w:lang w:bidi="it-IT"/>
        </w:rPr>
        <w:t>, attraverso le diverse linee di business delle società controllate, eroga servizi per l’intero sistema immobiliare, offrendo consulenza integrata mirata a soddisfare ogni esigenza e aspettativa di privati, aziende e operatori istituzionali. È proprio dall’integrazione e dalla sinergia di tutti i servizi che emerge il valore aggiunto del gruppo: un modello unico rispetto a tutti i competitors. Il modello organizzativo di Gabetti Property Solutions consente l’integrazione e il coordinamento delle competenze specifiche di ciascuna società del Gruppo nell’ambito delle seguenti aree: Consulenza, Valorizzazione, Gestione, Intermediazione, Mediazione Creditizia e Assicurativa</w:t>
      </w:r>
      <w:r w:rsidRPr="00B82E78">
        <w:rPr>
          <w:rFonts w:asciiTheme="minorHAnsi" w:hAnsiTheme="minorHAnsi" w:cs="Arial"/>
          <w:sz w:val="20"/>
          <w:szCs w:val="20"/>
        </w:rPr>
        <w:t xml:space="preserve"> </w:t>
      </w:r>
      <w:hyperlink r:id="rId9" w:history="1">
        <w:r w:rsidRPr="00B82E78">
          <w:rPr>
            <w:rStyle w:val="Collegamentoipertestuale"/>
            <w:rFonts w:asciiTheme="minorHAnsi" w:hAnsiTheme="minorHAnsi" w:cs="Arial"/>
            <w:sz w:val="20"/>
            <w:szCs w:val="20"/>
          </w:rPr>
          <w:t>www.gabettigroup.com</w:t>
        </w:r>
      </w:hyperlink>
    </w:p>
    <w:p w:rsidR="00560200" w:rsidRPr="00B82E78" w:rsidRDefault="00560200" w:rsidP="00560200">
      <w:pPr>
        <w:spacing w:line="360" w:lineRule="auto"/>
        <w:jc w:val="both"/>
        <w:rPr>
          <w:rFonts w:asciiTheme="minorHAnsi" w:hAnsiTheme="minorHAnsi" w:cs="Arial"/>
          <w:sz w:val="20"/>
          <w:szCs w:val="20"/>
        </w:rPr>
      </w:pPr>
      <w:r w:rsidRPr="00B82E78">
        <w:rPr>
          <w:rFonts w:asciiTheme="minorHAnsi" w:hAnsiTheme="minorHAnsi" w:cs="Arial"/>
          <w:sz w:val="20"/>
          <w:szCs w:val="20"/>
        </w:rPr>
        <w:t xml:space="preserve">     </w:t>
      </w:r>
    </w:p>
    <w:p w:rsidR="00560200" w:rsidRPr="00F91137" w:rsidRDefault="00560200" w:rsidP="00560200">
      <w:pPr>
        <w:spacing w:line="360" w:lineRule="auto"/>
        <w:ind w:left="284" w:hanging="284"/>
        <w:jc w:val="both"/>
        <w:rPr>
          <w:rFonts w:cs="Arial"/>
          <w:sz w:val="20"/>
          <w:szCs w:val="20"/>
        </w:rPr>
      </w:pPr>
    </w:p>
    <w:p w:rsidR="00560200" w:rsidRPr="00560200" w:rsidRDefault="00560200" w:rsidP="00D21815">
      <w:pPr>
        <w:ind w:right="-291"/>
        <w:jc w:val="both"/>
      </w:pPr>
    </w:p>
    <w:sectPr w:rsidR="00560200" w:rsidRPr="00560200" w:rsidSect="002C6340">
      <w:headerReference w:type="default" r:id="rId10"/>
      <w:pgSz w:w="11900" w:h="16840"/>
      <w:pgMar w:top="1417" w:right="84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06" w:rsidRDefault="00693706" w:rsidP="009E62B1">
      <w:r>
        <w:separator/>
      </w:r>
    </w:p>
  </w:endnote>
  <w:endnote w:type="continuationSeparator" w:id="0">
    <w:p w:rsidR="00693706" w:rsidRDefault="00693706" w:rsidP="009E6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06" w:rsidRDefault="00693706" w:rsidP="009E62B1">
      <w:r>
        <w:separator/>
      </w:r>
    </w:p>
  </w:footnote>
  <w:footnote w:type="continuationSeparator" w:id="0">
    <w:p w:rsidR="00693706" w:rsidRDefault="00693706" w:rsidP="009E6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B1" w:rsidRDefault="009E62B1" w:rsidP="009E62B1">
    <w:pPr>
      <w:pStyle w:val="Intestazione"/>
      <w:jc w:val="right"/>
    </w:pPr>
    <w:r w:rsidRPr="008D01B1">
      <w:rPr>
        <w:noProof/>
        <w:lang w:eastAsia="it-IT"/>
      </w:rPr>
      <w:drawing>
        <wp:inline distT="0" distB="0" distL="0" distR="0">
          <wp:extent cx="1685925" cy="779145"/>
          <wp:effectExtent l="0" t="0" r="0" b="8255"/>
          <wp:docPr id="5" name="Immagine 5" descr="Schermata 2017-02-02 all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Schermata 2017-02-02 alle 18"/>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85925" cy="779145"/>
                  </a:xfrm>
                  <a:prstGeom prst="rect">
                    <a:avLst/>
                  </a:prstGeom>
                  <a:noFill/>
                  <a:ln>
                    <a:noFill/>
                  </a:ln>
                </pic:spPr>
              </pic:pic>
            </a:graphicData>
          </a:graphic>
        </wp:inline>
      </w:drawing>
    </w:r>
  </w:p>
  <w:p w:rsidR="009E62B1" w:rsidRDefault="009E62B1" w:rsidP="009E62B1">
    <w:pPr>
      <w:pStyle w:val="Intestazione"/>
      <w:jc w:val="right"/>
    </w:pPr>
  </w:p>
  <w:p w:rsidR="009E62B1" w:rsidRDefault="009E62B1" w:rsidP="009E62B1">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B7BFC"/>
    <w:multiLevelType w:val="hybridMultilevel"/>
    <w:tmpl w:val="48BA8D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proofState w:spelling="clean"/>
  <w:defaultTabStop w:val="708"/>
  <w:hyphenationZone w:val="283"/>
  <w:characterSpacingControl w:val="doNotCompress"/>
  <w:footnotePr>
    <w:footnote w:id="-1"/>
    <w:footnote w:id="0"/>
  </w:footnotePr>
  <w:endnotePr>
    <w:endnote w:id="-1"/>
    <w:endnote w:id="0"/>
  </w:endnotePr>
  <w:compat/>
  <w:rsids>
    <w:rsidRoot w:val="001E32E0"/>
    <w:rsid w:val="00006C2D"/>
    <w:rsid w:val="00011212"/>
    <w:rsid w:val="0003249E"/>
    <w:rsid w:val="00064772"/>
    <w:rsid w:val="000A0664"/>
    <w:rsid w:val="000B1583"/>
    <w:rsid w:val="000C6DF9"/>
    <w:rsid w:val="000D2B79"/>
    <w:rsid w:val="00164DC3"/>
    <w:rsid w:val="001703EF"/>
    <w:rsid w:val="00172B43"/>
    <w:rsid w:val="001B5578"/>
    <w:rsid w:val="001C4FF4"/>
    <w:rsid w:val="001D1DA5"/>
    <w:rsid w:val="001D32E4"/>
    <w:rsid w:val="001E32E0"/>
    <w:rsid w:val="002254E2"/>
    <w:rsid w:val="00242C9B"/>
    <w:rsid w:val="00265EEF"/>
    <w:rsid w:val="0028272D"/>
    <w:rsid w:val="00285155"/>
    <w:rsid w:val="002A56F6"/>
    <w:rsid w:val="002C6340"/>
    <w:rsid w:val="002C6BF6"/>
    <w:rsid w:val="003109B8"/>
    <w:rsid w:val="003461E4"/>
    <w:rsid w:val="00384E24"/>
    <w:rsid w:val="003B5546"/>
    <w:rsid w:val="004264B2"/>
    <w:rsid w:val="00476FDA"/>
    <w:rsid w:val="004B2903"/>
    <w:rsid w:val="004C3BEA"/>
    <w:rsid w:val="00524C68"/>
    <w:rsid w:val="00560200"/>
    <w:rsid w:val="00581A3F"/>
    <w:rsid w:val="00586CC1"/>
    <w:rsid w:val="005B11D0"/>
    <w:rsid w:val="005C7841"/>
    <w:rsid w:val="005D6CBC"/>
    <w:rsid w:val="00600278"/>
    <w:rsid w:val="00625037"/>
    <w:rsid w:val="00656CC0"/>
    <w:rsid w:val="00665A44"/>
    <w:rsid w:val="00693706"/>
    <w:rsid w:val="006C2D0D"/>
    <w:rsid w:val="007662EB"/>
    <w:rsid w:val="007663D6"/>
    <w:rsid w:val="007853BC"/>
    <w:rsid w:val="007D05E0"/>
    <w:rsid w:val="007D1068"/>
    <w:rsid w:val="0084665E"/>
    <w:rsid w:val="00854D2E"/>
    <w:rsid w:val="008659B8"/>
    <w:rsid w:val="0088550C"/>
    <w:rsid w:val="008973BC"/>
    <w:rsid w:val="008C3AEE"/>
    <w:rsid w:val="008E53D2"/>
    <w:rsid w:val="009B0CAF"/>
    <w:rsid w:val="009B3A99"/>
    <w:rsid w:val="009C2A96"/>
    <w:rsid w:val="009E4BA7"/>
    <w:rsid w:val="009E62B1"/>
    <w:rsid w:val="00A56E89"/>
    <w:rsid w:val="00AA06CB"/>
    <w:rsid w:val="00AA27DC"/>
    <w:rsid w:val="00AC19E0"/>
    <w:rsid w:val="00AC1AF3"/>
    <w:rsid w:val="00AD67F0"/>
    <w:rsid w:val="00B47FB8"/>
    <w:rsid w:val="00B61CA4"/>
    <w:rsid w:val="00B66347"/>
    <w:rsid w:val="00B82E78"/>
    <w:rsid w:val="00BA29FE"/>
    <w:rsid w:val="00BC0977"/>
    <w:rsid w:val="00BD5BA9"/>
    <w:rsid w:val="00C36C75"/>
    <w:rsid w:val="00C5023C"/>
    <w:rsid w:val="00C7707C"/>
    <w:rsid w:val="00C91DCD"/>
    <w:rsid w:val="00CB1812"/>
    <w:rsid w:val="00CD566F"/>
    <w:rsid w:val="00CE0232"/>
    <w:rsid w:val="00D21815"/>
    <w:rsid w:val="00D403E3"/>
    <w:rsid w:val="00D87FE1"/>
    <w:rsid w:val="00E10D5B"/>
    <w:rsid w:val="00E35B3C"/>
    <w:rsid w:val="00E55431"/>
    <w:rsid w:val="00E60FCC"/>
    <w:rsid w:val="00EA2B91"/>
    <w:rsid w:val="00ED3A39"/>
    <w:rsid w:val="00EE7C51"/>
    <w:rsid w:val="00EF46C2"/>
    <w:rsid w:val="00F04353"/>
    <w:rsid w:val="00F51635"/>
    <w:rsid w:val="00F91137"/>
    <w:rsid w:val="00F92147"/>
    <w:rsid w:val="00F95A1E"/>
    <w:rsid w:val="00FB6BDC"/>
    <w:rsid w:val="00FB7BB0"/>
    <w:rsid w:val="00FE646D"/>
    <w:rsid w:val="00FF14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2E4"/>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560200"/>
    <w:rPr>
      <w:rFonts w:ascii="Helvetica" w:hAnsi="Helvetica"/>
      <w:sz w:val="14"/>
      <w:szCs w:val="14"/>
    </w:rPr>
  </w:style>
  <w:style w:type="character" w:styleId="Collegamentoipertestuale">
    <w:name w:val="Hyperlink"/>
    <w:rsid w:val="00560200"/>
    <w:rPr>
      <w:color w:val="0000FF"/>
      <w:u w:val="single"/>
    </w:rPr>
  </w:style>
  <w:style w:type="paragraph" w:styleId="Testofumetto">
    <w:name w:val="Balloon Text"/>
    <w:basedOn w:val="Normale"/>
    <w:link w:val="TestofumettoCarattere"/>
    <w:uiPriority w:val="99"/>
    <w:semiHidden/>
    <w:unhideWhenUsed/>
    <w:rsid w:val="007D05E0"/>
    <w:rPr>
      <w:sz w:val="18"/>
      <w:szCs w:val="18"/>
    </w:rPr>
  </w:style>
  <w:style w:type="character" w:customStyle="1" w:styleId="TestofumettoCarattere">
    <w:name w:val="Testo fumetto Carattere"/>
    <w:basedOn w:val="Carpredefinitoparagrafo"/>
    <w:link w:val="Testofumetto"/>
    <w:uiPriority w:val="99"/>
    <w:semiHidden/>
    <w:rsid w:val="007D05E0"/>
    <w:rPr>
      <w:rFonts w:ascii="Times New Roman" w:hAnsi="Times New Roman" w:cs="Times New Roman"/>
      <w:sz w:val="18"/>
      <w:szCs w:val="18"/>
    </w:rPr>
  </w:style>
  <w:style w:type="paragraph" w:styleId="Intestazione">
    <w:name w:val="header"/>
    <w:basedOn w:val="Normale"/>
    <w:link w:val="IntestazioneCarattere"/>
    <w:uiPriority w:val="99"/>
    <w:unhideWhenUsed/>
    <w:rsid w:val="009E62B1"/>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9E62B1"/>
  </w:style>
  <w:style w:type="paragraph" w:styleId="Pidipagina">
    <w:name w:val="footer"/>
    <w:basedOn w:val="Normale"/>
    <w:link w:val="PidipaginaCarattere"/>
    <w:uiPriority w:val="99"/>
    <w:unhideWhenUsed/>
    <w:rsid w:val="009E62B1"/>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9E62B1"/>
  </w:style>
  <w:style w:type="paragraph" w:styleId="Paragrafoelenco">
    <w:name w:val="List Paragraph"/>
    <w:basedOn w:val="Normale"/>
    <w:uiPriority w:val="34"/>
    <w:qFormat/>
    <w:rsid w:val="001703EF"/>
    <w:pPr>
      <w:ind w:left="720"/>
      <w:contextualSpacing/>
    </w:pPr>
    <w:rPr>
      <w:rFonts w:ascii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2359795">
      <w:bodyDiv w:val="1"/>
      <w:marLeft w:val="0"/>
      <w:marRight w:val="0"/>
      <w:marTop w:val="0"/>
      <w:marBottom w:val="0"/>
      <w:divBdr>
        <w:top w:val="none" w:sz="0" w:space="0" w:color="auto"/>
        <w:left w:val="none" w:sz="0" w:space="0" w:color="auto"/>
        <w:bottom w:val="none" w:sz="0" w:space="0" w:color="auto"/>
        <w:right w:val="none" w:sz="0" w:space="0" w:color="auto"/>
      </w:divBdr>
    </w:div>
    <w:div w:id="282880267">
      <w:bodyDiv w:val="1"/>
      <w:marLeft w:val="0"/>
      <w:marRight w:val="0"/>
      <w:marTop w:val="0"/>
      <w:marBottom w:val="0"/>
      <w:divBdr>
        <w:top w:val="none" w:sz="0" w:space="0" w:color="auto"/>
        <w:left w:val="none" w:sz="0" w:space="0" w:color="auto"/>
        <w:bottom w:val="none" w:sz="0" w:space="0" w:color="auto"/>
        <w:right w:val="none" w:sz="0" w:space="0" w:color="auto"/>
      </w:divBdr>
    </w:div>
    <w:div w:id="441077716">
      <w:bodyDiv w:val="1"/>
      <w:marLeft w:val="0"/>
      <w:marRight w:val="0"/>
      <w:marTop w:val="0"/>
      <w:marBottom w:val="0"/>
      <w:divBdr>
        <w:top w:val="none" w:sz="0" w:space="0" w:color="auto"/>
        <w:left w:val="none" w:sz="0" w:space="0" w:color="auto"/>
        <w:bottom w:val="none" w:sz="0" w:space="0" w:color="auto"/>
        <w:right w:val="none" w:sz="0" w:space="0" w:color="auto"/>
      </w:divBdr>
    </w:div>
    <w:div w:id="491027840">
      <w:bodyDiv w:val="1"/>
      <w:marLeft w:val="0"/>
      <w:marRight w:val="0"/>
      <w:marTop w:val="0"/>
      <w:marBottom w:val="0"/>
      <w:divBdr>
        <w:top w:val="none" w:sz="0" w:space="0" w:color="auto"/>
        <w:left w:val="none" w:sz="0" w:space="0" w:color="auto"/>
        <w:bottom w:val="none" w:sz="0" w:space="0" w:color="auto"/>
        <w:right w:val="none" w:sz="0" w:space="0" w:color="auto"/>
      </w:divBdr>
    </w:div>
    <w:div w:id="558055345">
      <w:bodyDiv w:val="1"/>
      <w:marLeft w:val="0"/>
      <w:marRight w:val="0"/>
      <w:marTop w:val="0"/>
      <w:marBottom w:val="0"/>
      <w:divBdr>
        <w:top w:val="none" w:sz="0" w:space="0" w:color="auto"/>
        <w:left w:val="none" w:sz="0" w:space="0" w:color="auto"/>
        <w:bottom w:val="none" w:sz="0" w:space="0" w:color="auto"/>
        <w:right w:val="none" w:sz="0" w:space="0" w:color="auto"/>
      </w:divBdr>
    </w:div>
    <w:div w:id="645865483">
      <w:bodyDiv w:val="1"/>
      <w:marLeft w:val="0"/>
      <w:marRight w:val="0"/>
      <w:marTop w:val="0"/>
      <w:marBottom w:val="0"/>
      <w:divBdr>
        <w:top w:val="none" w:sz="0" w:space="0" w:color="auto"/>
        <w:left w:val="none" w:sz="0" w:space="0" w:color="auto"/>
        <w:bottom w:val="none" w:sz="0" w:space="0" w:color="auto"/>
        <w:right w:val="none" w:sz="0" w:space="0" w:color="auto"/>
      </w:divBdr>
    </w:div>
    <w:div w:id="859852685">
      <w:bodyDiv w:val="1"/>
      <w:marLeft w:val="0"/>
      <w:marRight w:val="0"/>
      <w:marTop w:val="0"/>
      <w:marBottom w:val="0"/>
      <w:divBdr>
        <w:top w:val="none" w:sz="0" w:space="0" w:color="auto"/>
        <w:left w:val="none" w:sz="0" w:space="0" w:color="auto"/>
        <w:bottom w:val="none" w:sz="0" w:space="0" w:color="auto"/>
        <w:right w:val="none" w:sz="0" w:space="0" w:color="auto"/>
      </w:divBdr>
    </w:div>
    <w:div w:id="1066300485">
      <w:bodyDiv w:val="1"/>
      <w:marLeft w:val="0"/>
      <w:marRight w:val="0"/>
      <w:marTop w:val="0"/>
      <w:marBottom w:val="0"/>
      <w:divBdr>
        <w:top w:val="none" w:sz="0" w:space="0" w:color="auto"/>
        <w:left w:val="none" w:sz="0" w:space="0" w:color="auto"/>
        <w:bottom w:val="none" w:sz="0" w:space="0" w:color="auto"/>
        <w:right w:val="none" w:sz="0" w:space="0" w:color="auto"/>
      </w:divBdr>
    </w:div>
    <w:div w:id="1139961340">
      <w:bodyDiv w:val="1"/>
      <w:marLeft w:val="0"/>
      <w:marRight w:val="0"/>
      <w:marTop w:val="0"/>
      <w:marBottom w:val="0"/>
      <w:divBdr>
        <w:top w:val="none" w:sz="0" w:space="0" w:color="auto"/>
        <w:left w:val="none" w:sz="0" w:space="0" w:color="auto"/>
        <w:bottom w:val="none" w:sz="0" w:space="0" w:color="auto"/>
        <w:right w:val="none" w:sz="0" w:space="0" w:color="auto"/>
      </w:divBdr>
    </w:div>
    <w:div w:id="1357124606">
      <w:bodyDiv w:val="1"/>
      <w:marLeft w:val="0"/>
      <w:marRight w:val="0"/>
      <w:marTop w:val="0"/>
      <w:marBottom w:val="0"/>
      <w:divBdr>
        <w:top w:val="none" w:sz="0" w:space="0" w:color="auto"/>
        <w:left w:val="none" w:sz="0" w:space="0" w:color="auto"/>
        <w:bottom w:val="none" w:sz="0" w:space="0" w:color="auto"/>
        <w:right w:val="none" w:sz="0" w:space="0" w:color="auto"/>
      </w:divBdr>
    </w:div>
    <w:div w:id="1651518735">
      <w:bodyDiv w:val="1"/>
      <w:marLeft w:val="0"/>
      <w:marRight w:val="0"/>
      <w:marTop w:val="0"/>
      <w:marBottom w:val="0"/>
      <w:divBdr>
        <w:top w:val="none" w:sz="0" w:space="0" w:color="auto"/>
        <w:left w:val="none" w:sz="0" w:space="0" w:color="auto"/>
        <w:bottom w:val="none" w:sz="0" w:space="0" w:color="auto"/>
        <w:right w:val="none" w:sz="0" w:space="0" w:color="auto"/>
      </w:divBdr>
    </w:div>
    <w:div w:id="1689795249">
      <w:bodyDiv w:val="1"/>
      <w:marLeft w:val="0"/>
      <w:marRight w:val="0"/>
      <w:marTop w:val="0"/>
      <w:marBottom w:val="0"/>
      <w:divBdr>
        <w:top w:val="none" w:sz="0" w:space="0" w:color="auto"/>
        <w:left w:val="none" w:sz="0" w:space="0" w:color="auto"/>
        <w:bottom w:val="none" w:sz="0" w:space="0" w:color="auto"/>
        <w:right w:val="none" w:sz="0" w:space="0" w:color="auto"/>
      </w:divBdr>
    </w:div>
    <w:div w:id="1719669769">
      <w:bodyDiv w:val="1"/>
      <w:marLeft w:val="0"/>
      <w:marRight w:val="0"/>
      <w:marTop w:val="0"/>
      <w:marBottom w:val="0"/>
      <w:divBdr>
        <w:top w:val="none" w:sz="0" w:space="0" w:color="auto"/>
        <w:left w:val="none" w:sz="0" w:space="0" w:color="auto"/>
        <w:bottom w:val="none" w:sz="0" w:space="0" w:color="auto"/>
        <w:right w:val="none" w:sz="0" w:space="0" w:color="auto"/>
      </w:divBdr>
    </w:div>
    <w:div w:id="1752920365">
      <w:bodyDiv w:val="1"/>
      <w:marLeft w:val="0"/>
      <w:marRight w:val="0"/>
      <w:marTop w:val="0"/>
      <w:marBottom w:val="0"/>
      <w:divBdr>
        <w:top w:val="none" w:sz="0" w:space="0" w:color="auto"/>
        <w:left w:val="none" w:sz="0" w:space="0" w:color="auto"/>
        <w:bottom w:val="none" w:sz="0" w:space="0" w:color="auto"/>
        <w:right w:val="none" w:sz="0" w:space="0" w:color="auto"/>
      </w:divBdr>
    </w:div>
    <w:div w:id="1874072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abetti01.it\gab40files\Marketing\Stefania\MEDIARELATION\2013\Corporate\www.gabetti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1016</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Brambilla</dc:creator>
  <cp:keywords/>
  <dc:description/>
  <cp:lastModifiedBy>paola</cp:lastModifiedBy>
  <cp:revision>25</cp:revision>
  <dcterms:created xsi:type="dcterms:W3CDTF">2019-05-16T14:05:00Z</dcterms:created>
  <dcterms:modified xsi:type="dcterms:W3CDTF">2019-07-02T11:11:00Z</dcterms:modified>
</cp:coreProperties>
</file>