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C" w:rsidRPr="004F2012" w:rsidRDefault="00E3311C" w:rsidP="00011E0D">
      <w:pPr>
        <w:tabs>
          <w:tab w:val="left" w:pos="2679"/>
        </w:tabs>
        <w:spacing w:after="0" w:line="240" w:lineRule="auto"/>
        <w:jc w:val="center"/>
        <w:rPr>
          <w:b/>
          <w:sz w:val="28"/>
          <w:szCs w:val="28"/>
        </w:rPr>
      </w:pPr>
      <w:r w:rsidRPr="004F2012">
        <w:rPr>
          <w:b/>
          <w:sz w:val="28"/>
          <w:szCs w:val="28"/>
        </w:rPr>
        <w:t xml:space="preserve">ASTE IMMOBILIARI: NEL PRIMO </w:t>
      </w:r>
      <w:r w:rsidR="004C73D2">
        <w:rPr>
          <w:b/>
          <w:sz w:val="28"/>
          <w:szCs w:val="28"/>
        </w:rPr>
        <w:t>SEMESTRE 2019 CRESCITA DEL 24</w:t>
      </w:r>
      <w:r w:rsidRPr="004F2012">
        <w:rPr>
          <w:b/>
          <w:sz w:val="28"/>
          <w:szCs w:val="28"/>
        </w:rPr>
        <w:t>%</w:t>
      </w:r>
    </w:p>
    <w:p w:rsidR="00E3311C" w:rsidRDefault="00E3311C" w:rsidP="004F2012">
      <w:pPr>
        <w:spacing w:after="0" w:line="240" w:lineRule="auto"/>
        <w:jc w:val="center"/>
        <w:rPr>
          <w:b/>
          <w:sz w:val="28"/>
          <w:szCs w:val="28"/>
        </w:rPr>
      </w:pPr>
      <w:r w:rsidRPr="004F2012">
        <w:rPr>
          <w:b/>
          <w:sz w:val="28"/>
          <w:szCs w:val="28"/>
        </w:rPr>
        <w:t xml:space="preserve">LA MEDIA </w:t>
      </w:r>
      <w:r w:rsidR="008A5288" w:rsidRPr="004F2012">
        <w:rPr>
          <w:b/>
          <w:sz w:val="28"/>
          <w:szCs w:val="28"/>
        </w:rPr>
        <w:t>È</w:t>
      </w:r>
      <w:r w:rsidRPr="004F2012">
        <w:rPr>
          <w:b/>
          <w:sz w:val="28"/>
          <w:szCs w:val="28"/>
        </w:rPr>
        <w:t xml:space="preserve"> DI 836 IMMOBILI ALL’ASTA AL GIORNO</w:t>
      </w:r>
    </w:p>
    <w:p w:rsidR="00011E0D" w:rsidRDefault="00011E0D" w:rsidP="004F2012">
      <w:pPr>
        <w:spacing w:after="0" w:line="240" w:lineRule="auto"/>
        <w:jc w:val="center"/>
        <w:rPr>
          <w:b/>
          <w:sz w:val="28"/>
          <w:szCs w:val="28"/>
        </w:rPr>
      </w:pPr>
    </w:p>
    <w:p w:rsidR="00011E0D" w:rsidRPr="00011E0D" w:rsidRDefault="00011E0D" w:rsidP="004F2012">
      <w:pPr>
        <w:spacing w:after="0" w:line="240" w:lineRule="auto"/>
        <w:jc w:val="center"/>
        <w:rPr>
          <w:b/>
          <w:sz w:val="28"/>
          <w:szCs w:val="28"/>
        </w:rPr>
      </w:pPr>
      <w:r w:rsidRPr="00011E0D">
        <w:rPr>
          <w:b/>
          <w:i/>
          <w:sz w:val="28"/>
          <w:szCs w:val="28"/>
        </w:rPr>
        <w:t>Mirko Frigerio</w:t>
      </w:r>
      <w:r>
        <w:rPr>
          <w:b/>
          <w:i/>
          <w:sz w:val="28"/>
          <w:szCs w:val="28"/>
        </w:rPr>
        <w:t xml:space="preserve"> (ad Astasy)</w:t>
      </w:r>
      <w:r w:rsidRPr="00011E0D">
        <w:rPr>
          <w:b/>
          <w:i/>
          <w:sz w:val="28"/>
          <w:szCs w:val="28"/>
        </w:rPr>
        <w:t>: “Il problema NPL non è finito, ma si è solo spostato dalle banche ai cessionari del credito”.</w:t>
      </w:r>
    </w:p>
    <w:p w:rsidR="008A5288" w:rsidRDefault="008A5288" w:rsidP="00E3311C">
      <w:pPr>
        <w:jc w:val="center"/>
        <w:rPr>
          <w:sz w:val="28"/>
          <w:szCs w:val="28"/>
        </w:rPr>
      </w:pPr>
    </w:p>
    <w:p w:rsidR="00F94833" w:rsidRPr="00432FF7" w:rsidRDefault="00E2746F" w:rsidP="00F94833">
      <w:pPr>
        <w:jc w:val="both"/>
        <w:rPr>
          <w:b/>
          <w:color w:val="FF0000"/>
          <w:sz w:val="28"/>
          <w:szCs w:val="28"/>
        </w:rPr>
      </w:pPr>
      <w:r w:rsidRPr="00E3311C">
        <w:rPr>
          <w:i/>
          <w:sz w:val="28"/>
          <w:szCs w:val="28"/>
        </w:rPr>
        <w:t xml:space="preserve">Milano, </w:t>
      </w:r>
      <w:r w:rsidR="00FF0B95">
        <w:rPr>
          <w:i/>
          <w:sz w:val="28"/>
          <w:szCs w:val="28"/>
        </w:rPr>
        <w:t>5</w:t>
      </w:r>
      <w:r w:rsidRPr="00E3311C">
        <w:rPr>
          <w:i/>
          <w:sz w:val="28"/>
          <w:szCs w:val="28"/>
        </w:rPr>
        <w:t xml:space="preserve"> </w:t>
      </w:r>
      <w:r w:rsidR="00D80280">
        <w:rPr>
          <w:i/>
          <w:sz w:val="28"/>
          <w:szCs w:val="28"/>
        </w:rPr>
        <w:t>agosto</w:t>
      </w:r>
      <w:r>
        <w:rPr>
          <w:sz w:val="28"/>
          <w:szCs w:val="28"/>
        </w:rPr>
        <w:t xml:space="preserve"> - </w:t>
      </w:r>
      <w:r w:rsidRPr="002D75CA">
        <w:rPr>
          <w:b/>
          <w:bCs/>
          <w:sz w:val="28"/>
          <w:szCs w:val="28"/>
        </w:rPr>
        <w:t>Aumenta</w:t>
      </w:r>
      <w:r w:rsidR="00F94833" w:rsidRPr="002D75CA">
        <w:rPr>
          <w:b/>
          <w:bCs/>
          <w:sz w:val="28"/>
          <w:szCs w:val="28"/>
        </w:rPr>
        <w:t xml:space="preserve"> del</w:t>
      </w:r>
      <w:r w:rsidR="00F94833" w:rsidRPr="005A72AB">
        <w:rPr>
          <w:sz w:val="28"/>
          <w:szCs w:val="28"/>
        </w:rPr>
        <w:t xml:space="preserve"> </w:t>
      </w:r>
      <w:r w:rsidR="0002063C" w:rsidRPr="005A72AB">
        <w:rPr>
          <w:b/>
          <w:bCs/>
          <w:sz w:val="28"/>
          <w:szCs w:val="28"/>
        </w:rPr>
        <w:t>24%</w:t>
      </w:r>
      <w:r w:rsidR="0002063C" w:rsidRPr="005A72AB">
        <w:rPr>
          <w:sz w:val="28"/>
          <w:szCs w:val="28"/>
        </w:rPr>
        <w:t xml:space="preserve"> </w:t>
      </w:r>
      <w:r>
        <w:rPr>
          <w:sz w:val="28"/>
          <w:szCs w:val="28"/>
        </w:rPr>
        <w:t>il numero di aste immobiliari</w:t>
      </w:r>
      <w:r w:rsidR="00F94833" w:rsidRPr="005A7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nel primo semestre dell’anno </w:t>
      </w:r>
      <w:r w:rsidR="0002063C" w:rsidRPr="005A72AB">
        <w:rPr>
          <w:sz w:val="28"/>
          <w:szCs w:val="28"/>
        </w:rPr>
        <w:t xml:space="preserve">rispetto </w:t>
      </w:r>
      <w:r>
        <w:rPr>
          <w:sz w:val="28"/>
          <w:szCs w:val="28"/>
        </w:rPr>
        <w:t>allo s</w:t>
      </w:r>
      <w:bookmarkStart w:id="0" w:name="_GoBack"/>
      <w:bookmarkEnd w:id="0"/>
      <w:r>
        <w:rPr>
          <w:sz w:val="28"/>
          <w:szCs w:val="28"/>
        </w:rPr>
        <w:t xml:space="preserve">tesso periodo </w:t>
      </w:r>
      <w:r w:rsidR="00E3311C">
        <w:rPr>
          <w:sz w:val="28"/>
          <w:szCs w:val="28"/>
        </w:rPr>
        <w:t>2018</w:t>
      </w:r>
      <w:r w:rsidR="0051028D">
        <w:rPr>
          <w:sz w:val="28"/>
          <w:szCs w:val="28"/>
        </w:rPr>
        <w:t>.</w:t>
      </w:r>
      <w:r w:rsidR="00432FF7">
        <w:rPr>
          <w:b/>
          <w:sz w:val="28"/>
          <w:szCs w:val="28"/>
        </w:rPr>
        <w:t xml:space="preserve"> </w:t>
      </w:r>
    </w:p>
    <w:p w:rsidR="00E2746F" w:rsidRPr="00BA57AC" w:rsidRDefault="00F94833" w:rsidP="00BA57AC">
      <w:pPr>
        <w:jc w:val="both"/>
        <w:rPr>
          <w:sz w:val="28"/>
          <w:szCs w:val="28"/>
        </w:rPr>
      </w:pPr>
      <w:r w:rsidRPr="005A72AB">
        <w:rPr>
          <w:sz w:val="28"/>
          <w:szCs w:val="28"/>
        </w:rPr>
        <w:t xml:space="preserve">Sono infatti </w:t>
      </w:r>
      <w:r w:rsidRPr="005A72AB">
        <w:rPr>
          <w:b/>
          <w:bCs/>
          <w:sz w:val="28"/>
          <w:szCs w:val="28"/>
        </w:rPr>
        <w:t>152.708</w:t>
      </w:r>
      <w:r w:rsidRPr="005A72AB">
        <w:rPr>
          <w:sz w:val="28"/>
          <w:szCs w:val="28"/>
        </w:rPr>
        <w:t xml:space="preserve"> i lotti di immobili pubblicati in asta </w:t>
      </w:r>
      <w:r w:rsidR="0051028D">
        <w:rPr>
          <w:sz w:val="28"/>
          <w:szCs w:val="28"/>
        </w:rPr>
        <w:t>(</w:t>
      </w:r>
      <w:r w:rsidR="005F410D">
        <w:rPr>
          <w:sz w:val="28"/>
          <w:szCs w:val="28"/>
        </w:rPr>
        <w:t>n</w:t>
      </w:r>
      <w:r w:rsidR="00C6530E">
        <w:rPr>
          <w:sz w:val="28"/>
          <w:szCs w:val="28"/>
        </w:rPr>
        <w:t xml:space="preserve">el primo semestre 2018 erano </w:t>
      </w:r>
      <w:r w:rsidR="00C6530E" w:rsidRPr="00C6530E">
        <w:rPr>
          <w:b/>
          <w:sz w:val="28"/>
          <w:szCs w:val="28"/>
        </w:rPr>
        <w:t>128</w:t>
      </w:r>
      <w:r w:rsidR="005F410D" w:rsidRPr="00C6530E">
        <w:rPr>
          <w:b/>
          <w:sz w:val="28"/>
          <w:szCs w:val="28"/>
        </w:rPr>
        <w:t>.000</w:t>
      </w:r>
      <w:r w:rsidR="00C6530E">
        <w:rPr>
          <w:sz w:val="28"/>
          <w:szCs w:val="28"/>
        </w:rPr>
        <w:t>)</w:t>
      </w:r>
      <w:r w:rsidR="005F410D">
        <w:rPr>
          <w:sz w:val="28"/>
          <w:szCs w:val="28"/>
        </w:rPr>
        <w:t xml:space="preserve"> </w:t>
      </w:r>
      <w:r w:rsidR="00E40DCD" w:rsidRPr="005A72AB">
        <w:rPr>
          <w:sz w:val="28"/>
          <w:szCs w:val="28"/>
        </w:rPr>
        <w:t xml:space="preserve">nei 140 Tribunali Italiani </w:t>
      </w:r>
      <w:r w:rsidRPr="005A72AB">
        <w:rPr>
          <w:sz w:val="28"/>
          <w:szCs w:val="28"/>
        </w:rPr>
        <w:t>da</w:t>
      </w:r>
      <w:r w:rsidR="00E2746F">
        <w:rPr>
          <w:sz w:val="28"/>
          <w:szCs w:val="28"/>
        </w:rPr>
        <w:t>l 1 g</w:t>
      </w:r>
      <w:r w:rsidR="00E40DCD" w:rsidRPr="005A72AB">
        <w:rPr>
          <w:sz w:val="28"/>
          <w:szCs w:val="28"/>
        </w:rPr>
        <w:t xml:space="preserve">ennaio </w:t>
      </w:r>
      <w:r w:rsidR="00E2746F">
        <w:rPr>
          <w:sz w:val="28"/>
          <w:szCs w:val="28"/>
        </w:rPr>
        <w:t>al 30 giugno</w:t>
      </w:r>
      <w:r w:rsidRPr="005A72AB">
        <w:rPr>
          <w:sz w:val="28"/>
          <w:szCs w:val="28"/>
        </w:rPr>
        <w:t xml:space="preserve"> calcolati dal Comitato scientifico AstaSy, società che si </w:t>
      </w:r>
      <w:r w:rsidR="007D20FA">
        <w:rPr>
          <w:sz w:val="28"/>
          <w:szCs w:val="28"/>
        </w:rPr>
        <w:t xml:space="preserve">occupa di Auction Real Estate, </w:t>
      </w:r>
      <w:r w:rsidRPr="005A72AB">
        <w:rPr>
          <w:sz w:val="28"/>
          <w:szCs w:val="28"/>
        </w:rPr>
        <w:t>che</w:t>
      </w:r>
      <w:r w:rsidR="00E40DCD" w:rsidRPr="005A72AB">
        <w:rPr>
          <w:sz w:val="28"/>
          <w:szCs w:val="28"/>
        </w:rPr>
        <w:t xml:space="preserve"> monitora quotidianamente l’andamento del mercato </w:t>
      </w:r>
      <w:r w:rsidR="00E2746F">
        <w:rPr>
          <w:sz w:val="28"/>
          <w:szCs w:val="28"/>
        </w:rPr>
        <w:t xml:space="preserve">delle </w:t>
      </w:r>
      <w:r w:rsidR="00E40DCD" w:rsidRPr="005A72AB">
        <w:rPr>
          <w:sz w:val="28"/>
          <w:szCs w:val="28"/>
        </w:rPr>
        <w:t>esecuzioni immobiliari</w:t>
      </w:r>
      <w:r w:rsidR="00E3311C">
        <w:rPr>
          <w:sz w:val="28"/>
          <w:szCs w:val="28"/>
        </w:rPr>
        <w:t xml:space="preserve"> e che fa parte dell’azionariato di </w:t>
      </w:r>
      <w:r w:rsidR="00CA5742">
        <w:rPr>
          <w:sz w:val="28"/>
          <w:szCs w:val="28"/>
        </w:rPr>
        <w:t>NPLs</w:t>
      </w:r>
      <w:r w:rsidR="00E3311C">
        <w:rPr>
          <w:sz w:val="28"/>
          <w:szCs w:val="28"/>
        </w:rPr>
        <w:t xml:space="preserve"> R</w:t>
      </w:r>
      <w:r w:rsidR="00CA5742">
        <w:rPr>
          <w:sz w:val="28"/>
          <w:szCs w:val="28"/>
        </w:rPr>
        <w:t>E</w:t>
      </w:r>
      <w:r w:rsidR="00E3311C">
        <w:rPr>
          <w:sz w:val="28"/>
          <w:szCs w:val="28"/>
        </w:rPr>
        <w:t xml:space="preserve"> Solutions (Gruppo Gabetti)</w:t>
      </w:r>
      <w:r w:rsidR="00E40DCD" w:rsidRPr="005A72AB">
        <w:rPr>
          <w:sz w:val="28"/>
          <w:szCs w:val="28"/>
        </w:rPr>
        <w:t>.</w:t>
      </w:r>
      <w:r w:rsidR="00BA57AC">
        <w:rPr>
          <w:sz w:val="28"/>
          <w:szCs w:val="28"/>
        </w:rPr>
        <w:t xml:space="preserve"> </w:t>
      </w:r>
      <w:r w:rsidR="00E2746F">
        <w:rPr>
          <w:sz w:val="28"/>
          <w:szCs w:val="28"/>
        </w:rPr>
        <w:t xml:space="preserve">Nel 2018 le aste totali sono state </w:t>
      </w:r>
      <w:r w:rsidR="00E2746F" w:rsidRPr="00E3311C">
        <w:rPr>
          <w:sz w:val="28"/>
          <w:szCs w:val="28"/>
        </w:rPr>
        <w:t>245.100</w:t>
      </w:r>
      <w:r w:rsidR="003558DF" w:rsidRPr="00E3311C">
        <w:rPr>
          <w:sz w:val="28"/>
          <w:szCs w:val="28"/>
        </w:rPr>
        <w:t>.</w:t>
      </w:r>
    </w:p>
    <w:p w:rsidR="00E40DCD" w:rsidRPr="00BA57AC" w:rsidRDefault="00BA57AC" w:rsidP="00F948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Astasy calcola che nel 2</w:t>
      </w:r>
      <w:r w:rsidR="003558DF">
        <w:rPr>
          <w:sz w:val="28"/>
          <w:szCs w:val="28"/>
        </w:rPr>
        <w:t>019 la media di immobili che gi</w:t>
      </w:r>
      <w:r>
        <w:rPr>
          <w:sz w:val="28"/>
          <w:szCs w:val="28"/>
        </w:rPr>
        <w:t>o</w:t>
      </w:r>
      <w:r w:rsidR="003558DF">
        <w:rPr>
          <w:sz w:val="28"/>
          <w:szCs w:val="28"/>
        </w:rPr>
        <w:t>r</w:t>
      </w:r>
      <w:r>
        <w:rPr>
          <w:sz w:val="28"/>
          <w:szCs w:val="28"/>
        </w:rPr>
        <w:t>nalmente finiscono all’asta è di circa</w:t>
      </w:r>
      <w:r w:rsidR="00E40DCD" w:rsidRPr="005A72AB">
        <w:rPr>
          <w:sz w:val="28"/>
          <w:szCs w:val="28"/>
        </w:rPr>
        <w:t xml:space="preserve"> </w:t>
      </w:r>
      <w:r w:rsidR="00E40DCD" w:rsidRPr="005A72AB">
        <w:rPr>
          <w:b/>
          <w:bCs/>
          <w:sz w:val="28"/>
          <w:szCs w:val="28"/>
        </w:rPr>
        <w:t>836</w:t>
      </w:r>
      <w:r>
        <w:rPr>
          <w:b/>
          <w:bCs/>
          <w:sz w:val="28"/>
          <w:szCs w:val="28"/>
        </w:rPr>
        <w:t xml:space="preserve">. Da segnalare, anche se non rientra nei primi sei mesi dell’anno, la giornata del 16 luglio </w:t>
      </w:r>
      <w:r w:rsidRPr="004C73D2">
        <w:rPr>
          <w:b/>
          <w:bCs/>
          <w:sz w:val="28"/>
          <w:szCs w:val="28"/>
        </w:rPr>
        <w:t>che ha visto</w:t>
      </w:r>
      <w:r w:rsidRPr="004C73D2">
        <w:rPr>
          <w:b/>
          <w:bCs/>
          <w:color w:val="FF0000"/>
          <w:sz w:val="28"/>
          <w:szCs w:val="28"/>
        </w:rPr>
        <w:t xml:space="preserve"> </w:t>
      </w:r>
      <w:r w:rsidRPr="004C73D2">
        <w:rPr>
          <w:b/>
          <w:bCs/>
          <w:sz w:val="28"/>
          <w:szCs w:val="28"/>
        </w:rPr>
        <w:t xml:space="preserve">all’asta </w:t>
      </w:r>
      <w:r w:rsidR="00E40DCD" w:rsidRPr="004C73D2">
        <w:rPr>
          <w:b/>
          <w:bCs/>
          <w:sz w:val="28"/>
          <w:szCs w:val="28"/>
        </w:rPr>
        <w:t>2.370 lotti</w:t>
      </w:r>
      <w:r w:rsidR="007A76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 tutta I</w:t>
      </w:r>
      <w:r w:rsidR="007A7633">
        <w:rPr>
          <w:b/>
          <w:bCs/>
          <w:sz w:val="28"/>
          <w:szCs w:val="28"/>
        </w:rPr>
        <w:t>talia.</w:t>
      </w:r>
    </w:p>
    <w:p w:rsidR="006F3180" w:rsidRDefault="0002063C" w:rsidP="00F94833">
      <w:pPr>
        <w:jc w:val="both"/>
        <w:rPr>
          <w:sz w:val="28"/>
          <w:szCs w:val="28"/>
        </w:rPr>
      </w:pPr>
      <w:r w:rsidRPr="005A72AB">
        <w:rPr>
          <w:sz w:val="28"/>
          <w:szCs w:val="28"/>
        </w:rPr>
        <w:t xml:space="preserve">È pari a </w:t>
      </w:r>
      <w:r w:rsidRPr="005A72AB">
        <w:rPr>
          <w:b/>
          <w:bCs/>
          <w:sz w:val="28"/>
          <w:szCs w:val="28"/>
        </w:rPr>
        <w:t>€ 25.568.871.740</w:t>
      </w:r>
      <w:r w:rsidRPr="005A72AB">
        <w:rPr>
          <w:sz w:val="28"/>
          <w:szCs w:val="28"/>
        </w:rPr>
        <w:t xml:space="preserve"> </w:t>
      </w:r>
      <w:r w:rsidR="002D75CA">
        <w:rPr>
          <w:sz w:val="28"/>
          <w:szCs w:val="28"/>
        </w:rPr>
        <w:t>i</w:t>
      </w:r>
      <w:r w:rsidR="00F94833" w:rsidRPr="005A72AB">
        <w:rPr>
          <w:sz w:val="28"/>
          <w:szCs w:val="28"/>
        </w:rPr>
        <w:t xml:space="preserve">l valore base d’asta degli immobili posti in capo a procedure esecutive (nate da pignoramento immobiliare) e concorsuali (sottoposte a fallimenti e concordati preventivi, crisi da </w:t>
      </w:r>
      <w:r w:rsidRPr="005A72AB">
        <w:rPr>
          <w:sz w:val="28"/>
          <w:szCs w:val="28"/>
        </w:rPr>
        <w:t>sovraindebitamento</w:t>
      </w:r>
      <w:r w:rsidR="00F94833" w:rsidRPr="005A72AB">
        <w:rPr>
          <w:sz w:val="28"/>
          <w:szCs w:val="28"/>
        </w:rPr>
        <w:t xml:space="preserve"> e </w:t>
      </w:r>
      <w:r w:rsidR="00D55373">
        <w:rPr>
          <w:sz w:val="28"/>
          <w:szCs w:val="28"/>
        </w:rPr>
        <w:t xml:space="preserve">ristrutturazioni del debito). </w:t>
      </w:r>
      <w:r w:rsidR="003558DF">
        <w:rPr>
          <w:sz w:val="28"/>
          <w:szCs w:val="28"/>
        </w:rPr>
        <w:t>È</w:t>
      </w:r>
      <w:r w:rsidRPr="005A72AB">
        <w:rPr>
          <w:sz w:val="28"/>
          <w:szCs w:val="28"/>
        </w:rPr>
        <w:t xml:space="preserve"> stimato che il </w:t>
      </w:r>
      <w:r w:rsidR="007D20FA">
        <w:rPr>
          <w:sz w:val="28"/>
          <w:szCs w:val="28"/>
        </w:rPr>
        <w:t>reale valore (non quindi la CTU – consulenza tecnica d’ufficio -</w:t>
      </w:r>
      <w:r w:rsidRPr="005A72AB">
        <w:rPr>
          <w:sz w:val="28"/>
          <w:szCs w:val="28"/>
        </w:rPr>
        <w:t xml:space="preserve"> ma il valore come fosse di comp</w:t>
      </w:r>
      <w:r w:rsidR="007D20FA">
        <w:rPr>
          <w:sz w:val="28"/>
          <w:szCs w:val="28"/>
        </w:rPr>
        <w:t>ravendita a mercato libero</w:t>
      </w:r>
      <w:r w:rsidRPr="005A72AB">
        <w:rPr>
          <w:sz w:val="28"/>
          <w:szCs w:val="28"/>
        </w:rPr>
        <w:t xml:space="preserve">) dei cespiti si aggirerebbe </w:t>
      </w:r>
      <w:r w:rsidR="00D55373">
        <w:rPr>
          <w:sz w:val="28"/>
          <w:szCs w:val="28"/>
        </w:rPr>
        <w:t xml:space="preserve">in realtà </w:t>
      </w:r>
      <w:r w:rsidRPr="005A72AB">
        <w:rPr>
          <w:sz w:val="28"/>
          <w:szCs w:val="28"/>
        </w:rPr>
        <w:t xml:space="preserve">intorno agli </w:t>
      </w:r>
      <w:r w:rsidRPr="004445EF">
        <w:rPr>
          <w:b/>
          <w:bCs/>
          <w:sz w:val="28"/>
          <w:szCs w:val="28"/>
        </w:rPr>
        <w:t>€ 33.750.000.000</w:t>
      </w:r>
      <w:r w:rsidR="00D55373">
        <w:rPr>
          <w:sz w:val="28"/>
          <w:szCs w:val="28"/>
        </w:rPr>
        <w:t xml:space="preserve">, </w:t>
      </w:r>
      <w:r w:rsidRPr="005A72AB">
        <w:rPr>
          <w:sz w:val="28"/>
          <w:szCs w:val="28"/>
        </w:rPr>
        <w:t>probabile valore di mercato degli immobili incardinati in procedure concorsuali, che</w:t>
      </w:r>
      <w:r w:rsidR="006F3180" w:rsidRPr="005A72AB">
        <w:rPr>
          <w:sz w:val="28"/>
          <w:szCs w:val="28"/>
        </w:rPr>
        <w:t xml:space="preserve"> a causa dei ribassi d’asta subiscono un ribasso medio di aggiudicazione, in Italia, pari al 56% in meno.</w:t>
      </w:r>
    </w:p>
    <w:p w:rsidR="004F2012" w:rsidRPr="005A72AB" w:rsidRDefault="004F2012" w:rsidP="00F94833">
      <w:pPr>
        <w:jc w:val="both"/>
        <w:rPr>
          <w:sz w:val="28"/>
          <w:szCs w:val="28"/>
        </w:rPr>
      </w:pPr>
    </w:p>
    <w:p w:rsidR="00F94833" w:rsidRDefault="006F3180" w:rsidP="004F2012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895295" cy="2847018"/>
            <wp:effectExtent l="0" t="0" r="6985" b="2349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0B4E" w:rsidRDefault="002B0B4E" w:rsidP="00D55373">
      <w:pPr>
        <w:jc w:val="both"/>
        <w:rPr>
          <w:sz w:val="28"/>
          <w:szCs w:val="28"/>
        </w:rPr>
      </w:pPr>
    </w:p>
    <w:p w:rsidR="00D55373" w:rsidRDefault="002D75CA" w:rsidP="00D55373">
      <w:pPr>
        <w:jc w:val="both"/>
        <w:rPr>
          <w:sz w:val="28"/>
          <w:szCs w:val="28"/>
        </w:rPr>
      </w:pPr>
      <w:r>
        <w:rPr>
          <w:sz w:val="28"/>
          <w:szCs w:val="28"/>
        </w:rPr>
        <w:t>Di</w:t>
      </w:r>
      <w:r w:rsidR="00D55373">
        <w:rPr>
          <w:sz w:val="28"/>
          <w:szCs w:val="28"/>
        </w:rPr>
        <w:t xml:space="preserve"> seguito vengono riassunti i principali dati emersi nei sei mesi analizzati:</w:t>
      </w:r>
    </w:p>
    <w:p w:rsidR="00D55373" w:rsidRPr="00D55373" w:rsidRDefault="006F3180" w:rsidP="00D55373">
      <w:pPr>
        <w:pStyle w:val="Paragrafoelenco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D55373">
        <w:rPr>
          <w:sz w:val="28"/>
          <w:szCs w:val="28"/>
        </w:rPr>
        <w:t xml:space="preserve">Sono </w:t>
      </w:r>
      <w:r w:rsidRPr="00D55373">
        <w:rPr>
          <w:b/>
          <w:bCs/>
          <w:sz w:val="28"/>
          <w:szCs w:val="28"/>
        </w:rPr>
        <w:t>112.752</w:t>
      </w:r>
      <w:r w:rsidR="007D20FA">
        <w:rPr>
          <w:sz w:val="28"/>
          <w:szCs w:val="28"/>
        </w:rPr>
        <w:t xml:space="preserve"> i lotti in asta a causa di pignoramento i</w:t>
      </w:r>
      <w:r w:rsidRPr="00D55373">
        <w:rPr>
          <w:sz w:val="28"/>
          <w:szCs w:val="28"/>
        </w:rPr>
        <w:t>mmobiliare (pari al 74% del totale)</w:t>
      </w:r>
      <w:r w:rsidR="00D55373" w:rsidRPr="00D55373">
        <w:rPr>
          <w:sz w:val="28"/>
          <w:szCs w:val="28"/>
        </w:rPr>
        <w:t xml:space="preserve">. </w:t>
      </w:r>
      <w:r w:rsidRPr="00D55373">
        <w:rPr>
          <w:sz w:val="28"/>
          <w:szCs w:val="28"/>
        </w:rPr>
        <w:t xml:space="preserve">Sono invece </w:t>
      </w:r>
      <w:r w:rsidRPr="00D55373">
        <w:rPr>
          <w:b/>
          <w:bCs/>
          <w:sz w:val="28"/>
          <w:szCs w:val="28"/>
        </w:rPr>
        <w:t>36.494</w:t>
      </w:r>
      <w:r w:rsidR="007D20FA">
        <w:rPr>
          <w:sz w:val="28"/>
          <w:szCs w:val="28"/>
        </w:rPr>
        <w:t xml:space="preserve"> i lotti in asta a causa di f</w:t>
      </w:r>
      <w:r w:rsidRPr="00D55373">
        <w:rPr>
          <w:sz w:val="28"/>
          <w:szCs w:val="28"/>
        </w:rPr>
        <w:t>allimenti e procedure</w:t>
      </w:r>
    </w:p>
    <w:p w:rsidR="00D55373" w:rsidRPr="00D55373" w:rsidRDefault="00D55373" w:rsidP="00D55373">
      <w:pPr>
        <w:pStyle w:val="Paragrafoelenco"/>
        <w:jc w:val="both"/>
        <w:rPr>
          <w:b/>
          <w:bCs/>
          <w:sz w:val="28"/>
          <w:szCs w:val="28"/>
        </w:rPr>
      </w:pPr>
    </w:p>
    <w:p w:rsidR="000A720B" w:rsidRDefault="000A720B" w:rsidP="00D55373">
      <w:pPr>
        <w:pStyle w:val="Paragrafoelenco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4445EF">
        <w:rPr>
          <w:b/>
          <w:bCs/>
          <w:sz w:val="28"/>
          <w:szCs w:val="28"/>
        </w:rPr>
        <w:t>145.763</w:t>
      </w:r>
      <w:r w:rsidR="00D55373">
        <w:rPr>
          <w:sz w:val="28"/>
          <w:szCs w:val="28"/>
        </w:rPr>
        <w:t xml:space="preserve"> l</w:t>
      </w:r>
      <w:r w:rsidRPr="004445EF">
        <w:rPr>
          <w:sz w:val="28"/>
          <w:szCs w:val="28"/>
        </w:rPr>
        <w:t xml:space="preserve">otti (pari </w:t>
      </w:r>
      <w:r w:rsidRPr="004445EF">
        <w:rPr>
          <w:b/>
          <w:bCs/>
          <w:sz w:val="28"/>
          <w:szCs w:val="28"/>
        </w:rPr>
        <w:t>al 95%</w:t>
      </w:r>
      <w:r w:rsidRPr="004445EF">
        <w:rPr>
          <w:sz w:val="28"/>
          <w:szCs w:val="28"/>
        </w:rPr>
        <w:t xml:space="preserve"> del totale) rappresentano il cosiddetto “</w:t>
      </w:r>
      <w:r w:rsidRPr="004445EF">
        <w:rPr>
          <w:b/>
          <w:bCs/>
          <w:sz w:val="28"/>
          <w:szCs w:val="28"/>
        </w:rPr>
        <w:t>granulare</w:t>
      </w:r>
      <w:r w:rsidRPr="004445EF">
        <w:rPr>
          <w:sz w:val="28"/>
          <w:szCs w:val="28"/>
        </w:rPr>
        <w:t xml:space="preserve">” ovvero immobili con </w:t>
      </w:r>
      <w:r w:rsidRPr="004445EF">
        <w:rPr>
          <w:b/>
          <w:bCs/>
          <w:sz w:val="28"/>
          <w:szCs w:val="28"/>
        </w:rPr>
        <w:t>valore medio di € 85.844</w:t>
      </w:r>
      <w:r w:rsidR="002D75CA">
        <w:rPr>
          <w:b/>
          <w:bCs/>
          <w:sz w:val="28"/>
          <w:szCs w:val="28"/>
        </w:rPr>
        <w:t xml:space="preserve"> </w:t>
      </w:r>
      <w:r w:rsidRPr="004445EF">
        <w:rPr>
          <w:sz w:val="28"/>
          <w:szCs w:val="28"/>
        </w:rPr>
        <w:t>– riconducibile spesso a immobili residenziali – e che, con valori di massimo € 500.000</w:t>
      </w:r>
      <w:r w:rsidR="002B248B">
        <w:rPr>
          <w:sz w:val="28"/>
          <w:szCs w:val="28"/>
        </w:rPr>
        <w:t>,</w:t>
      </w:r>
      <w:r w:rsidRPr="004445EF">
        <w:rPr>
          <w:sz w:val="28"/>
          <w:szCs w:val="28"/>
        </w:rPr>
        <w:t xml:space="preserve"> arrivano ad un valore di base d’asta pari ad </w:t>
      </w:r>
      <w:r w:rsidRPr="004445EF">
        <w:rPr>
          <w:b/>
          <w:bCs/>
          <w:sz w:val="28"/>
          <w:szCs w:val="28"/>
        </w:rPr>
        <w:t xml:space="preserve">€ 12.658.749.187 </w:t>
      </w:r>
    </w:p>
    <w:p w:rsidR="00D55373" w:rsidRPr="00D55373" w:rsidRDefault="00D55373" w:rsidP="00D55373">
      <w:pPr>
        <w:pStyle w:val="Paragrafoelenco"/>
        <w:jc w:val="both"/>
        <w:rPr>
          <w:b/>
          <w:bCs/>
          <w:sz w:val="28"/>
          <w:szCs w:val="28"/>
        </w:rPr>
      </w:pPr>
    </w:p>
    <w:p w:rsidR="00934B14" w:rsidRDefault="00D55373" w:rsidP="00934B14">
      <w:pPr>
        <w:pStyle w:val="Paragrafoelenco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</w:t>
      </w:r>
      <w:r w:rsidR="000A720B" w:rsidRPr="00D55373">
        <w:rPr>
          <w:sz w:val="28"/>
          <w:szCs w:val="28"/>
        </w:rPr>
        <w:t xml:space="preserve"> rimanenti </w:t>
      </w:r>
      <w:r w:rsidR="000A720B" w:rsidRPr="00D55373">
        <w:rPr>
          <w:b/>
          <w:bCs/>
          <w:sz w:val="28"/>
          <w:szCs w:val="28"/>
        </w:rPr>
        <w:t>6.495</w:t>
      </w:r>
      <w:r w:rsidR="007D20FA">
        <w:rPr>
          <w:sz w:val="28"/>
          <w:szCs w:val="28"/>
        </w:rPr>
        <w:t xml:space="preserve"> Lotti (pari </w:t>
      </w:r>
      <w:r w:rsidR="000A720B" w:rsidRPr="00D55373">
        <w:rPr>
          <w:sz w:val="28"/>
          <w:szCs w:val="28"/>
        </w:rPr>
        <w:t>solo al riman</w:t>
      </w:r>
      <w:r>
        <w:rPr>
          <w:sz w:val="28"/>
          <w:szCs w:val="28"/>
        </w:rPr>
        <w:t>en</w:t>
      </w:r>
      <w:r w:rsidR="000A720B" w:rsidRPr="00D55373">
        <w:rPr>
          <w:sz w:val="28"/>
          <w:szCs w:val="28"/>
        </w:rPr>
        <w:t xml:space="preserve">te </w:t>
      </w:r>
      <w:r w:rsidR="000A720B" w:rsidRPr="00D55373">
        <w:rPr>
          <w:b/>
          <w:bCs/>
          <w:sz w:val="28"/>
          <w:szCs w:val="28"/>
        </w:rPr>
        <w:t>5,6%),</w:t>
      </w:r>
      <w:r>
        <w:rPr>
          <w:sz w:val="28"/>
          <w:szCs w:val="28"/>
        </w:rPr>
        <w:t xml:space="preserve"> hanno</w:t>
      </w:r>
      <w:r w:rsidR="000A720B" w:rsidRPr="00D55373">
        <w:rPr>
          <w:sz w:val="28"/>
          <w:szCs w:val="28"/>
        </w:rPr>
        <w:t xml:space="preserve"> valori superiori ai € 500.000, </w:t>
      </w:r>
      <w:r>
        <w:rPr>
          <w:sz w:val="28"/>
          <w:szCs w:val="28"/>
        </w:rPr>
        <w:t>con</w:t>
      </w:r>
      <w:r w:rsidR="000A720B" w:rsidRPr="00D55373">
        <w:rPr>
          <w:sz w:val="28"/>
          <w:szCs w:val="28"/>
        </w:rPr>
        <w:t xml:space="preserve"> un volume economico di </w:t>
      </w:r>
      <w:r w:rsidR="000A720B" w:rsidRPr="00D55373">
        <w:rPr>
          <w:b/>
          <w:bCs/>
          <w:sz w:val="28"/>
          <w:szCs w:val="28"/>
        </w:rPr>
        <w:t>€ 12.910.122.522</w:t>
      </w:r>
    </w:p>
    <w:p w:rsidR="005A5C6C" w:rsidRDefault="005A5C6C" w:rsidP="00CF0304">
      <w:pPr>
        <w:spacing w:after="0"/>
        <w:jc w:val="both"/>
        <w:rPr>
          <w:b/>
          <w:bCs/>
          <w:sz w:val="28"/>
          <w:szCs w:val="28"/>
        </w:rPr>
      </w:pPr>
    </w:p>
    <w:p w:rsidR="005A5C6C" w:rsidRPr="00B0162B" w:rsidRDefault="00934AD4" w:rsidP="00934A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D</w:t>
      </w:r>
      <w:r w:rsidRPr="00011E0D">
        <w:rPr>
          <w:sz w:val="28"/>
          <w:szCs w:val="28"/>
        </w:rPr>
        <w:t xml:space="preserve">ichiara </w:t>
      </w:r>
      <w:r w:rsidRPr="00011E0D">
        <w:rPr>
          <w:b/>
          <w:sz w:val="28"/>
          <w:szCs w:val="28"/>
        </w:rPr>
        <w:t>Mirko Frigerio, amministratore delegato Astasy</w:t>
      </w:r>
      <w:r>
        <w:rPr>
          <w:sz w:val="28"/>
          <w:szCs w:val="28"/>
        </w:rPr>
        <w:t xml:space="preserve">: </w:t>
      </w:r>
      <w:r w:rsidR="00D55373">
        <w:rPr>
          <w:sz w:val="28"/>
          <w:szCs w:val="28"/>
        </w:rPr>
        <w:t>“</w:t>
      </w:r>
      <w:r>
        <w:rPr>
          <w:i/>
          <w:sz w:val="28"/>
          <w:szCs w:val="28"/>
        </w:rPr>
        <w:t>I</w:t>
      </w:r>
      <w:r w:rsidR="000A720B" w:rsidRPr="00D55373">
        <w:rPr>
          <w:i/>
          <w:sz w:val="28"/>
          <w:szCs w:val="28"/>
        </w:rPr>
        <w:t xml:space="preserve">l </w:t>
      </w:r>
      <w:r w:rsidR="000A720B" w:rsidRPr="00011E0D">
        <w:rPr>
          <w:bCs/>
          <w:i/>
          <w:sz w:val="28"/>
          <w:szCs w:val="28"/>
        </w:rPr>
        <w:t>51%</w:t>
      </w:r>
      <w:r w:rsidR="000A720B" w:rsidRPr="00011E0D">
        <w:rPr>
          <w:i/>
          <w:sz w:val="28"/>
          <w:szCs w:val="28"/>
        </w:rPr>
        <w:t xml:space="preserve"> dei</w:t>
      </w:r>
      <w:r w:rsidR="000A720B" w:rsidRPr="00D55373">
        <w:rPr>
          <w:i/>
          <w:sz w:val="28"/>
          <w:szCs w:val="28"/>
        </w:rPr>
        <w:t xml:space="preserve"> valori in campo è concentrato in solo il </w:t>
      </w:r>
      <w:r w:rsidR="000A720B" w:rsidRPr="00011E0D">
        <w:rPr>
          <w:bCs/>
          <w:i/>
          <w:sz w:val="28"/>
          <w:szCs w:val="28"/>
        </w:rPr>
        <w:t>5,6</w:t>
      </w:r>
      <w:r w:rsidR="000A720B" w:rsidRPr="00D55373">
        <w:rPr>
          <w:b/>
          <w:bCs/>
          <w:i/>
          <w:sz w:val="28"/>
          <w:szCs w:val="28"/>
        </w:rPr>
        <w:t>%</w:t>
      </w:r>
      <w:r w:rsidR="000A720B" w:rsidRPr="00D55373">
        <w:rPr>
          <w:i/>
          <w:sz w:val="28"/>
          <w:szCs w:val="28"/>
        </w:rPr>
        <w:t xml:space="preserve"> degli asset posti in esecuzione e questi sono spesso </w:t>
      </w:r>
      <w:r w:rsidR="00D6234F">
        <w:rPr>
          <w:i/>
          <w:sz w:val="28"/>
          <w:szCs w:val="28"/>
        </w:rPr>
        <w:t xml:space="preserve">situazioni particolari </w:t>
      </w:r>
      <w:r w:rsidR="000A720B" w:rsidRPr="00D55373">
        <w:rPr>
          <w:i/>
          <w:sz w:val="28"/>
          <w:szCs w:val="28"/>
        </w:rPr>
        <w:t xml:space="preserve">che necessitano </w:t>
      </w:r>
      <w:r w:rsidR="00D6234F">
        <w:rPr>
          <w:i/>
          <w:sz w:val="28"/>
          <w:szCs w:val="28"/>
        </w:rPr>
        <w:t>d’</w:t>
      </w:r>
      <w:r w:rsidR="000A720B" w:rsidRPr="00D55373">
        <w:rPr>
          <w:i/>
          <w:sz w:val="28"/>
          <w:szCs w:val="28"/>
        </w:rPr>
        <w:t>interventi strategici più chirurgici e mirati</w:t>
      </w:r>
      <w:r w:rsidR="0031632A">
        <w:rPr>
          <w:i/>
          <w:sz w:val="28"/>
          <w:szCs w:val="28"/>
        </w:rPr>
        <w:t>.</w:t>
      </w:r>
      <w:r w:rsidR="004F2012">
        <w:rPr>
          <w:sz w:val="28"/>
          <w:szCs w:val="28"/>
        </w:rPr>
        <w:t xml:space="preserve"> </w:t>
      </w:r>
      <w:r w:rsidR="004F2012">
        <w:rPr>
          <w:i/>
          <w:sz w:val="28"/>
          <w:szCs w:val="28"/>
        </w:rPr>
        <w:t>I</w:t>
      </w:r>
      <w:r w:rsidR="004F2012" w:rsidRPr="004F2012">
        <w:rPr>
          <w:i/>
          <w:sz w:val="28"/>
          <w:szCs w:val="28"/>
        </w:rPr>
        <w:t>l problema NPL non è finito, ma si è solo spostato dalle banche ai cessionari del credito</w:t>
      </w:r>
      <w:r w:rsidR="004F2012">
        <w:rPr>
          <w:i/>
          <w:sz w:val="28"/>
          <w:szCs w:val="28"/>
        </w:rPr>
        <w:t>. I</w:t>
      </w:r>
      <w:r w:rsidR="004F2012" w:rsidRPr="004F2012">
        <w:rPr>
          <w:i/>
          <w:sz w:val="28"/>
          <w:szCs w:val="28"/>
        </w:rPr>
        <w:t xml:space="preserve"> debitori non hanno assolutamente risolto il loro problema che si mantiene attivo nelle lungaggini amministrative della giustizi</w:t>
      </w:r>
      <w:r w:rsidR="004F2012">
        <w:rPr>
          <w:i/>
          <w:sz w:val="28"/>
          <w:szCs w:val="28"/>
        </w:rPr>
        <w:t>a.</w:t>
      </w:r>
      <w:r w:rsidR="00432FF7">
        <w:rPr>
          <w:i/>
          <w:sz w:val="28"/>
          <w:szCs w:val="28"/>
        </w:rPr>
        <w:t xml:space="preserve"> </w:t>
      </w:r>
      <w:r w:rsidR="001055E5">
        <w:rPr>
          <w:i/>
          <w:sz w:val="28"/>
          <w:szCs w:val="28"/>
        </w:rPr>
        <w:t>Nonostante</w:t>
      </w:r>
      <w:r w:rsidR="00432FF7">
        <w:rPr>
          <w:i/>
          <w:sz w:val="28"/>
          <w:szCs w:val="28"/>
        </w:rPr>
        <w:t xml:space="preserve"> i tempi </w:t>
      </w:r>
      <w:r w:rsidR="00FD4D34"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>e</w:t>
      </w:r>
      <w:r w:rsidR="00FD4D34">
        <w:rPr>
          <w:i/>
          <w:sz w:val="28"/>
          <w:szCs w:val="28"/>
        </w:rPr>
        <w:t xml:space="preserve">i Tribunali </w:t>
      </w:r>
      <w:r w:rsidR="00432FF7">
        <w:rPr>
          <w:i/>
          <w:sz w:val="28"/>
          <w:szCs w:val="28"/>
        </w:rPr>
        <w:t xml:space="preserve">siano nettamente migliorati </w:t>
      </w:r>
      <w:r w:rsidR="002B248B">
        <w:rPr>
          <w:i/>
          <w:sz w:val="28"/>
          <w:szCs w:val="28"/>
        </w:rPr>
        <w:t>(</w:t>
      </w:r>
      <w:r w:rsidR="00432FF7">
        <w:rPr>
          <w:i/>
          <w:sz w:val="28"/>
          <w:szCs w:val="28"/>
        </w:rPr>
        <w:t xml:space="preserve">ben 289 giorni medi in </w:t>
      </w:r>
      <w:r w:rsidR="00432FF7" w:rsidRPr="00F01853">
        <w:rPr>
          <w:i/>
          <w:sz w:val="28"/>
          <w:szCs w:val="28"/>
        </w:rPr>
        <w:t>men</w:t>
      </w:r>
      <w:r w:rsidR="002B248B" w:rsidRPr="00F01853">
        <w:rPr>
          <w:i/>
          <w:sz w:val="28"/>
          <w:szCs w:val="28"/>
        </w:rPr>
        <w:t>o</w:t>
      </w:r>
      <w:r w:rsidR="0031632A" w:rsidRPr="00F01853">
        <w:rPr>
          <w:i/>
          <w:sz w:val="28"/>
          <w:szCs w:val="28"/>
        </w:rPr>
        <w:t xml:space="preserve"> </w:t>
      </w:r>
      <w:r w:rsidR="00F01853" w:rsidRPr="00F01853">
        <w:rPr>
          <w:i/>
          <w:sz w:val="28"/>
          <w:szCs w:val="28"/>
        </w:rPr>
        <w:t>rispetto al</w:t>
      </w:r>
      <w:r w:rsidR="0031632A" w:rsidRPr="00F01853">
        <w:rPr>
          <w:i/>
          <w:sz w:val="28"/>
          <w:szCs w:val="28"/>
        </w:rPr>
        <w:t xml:space="preserve"> 2018</w:t>
      </w:r>
      <w:r w:rsidR="002B248B" w:rsidRPr="00F01853">
        <w:rPr>
          <w:i/>
          <w:sz w:val="28"/>
          <w:szCs w:val="28"/>
        </w:rPr>
        <w:t>)</w:t>
      </w:r>
      <w:r w:rsidR="00432FF7" w:rsidRPr="00F01853">
        <w:rPr>
          <w:i/>
          <w:sz w:val="28"/>
          <w:szCs w:val="28"/>
        </w:rPr>
        <w:t>, re</w:t>
      </w:r>
      <w:r w:rsidR="002B248B" w:rsidRPr="00F01853">
        <w:rPr>
          <w:i/>
          <w:sz w:val="28"/>
          <w:szCs w:val="28"/>
        </w:rPr>
        <w:t>s</w:t>
      </w:r>
      <w:r w:rsidR="00432FF7" w:rsidRPr="00F01853">
        <w:rPr>
          <w:i/>
          <w:sz w:val="28"/>
          <w:szCs w:val="28"/>
        </w:rPr>
        <w:t>ta</w:t>
      </w:r>
      <w:r w:rsidR="00432FF7">
        <w:rPr>
          <w:i/>
          <w:sz w:val="28"/>
          <w:szCs w:val="28"/>
        </w:rPr>
        <w:t xml:space="preserve"> comunque altissimo il tempo medio dell</w:t>
      </w:r>
      <w:r w:rsidR="00CC4561">
        <w:rPr>
          <w:i/>
          <w:sz w:val="28"/>
          <w:szCs w:val="28"/>
        </w:rPr>
        <w:t xml:space="preserve">a giustizia, stimato </w:t>
      </w:r>
      <w:r w:rsidR="00432FF7">
        <w:rPr>
          <w:i/>
          <w:sz w:val="28"/>
          <w:szCs w:val="28"/>
        </w:rPr>
        <w:t xml:space="preserve">in 4 anni con </w:t>
      </w:r>
      <w:r w:rsidR="00432FF7">
        <w:rPr>
          <w:i/>
          <w:sz w:val="28"/>
          <w:szCs w:val="28"/>
        </w:rPr>
        <w:lastRenderedPageBreak/>
        <w:t>degli</w:t>
      </w:r>
      <w:r w:rsidR="005A5C6C">
        <w:rPr>
          <w:i/>
          <w:sz w:val="28"/>
          <w:szCs w:val="28"/>
        </w:rPr>
        <w:t xml:space="preserve"> altissimi abbattimenti</w:t>
      </w:r>
      <w:r w:rsidR="00432FF7">
        <w:rPr>
          <w:i/>
          <w:sz w:val="28"/>
          <w:szCs w:val="28"/>
        </w:rPr>
        <w:t xml:space="preserve"> percentuali sul valore d</w:t>
      </w:r>
      <w:r w:rsidR="005A5C6C">
        <w:rPr>
          <w:i/>
          <w:sz w:val="28"/>
          <w:szCs w:val="28"/>
        </w:rPr>
        <w:t>i aggiudicazione degli immobili</w:t>
      </w:r>
      <w:r w:rsidR="0031632A">
        <w:rPr>
          <w:i/>
          <w:sz w:val="28"/>
          <w:szCs w:val="28"/>
        </w:rPr>
        <w:t>. I</w:t>
      </w:r>
      <w:r w:rsidR="00432FF7">
        <w:rPr>
          <w:i/>
          <w:sz w:val="28"/>
          <w:szCs w:val="28"/>
        </w:rPr>
        <w:t xml:space="preserve">l tutto non </w:t>
      </w:r>
      <w:r w:rsidR="0031632A">
        <w:rPr>
          <w:i/>
          <w:sz w:val="28"/>
          <w:szCs w:val="28"/>
        </w:rPr>
        <w:t xml:space="preserve">sarà certo </w:t>
      </w:r>
      <w:r w:rsidR="002B248B">
        <w:rPr>
          <w:i/>
          <w:sz w:val="28"/>
          <w:szCs w:val="28"/>
        </w:rPr>
        <w:t>aiutato</w:t>
      </w:r>
      <w:r w:rsidR="00432FF7">
        <w:rPr>
          <w:i/>
          <w:sz w:val="28"/>
          <w:szCs w:val="28"/>
        </w:rPr>
        <w:t xml:space="preserve"> </w:t>
      </w:r>
      <w:r w:rsidR="000D30B1">
        <w:rPr>
          <w:i/>
          <w:sz w:val="28"/>
          <w:szCs w:val="28"/>
        </w:rPr>
        <w:t>dall</w:t>
      </w:r>
      <w:r w:rsidR="00432FF7">
        <w:rPr>
          <w:i/>
          <w:sz w:val="28"/>
          <w:szCs w:val="28"/>
        </w:rPr>
        <w:t>a riforma dell’art. 560 codice di procedura civile che riporterà</w:t>
      </w:r>
      <w:r w:rsidR="00CC4561">
        <w:rPr>
          <w:i/>
          <w:sz w:val="28"/>
          <w:szCs w:val="28"/>
        </w:rPr>
        <w:t xml:space="preserve"> nei prossimi mesi</w:t>
      </w:r>
      <w:r w:rsidR="00432FF7">
        <w:rPr>
          <w:i/>
          <w:sz w:val="28"/>
          <w:szCs w:val="28"/>
        </w:rPr>
        <w:t xml:space="preserve"> i tempi della giustizia ad almeno 7 anni</w:t>
      </w:r>
      <w:r w:rsidR="008003E2">
        <w:rPr>
          <w:i/>
          <w:sz w:val="28"/>
          <w:szCs w:val="28"/>
        </w:rPr>
        <w:t xml:space="preserve"> fa, </w:t>
      </w:r>
      <w:r>
        <w:rPr>
          <w:i/>
          <w:sz w:val="28"/>
          <w:szCs w:val="28"/>
        </w:rPr>
        <w:t xml:space="preserve">stabilendo che l’immobile pignorato può essere liberato solo dopo l’emissione </w:t>
      </w:r>
      <w:r w:rsidR="007E22F0" w:rsidRPr="007E22F0">
        <w:rPr>
          <w:i/>
          <w:sz w:val="28"/>
          <w:szCs w:val="28"/>
        </w:rPr>
        <w:t>del Decreto di Trasferimento</w:t>
      </w:r>
      <w:r>
        <w:rPr>
          <w:i/>
          <w:sz w:val="28"/>
          <w:szCs w:val="28"/>
        </w:rPr>
        <w:t xml:space="preserve">.  </w:t>
      </w:r>
      <w:r w:rsidR="00432FF7">
        <w:rPr>
          <w:i/>
          <w:sz w:val="28"/>
          <w:szCs w:val="28"/>
        </w:rPr>
        <w:t>In ultimo</w:t>
      </w:r>
      <w:r w:rsidR="008003E2">
        <w:rPr>
          <w:i/>
          <w:sz w:val="28"/>
          <w:szCs w:val="28"/>
        </w:rPr>
        <w:t>,</w:t>
      </w:r>
      <w:r w:rsidR="00432F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i siti che </w:t>
      </w:r>
      <w:r w:rsidRPr="00934AD4">
        <w:rPr>
          <w:i/>
          <w:sz w:val="28"/>
          <w:szCs w:val="28"/>
        </w:rPr>
        <w:t xml:space="preserve">gestiscono le </w:t>
      </w:r>
      <w:r w:rsidR="00432FF7" w:rsidRPr="00934AD4">
        <w:rPr>
          <w:i/>
          <w:sz w:val="28"/>
          <w:szCs w:val="28"/>
        </w:rPr>
        <w:t>aste telematiche presenta</w:t>
      </w:r>
      <w:r w:rsidRPr="00934AD4">
        <w:rPr>
          <w:i/>
          <w:sz w:val="28"/>
          <w:szCs w:val="28"/>
        </w:rPr>
        <w:t>no</w:t>
      </w:r>
      <w:r w:rsidR="00CC4561">
        <w:rPr>
          <w:i/>
          <w:sz w:val="28"/>
          <w:szCs w:val="28"/>
        </w:rPr>
        <w:t xml:space="preserve"> spesso problemi ai loro</w:t>
      </w:r>
      <w:r w:rsidR="00B14C6B">
        <w:rPr>
          <w:i/>
          <w:sz w:val="28"/>
          <w:szCs w:val="28"/>
        </w:rPr>
        <w:t xml:space="preserve"> sistemi informatici</w:t>
      </w:r>
      <w:r w:rsidR="00B0162B" w:rsidRPr="00934AD4">
        <w:rPr>
          <w:i/>
          <w:sz w:val="28"/>
          <w:szCs w:val="28"/>
        </w:rPr>
        <w:t xml:space="preserve">, </w:t>
      </w:r>
      <w:r w:rsidR="00B14C6B">
        <w:rPr>
          <w:i/>
          <w:sz w:val="28"/>
          <w:szCs w:val="28"/>
        </w:rPr>
        <w:t>creando inefficienze e difficoltà nella partecipazione</w:t>
      </w:r>
      <w:r w:rsidR="00CC4561">
        <w:rPr>
          <w:i/>
          <w:sz w:val="28"/>
          <w:szCs w:val="28"/>
        </w:rPr>
        <w:t xml:space="preserve"> alle aste da parte degli</w:t>
      </w:r>
      <w:r w:rsidR="00B14C6B">
        <w:rPr>
          <w:i/>
          <w:sz w:val="28"/>
          <w:szCs w:val="28"/>
        </w:rPr>
        <w:t xml:space="preserve"> investitori e</w:t>
      </w:r>
      <w:r w:rsidR="00CC4561">
        <w:rPr>
          <w:i/>
          <w:sz w:val="28"/>
          <w:szCs w:val="28"/>
        </w:rPr>
        <w:t xml:space="preserve"> conseguentemente una</w:t>
      </w:r>
      <w:r w:rsidR="00B14C6B">
        <w:rPr>
          <w:i/>
          <w:sz w:val="28"/>
          <w:szCs w:val="28"/>
        </w:rPr>
        <w:t xml:space="preserve"> perdita di valore per le banche</w:t>
      </w:r>
      <w:r w:rsidR="00CC4561">
        <w:rPr>
          <w:i/>
          <w:sz w:val="28"/>
          <w:szCs w:val="28"/>
        </w:rPr>
        <w:t>, unitamente ad una ricaduta negativa</w:t>
      </w:r>
      <w:r w:rsidR="00B14C6B">
        <w:rPr>
          <w:i/>
          <w:sz w:val="28"/>
          <w:szCs w:val="28"/>
        </w:rPr>
        <w:t xml:space="preserve"> per le famiglie</w:t>
      </w:r>
      <w:r w:rsidR="00CC4561">
        <w:rPr>
          <w:i/>
          <w:sz w:val="28"/>
          <w:szCs w:val="28"/>
        </w:rPr>
        <w:t xml:space="preserve"> interessate</w:t>
      </w:r>
      <w:r w:rsidR="00B14C6B">
        <w:rPr>
          <w:i/>
          <w:sz w:val="28"/>
          <w:szCs w:val="28"/>
        </w:rPr>
        <w:t>.</w:t>
      </w:r>
      <w:r w:rsidR="00CC4561">
        <w:rPr>
          <w:i/>
          <w:sz w:val="28"/>
          <w:szCs w:val="28"/>
        </w:rPr>
        <w:t xml:space="preserve"> Auspichiamo pertanto in un rapido ed efficace intervento del legislatore sia in un emendamento dell’art 560 che in una riforma del sistema delle aste telematiche.</w:t>
      </w:r>
      <w:r w:rsidR="00432FF7">
        <w:rPr>
          <w:i/>
          <w:sz w:val="28"/>
          <w:szCs w:val="28"/>
        </w:rPr>
        <w:t xml:space="preserve"> </w:t>
      </w:r>
    </w:p>
    <w:p w:rsidR="00934AD4" w:rsidRDefault="00934AD4" w:rsidP="002B0B4E">
      <w:pPr>
        <w:jc w:val="both"/>
        <w:rPr>
          <w:i/>
          <w:sz w:val="28"/>
          <w:szCs w:val="28"/>
        </w:rPr>
      </w:pPr>
    </w:p>
    <w:p w:rsidR="00934B14" w:rsidRDefault="00934B14" w:rsidP="002B0B4E">
      <w:pPr>
        <w:jc w:val="both"/>
        <w:rPr>
          <w:sz w:val="28"/>
          <w:szCs w:val="28"/>
        </w:rPr>
      </w:pPr>
      <w:r w:rsidRPr="005A72AB">
        <w:rPr>
          <w:sz w:val="28"/>
          <w:szCs w:val="28"/>
        </w:rPr>
        <w:t>Resta pressoché invariata la distribuzione geografica de</w:t>
      </w:r>
      <w:r>
        <w:rPr>
          <w:sz w:val="28"/>
          <w:szCs w:val="28"/>
        </w:rPr>
        <w:t xml:space="preserve">lle esecuzioni immobiliari: </w:t>
      </w:r>
      <w:r w:rsidRPr="005A72AB">
        <w:rPr>
          <w:sz w:val="28"/>
          <w:szCs w:val="28"/>
        </w:rPr>
        <w:t xml:space="preserve">la </w:t>
      </w:r>
      <w:r w:rsidRPr="004F2012">
        <w:rPr>
          <w:b/>
          <w:bCs/>
          <w:sz w:val="28"/>
          <w:szCs w:val="28"/>
        </w:rPr>
        <w:t>Lombardia</w:t>
      </w:r>
      <w:r>
        <w:rPr>
          <w:sz w:val="28"/>
          <w:szCs w:val="28"/>
        </w:rPr>
        <w:t xml:space="preserve"> mantiene il </w:t>
      </w:r>
      <w:r w:rsidRPr="005A72AB">
        <w:rPr>
          <w:sz w:val="28"/>
          <w:szCs w:val="28"/>
        </w:rPr>
        <w:t xml:space="preserve">primato della regione </w:t>
      </w:r>
      <w:r>
        <w:rPr>
          <w:sz w:val="28"/>
          <w:szCs w:val="28"/>
        </w:rPr>
        <w:t>con più immobili all’asta (</w:t>
      </w:r>
      <w:r w:rsidRPr="004F2012">
        <w:rPr>
          <w:bCs/>
          <w:sz w:val="28"/>
          <w:szCs w:val="28"/>
        </w:rPr>
        <w:t>19,05%</w:t>
      </w:r>
      <w:r>
        <w:rPr>
          <w:sz w:val="28"/>
          <w:szCs w:val="28"/>
        </w:rPr>
        <w:t xml:space="preserve"> - </w:t>
      </w:r>
      <w:r w:rsidRPr="007505F6">
        <w:rPr>
          <w:sz w:val="28"/>
          <w:szCs w:val="28"/>
        </w:rPr>
        <w:t>27.680 lotti), seguita da Sicilia (8,85% con 13.515 lotti), Emilia Romagna (8,53% con 13.026 lotti), Lazio (7,38</w:t>
      </w:r>
      <w:r w:rsidR="002B0B4E">
        <w:rPr>
          <w:sz w:val="28"/>
          <w:szCs w:val="28"/>
        </w:rPr>
        <w:t>% con 11.270 lotti) e Toscana (</w:t>
      </w:r>
      <w:r w:rsidRPr="007505F6">
        <w:rPr>
          <w:sz w:val="28"/>
          <w:szCs w:val="28"/>
        </w:rPr>
        <w:t>7% con 10.705 lotti).</w:t>
      </w:r>
    </w:p>
    <w:p w:rsidR="00934AD4" w:rsidRDefault="00934AD4" w:rsidP="002B0B4E">
      <w:pPr>
        <w:jc w:val="both"/>
        <w:rPr>
          <w:sz w:val="28"/>
          <w:szCs w:val="28"/>
        </w:rPr>
      </w:pPr>
    </w:p>
    <w:p w:rsidR="00934B14" w:rsidRPr="005A72AB" w:rsidRDefault="00934AD4" w:rsidP="00934AD4">
      <w:pPr>
        <w:jc w:val="center"/>
        <w:rPr>
          <w:sz w:val="28"/>
          <w:szCs w:val="28"/>
        </w:rPr>
      </w:pPr>
      <w:r w:rsidRPr="005A72AB">
        <w:rPr>
          <w:noProof/>
          <w:lang w:eastAsia="it-IT"/>
        </w:rPr>
        <w:drawing>
          <wp:inline distT="0" distB="0" distL="0" distR="0">
            <wp:extent cx="1981200" cy="38195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F7" w:rsidRPr="00C006A9" w:rsidRDefault="006953F7" w:rsidP="00C006A9">
      <w:pPr>
        <w:jc w:val="both"/>
      </w:pPr>
    </w:p>
    <w:p w:rsidR="006953F7" w:rsidRPr="004F2012" w:rsidRDefault="006953F7" w:rsidP="006953F7">
      <w:pPr>
        <w:jc w:val="center"/>
        <w:rPr>
          <w:rFonts w:ascii="Arial" w:hAnsi="Arial" w:cs="Arial"/>
          <w:sz w:val="20"/>
          <w:szCs w:val="20"/>
        </w:rPr>
      </w:pPr>
      <w:r w:rsidRPr="004F2012">
        <w:rPr>
          <w:rFonts w:ascii="Arial" w:hAnsi="Arial" w:cs="Arial"/>
          <w:sz w:val="20"/>
          <w:szCs w:val="20"/>
        </w:rPr>
        <w:t>***</w:t>
      </w:r>
    </w:p>
    <w:p w:rsidR="006953F7" w:rsidRPr="002B248B" w:rsidRDefault="006953F7" w:rsidP="006953F7">
      <w:pPr>
        <w:jc w:val="both"/>
        <w:rPr>
          <w:rFonts w:ascii="Arial" w:hAnsi="Arial" w:cs="Arial"/>
          <w:strike/>
          <w:sz w:val="20"/>
          <w:szCs w:val="20"/>
        </w:rPr>
      </w:pPr>
      <w:r w:rsidRPr="004F2012">
        <w:rPr>
          <w:rFonts w:ascii="Arial" w:hAnsi="Arial" w:cs="Arial"/>
          <w:sz w:val="20"/>
          <w:szCs w:val="20"/>
        </w:rPr>
        <w:t>Astasy è la prima e più completa struttura di Auction Real Estate italiana che si occupa dell'intera filiera della consulenza in esecuzioni</w:t>
      </w:r>
      <w:r w:rsidRPr="00082723">
        <w:rPr>
          <w:rFonts w:ascii="Arial" w:hAnsi="Arial" w:cs="Arial"/>
          <w:sz w:val="16"/>
          <w:szCs w:val="16"/>
        </w:rPr>
        <w:t xml:space="preserve"> </w:t>
      </w:r>
      <w:r w:rsidRPr="004F2012">
        <w:rPr>
          <w:rFonts w:ascii="Arial" w:hAnsi="Arial" w:cs="Arial"/>
          <w:sz w:val="20"/>
          <w:szCs w:val="20"/>
        </w:rPr>
        <w:t>immobiliari e di assistenza per procedure concorsuali ed esecutive. Specializzata nel monitoraggio e gestione degli asset posti in procedura, nella vendita di immobili all’asta, nella gestione di operazioni di Saldo e Stralcio stragiudiziale anche attraverso operazioni di gestione del credit</w:t>
      </w:r>
      <w:r w:rsidR="002B248B">
        <w:rPr>
          <w:rFonts w:ascii="Arial" w:hAnsi="Arial" w:cs="Arial"/>
          <w:sz w:val="20"/>
          <w:szCs w:val="20"/>
        </w:rPr>
        <w:t>o.</w:t>
      </w:r>
      <w:r w:rsidRPr="004F2012">
        <w:rPr>
          <w:rFonts w:ascii="Arial" w:hAnsi="Arial" w:cs="Arial"/>
          <w:sz w:val="20"/>
          <w:szCs w:val="20"/>
        </w:rPr>
        <w:t xml:space="preserve"> </w:t>
      </w:r>
      <w:r w:rsidR="002B248B">
        <w:rPr>
          <w:rFonts w:ascii="Arial" w:hAnsi="Arial" w:cs="Arial"/>
          <w:sz w:val="20"/>
          <w:szCs w:val="20"/>
        </w:rPr>
        <w:t>L</w:t>
      </w:r>
      <w:r w:rsidRPr="004F2012">
        <w:rPr>
          <w:rFonts w:ascii="Arial" w:hAnsi="Arial" w:cs="Arial"/>
          <w:sz w:val="20"/>
          <w:szCs w:val="20"/>
        </w:rPr>
        <w:t>a società, che ha sede a Milano, opera in tutta Italia ed è suddivisa in aree operative integrate tra loro, per offrire una gamma completa di servizi tecnici e tecnologici ad alta specializzazione rivolti a privati, professionisti e tecnici del settore, agenzie, banche ed istituti di credito.</w:t>
      </w:r>
      <w:r w:rsidR="002B248B">
        <w:rPr>
          <w:rFonts w:ascii="Arial" w:hAnsi="Arial" w:cs="Arial"/>
          <w:sz w:val="20"/>
          <w:szCs w:val="20"/>
        </w:rPr>
        <w:t xml:space="preserve"> </w:t>
      </w:r>
    </w:p>
    <w:p w:rsidR="006953F7" w:rsidRPr="004F2012" w:rsidRDefault="006953F7" w:rsidP="006953F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2012">
        <w:rPr>
          <w:rFonts w:ascii="Arial" w:hAnsi="Arial" w:cs="Arial"/>
          <w:sz w:val="20"/>
          <w:szCs w:val="20"/>
        </w:rPr>
        <w:t>NPLs RE_Solutions è la società specializzata nel settore degli NPL del Gruppo Gabetti</w:t>
      </w:r>
      <w:r w:rsidR="002B248B">
        <w:rPr>
          <w:rFonts w:ascii="Arial" w:hAnsi="Arial" w:cs="Arial"/>
          <w:sz w:val="20"/>
          <w:szCs w:val="20"/>
        </w:rPr>
        <w:t xml:space="preserve">. </w:t>
      </w:r>
      <w:r w:rsidRPr="004F2012">
        <w:rPr>
          <w:rFonts w:ascii="Arial" w:hAnsi="Arial" w:cs="Arial"/>
          <w:color w:val="000000" w:themeColor="text1"/>
          <w:sz w:val="20"/>
          <w:szCs w:val="20"/>
        </w:rPr>
        <w:t xml:space="preserve">È suddivisa in aree operative integrate tra loro, per offrire una gamma completa di servizi ad alta specializzazione. La sua operatività si estende a tutto il territorio italiano e comprende l’analisi e la commercializzazione di </w:t>
      </w:r>
      <w:r w:rsidRPr="004F2012">
        <w:rPr>
          <w:rFonts w:ascii="Arial" w:hAnsi="Arial" w:cs="Arial"/>
          <w:i/>
          <w:color w:val="000000" w:themeColor="text1"/>
          <w:sz w:val="20"/>
          <w:szCs w:val="20"/>
        </w:rPr>
        <w:t>Asset</w:t>
      </w:r>
      <w:r w:rsidRPr="004F2012">
        <w:rPr>
          <w:rFonts w:ascii="Arial" w:hAnsi="Arial" w:cs="Arial"/>
          <w:color w:val="000000" w:themeColor="text1"/>
          <w:sz w:val="20"/>
          <w:szCs w:val="20"/>
        </w:rPr>
        <w:t xml:space="preserve"> immobiliari o singole unità legati a </w:t>
      </w:r>
      <w:r w:rsidRPr="004F2012">
        <w:rPr>
          <w:rFonts w:ascii="Arial" w:hAnsi="Arial" w:cs="Arial"/>
          <w:i/>
          <w:color w:val="000000" w:themeColor="text1"/>
          <w:sz w:val="20"/>
          <w:szCs w:val="20"/>
        </w:rPr>
        <w:t>Non Performing Loans</w:t>
      </w:r>
      <w:r w:rsidRPr="004F2012">
        <w:rPr>
          <w:rFonts w:ascii="Arial" w:hAnsi="Arial" w:cs="Arial"/>
          <w:color w:val="000000" w:themeColor="text1"/>
          <w:sz w:val="20"/>
          <w:szCs w:val="20"/>
        </w:rPr>
        <w:t xml:space="preserve"> (NPLs – Crediti Deteriorati) che possono rappresentare importati opportunità di investimento in campo immobiliare. </w:t>
      </w:r>
    </w:p>
    <w:p w:rsidR="006953F7" w:rsidRPr="004F2012" w:rsidRDefault="006953F7" w:rsidP="006953F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2012">
        <w:rPr>
          <w:rFonts w:ascii="Arial" w:hAnsi="Arial" w:cs="Arial"/>
          <w:color w:val="000000" w:themeColor="text1"/>
          <w:sz w:val="20"/>
          <w:szCs w:val="20"/>
        </w:rPr>
        <w:t xml:space="preserve">La Mission di NPLs RE Solutions può essere sintetizzata nella volontà di dare vita ad una entità aziendale dinamica e altamente professionale a servizio delle Banche, </w:t>
      </w:r>
      <w:r w:rsidRPr="004F2012">
        <w:rPr>
          <w:rFonts w:ascii="Arial" w:hAnsi="Arial" w:cs="Arial"/>
          <w:i/>
          <w:color w:val="000000" w:themeColor="text1"/>
          <w:sz w:val="20"/>
          <w:szCs w:val="20"/>
        </w:rPr>
        <w:t>Servicer</w:t>
      </w:r>
      <w:r w:rsidRPr="004F2012">
        <w:rPr>
          <w:rFonts w:ascii="Arial" w:hAnsi="Arial" w:cs="Arial"/>
          <w:color w:val="000000" w:themeColor="text1"/>
          <w:sz w:val="20"/>
          <w:szCs w:val="20"/>
        </w:rPr>
        <w:t xml:space="preserve"> e delle REOCo che possa rappresentare negli anni a venire una punto di riferimento per il mercato.</w:t>
      </w:r>
    </w:p>
    <w:p w:rsidR="006953F7" w:rsidRPr="004F2012" w:rsidRDefault="006953F7" w:rsidP="006953F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1777F" w:rsidRPr="004F2012" w:rsidRDefault="0041777F" w:rsidP="0041777F">
      <w:pPr>
        <w:jc w:val="both"/>
        <w:rPr>
          <w:sz w:val="20"/>
          <w:szCs w:val="20"/>
        </w:rPr>
      </w:pPr>
    </w:p>
    <w:sectPr w:rsidR="0041777F" w:rsidRPr="004F2012" w:rsidSect="008E7E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40" w:rsidRDefault="00245640" w:rsidP="00011E0D">
      <w:pPr>
        <w:spacing w:after="0" w:line="240" w:lineRule="auto"/>
      </w:pPr>
      <w:r>
        <w:separator/>
      </w:r>
    </w:p>
  </w:endnote>
  <w:endnote w:type="continuationSeparator" w:id="0">
    <w:p w:rsidR="00245640" w:rsidRDefault="00245640" w:rsidP="0001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40" w:rsidRDefault="00245640" w:rsidP="00011E0D">
      <w:pPr>
        <w:spacing w:after="0" w:line="240" w:lineRule="auto"/>
      </w:pPr>
      <w:r>
        <w:separator/>
      </w:r>
    </w:p>
  </w:footnote>
  <w:footnote w:type="continuationSeparator" w:id="0">
    <w:p w:rsidR="00245640" w:rsidRDefault="00245640" w:rsidP="0001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0D" w:rsidRDefault="00011E0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-96713</wp:posOffset>
          </wp:positionH>
          <wp:positionV relativeFrom="paragraph">
            <wp:posOffset>4726</wp:posOffset>
          </wp:positionV>
          <wp:extent cx="1732779" cy="740803"/>
          <wp:effectExtent l="0" t="0" r="0" b="0"/>
          <wp:wrapNone/>
          <wp:docPr id="3" name="Immagine 3" descr="/Users/brambilla/Desktop/Schermata 2018-12-28 alle 09.39.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brambilla/Desktop/Schermata 2018-12-28 alle 09.39.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779" cy="74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1E0D" w:rsidRDefault="00011E0D">
    <w:pPr>
      <w:pStyle w:val="Intestazione"/>
    </w:pPr>
  </w:p>
  <w:p w:rsidR="00011E0D" w:rsidRDefault="00011E0D">
    <w:pPr>
      <w:pStyle w:val="Intestazione"/>
    </w:pPr>
  </w:p>
  <w:p w:rsidR="00011E0D" w:rsidRDefault="00011E0D">
    <w:pPr>
      <w:pStyle w:val="Intestazione"/>
    </w:pPr>
  </w:p>
  <w:p w:rsidR="00011E0D" w:rsidRDefault="00011E0D">
    <w:pPr>
      <w:pStyle w:val="Intestazione"/>
    </w:pPr>
  </w:p>
  <w:p w:rsidR="00011E0D" w:rsidRDefault="00011E0D">
    <w:pPr>
      <w:pStyle w:val="Intestazione"/>
    </w:pPr>
  </w:p>
  <w:p w:rsidR="00011E0D" w:rsidRDefault="00011E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7D5"/>
    <w:multiLevelType w:val="hybridMultilevel"/>
    <w:tmpl w:val="5B9E2A34"/>
    <w:lvl w:ilvl="0" w:tplc="FA7AB2D8"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1F7"/>
    <w:multiLevelType w:val="hybridMultilevel"/>
    <w:tmpl w:val="E310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7F34"/>
    <w:multiLevelType w:val="hybridMultilevel"/>
    <w:tmpl w:val="A3F6A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23695"/>
    <w:multiLevelType w:val="hybridMultilevel"/>
    <w:tmpl w:val="F0047004"/>
    <w:lvl w:ilvl="0" w:tplc="FA7AB2D8"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7E554E20"/>
    <w:multiLevelType w:val="hybridMultilevel"/>
    <w:tmpl w:val="DCBA6534"/>
    <w:lvl w:ilvl="0" w:tplc="FA7AB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833"/>
    <w:rsid w:val="00011E0D"/>
    <w:rsid w:val="0002063C"/>
    <w:rsid w:val="00025535"/>
    <w:rsid w:val="000A720B"/>
    <w:rsid w:val="000D2303"/>
    <w:rsid w:val="000D30B1"/>
    <w:rsid w:val="001055E5"/>
    <w:rsid w:val="00190FDE"/>
    <w:rsid w:val="0021343E"/>
    <w:rsid w:val="00245640"/>
    <w:rsid w:val="002614BF"/>
    <w:rsid w:val="002845BA"/>
    <w:rsid w:val="002B0B4E"/>
    <w:rsid w:val="002B248B"/>
    <w:rsid w:val="002D75CA"/>
    <w:rsid w:val="0031632A"/>
    <w:rsid w:val="00347358"/>
    <w:rsid w:val="00353FF3"/>
    <w:rsid w:val="003558DF"/>
    <w:rsid w:val="004036FD"/>
    <w:rsid w:val="0041777F"/>
    <w:rsid w:val="00432FF7"/>
    <w:rsid w:val="004445EF"/>
    <w:rsid w:val="004C73D2"/>
    <w:rsid w:val="004F2012"/>
    <w:rsid w:val="0051028D"/>
    <w:rsid w:val="005A5C6C"/>
    <w:rsid w:val="005A72AB"/>
    <w:rsid w:val="005D51CF"/>
    <w:rsid w:val="005F3863"/>
    <w:rsid w:val="005F410D"/>
    <w:rsid w:val="0060546D"/>
    <w:rsid w:val="006953F7"/>
    <w:rsid w:val="006F3180"/>
    <w:rsid w:val="0077310D"/>
    <w:rsid w:val="00795722"/>
    <w:rsid w:val="007A7633"/>
    <w:rsid w:val="007C51C5"/>
    <w:rsid w:val="007D20FA"/>
    <w:rsid w:val="007E22F0"/>
    <w:rsid w:val="008003E2"/>
    <w:rsid w:val="00811F29"/>
    <w:rsid w:val="008A5288"/>
    <w:rsid w:val="008E54C1"/>
    <w:rsid w:val="008E7EB4"/>
    <w:rsid w:val="00934AD4"/>
    <w:rsid w:val="00934B14"/>
    <w:rsid w:val="00951BF2"/>
    <w:rsid w:val="009A6B00"/>
    <w:rsid w:val="00AA7E9C"/>
    <w:rsid w:val="00B0162B"/>
    <w:rsid w:val="00B14C6B"/>
    <w:rsid w:val="00B577BB"/>
    <w:rsid w:val="00B8290E"/>
    <w:rsid w:val="00BA57AC"/>
    <w:rsid w:val="00C006A9"/>
    <w:rsid w:val="00C6530E"/>
    <w:rsid w:val="00CA5742"/>
    <w:rsid w:val="00CC4561"/>
    <w:rsid w:val="00CF0304"/>
    <w:rsid w:val="00D55373"/>
    <w:rsid w:val="00D6234F"/>
    <w:rsid w:val="00D80280"/>
    <w:rsid w:val="00E2746F"/>
    <w:rsid w:val="00E3311C"/>
    <w:rsid w:val="00E3761E"/>
    <w:rsid w:val="00E40DCD"/>
    <w:rsid w:val="00E85FE5"/>
    <w:rsid w:val="00F01853"/>
    <w:rsid w:val="00F02CF6"/>
    <w:rsid w:val="00F94833"/>
    <w:rsid w:val="00FD4D34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48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4833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4445EF"/>
    <w:pPr>
      <w:ind w:left="720"/>
      <w:contextualSpacing/>
    </w:pPr>
  </w:style>
  <w:style w:type="paragraph" w:customStyle="1" w:styleId="NPLs">
    <w:name w:val="NPLs"/>
    <w:basedOn w:val="Normale"/>
    <w:next w:val="Normale"/>
    <w:qFormat/>
    <w:rsid w:val="006953F7"/>
    <w:pPr>
      <w:spacing w:after="0" w:line="240" w:lineRule="auto"/>
    </w:pPr>
    <w:rPr>
      <w:rFonts w:ascii="Gill Sans" w:eastAsiaTheme="minorEastAsia" w:hAnsi="Gill Sans"/>
      <w:color w:val="000000" w:themeColor="text1"/>
      <w:sz w:val="24"/>
      <w:szCs w:val="24"/>
      <w:lang w:eastAsia="it-IT"/>
    </w:rPr>
  </w:style>
  <w:style w:type="paragraph" w:customStyle="1" w:styleId="Default">
    <w:name w:val="Default"/>
    <w:rsid w:val="006953F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1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E0D"/>
  </w:style>
  <w:style w:type="paragraph" w:styleId="Pidipagina">
    <w:name w:val="footer"/>
    <w:basedOn w:val="Normale"/>
    <w:link w:val="PidipaginaCarattere"/>
    <w:uiPriority w:val="99"/>
    <w:unhideWhenUsed/>
    <w:rsid w:val="00011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Procedure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12-4CCC-9B0B-69E3CA885D6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12-4CCC-9B0B-69E3CA885D6F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E12-4CCC-9B0B-69E3CA885D6F}"/>
              </c:ext>
            </c:extLst>
          </c:dPt>
          <c:dLbls>
            <c:dLbl>
              <c:idx val="0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12-4CCC-9B0B-69E3CA885D6F}"/>
                </c:ext>
              </c:extLst>
            </c:dLbl>
            <c:dLbl>
              <c:idx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12-4CCC-9B0B-69E3CA885D6F}"/>
                </c:ext>
              </c:extLst>
            </c:dLbl>
            <c:dLbl>
              <c:idx val="2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12-4CCC-9B0B-69E3CA885D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Pignoramenti</c:v>
                </c:pt>
                <c:pt idx="1">
                  <c:v>Fallimenti</c:v>
                </c:pt>
                <c:pt idx="2">
                  <c:v>altre cause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112752</c:v>
                </c:pt>
                <c:pt idx="1">
                  <c:v>36494</c:v>
                </c:pt>
                <c:pt idx="2">
                  <c:v>3465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12-4CCC-9B0B-69E3CA885D6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frigerio</dc:creator>
  <cp:keywords/>
  <dc:description/>
  <cp:lastModifiedBy>paola</cp:lastModifiedBy>
  <cp:revision>6</cp:revision>
  <cp:lastPrinted>2019-08-05T10:14:00Z</cp:lastPrinted>
  <dcterms:created xsi:type="dcterms:W3CDTF">2019-07-25T08:47:00Z</dcterms:created>
  <dcterms:modified xsi:type="dcterms:W3CDTF">2019-08-05T10:14:00Z</dcterms:modified>
</cp:coreProperties>
</file>