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F2" w:rsidRDefault="008E06F2" w:rsidP="0062137C"/>
    <w:p w:rsidR="007C4E2A" w:rsidRDefault="007C4E2A" w:rsidP="007C4E2A">
      <w:pPr>
        <w:jc w:val="center"/>
      </w:pPr>
    </w:p>
    <w:p w:rsidR="00B72A2D" w:rsidRDefault="003921FD" w:rsidP="00E00CCE">
      <w:pPr>
        <w:jc w:val="center"/>
        <w:rPr>
          <w:b/>
          <w:color w:val="C00000"/>
          <w:sz w:val="32"/>
          <w:szCs w:val="32"/>
        </w:rPr>
      </w:pPr>
      <w:r w:rsidRPr="006A0839">
        <w:rPr>
          <w:b/>
          <w:color w:val="C00000"/>
          <w:sz w:val="32"/>
          <w:szCs w:val="32"/>
        </w:rPr>
        <w:t xml:space="preserve">VIVERE IL LUSSO: UN’ANALISI SANTANDREA E </w:t>
      </w:r>
      <w:r w:rsidR="00A17F24">
        <w:rPr>
          <w:b/>
          <w:color w:val="C00000"/>
          <w:sz w:val="32"/>
          <w:szCs w:val="32"/>
        </w:rPr>
        <w:t xml:space="preserve">BVA </w:t>
      </w:r>
      <w:r w:rsidRPr="006A0839">
        <w:rPr>
          <w:b/>
          <w:color w:val="C00000"/>
          <w:sz w:val="32"/>
          <w:szCs w:val="32"/>
        </w:rPr>
        <w:t xml:space="preserve">DOXA </w:t>
      </w:r>
    </w:p>
    <w:p w:rsidR="007321C5" w:rsidRDefault="00B72A2D" w:rsidP="00E00CCE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su MILANO e ROMA</w:t>
      </w:r>
    </w:p>
    <w:p w:rsidR="00B72A2D" w:rsidRDefault="00B72A2D" w:rsidP="00E00CCE">
      <w:pPr>
        <w:jc w:val="center"/>
        <w:rPr>
          <w:b/>
          <w:color w:val="C00000"/>
          <w:sz w:val="32"/>
          <w:szCs w:val="32"/>
        </w:rPr>
      </w:pPr>
    </w:p>
    <w:p w:rsidR="00B72A2D" w:rsidRDefault="00B72A2D" w:rsidP="00E00CCE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Milano “asso piglia tutto”. </w:t>
      </w:r>
    </w:p>
    <w:p w:rsidR="00B72A2D" w:rsidRPr="00E00CCE" w:rsidRDefault="00B72A2D" w:rsidP="00E00CCE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A Roma è in </w:t>
      </w:r>
      <w:r w:rsidR="00F3111B">
        <w:rPr>
          <w:b/>
          <w:color w:val="C00000"/>
          <w:sz w:val="32"/>
          <w:szCs w:val="32"/>
        </w:rPr>
        <w:t>atto una tendenza “centripeta”</w:t>
      </w:r>
    </w:p>
    <w:p w:rsidR="009C5B7D" w:rsidRPr="009717AE" w:rsidRDefault="009C5B7D" w:rsidP="006A0839">
      <w:pPr>
        <w:spacing w:line="320" w:lineRule="atLeast"/>
        <w:jc w:val="center"/>
        <w:rPr>
          <w:rFonts w:eastAsia="Calibri" w:cs="Times New Roman"/>
          <w:b/>
          <w:color w:val="C00000"/>
          <w:sz w:val="28"/>
          <w:szCs w:val="28"/>
        </w:rPr>
      </w:pPr>
    </w:p>
    <w:p w:rsidR="008D0DB5" w:rsidRDefault="008D0DB5" w:rsidP="00001A9E">
      <w:pPr>
        <w:pStyle w:val="p1"/>
        <w:jc w:val="both"/>
        <w:rPr>
          <w:rFonts w:asciiTheme="minorHAnsi" w:eastAsia="Calibri" w:hAnsiTheme="minorHAnsi"/>
          <w:color w:val="000000" w:themeColor="text1"/>
          <w:sz w:val="24"/>
          <w:szCs w:val="24"/>
          <w:lang w:eastAsia="en-US"/>
        </w:rPr>
      </w:pPr>
      <w:r w:rsidRPr="00001A9E">
        <w:rPr>
          <w:rFonts w:asciiTheme="minorHAnsi" w:eastAsia="Calibri" w:hAnsiTheme="minorHAnsi"/>
          <w:color w:val="000000" w:themeColor="text1"/>
          <w:sz w:val="24"/>
          <w:szCs w:val="24"/>
          <w:lang w:eastAsia="en-US"/>
        </w:rPr>
        <w:t xml:space="preserve">Secondo i dati Santandrea, elaborati dall’ufficio Studi Gabetti, </w:t>
      </w:r>
      <w:r w:rsidR="00001A9E">
        <w:rPr>
          <w:rFonts w:asciiTheme="minorHAnsi" w:eastAsia="Calibri" w:hAnsiTheme="minorHAnsi"/>
          <w:color w:val="000000" w:themeColor="text1"/>
          <w:sz w:val="24"/>
          <w:szCs w:val="24"/>
          <w:lang w:eastAsia="en-US"/>
        </w:rPr>
        <w:t>n</w:t>
      </w:r>
      <w:r w:rsidR="00001A9E" w:rsidRPr="00001A9E">
        <w:rPr>
          <w:rFonts w:asciiTheme="minorHAnsi" w:eastAsia="Calibri" w:hAnsiTheme="minorHAnsi"/>
          <w:color w:val="000000" w:themeColor="text1"/>
          <w:sz w:val="24"/>
          <w:szCs w:val="24"/>
          <w:lang w:eastAsia="en-US"/>
        </w:rPr>
        <w:t xml:space="preserve">el corso del primo semestre del 2019, il mercato degli immobili di pregio a Milano ha confermato i segnali di ripresa registrati dal 2018, mentre Roma ha mostrato una generale stabilità. </w:t>
      </w:r>
    </w:p>
    <w:p w:rsidR="00001A9E" w:rsidRPr="00001A9E" w:rsidRDefault="00001A9E" w:rsidP="00001A9E">
      <w:pPr>
        <w:pStyle w:val="NormaleWeb"/>
        <w:shd w:val="clear" w:color="auto" w:fill="FFFFFF"/>
        <w:spacing w:before="240" w:beforeAutospacing="0" w:after="0" w:afterAutospacing="0"/>
        <w:jc w:val="both"/>
        <w:rPr>
          <w:rFonts w:asciiTheme="minorHAnsi" w:eastAsia="Calibri" w:hAnsiTheme="minorHAnsi"/>
          <w:color w:val="000000" w:themeColor="text1"/>
          <w:lang w:eastAsia="en-US"/>
        </w:rPr>
      </w:pPr>
      <w:r>
        <w:rPr>
          <w:rFonts w:asciiTheme="minorHAnsi" w:eastAsia="Calibri" w:hAnsiTheme="minorHAnsi"/>
          <w:i/>
          <w:color w:val="000000" w:themeColor="text1"/>
          <w:lang w:eastAsia="en-US"/>
        </w:rPr>
        <w:t>“</w:t>
      </w:r>
      <w:r w:rsidRPr="00001A9E">
        <w:rPr>
          <w:rFonts w:asciiTheme="minorHAnsi" w:eastAsia="Calibri" w:hAnsiTheme="minorHAnsi"/>
          <w:i/>
          <w:color w:val="000000" w:themeColor="text1"/>
          <w:lang w:eastAsia="en-US"/>
        </w:rPr>
        <w:t>Milano da sempre in prima linea, come città che anticipa i trend a livello nazionale, continua la sua</w:t>
      </w:r>
      <w:r>
        <w:rPr>
          <w:rFonts w:asciiTheme="minorHAnsi" w:eastAsia="Calibri" w:hAnsiTheme="minorHAnsi"/>
          <w:i/>
          <w:color w:val="000000" w:themeColor="text1"/>
          <w:lang w:eastAsia="en-US"/>
        </w:rPr>
        <w:t xml:space="preserve"> </w:t>
      </w:r>
      <w:r w:rsidRPr="00001A9E">
        <w:rPr>
          <w:rFonts w:asciiTheme="minorHAnsi" w:eastAsia="Calibri" w:hAnsiTheme="minorHAnsi"/>
          <w:i/>
          <w:color w:val="000000" w:themeColor="text1"/>
          <w:lang w:eastAsia="en-US"/>
        </w:rPr>
        <w:t xml:space="preserve">fase espansiva, caratterizzata </w:t>
      </w:r>
      <w:r w:rsidR="002102EB">
        <w:rPr>
          <w:rFonts w:asciiTheme="minorHAnsi" w:eastAsia="Calibri" w:hAnsiTheme="minorHAnsi"/>
          <w:i/>
          <w:color w:val="000000" w:themeColor="text1"/>
          <w:lang w:eastAsia="en-US"/>
        </w:rPr>
        <w:t xml:space="preserve">da </w:t>
      </w:r>
      <w:r w:rsidRPr="00001A9E">
        <w:rPr>
          <w:rFonts w:asciiTheme="minorHAnsi" w:eastAsia="Calibri" w:hAnsiTheme="minorHAnsi"/>
          <w:i/>
          <w:color w:val="000000" w:themeColor="text1"/>
          <w:lang w:eastAsia="en-US"/>
        </w:rPr>
        <w:t xml:space="preserve">operazioni immobiliari che ne stanno ridisegnando il panorama. </w:t>
      </w:r>
      <w:r w:rsidRPr="00D92EDD">
        <w:rPr>
          <w:rFonts w:asciiTheme="minorHAnsi" w:eastAsia="Calibri" w:hAnsiTheme="minorHAnsi"/>
          <w:color w:val="000000" w:themeColor="text1"/>
          <w:lang w:eastAsia="en-US"/>
        </w:rPr>
        <w:t xml:space="preserve"> – dichiara </w:t>
      </w:r>
      <w:r w:rsidRPr="00D92EDD">
        <w:rPr>
          <w:rFonts w:asciiTheme="minorHAnsi" w:eastAsia="Calibri" w:hAnsiTheme="minorHAnsi"/>
          <w:b/>
          <w:color w:val="000000" w:themeColor="text1"/>
          <w:lang w:eastAsia="en-US"/>
        </w:rPr>
        <w:t xml:space="preserve">Fabio Guglielmi, </w:t>
      </w:r>
      <w:r w:rsidR="00762D16">
        <w:rPr>
          <w:rFonts w:asciiTheme="minorHAnsi" w:eastAsia="Calibri" w:hAnsiTheme="minorHAnsi"/>
          <w:b/>
          <w:color w:val="000000" w:themeColor="text1"/>
          <w:lang w:eastAsia="en-US"/>
        </w:rPr>
        <w:t>Consigliere</w:t>
      </w:r>
      <w:r>
        <w:rPr>
          <w:rFonts w:asciiTheme="minorHAnsi" w:eastAsia="Calibri" w:hAnsiTheme="minorHAnsi"/>
          <w:b/>
          <w:color w:val="000000" w:themeColor="text1"/>
          <w:lang w:eastAsia="en-US"/>
        </w:rPr>
        <w:t xml:space="preserve"> </w:t>
      </w:r>
      <w:r w:rsidR="00ED42E0">
        <w:rPr>
          <w:rFonts w:asciiTheme="minorHAnsi" w:eastAsia="Calibri" w:hAnsiTheme="minorHAnsi"/>
          <w:b/>
          <w:color w:val="000000" w:themeColor="text1"/>
          <w:lang w:eastAsia="en-US"/>
        </w:rPr>
        <w:t>D</w:t>
      </w:r>
      <w:r w:rsidRPr="00D92EDD">
        <w:rPr>
          <w:rFonts w:asciiTheme="minorHAnsi" w:eastAsia="Calibri" w:hAnsiTheme="minorHAnsi"/>
          <w:b/>
          <w:color w:val="000000" w:themeColor="text1"/>
          <w:lang w:eastAsia="en-US"/>
        </w:rPr>
        <w:t xml:space="preserve">elegato Santandrea Luxury Houses </w:t>
      </w:r>
      <w:r w:rsidRPr="00D92EDD">
        <w:rPr>
          <w:rFonts w:asciiTheme="minorHAnsi" w:eastAsia="Calibri" w:hAnsiTheme="minorHAnsi"/>
          <w:color w:val="000000" w:themeColor="text1"/>
          <w:lang w:eastAsia="en-US"/>
        </w:rPr>
        <w:t xml:space="preserve">- </w:t>
      </w:r>
      <w:r w:rsidRPr="00001A9E">
        <w:rPr>
          <w:rFonts w:asciiTheme="minorHAnsi" w:eastAsia="Calibri" w:hAnsiTheme="minorHAnsi"/>
          <w:i/>
          <w:color w:val="000000" w:themeColor="text1"/>
          <w:lang w:eastAsia="en-US"/>
        </w:rPr>
        <w:t>Tra</w:t>
      </w:r>
      <w:r>
        <w:rPr>
          <w:rFonts w:asciiTheme="minorHAnsi" w:eastAsia="Calibri" w:hAnsiTheme="minorHAnsi"/>
          <w:i/>
          <w:color w:val="000000" w:themeColor="text1"/>
          <w:lang w:eastAsia="en-US"/>
        </w:rPr>
        <w:t xml:space="preserve"> </w:t>
      </w:r>
      <w:r w:rsidRPr="00001A9E">
        <w:rPr>
          <w:rFonts w:asciiTheme="minorHAnsi" w:eastAsia="Calibri" w:hAnsiTheme="minorHAnsi"/>
          <w:i/>
          <w:color w:val="000000" w:themeColor="text1"/>
          <w:lang w:eastAsia="en-US"/>
        </w:rPr>
        <w:t>le città italiane, il capoluogo milanese sembra essere “asso p</w:t>
      </w:r>
      <w:r w:rsidR="002102EB">
        <w:rPr>
          <w:rFonts w:asciiTheme="minorHAnsi" w:eastAsia="Calibri" w:hAnsiTheme="minorHAnsi"/>
          <w:i/>
          <w:color w:val="000000" w:themeColor="text1"/>
          <w:lang w:eastAsia="en-US"/>
        </w:rPr>
        <w:t>iglia tutto”, in riferimento a</w:t>
      </w:r>
      <w:r>
        <w:rPr>
          <w:rFonts w:asciiTheme="minorHAnsi" w:eastAsia="Calibri" w:hAnsiTheme="minorHAnsi"/>
          <w:i/>
          <w:color w:val="000000" w:themeColor="text1"/>
          <w:lang w:eastAsia="en-US"/>
        </w:rPr>
        <w:t xml:space="preserve"> </w:t>
      </w:r>
      <w:r w:rsidRPr="00001A9E">
        <w:rPr>
          <w:rFonts w:asciiTheme="minorHAnsi" w:eastAsia="Calibri" w:hAnsiTheme="minorHAnsi"/>
          <w:i/>
          <w:color w:val="000000" w:themeColor="text1"/>
          <w:lang w:eastAsia="en-US"/>
        </w:rPr>
        <w:t>eventi di</w:t>
      </w:r>
      <w:r>
        <w:rPr>
          <w:rFonts w:asciiTheme="minorHAnsi" w:eastAsia="Calibri" w:hAnsiTheme="minorHAnsi"/>
          <w:i/>
          <w:color w:val="000000" w:themeColor="text1"/>
          <w:lang w:eastAsia="en-US"/>
        </w:rPr>
        <w:t xml:space="preserve"> </w:t>
      </w:r>
      <w:r w:rsidRPr="00001A9E">
        <w:rPr>
          <w:rFonts w:asciiTheme="minorHAnsi" w:eastAsia="Calibri" w:hAnsiTheme="minorHAnsi"/>
          <w:i/>
          <w:color w:val="000000" w:themeColor="text1"/>
          <w:lang w:eastAsia="en-US"/>
        </w:rPr>
        <w:t>portata internazionale, come quelli legati al design, a</w:t>
      </w:r>
      <w:r>
        <w:rPr>
          <w:rFonts w:asciiTheme="minorHAnsi" w:eastAsia="Calibri" w:hAnsiTheme="minorHAnsi"/>
          <w:i/>
          <w:color w:val="000000" w:themeColor="text1"/>
          <w:lang w:eastAsia="en-US"/>
        </w:rPr>
        <w:t xml:space="preserve">lla moda e non ultimi il salone </w:t>
      </w:r>
      <w:r w:rsidRPr="00001A9E">
        <w:rPr>
          <w:rFonts w:asciiTheme="minorHAnsi" w:eastAsia="Calibri" w:hAnsiTheme="minorHAnsi"/>
          <w:i/>
          <w:color w:val="000000" w:themeColor="text1"/>
          <w:lang w:eastAsia="en-US"/>
        </w:rPr>
        <w:t>dell’auto e le</w:t>
      </w:r>
      <w:r>
        <w:rPr>
          <w:rFonts w:asciiTheme="minorHAnsi" w:eastAsia="Calibri" w:hAnsiTheme="minorHAnsi"/>
          <w:i/>
          <w:color w:val="000000" w:themeColor="text1"/>
          <w:lang w:eastAsia="en-US"/>
        </w:rPr>
        <w:t xml:space="preserve"> </w:t>
      </w:r>
      <w:r w:rsidRPr="00001A9E">
        <w:rPr>
          <w:rFonts w:asciiTheme="minorHAnsi" w:eastAsia="Calibri" w:hAnsiTheme="minorHAnsi"/>
          <w:i/>
          <w:color w:val="000000" w:themeColor="text1"/>
          <w:lang w:eastAsia="en-US"/>
        </w:rPr>
        <w:t>Olimpiadi invernali</w:t>
      </w:r>
      <w:r w:rsidR="00E45601">
        <w:rPr>
          <w:rFonts w:asciiTheme="minorHAnsi" w:eastAsia="Calibri" w:hAnsiTheme="minorHAnsi"/>
          <w:i/>
          <w:color w:val="000000" w:themeColor="text1"/>
          <w:lang w:eastAsia="en-US"/>
        </w:rPr>
        <w:t>.”</w:t>
      </w:r>
    </w:p>
    <w:p w:rsidR="00001A9E" w:rsidRPr="00001A9E" w:rsidRDefault="00001A9E" w:rsidP="00001A9E">
      <w:pPr>
        <w:pStyle w:val="p1"/>
        <w:jc w:val="both"/>
        <w:rPr>
          <w:rFonts w:asciiTheme="minorHAnsi" w:eastAsia="Calibri" w:hAnsiTheme="minorHAnsi"/>
          <w:i/>
          <w:color w:val="000000" w:themeColor="text1"/>
          <w:sz w:val="24"/>
          <w:szCs w:val="24"/>
          <w:lang w:eastAsia="en-US"/>
        </w:rPr>
      </w:pPr>
    </w:p>
    <w:p w:rsidR="007E6205" w:rsidRDefault="007E6205" w:rsidP="00E00CCE">
      <w:pPr>
        <w:spacing w:line="320" w:lineRule="atLeast"/>
        <w:rPr>
          <w:rFonts w:eastAsia="Calibri" w:cs="Times New Roman"/>
          <w:b/>
          <w:color w:val="C00000"/>
          <w:sz w:val="28"/>
          <w:szCs w:val="28"/>
        </w:rPr>
      </w:pPr>
    </w:p>
    <w:p w:rsidR="007E6205" w:rsidRDefault="007E6205" w:rsidP="00D92EDD">
      <w:pPr>
        <w:pStyle w:val="Corpodeltesto31"/>
        <w:spacing w:line="320" w:lineRule="atLeast"/>
        <w:jc w:val="center"/>
        <w:rPr>
          <w:rFonts w:asciiTheme="minorHAnsi" w:eastAsia="Calibri" w:hAnsiTheme="minorHAnsi" w:cs="Times New Roman"/>
          <w:b/>
          <w:color w:val="C00000"/>
          <w:sz w:val="28"/>
          <w:szCs w:val="28"/>
          <w:lang w:eastAsia="en-US"/>
        </w:rPr>
      </w:pPr>
    </w:p>
    <w:p w:rsidR="00173B45" w:rsidRDefault="00173B45" w:rsidP="00D92EDD">
      <w:pPr>
        <w:pStyle w:val="Corpodeltesto31"/>
        <w:spacing w:line="320" w:lineRule="atLeast"/>
        <w:jc w:val="center"/>
        <w:rPr>
          <w:rFonts w:asciiTheme="minorHAnsi" w:eastAsia="Calibri" w:hAnsiTheme="minorHAnsi" w:cs="Times New Roman"/>
          <w:b/>
          <w:color w:val="C00000"/>
          <w:sz w:val="28"/>
          <w:szCs w:val="28"/>
          <w:lang w:eastAsia="en-US"/>
        </w:rPr>
      </w:pPr>
      <w:r w:rsidRPr="003553FB">
        <w:rPr>
          <w:rFonts w:asciiTheme="minorHAnsi" w:eastAsia="Calibri" w:hAnsiTheme="minorHAnsi" w:cs="Times New Roman"/>
          <w:b/>
          <w:color w:val="C00000"/>
          <w:sz w:val="28"/>
          <w:szCs w:val="28"/>
          <w:lang w:eastAsia="en-US"/>
        </w:rPr>
        <w:t>MILANO</w:t>
      </w:r>
    </w:p>
    <w:p w:rsidR="00105E95" w:rsidRDefault="00105E95" w:rsidP="00D92EDD">
      <w:pPr>
        <w:pStyle w:val="Corpodeltesto31"/>
        <w:spacing w:line="320" w:lineRule="atLeast"/>
        <w:jc w:val="center"/>
        <w:rPr>
          <w:rFonts w:asciiTheme="minorHAnsi" w:eastAsia="Calibri" w:hAnsiTheme="minorHAnsi" w:cs="Times New Roman"/>
          <w:b/>
          <w:color w:val="C00000"/>
          <w:sz w:val="28"/>
          <w:szCs w:val="28"/>
          <w:lang w:eastAsia="en-US"/>
        </w:rPr>
      </w:pPr>
    </w:p>
    <w:p w:rsidR="00105E95" w:rsidRDefault="00EE1486" w:rsidP="00D92EDD">
      <w:pPr>
        <w:pStyle w:val="Corpodeltesto31"/>
        <w:spacing w:line="320" w:lineRule="atLeast"/>
        <w:jc w:val="center"/>
        <w:rPr>
          <w:rFonts w:asciiTheme="minorHAnsi" w:eastAsia="Calibri" w:hAnsiTheme="minorHAnsi" w:cs="Times New Roman"/>
          <w:b/>
          <w:color w:val="C00000"/>
          <w:sz w:val="28"/>
          <w:szCs w:val="28"/>
          <w:lang w:eastAsia="en-US"/>
        </w:rPr>
      </w:pPr>
      <w:r>
        <w:rPr>
          <w:noProof/>
          <w:lang w:eastAsia="it-IT"/>
        </w:rPr>
        <w:drawing>
          <wp:inline distT="0" distB="0" distL="0" distR="0">
            <wp:extent cx="6116320" cy="1235899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23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0B3" w:rsidRDefault="00C220B3" w:rsidP="00843EE3">
      <w:pPr>
        <w:pStyle w:val="p1"/>
        <w:rPr>
          <w:rFonts w:asciiTheme="minorHAnsi" w:eastAsia="Calibri" w:hAnsiTheme="minorHAnsi"/>
          <w:b/>
          <w:color w:val="C00000"/>
          <w:sz w:val="28"/>
          <w:szCs w:val="28"/>
          <w:lang w:eastAsia="en-US"/>
        </w:rPr>
      </w:pPr>
    </w:p>
    <w:p w:rsidR="00A05976" w:rsidRPr="00A05976" w:rsidRDefault="00A05976" w:rsidP="00A05976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Nel corso del primo semestre del 2019, il </w:t>
      </w:r>
      <w:r w:rsidRPr="0004547E">
        <w:rPr>
          <w:rFonts w:asciiTheme="minorHAnsi" w:eastAsia="Calibri" w:hAnsiTheme="minorHAnsi" w:cstheme="minorHAnsi"/>
          <w:b/>
          <w:color w:val="auto"/>
          <w:sz w:val="23"/>
          <w:szCs w:val="23"/>
          <w:lang w:eastAsia="en-US"/>
        </w:rPr>
        <w:t>mercato delle compravendite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a Milano, ha mostrato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andamenti differenti a seconda delle zone di riferimento. </w:t>
      </w:r>
      <w:r w:rsidRPr="001D118B">
        <w:rPr>
          <w:rFonts w:asciiTheme="minorHAnsi" w:eastAsia="Calibri" w:hAnsiTheme="minorHAnsi" w:cstheme="minorHAnsi"/>
          <w:b/>
          <w:color w:val="auto"/>
          <w:sz w:val="23"/>
          <w:szCs w:val="23"/>
          <w:lang w:eastAsia="en-US"/>
        </w:rPr>
        <w:t>Le zone Brera, Centro Storico e Magenta –Pagano–Castello si confermano tra le più dinamiche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con una domanda in costante crescita.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Stabili le zone Palestro–Duse e Quadrilatero. P</w:t>
      </w:r>
      <w:r w:rsidR="0004547E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er quanto riguarda l’offerta, a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eccezione della zona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Palestro-Duse, la disponibilità di immobili è risultata in crescita, ma non sempre la qualità degli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edifici e degli interni è allineata alle aspettative dei possibili acquirenti. Per quanto riguarda i prezzi, si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è riscontrato un lieve rialzo rispetto alla precedente rilevazione.</w:t>
      </w:r>
    </w:p>
    <w:p w:rsidR="00A1752F" w:rsidRDefault="00A1752F" w:rsidP="00A05976">
      <w:pPr>
        <w:jc w:val="both"/>
        <w:rPr>
          <w:rFonts w:eastAsia="Calibri" w:cstheme="minorHAnsi"/>
          <w:sz w:val="23"/>
          <w:szCs w:val="23"/>
        </w:rPr>
      </w:pPr>
    </w:p>
    <w:p w:rsidR="007C6EC1" w:rsidRDefault="007C6EC1" w:rsidP="0004547E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</w:p>
    <w:p w:rsidR="00A05976" w:rsidRDefault="00A05976" w:rsidP="0004547E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La domanda di </w:t>
      </w:r>
      <w:r w:rsidRPr="0004547E">
        <w:rPr>
          <w:rFonts w:asciiTheme="minorHAnsi" w:eastAsia="Calibri" w:hAnsiTheme="minorHAnsi" w:cstheme="minorHAnsi"/>
          <w:b/>
          <w:color w:val="auto"/>
          <w:sz w:val="23"/>
          <w:szCs w:val="23"/>
          <w:lang w:eastAsia="en-US"/>
        </w:rPr>
        <w:t>locazioni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a Milano è risultata stabile nelle zone del Quadrilatero e Palestro-Duse,</w:t>
      </w:r>
      <w:r w:rsidR="0004547E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mentre in crescita in zona Magenta–Pagano–Castello, Brera e Centro Storico. L’offerta in locazione</w:t>
      </w:r>
      <w:r w:rsidR="0004547E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ha proseguito nel suo trend di crescita nel Centro Storico, Quadrilatero e in zona Brera. Nelle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restanti zone, l’offerta è risultata costante. I canoni sono risultati complessivamente in aumento, con crescite in Centro Storico Brera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e Magenta e stabilità in Palestro Duse e Quadrilatero. In generale, continua a 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lastRenderedPageBreak/>
        <w:t>crescere il fenomeno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dello short rent gestito direttamente da proprietari o da società di servizi, che negli ultimi anni ha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fortemente ridimensionato l’offerta di immobili per locazione di medio-lungo termine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.</w:t>
      </w:r>
    </w:p>
    <w:p w:rsidR="0004547E" w:rsidRDefault="0004547E" w:rsidP="0004547E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</w:p>
    <w:p w:rsidR="0004547E" w:rsidRPr="0004547E" w:rsidRDefault="0004547E" w:rsidP="0004547E">
      <w:pPr>
        <w:pStyle w:val="p1"/>
        <w:jc w:val="both"/>
        <w:rPr>
          <w:rFonts w:asciiTheme="minorHAnsi" w:eastAsia="Calibri" w:hAnsiTheme="minorHAnsi"/>
          <w:b/>
          <w:color w:val="C00000"/>
          <w:sz w:val="24"/>
          <w:szCs w:val="24"/>
          <w:lang w:eastAsia="en-US"/>
        </w:rPr>
      </w:pPr>
      <w:r w:rsidRPr="0004547E">
        <w:rPr>
          <w:rFonts w:asciiTheme="minorHAnsi" w:eastAsia="Calibri" w:hAnsiTheme="minorHAnsi"/>
          <w:b/>
          <w:color w:val="C00000"/>
          <w:sz w:val="24"/>
          <w:szCs w:val="24"/>
          <w:lang w:eastAsia="en-US"/>
        </w:rPr>
        <w:t>PREZZI</w:t>
      </w:r>
    </w:p>
    <w:p w:rsidR="00A05976" w:rsidRPr="00A05976" w:rsidRDefault="00A05976" w:rsidP="0004547E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A Milano, per le abitazioni nuove o ristrutturate le quotazioni oscillano da un minimo di 7.700 euro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al mq nel Centro Storico e Magenta-Pagano-Castello, fino a un massimo di 13.800 euro al mq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nella zona del Quadrilatero, che ha confermato ancora una volta valori più alti sia sul mercato delle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compravendite che su quello delle locazioni.</w:t>
      </w:r>
    </w:p>
    <w:p w:rsidR="00A05976" w:rsidRPr="00A05976" w:rsidRDefault="00A05976" w:rsidP="0004547E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Nel caso di abitazioni usate o da ristrutturare le quotazioni sono state entro un range di 5.700 euro al</w:t>
      </w:r>
      <w:r w:rsidR="0004547E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mq nella zona Magenta-Pagano-Castello e di 11.000 euro al mq nel Quadrilatero.</w:t>
      </w:r>
    </w:p>
    <w:p w:rsidR="00843EE3" w:rsidRDefault="00843EE3" w:rsidP="00A05976">
      <w:pPr>
        <w:jc w:val="both"/>
        <w:rPr>
          <w:rFonts w:eastAsia="Calibri" w:cstheme="minorHAnsi"/>
          <w:sz w:val="23"/>
          <w:szCs w:val="23"/>
        </w:rPr>
      </w:pPr>
    </w:p>
    <w:p w:rsidR="00843EE3" w:rsidRDefault="00105E95" w:rsidP="007C0A69">
      <w:pPr>
        <w:jc w:val="both"/>
        <w:rPr>
          <w:rFonts w:eastAsia="Calibri" w:cstheme="minorHAnsi"/>
          <w:sz w:val="23"/>
          <w:szCs w:val="23"/>
        </w:rPr>
      </w:pPr>
      <w:r>
        <w:rPr>
          <w:noProof/>
          <w:lang w:eastAsia="it-IT"/>
        </w:rPr>
        <w:drawing>
          <wp:inline distT="0" distB="0" distL="0" distR="0">
            <wp:extent cx="5493600" cy="2106000"/>
            <wp:effectExtent l="0" t="0" r="0" b="889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3600" cy="21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976" w:rsidRDefault="00105E95" w:rsidP="007C0A69">
      <w:pPr>
        <w:jc w:val="both"/>
        <w:rPr>
          <w:rFonts w:eastAsia="Calibri" w:cstheme="minorHAnsi"/>
          <w:sz w:val="23"/>
          <w:szCs w:val="23"/>
        </w:rPr>
      </w:pPr>
      <w:r>
        <w:rPr>
          <w:noProof/>
          <w:lang w:eastAsia="it-IT"/>
        </w:rPr>
        <w:drawing>
          <wp:inline distT="0" distB="0" distL="0" distR="0">
            <wp:extent cx="5497200" cy="2106000"/>
            <wp:effectExtent l="0" t="0" r="8255" b="889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7200" cy="21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976" w:rsidRDefault="00A05976" w:rsidP="007C0A69">
      <w:pPr>
        <w:jc w:val="both"/>
        <w:rPr>
          <w:rFonts w:eastAsia="Calibri" w:cstheme="minorHAnsi"/>
          <w:sz w:val="23"/>
          <w:szCs w:val="23"/>
        </w:rPr>
      </w:pPr>
    </w:p>
    <w:p w:rsidR="00A05976" w:rsidRDefault="00A05976" w:rsidP="00A05976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Il primo semestre del 2019, ha confermato l’aumento delle quotazioni per il mercato delle residenze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di pregio a Milano. La crescita, che si è attestata intorno a +1,8%, è da imputarsi principalmente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alle zone Brera, Magenta e Centro Storico. Con riferimento agli immobili usati, il divario medio fra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prezzo 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richiesto e prezzo effettivo, a livello cittadino, si è attestato intorno all’11% in linea con quanto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registrato nel semestre precedente, con lievi differenze tra le varie zone. Per quanto concerne i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tempi medi di vendita, sono risultate p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iù dinamiche le zone di Brera (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3-5 mesi), Magenta e Centro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Storico (4-6 mesi). Tempistiche relativamente più dilatate per le altre zone fino ad un massimo di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otto mesi.</w:t>
      </w:r>
    </w:p>
    <w:p w:rsidR="0004547E" w:rsidRPr="00A05976" w:rsidRDefault="0004547E" w:rsidP="00A05976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</w:p>
    <w:p w:rsidR="00A05976" w:rsidRPr="00A05976" w:rsidRDefault="00A05976" w:rsidP="0004547E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Nel comparto delle locazioni si sono registrati canoni medi a livello cittadino in aumento (+2,</w:t>
      </w:r>
      <w:r w:rsidR="00D5292B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7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%),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con una crescita imputabile sempre alle tre zone più richieste.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Gli sconti medi fra canone richiesto ed effettivo si sono attestati tra l’8% e il 10% e, per quanto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riguarda i tempi medi di locazione, le soluzioni sono rimaste sul mercato da un minimo di due a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A0597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un massimo quattro mesi.</w:t>
      </w:r>
    </w:p>
    <w:p w:rsidR="001A6CE2" w:rsidRDefault="001A6CE2" w:rsidP="0004547E">
      <w:pPr>
        <w:jc w:val="both"/>
        <w:rPr>
          <w:rFonts w:eastAsia="Calibri" w:cstheme="minorHAnsi"/>
          <w:sz w:val="23"/>
          <w:szCs w:val="23"/>
        </w:rPr>
      </w:pPr>
    </w:p>
    <w:p w:rsidR="00F10E6D" w:rsidRPr="00F10E6D" w:rsidRDefault="00F10E6D" w:rsidP="00F10E6D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 w:rsidRPr="00F10E6D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A Milano la maggioranza della domanda, 70%, continua ad essere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F10E6D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interessata all’acquisto mentre la richiesta di immobili in affitto è pari al 30%. </w:t>
      </w:r>
      <w:r w:rsidR="00052B85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S</w:t>
      </w:r>
      <w:r w:rsidRPr="00F10E6D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i è confermata</w:t>
      </w:r>
      <w:r w:rsidR="00052B85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, nella compravendita,</w:t>
      </w:r>
      <w:r w:rsidRPr="00F10E6D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la prev</w:t>
      </w:r>
      <w:r w:rsidR="00845F9F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alenza di clienti interessati a</w:t>
      </w:r>
      <w:r w:rsidRPr="00F10E6D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immobili usati (circa il 60%). </w:t>
      </w:r>
      <w:r w:rsidR="00845F9F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Contrariamente, p</w:t>
      </w:r>
      <w:r w:rsidRPr="00F10E6D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er il mercato della locazione, è cresciuta </w:t>
      </w:r>
      <w:r w:rsidR="00845F9F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invece </w:t>
      </w:r>
      <w:r w:rsidRPr="00F10E6D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la domanda per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F10E6D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residenze nuove (60%),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rispetto a quelle usate (40%). </w:t>
      </w:r>
    </w:p>
    <w:p w:rsidR="00F10E6D" w:rsidRPr="00F10E6D" w:rsidRDefault="00F10E6D" w:rsidP="00F10E6D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 w:rsidRPr="00F10E6D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A Milano, la maggior parte delle compravendite (80%)è risultata funzionale alla sostituzione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F10E6D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della propria casa; nel 10% dei casi l’acquisto ha riguardato la prima casa, mentre è cresciuta la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F10E6D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componente di investimento (10%). La percentuale di stranieri che ha scelto la città come location per comprare o affittare casa</w:t>
      </w:r>
      <w:r w:rsidR="00845F9F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è stata pari al 5%.</w:t>
      </w:r>
    </w:p>
    <w:p w:rsidR="00F10E6D" w:rsidRDefault="00F10E6D" w:rsidP="00F10E6D">
      <w:pPr>
        <w:jc w:val="both"/>
        <w:rPr>
          <w:rFonts w:eastAsia="Calibri" w:cstheme="minorHAnsi"/>
          <w:sz w:val="23"/>
          <w:szCs w:val="23"/>
        </w:rPr>
      </w:pPr>
    </w:p>
    <w:p w:rsidR="00783CE2" w:rsidRDefault="00783CE2" w:rsidP="00105E95">
      <w:pPr>
        <w:pStyle w:val="Corpodeltesto31"/>
        <w:spacing w:line="320" w:lineRule="atLeast"/>
        <w:jc w:val="center"/>
        <w:rPr>
          <w:rFonts w:asciiTheme="minorHAnsi" w:eastAsia="Calibri" w:hAnsiTheme="minorHAnsi" w:cs="Times New Roman"/>
          <w:b/>
          <w:color w:val="C00000"/>
          <w:sz w:val="28"/>
          <w:szCs w:val="28"/>
          <w:lang w:eastAsia="en-US"/>
        </w:rPr>
      </w:pPr>
      <w:r w:rsidRPr="00910A9A">
        <w:rPr>
          <w:rFonts w:asciiTheme="minorHAnsi" w:eastAsia="Calibri" w:hAnsiTheme="minorHAnsi" w:cs="Times New Roman"/>
          <w:b/>
          <w:color w:val="C00000"/>
          <w:sz w:val="28"/>
          <w:szCs w:val="28"/>
          <w:lang w:eastAsia="en-US"/>
        </w:rPr>
        <w:t>ROMA</w:t>
      </w:r>
    </w:p>
    <w:p w:rsidR="00105E95" w:rsidRDefault="00105E95" w:rsidP="00105E95">
      <w:pPr>
        <w:pStyle w:val="Corpodeltesto31"/>
        <w:spacing w:line="320" w:lineRule="atLeast"/>
        <w:jc w:val="center"/>
        <w:rPr>
          <w:rFonts w:asciiTheme="minorHAnsi" w:eastAsia="Calibri" w:hAnsiTheme="minorHAnsi" w:cs="Times New Roman"/>
          <w:b/>
          <w:color w:val="C00000"/>
          <w:sz w:val="28"/>
          <w:szCs w:val="28"/>
          <w:lang w:eastAsia="en-US"/>
        </w:rPr>
      </w:pPr>
    </w:p>
    <w:p w:rsidR="00845F9F" w:rsidRDefault="00105E95" w:rsidP="00845F9F">
      <w:pPr>
        <w:pStyle w:val="p1"/>
        <w:jc w:val="both"/>
        <w:rPr>
          <w:rFonts w:asciiTheme="minorHAnsi" w:eastAsia="Calibri" w:hAnsiTheme="minorHAnsi"/>
          <w:b/>
          <w:color w:val="C00000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6116320" cy="1049441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04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E95" w:rsidRDefault="00105E95" w:rsidP="00845F9F">
      <w:pPr>
        <w:pStyle w:val="p1"/>
        <w:jc w:val="both"/>
        <w:rPr>
          <w:rFonts w:asciiTheme="minorHAnsi" w:eastAsia="Calibri" w:hAnsiTheme="minorHAnsi"/>
          <w:b/>
          <w:color w:val="C00000"/>
          <w:sz w:val="28"/>
          <w:szCs w:val="28"/>
          <w:lang w:eastAsia="en-US"/>
        </w:rPr>
      </w:pPr>
    </w:p>
    <w:p w:rsidR="0004547E" w:rsidRPr="00845F9F" w:rsidRDefault="00845F9F" w:rsidP="00845F9F">
      <w:pPr>
        <w:pStyle w:val="p1"/>
        <w:jc w:val="both"/>
        <w:rPr>
          <w:rFonts w:asciiTheme="minorHAnsi" w:eastAsia="Calibri" w:hAnsiTheme="minorHAnsi" w:cstheme="minorHAnsi"/>
          <w:i/>
          <w:color w:val="auto"/>
          <w:sz w:val="23"/>
          <w:szCs w:val="23"/>
          <w:lang w:eastAsia="en-US"/>
        </w:rPr>
      </w:pPr>
      <w:r w:rsidRPr="00845F9F">
        <w:rPr>
          <w:rFonts w:asciiTheme="minorHAnsi" w:eastAsia="Calibri" w:hAnsiTheme="minorHAnsi" w:cstheme="minorHAnsi"/>
          <w:i/>
          <w:color w:val="auto"/>
          <w:sz w:val="23"/>
          <w:szCs w:val="23"/>
          <w:lang w:eastAsia="en-US"/>
        </w:rPr>
        <w:t>“</w:t>
      </w:r>
      <w:r w:rsidR="0004547E" w:rsidRPr="00845F9F">
        <w:rPr>
          <w:rFonts w:asciiTheme="minorHAnsi" w:eastAsia="Calibri" w:hAnsiTheme="minorHAnsi" w:cstheme="minorHAnsi"/>
          <w:i/>
          <w:color w:val="auto"/>
          <w:sz w:val="23"/>
          <w:szCs w:val="23"/>
          <w:lang w:eastAsia="en-US"/>
        </w:rPr>
        <w:t>Roma, che racchiude in sé il fascino della città eterna, ha iniziato un percorso volto</w:t>
      </w:r>
      <w:r w:rsidRPr="00845F9F">
        <w:rPr>
          <w:rFonts w:asciiTheme="minorHAnsi" w:eastAsia="Calibri" w:hAnsiTheme="minorHAnsi" w:cstheme="minorHAnsi"/>
          <w:i/>
          <w:color w:val="auto"/>
          <w:sz w:val="23"/>
          <w:szCs w:val="23"/>
          <w:lang w:eastAsia="en-US"/>
        </w:rPr>
        <w:t xml:space="preserve"> </w:t>
      </w:r>
      <w:r w:rsidR="0004547E" w:rsidRPr="00845F9F">
        <w:rPr>
          <w:rFonts w:asciiTheme="minorHAnsi" w:eastAsia="Calibri" w:hAnsiTheme="minorHAnsi" w:cstheme="minorHAnsi"/>
          <w:i/>
          <w:color w:val="auto"/>
          <w:sz w:val="23"/>
          <w:szCs w:val="23"/>
          <w:lang w:eastAsia="en-US"/>
        </w:rPr>
        <w:t>alla riqualificazione e rigenerazione di un territorio per sua natura complesso.</w:t>
      </w:r>
      <w:r w:rsidRPr="00845F9F">
        <w:rPr>
          <w:rFonts w:asciiTheme="minorHAnsi" w:eastAsia="Calibri" w:hAnsiTheme="minorHAnsi" w:cstheme="minorHAnsi"/>
          <w:i/>
          <w:color w:val="auto"/>
          <w:sz w:val="23"/>
          <w:szCs w:val="23"/>
          <w:lang w:eastAsia="en-US"/>
        </w:rPr>
        <w:t xml:space="preserve"> </w:t>
      </w:r>
      <w:r w:rsidRPr="00D92EDD">
        <w:rPr>
          <w:rFonts w:asciiTheme="minorHAnsi" w:eastAsia="Calibri" w:hAnsiTheme="minorHAnsi"/>
          <w:color w:val="000000" w:themeColor="text1"/>
          <w:lang w:eastAsia="en-US"/>
        </w:rPr>
        <w:t xml:space="preserve">– </w:t>
      </w:r>
      <w:r w:rsidRPr="00845F9F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dichiara </w:t>
      </w:r>
      <w:r w:rsidRPr="00845F9F">
        <w:rPr>
          <w:rFonts w:asciiTheme="minorHAnsi" w:eastAsia="Calibri" w:hAnsiTheme="minorHAnsi" w:cstheme="minorHAnsi"/>
          <w:b/>
          <w:color w:val="auto"/>
          <w:sz w:val="23"/>
          <w:szCs w:val="23"/>
          <w:lang w:eastAsia="en-US"/>
        </w:rPr>
        <w:t xml:space="preserve">Fabio Guglielmi, </w:t>
      </w:r>
      <w:r w:rsidR="00762D16" w:rsidRPr="00762D16">
        <w:rPr>
          <w:rFonts w:asciiTheme="minorHAnsi" w:eastAsia="Calibri" w:hAnsiTheme="minorHAnsi" w:cstheme="minorHAnsi"/>
          <w:b/>
          <w:color w:val="auto"/>
          <w:sz w:val="23"/>
          <w:szCs w:val="23"/>
          <w:lang w:eastAsia="en-US"/>
        </w:rPr>
        <w:t xml:space="preserve">Consigliere </w:t>
      </w:r>
      <w:r w:rsidR="00E2587A">
        <w:rPr>
          <w:rFonts w:asciiTheme="minorHAnsi" w:eastAsia="Calibri" w:hAnsiTheme="minorHAnsi" w:cstheme="minorHAnsi"/>
          <w:b/>
          <w:color w:val="auto"/>
          <w:sz w:val="23"/>
          <w:szCs w:val="23"/>
          <w:lang w:eastAsia="en-US"/>
        </w:rPr>
        <w:t>D</w:t>
      </w:r>
      <w:bookmarkStart w:id="0" w:name="_GoBack"/>
      <w:bookmarkEnd w:id="0"/>
      <w:r w:rsidRPr="00845F9F">
        <w:rPr>
          <w:rFonts w:asciiTheme="minorHAnsi" w:eastAsia="Calibri" w:hAnsiTheme="minorHAnsi" w:cstheme="minorHAnsi"/>
          <w:b/>
          <w:color w:val="auto"/>
          <w:sz w:val="23"/>
          <w:szCs w:val="23"/>
          <w:lang w:eastAsia="en-US"/>
        </w:rPr>
        <w:t>elegato Santandrea Luxury Houses</w:t>
      </w:r>
      <w:r w:rsidRPr="00845F9F">
        <w:rPr>
          <w:rFonts w:asciiTheme="minorHAnsi" w:eastAsia="Calibri" w:hAnsiTheme="minorHAnsi" w:cstheme="minorHAnsi"/>
          <w:i/>
          <w:color w:val="auto"/>
          <w:sz w:val="23"/>
          <w:szCs w:val="23"/>
          <w:lang w:eastAsia="en-US"/>
        </w:rPr>
        <w:t xml:space="preserve"> -</w:t>
      </w:r>
      <w:r w:rsidR="0004547E" w:rsidRPr="00845F9F">
        <w:rPr>
          <w:rFonts w:asciiTheme="minorHAnsi" w:eastAsia="Calibri" w:hAnsiTheme="minorHAnsi" w:cstheme="minorHAnsi"/>
          <w:i/>
          <w:color w:val="auto"/>
          <w:sz w:val="23"/>
          <w:szCs w:val="23"/>
          <w:lang w:eastAsia="en-US"/>
        </w:rPr>
        <w:t>Un processo che richiederà tempo e soprattutto collaborazione tra pubblico-privato. In questo</w:t>
      </w:r>
      <w:r w:rsidRPr="00845F9F">
        <w:rPr>
          <w:rFonts w:asciiTheme="minorHAnsi" w:eastAsia="Calibri" w:hAnsiTheme="minorHAnsi" w:cstheme="minorHAnsi"/>
          <w:i/>
          <w:color w:val="auto"/>
          <w:sz w:val="23"/>
          <w:szCs w:val="23"/>
          <w:lang w:eastAsia="en-US"/>
        </w:rPr>
        <w:t xml:space="preserve"> </w:t>
      </w:r>
      <w:r w:rsidR="0004547E" w:rsidRPr="00845F9F">
        <w:rPr>
          <w:rFonts w:asciiTheme="minorHAnsi" w:eastAsia="Calibri" w:hAnsiTheme="minorHAnsi" w:cstheme="minorHAnsi"/>
          <w:i/>
          <w:color w:val="auto"/>
          <w:sz w:val="23"/>
          <w:szCs w:val="23"/>
          <w:lang w:eastAsia="en-US"/>
        </w:rPr>
        <w:t>contesto, la raccolta e lo smaltimento dei rifiuti, la manutenzione e l’implementazione delle</w:t>
      </w:r>
      <w:r w:rsidRPr="00845F9F">
        <w:rPr>
          <w:rFonts w:asciiTheme="minorHAnsi" w:eastAsia="Calibri" w:hAnsiTheme="minorHAnsi" w:cstheme="minorHAnsi"/>
          <w:i/>
          <w:color w:val="auto"/>
          <w:sz w:val="23"/>
          <w:szCs w:val="23"/>
          <w:lang w:eastAsia="en-US"/>
        </w:rPr>
        <w:t xml:space="preserve"> </w:t>
      </w:r>
      <w:r w:rsidR="0004547E" w:rsidRPr="00845F9F">
        <w:rPr>
          <w:rFonts w:asciiTheme="minorHAnsi" w:eastAsia="Calibri" w:hAnsiTheme="minorHAnsi" w:cstheme="minorHAnsi"/>
          <w:i/>
          <w:color w:val="auto"/>
          <w:sz w:val="23"/>
          <w:szCs w:val="23"/>
          <w:lang w:eastAsia="en-US"/>
        </w:rPr>
        <w:t>infrastrutture, la viabilità ed il trasporto pubblico sono tematiche fortemente sentite che influiscono</w:t>
      </w:r>
      <w:r w:rsidRPr="00845F9F">
        <w:rPr>
          <w:rFonts w:asciiTheme="minorHAnsi" w:eastAsia="Calibri" w:hAnsiTheme="minorHAnsi" w:cstheme="minorHAnsi"/>
          <w:i/>
          <w:color w:val="auto"/>
          <w:sz w:val="23"/>
          <w:szCs w:val="23"/>
          <w:lang w:eastAsia="en-US"/>
        </w:rPr>
        <w:t xml:space="preserve"> </w:t>
      </w:r>
      <w:r w:rsidR="0004547E" w:rsidRPr="00845F9F">
        <w:rPr>
          <w:rFonts w:asciiTheme="minorHAnsi" w:eastAsia="Calibri" w:hAnsiTheme="minorHAnsi" w:cstheme="minorHAnsi"/>
          <w:i/>
          <w:color w:val="auto"/>
          <w:sz w:val="23"/>
          <w:szCs w:val="23"/>
          <w:lang w:eastAsia="en-US"/>
        </w:rPr>
        <w:t>in maniera importante sulla percezione della qualità della vita in città e sui criteri che guidano la</w:t>
      </w:r>
      <w:r w:rsidRPr="00845F9F">
        <w:rPr>
          <w:rFonts w:asciiTheme="minorHAnsi" w:eastAsia="Calibri" w:hAnsiTheme="minorHAnsi" w:cstheme="minorHAnsi"/>
          <w:i/>
          <w:color w:val="auto"/>
          <w:sz w:val="23"/>
          <w:szCs w:val="23"/>
          <w:lang w:eastAsia="en-US"/>
        </w:rPr>
        <w:t xml:space="preserve"> </w:t>
      </w:r>
      <w:r w:rsidR="0004547E" w:rsidRPr="00845F9F">
        <w:rPr>
          <w:rFonts w:asciiTheme="minorHAnsi" w:eastAsia="Calibri" w:hAnsiTheme="minorHAnsi" w:cstheme="minorHAnsi"/>
          <w:i/>
          <w:color w:val="auto"/>
          <w:sz w:val="23"/>
          <w:szCs w:val="23"/>
          <w:lang w:eastAsia="en-US"/>
        </w:rPr>
        <w:t>ricerca della propria casa. Un fenomeno più evidente nelle aree periferiche, che non risparmia</w:t>
      </w:r>
      <w:r w:rsidRPr="00845F9F">
        <w:rPr>
          <w:rFonts w:asciiTheme="minorHAnsi" w:eastAsia="Calibri" w:hAnsiTheme="minorHAnsi" w:cstheme="minorHAnsi"/>
          <w:i/>
          <w:color w:val="auto"/>
          <w:sz w:val="23"/>
          <w:szCs w:val="23"/>
          <w:lang w:eastAsia="en-US"/>
        </w:rPr>
        <w:t xml:space="preserve"> </w:t>
      </w:r>
      <w:r w:rsidR="0004547E" w:rsidRPr="00845F9F">
        <w:rPr>
          <w:rFonts w:asciiTheme="minorHAnsi" w:eastAsia="Calibri" w:hAnsiTheme="minorHAnsi" w:cstheme="minorHAnsi"/>
          <w:i/>
          <w:color w:val="auto"/>
          <w:sz w:val="23"/>
          <w:szCs w:val="23"/>
          <w:lang w:eastAsia="en-US"/>
        </w:rPr>
        <w:t>nemmeno i quartieri di maggior pregio.</w:t>
      </w:r>
      <w:r w:rsidRPr="00845F9F">
        <w:rPr>
          <w:rFonts w:asciiTheme="minorHAnsi" w:eastAsia="Calibri" w:hAnsiTheme="minorHAnsi" w:cstheme="minorHAnsi"/>
          <w:i/>
          <w:color w:val="auto"/>
          <w:sz w:val="23"/>
          <w:szCs w:val="23"/>
          <w:lang w:eastAsia="en-US"/>
        </w:rPr>
        <w:t xml:space="preserve"> </w:t>
      </w:r>
      <w:r w:rsidR="0004547E" w:rsidRPr="00845F9F">
        <w:rPr>
          <w:rFonts w:asciiTheme="minorHAnsi" w:eastAsia="Calibri" w:hAnsiTheme="minorHAnsi" w:cstheme="minorHAnsi"/>
          <w:i/>
          <w:color w:val="auto"/>
          <w:sz w:val="23"/>
          <w:szCs w:val="23"/>
          <w:lang w:eastAsia="en-US"/>
        </w:rPr>
        <w:t>Proprio sullo sfondo di queste problematiche, si innesta una tendenza che si caratterizza per il</w:t>
      </w:r>
      <w:r>
        <w:rPr>
          <w:rFonts w:asciiTheme="minorHAnsi" w:eastAsia="Calibri" w:hAnsiTheme="minorHAnsi" w:cstheme="minorHAnsi"/>
          <w:i/>
          <w:color w:val="auto"/>
          <w:sz w:val="23"/>
          <w:szCs w:val="23"/>
          <w:lang w:eastAsia="en-US"/>
        </w:rPr>
        <w:t xml:space="preserve"> </w:t>
      </w:r>
      <w:r w:rsidR="0004547E" w:rsidRPr="00845F9F">
        <w:rPr>
          <w:rFonts w:asciiTheme="minorHAnsi" w:eastAsia="Calibri" w:hAnsiTheme="minorHAnsi" w:cstheme="minorHAnsi"/>
          <w:i/>
          <w:color w:val="auto"/>
          <w:sz w:val="23"/>
          <w:szCs w:val="23"/>
          <w:lang w:eastAsia="en-US"/>
        </w:rPr>
        <w:t>ritorno alle zone più centrali e più storiche della città. Con riferimento al mercato delle residenze</w:t>
      </w:r>
      <w:r w:rsidRPr="00845F9F">
        <w:rPr>
          <w:rFonts w:asciiTheme="minorHAnsi" w:eastAsia="Calibri" w:hAnsiTheme="minorHAnsi" w:cstheme="minorHAnsi"/>
          <w:i/>
          <w:color w:val="auto"/>
          <w:sz w:val="23"/>
          <w:szCs w:val="23"/>
          <w:lang w:eastAsia="en-US"/>
        </w:rPr>
        <w:t xml:space="preserve"> </w:t>
      </w:r>
      <w:r w:rsidR="0004547E" w:rsidRPr="00845F9F">
        <w:rPr>
          <w:rFonts w:asciiTheme="minorHAnsi" w:eastAsia="Calibri" w:hAnsiTheme="minorHAnsi" w:cstheme="minorHAnsi"/>
          <w:i/>
          <w:color w:val="auto"/>
          <w:sz w:val="23"/>
          <w:szCs w:val="23"/>
          <w:lang w:eastAsia="en-US"/>
        </w:rPr>
        <w:t>esclusive, la Capitale registra una richiesta significativa in acquisto, soprattutto nelle zone del Centro</w:t>
      </w:r>
      <w:r>
        <w:rPr>
          <w:rFonts w:asciiTheme="minorHAnsi" w:eastAsia="Calibri" w:hAnsiTheme="minorHAnsi" w:cstheme="minorHAnsi"/>
          <w:i/>
          <w:color w:val="auto"/>
          <w:sz w:val="23"/>
          <w:szCs w:val="23"/>
          <w:lang w:eastAsia="en-US"/>
        </w:rPr>
        <w:t xml:space="preserve"> </w:t>
      </w:r>
      <w:r w:rsidR="0004547E" w:rsidRPr="00845F9F">
        <w:rPr>
          <w:rFonts w:asciiTheme="minorHAnsi" w:eastAsia="Calibri" w:hAnsiTheme="minorHAnsi" w:cstheme="minorHAnsi"/>
          <w:i/>
          <w:color w:val="auto"/>
          <w:sz w:val="23"/>
          <w:szCs w:val="23"/>
          <w:lang w:eastAsia="en-US"/>
        </w:rPr>
        <w:t>Storico e dei Parioli, in zona Prati, Aventino e Salario Trieste</w:t>
      </w:r>
      <w:r w:rsidRPr="00845F9F">
        <w:rPr>
          <w:rFonts w:asciiTheme="minorHAnsi" w:eastAsia="Calibri" w:hAnsiTheme="minorHAnsi" w:cstheme="minorHAnsi"/>
          <w:i/>
          <w:color w:val="auto"/>
          <w:sz w:val="23"/>
          <w:szCs w:val="23"/>
          <w:lang w:eastAsia="en-US"/>
        </w:rPr>
        <w:t>”</w:t>
      </w:r>
      <w:r w:rsidR="0004547E" w:rsidRPr="00845F9F">
        <w:rPr>
          <w:rFonts w:asciiTheme="minorHAnsi" w:eastAsia="Calibri" w:hAnsiTheme="minorHAnsi" w:cstheme="minorHAnsi"/>
          <w:i/>
          <w:color w:val="auto"/>
          <w:sz w:val="23"/>
          <w:szCs w:val="23"/>
          <w:lang w:eastAsia="en-US"/>
        </w:rPr>
        <w:t>.</w:t>
      </w:r>
    </w:p>
    <w:p w:rsidR="0004547E" w:rsidRPr="00845F9F" w:rsidRDefault="0004547E" w:rsidP="00845F9F">
      <w:pPr>
        <w:pStyle w:val="p1"/>
        <w:jc w:val="both"/>
        <w:rPr>
          <w:rFonts w:asciiTheme="minorHAnsi" w:eastAsia="Calibri" w:hAnsiTheme="minorHAnsi" w:cstheme="minorHAnsi"/>
          <w:i/>
          <w:color w:val="auto"/>
          <w:sz w:val="23"/>
          <w:szCs w:val="23"/>
          <w:lang w:eastAsia="en-US"/>
        </w:rPr>
      </w:pPr>
    </w:p>
    <w:p w:rsidR="008F0150" w:rsidRPr="008F0150" w:rsidRDefault="008F0150" w:rsidP="008F0150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A Roma, nel corso dei primi sei mesi del 2019</w:t>
      </w:r>
      <w:r w:rsidR="0089176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,</w:t>
      </w:r>
      <w:r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la domanda è risultata stab</w:t>
      </w:r>
      <w:r w:rsidR="0089176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ile a</w:t>
      </w:r>
      <w:r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eccezione delle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zone di Prati e Trastevere dove si è registrato un lieve aumento. L’offerta in vendita è risultata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complessivamente stabile, con aumenti in Parioli, Prati e Salario -Trieste. Le </w:t>
      </w:r>
      <w:r w:rsidRPr="00891760">
        <w:rPr>
          <w:rFonts w:asciiTheme="minorHAnsi" w:eastAsia="Calibri" w:hAnsiTheme="minorHAnsi" w:cstheme="minorHAnsi"/>
          <w:b/>
          <w:color w:val="auto"/>
          <w:sz w:val="23"/>
          <w:szCs w:val="23"/>
          <w:lang w:eastAsia="en-US"/>
        </w:rPr>
        <w:t>compravendite</w:t>
      </w:r>
      <w:r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sono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state complessivamente stabili, così come i prezzi, che sono rimasti invariati in tutte le zone con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segnali di flessione delle quotazioni a Prati e Trastevere e di rialzo a Pinciano-Veneto.</w:t>
      </w:r>
    </w:p>
    <w:p w:rsidR="007E6205" w:rsidRPr="008F0150" w:rsidRDefault="007E6205" w:rsidP="008F0150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</w:p>
    <w:p w:rsidR="008F0150" w:rsidRPr="008F0150" w:rsidRDefault="00B72A2D" w:rsidP="008F0150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I</w:t>
      </w:r>
      <w:r w:rsidR="008F0150"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l comparto della </w:t>
      </w:r>
      <w:r w:rsidR="008F0150" w:rsidRPr="00891760">
        <w:rPr>
          <w:rFonts w:asciiTheme="minorHAnsi" w:eastAsia="Calibri" w:hAnsiTheme="minorHAnsi" w:cstheme="minorHAnsi"/>
          <w:b/>
          <w:color w:val="auto"/>
          <w:sz w:val="23"/>
          <w:szCs w:val="23"/>
          <w:lang w:eastAsia="en-US"/>
        </w:rPr>
        <w:t>locazione</w:t>
      </w:r>
      <w:r w:rsidR="008F0150"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ha registrato una sostanziale stabilità della domanda con una</w:t>
      </w:r>
      <w:r w:rsid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="008F0150"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crescita in Pinciano-Veneto e Salario-Trieste. L’offerta in locazione è risultata stabile in quasi tutte</w:t>
      </w:r>
      <w:r w:rsid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="008F0150"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le zone, eccezion fatta per i Parioli (in crescita) e il Centro Storico (in calo). L’attività contrattuale</w:t>
      </w:r>
      <w:r w:rsid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="008F0150"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è rimasta invariata in tutte le zone tranne per il Centro Storico in cui si è confermata la flessione</w:t>
      </w:r>
      <w:r w:rsid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="008F0150"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del semestre precedente, mentre in Salario-Trieste in aumento. I canoni di locazione sono risultati</w:t>
      </w:r>
      <w:r w:rsid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="008F0150"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complessivamente stabili (-0,1%), risultato di aumenti nelle zone di Aventino, Centro Storico, Parioli</w:t>
      </w:r>
      <w:r w:rsid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="008F0150"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e Salario Trieste e diminuzioni in Flaminio, Prati e Trastevere.</w:t>
      </w:r>
    </w:p>
    <w:p w:rsidR="008F0150" w:rsidRDefault="008F0150" w:rsidP="008F0150">
      <w:pPr>
        <w:spacing w:line="320" w:lineRule="atLeast"/>
        <w:jc w:val="both"/>
        <w:rPr>
          <w:rFonts w:eastAsia="Calibri" w:cstheme="minorHAnsi"/>
        </w:rPr>
      </w:pPr>
    </w:p>
    <w:p w:rsidR="00891760" w:rsidRDefault="00891760" w:rsidP="008F0150">
      <w:pPr>
        <w:spacing w:line="320" w:lineRule="atLeast"/>
        <w:jc w:val="both"/>
        <w:rPr>
          <w:rFonts w:eastAsia="Calibri" w:cstheme="minorHAnsi"/>
        </w:rPr>
      </w:pPr>
    </w:p>
    <w:p w:rsidR="001D118B" w:rsidRDefault="001D118B" w:rsidP="008F0150">
      <w:pPr>
        <w:jc w:val="both"/>
        <w:rPr>
          <w:rFonts w:eastAsia="Calibri" w:cstheme="minorHAnsi"/>
          <w:b/>
          <w:bCs/>
          <w:color w:val="B20933"/>
          <w:sz w:val="28"/>
          <w:lang w:eastAsia="it-IT"/>
        </w:rPr>
      </w:pPr>
    </w:p>
    <w:p w:rsidR="001D118B" w:rsidRDefault="00105E95" w:rsidP="008F0150">
      <w:pPr>
        <w:jc w:val="both"/>
        <w:rPr>
          <w:rFonts w:eastAsia="Calibri" w:cstheme="minorHAnsi"/>
          <w:b/>
          <w:bCs/>
          <w:color w:val="B20933"/>
          <w:sz w:val="28"/>
          <w:lang w:eastAsia="it-IT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5440499" cy="850739"/>
            <wp:effectExtent l="0" t="0" r="0" b="6985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l="-78" t="1263" r="-90" b="-1263"/>
                    <a:stretch/>
                  </pic:blipFill>
                  <pic:spPr bwMode="auto">
                    <a:xfrm>
                      <a:off x="0" y="0"/>
                      <a:ext cx="5464303" cy="854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D118B" w:rsidRDefault="00105E95" w:rsidP="008F0150">
      <w:pPr>
        <w:jc w:val="both"/>
        <w:rPr>
          <w:rFonts w:eastAsia="Calibri" w:cstheme="minorHAnsi"/>
          <w:b/>
          <w:bCs/>
          <w:color w:val="B20933"/>
          <w:sz w:val="2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5431366" cy="1883095"/>
            <wp:effectExtent l="0" t="0" r="0" b="317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/>
                    <a:srcRect t="3473"/>
                    <a:stretch/>
                  </pic:blipFill>
                  <pic:spPr bwMode="auto">
                    <a:xfrm>
                      <a:off x="0" y="0"/>
                      <a:ext cx="5432400" cy="1883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05E95" w:rsidRDefault="00105E95" w:rsidP="008F0150">
      <w:pPr>
        <w:jc w:val="both"/>
        <w:rPr>
          <w:rFonts w:eastAsia="Calibri" w:cstheme="minorHAnsi"/>
          <w:b/>
          <w:bCs/>
          <w:color w:val="B20933"/>
          <w:sz w:val="2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5566833" cy="827294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/>
                    <a:srcRect b="4925"/>
                    <a:stretch/>
                  </pic:blipFill>
                  <pic:spPr bwMode="auto">
                    <a:xfrm>
                      <a:off x="0" y="0"/>
                      <a:ext cx="5573524" cy="828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D118B" w:rsidRDefault="00105E95" w:rsidP="008F0150">
      <w:pPr>
        <w:jc w:val="both"/>
        <w:rPr>
          <w:rFonts w:eastAsia="Calibri" w:cstheme="minorHAnsi"/>
          <w:b/>
          <w:bCs/>
          <w:color w:val="B20933"/>
          <w:sz w:val="2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5565600" cy="192960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5600" cy="19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541" w:rsidRDefault="00973541" w:rsidP="008F0150">
      <w:pPr>
        <w:jc w:val="both"/>
        <w:rPr>
          <w:rFonts w:eastAsia="Calibri" w:cstheme="minorHAnsi"/>
          <w:b/>
          <w:bCs/>
          <w:color w:val="B20933"/>
          <w:sz w:val="28"/>
          <w:lang w:eastAsia="it-IT"/>
        </w:rPr>
      </w:pPr>
    </w:p>
    <w:p w:rsidR="008F0150" w:rsidRPr="008F0150" w:rsidRDefault="00891760" w:rsidP="008F0150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R</w:t>
      </w:r>
      <w:r w:rsidR="008F0150"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ispetto al secondo semestre del 2018, ci sono state alcune variazioni di prezzo. Nelle zone</w:t>
      </w:r>
      <w:r w:rsid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="008F0150"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di pregio considerate, si sono rilevate quotazioni in lieve diminuzione (-0,4%).</w:t>
      </w:r>
      <w:r w:rsid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="008F0150"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Il divario medio tra prezzo richiesto e prezzo effettivo, per immob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ili usati, è stato pari al 13%. </w:t>
      </w:r>
      <w:r w:rsidR="008F0150"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I tempi medi di vendita</w:t>
      </w:r>
      <w:r w:rsid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="008F0150"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variano invece da un minimo di 7 a un massimo di 11 mesi. Nelle zone di Aventino, Pinciano-Veneto,</w:t>
      </w:r>
      <w:r w:rsid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="008F0150"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Prati, Salario -Trieste e Trastevere è stato possibile concludere una trattativa in un arco temporale a</w:t>
      </w:r>
      <w:r w:rsid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="008F0150"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partire dai 6 mesi, mentre nelle altre zone si sono registrati tempi medi di vendita dagli otto mesi</w:t>
      </w:r>
      <w:r w:rsid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="008F0150"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in su</w:t>
      </w:r>
      <w:r w:rsid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.</w:t>
      </w:r>
    </w:p>
    <w:p w:rsidR="008F0150" w:rsidRPr="008F0150" w:rsidRDefault="008F0150" w:rsidP="00A1752F">
      <w:pPr>
        <w:jc w:val="both"/>
        <w:rPr>
          <w:rFonts w:eastAsia="Calibri" w:cstheme="minorHAnsi"/>
          <w:sz w:val="23"/>
          <w:szCs w:val="23"/>
        </w:rPr>
      </w:pPr>
    </w:p>
    <w:p w:rsidR="008F0150" w:rsidRDefault="008F0150" w:rsidP="009F3DDC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Per il segmento delle locazioni, i canoni hanno mostrato una variazione complessiva del -0,1%,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frutto di andamenti differenziati nelle varie zone. Lo sconto in sede di chiusura della trattativa si è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attestato mediamente intorno all’8%, in un range tra il 5% nelle zone di maggior appeal e il 10%. I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tempi medi di locazione si sono confermati stabili, attestandosi sui 2-3 mesi.</w:t>
      </w:r>
      <w:r w:rsidR="0089176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A</w:t>
      </w:r>
      <w:r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Roma il 65% della domanda si è orientata all’acquisto e il restante 35% </w:t>
      </w:r>
      <w:r w:rsidR="002F1C95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alla locazione.</w:t>
      </w:r>
    </w:p>
    <w:p w:rsidR="001D118B" w:rsidRDefault="001D118B" w:rsidP="009F3DDC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</w:p>
    <w:p w:rsidR="008F0150" w:rsidRPr="002F1C95" w:rsidRDefault="001D118B" w:rsidP="009F3DDC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S</w:t>
      </w:r>
      <w:r w:rsidR="008F0150"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i è confermata la prevalenza di clienti interessati ad immobili usati (circa il 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55%</w:t>
      </w:r>
      <w:r w:rsidR="008F0150"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). Per il mercato della locazione, le nuove residenze pesano il</w:t>
      </w:r>
      <w:r w:rsidR="002F1C95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="008F0150"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70% delle richieste in locazione.</w:t>
      </w:r>
      <w:r w:rsidR="009F3DDC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="008F0150"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A Roma la componente di investimento è rimasta stabile</w:t>
      </w:r>
      <w:r w:rsidR="002F1C95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="008F0150"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attestandosi al 25%. La quota maggiore di compravendite è rimasta, comunque, legata al mercato</w:t>
      </w:r>
      <w:r w:rsidR="002F1C95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="008F0150"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della sostituzione (50%) e solo in parte all’acquisto della prima casa </w:t>
      </w:r>
      <w:r w:rsidR="008F0150"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lastRenderedPageBreak/>
        <w:t>(25%).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="008F0150" w:rsidRPr="008F015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La percentuale di stranieri che ha scelto la città come location per comprare </w:t>
      </w:r>
      <w:r w:rsidR="0089176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o affittare casa </w:t>
      </w:r>
      <w:r w:rsidR="008F0150" w:rsidRPr="002F1C95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è stata pari al 5%, </w:t>
      </w:r>
      <w:r w:rsidR="00891760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rimanendo una </w:t>
      </w:r>
      <w:r w:rsidR="008F0150" w:rsidRPr="002F1C95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meta preferita generalmente da acquirenti statunitensi. Sempre a Roma, circa nel 35% dei casi, i</w:t>
      </w:r>
      <w:r w:rsidR="009F3DDC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="008F0150" w:rsidRPr="002F1C95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locatari sono di origine Nord-Europea e Sud-Americana.</w:t>
      </w:r>
    </w:p>
    <w:p w:rsidR="008F0150" w:rsidRPr="002F1C95" w:rsidRDefault="008F0150" w:rsidP="002F1C95">
      <w:pPr>
        <w:pStyle w:val="p1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</w:p>
    <w:p w:rsidR="00BE55D6" w:rsidRDefault="00BE55D6" w:rsidP="00A1752F">
      <w:pPr>
        <w:jc w:val="both"/>
        <w:rPr>
          <w:rFonts w:eastAsia="Calibri" w:cstheme="minorHAnsi"/>
        </w:rPr>
      </w:pPr>
    </w:p>
    <w:p w:rsidR="001D118B" w:rsidRDefault="001D118B" w:rsidP="00E80198">
      <w:pPr>
        <w:jc w:val="center"/>
        <w:rPr>
          <w:b/>
          <w:color w:val="C00000"/>
        </w:rPr>
      </w:pPr>
    </w:p>
    <w:p w:rsidR="007C0A69" w:rsidRPr="009717AE" w:rsidRDefault="007C0A69" w:rsidP="00C81E8B">
      <w:pPr>
        <w:pStyle w:val="Corpodeltesto31"/>
        <w:spacing w:line="320" w:lineRule="atLeast"/>
        <w:jc w:val="both"/>
        <w:rPr>
          <w:rFonts w:asciiTheme="minorHAnsi" w:eastAsia="Calibri" w:hAnsiTheme="minorHAnsi" w:cs="Times New Roman"/>
          <w:b/>
          <w:color w:val="000000" w:themeColor="text1"/>
          <w:sz w:val="24"/>
          <w:szCs w:val="24"/>
          <w:lang w:eastAsia="en-US"/>
        </w:rPr>
      </w:pPr>
    </w:p>
    <w:p w:rsidR="00785434" w:rsidRPr="001D118B" w:rsidRDefault="001D118B" w:rsidP="001D118B">
      <w:pPr>
        <w:pStyle w:val="Corpodeltesto31"/>
        <w:spacing w:line="320" w:lineRule="atLeast"/>
        <w:jc w:val="center"/>
        <w:rPr>
          <w:rFonts w:asciiTheme="minorHAnsi" w:eastAsia="Calibri" w:hAnsiTheme="minorHAnsi" w:cs="Times New Roman"/>
          <w:b/>
          <w:color w:val="C00000"/>
          <w:sz w:val="24"/>
          <w:szCs w:val="24"/>
          <w:lang w:eastAsia="en-US"/>
        </w:rPr>
      </w:pPr>
      <w:r w:rsidRPr="001D118B">
        <w:rPr>
          <w:rFonts w:asciiTheme="minorHAnsi" w:eastAsia="Calibri" w:hAnsiTheme="minorHAnsi" w:cs="Times New Roman"/>
          <w:b/>
          <w:color w:val="C00000"/>
          <w:sz w:val="24"/>
          <w:szCs w:val="24"/>
          <w:lang w:eastAsia="en-US"/>
        </w:rPr>
        <w:t>ANALISI QUALITATIVA</w:t>
      </w:r>
    </w:p>
    <w:p w:rsidR="001D118B" w:rsidRPr="001D118B" w:rsidRDefault="001D118B" w:rsidP="001D118B">
      <w:pPr>
        <w:pStyle w:val="Corpodeltesto31"/>
        <w:spacing w:line="320" w:lineRule="atLeast"/>
        <w:jc w:val="center"/>
        <w:rPr>
          <w:rFonts w:asciiTheme="minorHAnsi" w:eastAsia="Calibri" w:hAnsiTheme="minorHAnsi" w:cs="Times New Roman"/>
          <w:b/>
          <w:color w:val="C00000"/>
          <w:sz w:val="24"/>
          <w:szCs w:val="24"/>
          <w:lang w:eastAsia="en-US"/>
        </w:rPr>
      </w:pPr>
      <w:r w:rsidRPr="001D118B">
        <w:rPr>
          <w:rFonts w:asciiTheme="minorHAnsi" w:eastAsia="Calibri" w:hAnsiTheme="minorHAnsi" w:cs="Times New Roman"/>
          <w:b/>
          <w:color w:val="C00000"/>
          <w:sz w:val="24"/>
          <w:szCs w:val="24"/>
          <w:lang w:eastAsia="en-US"/>
        </w:rPr>
        <w:t>GLI IMMOBILI DI PREGIO NEL CONTESTO ROMANO</w:t>
      </w:r>
    </w:p>
    <w:p w:rsidR="001D118B" w:rsidRDefault="001D118B" w:rsidP="006A0839">
      <w:pPr>
        <w:spacing w:line="320" w:lineRule="atLeast"/>
        <w:jc w:val="both"/>
        <w:rPr>
          <w:rFonts w:eastAsia="Calibri" w:cstheme="minorHAnsi"/>
        </w:rPr>
      </w:pPr>
    </w:p>
    <w:p w:rsidR="00785434" w:rsidRDefault="00785434" w:rsidP="00785434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 w:rsidRPr="0045755B">
        <w:rPr>
          <w:rFonts w:asciiTheme="minorHAnsi" w:eastAsia="Calibri" w:hAnsiTheme="minorHAnsi" w:cstheme="minorHAnsi"/>
          <w:b/>
          <w:color w:val="auto"/>
          <w:sz w:val="23"/>
          <w:szCs w:val="23"/>
          <w:lang w:eastAsia="en-US"/>
        </w:rPr>
        <w:t>BVA Doxa</w:t>
      </w:r>
      <w:r w:rsidRPr="00785434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ha realizzato, con Santandrea,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785434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un approfondimento sul contesto romano, mirat</w:t>
      </w:r>
      <w:r w:rsidR="00105E95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o</w:t>
      </w:r>
      <w:r w:rsidRPr="00785434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ad investigare gli insight più rilevanti che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785434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caratterizzano l’abitare di oggi e di domani.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</w:p>
    <w:p w:rsidR="00785434" w:rsidRDefault="00785434" w:rsidP="00785434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</w:p>
    <w:p w:rsidR="00785434" w:rsidRPr="00785434" w:rsidRDefault="00785434" w:rsidP="00785434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 w:rsidRPr="00785434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Nonostante il ricco portato culturale e architettonico della città, il racconto su Roma è impregnato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785434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di rammarico e preoccupazione per le situazioni di degrado che caratterizza la città. Un fenomeno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785434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più evidente nelle aree periferiche, ma che non risparmia nemmeno i quartieri di maggior pregio.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</w:p>
    <w:p w:rsidR="00785434" w:rsidRPr="00785434" w:rsidRDefault="00785434" w:rsidP="00785434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</w:p>
    <w:p w:rsidR="00A80E1C" w:rsidRPr="00A80E1C" w:rsidRDefault="00A80E1C" w:rsidP="00A80E1C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 w:rsidRPr="00A80E1C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Proprio sullo sfondo di queste problematiche, si innesta una tendenza evidenziata trasversalmente</w:t>
      </w:r>
      <w:r w:rsidR="00423559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A80E1C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al campione: </w:t>
      </w:r>
      <w:r w:rsidRPr="0045755B">
        <w:rPr>
          <w:rFonts w:asciiTheme="minorHAnsi" w:eastAsia="Calibri" w:hAnsiTheme="minorHAnsi" w:cstheme="minorHAnsi"/>
          <w:b/>
          <w:color w:val="auto"/>
          <w:sz w:val="23"/>
          <w:szCs w:val="23"/>
          <w:lang w:eastAsia="en-US"/>
        </w:rPr>
        <w:t>il ritorno alle zone più centrali</w:t>
      </w:r>
      <w:r w:rsidRPr="00A80E1C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.</w:t>
      </w:r>
    </w:p>
    <w:p w:rsidR="00A80E1C" w:rsidRPr="00A80E1C" w:rsidRDefault="00A80E1C" w:rsidP="00A80E1C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 w:rsidRPr="00A80E1C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Se in passato si è manifestata una migrazione verso aree più periferiche, alla ricerca di uno stile di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A80E1C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vita meno caotico, frenetico, più a «misura d’uomo», oggi la tendenza si inverte.</w:t>
      </w:r>
    </w:p>
    <w:p w:rsidR="00A80E1C" w:rsidRDefault="00A80E1C" w:rsidP="00A80E1C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 w:rsidRPr="00A80E1C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La valorizzazione delle periferie tanto auspicata non si è realizzata</w:t>
      </w:r>
      <w:r w:rsidR="001D118B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e o</w:t>
      </w:r>
      <w:r w:rsidRPr="00A80E1C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ggi si evidenzia una tendenza «centripeta» che porta ad un ritorno all’interno del centro città</w:t>
      </w:r>
      <w:r w:rsidR="00423559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A80E1C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(quartieri centrali, semi centrali o dentro il raccordo anulare).</w:t>
      </w:r>
    </w:p>
    <w:p w:rsidR="00423559" w:rsidRPr="00A80E1C" w:rsidRDefault="00423559" w:rsidP="00A80E1C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</w:p>
    <w:p w:rsidR="00A80E1C" w:rsidRPr="00A80E1C" w:rsidRDefault="00A80E1C" w:rsidP="00A80E1C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 w:rsidRPr="00A80E1C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Tale fenomeno è supportato da:</w:t>
      </w:r>
    </w:p>
    <w:p w:rsidR="00A80E1C" w:rsidRPr="00A80E1C" w:rsidRDefault="00A80E1C" w:rsidP="00A80E1C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 w:rsidRPr="00A80E1C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• abbassamento dei prezzi degli immobili siti in queste aree rispetto al passato</w:t>
      </w:r>
    </w:p>
    <w:p w:rsidR="00A80E1C" w:rsidRPr="00A80E1C" w:rsidRDefault="00A80E1C" w:rsidP="00A80E1C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 w:rsidRPr="00A80E1C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• insoddisfazione verso i servizi offerti al di fuori delle zone centrali</w:t>
      </w:r>
    </w:p>
    <w:p w:rsidR="00A80E1C" w:rsidRPr="00A80E1C" w:rsidRDefault="00A80E1C" w:rsidP="00A80E1C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 w:rsidRPr="00A80E1C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• ricerca di un miglioramento nella qualità della vita in termini di salubrità e sicurezza del contesto</w:t>
      </w:r>
    </w:p>
    <w:p w:rsidR="00A80E1C" w:rsidRPr="00A80E1C" w:rsidRDefault="00A80E1C" w:rsidP="00A80E1C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 w:rsidRPr="00A80E1C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in cui si vive</w:t>
      </w:r>
    </w:p>
    <w:p w:rsidR="00785434" w:rsidRPr="00785434" w:rsidRDefault="00785434" w:rsidP="00A80E1C">
      <w:pPr>
        <w:spacing w:line="320" w:lineRule="atLeast"/>
        <w:jc w:val="both"/>
        <w:rPr>
          <w:rFonts w:eastAsia="Calibri" w:cstheme="minorHAnsi"/>
          <w:sz w:val="23"/>
          <w:szCs w:val="23"/>
        </w:rPr>
      </w:pPr>
    </w:p>
    <w:p w:rsidR="00423559" w:rsidRPr="00423559" w:rsidRDefault="00423559" w:rsidP="00423559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 w:rsidRPr="00423559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Emerge una particolare </w:t>
      </w:r>
      <w:r w:rsidRPr="00F3660A">
        <w:rPr>
          <w:rFonts w:asciiTheme="minorHAnsi" w:eastAsia="Calibri" w:hAnsiTheme="minorHAnsi" w:cstheme="minorHAnsi"/>
          <w:b/>
          <w:color w:val="auto"/>
          <w:sz w:val="23"/>
          <w:szCs w:val="23"/>
          <w:lang w:eastAsia="en-US"/>
        </w:rPr>
        <w:t>attenzione per gli immobili riqualificati</w:t>
      </w:r>
      <w:r w:rsidRPr="00423559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, ovvero tutte quelle unità abitative</w:t>
      </w:r>
      <w:r w:rsidR="00B2622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423559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ristrutturate che offrono un buon compromesso tra costruzioni adeguate da un punto di vista</w:t>
      </w:r>
      <w:r w:rsidR="00B2622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="00F3660A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architettonico e</w:t>
      </w:r>
      <w:r w:rsidRPr="00423559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impiantistico e zone meglio servite e curate, che permettono una qualità della</w:t>
      </w:r>
      <w:r w:rsidR="00B2622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423559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vita soddisfacente.</w:t>
      </w:r>
      <w:r w:rsidR="00B2622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423559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La ristrutturazione sembra, inoltre, offrire una maggiore possibilità di personalizzazione della</w:t>
      </w:r>
      <w:r w:rsidR="00B2622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423559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metratura. Le case di «taglio medio» risultano poco diffuse a Roma e la riqualificazione offre la</w:t>
      </w:r>
      <w:r w:rsidR="00B2622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423559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possibilità di rimodulare le superfici abitative con il frazionamento delle vecchie unità.</w:t>
      </w:r>
    </w:p>
    <w:p w:rsidR="00B26226" w:rsidRDefault="00B26226" w:rsidP="00423559">
      <w:pPr>
        <w:pStyle w:val="p1"/>
        <w:jc w:val="both"/>
        <w:rPr>
          <w:rFonts w:asciiTheme="minorHAnsi" w:eastAsia="Calibri" w:hAnsiTheme="minorHAnsi" w:cstheme="minorHAnsi"/>
          <w:b/>
          <w:color w:val="auto"/>
          <w:sz w:val="23"/>
          <w:szCs w:val="23"/>
          <w:lang w:eastAsia="en-US"/>
        </w:rPr>
      </w:pPr>
    </w:p>
    <w:p w:rsidR="006A0839" w:rsidRPr="00B26226" w:rsidRDefault="00423559" w:rsidP="00B26226">
      <w:pPr>
        <w:pStyle w:val="p1"/>
        <w:jc w:val="both"/>
        <w:rPr>
          <w:rFonts w:asciiTheme="minorHAnsi" w:eastAsia="Calibri" w:hAnsiTheme="minorHAnsi" w:cstheme="minorHAnsi"/>
          <w:b/>
          <w:color w:val="auto"/>
          <w:sz w:val="23"/>
          <w:szCs w:val="23"/>
          <w:lang w:eastAsia="en-US"/>
        </w:rPr>
      </w:pPr>
      <w:r w:rsidRPr="00F3660A">
        <w:rPr>
          <w:rFonts w:asciiTheme="minorHAnsi" w:eastAsia="Calibri" w:hAnsiTheme="minorHAnsi" w:cstheme="minorHAnsi"/>
          <w:b/>
          <w:color w:val="auto"/>
          <w:sz w:val="23"/>
          <w:szCs w:val="23"/>
          <w:lang w:eastAsia="en-US"/>
        </w:rPr>
        <w:t>L’usato riqualificato sembra quindi maggiormente considerato nella ricerca della casa, funziona</w:t>
      </w:r>
      <w:r w:rsidR="00B26226">
        <w:rPr>
          <w:rFonts w:asciiTheme="minorHAnsi" w:eastAsia="Calibri" w:hAnsiTheme="minorHAnsi" w:cstheme="minorHAnsi"/>
          <w:b/>
          <w:color w:val="auto"/>
          <w:sz w:val="23"/>
          <w:szCs w:val="23"/>
          <w:lang w:eastAsia="en-US"/>
        </w:rPr>
        <w:t xml:space="preserve"> </w:t>
      </w:r>
      <w:r w:rsidRPr="00F3660A">
        <w:rPr>
          <w:rFonts w:asciiTheme="minorHAnsi" w:eastAsia="Calibri" w:hAnsiTheme="minorHAnsi" w:cstheme="minorHAnsi"/>
          <w:b/>
          <w:color w:val="auto"/>
          <w:sz w:val="23"/>
          <w:szCs w:val="23"/>
          <w:lang w:eastAsia="en-US"/>
        </w:rPr>
        <w:t>meglio e ha prezzi concorrenziali.</w:t>
      </w:r>
      <w:r w:rsidR="00B26226">
        <w:rPr>
          <w:rFonts w:asciiTheme="minorHAnsi" w:eastAsia="Calibri" w:hAnsiTheme="minorHAnsi" w:cstheme="minorHAnsi"/>
          <w:b/>
          <w:color w:val="auto"/>
          <w:sz w:val="23"/>
          <w:szCs w:val="23"/>
          <w:lang w:eastAsia="en-US"/>
        </w:rPr>
        <w:t xml:space="preserve"> </w:t>
      </w:r>
      <w:r w:rsidRPr="00423559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Le nuove costruzioni risultano appetibili quando sono case moderne e funzionali, che si distinguono</w:t>
      </w:r>
      <w:r w:rsidR="00B26226">
        <w:rPr>
          <w:rFonts w:asciiTheme="minorHAnsi" w:eastAsia="Calibri" w:hAnsiTheme="minorHAnsi" w:cstheme="minorHAnsi"/>
          <w:b/>
          <w:color w:val="auto"/>
          <w:sz w:val="23"/>
          <w:szCs w:val="23"/>
          <w:lang w:eastAsia="en-US"/>
        </w:rPr>
        <w:t xml:space="preserve"> </w:t>
      </w:r>
      <w:r w:rsidRPr="00423559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all’interno della storicità del quartiere, grazie alla fruibilità degli spazi comuni, la tecnologia e la</w:t>
      </w:r>
      <w:r w:rsidR="00B26226">
        <w:rPr>
          <w:rFonts w:asciiTheme="minorHAnsi" w:eastAsia="Calibri" w:hAnsiTheme="minorHAnsi" w:cstheme="minorHAnsi"/>
          <w:b/>
          <w:color w:val="auto"/>
          <w:sz w:val="23"/>
          <w:szCs w:val="23"/>
          <w:lang w:eastAsia="en-US"/>
        </w:rPr>
        <w:t xml:space="preserve"> </w:t>
      </w:r>
      <w:r w:rsidRPr="00423559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luminosità. Si tratta di una tipologia in salita se l’immobile è improntato all’efficienza energetica, è</w:t>
      </w:r>
      <w:r w:rsidR="00B26226">
        <w:rPr>
          <w:rFonts w:asciiTheme="minorHAnsi" w:eastAsia="Calibri" w:hAnsiTheme="minorHAnsi" w:cstheme="minorHAnsi"/>
          <w:b/>
          <w:color w:val="auto"/>
          <w:sz w:val="23"/>
          <w:szCs w:val="23"/>
          <w:lang w:eastAsia="en-US"/>
        </w:rPr>
        <w:t xml:space="preserve"> </w:t>
      </w:r>
      <w:r w:rsidRPr="00423559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green/ecologico e risponde ai nuovi stili di vita dell’abitare</w:t>
      </w:r>
      <w:r w:rsidR="00F3660A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.</w:t>
      </w:r>
    </w:p>
    <w:p w:rsidR="00423559" w:rsidRDefault="00F3660A" w:rsidP="00F3660A">
      <w:pPr>
        <w:adjustRightInd w:val="0"/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noProof/>
          <w:color w:val="000000"/>
          <w:sz w:val="20"/>
          <w:szCs w:val="20"/>
          <w:lang w:eastAsia="it-IT"/>
        </w:rPr>
        <w:lastRenderedPageBreak/>
        <w:drawing>
          <wp:inline distT="0" distB="0" distL="0" distR="0">
            <wp:extent cx="5404121" cy="2914147"/>
            <wp:effectExtent l="0" t="0" r="6350" b="6985"/>
            <wp:docPr id="12" name="Immagine 12" descr="Schermata%202019-09-24%20alle%2015.35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hermata%202019-09-24%20alle%2015.35.1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845" cy="292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59" w:rsidRDefault="00423559" w:rsidP="00DF7B6B">
      <w:pPr>
        <w:adjustRightInd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423559" w:rsidRDefault="00423559" w:rsidP="00DF7B6B">
      <w:pPr>
        <w:adjustRightInd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F3660A" w:rsidRPr="00F3660A" w:rsidRDefault="00F3660A" w:rsidP="00F3660A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 w:rsidRPr="00F3660A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Il contesto in cui è inserito l’immobile assume un ruolo molto rilevante poiché influisce sulla qualità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F3660A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della vita.</w:t>
      </w:r>
    </w:p>
    <w:p w:rsidR="00F3660A" w:rsidRPr="00F3660A" w:rsidRDefault="00F3660A" w:rsidP="00F3660A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 w:rsidRPr="00F3660A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Si è più disponibili a rinunciare ad alcuni aspetti pur di avere uno stile di vita più sereno e di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F3660A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qualità. Si inizia a considerare una casa di dimensioni inferiori, ma più funzionale, che consenta di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F3660A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vivere in un contesto centrale e ben servito.</w:t>
      </w:r>
    </w:p>
    <w:p w:rsidR="00F3660A" w:rsidRDefault="00F3660A" w:rsidP="00F3660A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 w:rsidRPr="00F3660A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Si cerca un quartiere fornito di tutti i servizi e le commodities necessarie, una «piccola città all’interno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F3660A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della metropoli». Rilevante la presenza di negozi, scuole, palestre, parcheggi e di una mobilità,</w:t>
      </w:r>
      <w:r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F3660A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facilitata grazie alla presenza delle linee metropolitane, che collegano facilmente tutta la città.</w:t>
      </w:r>
    </w:p>
    <w:p w:rsidR="00B719FE" w:rsidRDefault="00B719FE" w:rsidP="000A14E2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</w:p>
    <w:p w:rsidR="00942AD6" w:rsidRDefault="00942AD6" w:rsidP="000A14E2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 w:rsidRPr="00942AD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Nella maggior parte dei casi si tratta di caratteristiche proprie degli immobili in particolare, la</w:t>
      </w:r>
      <w:r w:rsidR="00784A72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0A14E2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zona, la luminosità, il piano alto e il terrazzo sembrano costituire «conditio sine qua non»</w:t>
      </w:r>
      <w:r w:rsidR="00784A72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. </w:t>
      </w:r>
      <w:r w:rsidRPr="000A14E2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Alcuni aspetti hanno invece più a che fare con lo stile dell’immobile, richiamando in causa la</w:t>
      </w:r>
      <w:r w:rsidR="00784A72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0A14E2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macro-distinzione immobile d’epoca vs. nuovo.</w:t>
      </w:r>
    </w:p>
    <w:p w:rsidR="00B719FE" w:rsidRDefault="00F45086" w:rsidP="00F45086">
      <w:pPr>
        <w:pStyle w:val="p1"/>
        <w:jc w:val="center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>
        <w:rPr>
          <w:rFonts w:ascii="Arial" w:hAnsi="Arial" w:cs="Arial"/>
          <w:b/>
          <w:bCs/>
          <w:iCs/>
          <w:noProof/>
          <w:color w:val="000000"/>
          <w:sz w:val="20"/>
          <w:szCs w:val="20"/>
        </w:rPr>
        <w:drawing>
          <wp:inline distT="0" distB="0" distL="0" distR="0">
            <wp:extent cx="4250591" cy="2948893"/>
            <wp:effectExtent l="0" t="0" r="0" b="0"/>
            <wp:docPr id="13" name="Immagine 13" descr="Schermata%202019-09-24%20alle%2015.47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hermata%202019-09-24%20alle%2015.47.2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548" cy="298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9FE" w:rsidRDefault="00B719FE" w:rsidP="00B719FE">
      <w:pPr>
        <w:pStyle w:val="p1"/>
        <w:jc w:val="center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</w:p>
    <w:p w:rsidR="00B719FE" w:rsidRDefault="00B719FE" w:rsidP="000A14E2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</w:p>
    <w:p w:rsidR="00B719FE" w:rsidRPr="004337FC" w:rsidRDefault="005F7CE6" w:rsidP="005F7CE6">
      <w:pPr>
        <w:jc w:val="both"/>
        <w:rPr>
          <w:rFonts w:eastAsia="Calibri" w:cstheme="minorHAnsi"/>
          <w:b/>
          <w:color w:val="C00000"/>
        </w:rPr>
      </w:pPr>
      <w:r w:rsidRPr="004337FC">
        <w:rPr>
          <w:rFonts w:eastAsia="Calibri" w:cstheme="minorHAnsi"/>
          <w:b/>
          <w:color w:val="C00000"/>
        </w:rPr>
        <w:t xml:space="preserve">CARATTERISTICHE IMPRESCINDIBILI </w:t>
      </w:r>
    </w:p>
    <w:p w:rsidR="00942AD6" w:rsidRPr="004337FC" w:rsidRDefault="00942AD6" w:rsidP="00F3660A">
      <w:pPr>
        <w:pStyle w:val="p1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</w:pPr>
    </w:p>
    <w:p w:rsidR="000A14E2" w:rsidRPr="000A14E2" w:rsidRDefault="000A14E2" w:rsidP="005F7CE6">
      <w:pPr>
        <w:pStyle w:val="p1"/>
        <w:jc w:val="both"/>
        <w:rPr>
          <w:rFonts w:asciiTheme="minorHAnsi" w:eastAsia="Calibri" w:hAnsiTheme="minorHAnsi" w:cstheme="minorHAnsi"/>
          <w:b/>
          <w:color w:val="C00000"/>
          <w:sz w:val="20"/>
          <w:szCs w:val="20"/>
          <w:lang w:eastAsia="en-US"/>
        </w:rPr>
      </w:pPr>
      <w:r w:rsidRPr="000A14E2">
        <w:rPr>
          <w:rFonts w:asciiTheme="minorHAnsi" w:eastAsia="Calibri" w:hAnsiTheme="minorHAnsi" w:cstheme="minorHAnsi"/>
          <w:b/>
          <w:color w:val="C00000"/>
          <w:sz w:val="20"/>
          <w:szCs w:val="20"/>
          <w:lang w:eastAsia="en-US"/>
        </w:rPr>
        <w:t>LA ZONA</w:t>
      </w:r>
    </w:p>
    <w:p w:rsidR="000A14E2" w:rsidRPr="000A14E2" w:rsidRDefault="000A14E2" w:rsidP="005F7CE6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 w:rsidRPr="000A14E2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La zona dell’immobile di lusso è la zona centrale e più storica della città, con tutti i</w:t>
      </w:r>
      <w:r w:rsidR="005F7CE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0A14E2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servizi a portata di mano e con una mig</w:t>
      </w:r>
      <w:r w:rsidR="005F7CE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liore manutenzione degli spazi:</w:t>
      </w:r>
    </w:p>
    <w:p w:rsidR="000A14E2" w:rsidRPr="000A14E2" w:rsidRDefault="000A14E2" w:rsidP="005F7CE6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 w:rsidRPr="000A14E2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• Roma Nord grazie ai quartieri Parioli e Prati; zone più rinomate e alla moda della città</w:t>
      </w:r>
    </w:p>
    <w:p w:rsidR="000A14E2" w:rsidRPr="000A14E2" w:rsidRDefault="000A14E2" w:rsidP="005F7CE6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 w:rsidRPr="000A14E2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• Trastevere zona storica che rappresenta Roma, caratterizzata da abitazioni</w:t>
      </w:r>
      <w:r w:rsidR="004337FC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0A14E2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medioevali e molto vitale soprattutto la sera, grazie ai ristoranti e locali tipici</w:t>
      </w:r>
    </w:p>
    <w:p w:rsidR="000A14E2" w:rsidRPr="000A14E2" w:rsidRDefault="000A14E2" w:rsidP="005F7CE6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 w:rsidRPr="000A14E2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• Tridente del centro storico</w:t>
      </w:r>
      <w:r w:rsidR="004337FC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. C</w:t>
      </w:r>
      <w:r w:rsidRPr="000A14E2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omplesso stradale costituito da tre vie rettilinee che</w:t>
      </w:r>
      <w:r w:rsidR="005F7CE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0A14E2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partono da Piazza del Popolo e divergono in direzione sud, Via del Tritone, passeggiata</w:t>
      </w:r>
      <w:r w:rsidR="005F7CE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0A14E2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di Ripetta, Viale della Trinità dei Monti.</w:t>
      </w:r>
    </w:p>
    <w:p w:rsidR="00423559" w:rsidRPr="005F7CE6" w:rsidRDefault="00423559" w:rsidP="005F7CE6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</w:p>
    <w:p w:rsidR="000A14E2" w:rsidRPr="004337FC" w:rsidRDefault="000A14E2" w:rsidP="005F7CE6">
      <w:pPr>
        <w:pStyle w:val="p1"/>
        <w:jc w:val="both"/>
        <w:rPr>
          <w:rFonts w:asciiTheme="minorHAnsi" w:eastAsia="Calibri" w:hAnsiTheme="minorHAnsi" w:cstheme="minorHAnsi"/>
          <w:b/>
          <w:color w:val="C00000"/>
          <w:sz w:val="20"/>
          <w:szCs w:val="20"/>
          <w:lang w:eastAsia="en-US"/>
        </w:rPr>
      </w:pPr>
      <w:r w:rsidRPr="004337FC">
        <w:rPr>
          <w:rFonts w:asciiTheme="minorHAnsi" w:eastAsia="Calibri" w:hAnsiTheme="minorHAnsi" w:cstheme="minorHAnsi"/>
          <w:b/>
          <w:color w:val="C00000"/>
          <w:sz w:val="20"/>
          <w:szCs w:val="20"/>
          <w:lang w:eastAsia="en-US"/>
        </w:rPr>
        <w:t>LA LUMINOSITA’</w:t>
      </w:r>
    </w:p>
    <w:p w:rsidR="000A14E2" w:rsidRPr="005F7CE6" w:rsidRDefault="000A14E2" w:rsidP="005F7CE6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 w:rsidRPr="005F7CE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Spazi molto luminosi e ben areati hanno un effetto positivo sul benessere psico–fisico</w:t>
      </w:r>
      <w:r w:rsidR="005F7CE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5F7CE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delle persone. Doppia esposizione, ampie vetrate, colori chiari e una progettazione</w:t>
      </w:r>
      <w:r w:rsidR="005F7CE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5F7CE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intelligente delle luci artificiali sono elementi che creano un ambiente piacevole, capace</w:t>
      </w:r>
      <w:r w:rsidR="005F7CE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5F7CE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di comunicare serenità e pace.</w:t>
      </w:r>
    </w:p>
    <w:p w:rsidR="000A14E2" w:rsidRPr="004337FC" w:rsidRDefault="000A14E2" w:rsidP="005F7CE6">
      <w:pPr>
        <w:pStyle w:val="p1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</w:pPr>
    </w:p>
    <w:p w:rsidR="000A14E2" w:rsidRPr="000A14E2" w:rsidRDefault="000A14E2" w:rsidP="005F7CE6">
      <w:pPr>
        <w:pStyle w:val="p1"/>
        <w:jc w:val="both"/>
        <w:rPr>
          <w:rFonts w:asciiTheme="minorHAnsi" w:eastAsia="Calibri" w:hAnsiTheme="minorHAnsi" w:cstheme="minorHAnsi"/>
          <w:b/>
          <w:color w:val="C00000"/>
          <w:sz w:val="20"/>
          <w:szCs w:val="20"/>
          <w:lang w:eastAsia="en-US"/>
        </w:rPr>
      </w:pPr>
      <w:r w:rsidRPr="000A14E2">
        <w:rPr>
          <w:rFonts w:asciiTheme="minorHAnsi" w:eastAsia="Calibri" w:hAnsiTheme="minorHAnsi" w:cstheme="minorHAnsi"/>
          <w:b/>
          <w:color w:val="C00000"/>
          <w:sz w:val="20"/>
          <w:szCs w:val="20"/>
          <w:lang w:eastAsia="en-US"/>
        </w:rPr>
        <w:t>LA COLLOCAZIONE AI PIANI ALTI</w:t>
      </w:r>
    </w:p>
    <w:p w:rsidR="000A14E2" w:rsidRPr="000A14E2" w:rsidRDefault="000A14E2" w:rsidP="005F7CE6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  <w:r w:rsidRPr="000A14E2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Le abitazioni ai piani alti sono preferite, hanno spazi più ampi, consentono di godere al</w:t>
      </w:r>
      <w:r w:rsidR="005F7CE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0A14E2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meglio del panorama della città. Garantiscono inoltre un maggiore comfort acustico,</w:t>
      </w:r>
      <w:r w:rsidR="005F7CE6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 xml:space="preserve"> </w:t>
      </w:r>
      <w:r w:rsidRPr="000A14E2"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  <w:t>particolarmente importante in una città caotica e trafficata come Roma.</w:t>
      </w:r>
    </w:p>
    <w:p w:rsidR="005F7CE6" w:rsidRDefault="005F7CE6" w:rsidP="005F7CE6">
      <w:pPr>
        <w:pStyle w:val="p1"/>
        <w:jc w:val="both"/>
        <w:rPr>
          <w:rFonts w:asciiTheme="minorHAnsi" w:eastAsia="Calibri" w:hAnsiTheme="minorHAnsi" w:cstheme="minorHAnsi"/>
          <w:color w:val="auto"/>
          <w:sz w:val="23"/>
          <w:szCs w:val="23"/>
          <w:lang w:eastAsia="en-US"/>
        </w:rPr>
      </w:pPr>
    </w:p>
    <w:p w:rsidR="000A14E2" w:rsidRPr="000A14E2" w:rsidRDefault="000A14E2" w:rsidP="005F7CE6">
      <w:pPr>
        <w:pStyle w:val="p1"/>
        <w:jc w:val="both"/>
        <w:rPr>
          <w:rFonts w:asciiTheme="minorHAnsi" w:eastAsia="Calibri" w:hAnsiTheme="minorHAnsi" w:cstheme="minorHAnsi"/>
          <w:b/>
          <w:color w:val="C00000"/>
          <w:sz w:val="20"/>
          <w:szCs w:val="20"/>
          <w:lang w:eastAsia="en-US"/>
        </w:rPr>
      </w:pPr>
      <w:r w:rsidRPr="000A14E2">
        <w:rPr>
          <w:rFonts w:asciiTheme="minorHAnsi" w:eastAsia="Calibri" w:hAnsiTheme="minorHAnsi" w:cstheme="minorHAnsi"/>
          <w:b/>
          <w:color w:val="C00000"/>
          <w:sz w:val="20"/>
          <w:szCs w:val="20"/>
          <w:lang w:eastAsia="en-US"/>
        </w:rPr>
        <w:t>L’APERTURA VERSO L’ESTERNO</w:t>
      </w:r>
    </w:p>
    <w:p w:rsidR="000A14E2" w:rsidRPr="000A14E2" w:rsidRDefault="000A14E2" w:rsidP="000A14E2">
      <w:pPr>
        <w:rPr>
          <w:rFonts w:eastAsia="Calibri" w:cstheme="minorHAnsi"/>
          <w:sz w:val="23"/>
          <w:szCs w:val="23"/>
        </w:rPr>
      </w:pPr>
      <w:r w:rsidRPr="000A14E2">
        <w:rPr>
          <w:rFonts w:eastAsia="Calibri" w:cstheme="minorHAnsi"/>
          <w:sz w:val="23"/>
          <w:szCs w:val="23"/>
        </w:rPr>
        <w:t>Ampi terrazzi e balconi diventano il cuore della casa stessa, anche grazie alle temperature</w:t>
      </w:r>
      <w:r w:rsidR="005F7CE6">
        <w:rPr>
          <w:rFonts w:eastAsia="Calibri" w:cstheme="minorHAnsi"/>
          <w:sz w:val="23"/>
          <w:szCs w:val="23"/>
        </w:rPr>
        <w:t xml:space="preserve"> </w:t>
      </w:r>
      <w:r w:rsidRPr="000A14E2">
        <w:rPr>
          <w:rFonts w:eastAsia="Calibri" w:cstheme="minorHAnsi"/>
          <w:sz w:val="23"/>
          <w:szCs w:val="23"/>
        </w:rPr>
        <w:t>gradevoli che il clima romano offre per molti mesi all’anno. Un’oasi verde che offre</w:t>
      </w:r>
      <w:r w:rsidR="005F7CE6">
        <w:rPr>
          <w:rFonts w:eastAsia="Calibri" w:cstheme="minorHAnsi"/>
          <w:sz w:val="23"/>
          <w:szCs w:val="23"/>
        </w:rPr>
        <w:t xml:space="preserve"> </w:t>
      </w:r>
      <w:r w:rsidRPr="000A14E2">
        <w:rPr>
          <w:rFonts w:eastAsia="Calibri" w:cstheme="minorHAnsi"/>
          <w:sz w:val="23"/>
          <w:szCs w:val="23"/>
        </w:rPr>
        <w:t>respiro e tranquillità in un contesto caotico.</w:t>
      </w:r>
    </w:p>
    <w:p w:rsidR="000A14E2" w:rsidRPr="005F7CE6" w:rsidRDefault="000A14E2" w:rsidP="00F3660A">
      <w:pPr>
        <w:adjustRightInd w:val="0"/>
        <w:jc w:val="both"/>
        <w:rPr>
          <w:rFonts w:eastAsia="Calibri" w:cstheme="minorHAnsi"/>
          <w:sz w:val="23"/>
          <w:szCs w:val="23"/>
        </w:rPr>
      </w:pPr>
    </w:p>
    <w:p w:rsidR="000A14E2" w:rsidRPr="000A14E2" w:rsidRDefault="000A14E2" w:rsidP="005F7CE6">
      <w:pPr>
        <w:pStyle w:val="p1"/>
        <w:jc w:val="both"/>
        <w:rPr>
          <w:rFonts w:asciiTheme="minorHAnsi" w:eastAsia="Calibri" w:hAnsiTheme="minorHAnsi" w:cstheme="minorHAnsi"/>
          <w:b/>
          <w:color w:val="C00000"/>
          <w:sz w:val="20"/>
          <w:szCs w:val="20"/>
          <w:lang w:eastAsia="en-US"/>
        </w:rPr>
      </w:pPr>
      <w:r w:rsidRPr="000A14E2">
        <w:rPr>
          <w:rFonts w:asciiTheme="minorHAnsi" w:eastAsia="Calibri" w:hAnsiTheme="minorHAnsi" w:cstheme="minorHAnsi"/>
          <w:b/>
          <w:color w:val="C00000"/>
          <w:sz w:val="20"/>
          <w:szCs w:val="20"/>
          <w:lang w:eastAsia="en-US"/>
        </w:rPr>
        <w:t>LA PRESENZA DEL GARAGE / DEL POSTO AUTO</w:t>
      </w:r>
    </w:p>
    <w:p w:rsidR="000A14E2" w:rsidRPr="000A14E2" w:rsidRDefault="000A14E2" w:rsidP="000A14E2">
      <w:pPr>
        <w:rPr>
          <w:rFonts w:eastAsia="Calibri" w:cstheme="minorHAnsi"/>
          <w:sz w:val="23"/>
          <w:szCs w:val="23"/>
        </w:rPr>
      </w:pPr>
      <w:r w:rsidRPr="000A14E2">
        <w:rPr>
          <w:rFonts w:eastAsia="Calibri" w:cstheme="minorHAnsi"/>
          <w:sz w:val="23"/>
          <w:szCs w:val="23"/>
        </w:rPr>
        <w:t>La presenza o meno del garage o del posto auto è una caratteristica saliente, sia in termini</w:t>
      </w:r>
      <w:r w:rsidR="005F7CE6">
        <w:rPr>
          <w:rFonts w:eastAsia="Calibri" w:cstheme="minorHAnsi"/>
          <w:sz w:val="23"/>
          <w:szCs w:val="23"/>
        </w:rPr>
        <w:t xml:space="preserve"> </w:t>
      </w:r>
      <w:r w:rsidRPr="000A14E2">
        <w:rPr>
          <w:rFonts w:eastAsia="Calibri" w:cstheme="minorHAnsi"/>
          <w:sz w:val="23"/>
          <w:szCs w:val="23"/>
        </w:rPr>
        <w:t>pratici e concreti sia in termini di status sociale. Diventa un elemento con un valore</w:t>
      </w:r>
      <w:r w:rsidR="005F7CE6">
        <w:rPr>
          <w:rFonts w:eastAsia="Calibri" w:cstheme="minorHAnsi"/>
          <w:sz w:val="23"/>
          <w:szCs w:val="23"/>
        </w:rPr>
        <w:t xml:space="preserve"> </w:t>
      </w:r>
      <w:r w:rsidRPr="000A14E2">
        <w:rPr>
          <w:rFonts w:eastAsia="Calibri" w:cstheme="minorHAnsi"/>
          <w:sz w:val="23"/>
          <w:szCs w:val="23"/>
        </w:rPr>
        <w:t>aggiunto soprattutto per coloro che acquistano l’immobile in ottica di investimento.</w:t>
      </w:r>
    </w:p>
    <w:p w:rsidR="005F7CE6" w:rsidRDefault="005F7CE6" w:rsidP="000A14E2">
      <w:pPr>
        <w:rPr>
          <w:rFonts w:eastAsia="Calibri" w:cstheme="minorHAnsi"/>
          <w:sz w:val="23"/>
          <w:szCs w:val="23"/>
        </w:rPr>
      </w:pPr>
    </w:p>
    <w:p w:rsidR="000A14E2" w:rsidRPr="000A14E2" w:rsidRDefault="000A14E2" w:rsidP="005F7CE6">
      <w:pPr>
        <w:pStyle w:val="p1"/>
        <w:jc w:val="both"/>
        <w:rPr>
          <w:rFonts w:asciiTheme="minorHAnsi" w:eastAsia="Calibri" w:hAnsiTheme="minorHAnsi" w:cstheme="minorHAnsi"/>
          <w:b/>
          <w:color w:val="C00000"/>
          <w:sz w:val="20"/>
          <w:szCs w:val="20"/>
          <w:lang w:eastAsia="en-US"/>
        </w:rPr>
      </w:pPr>
      <w:r w:rsidRPr="000A14E2">
        <w:rPr>
          <w:rFonts w:asciiTheme="minorHAnsi" w:eastAsia="Calibri" w:hAnsiTheme="minorHAnsi" w:cstheme="minorHAnsi"/>
          <w:b/>
          <w:color w:val="C00000"/>
          <w:sz w:val="20"/>
          <w:szCs w:val="20"/>
          <w:lang w:eastAsia="en-US"/>
        </w:rPr>
        <w:t>IL CARATTERE STORICO DELL’IMMOBILE</w:t>
      </w:r>
    </w:p>
    <w:p w:rsidR="000A14E2" w:rsidRPr="000A14E2" w:rsidRDefault="000A14E2" w:rsidP="005F7CE6">
      <w:pPr>
        <w:jc w:val="both"/>
        <w:rPr>
          <w:rFonts w:eastAsia="Calibri" w:cstheme="minorHAnsi"/>
          <w:sz w:val="23"/>
          <w:szCs w:val="23"/>
        </w:rPr>
      </w:pPr>
      <w:r w:rsidRPr="000A14E2">
        <w:rPr>
          <w:rFonts w:eastAsia="Calibri" w:cstheme="minorHAnsi"/>
          <w:sz w:val="23"/>
          <w:szCs w:val="23"/>
        </w:rPr>
        <w:t>L’abitazione di pregio deve avere una sua personalità intrinseca, deve essere in grado</w:t>
      </w:r>
      <w:r w:rsidR="005F7CE6">
        <w:rPr>
          <w:rFonts w:eastAsia="Calibri" w:cstheme="minorHAnsi"/>
          <w:sz w:val="23"/>
          <w:szCs w:val="23"/>
        </w:rPr>
        <w:t xml:space="preserve"> </w:t>
      </w:r>
      <w:r w:rsidRPr="000A14E2">
        <w:rPr>
          <w:rFonts w:eastAsia="Calibri" w:cstheme="minorHAnsi"/>
          <w:sz w:val="23"/>
          <w:szCs w:val="23"/>
        </w:rPr>
        <w:t>di raccontare una storia parlando ad esempio della Roma antica, presentando stili</w:t>
      </w:r>
      <w:r w:rsidR="005F7CE6">
        <w:rPr>
          <w:rFonts w:eastAsia="Calibri" w:cstheme="minorHAnsi"/>
          <w:sz w:val="23"/>
          <w:szCs w:val="23"/>
        </w:rPr>
        <w:t xml:space="preserve"> </w:t>
      </w:r>
      <w:r w:rsidRPr="000A14E2">
        <w:rPr>
          <w:rFonts w:eastAsia="Calibri" w:cstheme="minorHAnsi"/>
          <w:sz w:val="23"/>
          <w:szCs w:val="23"/>
        </w:rPr>
        <w:t>architettonici particolari, coerenti con la fama di Roma come museo a cielo aperto.</w:t>
      </w:r>
      <w:r w:rsidR="005F7CE6">
        <w:rPr>
          <w:rFonts w:eastAsia="Calibri" w:cstheme="minorHAnsi"/>
          <w:sz w:val="23"/>
          <w:szCs w:val="23"/>
        </w:rPr>
        <w:t xml:space="preserve"> </w:t>
      </w:r>
      <w:r w:rsidRPr="000A14E2">
        <w:rPr>
          <w:rFonts w:eastAsia="Calibri" w:cstheme="minorHAnsi"/>
          <w:sz w:val="23"/>
          <w:szCs w:val="23"/>
        </w:rPr>
        <w:t>Si ricercano abitazioni che nell’aspetto esterno evochino la storicità della città, pur</w:t>
      </w:r>
      <w:r w:rsidR="005F7CE6">
        <w:rPr>
          <w:rFonts w:eastAsia="Calibri" w:cstheme="minorHAnsi"/>
          <w:sz w:val="23"/>
          <w:szCs w:val="23"/>
        </w:rPr>
        <w:t xml:space="preserve"> </w:t>
      </w:r>
      <w:r w:rsidRPr="000A14E2">
        <w:rPr>
          <w:rFonts w:eastAsia="Calibri" w:cstheme="minorHAnsi"/>
          <w:sz w:val="23"/>
          <w:szCs w:val="23"/>
        </w:rPr>
        <w:t>coniugandola con la funzionalità e godibilità delle abitazioni più moderne.</w:t>
      </w:r>
    </w:p>
    <w:p w:rsidR="000A14E2" w:rsidRPr="000A14E2" w:rsidRDefault="000A14E2" w:rsidP="000A14E2">
      <w:pPr>
        <w:rPr>
          <w:rFonts w:eastAsia="Calibri" w:cstheme="minorHAnsi"/>
          <w:sz w:val="23"/>
          <w:szCs w:val="23"/>
        </w:rPr>
      </w:pPr>
    </w:p>
    <w:p w:rsidR="000A14E2" w:rsidRPr="000A14E2" w:rsidRDefault="000A14E2" w:rsidP="005F7CE6">
      <w:pPr>
        <w:pStyle w:val="p1"/>
        <w:jc w:val="both"/>
        <w:rPr>
          <w:rFonts w:asciiTheme="minorHAnsi" w:eastAsia="Calibri" w:hAnsiTheme="minorHAnsi" w:cstheme="minorHAnsi"/>
          <w:b/>
          <w:color w:val="C00000"/>
          <w:sz w:val="20"/>
          <w:szCs w:val="20"/>
          <w:lang w:eastAsia="en-US"/>
        </w:rPr>
      </w:pPr>
      <w:r w:rsidRPr="000A14E2">
        <w:rPr>
          <w:rFonts w:asciiTheme="minorHAnsi" w:eastAsia="Calibri" w:hAnsiTheme="minorHAnsi" w:cstheme="minorHAnsi"/>
          <w:b/>
          <w:color w:val="C00000"/>
          <w:sz w:val="20"/>
          <w:szCs w:val="20"/>
          <w:lang w:eastAsia="en-US"/>
        </w:rPr>
        <w:t>LE DIMENSIONI DELL’UNITÀ ABITATIVA</w:t>
      </w:r>
    </w:p>
    <w:p w:rsidR="000A14E2" w:rsidRPr="000A14E2" w:rsidRDefault="000A14E2" w:rsidP="00CC2C9A">
      <w:pPr>
        <w:jc w:val="both"/>
        <w:rPr>
          <w:rFonts w:eastAsia="Calibri" w:cstheme="minorHAnsi"/>
          <w:sz w:val="23"/>
          <w:szCs w:val="23"/>
        </w:rPr>
      </w:pPr>
      <w:r w:rsidRPr="000A14E2">
        <w:rPr>
          <w:rFonts w:eastAsia="Calibri" w:cstheme="minorHAnsi"/>
          <w:sz w:val="23"/>
          <w:szCs w:val="23"/>
        </w:rPr>
        <w:t>La superfice dell’unità abitativa è medio/grande, anche se rispetto al passato si</w:t>
      </w:r>
      <w:r w:rsidR="00CC2C9A">
        <w:rPr>
          <w:rFonts w:eastAsia="Calibri" w:cstheme="minorHAnsi"/>
          <w:sz w:val="23"/>
          <w:szCs w:val="23"/>
        </w:rPr>
        <w:t xml:space="preserve"> </w:t>
      </w:r>
      <w:r w:rsidRPr="000A14E2">
        <w:rPr>
          <w:rFonts w:eastAsia="Calibri" w:cstheme="minorHAnsi"/>
          <w:sz w:val="23"/>
          <w:szCs w:val="23"/>
        </w:rPr>
        <w:t>evidenzia l’interesse verso abitazioni di dimensioni complessive più ridotte, ma meglio</w:t>
      </w:r>
      <w:r w:rsidR="00CC2C9A">
        <w:rPr>
          <w:rFonts w:eastAsia="Calibri" w:cstheme="minorHAnsi"/>
          <w:sz w:val="23"/>
          <w:szCs w:val="23"/>
        </w:rPr>
        <w:t xml:space="preserve"> </w:t>
      </w:r>
      <w:r w:rsidRPr="000A14E2">
        <w:rPr>
          <w:rFonts w:eastAsia="Calibri" w:cstheme="minorHAnsi"/>
          <w:sz w:val="23"/>
          <w:szCs w:val="23"/>
        </w:rPr>
        <w:t>organizzate da un punto di vista funzionale.</w:t>
      </w:r>
      <w:r w:rsidR="00CC2C9A">
        <w:rPr>
          <w:rFonts w:eastAsia="Calibri" w:cstheme="minorHAnsi"/>
          <w:sz w:val="23"/>
          <w:szCs w:val="23"/>
        </w:rPr>
        <w:t xml:space="preserve"> </w:t>
      </w:r>
      <w:r w:rsidRPr="000A14E2">
        <w:rPr>
          <w:rFonts w:eastAsia="Calibri" w:cstheme="minorHAnsi"/>
          <w:sz w:val="23"/>
          <w:szCs w:val="23"/>
        </w:rPr>
        <w:t>L’aumento di nuclei «monocomponenti» (single, di passaggio per lavoro...) o «piccoli»</w:t>
      </w:r>
      <w:r w:rsidR="00CC2C9A">
        <w:rPr>
          <w:rFonts w:eastAsia="Calibri" w:cstheme="minorHAnsi"/>
          <w:sz w:val="23"/>
          <w:szCs w:val="23"/>
        </w:rPr>
        <w:t xml:space="preserve"> </w:t>
      </w:r>
      <w:r w:rsidRPr="000A14E2">
        <w:rPr>
          <w:rFonts w:eastAsia="Calibri" w:cstheme="minorHAnsi"/>
          <w:sz w:val="23"/>
          <w:szCs w:val="23"/>
        </w:rPr>
        <w:t>richiedono abitazioni con tagli specifici, dove un tempo si prediligevano abitazioni con</w:t>
      </w:r>
      <w:r w:rsidR="00CC2C9A">
        <w:rPr>
          <w:rFonts w:eastAsia="Calibri" w:cstheme="minorHAnsi"/>
          <w:sz w:val="23"/>
          <w:szCs w:val="23"/>
        </w:rPr>
        <w:t xml:space="preserve"> </w:t>
      </w:r>
      <w:r w:rsidRPr="000A14E2">
        <w:rPr>
          <w:rFonts w:eastAsia="Calibri" w:cstheme="minorHAnsi"/>
          <w:sz w:val="23"/>
          <w:szCs w:val="23"/>
        </w:rPr>
        <w:t>metrature molto più elevate.</w:t>
      </w:r>
    </w:p>
    <w:p w:rsidR="00CC2C9A" w:rsidRDefault="00CC2C9A" w:rsidP="000A14E2">
      <w:pPr>
        <w:rPr>
          <w:rFonts w:eastAsia="Calibri" w:cstheme="minorHAnsi"/>
          <w:sz w:val="23"/>
          <w:szCs w:val="23"/>
        </w:rPr>
      </w:pPr>
    </w:p>
    <w:p w:rsidR="000A14E2" w:rsidRPr="000A14E2" w:rsidRDefault="000A14E2" w:rsidP="00CC2C9A">
      <w:pPr>
        <w:pStyle w:val="p1"/>
        <w:jc w:val="both"/>
        <w:rPr>
          <w:rFonts w:asciiTheme="minorHAnsi" w:eastAsia="Calibri" w:hAnsiTheme="minorHAnsi" w:cstheme="minorHAnsi"/>
          <w:b/>
          <w:color w:val="C00000"/>
          <w:sz w:val="20"/>
          <w:szCs w:val="20"/>
          <w:lang w:eastAsia="en-US"/>
        </w:rPr>
      </w:pPr>
      <w:r w:rsidRPr="000A14E2">
        <w:rPr>
          <w:rFonts w:asciiTheme="minorHAnsi" w:eastAsia="Calibri" w:hAnsiTheme="minorHAnsi" w:cstheme="minorHAnsi"/>
          <w:b/>
          <w:color w:val="C00000"/>
          <w:sz w:val="20"/>
          <w:szCs w:val="20"/>
          <w:lang w:eastAsia="en-US"/>
        </w:rPr>
        <w:t>L’ORGANIZZAZIONE DEGLI SPAZI</w:t>
      </w:r>
    </w:p>
    <w:p w:rsidR="000A14E2" w:rsidRPr="000A14E2" w:rsidRDefault="000A14E2" w:rsidP="00CC2C9A">
      <w:pPr>
        <w:jc w:val="both"/>
        <w:rPr>
          <w:rFonts w:eastAsia="Calibri" w:cstheme="minorHAnsi"/>
          <w:sz w:val="23"/>
          <w:szCs w:val="23"/>
        </w:rPr>
      </w:pPr>
      <w:r w:rsidRPr="000A14E2">
        <w:rPr>
          <w:rFonts w:eastAsia="Calibri" w:cstheme="minorHAnsi"/>
          <w:sz w:val="23"/>
          <w:szCs w:val="23"/>
        </w:rPr>
        <w:t>L’ottimizzazione degli spazi e la loro flessibilità sono elementi chiave: l’abitazione deve</w:t>
      </w:r>
      <w:r w:rsidR="00CC2C9A">
        <w:rPr>
          <w:rFonts w:eastAsia="Calibri" w:cstheme="minorHAnsi"/>
          <w:sz w:val="23"/>
          <w:szCs w:val="23"/>
        </w:rPr>
        <w:t xml:space="preserve"> </w:t>
      </w:r>
      <w:r w:rsidRPr="000A14E2">
        <w:rPr>
          <w:rFonts w:eastAsia="Calibri" w:cstheme="minorHAnsi"/>
          <w:sz w:val="23"/>
          <w:szCs w:val="23"/>
        </w:rPr>
        <w:t>essere in grado di far coesistere la sfera intima della famiglia con la convivialità insieme</w:t>
      </w:r>
      <w:r w:rsidR="00CC2C9A">
        <w:rPr>
          <w:rFonts w:eastAsia="Calibri" w:cstheme="minorHAnsi"/>
          <w:sz w:val="23"/>
          <w:szCs w:val="23"/>
        </w:rPr>
        <w:t xml:space="preserve"> agli amici e il piacere </w:t>
      </w:r>
      <w:r w:rsidRPr="000A14E2">
        <w:rPr>
          <w:rFonts w:eastAsia="Calibri" w:cstheme="minorHAnsi"/>
          <w:sz w:val="23"/>
          <w:szCs w:val="23"/>
        </w:rPr>
        <w:lastRenderedPageBreak/>
        <w:t>individuale (zona relax, wellness).</w:t>
      </w:r>
      <w:r w:rsidR="00CC2C9A">
        <w:rPr>
          <w:rFonts w:eastAsia="Calibri" w:cstheme="minorHAnsi"/>
          <w:sz w:val="23"/>
          <w:szCs w:val="23"/>
        </w:rPr>
        <w:t xml:space="preserve"> </w:t>
      </w:r>
      <w:r w:rsidRPr="000A14E2">
        <w:rPr>
          <w:rFonts w:eastAsia="Calibri" w:cstheme="minorHAnsi"/>
          <w:sz w:val="23"/>
          <w:szCs w:val="23"/>
        </w:rPr>
        <w:t>Una casa che si adatta alle esigenze di chi la abita, modificandosi nel tempo e nelle</w:t>
      </w:r>
      <w:r w:rsidR="00CC2C9A">
        <w:rPr>
          <w:rFonts w:eastAsia="Calibri" w:cstheme="minorHAnsi"/>
          <w:sz w:val="23"/>
          <w:szCs w:val="23"/>
        </w:rPr>
        <w:t xml:space="preserve"> </w:t>
      </w:r>
      <w:r w:rsidRPr="000A14E2">
        <w:rPr>
          <w:rFonts w:eastAsia="Calibri" w:cstheme="minorHAnsi"/>
          <w:sz w:val="23"/>
          <w:szCs w:val="23"/>
        </w:rPr>
        <w:t>circostanze.</w:t>
      </w:r>
    </w:p>
    <w:p w:rsidR="000A14E2" w:rsidRPr="00CC2C9A" w:rsidRDefault="000A14E2" w:rsidP="00F3660A">
      <w:pPr>
        <w:adjustRightInd w:val="0"/>
        <w:jc w:val="both"/>
        <w:rPr>
          <w:rFonts w:eastAsia="Calibri" w:cstheme="minorHAnsi"/>
          <w:sz w:val="23"/>
          <w:szCs w:val="23"/>
        </w:rPr>
      </w:pPr>
    </w:p>
    <w:p w:rsidR="000A14E2" w:rsidRPr="000A14E2" w:rsidRDefault="000A14E2" w:rsidP="00CC2C9A">
      <w:pPr>
        <w:pStyle w:val="p1"/>
        <w:jc w:val="both"/>
        <w:rPr>
          <w:rFonts w:asciiTheme="minorHAnsi" w:eastAsia="Calibri" w:hAnsiTheme="minorHAnsi" w:cstheme="minorHAnsi"/>
          <w:b/>
          <w:color w:val="C00000"/>
          <w:sz w:val="20"/>
          <w:szCs w:val="20"/>
          <w:lang w:eastAsia="en-US"/>
        </w:rPr>
      </w:pPr>
      <w:r w:rsidRPr="000A14E2">
        <w:rPr>
          <w:rFonts w:asciiTheme="minorHAnsi" w:eastAsia="Calibri" w:hAnsiTheme="minorHAnsi" w:cstheme="minorHAnsi"/>
          <w:b/>
          <w:color w:val="C00000"/>
          <w:sz w:val="20"/>
          <w:szCs w:val="20"/>
          <w:lang w:eastAsia="en-US"/>
        </w:rPr>
        <w:t>LA QUALITÀ DELLE FINITURE E DEI MATERIALI</w:t>
      </w:r>
    </w:p>
    <w:p w:rsidR="000A14E2" w:rsidRDefault="000A14E2" w:rsidP="00CC2C9A">
      <w:pPr>
        <w:jc w:val="both"/>
        <w:rPr>
          <w:rFonts w:eastAsia="Calibri" w:cstheme="minorHAnsi"/>
          <w:sz w:val="23"/>
          <w:szCs w:val="23"/>
        </w:rPr>
      </w:pPr>
      <w:r w:rsidRPr="000A14E2">
        <w:rPr>
          <w:rFonts w:eastAsia="Calibri" w:cstheme="minorHAnsi"/>
          <w:sz w:val="23"/>
          <w:szCs w:val="23"/>
        </w:rPr>
        <w:t>L’abitazione di lusso mostra un’attenzione particolarmente scrupolosa nella scelta di</w:t>
      </w:r>
      <w:r w:rsidR="00CC2C9A">
        <w:rPr>
          <w:rFonts w:eastAsia="Calibri" w:cstheme="minorHAnsi"/>
          <w:sz w:val="23"/>
          <w:szCs w:val="23"/>
        </w:rPr>
        <w:t xml:space="preserve"> dettagli e finiture. </w:t>
      </w:r>
      <w:r w:rsidRPr="000A14E2">
        <w:rPr>
          <w:rFonts w:eastAsia="Calibri" w:cstheme="minorHAnsi"/>
          <w:sz w:val="23"/>
          <w:szCs w:val="23"/>
        </w:rPr>
        <w:t>Nulla è lasciato al caso, tutto viene progettato e realizzato in maniera</w:t>
      </w:r>
      <w:r w:rsidR="00CC2C9A">
        <w:rPr>
          <w:rFonts w:eastAsia="Calibri" w:cstheme="minorHAnsi"/>
          <w:sz w:val="23"/>
          <w:szCs w:val="23"/>
        </w:rPr>
        <w:t xml:space="preserve"> </w:t>
      </w:r>
      <w:r w:rsidRPr="000A14E2">
        <w:rPr>
          <w:rFonts w:eastAsia="Calibri" w:cstheme="minorHAnsi"/>
          <w:sz w:val="23"/>
          <w:szCs w:val="23"/>
        </w:rPr>
        <w:t>meticolosa.</w:t>
      </w:r>
      <w:r w:rsidR="00CC2C9A">
        <w:rPr>
          <w:rFonts w:eastAsia="Calibri" w:cstheme="minorHAnsi"/>
          <w:sz w:val="23"/>
          <w:szCs w:val="23"/>
        </w:rPr>
        <w:t xml:space="preserve"> Anche i materiali </w:t>
      </w:r>
      <w:r w:rsidRPr="000A14E2">
        <w:rPr>
          <w:rFonts w:eastAsia="Calibri" w:cstheme="minorHAnsi"/>
          <w:sz w:val="23"/>
          <w:szCs w:val="23"/>
        </w:rPr>
        <w:t>hanno un ruolo rilevante. Vengono impiegati materiali di elevata</w:t>
      </w:r>
      <w:r w:rsidR="00CC2C9A">
        <w:rPr>
          <w:rFonts w:eastAsia="Calibri" w:cstheme="minorHAnsi"/>
          <w:sz w:val="23"/>
          <w:szCs w:val="23"/>
        </w:rPr>
        <w:t xml:space="preserve"> </w:t>
      </w:r>
      <w:r w:rsidRPr="000A14E2">
        <w:rPr>
          <w:rFonts w:eastAsia="Calibri" w:cstheme="minorHAnsi"/>
          <w:sz w:val="23"/>
          <w:szCs w:val="23"/>
        </w:rPr>
        <w:t>qualità e pregio. Spesso vengono coniugati materiali tradizionali (legno e marmo) con</w:t>
      </w:r>
      <w:r w:rsidR="00CC2C9A">
        <w:rPr>
          <w:rFonts w:eastAsia="Calibri" w:cstheme="minorHAnsi"/>
          <w:sz w:val="23"/>
          <w:szCs w:val="23"/>
        </w:rPr>
        <w:t xml:space="preserve"> </w:t>
      </w:r>
      <w:r w:rsidRPr="000A14E2">
        <w:rPr>
          <w:rFonts w:eastAsia="Calibri" w:cstheme="minorHAnsi"/>
          <w:sz w:val="23"/>
          <w:szCs w:val="23"/>
        </w:rPr>
        <w:t>materiali da</w:t>
      </w:r>
      <w:r w:rsidR="00CC2C9A">
        <w:rPr>
          <w:rFonts w:eastAsia="Calibri" w:cstheme="minorHAnsi"/>
          <w:sz w:val="23"/>
          <w:szCs w:val="23"/>
        </w:rPr>
        <w:t xml:space="preserve">lla resa più moderna (cementi e </w:t>
      </w:r>
      <w:r w:rsidRPr="000A14E2">
        <w:rPr>
          <w:rFonts w:eastAsia="Calibri" w:cstheme="minorHAnsi"/>
          <w:sz w:val="23"/>
          <w:szCs w:val="23"/>
        </w:rPr>
        <w:t>resine).</w:t>
      </w:r>
    </w:p>
    <w:p w:rsidR="00CC2C9A" w:rsidRPr="000A14E2" w:rsidRDefault="00CC2C9A" w:rsidP="00CC2C9A">
      <w:pPr>
        <w:jc w:val="both"/>
        <w:rPr>
          <w:rFonts w:eastAsia="Calibri" w:cstheme="minorHAnsi"/>
          <w:sz w:val="23"/>
          <w:szCs w:val="23"/>
        </w:rPr>
      </w:pPr>
    </w:p>
    <w:p w:rsidR="000A14E2" w:rsidRPr="000A14E2" w:rsidRDefault="000A14E2" w:rsidP="00CC2C9A">
      <w:pPr>
        <w:pStyle w:val="p1"/>
        <w:jc w:val="both"/>
        <w:rPr>
          <w:rFonts w:asciiTheme="minorHAnsi" w:eastAsia="Calibri" w:hAnsiTheme="minorHAnsi" w:cstheme="minorHAnsi"/>
          <w:b/>
          <w:color w:val="C00000"/>
          <w:sz w:val="20"/>
          <w:szCs w:val="20"/>
          <w:lang w:eastAsia="en-US"/>
        </w:rPr>
      </w:pPr>
      <w:r w:rsidRPr="000A14E2">
        <w:rPr>
          <w:rFonts w:asciiTheme="minorHAnsi" w:eastAsia="Calibri" w:hAnsiTheme="minorHAnsi" w:cstheme="minorHAnsi"/>
          <w:b/>
          <w:color w:val="C00000"/>
          <w:sz w:val="20"/>
          <w:szCs w:val="20"/>
          <w:lang w:eastAsia="en-US"/>
        </w:rPr>
        <w:t>LA CLASSE ENERGETICA</w:t>
      </w:r>
    </w:p>
    <w:p w:rsidR="000A14E2" w:rsidRPr="000A14E2" w:rsidRDefault="000A14E2" w:rsidP="00F45086">
      <w:pPr>
        <w:jc w:val="both"/>
        <w:rPr>
          <w:rFonts w:eastAsia="Calibri" w:cstheme="minorHAnsi"/>
          <w:sz w:val="23"/>
          <w:szCs w:val="23"/>
        </w:rPr>
      </w:pPr>
      <w:r w:rsidRPr="000A14E2">
        <w:rPr>
          <w:rFonts w:eastAsia="Calibri" w:cstheme="minorHAnsi"/>
          <w:sz w:val="23"/>
          <w:szCs w:val="23"/>
        </w:rPr>
        <w:t>La classe energetica</w:t>
      </w:r>
      <w:r w:rsidR="004337FC">
        <w:rPr>
          <w:rFonts w:eastAsia="Calibri" w:cstheme="minorHAnsi"/>
          <w:sz w:val="23"/>
          <w:szCs w:val="23"/>
        </w:rPr>
        <w:t xml:space="preserve"> è un elemento di attenzione</w:t>
      </w:r>
      <w:r w:rsidRPr="000A14E2">
        <w:rPr>
          <w:rFonts w:eastAsia="Calibri" w:cstheme="minorHAnsi"/>
          <w:sz w:val="23"/>
          <w:szCs w:val="23"/>
        </w:rPr>
        <w:t xml:space="preserve"> e sensibilità soprattutto per coloro</w:t>
      </w:r>
      <w:r w:rsidR="00F45086">
        <w:rPr>
          <w:rFonts w:eastAsia="Calibri" w:cstheme="minorHAnsi"/>
          <w:sz w:val="23"/>
          <w:szCs w:val="23"/>
        </w:rPr>
        <w:t xml:space="preserve"> </w:t>
      </w:r>
      <w:r w:rsidRPr="000A14E2">
        <w:rPr>
          <w:rFonts w:eastAsia="Calibri" w:cstheme="minorHAnsi"/>
          <w:sz w:val="23"/>
          <w:szCs w:val="23"/>
        </w:rPr>
        <w:t>che hanno una disponibilità di spese/budget maggiore; l’attenzione ai consumi ed agli</w:t>
      </w:r>
      <w:r w:rsidR="00F45086">
        <w:rPr>
          <w:rFonts w:eastAsia="Calibri" w:cstheme="minorHAnsi"/>
          <w:sz w:val="23"/>
          <w:szCs w:val="23"/>
        </w:rPr>
        <w:t xml:space="preserve"> sprechi porta a ricercare </w:t>
      </w:r>
      <w:r w:rsidRPr="000A14E2">
        <w:rPr>
          <w:rFonts w:eastAsia="Calibri" w:cstheme="minorHAnsi"/>
          <w:sz w:val="23"/>
          <w:szCs w:val="23"/>
        </w:rPr>
        <w:t>impianti e dispositivi moderni che a fronte di un investimento</w:t>
      </w:r>
      <w:r w:rsidR="00F45086">
        <w:rPr>
          <w:rFonts w:eastAsia="Calibri" w:cstheme="minorHAnsi"/>
          <w:sz w:val="23"/>
          <w:szCs w:val="23"/>
        </w:rPr>
        <w:t xml:space="preserve"> </w:t>
      </w:r>
      <w:r w:rsidRPr="000A14E2">
        <w:rPr>
          <w:rFonts w:eastAsia="Calibri" w:cstheme="minorHAnsi"/>
          <w:sz w:val="23"/>
          <w:szCs w:val="23"/>
        </w:rPr>
        <w:t>iniziale, permettono un maggior controllo e risparmio nel lungo periodo.</w:t>
      </w:r>
    </w:p>
    <w:p w:rsidR="000A14E2" w:rsidRPr="00F45086" w:rsidRDefault="000A14E2" w:rsidP="00F45086">
      <w:pPr>
        <w:adjustRightInd w:val="0"/>
        <w:jc w:val="both"/>
        <w:rPr>
          <w:rFonts w:eastAsia="Calibri" w:cstheme="minorHAnsi"/>
          <w:sz w:val="23"/>
          <w:szCs w:val="23"/>
        </w:rPr>
      </w:pPr>
    </w:p>
    <w:p w:rsidR="00EB5321" w:rsidRPr="00EB5321" w:rsidRDefault="00EB5321" w:rsidP="0034423C">
      <w:pPr>
        <w:adjustRightInd w:val="0"/>
        <w:rPr>
          <w:rFonts w:ascii="Arial" w:hAnsi="Arial" w:cs="Arial"/>
          <w:i/>
          <w:iCs/>
          <w:sz w:val="20"/>
          <w:szCs w:val="20"/>
        </w:rPr>
      </w:pPr>
    </w:p>
    <w:sectPr w:rsidR="00EB5321" w:rsidRPr="00EB5321" w:rsidSect="00CD566F">
      <w:headerReference w:type="default" r:id="rId1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99A" w:rsidRDefault="0081499A" w:rsidP="000E615E">
      <w:r>
        <w:separator/>
      </w:r>
    </w:p>
  </w:endnote>
  <w:endnote w:type="continuationSeparator" w:id="0">
    <w:p w:rsidR="0081499A" w:rsidRDefault="0081499A" w:rsidP="000E6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99A" w:rsidRDefault="0081499A" w:rsidP="000E615E">
      <w:r>
        <w:separator/>
      </w:r>
    </w:p>
  </w:footnote>
  <w:footnote w:type="continuationSeparator" w:id="0">
    <w:p w:rsidR="0081499A" w:rsidRDefault="0081499A" w:rsidP="000E6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15E" w:rsidRDefault="007C6EC1" w:rsidP="007C6EC1">
    <w:pPr>
      <w:pStyle w:val="Intestazione"/>
      <w:tabs>
        <w:tab w:val="clear" w:pos="4819"/>
        <w:tab w:val="clear" w:pos="9638"/>
        <w:tab w:val="left" w:pos="6067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4243341</wp:posOffset>
          </wp:positionH>
          <wp:positionV relativeFrom="paragraph">
            <wp:posOffset>11461</wp:posOffset>
          </wp:positionV>
          <wp:extent cx="1832433" cy="837557"/>
          <wp:effectExtent l="0" t="0" r="0" b="1270"/>
          <wp:wrapNone/>
          <wp:docPr id="21" name="Immagine 21" descr="Schermata%202019-09-24%20alle%2017.04.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chermata%202019-09-24%20alle%2017.04.5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33" cy="837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2391891" cy="767558"/>
          <wp:effectExtent l="0" t="0" r="0" b="0"/>
          <wp:docPr id="2" name="Immagine 2" descr="Schermata%202018-09-27%20alle%2017.31.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rmata%202018-09-27%20alle%2017.31.39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461" cy="785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A3B"/>
    <w:multiLevelType w:val="hybridMultilevel"/>
    <w:tmpl w:val="5F968B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2755DF"/>
    <w:multiLevelType w:val="hybridMultilevel"/>
    <w:tmpl w:val="35521C3E"/>
    <w:lvl w:ilvl="0" w:tplc="1CB0EE1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A6306"/>
    <w:multiLevelType w:val="hybridMultilevel"/>
    <w:tmpl w:val="340A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E06EE"/>
    <w:multiLevelType w:val="hybridMultilevel"/>
    <w:tmpl w:val="33D6E4EA"/>
    <w:lvl w:ilvl="0" w:tplc="75FCAE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80BAE"/>
    <w:multiLevelType w:val="hybridMultilevel"/>
    <w:tmpl w:val="37728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63D8E"/>
    <w:multiLevelType w:val="hybridMultilevel"/>
    <w:tmpl w:val="D9040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404EC"/>
    <w:multiLevelType w:val="hybridMultilevel"/>
    <w:tmpl w:val="01A2F934"/>
    <w:lvl w:ilvl="0" w:tplc="1CB0EE1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43637"/>
    <w:multiLevelType w:val="hybridMultilevel"/>
    <w:tmpl w:val="F356F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4E2A"/>
    <w:rsid w:val="00001A9E"/>
    <w:rsid w:val="0004547E"/>
    <w:rsid w:val="000470AC"/>
    <w:rsid w:val="00050313"/>
    <w:rsid w:val="00050B30"/>
    <w:rsid w:val="0005189E"/>
    <w:rsid w:val="00052B85"/>
    <w:rsid w:val="00063806"/>
    <w:rsid w:val="00076B3C"/>
    <w:rsid w:val="00084EC8"/>
    <w:rsid w:val="0009196E"/>
    <w:rsid w:val="00096786"/>
    <w:rsid w:val="000A14E2"/>
    <w:rsid w:val="000A1D21"/>
    <w:rsid w:val="000A2CFB"/>
    <w:rsid w:val="000A54E6"/>
    <w:rsid w:val="000A605A"/>
    <w:rsid w:val="000C5D1E"/>
    <w:rsid w:val="000E615E"/>
    <w:rsid w:val="001004D9"/>
    <w:rsid w:val="00105E95"/>
    <w:rsid w:val="00150AF1"/>
    <w:rsid w:val="001516F1"/>
    <w:rsid w:val="00173B45"/>
    <w:rsid w:val="001A442B"/>
    <w:rsid w:val="001A56CC"/>
    <w:rsid w:val="001A6CE2"/>
    <w:rsid w:val="001B5D0F"/>
    <w:rsid w:val="001D118B"/>
    <w:rsid w:val="001D24BA"/>
    <w:rsid w:val="001E2E1A"/>
    <w:rsid w:val="001F0E53"/>
    <w:rsid w:val="001F1FCF"/>
    <w:rsid w:val="00205973"/>
    <w:rsid w:val="002102EB"/>
    <w:rsid w:val="002446D8"/>
    <w:rsid w:val="00257BDD"/>
    <w:rsid w:val="0026601A"/>
    <w:rsid w:val="00270AC5"/>
    <w:rsid w:val="00271555"/>
    <w:rsid w:val="00296346"/>
    <w:rsid w:val="002B313A"/>
    <w:rsid w:val="002E3E7F"/>
    <w:rsid w:val="002F1C95"/>
    <w:rsid w:val="002F3651"/>
    <w:rsid w:val="0031745B"/>
    <w:rsid w:val="0034423C"/>
    <w:rsid w:val="003553FB"/>
    <w:rsid w:val="00373ED2"/>
    <w:rsid w:val="003921FD"/>
    <w:rsid w:val="003A23CB"/>
    <w:rsid w:val="003B5589"/>
    <w:rsid w:val="003F04AE"/>
    <w:rsid w:val="003F3DB9"/>
    <w:rsid w:val="0041285B"/>
    <w:rsid w:val="00423559"/>
    <w:rsid w:val="004337FC"/>
    <w:rsid w:val="004422C2"/>
    <w:rsid w:val="00446F25"/>
    <w:rsid w:val="00447C50"/>
    <w:rsid w:val="004562F5"/>
    <w:rsid w:val="0045755B"/>
    <w:rsid w:val="00480EC1"/>
    <w:rsid w:val="004B65D0"/>
    <w:rsid w:val="004E2A9C"/>
    <w:rsid w:val="004F2E27"/>
    <w:rsid w:val="004F31D3"/>
    <w:rsid w:val="00520617"/>
    <w:rsid w:val="005948EB"/>
    <w:rsid w:val="005A0897"/>
    <w:rsid w:val="005A2B99"/>
    <w:rsid w:val="005C3D2C"/>
    <w:rsid w:val="005F7CE6"/>
    <w:rsid w:val="00615794"/>
    <w:rsid w:val="00617C97"/>
    <w:rsid w:val="0062137C"/>
    <w:rsid w:val="00656428"/>
    <w:rsid w:val="006666AD"/>
    <w:rsid w:val="006A0839"/>
    <w:rsid w:val="006A5A93"/>
    <w:rsid w:val="006B7316"/>
    <w:rsid w:val="006C5AE4"/>
    <w:rsid w:val="006E57BC"/>
    <w:rsid w:val="00727B73"/>
    <w:rsid w:val="007321C5"/>
    <w:rsid w:val="00755C4B"/>
    <w:rsid w:val="0075631C"/>
    <w:rsid w:val="00762D16"/>
    <w:rsid w:val="007662C2"/>
    <w:rsid w:val="00783CE2"/>
    <w:rsid w:val="00784A72"/>
    <w:rsid w:val="00785434"/>
    <w:rsid w:val="00786FE7"/>
    <w:rsid w:val="007B3D86"/>
    <w:rsid w:val="007C0A69"/>
    <w:rsid w:val="007C1AF4"/>
    <w:rsid w:val="007C4E2A"/>
    <w:rsid w:val="007C6EC1"/>
    <w:rsid w:val="007D2D9B"/>
    <w:rsid w:val="007D4F5F"/>
    <w:rsid w:val="007E6205"/>
    <w:rsid w:val="007E7774"/>
    <w:rsid w:val="0081499A"/>
    <w:rsid w:val="00815CEC"/>
    <w:rsid w:val="00825300"/>
    <w:rsid w:val="00841016"/>
    <w:rsid w:val="00843EE3"/>
    <w:rsid w:val="00845F9F"/>
    <w:rsid w:val="00852892"/>
    <w:rsid w:val="00891760"/>
    <w:rsid w:val="008927B4"/>
    <w:rsid w:val="008D0DB5"/>
    <w:rsid w:val="008E06F2"/>
    <w:rsid w:val="008E34E7"/>
    <w:rsid w:val="008F0150"/>
    <w:rsid w:val="00905020"/>
    <w:rsid w:val="00910A9A"/>
    <w:rsid w:val="00911362"/>
    <w:rsid w:val="00925677"/>
    <w:rsid w:val="00926E4C"/>
    <w:rsid w:val="00932E3A"/>
    <w:rsid w:val="00937B58"/>
    <w:rsid w:val="00942AD6"/>
    <w:rsid w:val="009611A7"/>
    <w:rsid w:val="00963E17"/>
    <w:rsid w:val="009675B9"/>
    <w:rsid w:val="009717AE"/>
    <w:rsid w:val="00973541"/>
    <w:rsid w:val="009C5B7D"/>
    <w:rsid w:val="009F3DDC"/>
    <w:rsid w:val="00A05344"/>
    <w:rsid w:val="00A05976"/>
    <w:rsid w:val="00A10994"/>
    <w:rsid w:val="00A12702"/>
    <w:rsid w:val="00A1752F"/>
    <w:rsid w:val="00A17F24"/>
    <w:rsid w:val="00A80E1C"/>
    <w:rsid w:val="00A854FA"/>
    <w:rsid w:val="00AC3384"/>
    <w:rsid w:val="00AD3328"/>
    <w:rsid w:val="00AD3839"/>
    <w:rsid w:val="00AD6258"/>
    <w:rsid w:val="00B02261"/>
    <w:rsid w:val="00B07641"/>
    <w:rsid w:val="00B127CC"/>
    <w:rsid w:val="00B26226"/>
    <w:rsid w:val="00B30362"/>
    <w:rsid w:val="00B719FE"/>
    <w:rsid w:val="00B72A2D"/>
    <w:rsid w:val="00B81F03"/>
    <w:rsid w:val="00B86918"/>
    <w:rsid w:val="00B87A57"/>
    <w:rsid w:val="00BB305E"/>
    <w:rsid w:val="00BE55D6"/>
    <w:rsid w:val="00BF47F4"/>
    <w:rsid w:val="00BF6A5D"/>
    <w:rsid w:val="00C220B3"/>
    <w:rsid w:val="00C42FC0"/>
    <w:rsid w:val="00C47B28"/>
    <w:rsid w:val="00C567B3"/>
    <w:rsid w:val="00C81E8B"/>
    <w:rsid w:val="00CB0BD3"/>
    <w:rsid w:val="00CC15CF"/>
    <w:rsid w:val="00CC2C9A"/>
    <w:rsid w:val="00CC68E3"/>
    <w:rsid w:val="00CD54CC"/>
    <w:rsid w:val="00CD566F"/>
    <w:rsid w:val="00CE3579"/>
    <w:rsid w:val="00D23FF9"/>
    <w:rsid w:val="00D35C73"/>
    <w:rsid w:val="00D5292B"/>
    <w:rsid w:val="00D8494F"/>
    <w:rsid w:val="00D90AA4"/>
    <w:rsid w:val="00D92673"/>
    <w:rsid w:val="00D92EDD"/>
    <w:rsid w:val="00DE7E9F"/>
    <w:rsid w:val="00DF7B6B"/>
    <w:rsid w:val="00E00CCE"/>
    <w:rsid w:val="00E02FBB"/>
    <w:rsid w:val="00E06A0D"/>
    <w:rsid w:val="00E13D1A"/>
    <w:rsid w:val="00E2587A"/>
    <w:rsid w:val="00E351EA"/>
    <w:rsid w:val="00E45601"/>
    <w:rsid w:val="00E464CF"/>
    <w:rsid w:val="00E7082E"/>
    <w:rsid w:val="00E731E3"/>
    <w:rsid w:val="00E80198"/>
    <w:rsid w:val="00E83794"/>
    <w:rsid w:val="00EA35FD"/>
    <w:rsid w:val="00EB3409"/>
    <w:rsid w:val="00EB4447"/>
    <w:rsid w:val="00EB5321"/>
    <w:rsid w:val="00ED42E0"/>
    <w:rsid w:val="00EE1486"/>
    <w:rsid w:val="00EE5A2A"/>
    <w:rsid w:val="00EF7975"/>
    <w:rsid w:val="00F05F2F"/>
    <w:rsid w:val="00F10E6D"/>
    <w:rsid w:val="00F14C2A"/>
    <w:rsid w:val="00F16C55"/>
    <w:rsid w:val="00F3111B"/>
    <w:rsid w:val="00F3660A"/>
    <w:rsid w:val="00F45086"/>
    <w:rsid w:val="00F640BF"/>
    <w:rsid w:val="00F76B28"/>
    <w:rsid w:val="00F93479"/>
    <w:rsid w:val="00F96F71"/>
    <w:rsid w:val="00FA1AB6"/>
    <w:rsid w:val="00FB1063"/>
    <w:rsid w:val="00FD1DA8"/>
    <w:rsid w:val="00FD3755"/>
    <w:rsid w:val="00FF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8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31">
    <w:name w:val="Corpo del testo 31"/>
    <w:basedOn w:val="Normale"/>
    <w:rsid w:val="007C4E2A"/>
    <w:pPr>
      <w:suppressAutoHyphens/>
    </w:pPr>
    <w:rPr>
      <w:rFonts w:ascii="Tahoma" w:eastAsia="Times New Roman" w:hAnsi="Tahoma" w:cs="Calibri"/>
      <w:sz w:val="22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0E615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61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15E"/>
  </w:style>
  <w:style w:type="paragraph" w:styleId="Pidipagina">
    <w:name w:val="footer"/>
    <w:basedOn w:val="Normale"/>
    <w:link w:val="PidipaginaCarattere"/>
    <w:uiPriority w:val="99"/>
    <w:unhideWhenUsed/>
    <w:rsid w:val="000E61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1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E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EC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F7B6B"/>
    <w:rPr>
      <w:color w:val="0000FF"/>
      <w:u w:val="single"/>
    </w:rPr>
  </w:style>
  <w:style w:type="paragraph" w:customStyle="1" w:styleId="Sottotitolo12">
    <w:name w:val="Sottotitolo 12"/>
    <w:basedOn w:val="Normale"/>
    <w:link w:val="Sottotitolo12Carattere"/>
    <w:qFormat/>
    <w:rsid w:val="00852892"/>
    <w:pPr>
      <w:spacing w:before="120"/>
    </w:pPr>
    <w:rPr>
      <w:rFonts w:ascii="Century Gothic" w:eastAsia="Calibri" w:hAnsi="Century Gothic" w:cs="Times New Roman"/>
      <w:color w:val="404040" w:themeColor="text1" w:themeTint="BF"/>
    </w:rPr>
  </w:style>
  <w:style w:type="character" w:customStyle="1" w:styleId="Sottotitolo12Carattere">
    <w:name w:val="Sottotitolo 12 Carattere"/>
    <w:basedOn w:val="Carpredefinitoparagrafo"/>
    <w:link w:val="Sottotitolo12"/>
    <w:rsid w:val="00852892"/>
    <w:rPr>
      <w:rFonts w:ascii="Century Gothic" w:eastAsia="Calibri" w:hAnsi="Century Gothic" w:cs="Times New Roman"/>
      <w:color w:val="404040" w:themeColor="text1" w:themeTint="BF"/>
    </w:rPr>
  </w:style>
  <w:style w:type="paragraph" w:styleId="NormaleWeb">
    <w:name w:val="Normal (Web)"/>
    <w:basedOn w:val="Normale"/>
    <w:uiPriority w:val="99"/>
    <w:unhideWhenUsed/>
    <w:rsid w:val="009C5B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p1">
    <w:name w:val="p1"/>
    <w:basedOn w:val="Normale"/>
    <w:rsid w:val="00001A9E"/>
    <w:rPr>
      <w:rFonts w:ascii="Helvetica" w:hAnsi="Helvetica" w:cs="Times New Roman"/>
      <w:color w:val="3D3C3B"/>
      <w:sz w:val="15"/>
      <w:szCs w:val="15"/>
      <w:lang w:eastAsia="it-IT"/>
    </w:rPr>
  </w:style>
  <w:style w:type="paragraph" w:customStyle="1" w:styleId="p2">
    <w:name w:val="p2"/>
    <w:basedOn w:val="Normale"/>
    <w:rsid w:val="00785434"/>
    <w:rPr>
      <w:rFonts w:ascii="Helvetica" w:hAnsi="Helvetica" w:cs="Times New Roman"/>
      <w:color w:val="3D3C3B"/>
      <w:sz w:val="11"/>
      <w:szCs w:val="11"/>
      <w:lang w:eastAsia="it-IT"/>
    </w:rPr>
  </w:style>
  <w:style w:type="paragraph" w:customStyle="1" w:styleId="p3">
    <w:name w:val="p3"/>
    <w:basedOn w:val="Normale"/>
    <w:rsid w:val="00785434"/>
    <w:rPr>
      <w:rFonts w:ascii="Helvetica" w:hAnsi="Helvetica" w:cs="Times New Roman"/>
      <w:color w:val="70706F"/>
      <w:sz w:val="15"/>
      <w:szCs w:val="15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Gabetti</Company>
  <LinksUpToDate>false</LinksUpToDate>
  <CharactersWithSpaces>16182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Brambilla</dc:creator>
  <cp:lastModifiedBy>paola</cp:lastModifiedBy>
  <cp:revision>9</cp:revision>
  <dcterms:created xsi:type="dcterms:W3CDTF">2019-09-25T09:20:00Z</dcterms:created>
  <dcterms:modified xsi:type="dcterms:W3CDTF">2019-09-30T08:57:00Z</dcterms:modified>
</cp:coreProperties>
</file>