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13" w:rsidRDefault="001B5413" w:rsidP="001B5413">
      <w:pPr>
        <w:pStyle w:val="Titolo3"/>
        <w:spacing w:before="0" w:after="0" w:line="360" w:lineRule="auto"/>
        <w:jc w:val="center"/>
        <w:rPr>
          <w:sz w:val="28"/>
          <w:szCs w:val="28"/>
        </w:rPr>
      </w:pPr>
      <w:bookmarkStart w:id="0" w:name="_Hlk518985733"/>
      <w:bookmarkEnd w:id="0"/>
    </w:p>
    <w:p w:rsidR="00AC26DC" w:rsidRPr="00772D95" w:rsidRDefault="00AC26DC" w:rsidP="001B5413">
      <w:pPr>
        <w:pStyle w:val="Titolo3"/>
        <w:spacing w:before="0" w:after="0" w:line="360" w:lineRule="auto"/>
        <w:jc w:val="center"/>
        <w:rPr>
          <w:color w:val="FF0000"/>
          <w:sz w:val="28"/>
          <w:szCs w:val="28"/>
          <w:lang w:val="de-DE"/>
        </w:rPr>
      </w:pPr>
    </w:p>
    <w:p w:rsidR="00366487" w:rsidRPr="003A63D2" w:rsidRDefault="00F42DF0" w:rsidP="00366487">
      <w:pPr>
        <w:pStyle w:val="Titolo3"/>
        <w:spacing w:before="0" w:after="0" w:line="360" w:lineRule="auto"/>
        <w:jc w:val="center"/>
        <w:rPr>
          <w:sz w:val="28"/>
          <w:szCs w:val="28"/>
        </w:rPr>
      </w:pPr>
      <w:r>
        <w:rPr>
          <w:sz w:val="28"/>
          <w:szCs w:val="28"/>
        </w:rPr>
        <w:t xml:space="preserve">GERMANY’S OFFICE INVESTMENT MARKET </w:t>
      </w:r>
      <w:r w:rsidR="008D67BE">
        <w:rPr>
          <w:sz w:val="28"/>
          <w:szCs w:val="28"/>
        </w:rPr>
        <w:br/>
        <w:t xml:space="preserve">STILL ELUDING </w:t>
      </w:r>
      <w:r>
        <w:rPr>
          <w:sz w:val="28"/>
          <w:szCs w:val="28"/>
        </w:rPr>
        <w:t>DENT IN ECONOMIC ACTIVITY</w:t>
      </w:r>
    </w:p>
    <w:p w:rsidR="00405880" w:rsidRPr="00665BB0" w:rsidRDefault="00405880" w:rsidP="008E44BF">
      <w:pPr>
        <w:pStyle w:val="Titolo3"/>
        <w:spacing w:before="0" w:after="0" w:line="360" w:lineRule="auto"/>
        <w:jc w:val="center"/>
        <w:rPr>
          <w:sz w:val="28"/>
          <w:szCs w:val="28"/>
          <w:highlight w:val="yellow"/>
        </w:rPr>
      </w:pPr>
    </w:p>
    <w:p w:rsidR="00460D0D" w:rsidRPr="00CE2900" w:rsidRDefault="00460D0D" w:rsidP="00460D0D">
      <w:pPr>
        <w:pStyle w:val="Titolo3"/>
        <w:numPr>
          <w:ilvl w:val="0"/>
          <w:numId w:val="2"/>
        </w:numPr>
        <w:suppressAutoHyphens w:val="0"/>
        <w:autoSpaceDN/>
        <w:spacing w:before="0" w:after="0" w:line="360" w:lineRule="auto"/>
        <w:ind w:left="714" w:hanging="357"/>
        <w:textAlignment w:val="auto"/>
        <w:rPr>
          <w:sz w:val="24"/>
          <w:szCs w:val="24"/>
        </w:rPr>
      </w:pPr>
      <w:r>
        <w:rPr>
          <w:sz w:val="24"/>
          <w:szCs w:val="24"/>
        </w:rPr>
        <w:t>Transaction volume at €20.79 billion – up one percent year on year</w:t>
      </w:r>
    </w:p>
    <w:p w:rsidR="00CE2900" w:rsidRPr="00CE2900" w:rsidRDefault="00CE2900" w:rsidP="00FA024A">
      <w:pPr>
        <w:pStyle w:val="Titolo3"/>
        <w:numPr>
          <w:ilvl w:val="0"/>
          <w:numId w:val="2"/>
        </w:numPr>
        <w:suppressAutoHyphens w:val="0"/>
        <w:autoSpaceDN/>
        <w:spacing w:before="0" w:after="0" w:line="360" w:lineRule="auto"/>
        <w:ind w:left="714" w:hanging="357"/>
        <w:textAlignment w:val="auto"/>
        <w:rPr>
          <w:sz w:val="24"/>
          <w:szCs w:val="24"/>
        </w:rPr>
      </w:pPr>
      <w:r>
        <w:rPr>
          <w:sz w:val="24"/>
          <w:szCs w:val="24"/>
        </w:rPr>
        <w:t>Market share of portfolio transactions climbs to 15 percent</w:t>
      </w:r>
    </w:p>
    <w:p w:rsidR="00460D0D" w:rsidRPr="00CE2900" w:rsidRDefault="00CE2900" w:rsidP="00FA024A">
      <w:pPr>
        <w:pStyle w:val="Titolo3"/>
        <w:numPr>
          <w:ilvl w:val="0"/>
          <w:numId w:val="2"/>
        </w:numPr>
        <w:suppressAutoHyphens w:val="0"/>
        <w:autoSpaceDN/>
        <w:spacing w:before="0" w:after="0" w:line="360" w:lineRule="auto"/>
        <w:ind w:left="714" w:hanging="357"/>
        <w:textAlignment w:val="auto"/>
        <w:rPr>
          <w:sz w:val="24"/>
          <w:szCs w:val="24"/>
        </w:rPr>
      </w:pPr>
      <w:r>
        <w:rPr>
          <w:sz w:val="24"/>
          <w:szCs w:val="24"/>
        </w:rPr>
        <w:t>Prime yield in the Top 7 markets drops to 3.0</w:t>
      </w:r>
      <w:r w:rsidR="00665BB0">
        <w:rPr>
          <w:sz w:val="24"/>
          <w:szCs w:val="24"/>
        </w:rPr>
        <w:t>0</w:t>
      </w:r>
      <w:r>
        <w:rPr>
          <w:sz w:val="24"/>
          <w:szCs w:val="24"/>
        </w:rPr>
        <w:t xml:space="preserve"> percent</w:t>
      </w:r>
    </w:p>
    <w:p w:rsidR="00460D0D" w:rsidRPr="00665BB0" w:rsidRDefault="00460D0D" w:rsidP="00460D0D">
      <w:pPr>
        <w:pStyle w:val="Titolo3"/>
        <w:spacing w:before="0" w:after="0" w:line="360" w:lineRule="auto"/>
        <w:jc w:val="both"/>
        <w:rPr>
          <w:sz w:val="22"/>
          <w:szCs w:val="24"/>
          <w:highlight w:val="yellow"/>
        </w:rPr>
      </w:pPr>
    </w:p>
    <w:p w:rsidR="00BA3B9E" w:rsidRDefault="00460D0D" w:rsidP="00460D0D">
      <w:pPr>
        <w:pStyle w:val="Titolo3"/>
        <w:suppressAutoHyphens w:val="0"/>
        <w:autoSpaceDN/>
        <w:spacing w:before="0" w:after="0" w:line="360" w:lineRule="auto"/>
        <w:contextualSpacing/>
        <w:jc w:val="both"/>
        <w:textAlignment w:val="auto"/>
        <w:rPr>
          <w:b w:val="0"/>
          <w:bCs w:val="0"/>
          <w:sz w:val="22"/>
          <w:szCs w:val="22"/>
        </w:rPr>
      </w:pPr>
      <w:r>
        <w:rPr>
          <w:sz w:val="22"/>
          <w:szCs w:val="22"/>
        </w:rPr>
        <w:t>Frankfurt, October 1</w:t>
      </w:r>
      <w:r w:rsidR="007A470B">
        <w:rPr>
          <w:sz w:val="22"/>
          <w:szCs w:val="22"/>
        </w:rPr>
        <w:t>8</w:t>
      </w:r>
      <w:r>
        <w:rPr>
          <w:sz w:val="22"/>
          <w:szCs w:val="22"/>
        </w:rPr>
        <w:t>, 2019 –</w:t>
      </w:r>
      <w:r>
        <w:rPr>
          <w:b w:val="0"/>
          <w:bCs w:val="0"/>
          <w:sz w:val="22"/>
          <w:szCs w:val="22"/>
        </w:rPr>
        <w:t xml:space="preserve"> The German office investment market came in at €20.79 billion in the first three quarters of 2019, which is slightly higher than in the year-earlier period (up one percent). At 81 percent, the market share attributable to the Top 7 cities also remains stable (down 0.7 percent). By contrast</w:t>
      </w:r>
      <w:r w:rsidR="008D67BE">
        <w:rPr>
          <w:b w:val="0"/>
          <w:bCs w:val="0"/>
          <w:sz w:val="22"/>
          <w:szCs w:val="22"/>
        </w:rPr>
        <w:t>, having posted a mere three percent in the second quarter of 2019</w:t>
      </w:r>
      <w:r>
        <w:rPr>
          <w:b w:val="0"/>
          <w:bCs w:val="0"/>
          <w:sz w:val="22"/>
          <w:szCs w:val="22"/>
        </w:rPr>
        <w:t>, the share of portfolio transactions increased to 15 percent, also due to the sale of the large Generali Millennium Portfolio to Commerz</w:t>
      </w:r>
      <w:r w:rsidR="008D67BE">
        <w:rPr>
          <w:b w:val="0"/>
          <w:bCs w:val="0"/>
          <w:sz w:val="22"/>
          <w:szCs w:val="22"/>
        </w:rPr>
        <w:t xml:space="preserve"> Real</w:t>
      </w:r>
      <w:r>
        <w:rPr>
          <w:b w:val="0"/>
          <w:bCs w:val="0"/>
          <w:sz w:val="22"/>
          <w:szCs w:val="22"/>
        </w:rPr>
        <w:t>. This is a conclusion drawn in a current analysis prepared by the global commercial real estate services company CBRE.</w:t>
      </w:r>
    </w:p>
    <w:p w:rsidR="004A52BB" w:rsidRPr="00665BB0" w:rsidRDefault="004A52BB" w:rsidP="00460D0D">
      <w:pPr>
        <w:pStyle w:val="Titolo3"/>
        <w:suppressAutoHyphens w:val="0"/>
        <w:autoSpaceDN/>
        <w:spacing w:before="0" w:after="0" w:line="360" w:lineRule="auto"/>
        <w:contextualSpacing/>
        <w:jc w:val="both"/>
        <w:textAlignment w:val="auto"/>
        <w:rPr>
          <w:b w:val="0"/>
          <w:bCs w:val="0"/>
          <w:sz w:val="22"/>
          <w:szCs w:val="22"/>
        </w:rPr>
      </w:pPr>
    </w:p>
    <w:p w:rsidR="000A07B3" w:rsidRDefault="004A52BB" w:rsidP="00460D0D">
      <w:pPr>
        <w:pStyle w:val="Titolo3"/>
        <w:suppressAutoHyphens w:val="0"/>
        <w:autoSpaceDN/>
        <w:spacing w:before="0" w:after="0" w:line="360" w:lineRule="auto"/>
        <w:contextualSpacing/>
        <w:jc w:val="both"/>
        <w:textAlignment w:val="auto"/>
        <w:rPr>
          <w:b w:val="0"/>
          <w:bCs w:val="0"/>
          <w:sz w:val="22"/>
          <w:szCs w:val="22"/>
        </w:rPr>
      </w:pPr>
      <w:r>
        <w:rPr>
          <w:b w:val="0"/>
          <w:bCs w:val="0"/>
          <w:sz w:val="22"/>
          <w:szCs w:val="22"/>
        </w:rPr>
        <w:t xml:space="preserve">“The demand for German office real estate is huge, which is corroborated by the prime yields that are already less than three percent in many of Germany’s top markets, for instance in Munich, Berlin and Hamburg. “The only constraint on the transaction volume is supply shortage”, says </w:t>
      </w:r>
      <w:r>
        <w:rPr>
          <w:sz w:val="22"/>
          <w:szCs w:val="22"/>
        </w:rPr>
        <w:t>Fabian Klein</w:t>
      </w:r>
      <w:r>
        <w:rPr>
          <w:b w:val="0"/>
          <w:bCs w:val="0"/>
          <w:sz w:val="22"/>
          <w:szCs w:val="22"/>
        </w:rPr>
        <w:t xml:space="preserve">, Head of Investment at CBRE Germany. Prime yield is running at 3.00 percent across the Top 7 markets, which marks a decline of 21 basis points compared with the corresponding period in 2018. “In fringe locations outside the top locations, yield compression is even steeper,” </w:t>
      </w:r>
      <w:r>
        <w:rPr>
          <w:sz w:val="22"/>
          <w:szCs w:val="22"/>
        </w:rPr>
        <w:t>Klein</w:t>
      </w:r>
      <w:r>
        <w:rPr>
          <w:b w:val="0"/>
          <w:bCs w:val="0"/>
          <w:sz w:val="22"/>
          <w:szCs w:val="22"/>
        </w:rPr>
        <w:t xml:space="preserve"> adds.</w:t>
      </w:r>
    </w:p>
    <w:p w:rsidR="00473CB6" w:rsidRPr="00665BB0" w:rsidRDefault="00473CB6" w:rsidP="00460D0D">
      <w:pPr>
        <w:pStyle w:val="Titolo3"/>
        <w:suppressAutoHyphens w:val="0"/>
        <w:autoSpaceDN/>
        <w:spacing w:before="0" w:after="0" w:line="360" w:lineRule="auto"/>
        <w:contextualSpacing/>
        <w:jc w:val="both"/>
        <w:textAlignment w:val="auto"/>
        <w:rPr>
          <w:b w:val="0"/>
          <w:bCs w:val="0"/>
          <w:sz w:val="22"/>
          <w:szCs w:val="22"/>
        </w:rPr>
      </w:pPr>
    </w:p>
    <w:p w:rsidR="00473CB6" w:rsidRDefault="00473CB6" w:rsidP="00460D0D">
      <w:pPr>
        <w:pStyle w:val="Titolo3"/>
        <w:suppressAutoHyphens w:val="0"/>
        <w:autoSpaceDN/>
        <w:spacing w:before="0" w:after="0" w:line="360" w:lineRule="auto"/>
        <w:contextualSpacing/>
        <w:jc w:val="both"/>
        <w:textAlignment w:val="auto"/>
        <w:rPr>
          <w:b w:val="0"/>
          <w:bCs w:val="0"/>
          <w:sz w:val="22"/>
          <w:szCs w:val="22"/>
        </w:rPr>
      </w:pPr>
      <w:r>
        <w:rPr>
          <w:b w:val="0"/>
          <w:bCs w:val="0"/>
          <w:sz w:val="22"/>
          <w:szCs w:val="22"/>
        </w:rPr>
        <w:t>“The economy is slowing, but the office investment and letting markets nevertheless remain healthy. A closer look at the composition of Germany’s economic growth can shed light on this seeming paradox. In recent years, growth in the service sector was still able to cushion difficulties in production. Now, however, production is shrinking even further and consequently dragging on Germany’s general economic growth. Although the service sector is unable to fully decouple from this fundamental trend, service providers close to the office market and corporates</w:t>
      </w:r>
      <w:r w:rsidR="008D67BE">
        <w:rPr>
          <w:b w:val="0"/>
          <w:bCs w:val="0"/>
          <w:sz w:val="22"/>
          <w:szCs w:val="22"/>
        </w:rPr>
        <w:t>,</w:t>
      </w:r>
      <w:r>
        <w:rPr>
          <w:b w:val="0"/>
          <w:bCs w:val="0"/>
          <w:sz w:val="22"/>
          <w:szCs w:val="22"/>
        </w:rPr>
        <w:t xml:space="preserve"> and characterized by robust levels of employment growth</w:t>
      </w:r>
      <w:r w:rsidR="008D67BE">
        <w:rPr>
          <w:b w:val="0"/>
          <w:bCs w:val="0"/>
          <w:sz w:val="22"/>
          <w:szCs w:val="22"/>
        </w:rPr>
        <w:t>,</w:t>
      </w:r>
      <w:r>
        <w:rPr>
          <w:b w:val="0"/>
          <w:bCs w:val="0"/>
          <w:sz w:val="22"/>
          <w:szCs w:val="22"/>
        </w:rPr>
        <w:t xml:space="preserve"> are still doing well,” explains </w:t>
      </w:r>
      <w:r>
        <w:rPr>
          <w:sz w:val="22"/>
          <w:szCs w:val="22"/>
        </w:rPr>
        <w:t>Dr. Jan Linsin</w:t>
      </w:r>
      <w:r>
        <w:rPr>
          <w:b w:val="0"/>
          <w:bCs w:val="0"/>
          <w:sz w:val="22"/>
          <w:szCs w:val="22"/>
        </w:rPr>
        <w:t>, Head of Research at CBRE Germany.</w:t>
      </w:r>
    </w:p>
    <w:p w:rsidR="00B80C49" w:rsidRPr="00FE3F3A" w:rsidRDefault="00B80C49" w:rsidP="00460D0D">
      <w:pPr>
        <w:pStyle w:val="Titolo3"/>
        <w:suppressAutoHyphens w:val="0"/>
        <w:autoSpaceDN/>
        <w:spacing w:before="0" w:after="0" w:line="360" w:lineRule="auto"/>
        <w:contextualSpacing/>
        <w:jc w:val="both"/>
        <w:textAlignment w:val="auto"/>
        <w:rPr>
          <w:b w:val="0"/>
          <w:bCs w:val="0"/>
          <w:sz w:val="22"/>
          <w:szCs w:val="22"/>
        </w:rPr>
      </w:pPr>
    </w:p>
    <w:p w:rsidR="00B80C49" w:rsidRPr="00B80C49" w:rsidRDefault="00B80C49" w:rsidP="00460D0D">
      <w:pPr>
        <w:pStyle w:val="Titolo3"/>
        <w:suppressAutoHyphens w:val="0"/>
        <w:autoSpaceDN/>
        <w:spacing w:before="0" w:after="0" w:line="360" w:lineRule="auto"/>
        <w:contextualSpacing/>
        <w:jc w:val="both"/>
        <w:textAlignment w:val="auto"/>
        <w:rPr>
          <w:sz w:val="22"/>
          <w:szCs w:val="22"/>
        </w:rPr>
      </w:pPr>
      <w:r>
        <w:rPr>
          <w:sz w:val="22"/>
          <w:szCs w:val="22"/>
        </w:rPr>
        <w:t>Outlook for the full year</w:t>
      </w:r>
    </w:p>
    <w:p w:rsidR="00BA3B9E" w:rsidRPr="00C3781A" w:rsidRDefault="00C3781A" w:rsidP="00460D0D">
      <w:pPr>
        <w:pStyle w:val="Titolo3"/>
        <w:suppressAutoHyphens w:val="0"/>
        <w:autoSpaceDN/>
        <w:spacing w:before="0" w:after="0" w:line="360" w:lineRule="auto"/>
        <w:contextualSpacing/>
        <w:jc w:val="both"/>
        <w:textAlignment w:val="auto"/>
        <w:rPr>
          <w:b w:val="0"/>
          <w:bCs w:val="0"/>
          <w:sz w:val="22"/>
          <w:szCs w:val="22"/>
        </w:rPr>
      </w:pPr>
      <w:r>
        <w:rPr>
          <w:b w:val="0"/>
          <w:bCs w:val="0"/>
          <w:sz w:val="22"/>
          <w:szCs w:val="22"/>
        </w:rPr>
        <w:t xml:space="preserve">“Even if the pipeline is still well filled with a range of large-scale deals, a repeat of the big transaction volume in the final quarter of 2018 is unlikely. “A more likely scenario is that the investment volume for the full year 2019 will settle below the €30 billion threshold,” </w:t>
      </w:r>
      <w:r>
        <w:rPr>
          <w:sz w:val="22"/>
          <w:szCs w:val="22"/>
        </w:rPr>
        <w:t>Klein</w:t>
      </w:r>
      <w:r>
        <w:rPr>
          <w:b w:val="0"/>
          <w:bCs w:val="0"/>
          <w:sz w:val="22"/>
          <w:szCs w:val="22"/>
        </w:rPr>
        <w:t xml:space="preserve"> predicts. “</w:t>
      </w:r>
      <w:r w:rsidR="007B4C2D">
        <w:rPr>
          <w:b w:val="0"/>
          <w:bCs w:val="0"/>
          <w:sz w:val="22"/>
          <w:szCs w:val="22"/>
        </w:rPr>
        <w:t>Yield compression will presumably also be ongoing to some small degree in the coming quarters</w:t>
      </w:r>
      <w:r>
        <w:rPr>
          <w:b w:val="0"/>
          <w:bCs w:val="0"/>
          <w:sz w:val="22"/>
          <w:szCs w:val="22"/>
        </w:rPr>
        <w:t xml:space="preserve">.” </w:t>
      </w:r>
    </w:p>
    <w:p w:rsidR="00BA3B9E" w:rsidRPr="00FE3F3A" w:rsidRDefault="00BA3B9E" w:rsidP="00460D0D">
      <w:pPr>
        <w:pStyle w:val="Titolo3"/>
        <w:suppressAutoHyphens w:val="0"/>
        <w:autoSpaceDN/>
        <w:spacing w:before="0" w:after="0" w:line="360" w:lineRule="auto"/>
        <w:contextualSpacing/>
        <w:jc w:val="both"/>
        <w:textAlignment w:val="auto"/>
        <w:rPr>
          <w:sz w:val="22"/>
          <w:szCs w:val="22"/>
        </w:rPr>
      </w:pPr>
    </w:p>
    <w:p w:rsidR="00222E8E" w:rsidRPr="007F25A8" w:rsidRDefault="00042C88" w:rsidP="0035078D">
      <w:pPr>
        <w:rPr>
          <w:rFonts w:ascii="Arial" w:hAnsi="Arial" w:cs="Arial"/>
          <w:b/>
          <w:sz w:val="22"/>
        </w:rPr>
      </w:pPr>
      <w:r>
        <w:rPr>
          <w:rFonts w:ascii="Arial" w:hAnsi="Arial"/>
          <w:b/>
          <w:sz w:val="22"/>
        </w:rPr>
        <w:t>Office investment market in a y-o-y comparison</w:t>
      </w:r>
    </w:p>
    <w:p w:rsidR="00F44BBE" w:rsidRPr="00FE3F3A" w:rsidRDefault="00F44BBE" w:rsidP="0035078D">
      <w:pPr>
        <w:rPr>
          <w:rFonts w:ascii="Arial" w:hAnsi="Arial" w:cs="Arial"/>
          <w:b/>
          <w:sz w:val="22"/>
        </w:rPr>
      </w:pPr>
    </w:p>
    <w:p w:rsidR="00222E8E" w:rsidRPr="007F25A8" w:rsidRDefault="00F44BBE" w:rsidP="0035078D">
      <w:pPr>
        <w:rPr>
          <w:rFonts w:ascii="Arial" w:hAnsi="Arial" w:cs="Arial"/>
          <w:b/>
          <w:sz w:val="22"/>
        </w:rPr>
      </w:pPr>
      <w:r>
        <w:rPr>
          <w:rFonts w:ascii="Arial" w:hAnsi="Arial"/>
          <w:b/>
          <w:sz w:val="22"/>
        </w:rPr>
        <w:t xml:space="preserve"> </w:t>
      </w:r>
      <w:r w:rsidR="00FE3F3A" w:rsidRPr="00FE3F3A">
        <w:rPr>
          <w:rFonts w:ascii="Arial" w:hAnsi="Arial"/>
          <w:b/>
          <w:noProof/>
          <w:sz w:val="22"/>
          <w:lang w:val="it-IT" w:eastAsia="it-IT"/>
        </w:rPr>
        <w:drawing>
          <wp:inline distT="0" distB="0" distL="0" distR="0">
            <wp:extent cx="5514975" cy="159067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14975" cy="1590675"/>
                    </a:xfrm>
                    <a:prstGeom prst="rect">
                      <a:avLst/>
                    </a:prstGeom>
                    <a:noFill/>
                    <a:ln>
                      <a:noFill/>
                    </a:ln>
                  </pic:spPr>
                </pic:pic>
              </a:graphicData>
            </a:graphic>
          </wp:inline>
        </w:drawing>
      </w:r>
    </w:p>
    <w:p w:rsidR="00F44BBE" w:rsidRPr="007F25A8" w:rsidRDefault="00F44BBE" w:rsidP="0035078D">
      <w:pPr>
        <w:rPr>
          <w:rFonts w:ascii="Arial" w:hAnsi="Arial" w:cs="Arial"/>
          <w:sz w:val="20"/>
          <w:lang w:val="de-DE"/>
        </w:rPr>
      </w:pPr>
    </w:p>
    <w:p w:rsidR="0035078D" w:rsidRPr="007F25A8" w:rsidRDefault="0035078D" w:rsidP="0035078D">
      <w:pPr>
        <w:rPr>
          <w:rFonts w:ascii="Arial" w:hAnsi="Arial" w:cs="Arial"/>
          <w:sz w:val="20"/>
        </w:rPr>
      </w:pPr>
      <w:r>
        <w:rPr>
          <w:rFonts w:ascii="Arial" w:hAnsi="Arial"/>
          <w:sz w:val="20"/>
        </w:rPr>
        <w:t>Source: CBRE Research, Q3 2019.</w:t>
      </w:r>
    </w:p>
    <w:p w:rsidR="00CD5E88" w:rsidRPr="00FE3F3A" w:rsidRDefault="00CD5E88" w:rsidP="0035078D">
      <w:pPr>
        <w:rPr>
          <w:rFonts w:ascii="Arial" w:hAnsi="Arial" w:cs="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A1337F" w:rsidRDefault="00A1337F" w:rsidP="0035078D">
      <w:pPr>
        <w:rPr>
          <w:rFonts w:ascii="Arial" w:hAnsi="Arial"/>
          <w:b/>
          <w:sz w:val="22"/>
        </w:rPr>
      </w:pPr>
    </w:p>
    <w:p w:rsidR="0035078D" w:rsidRPr="00FE3F3A" w:rsidRDefault="0035078D" w:rsidP="0035078D">
      <w:r>
        <w:rPr>
          <w:rFonts w:ascii="Arial" w:hAnsi="Arial"/>
          <w:b/>
          <w:sz w:val="22"/>
        </w:rPr>
        <w:t>Investment volumes, net initial yields &amp; yields of 10-Y Bunds</w:t>
      </w:r>
    </w:p>
    <w:p w:rsidR="00CE3842" w:rsidRDefault="00FE3F3A" w:rsidP="006A3372">
      <w:pPr>
        <w:tabs>
          <w:tab w:val="center" w:pos="4536"/>
        </w:tabs>
        <w:spacing w:line="360" w:lineRule="auto"/>
        <w:jc w:val="both"/>
        <w:rPr>
          <w:rFonts w:ascii="Arial" w:hAnsi="Arial" w:cs="Arial"/>
          <w:sz w:val="20"/>
          <w:szCs w:val="20"/>
        </w:rPr>
      </w:pPr>
      <w:r w:rsidRPr="00FE3F3A">
        <w:rPr>
          <w:rFonts w:ascii="Arial" w:hAnsi="Arial" w:cs="Arial"/>
          <w:noProof/>
          <w:sz w:val="20"/>
          <w:szCs w:val="20"/>
          <w:lang w:val="it-IT" w:eastAsia="it-IT"/>
        </w:rPr>
        <w:lastRenderedPageBreak/>
        <w:drawing>
          <wp:inline distT="0" distB="0" distL="0" distR="0">
            <wp:extent cx="6057900" cy="3271117"/>
            <wp:effectExtent l="0" t="0" r="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57900" cy="3271117"/>
                    </a:xfrm>
                    <a:prstGeom prst="rect">
                      <a:avLst/>
                    </a:prstGeom>
                    <a:noFill/>
                    <a:ln>
                      <a:noFill/>
                    </a:ln>
                  </pic:spPr>
                </pic:pic>
              </a:graphicData>
            </a:graphic>
          </wp:inline>
        </w:drawing>
      </w:r>
    </w:p>
    <w:p w:rsidR="00CE3842" w:rsidRDefault="00CD5E88" w:rsidP="006A3372">
      <w:pPr>
        <w:tabs>
          <w:tab w:val="center" w:pos="4536"/>
        </w:tabs>
        <w:spacing w:line="360" w:lineRule="auto"/>
        <w:jc w:val="both"/>
        <w:rPr>
          <w:rFonts w:ascii="Arial" w:hAnsi="Arial"/>
          <w:sz w:val="20"/>
          <w:szCs w:val="20"/>
        </w:rPr>
      </w:pPr>
      <w:r>
        <w:rPr>
          <w:rFonts w:ascii="Arial" w:hAnsi="Arial"/>
          <w:sz w:val="20"/>
          <w:szCs w:val="20"/>
        </w:rPr>
        <w:t>Source: CBRE Research, Q3 2019.</w:t>
      </w:r>
    </w:p>
    <w:p w:rsidR="00A1337F" w:rsidRPr="00CD5E88" w:rsidRDefault="00A1337F" w:rsidP="006A3372">
      <w:pPr>
        <w:tabs>
          <w:tab w:val="center" w:pos="4536"/>
        </w:tabs>
        <w:spacing w:line="360" w:lineRule="auto"/>
        <w:jc w:val="both"/>
        <w:rPr>
          <w:rFonts w:ascii="Arial" w:hAnsi="Arial" w:cs="Arial"/>
          <w:sz w:val="20"/>
          <w:szCs w:val="20"/>
        </w:rPr>
      </w:pPr>
    </w:p>
    <w:p w:rsidR="0035078D" w:rsidRPr="007F25A8" w:rsidRDefault="0035078D" w:rsidP="0035078D">
      <w:pPr>
        <w:tabs>
          <w:tab w:val="center" w:pos="4536"/>
        </w:tabs>
        <w:spacing w:line="360" w:lineRule="auto"/>
        <w:jc w:val="both"/>
        <w:rPr>
          <w:rFonts w:ascii="Arial" w:hAnsi="Arial" w:cs="Arial"/>
          <w:b/>
          <w:sz w:val="22"/>
        </w:rPr>
      </w:pPr>
      <w:r>
        <w:rPr>
          <w:rFonts w:ascii="Arial" w:hAnsi="Arial"/>
          <w:b/>
          <w:sz w:val="22"/>
        </w:rPr>
        <w:t>Prime yield for office properties by sub-market cluster</w:t>
      </w:r>
    </w:p>
    <w:p w:rsidR="0035078D" w:rsidRPr="007F25A8" w:rsidRDefault="0063576E" w:rsidP="0035078D">
      <w:r>
        <w:t xml:space="preserve"> </w:t>
      </w:r>
      <w:r w:rsidR="00FE3F3A" w:rsidRPr="00FE3F3A">
        <w:rPr>
          <w:noProof/>
          <w:lang w:val="it-IT" w:eastAsia="it-IT"/>
        </w:rPr>
        <w:drawing>
          <wp:inline distT="0" distB="0" distL="0" distR="0">
            <wp:extent cx="5076825" cy="391477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76825" cy="3914775"/>
                    </a:xfrm>
                    <a:prstGeom prst="rect">
                      <a:avLst/>
                    </a:prstGeom>
                    <a:noFill/>
                    <a:ln>
                      <a:noFill/>
                    </a:ln>
                  </pic:spPr>
                </pic:pic>
              </a:graphicData>
            </a:graphic>
          </wp:inline>
        </w:drawing>
      </w:r>
    </w:p>
    <w:p w:rsidR="0035078D" w:rsidRPr="0019626B" w:rsidRDefault="0035078D" w:rsidP="00416D28">
      <w:pPr>
        <w:tabs>
          <w:tab w:val="center" w:pos="4536"/>
        </w:tabs>
        <w:spacing w:line="360" w:lineRule="auto"/>
        <w:jc w:val="both"/>
        <w:rPr>
          <w:rFonts w:ascii="Arial" w:hAnsi="Arial" w:cs="Arial"/>
          <w:sz w:val="20"/>
          <w:szCs w:val="20"/>
          <w:highlight w:val="yellow"/>
        </w:rPr>
      </w:pPr>
      <w:r>
        <w:rPr>
          <w:rFonts w:ascii="Arial" w:hAnsi="Arial"/>
          <w:sz w:val="20"/>
          <w:szCs w:val="20"/>
        </w:rPr>
        <w:t>Source: CBRE Research, Q3 2019.</w:t>
      </w:r>
    </w:p>
    <w:p w:rsidR="007F25A8" w:rsidRDefault="007F25A8" w:rsidP="00416D28">
      <w:pPr>
        <w:spacing w:line="360" w:lineRule="auto"/>
        <w:jc w:val="both"/>
        <w:rPr>
          <w:rFonts w:ascii="Arial" w:hAnsi="Arial" w:cs="Arial"/>
          <w:b/>
          <w:sz w:val="22"/>
          <w:highlight w:val="yellow"/>
        </w:rPr>
      </w:pPr>
    </w:p>
    <w:p w:rsidR="0035078D" w:rsidRPr="007F25A8" w:rsidRDefault="0035078D" w:rsidP="00416D28">
      <w:pPr>
        <w:spacing w:line="360" w:lineRule="auto"/>
        <w:jc w:val="both"/>
        <w:rPr>
          <w:rFonts w:ascii="Arial" w:hAnsi="Arial" w:cs="Arial"/>
          <w:b/>
          <w:sz w:val="22"/>
        </w:rPr>
      </w:pPr>
      <w:r>
        <w:rPr>
          <w:rFonts w:ascii="Arial" w:hAnsi="Arial"/>
          <w:b/>
          <w:sz w:val="22"/>
        </w:rPr>
        <w:lastRenderedPageBreak/>
        <w:t>Office investment volume by location</w:t>
      </w:r>
    </w:p>
    <w:p w:rsidR="0035078D" w:rsidRPr="007F25A8" w:rsidRDefault="0063576E" w:rsidP="0035078D">
      <w:r>
        <w:t xml:space="preserve"> </w:t>
      </w:r>
      <w:r w:rsidR="00FE3F3A" w:rsidRPr="00FE3F3A">
        <w:rPr>
          <w:noProof/>
          <w:lang w:val="it-IT" w:eastAsia="it-IT"/>
        </w:rPr>
        <w:drawing>
          <wp:inline distT="0" distB="0" distL="0" distR="0">
            <wp:extent cx="5153025" cy="358155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4987"/>
                    <a:stretch/>
                  </pic:blipFill>
                  <pic:spPr bwMode="auto">
                    <a:xfrm>
                      <a:off x="0" y="0"/>
                      <a:ext cx="5160209" cy="358654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5078D" w:rsidRPr="00D9006A" w:rsidRDefault="0035078D" w:rsidP="0035078D">
      <w:pPr>
        <w:tabs>
          <w:tab w:val="center" w:pos="4536"/>
        </w:tabs>
        <w:spacing w:line="360" w:lineRule="auto"/>
        <w:jc w:val="both"/>
        <w:rPr>
          <w:rFonts w:ascii="Arial" w:hAnsi="Arial" w:cs="Arial"/>
          <w:sz w:val="20"/>
          <w:szCs w:val="20"/>
        </w:rPr>
      </w:pPr>
      <w:r>
        <w:rPr>
          <w:rFonts w:ascii="Arial" w:hAnsi="Arial"/>
          <w:sz w:val="20"/>
          <w:szCs w:val="20"/>
        </w:rPr>
        <w:t>Source: CBRE Research, Q3 2019.</w:t>
      </w:r>
    </w:p>
    <w:p w:rsidR="00B11A9A" w:rsidRPr="00FE3F3A" w:rsidRDefault="00B11A9A" w:rsidP="00B11A9A">
      <w:pPr>
        <w:rPr>
          <w:rFonts w:ascii="Arial" w:hAnsi="Arial" w:cs="Arial"/>
        </w:rPr>
      </w:pPr>
    </w:p>
    <w:p w:rsidR="00255AF4" w:rsidRPr="00FA314A" w:rsidRDefault="00255AF4" w:rsidP="00255AF4">
      <w:pPr>
        <w:spacing w:line="360" w:lineRule="auto"/>
        <w:ind w:right="72"/>
        <w:jc w:val="both"/>
        <w:rPr>
          <w:rFonts w:ascii="Arial" w:hAnsi="Arial" w:cs="Arial"/>
          <w:b/>
          <w:bCs/>
          <w:color w:val="000000"/>
          <w:sz w:val="16"/>
          <w:szCs w:val="16"/>
          <w:u w:val="single"/>
        </w:rPr>
      </w:pPr>
      <w:r>
        <w:rPr>
          <w:rFonts w:ascii="Arial" w:hAnsi="Arial"/>
          <w:b/>
          <w:bCs/>
          <w:color w:val="000000"/>
          <w:sz w:val="16"/>
          <w:szCs w:val="16"/>
          <w:u w:val="single"/>
        </w:rPr>
        <w:t>More information on CBRE:</w:t>
      </w:r>
    </w:p>
    <w:p w:rsidR="00255AF4" w:rsidRPr="00314C0E" w:rsidRDefault="00255AF4" w:rsidP="00255AF4">
      <w:pPr>
        <w:spacing w:line="360" w:lineRule="auto"/>
        <w:ind w:right="72"/>
        <w:jc w:val="both"/>
        <w:rPr>
          <w:rStyle w:val="Enfasicorsivo"/>
          <w:rFonts w:ascii="Arial" w:hAnsi="Arial" w:cs="Arial"/>
          <w:i w:val="0"/>
          <w:sz w:val="16"/>
          <w:szCs w:val="16"/>
        </w:rPr>
      </w:pPr>
      <w:r>
        <w:rPr>
          <w:rStyle w:val="Enfasicorsivo"/>
          <w:rFonts w:ascii="Arial" w:hAnsi="Arial"/>
          <w:i w:val="0"/>
          <w:color w:val="000000"/>
          <w:sz w:val="16"/>
          <w:szCs w:val="16"/>
        </w:rPr>
        <w:t xml:space="preserve">CBRE Group, Inc. (NYSE:CBRE), a Fortune 500 and S&amp;P 500 company headquartered in Los Angeles, is the world’s largest commercial real estate services and investment firm (based on 2018 revenue). The company has more than 90,000 employees (excluding affiliates), and serves real estate investors and occupiers through approximately 480 offices (excluding affiliates) worldwide. </w:t>
      </w:r>
    </w:p>
    <w:p w:rsidR="00255AF4" w:rsidRPr="00FE3F3A" w:rsidRDefault="00255AF4" w:rsidP="00255AF4">
      <w:pPr>
        <w:spacing w:line="360" w:lineRule="auto"/>
        <w:ind w:right="72"/>
        <w:jc w:val="both"/>
        <w:rPr>
          <w:rStyle w:val="Enfasicorsivo"/>
          <w:rFonts w:ascii="Arial" w:hAnsi="Arial" w:cs="Arial"/>
          <w:i w:val="0"/>
          <w:color w:val="000000"/>
          <w:sz w:val="16"/>
          <w:szCs w:val="16"/>
        </w:rPr>
      </w:pPr>
    </w:p>
    <w:p w:rsidR="00255AF4" w:rsidRPr="00314C0E" w:rsidRDefault="00255AF4" w:rsidP="00255AF4">
      <w:pPr>
        <w:spacing w:line="360" w:lineRule="auto"/>
        <w:ind w:right="72"/>
        <w:jc w:val="both"/>
        <w:rPr>
          <w:rStyle w:val="Enfasicorsivo"/>
          <w:rFonts w:ascii="Arial" w:hAnsi="Arial" w:cs="Arial"/>
          <w:i w:val="0"/>
          <w:color w:val="000000"/>
          <w:sz w:val="16"/>
          <w:szCs w:val="16"/>
        </w:rPr>
      </w:pPr>
      <w:r>
        <w:rPr>
          <w:rStyle w:val="Enfasicorsivo"/>
          <w:rFonts w:ascii="Arial" w:hAnsi="Arial"/>
          <w:i w:val="0"/>
          <w:color w:val="000000"/>
          <w:sz w:val="16"/>
          <w:szCs w:val="16"/>
        </w:rPr>
        <w:t>CBRE offers a broad range of integrated services for the entire life cycle of a property, from strategic, digital and technical advice such as in sales and acquisitions or renting and letting, to managing and valuing properties to portfolio, transaction, project and facility management. CBRE offers individual advice for all asset classes from a single source.</w:t>
      </w:r>
    </w:p>
    <w:p w:rsidR="00255AF4" w:rsidRPr="00FE3F3A" w:rsidRDefault="00255AF4" w:rsidP="00255AF4">
      <w:pPr>
        <w:spacing w:line="360" w:lineRule="auto"/>
        <w:ind w:right="72"/>
        <w:jc w:val="both"/>
        <w:rPr>
          <w:rStyle w:val="Enfasicorsivo"/>
          <w:rFonts w:ascii="Arial" w:hAnsi="Arial" w:cs="Arial"/>
          <w:i w:val="0"/>
          <w:color w:val="000000"/>
          <w:sz w:val="16"/>
          <w:szCs w:val="16"/>
        </w:rPr>
      </w:pPr>
    </w:p>
    <w:p w:rsidR="005B67A7" w:rsidRDefault="00255AF4" w:rsidP="00A1337F">
      <w:pPr>
        <w:spacing w:line="360" w:lineRule="auto"/>
        <w:ind w:right="72"/>
        <w:jc w:val="both"/>
        <w:rPr>
          <w:rStyle w:val="Collegamentoipertestuale"/>
          <w:rFonts w:ascii="Arial" w:hAnsi="Arial" w:cs="Arial"/>
          <w:sz w:val="16"/>
          <w:szCs w:val="16"/>
        </w:rPr>
      </w:pPr>
      <w:r>
        <w:rPr>
          <w:rStyle w:val="Enfasicorsivo"/>
          <w:rFonts w:ascii="Arial" w:hAnsi="Arial"/>
          <w:i w:val="0"/>
          <w:color w:val="000000"/>
          <w:sz w:val="16"/>
          <w:szCs w:val="16"/>
        </w:rPr>
        <w:t>CBRE Germany has been represented by its head office in Frankfurt am Main since 1973; there are further branch offices in Berlin, Düsseldorf, Essen, Hamburg, Cologne, Munich and Stuttgart.</w:t>
      </w:r>
      <w:r>
        <w:rPr>
          <w:rFonts w:ascii="Arial" w:hAnsi="Arial"/>
          <w:i/>
          <w:sz w:val="16"/>
          <w:szCs w:val="16"/>
        </w:rPr>
        <w:t xml:space="preserve"> </w:t>
      </w:r>
      <w:hyperlink r:id="rId15" w:history="1">
        <w:r>
          <w:rPr>
            <w:rStyle w:val="Collegamentoipertestuale"/>
            <w:rFonts w:ascii="Arial" w:hAnsi="Arial"/>
            <w:sz w:val="16"/>
            <w:szCs w:val="16"/>
          </w:rPr>
          <w:t>www.cbre.de</w:t>
        </w:r>
      </w:hyperlink>
      <w:r>
        <w:rPr>
          <w:rStyle w:val="Collegamentoipertestuale"/>
          <w:rFonts w:ascii="Arial" w:hAnsi="Arial"/>
          <w:sz w:val="16"/>
          <w:szCs w:val="16"/>
        </w:rPr>
        <w:t xml:space="preserve"> </w:t>
      </w:r>
    </w:p>
    <w:p w:rsidR="00A1337F" w:rsidRPr="00A1337F" w:rsidRDefault="00A1337F" w:rsidP="00A1337F">
      <w:pPr>
        <w:spacing w:line="360" w:lineRule="auto"/>
        <w:ind w:right="72"/>
        <w:jc w:val="both"/>
        <w:rPr>
          <w:rFonts w:ascii="Arial" w:hAnsi="Arial" w:cs="Arial"/>
          <w:color w:val="0000FF"/>
          <w:sz w:val="16"/>
          <w:szCs w:val="16"/>
          <w:u w:val="single"/>
        </w:rPr>
      </w:pPr>
    </w:p>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3"/>
        <w:gridCol w:w="4762"/>
      </w:tblGrid>
      <w:tr w:rsidR="00514CF3" w:rsidRPr="00446AC2" w:rsidTr="00514CF3">
        <w:tc>
          <w:tcPr>
            <w:tcW w:w="4903" w:type="dxa"/>
          </w:tcPr>
          <w:p w:rsidR="00514CF3" w:rsidRPr="00D9006A" w:rsidRDefault="00514CF3" w:rsidP="0067111F">
            <w:pPr>
              <w:suppressAutoHyphens w:val="0"/>
              <w:spacing w:after="200" w:line="276" w:lineRule="auto"/>
              <w:rPr>
                <w:rFonts w:ascii="Arial" w:hAnsi="Arial" w:cs="Arial"/>
                <w:b/>
                <w:sz w:val="20"/>
                <w:lang w:val="pt-BR"/>
              </w:rPr>
            </w:pPr>
          </w:p>
        </w:tc>
        <w:tc>
          <w:tcPr>
            <w:tcW w:w="4762" w:type="dxa"/>
          </w:tcPr>
          <w:p w:rsidR="00514CF3" w:rsidRPr="00D9006A" w:rsidRDefault="00514CF3" w:rsidP="0061485E">
            <w:pPr>
              <w:pStyle w:val="MainText"/>
              <w:tabs>
                <w:tab w:val="left" w:pos="3686"/>
                <w:tab w:val="left" w:pos="5954"/>
              </w:tabs>
              <w:spacing w:line="240" w:lineRule="auto"/>
              <w:ind w:left="142"/>
              <w:rPr>
                <w:rFonts w:ascii="Arial" w:hAnsi="Arial" w:cs="Arial"/>
                <w:b/>
                <w:sz w:val="20"/>
                <w:lang w:val="pt-BR"/>
              </w:rPr>
            </w:pPr>
          </w:p>
        </w:tc>
      </w:tr>
      <w:tr w:rsidR="00514CF3" w:rsidRPr="00446AC2" w:rsidTr="00514CF3">
        <w:tc>
          <w:tcPr>
            <w:tcW w:w="4903" w:type="dxa"/>
          </w:tcPr>
          <w:p w:rsidR="00514CF3" w:rsidRPr="00D9006A" w:rsidRDefault="00514CF3" w:rsidP="0061485E">
            <w:pPr>
              <w:ind w:left="142"/>
              <w:rPr>
                <w:rFonts w:ascii="Arial" w:hAnsi="Arial" w:cs="Arial"/>
                <w:b/>
                <w:sz w:val="20"/>
              </w:rPr>
            </w:pPr>
          </w:p>
        </w:tc>
        <w:tc>
          <w:tcPr>
            <w:tcW w:w="4762" w:type="dxa"/>
          </w:tcPr>
          <w:p w:rsidR="00514CF3" w:rsidRPr="00D9006A" w:rsidRDefault="00514CF3" w:rsidP="0061485E">
            <w:pPr>
              <w:pStyle w:val="MainText"/>
              <w:tabs>
                <w:tab w:val="left" w:pos="3686"/>
                <w:tab w:val="left" w:pos="5954"/>
              </w:tabs>
              <w:spacing w:line="240" w:lineRule="auto"/>
              <w:ind w:left="142"/>
              <w:rPr>
                <w:rFonts w:ascii="Arial" w:hAnsi="Arial" w:cs="Arial"/>
                <w:b/>
                <w:sz w:val="20"/>
                <w:lang w:val="pt-BR"/>
              </w:rPr>
            </w:pPr>
          </w:p>
        </w:tc>
      </w:tr>
      <w:tr w:rsidR="00514CF3" w:rsidRPr="00446AC2" w:rsidTr="00514CF3">
        <w:tc>
          <w:tcPr>
            <w:tcW w:w="4903" w:type="dxa"/>
          </w:tcPr>
          <w:p w:rsidR="00514CF3" w:rsidRPr="00D9006A" w:rsidRDefault="00514CF3" w:rsidP="0061485E">
            <w:pPr>
              <w:ind w:left="142"/>
              <w:rPr>
                <w:rFonts w:ascii="Arial" w:hAnsi="Arial" w:cs="Arial"/>
                <w:b/>
                <w:sz w:val="20"/>
              </w:rPr>
            </w:pPr>
          </w:p>
        </w:tc>
        <w:tc>
          <w:tcPr>
            <w:tcW w:w="4762" w:type="dxa"/>
          </w:tcPr>
          <w:p w:rsidR="00514CF3" w:rsidRPr="00D9006A" w:rsidRDefault="00514CF3" w:rsidP="0061485E">
            <w:pPr>
              <w:pStyle w:val="MainText"/>
              <w:tabs>
                <w:tab w:val="left" w:pos="3686"/>
                <w:tab w:val="left" w:pos="5954"/>
              </w:tabs>
              <w:spacing w:line="240" w:lineRule="auto"/>
              <w:ind w:left="142"/>
              <w:rPr>
                <w:rFonts w:ascii="Arial" w:hAnsi="Arial" w:cs="Arial"/>
                <w:b/>
                <w:sz w:val="20"/>
                <w:lang w:val="pt-BR"/>
              </w:rPr>
            </w:pPr>
          </w:p>
        </w:tc>
      </w:tr>
      <w:tr w:rsidR="00514CF3" w:rsidRPr="00446AC2" w:rsidTr="00514CF3">
        <w:tc>
          <w:tcPr>
            <w:tcW w:w="4903" w:type="dxa"/>
          </w:tcPr>
          <w:p w:rsidR="00514CF3" w:rsidRPr="00D9006A" w:rsidRDefault="00514CF3" w:rsidP="00514CF3">
            <w:pPr>
              <w:pStyle w:val="MainText"/>
              <w:tabs>
                <w:tab w:val="left" w:pos="3686"/>
                <w:tab w:val="left" w:pos="5954"/>
              </w:tabs>
              <w:spacing w:line="240" w:lineRule="auto"/>
              <w:ind w:left="142"/>
              <w:rPr>
                <w:rFonts w:ascii="Arial" w:hAnsi="Arial" w:cs="Arial"/>
                <w:b/>
                <w:sz w:val="20"/>
              </w:rPr>
            </w:pPr>
          </w:p>
        </w:tc>
        <w:tc>
          <w:tcPr>
            <w:tcW w:w="4762" w:type="dxa"/>
          </w:tcPr>
          <w:p w:rsidR="00514CF3" w:rsidRPr="00D9006A" w:rsidRDefault="00514CF3" w:rsidP="0061485E">
            <w:pPr>
              <w:pStyle w:val="MainText"/>
              <w:tabs>
                <w:tab w:val="left" w:pos="3686"/>
                <w:tab w:val="left" w:pos="5954"/>
              </w:tabs>
              <w:spacing w:line="240" w:lineRule="auto"/>
              <w:ind w:left="142"/>
              <w:rPr>
                <w:rFonts w:ascii="Arial" w:hAnsi="Arial" w:cs="Arial"/>
                <w:b/>
                <w:sz w:val="20"/>
                <w:lang w:val="pt-BR"/>
              </w:rPr>
            </w:pPr>
          </w:p>
        </w:tc>
      </w:tr>
      <w:tr w:rsidR="00514CF3" w:rsidRPr="00446AC2" w:rsidTr="00514CF3">
        <w:tc>
          <w:tcPr>
            <w:tcW w:w="4903" w:type="dxa"/>
          </w:tcPr>
          <w:p w:rsidR="00514CF3" w:rsidRPr="00D9006A" w:rsidRDefault="00514CF3" w:rsidP="0061485E">
            <w:pPr>
              <w:ind w:left="142"/>
              <w:rPr>
                <w:rFonts w:ascii="Arial" w:hAnsi="Arial" w:cs="Arial"/>
                <w:b/>
                <w:sz w:val="20"/>
              </w:rPr>
            </w:pPr>
          </w:p>
        </w:tc>
        <w:tc>
          <w:tcPr>
            <w:tcW w:w="4762" w:type="dxa"/>
          </w:tcPr>
          <w:p w:rsidR="00514CF3" w:rsidRPr="00D9006A" w:rsidRDefault="00514CF3" w:rsidP="0061485E">
            <w:pPr>
              <w:pStyle w:val="MainText"/>
              <w:tabs>
                <w:tab w:val="left" w:pos="3686"/>
                <w:tab w:val="left" w:pos="5954"/>
              </w:tabs>
              <w:spacing w:line="240" w:lineRule="auto"/>
              <w:ind w:left="142"/>
              <w:rPr>
                <w:rFonts w:ascii="Arial" w:hAnsi="Arial" w:cs="Arial"/>
                <w:b/>
                <w:sz w:val="20"/>
                <w:lang w:val="pt-BR"/>
              </w:rPr>
            </w:pPr>
          </w:p>
        </w:tc>
      </w:tr>
    </w:tbl>
    <w:p w:rsidR="00514CF3" w:rsidRPr="00D9006A" w:rsidRDefault="00514CF3" w:rsidP="00514CF3">
      <w:pPr>
        <w:ind w:left="142"/>
        <w:rPr>
          <w:rFonts w:ascii="Futura Lt BT" w:hAnsi="Futura Lt BT" w:cs="Arial"/>
          <w:sz w:val="20"/>
          <w:szCs w:val="20"/>
          <w:lang w:val="pt-BR"/>
        </w:rPr>
      </w:pPr>
    </w:p>
    <w:p w:rsidR="00514CF3" w:rsidRPr="00D9006A" w:rsidRDefault="00514CF3" w:rsidP="00514CF3">
      <w:pPr>
        <w:rPr>
          <w:rFonts w:ascii="Arial" w:hAnsi="Arial" w:cs="Arial"/>
          <w:sz w:val="20"/>
          <w:szCs w:val="20"/>
          <w:lang w:val="de-DE"/>
        </w:rPr>
      </w:pPr>
    </w:p>
    <w:p w:rsidR="00514CF3" w:rsidRPr="00760695" w:rsidRDefault="00514CF3" w:rsidP="00514CF3">
      <w:pPr>
        <w:rPr>
          <w:rFonts w:ascii="Arial" w:hAnsi="Arial" w:cs="Arial"/>
          <w:sz w:val="20"/>
          <w:szCs w:val="20"/>
        </w:rPr>
      </w:pPr>
      <w:r>
        <w:rPr>
          <w:rStyle w:val="Collegamentoipertestuale"/>
          <w:rFonts w:ascii="Arial" w:hAnsi="Arial"/>
          <w:sz w:val="20"/>
        </w:rPr>
        <w:br/>
      </w:r>
      <w:r>
        <w:rPr>
          <w:rStyle w:val="Collegamentoipertestuale"/>
          <w:rFonts w:ascii="Arial" w:hAnsi="Arial"/>
          <w:sz w:val="20"/>
        </w:rPr>
        <w:br/>
      </w:r>
      <w:r>
        <w:rPr>
          <w:noProof/>
          <w:lang w:val="it-IT" w:eastAsia="it-IT"/>
        </w:rPr>
        <w:drawing>
          <wp:inline distT="0" distB="0" distL="0" distR="0">
            <wp:extent cx="353835" cy="287079"/>
            <wp:effectExtent l="0" t="0" r="8255" b="0"/>
            <wp:docPr id="6" name="Grafik 6" descr="Bildergebni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ildergebnis">
                      <a:hlinkClick r:id="rId16"/>
                    </pic:cNvPr>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0753" cy="300805"/>
                    </a:xfrm>
                    <a:prstGeom prst="rect">
                      <a:avLst/>
                    </a:prstGeom>
                    <a:noFill/>
                    <a:ln>
                      <a:noFill/>
                    </a:ln>
                  </pic:spPr>
                </pic:pic>
              </a:graphicData>
            </a:graphic>
          </wp:inline>
        </w:drawing>
      </w:r>
      <w:r>
        <w:rPr>
          <w:rStyle w:val="Collegamentoipertestuale"/>
          <w:rFonts w:ascii="Arial" w:hAnsi="Arial"/>
          <w:sz w:val="20"/>
        </w:rPr>
        <w:t xml:space="preserve">     </w:t>
      </w:r>
      <w:r>
        <w:rPr>
          <w:noProof/>
          <w:lang w:val="it-IT" w:eastAsia="it-IT"/>
        </w:rPr>
        <w:drawing>
          <wp:inline distT="0" distB="0" distL="0" distR="0">
            <wp:extent cx="323850" cy="349847"/>
            <wp:effectExtent l="0" t="0" r="0" b="0"/>
            <wp:docPr id="8" name="Grafik 8" descr="Bildergebni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Bildergebnis">
                      <a:hlinkClick r:id="rId18"/>
                    </pic:cNvPr>
                    <pic:cNvPicPr>
                      <a:picLocks noChangeAspect="1" noChangeArrowheads="1"/>
                    </pic:cNvPicPr>
                  </pic:nvPicPr>
                  <pic:blipFill rotWithShape="1">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4859" b="30825"/>
                    <a:stretch/>
                  </pic:blipFill>
                  <pic:spPr bwMode="auto">
                    <a:xfrm>
                      <a:off x="0" y="0"/>
                      <a:ext cx="347289" cy="37516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rFonts w:ascii="Arial" w:hAnsi="Arial"/>
          <w:color w:val="0000FF"/>
          <w:sz w:val="20"/>
          <w:u w:val="single"/>
        </w:rPr>
        <w:t xml:space="preserve">     </w:t>
      </w:r>
      <w:r>
        <w:rPr>
          <w:noProof/>
          <w:lang w:val="it-IT" w:eastAsia="it-IT"/>
        </w:rPr>
        <w:drawing>
          <wp:inline distT="0" distB="0" distL="0" distR="0">
            <wp:extent cx="324426" cy="318977"/>
            <wp:effectExtent l="0" t="0" r="0" b="5080"/>
            <wp:docPr id="7" name="Grafik 7" descr="Log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Logo">
                      <a:hlinkClick r:id="rId20"/>
                    </pic:cNvPr>
                    <pic:cNvPicPr>
                      <a:picLocks noChangeAspect="1" noChangeArrowheads="1"/>
                    </pic:cNvPicPr>
                  </pic:nvPicPr>
                  <pic:blipFill rotWithShape="1">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2316"/>
                    <a:stretch/>
                  </pic:blipFill>
                  <pic:spPr bwMode="auto">
                    <a:xfrm>
                      <a:off x="0" y="0"/>
                      <a:ext cx="329816" cy="32427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14CF3" w:rsidRPr="00252F8B" w:rsidRDefault="00514CF3" w:rsidP="00604EB7">
      <w:pPr>
        <w:pStyle w:val="NormaleWeb"/>
        <w:spacing w:beforeAutospacing="1" w:afterAutospacing="1" w:line="360" w:lineRule="auto"/>
        <w:jc w:val="both"/>
        <w:rPr>
          <w:rFonts w:ascii="Arial" w:hAnsi="Arial" w:cs="Arial"/>
          <w:sz w:val="20"/>
          <w:szCs w:val="22"/>
        </w:rPr>
      </w:pPr>
    </w:p>
    <w:sectPr w:rsidR="00514CF3" w:rsidRPr="00252F8B" w:rsidSect="006164ED">
      <w:headerReference w:type="default" r:id="rId22"/>
      <w:headerReference w:type="first" r:id="rId23"/>
      <w:pgSz w:w="12240" w:h="15840"/>
      <w:pgMar w:top="1800" w:right="1440" w:bottom="900" w:left="12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530" w:rsidRDefault="00642530">
      <w:r>
        <w:separator/>
      </w:r>
    </w:p>
  </w:endnote>
  <w:endnote w:type="continuationSeparator" w:id="0">
    <w:p w:rsidR="00642530" w:rsidRDefault="00642530">
      <w:r>
        <w:continuationSeparator/>
      </w:r>
    </w:p>
  </w:endnote>
  <w:endnote w:type="continuationNotice" w:id="1">
    <w:p w:rsidR="00642530" w:rsidRDefault="0064253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utura Bk BT">
    <w:altName w:val="Segoe UI"/>
    <w:charset w:val="00"/>
    <w:family w:val="swiss"/>
    <w:pitch w:val="variable"/>
    <w:sig w:usb0="800000AF" w:usb1="1000204A"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800000AF" w:usb1="1000204A"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530" w:rsidRDefault="00642530">
      <w:r>
        <w:rPr>
          <w:color w:val="000000"/>
        </w:rPr>
        <w:separator/>
      </w:r>
    </w:p>
  </w:footnote>
  <w:footnote w:type="continuationSeparator" w:id="0">
    <w:p w:rsidR="00642530" w:rsidRDefault="00642530">
      <w:r>
        <w:continuationSeparator/>
      </w:r>
    </w:p>
  </w:footnote>
  <w:footnote w:type="continuationNotice" w:id="1">
    <w:p w:rsidR="00642530" w:rsidRDefault="0064253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B8" w:rsidRDefault="004754B8">
    <w:pPr>
      <w:pStyle w:val="Intestazione"/>
      <w:jc w:val="right"/>
      <w:rPr>
        <w:rFonts w:ascii="Arial" w:hAnsi="Arial" w:cs="Arial"/>
        <w:b/>
        <w:sz w:val="16"/>
      </w:rPr>
    </w:pPr>
    <w:r>
      <w:rPr>
        <w:rFonts w:ascii="Arial" w:hAnsi="Arial"/>
        <w:b/>
        <w:sz w:val="16"/>
      </w:rPr>
      <w:t>CBRE Press Release</w:t>
    </w:r>
  </w:p>
  <w:p w:rsidR="004754B8" w:rsidRDefault="004754B8">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B8" w:rsidRDefault="004754B8" w:rsidP="00AC26DC">
    <w:pPr>
      <w:pStyle w:val="AddressArea"/>
      <w:ind w:left="552"/>
      <w:jc w:val="right"/>
      <w:rPr>
        <w:rFonts w:ascii="Arial" w:hAnsi="Arial" w:cs="Arial"/>
      </w:rPr>
    </w:pPr>
    <w:r>
      <w:rPr>
        <w:noProof/>
        <w:sz w:val="36"/>
        <w:szCs w:val="36"/>
        <w:lang w:val="it-IT" w:eastAsia="it-IT"/>
      </w:rPr>
      <w:drawing>
        <wp:anchor distT="0" distB="0" distL="114300" distR="114300" simplePos="0" relativeHeight="251658240" behindDoc="0" locked="0" layoutInCell="1" allowOverlap="1">
          <wp:simplePos x="0" y="0"/>
          <wp:positionH relativeFrom="margin">
            <wp:posOffset>5133340</wp:posOffset>
          </wp:positionH>
          <wp:positionV relativeFrom="margin">
            <wp:posOffset>-703580</wp:posOffset>
          </wp:positionV>
          <wp:extent cx="1266825" cy="314325"/>
          <wp:effectExtent l="0" t="0" r="9525" b="9525"/>
          <wp:wrapSquare wrapText="bothSides"/>
          <wp:docPr id="2" name="Bild 1"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_CBRE_Logo_Green"/>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66825" cy="314325"/>
                  </a:xfrm>
                  <a:prstGeom prst="rect">
                    <a:avLst/>
                  </a:prstGeom>
                  <a:noFill/>
                  <a:ln>
                    <a:noFill/>
                  </a:ln>
                </pic:spPr>
              </pic:pic>
            </a:graphicData>
          </a:graphic>
        </wp:anchor>
      </w:drawing>
    </w:r>
    <w:r w:rsidR="006164ED" w:rsidRPr="006164ED">
      <w:rPr>
        <w:noProof/>
        <w:lang w:eastAsia="en-GB"/>
      </w:rPr>
      <w:pict>
        <v:shapetype id="_x0000_t202" coordsize="21600,21600" o:spt="202" path="m,l,21600r21600,l21600,xe">
          <v:stroke joinstyle="miter"/>
          <v:path gradientshapeok="t" o:connecttype="rect"/>
        </v:shapetype>
        <v:shape id="Textfeld 4" o:spid="_x0000_s10241" type="#_x0000_t202" style="position:absolute;left:0;text-align:left;margin-left:6pt;margin-top:45pt;width:378pt;height:45pt;z-index:2516582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" o:allowincell="f" filled="f" stroked="f">
          <v:textbox>
            <w:txbxContent>
              <w:p w:rsidR="004754B8" w:rsidRDefault="004754B8" w:rsidP="00AC26DC">
                <w:pPr>
                  <w:ind w:left="180"/>
                  <w:rPr>
                    <w:rFonts w:ascii="Arial" w:hAnsi="Arial" w:cs="Arial"/>
                    <w:spacing w:val="118"/>
                    <w:sz w:val="48"/>
                  </w:rPr>
                </w:pPr>
                <w:r>
                  <w:rPr>
                    <w:rFonts w:ascii="Arial" w:hAnsi="Arial"/>
                    <w:sz w:val="48"/>
                  </w:rPr>
                  <w:t xml:space="preserve">PRESS RELEASE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21E84"/>
    <w:multiLevelType w:val="hybridMultilevel"/>
    <w:tmpl w:val="E1D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444589"/>
    <w:multiLevelType w:val="hybridMultilevel"/>
    <w:tmpl w:val="C88C3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6118F8"/>
    <w:multiLevelType w:val="multilevel"/>
    <w:tmpl w:val="10165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376EB"/>
    <w:multiLevelType w:val="hybridMultilevel"/>
    <w:tmpl w:val="BEDC9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D294870"/>
    <w:multiLevelType w:val="hybridMultilevel"/>
    <w:tmpl w:val="4C7C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0F0670"/>
    <w:multiLevelType w:val="multilevel"/>
    <w:tmpl w:val="5F8280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D5412FC"/>
    <w:multiLevelType w:val="hybridMultilevel"/>
    <w:tmpl w:val="ED86BDEE"/>
    <w:lvl w:ilvl="0" w:tplc="AD1A4E5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6904AED"/>
    <w:multiLevelType w:val="hybridMultilevel"/>
    <w:tmpl w:val="4520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DE505C9"/>
    <w:multiLevelType w:val="hybridMultilevel"/>
    <w:tmpl w:val="5D82A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01279F7"/>
    <w:multiLevelType w:val="multilevel"/>
    <w:tmpl w:val="70D4E18E"/>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5E5B228E"/>
    <w:multiLevelType w:val="hybridMultilevel"/>
    <w:tmpl w:val="9F4CA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0D101E6"/>
    <w:multiLevelType w:val="hybridMultilevel"/>
    <w:tmpl w:val="1C96FEE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2">
    <w:nsid w:val="64320F5E"/>
    <w:multiLevelType w:val="hybridMultilevel"/>
    <w:tmpl w:val="6686A9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7D06CA2"/>
    <w:multiLevelType w:val="hybridMultilevel"/>
    <w:tmpl w:val="8DB281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B15535B"/>
    <w:multiLevelType w:val="hybridMultilevel"/>
    <w:tmpl w:val="06EE4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E881C4A"/>
    <w:multiLevelType w:val="hybridMultilevel"/>
    <w:tmpl w:val="F6AE35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5"/>
  </w:num>
  <w:num w:numId="5">
    <w:abstractNumId w:val="14"/>
  </w:num>
  <w:num w:numId="6">
    <w:abstractNumId w:val="1"/>
  </w:num>
  <w:num w:numId="7">
    <w:abstractNumId w:val="7"/>
  </w:num>
  <w:num w:numId="8">
    <w:abstractNumId w:val="10"/>
  </w:num>
  <w:num w:numId="9">
    <w:abstractNumId w:val="15"/>
  </w:num>
  <w:num w:numId="10">
    <w:abstractNumId w:val="3"/>
  </w:num>
  <w:num w:numId="11">
    <w:abstractNumId w:val="0"/>
  </w:num>
  <w:num w:numId="12">
    <w:abstractNumId w:val="2"/>
  </w:num>
  <w:num w:numId="13">
    <w:abstractNumId w:val="8"/>
  </w:num>
  <w:num w:numId="14">
    <w:abstractNumId w:val="13"/>
  </w:num>
  <w:num w:numId="15">
    <w:abstractNumId w:val="1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1266"/>
    <o:shapelayout v:ext="edit">
      <o:idmap v:ext="edit" data="10"/>
    </o:shapelayout>
  </w:hdrShapeDefaults>
  <w:footnotePr>
    <w:footnote w:id="-1"/>
    <w:footnote w:id="0"/>
    <w:footnote w:id="1"/>
  </w:footnotePr>
  <w:endnotePr>
    <w:endnote w:id="-1"/>
    <w:endnote w:id="0"/>
    <w:endnote w:id="1"/>
  </w:endnotePr>
  <w:compat/>
  <w:rsids>
    <w:rsidRoot w:val="00256ED2"/>
    <w:rsid w:val="000021CD"/>
    <w:rsid w:val="00006284"/>
    <w:rsid w:val="000071C1"/>
    <w:rsid w:val="00011451"/>
    <w:rsid w:val="00011F7B"/>
    <w:rsid w:val="00012947"/>
    <w:rsid w:val="00012CEB"/>
    <w:rsid w:val="00014F98"/>
    <w:rsid w:val="0001717D"/>
    <w:rsid w:val="00017E93"/>
    <w:rsid w:val="00020176"/>
    <w:rsid w:val="000205FD"/>
    <w:rsid w:val="00021D81"/>
    <w:rsid w:val="0002217F"/>
    <w:rsid w:val="00022AF4"/>
    <w:rsid w:val="00023DE9"/>
    <w:rsid w:val="00026ACB"/>
    <w:rsid w:val="000275A3"/>
    <w:rsid w:val="000277C1"/>
    <w:rsid w:val="0003335F"/>
    <w:rsid w:val="00033578"/>
    <w:rsid w:val="00036C4C"/>
    <w:rsid w:val="00042C88"/>
    <w:rsid w:val="00043A99"/>
    <w:rsid w:val="00044104"/>
    <w:rsid w:val="00052F5D"/>
    <w:rsid w:val="0005392C"/>
    <w:rsid w:val="0005517D"/>
    <w:rsid w:val="000554F6"/>
    <w:rsid w:val="000556FE"/>
    <w:rsid w:val="00064CC0"/>
    <w:rsid w:val="00065318"/>
    <w:rsid w:val="000668D3"/>
    <w:rsid w:val="00072A08"/>
    <w:rsid w:val="00072B9F"/>
    <w:rsid w:val="00074A59"/>
    <w:rsid w:val="000758A7"/>
    <w:rsid w:val="00075C69"/>
    <w:rsid w:val="000763D1"/>
    <w:rsid w:val="00076469"/>
    <w:rsid w:val="00076540"/>
    <w:rsid w:val="000774DB"/>
    <w:rsid w:val="00090D73"/>
    <w:rsid w:val="00091950"/>
    <w:rsid w:val="00091D25"/>
    <w:rsid w:val="000948D4"/>
    <w:rsid w:val="00094CCE"/>
    <w:rsid w:val="00094FF7"/>
    <w:rsid w:val="0009708B"/>
    <w:rsid w:val="000A07B3"/>
    <w:rsid w:val="000A1155"/>
    <w:rsid w:val="000A3343"/>
    <w:rsid w:val="000A41D4"/>
    <w:rsid w:val="000A4F22"/>
    <w:rsid w:val="000B1B6B"/>
    <w:rsid w:val="000B4070"/>
    <w:rsid w:val="000B4930"/>
    <w:rsid w:val="000B5479"/>
    <w:rsid w:val="000B64B7"/>
    <w:rsid w:val="000B6E02"/>
    <w:rsid w:val="000C338F"/>
    <w:rsid w:val="000C6EBB"/>
    <w:rsid w:val="000D1CCA"/>
    <w:rsid w:val="000D4725"/>
    <w:rsid w:val="000D4E7B"/>
    <w:rsid w:val="000D5243"/>
    <w:rsid w:val="000D555B"/>
    <w:rsid w:val="000D589F"/>
    <w:rsid w:val="000D6BF2"/>
    <w:rsid w:val="000E2AD0"/>
    <w:rsid w:val="000E660D"/>
    <w:rsid w:val="000E7E59"/>
    <w:rsid w:val="000F0388"/>
    <w:rsid w:val="000F1BC7"/>
    <w:rsid w:val="000F5781"/>
    <w:rsid w:val="000F7F73"/>
    <w:rsid w:val="00101BB3"/>
    <w:rsid w:val="001020AD"/>
    <w:rsid w:val="0010223C"/>
    <w:rsid w:val="00105FAD"/>
    <w:rsid w:val="001068CB"/>
    <w:rsid w:val="001073C8"/>
    <w:rsid w:val="001076EF"/>
    <w:rsid w:val="00110370"/>
    <w:rsid w:val="00113DF2"/>
    <w:rsid w:val="00115543"/>
    <w:rsid w:val="001326D6"/>
    <w:rsid w:val="00132BE0"/>
    <w:rsid w:val="00133F7C"/>
    <w:rsid w:val="001377EC"/>
    <w:rsid w:val="00137E1A"/>
    <w:rsid w:val="001411C1"/>
    <w:rsid w:val="00150077"/>
    <w:rsid w:val="00150B54"/>
    <w:rsid w:val="00157ED8"/>
    <w:rsid w:val="0017469C"/>
    <w:rsid w:val="0017501A"/>
    <w:rsid w:val="00177A18"/>
    <w:rsid w:val="00181E9B"/>
    <w:rsid w:val="00182B68"/>
    <w:rsid w:val="0018340A"/>
    <w:rsid w:val="0018486B"/>
    <w:rsid w:val="001849CD"/>
    <w:rsid w:val="001854A7"/>
    <w:rsid w:val="00185878"/>
    <w:rsid w:val="00185EEA"/>
    <w:rsid w:val="00191CF2"/>
    <w:rsid w:val="00192AE5"/>
    <w:rsid w:val="0019626B"/>
    <w:rsid w:val="00196455"/>
    <w:rsid w:val="001A11B8"/>
    <w:rsid w:val="001A1A19"/>
    <w:rsid w:val="001A2FE1"/>
    <w:rsid w:val="001A368A"/>
    <w:rsid w:val="001A41C4"/>
    <w:rsid w:val="001A459F"/>
    <w:rsid w:val="001A48A6"/>
    <w:rsid w:val="001A5FE9"/>
    <w:rsid w:val="001B1BF4"/>
    <w:rsid w:val="001B33C6"/>
    <w:rsid w:val="001B3F9D"/>
    <w:rsid w:val="001B4FDF"/>
    <w:rsid w:val="001B5413"/>
    <w:rsid w:val="001B72AE"/>
    <w:rsid w:val="001C1803"/>
    <w:rsid w:val="001C2853"/>
    <w:rsid w:val="001C4758"/>
    <w:rsid w:val="001C4A50"/>
    <w:rsid w:val="001C557F"/>
    <w:rsid w:val="001D12BE"/>
    <w:rsid w:val="001D1A82"/>
    <w:rsid w:val="001D609C"/>
    <w:rsid w:val="001D777E"/>
    <w:rsid w:val="001E17A2"/>
    <w:rsid w:val="001E2915"/>
    <w:rsid w:val="001E50F9"/>
    <w:rsid w:val="001F081D"/>
    <w:rsid w:val="001F59E0"/>
    <w:rsid w:val="001F75CC"/>
    <w:rsid w:val="00200D0C"/>
    <w:rsid w:val="00202A1E"/>
    <w:rsid w:val="00203B37"/>
    <w:rsid w:val="00204B43"/>
    <w:rsid w:val="002116B9"/>
    <w:rsid w:val="00214AB4"/>
    <w:rsid w:val="00221193"/>
    <w:rsid w:val="002213A3"/>
    <w:rsid w:val="00221DB4"/>
    <w:rsid w:val="00222E8E"/>
    <w:rsid w:val="00225FAA"/>
    <w:rsid w:val="002271FD"/>
    <w:rsid w:val="00230A60"/>
    <w:rsid w:val="00231FBB"/>
    <w:rsid w:val="0023219B"/>
    <w:rsid w:val="00234F6A"/>
    <w:rsid w:val="002359A5"/>
    <w:rsid w:val="00244BC9"/>
    <w:rsid w:val="002455D4"/>
    <w:rsid w:val="00252F8B"/>
    <w:rsid w:val="002530A4"/>
    <w:rsid w:val="002558EE"/>
    <w:rsid w:val="00255AF4"/>
    <w:rsid w:val="00256ED2"/>
    <w:rsid w:val="00257D0F"/>
    <w:rsid w:val="00262028"/>
    <w:rsid w:val="00262D6A"/>
    <w:rsid w:val="0026329C"/>
    <w:rsid w:val="00267FAB"/>
    <w:rsid w:val="00271EF1"/>
    <w:rsid w:val="002728AF"/>
    <w:rsid w:val="0027413E"/>
    <w:rsid w:val="0027478F"/>
    <w:rsid w:val="00277712"/>
    <w:rsid w:val="00281CD4"/>
    <w:rsid w:val="00284CF7"/>
    <w:rsid w:val="002867AF"/>
    <w:rsid w:val="00290C96"/>
    <w:rsid w:val="00291754"/>
    <w:rsid w:val="00292BFE"/>
    <w:rsid w:val="002937DB"/>
    <w:rsid w:val="00293DC6"/>
    <w:rsid w:val="00294424"/>
    <w:rsid w:val="00297699"/>
    <w:rsid w:val="002A42FA"/>
    <w:rsid w:val="002A543F"/>
    <w:rsid w:val="002A5EDC"/>
    <w:rsid w:val="002B08AB"/>
    <w:rsid w:val="002B32CF"/>
    <w:rsid w:val="002B3382"/>
    <w:rsid w:val="002B5394"/>
    <w:rsid w:val="002B5F66"/>
    <w:rsid w:val="002B7392"/>
    <w:rsid w:val="002C32D9"/>
    <w:rsid w:val="002C39C1"/>
    <w:rsid w:val="002C3B2C"/>
    <w:rsid w:val="002C41E4"/>
    <w:rsid w:val="002D1175"/>
    <w:rsid w:val="002D63F0"/>
    <w:rsid w:val="002D755A"/>
    <w:rsid w:val="002E624D"/>
    <w:rsid w:val="002E75C8"/>
    <w:rsid w:val="002F1843"/>
    <w:rsid w:val="002F249A"/>
    <w:rsid w:val="002F3104"/>
    <w:rsid w:val="002F38C9"/>
    <w:rsid w:val="002F40E0"/>
    <w:rsid w:val="002F5FD1"/>
    <w:rsid w:val="003025DB"/>
    <w:rsid w:val="00304373"/>
    <w:rsid w:val="00305AE1"/>
    <w:rsid w:val="003130D0"/>
    <w:rsid w:val="00313583"/>
    <w:rsid w:val="00314F9A"/>
    <w:rsid w:val="00315132"/>
    <w:rsid w:val="00315420"/>
    <w:rsid w:val="003161A5"/>
    <w:rsid w:val="00316699"/>
    <w:rsid w:val="00320E9B"/>
    <w:rsid w:val="003220B9"/>
    <w:rsid w:val="003245AD"/>
    <w:rsid w:val="00330533"/>
    <w:rsid w:val="00331909"/>
    <w:rsid w:val="00331AA5"/>
    <w:rsid w:val="00331F92"/>
    <w:rsid w:val="00332F80"/>
    <w:rsid w:val="0034095E"/>
    <w:rsid w:val="00342332"/>
    <w:rsid w:val="00342667"/>
    <w:rsid w:val="00343346"/>
    <w:rsid w:val="00343A5D"/>
    <w:rsid w:val="00346116"/>
    <w:rsid w:val="003466AB"/>
    <w:rsid w:val="00346F95"/>
    <w:rsid w:val="0035078D"/>
    <w:rsid w:val="0035109E"/>
    <w:rsid w:val="003523C9"/>
    <w:rsid w:val="00364C29"/>
    <w:rsid w:val="00366487"/>
    <w:rsid w:val="0037148E"/>
    <w:rsid w:val="00371D77"/>
    <w:rsid w:val="0037380B"/>
    <w:rsid w:val="003751CF"/>
    <w:rsid w:val="0037777B"/>
    <w:rsid w:val="00377B9A"/>
    <w:rsid w:val="00377EF5"/>
    <w:rsid w:val="003837DC"/>
    <w:rsid w:val="0038453B"/>
    <w:rsid w:val="00390ADD"/>
    <w:rsid w:val="0039269D"/>
    <w:rsid w:val="0039562F"/>
    <w:rsid w:val="003970DF"/>
    <w:rsid w:val="003A071D"/>
    <w:rsid w:val="003A3273"/>
    <w:rsid w:val="003A548C"/>
    <w:rsid w:val="003A63D2"/>
    <w:rsid w:val="003A7A8C"/>
    <w:rsid w:val="003A7E65"/>
    <w:rsid w:val="003B029D"/>
    <w:rsid w:val="003B5BE7"/>
    <w:rsid w:val="003C03C9"/>
    <w:rsid w:val="003C06BC"/>
    <w:rsid w:val="003C1285"/>
    <w:rsid w:val="003C1D12"/>
    <w:rsid w:val="003C2796"/>
    <w:rsid w:val="003C6AEC"/>
    <w:rsid w:val="003C7E70"/>
    <w:rsid w:val="003D5714"/>
    <w:rsid w:val="003E29E5"/>
    <w:rsid w:val="003E6170"/>
    <w:rsid w:val="003E69BF"/>
    <w:rsid w:val="003E7794"/>
    <w:rsid w:val="003F02A5"/>
    <w:rsid w:val="003F46C6"/>
    <w:rsid w:val="003F5CC7"/>
    <w:rsid w:val="003F6E27"/>
    <w:rsid w:val="00400670"/>
    <w:rsid w:val="00401A9F"/>
    <w:rsid w:val="00402138"/>
    <w:rsid w:val="00402B2E"/>
    <w:rsid w:val="004040EE"/>
    <w:rsid w:val="004041E2"/>
    <w:rsid w:val="00405880"/>
    <w:rsid w:val="00405E51"/>
    <w:rsid w:val="004070F5"/>
    <w:rsid w:val="004073C0"/>
    <w:rsid w:val="004120D0"/>
    <w:rsid w:val="004165EB"/>
    <w:rsid w:val="00416D28"/>
    <w:rsid w:val="004170EA"/>
    <w:rsid w:val="00421969"/>
    <w:rsid w:val="004224CF"/>
    <w:rsid w:val="00424EB3"/>
    <w:rsid w:val="004252C5"/>
    <w:rsid w:val="0042610A"/>
    <w:rsid w:val="004306EF"/>
    <w:rsid w:val="00430B57"/>
    <w:rsid w:val="00430EB6"/>
    <w:rsid w:val="00432CC0"/>
    <w:rsid w:val="00435C0A"/>
    <w:rsid w:val="004408CA"/>
    <w:rsid w:val="00443278"/>
    <w:rsid w:val="00443A81"/>
    <w:rsid w:val="004448C0"/>
    <w:rsid w:val="00445483"/>
    <w:rsid w:val="00446AC2"/>
    <w:rsid w:val="00450103"/>
    <w:rsid w:val="00450DBE"/>
    <w:rsid w:val="0045245C"/>
    <w:rsid w:val="004576FB"/>
    <w:rsid w:val="00460D0D"/>
    <w:rsid w:val="00460D73"/>
    <w:rsid w:val="00464DF2"/>
    <w:rsid w:val="00466C77"/>
    <w:rsid w:val="004704A3"/>
    <w:rsid w:val="00471060"/>
    <w:rsid w:val="0047232A"/>
    <w:rsid w:val="00472901"/>
    <w:rsid w:val="00473CB6"/>
    <w:rsid w:val="004754B8"/>
    <w:rsid w:val="00475E70"/>
    <w:rsid w:val="00480FD3"/>
    <w:rsid w:val="0048172B"/>
    <w:rsid w:val="00481F05"/>
    <w:rsid w:val="00497E63"/>
    <w:rsid w:val="004A176C"/>
    <w:rsid w:val="004A2D5C"/>
    <w:rsid w:val="004A52BB"/>
    <w:rsid w:val="004A5AA7"/>
    <w:rsid w:val="004A5E20"/>
    <w:rsid w:val="004A67BD"/>
    <w:rsid w:val="004B08D2"/>
    <w:rsid w:val="004B283E"/>
    <w:rsid w:val="004B3E2B"/>
    <w:rsid w:val="004B7C3B"/>
    <w:rsid w:val="004B7E6F"/>
    <w:rsid w:val="004C092E"/>
    <w:rsid w:val="004C4F97"/>
    <w:rsid w:val="004C5A47"/>
    <w:rsid w:val="004C5C86"/>
    <w:rsid w:val="004C6345"/>
    <w:rsid w:val="004C720B"/>
    <w:rsid w:val="004D049A"/>
    <w:rsid w:val="004D5175"/>
    <w:rsid w:val="004D600C"/>
    <w:rsid w:val="004D7927"/>
    <w:rsid w:val="004D7DBA"/>
    <w:rsid w:val="004E1BC1"/>
    <w:rsid w:val="004E274C"/>
    <w:rsid w:val="004E4434"/>
    <w:rsid w:val="004E49C6"/>
    <w:rsid w:val="004E4CDC"/>
    <w:rsid w:val="004E52AA"/>
    <w:rsid w:val="004E677E"/>
    <w:rsid w:val="004E6BF2"/>
    <w:rsid w:val="004F0D0F"/>
    <w:rsid w:val="004F1A48"/>
    <w:rsid w:val="004F33A9"/>
    <w:rsid w:val="004F4CF9"/>
    <w:rsid w:val="00501E2F"/>
    <w:rsid w:val="00505B8A"/>
    <w:rsid w:val="005073D8"/>
    <w:rsid w:val="00507672"/>
    <w:rsid w:val="005107AC"/>
    <w:rsid w:val="00511D7A"/>
    <w:rsid w:val="0051357A"/>
    <w:rsid w:val="00513793"/>
    <w:rsid w:val="00514CF3"/>
    <w:rsid w:val="00514EC0"/>
    <w:rsid w:val="005204AC"/>
    <w:rsid w:val="00521A00"/>
    <w:rsid w:val="00523FBF"/>
    <w:rsid w:val="0052562A"/>
    <w:rsid w:val="005276FF"/>
    <w:rsid w:val="0053127C"/>
    <w:rsid w:val="005314FA"/>
    <w:rsid w:val="00531F20"/>
    <w:rsid w:val="00535BE2"/>
    <w:rsid w:val="00535D03"/>
    <w:rsid w:val="005361AE"/>
    <w:rsid w:val="0054021D"/>
    <w:rsid w:val="00542597"/>
    <w:rsid w:val="0054380D"/>
    <w:rsid w:val="00543AFF"/>
    <w:rsid w:val="005468FD"/>
    <w:rsid w:val="00550AEF"/>
    <w:rsid w:val="0055171F"/>
    <w:rsid w:val="00552085"/>
    <w:rsid w:val="00553B7F"/>
    <w:rsid w:val="00554F48"/>
    <w:rsid w:val="00567001"/>
    <w:rsid w:val="0057137C"/>
    <w:rsid w:val="00572706"/>
    <w:rsid w:val="005741A9"/>
    <w:rsid w:val="00574256"/>
    <w:rsid w:val="00574573"/>
    <w:rsid w:val="00575A0C"/>
    <w:rsid w:val="00576305"/>
    <w:rsid w:val="0057693C"/>
    <w:rsid w:val="00576A01"/>
    <w:rsid w:val="00582B31"/>
    <w:rsid w:val="0058359C"/>
    <w:rsid w:val="00586D90"/>
    <w:rsid w:val="00592708"/>
    <w:rsid w:val="00593908"/>
    <w:rsid w:val="00596F1D"/>
    <w:rsid w:val="005A0199"/>
    <w:rsid w:val="005A127D"/>
    <w:rsid w:val="005A3543"/>
    <w:rsid w:val="005A753F"/>
    <w:rsid w:val="005A7B7A"/>
    <w:rsid w:val="005B0814"/>
    <w:rsid w:val="005B4ADB"/>
    <w:rsid w:val="005B5A9C"/>
    <w:rsid w:val="005B67A7"/>
    <w:rsid w:val="005C0E8F"/>
    <w:rsid w:val="005C2F47"/>
    <w:rsid w:val="005C52F1"/>
    <w:rsid w:val="005D097D"/>
    <w:rsid w:val="005D0FAA"/>
    <w:rsid w:val="005D6C76"/>
    <w:rsid w:val="005E0FE0"/>
    <w:rsid w:val="005E117F"/>
    <w:rsid w:val="005E23AE"/>
    <w:rsid w:val="005E57FC"/>
    <w:rsid w:val="005E722B"/>
    <w:rsid w:val="005F3C89"/>
    <w:rsid w:val="005F4D0B"/>
    <w:rsid w:val="005F5830"/>
    <w:rsid w:val="0060128E"/>
    <w:rsid w:val="00601C6B"/>
    <w:rsid w:val="00602EDC"/>
    <w:rsid w:val="0060347A"/>
    <w:rsid w:val="006035C7"/>
    <w:rsid w:val="00604EB7"/>
    <w:rsid w:val="00604F1D"/>
    <w:rsid w:val="006054C1"/>
    <w:rsid w:val="00606DE1"/>
    <w:rsid w:val="00612142"/>
    <w:rsid w:val="006160B8"/>
    <w:rsid w:val="006164ED"/>
    <w:rsid w:val="006218D3"/>
    <w:rsid w:val="00622097"/>
    <w:rsid w:val="00622F42"/>
    <w:rsid w:val="00624676"/>
    <w:rsid w:val="0062525C"/>
    <w:rsid w:val="00626232"/>
    <w:rsid w:val="0062775D"/>
    <w:rsid w:val="00627841"/>
    <w:rsid w:val="00633ABC"/>
    <w:rsid w:val="0063576E"/>
    <w:rsid w:val="00635BA5"/>
    <w:rsid w:val="00636D85"/>
    <w:rsid w:val="00640606"/>
    <w:rsid w:val="00642227"/>
    <w:rsid w:val="00642530"/>
    <w:rsid w:val="00643635"/>
    <w:rsid w:val="006437DF"/>
    <w:rsid w:val="00643ECF"/>
    <w:rsid w:val="006458AA"/>
    <w:rsid w:val="00646372"/>
    <w:rsid w:val="0064766E"/>
    <w:rsid w:val="006500F8"/>
    <w:rsid w:val="006518C7"/>
    <w:rsid w:val="0065321C"/>
    <w:rsid w:val="0065435A"/>
    <w:rsid w:val="006556D8"/>
    <w:rsid w:val="006635A9"/>
    <w:rsid w:val="00665BB0"/>
    <w:rsid w:val="00667767"/>
    <w:rsid w:val="00670424"/>
    <w:rsid w:val="0067111F"/>
    <w:rsid w:val="00671786"/>
    <w:rsid w:val="006719F5"/>
    <w:rsid w:val="006721AA"/>
    <w:rsid w:val="00675214"/>
    <w:rsid w:val="00675561"/>
    <w:rsid w:val="00675CD2"/>
    <w:rsid w:val="00676078"/>
    <w:rsid w:val="006760C5"/>
    <w:rsid w:val="00680751"/>
    <w:rsid w:val="00681700"/>
    <w:rsid w:val="0068224F"/>
    <w:rsid w:val="00682D44"/>
    <w:rsid w:val="00683C60"/>
    <w:rsid w:val="00686130"/>
    <w:rsid w:val="00687362"/>
    <w:rsid w:val="00687C5E"/>
    <w:rsid w:val="006911FF"/>
    <w:rsid w:val="00691B73"/>
    <w:rsid w:val="006941E8"/>
    <w:rsid w:val="006951DE"/>
    <w:rsid w:val="006965EB"/>
    <w:rsid w:val="006A1770"/>
    <w:rsid w:val="006A3372"/>
    <w:rsid w:val="006A3CAF"/>
    <w:rsid w:val="006A7D51"/>
    <w:rsid w:val="006B03E9"/>
    <w:rsid w:val="006B1008"/>
    <w:rsid w:val="006B2950"/>
    <w:rsid w:val="006C0408"/>
    <w:rsid w:val="006C0C3A"/>
    <w:rsid w:val="006C0E55"/>
    <w:rsid w:val="006C498D"/>
    <w:rsid w:val="006C552F"/>
    <w:rsid w:val="006D08DB"/>
    <w:rsid w:val="006D0E38"/>
    <w:rsid w:val="006D217E"/>
    <w:rsid w:val="006E1F39"/>
    <w:rsid w:val="006E4054"/>
    <w:rsid w:val="006E4372"/>
    <w:rsid w:val="006E6410"/>
    <w:rsid w:val="006E6FAA"/>
    <w:rsid w:val="006E771B"/>
    <w:rsid w:val="006E7CF6"/>
    <w:rsid w:val="006F0CEB"/>
    <w:rsid w:val="006F62CC"/>
    <w:rsid w:val="006F6D5F"/>
    <w:rsid w:val="006F74D7"/>
    <w:rsid w:val="006F76F5"/>
    <w:rsid w:val="006F792D"/>
    <w:rsid w:val="007015FC"/>
    <w:rsid w:val="00702F55"/>
    <w:rsid w:val="00705302"/>
    <w:rsid w:val="00707319"/>
    <w:rsid w:val="007073F9"/>
    <w:rsid w:val="00707B83"/>
    <w:rsid w:val="00707D3D"/>
    <w:rsid w:val="007117F6"/>
    <w:rsid w:val="00715C6B"/>
    <w:rsid w:val="00716A1C"/>
    <w:rsid w:val="00717799"/>
    <w:rsid w:val="007219D6"/>
    <w:rsid w:val="0072306D"/>
    <w:rsid w:val="007248BE"/>
    <w:rsid w:val="007257A3"/>
    <w:rsid w:val="00726356"/>
    <w:rsid w:val="0073060B"/>
    <w:rsid w:val="0073364C"/>
    <w:rsid w:val="00734393"/>
    <w:rsid w:val="00734BD6"/>
    <w:rsid w:val="007360A8"/>
    <w:rsid w:val="00737A27"/>
    <w:rsid w:val="00737B1E"/>
    <w:rsid w:val="00741E1C"/>
    <w:rsid w:val="0074231E"/>
    <w:rsid w:val="0074255B"/>
    <w:rsid w:val="00743044"/>
    <w:rsid w:val="007526BC"/>
    <w:rsid w:val="00760931"/>
    <w:rsid w:val="00762CE0"/>
    <w:rsid w:val="00764D67"/>
    <w:rsid w:val="00766524"/>
    <w:rsid w:val="00766E02"/>
    <w:rsid w:val="00767F4B"/>
    <w:rsid w:val="0077155B"/>
    <w:rsid w:val="00772D95"/>
    <w:rsid w:val="00780403"/>
    <w:rsid w:val="007814AE"/>
    <w:rsid w:val="00782754"/>
    <w:rsid w:val="00783422"/>
    <w:rsid w:val="00785CA4"/>
    <w:rsid w:val="00790693"/>
    <w:rsid w:val="0079079E"/>
    <w:rsid w:val="007911C7"/>
    <w:rsid w:val="007913BE"/>
    <w:rsid w:val="00792D8C"/>
    <w:rsid w:val="007930A4"/>
    <w:rsid w:val="0079322F"/>
    <w:rsid w:val="007966DE"/>
    <w:rsid w:val="007977D3"/>
    <w:rsid w:val="007977ED"/>
    <w:rsid w:val="007A320D"/>
    <w:rsid w:val="007A470B"/>
    <w:rsid w:val="007A4F81"/>
    <w:rsid w:val="007A63D4"/>
    <w:rsid w:val="007A6E2C"/>
    <w:rsid w:val="007B1F91"/>
    <w:rsid w:val="007B2994"/>
    <w:rsid w:val="007B3A10"/>
    <w:rsid w:val="007B4C2D"/>
    <w:rsid w:val="007B52F2"/>
    <w:rsid w:val="007B601C"/>
    <w:rsid w:val="007C0206"/>
    <w:rsid w:val="007C0DAC"/>
    <w:rsid w:val="007C243C"/>
    <w:rsid w:val="007C338E"/>
    <w:rsid w:val="007C5204"/>
    <w:rsid w:val="007C7CED"/>
    <w:rsid w:val="007D2272"/>
    <w:rsid w:val="007D2F94"/>
    <w:rsid w:val="007D42FC"/>
    <w:rsid w:val="007D7231"/>
    <w:rsid w:val="007E08B9"/>
    <w:rsid w:val="007E124F"/>
    <w:rsid w:val="007E1ECA"/>
    <w:rsid w:val="007E2141"/>
    <w:rsid w:val="007E3BA7"/>
    <w:rsid w:val="007E455C"/>
    <w:rsid w:val="007E4FB0"/>
    <w:rsid w:val="007E7356"/>
    <w:rsid w:val="007F074F"/>
    <w:rsid w:val="007F2413"/>
    <w:rsid w:val="007F25A8"/>
    <w:rsid w:val="007F65BB"/>
    <w:rsid w:val="00800B42"/>
    <w:rsid w:val="00800F08"/>
    <w:rsid w:val="00802FA4"/>
    <w:rsid w:val="00803306"/>
    <w:rsid w:val="00803CC1"/>
    <w:rsid w:val="008061A8"/>
    <w:rsid w:val="00806622"/>
    <w:rsid w:val="00807A36"/>
    <w:rsid w:val="00811684"/>
    <w:rsid w:val="00814BB7"/>
    <w:rsid w:val="00815B76"/>
    <w:rsid w:val="00816D47"/>
    <w:rsid w:val="0082368F"/>
    <w:rsid w:val="008248D3"/>
    <w:rsid w:val="008248EB"/>
    <w:rsid w:val="00825571"/>
    <w:rsid w:val="0082719E"/>
    <w:rsid w:val="00830DEF"/>
    <w:rsid w:val="008326FE"/>
    <w:rsid w:val="00835051"/>
    <w:rsid w:val="0083747F"/>
    <w:rsid w:val="00841F86"/>
    <w:rsid w:val="0084311E"/>
    <w:rsid w:val="00843CAB"/>
    <w:rsid w:val="0084435A"/>
    <w:rsid w:val="00844D06"/>
    <w:rsid w:val="00845721"/>
    <w:rsid w:val="00847C5D"/>
    <w:rsid w:val="00855E18"/>
    <w:rsid w:val="008576F8"/>
    <w:rsid w:val="00861FD6"/>
    <w:rsid w:val="00863108"/>
    <w:rsid w:val="00864E31"/>
    <w:rsid w:val="00865288"/>
    <w:rsid w:val="00866222"/>
    <w:rsid w:val="00866D55"/>
    <w:rsid w:val="00867271"/>
    <w:rsid w:val="00870225"/>
    <w:rsid w:val="00873469"/>
    <w:rsid w:val="00874A8D"/>
    <w:rsid w:val="008757FF"/>
    <w:rsid w:val="00883BD1"/>
    <w:rsid w:val="00884F44"/>
    <w:rsid w:val="00885295"/>
    <w:rsid w:val="008927BC"/>
    <w:rsid w:val="00893F89"/>
    <w:rsid w:val="00896EBF"/>
    <w:rsid w:val="00897438"/>
    <w:rsid w:val="008A215F"/>
    <w:rsid w:val="008A78A6"/>
    <w:rsid w:val="008B1D16"/>
    <w:rsid w:val="008B2A91"/>
    <w:rsid w:val="008B458E"/>
    <w:rsid w:val="008B65A2"/>
    <w:rsid w:val="008C107F"/>
    <w:rsid w:val="008C2B8A"/>
    <w:rsid w:val="008C4C04"/>
    <w:rsid w:val="008C6DFF"/>
    <w:rsid w:val="008C7540"/>
    <w:rsid w:val="008D19BB"/>
    <w:rsid w:val="008D3243"/>
    <w:rsid w:val="008D6782"/>
    <w:rsid w:val="008D67BE"/>
    <w:rsid w:val="008E1A46"/>
    <w:rsid w:val="008E44BF"/>
    <w:rsid w:val="008F1A8D"/>
    <w:rsid w:val="008F2456"/>
    <w:rsid w:val="008F26EA"/>
    <w:rsid w:val="008F450F"/>
    <w:rsid w:val="00904CCB"/>
    <w:rsid w:val="009055D5"/>
    <w:rsid w:val="00913BCB"/>
    <w:rsid w:val="00915D4F"/>
    <w:rsid w:val="00922B04"/>
    <w:rsid w:val="00934DEC"/>
    <w:rsid w:val="00937440"/>
    <w:rsid w:val="00941191"/>
    <w:rsid w:val="00941276"/>
    <w:rsid w:val="00943C27"/>
    <w:rsid w:val="009456E4"/>
    <w:rsid w:val="009500BB"/>
    <w:rsid w:val="00951178"/>
    <w:rsid w:val="0095181C"/>
    <w:rsid w:val="009519D4"/>
    <w:rsid w:val="00952464"/>
    <w:rsid w:val="009534EB"/>
    <w:rsid w:val="009559D6"/>
    <w:rsid w:val="00956428"/>
    <w:rsid w:val="009575C0"/>
    <w:rsid w:val="00965800"/>
    <w:rsid w:val="009664E3"/>
    <w:rsid w:val="00972CE7"/>
    <w:rsid w:val="009743BF"/>
    <w:rsid w:val="009751B0"/>
    <w:rsid w:val="0097777A"/>
    <w:rsid w:val="009778FE"/>
    <w:rsid w:val="00977AAE"/>
    <w:rsid w:val="00981C20"/>
    <w:rsid w:val="00990BEF"/>
    <w:rsid w:val="00990C9F"/>
    <w:rsid w:val="00991965"/>
    <w:rsid w:val="009939D1"/>
    <w:rsid w:val="00994AB7"/>
    <w:rsid w:val="009A09D7"/>
    <w:rsid w:val="009A1D0F"/>
    <w:rsid w:val="009A44E9"/>
    <w:rsid w:val="009B1DE0"/>
    <w:rsid w:val="009B4B70"/>
    <w:rsid w:val="009B6487"/>
    <w:rsid w:val="009B6CC4"/>
    <w:rsid w:val="009C298B"/>
    <w:rsid w:val="009C7045"/>
    <w:rsid w:val="009C7507"/>
    <w:rsid w:val="009D0F52"/>
    <w:rsid w:val="009D1909"/>
    <w:rsid w:val="009D1D9D"/>
    <w:rsid w:val="009D23DE"/>
    <w:rsid w:val="009D3ECE"/>
    <w:rsid w:val="009D5757"/>
    <w:rsid w:val="009D7FA3"/>
    <w:rsid w:val="009E16D7"/>
    <w:rsid w:val="009E5028"/>
    <w:rsid w:val="009E5200"/>
    <w:rsid w:val="009E5DF6"/>
    <w:rsid w:val="009E66F4"/>
    <w:rsid w:val="009E7195"/>
    <w:rsid w:val="009F34C2"/>
    <w:rsid w:val="009F37B1"/>
    <w:rsid w:val="009F41E7"/>
    <w:rsid w:val="009F58B4"/>
    <w:rsid w:val="00A00D6C"/>
    <w:rsid w:val="00A011E5"/>
    <w:rsid w:val="00A04822"/>
    <w:rsid w:val="00A04CD5"/>
    <w:rsid w:val="00A0652C"/>
    <w:rsid w:val="00A1189D"/>
    <w:rsid w:val="00A11E54"/>
    <w:rsid w:val="00A1337F"/>
    <w:rsid w:val="00A14429"/>
    <w:rsid w:val="00A2118A"/>
    <w:rsid w:val="00A23934"/>
    <w:rsid w:val="00A23DF7"/>
    <w:rsid w:val="00A2616B"/>
    <w:rsid w:val="00A26B08"/>
    <w:rsid w:val="00A27873"/>
    <w:rsid w:val="00A3118B"/>
    <w:rsid w:val="00A3150D"/>
    <w:rsid w:val="00A352C6"/>
    <w:rsid w:val="00A40A75"/>
    <w:rsid w:val="00A40E9B"/>
    <w:rsid w:val="00A41887"/>
    <w:rsid w:val="00A42990"/>
    <w:rsid w:val="00A43DF7"/>
    <w:rsid w:val="00A46D3D"/>
    <w:rsid w:val="00A57EC6"/>
    <w:rsid w:val="00A607FA"/>
    <w:rsid w:val="00A608CB"/>
    <w:rsid w:val="00A60C41"/>
    <w:rsid w:val="00A621DF"/>
    <w:rsid w:val="00A66A96"/>
    <w:rsid w:val="00A67106"/>
    <w:rsid w:val="00A678E5"/>
    <w:rsid w:val="00A708A1"/>
    <w:rsid w:val="00A73618"/>
    <w:rsid w:val="00A75504"/>
    <w:rsid w:val="00A81D82"/>
    <w:rsid w:val="00A84899"/>
    <w:rsid w:val="00A852CF"/>
    <w:rsid w:val="00A856D9"/>
    <w:rsid w:val="00A8633F"/>
    <w:rsid w:val="00A91127"/>
    <w:rsid w:val="00A91DF6"/>
    <w:rsid w:val="00A96171"/>
    <w:rsid w:val="00AA0FA9"/>
    <w:rsid w:val="00AA5792"/>
    <w:rsid w:val="00AA686E"/>
    <w:rsid w:val="00AA7AFA"/>
    <w:rsid w:val="00AB0251"/>
    <w:rsid w:val="00AB36D9"/>
    <w:rsid w:val="00AB3AD8"/>
    <w:rsid w:val="00AB5C06"/>
    <w:rsid w:val="00AC26DC"/>
    <w:rsid w:val="00AC27AB"/>
    <w:rsid w:val="00AC5F76"/>
    <w:rsid w:val="00AC6173"/>
    <w:rsid w:val="00AC67DB"/>
    <w:rsid w:val="00AD0F9D"/>
    <w:rsid w:val="00AD19A0"/>
    <w:rsid w:val="00AD1C18"/>
    <w:rsid w:val="00AD1C74"/>
    <w:rsid w:val="00AD753C"/>
    <w:rsid w:val="00AD7A1A"/>
    <w:rsid w:val="00AE1892"/>
    <w:rsid w:val="00AE257D"/>
    <w:rsid w:val="00AE2CB0"/>
    <w:rsid w:val="00AE4337"/>
    <w:rsid w:val="00AE5BE7"/>
    <w:rsid w:val="00AE6BB3"/>
    <w:rsid w:val="00AE78ED"/>
    <w:rsid w:val="00AF0465"/>
    <w:rsid w:val="00AF1855"/>
    <w:rsid w:val="00AF3EF5"/>
    <w:rsid w:val="00AF5F3B"/>
    <w:rsid w:val="00AF644E"/>
    <w:rsid w:val="00AF66F3"/>
    <w:rsid w:val="00B009FD"/>
    <w:rsid w:val="00B04889"/>
    <w:rsid w:val="00B111AD"/>
    <w:rsid w:val="00B11A9A"/>
    <w:rsid w:val="00B12C62"/>
    <w:rsid w:val="00B14C8F"/>
    <w:rsid w:val="00B14DAD"/>
    <w:rsid w:val="00B1710C"/>
    <w:rsid w:val="00B2104B"/>
    <w:rsid w:val="00B2318F"/>
    <w:rsid w:val="00B2358A"/>
    <w:rsid w:val="00B238CE"/>
    <w:rsid w:val="00B2571E"/>
    <w:rsid w:val="00B27295"/>
    <w:rsid w:val="00B310EA"/>
    <w:rsid w:val="00B32017"/>
    <w:rsid w:val="00B32189"/>
    <w:rsid w:val="00B367D5"/>
    <w:rsid w:val="00B41DC3"/>
    <w:rsid w:val="00B41E6A"/>
    <w:rsid w:val="00B41FF0"/>
    <w:rsid w:val="00B42D3A"/>
    <w:rsid w:val="00B43B2F"/>
    <w:rsid w:val="00B44679"/>
    <w:rsid w:val="00B45893"/>
    <w:rsid w:val="00B46904"/>
    <w:rsid w:val="00B4729A"/>
    <w:rsid w:val="00B5263C"/>
    <w:rsid w:val="00B55583"/>
    <w:rsid w:val="00B57C57"/>
    <w:rsid w:val="00B604AD"/>
    <w:rsid w:val="00B633C0"/>
    <w:rsid w:val="00B64A99"/>
    <w:rsid w:val="00B7105D"/>
    <w:rsid w:val="00B722B5"/>
    <w:rsid w:val="00B72BA6"/>
    <w:rsid w:val="00B75A95"/>
    <w:rsid w:val="00B761F3"/>
    <w:rsid w:val="00B7716C"/>
    <w:rsid w:val="00B80C49"/>
    <w:rsid w:val="00B80F68"/>
    <w:rsid w:val="00B816E3"/>
    <w:rsid w:val="00B81F37"/>
    <w:rsid w:val="00B83235"/>
    <w:rsid w:val="00B8338D"/>
    <w:rsid w:val="00B8596C"/>
    <w:rsid w:val="00B85B34"/>
    <w:rsid w:val="00B863E7"/>
    <w:rsid w:val="00B86798"/>
    <w:rsid w:val="00B907D3"/>
    <w:rsid w:val="00B91788"/>
    <w:rsid w:val="00B919D0"/>
    <w:rsid w:val="00B92A04"/>
    <w:rsid w:val="00B92A10"/>
    <w:rsid w:val="00BA0FE8"/>
    <w:rsid w:val="00BA24F4"/>
    <w:rsid w:val="00BA3B9E"/>
    <w:rsid w:val="00BA55ED"/>
    <w:rsid w:val="00BA5678"/>
    <w:rsid w:val="00BB0CB9"/>
    <w:rsid w:val="00BB3168"/>
    <w:rsid w:val="00BB3953"/>
    <w:rsid w:val="00BB773E"/>
    <w:rsid w:val="00BC14D2"/>
    <w:rsid w:val="00BC15CC"/>
    <w:rsid w:val="00BC2F57"/>
    <w:rsid w:val="00BC66AB"/>
    <w:rsid w:val="00BD16B2"/>
    <w:rsid w:val="00BD1D1A"/>
    <w:rsid w:val="00BD1FE4"/>
    <w:rsid w:val="00BD30F4"/>
    <w:rsid w:val="00BD31EC"/>
    <w:rsid w:val="00BD529C"/>
    <w:rsid w:val="00BD5D13"/>
    <w:rsid w:val="00BD7502"/>
    <w:rsid w:val="00BD7C1A"/>
    <w:rsid w:val="00BE0AAA"/>
    <w:rsid w:val="00BE0E9A"/>
    <w:rsid w:val="00BE117C"/>
    <w:rsid w:val="00BE1793"/>
    <w:rsid w:val="00BE3514"/>
    <w:rsid w:val="00BE46DF"/>
    <w:rsid w:val="00BF07F8"/>
    <w:rsid w:val="00BF0E24"/>
    <w:rsid w:val="00BF1778"/>
    <w:rsid w:val="00BF2BB7"/>
    <w:rsid w:val="00BF620A"/>
    <w:rsid w:val="00BF6D3F"/>
    <w:rsid w:val="00C05567"/>
    <w:rsid w:val="00C07477"/>
    <w:rsid w:val="00C0761F"/>
    <w:rsid w:val="00C137A1"/>
    <w:rsid w:val="00C1601E"/>
    <w:rsid w:val="00C36BF1"/>
    <w:rsid w:val="00C3781A"/>
    <w:rsid w:val="00C408C8"/>
    <w:rsid w:val="00C426D4"/>
    <w:rsid w:val="00C42D35"/>
    <w:rsid w:val="00C50CD9"/>
    <w:rsid w:val="00C5253F"/>
    <w:rsid w:val="00C52677"/>
    <w:rsid w:val="00C54806"/>
    <w:rsid w:val="00C57285"/>
    <w:rsid w:val="00C661D9"/>
    <w:rsid w:val="00C73A05"/>
    <w:rsid w:val="00C74BEA"/>
    <w:rsid w:val="00C76D76"/>
    <w:rsid w:val="00C812D5"/>
    <w:rsid w:val="00C81D70"/>
    <w:rsid w:val="00C85F14"/>
    <w:rsid w:val="00C86F8D"/>
    <w:rsid w:val="00C87601"/>
    <w:rsid w:val="00C92250"/>
    <w:rsid w:val="00C92986"/>
    <w:rsid w:val="00C96887"/>
    <w:rsid w:val="00C97186"/>
    <w:rsid w:val="00C97600"/>
    <w:rsid w:val="00C97D77"/>
    <w:rsid w:val="00CA52D0"/>
    <w:rsid w:val="00CA6434"/>
    <w:rsid w:val="00CA6C86"/>
    <w:rsid w:val="00CA7743"/>
    <w:rsid w:val="00CB0168"/>
    <w:rsid w:val="00CB0732"/>
    <w:rsid w:val="00CB3456"/>
    <w:rsid w:val="00CB3C3B"/>
    <w:rsid w:val="00CB451A"/>
    <w:rsid w:val="00CB5734"/>
    <w:rsid w:val="00CB7137"/>
    <w:rsid w:val="00CB7FE5"/>
    <w:rsid w:val="00CC06FA"/>
    <w:rsid w:val="00CC2D1C"/>
    <w:rsid w:val="00CC3A6B"/>
    <w:rsid w:val="00CC7180"/>
    <w:rsid w:val="00CD28C4"/>
    <w:rsid w:val="00CD5E88"/>
    <w:rsid w:val="00CD674C"/>
    <w:rsid w:val="00CE067F"/>
    <w:rsid w:val="00CE0837"/>
    <w:rsid w:val="00CE2900"/>
    <w:rsid w:val="00CE3842"/>
    <w:rsid w:val="00CE5D8A"/>
    <w:rsid w:val="00CE62D8"/>
    <w:rsid w:val="00CF0AF4"/>
    <w:rsid w:val="00CF1CD6"/>
    <w:rsid w:val="00CF203D"/>
    <w:rsid w:val="00CF26AD"/>
    <w:rsid w:val="00CF2ED4"/>
    <w:rsid w:val="00D03079"/>
    <w:rsid w:val="00D07350"/>
    <w:rsid w:val="00D14FF1"/>
    <w:rsid w:val="00D17630"/>
    <w:rsid w:val="00D176CF"/>
    <w:rsid w:val="00D24A32"/>
    <w:rsid w:val="00D264CD"/>
    <w:rsid w:val="00D26FAF"/>
    <w:rsid w:val="00D271A8"/>
    <w:rsid w:val="00D3194F"/>
    <w:rsid w:val="00D32368"/>
    <w:rsid w:val="00D32374"/>
    <w:rsid w:val="00D333B2"/>
    <w:rsid w:val="00D3510C"/>
    <w:rsid w:val="00D40664"/>
    <w:rsid w:val="00D40A36"/>
    <w:rsid w:val="00D441B9"/>
    <w:rsid w:val="00D44820"/>
    <w:rsid w:val="00D449D0"/>
    <w:rsid w:val="00D45061"/>
    <w:rsid w:val="00D45D56"/>
    <w:rsid w:val="00D45F25"/>
    <w:rsid w:val="00D477FB"/>
    <w:rsid w:val="00D47D0D"/>
    <w:rsid w:val="00D60292"/>
    <w:rsid w:val="00D6177E"/>
    <w:rsid w:val="00D629DE"/>
    <w:rsid w:val="00D65CE1"/>
    <w:rsid w:val="00D66D18"/>
    <w:rsid w:val="00D71F75"/>
    <w:rsid w:val="00D77A3C"/>
    <w:rsid w:val="00D80C8B"/>
    <w:rsid w:val="00D833D1"/>
    <w:rsid w:val="00D9006A"/>
    <w:rsid w:val="00D9047F"/>
    <w:rsid w:val="00D9104F"/>
    <w:rsid w:val="00D926B3"/>
    <w:rsid w:val="00D95555"/>
    <w:rsid w:val="00D96793"/>
    <w:rsid w:val="00DA02F3"/>
    <w:rsid w:val="00DA2743"/>
    <w:rsid w:val="00DA31EA"/>
    <w:rsid w:val="00DA5E9B"/>
    <w:rsid w:val="00DA7956"/>
    <w:rsid w:val="00DB174E"/>
    <w:rsid w:val="00DB3BF6"/>
    <w:rsid w:val="00DB4892"/>
    <w:rsid w:val="00DB57C3"/>
    <w:rsid w:val="00DB64C6"/>
    <w:rsid w:val="00DC253E"/>
    <w:rsid w:val="00DC7174"/>
    <w:rsid w:val="00DC7ABB"/>
    <w:rsid w:val="00DD507C"/>
    <w:rsid w:val="00DD5946"/>
    <w:rsid w:val="00DD66DB"/>
    <w:rsid w:val="00DE1BA0"/>
    <w:rsid w:val="00DE256E"/>
    <w:rsid w:val="00DE3395"/>
    <w:rsid w:val="00DE508A"/>
    <w:rsid w:val="00DE52B9"/>
    <w:rsid w:val="00DF0803"/>
    <w:rsid w:val="00DF1A15"/>
    <w:rsid w:val="00DF3334"/>
    <w:rsid w:val="00DF72B1"/>
    <w:rsid w:val="00DF76D9"/>
    <w:rsid w:val="00E01F61"/>
    <w:rsid w:val="00E04882"/>
    <w:rsid w:val="00E050F5"/>
    <w:rsid w:val="00E07C2B"/>
    <w:rsid w:val="00E1067E"/>
    <w:rsid w:val="00E1100B"/>
    <w:rsid w:val="00E113F1"/>
    <w:rsid w:val="00E1143D"/>
    <w:rsid w:val="00E11988"/>
    <w:rsid w:val="00E11E4F"/>
    <w:rsid w:val="00E12055"/>
    <w:rsid w:val="00E1261E"/>
    <w:rsid w:val="00E12787"/>
    <w:rsid w:val="00E15CF6"/>
    <w:rsid w:val="00E15F97"/>
    <w:rsid w:val="00E167AC"/>
    <w:rsid w:val="00E20174"/>
    <w:rsid w:val="00E20A6E"/>
    <w:rsid w:val="00E21BE1"/>
    <w:rsid w:val="00E23BDE"/>
    <w:rsid w:val="00E24689"/>
    <w:rsid w:val="00E250A8"/>
    <w:rsid w:val="00E25267"/>
    <w:rsid w:val="00E263D1"/>
    <w:rsid w:val="00E2788C"/>
    <w:rsid w:val="00E30E2E"/>
    <w:rsid w:val="00E40A82"/>
    <w:rsid w:val="00E425F4"/>
    <w:rsid w:val="00E42CBC"/>
    <w:rsid w:val="00E42F58"/>
    <w:rsid w:val="00E43505"/>
    <w:rsid w:val="00E448EB"/>
    <w:rsid w:val="00E4572A"/>
    <w:rsid w:val="00E457F6"/>
    <w:rsid w:val="00E45ECE"/>
    <w:rsid w:val="00E46FC5"/>
    <w:rsid w:val="00E47C98"/>
    <w:rsid w:val="00E500AB"/>
    <w:rsid w:val="00E502E8"/>
    <w:rsid w:val="00E65F09"/>
    <w:rsid w:val="00E6753F"/>
    <w:rsid w:val="00E72D89"/>
    <w:rsid w:val="00E736E8"/>
    <w:rsid w:val="00E753DD"/>
    <w:rsid w:val="00E77840"/>
    <w:rsid w:val="00E855C9"/>
    <w:rsid w:val="00E865B2"/>
    <w:rsid w:val="00E91637"/>
    <w:rsid w:val="00E91CBD"/>
    <w:rsid w:val="00E92A4F"/>
    <w:rsid w:val="00E9339E"/>
    <w:rsid w:val="00E93501"/>
    <w:rsid w:val="00E93865"/>
    <w:rsid w:val="00E93A1D"/>
    <w:rsid w:val="00E96041"/>
    <w:rsid w:val="00E96B80"/>
    <w:rsid w:val="00EA180F"/>
    <w:rsid w:val="00EA2514"/>
    <w:rsid w:val="00EA34BE"/>
    <w:rsid w:val="00EA4D89"/>
    <w:rsid w:val="00EA5DCA"/>
    <w:rsid w:val="00EB2000"/>
    <w:rsid w:val="00EB2404"/>
    <w:rsid w:val="00EB3A6C"/>
    <w:rsid w:val="00EB4905"/>
    <w:rsid w:val="00EB571D"/>
    <w:rsid w:val="00EC5EC2"/>
    <w:rsid w:val="00EC604D"/>
    <w:rsid w:val="00ED2CE3"/>
    <w:rsid w:val="00ED3066"/>
    <w:rsid w:val="00ED5A9C"/>
    <w:rsid w:val="00EE125D"/>
    <w:rsid w:val="00EE5116"/>
    <w:rsid w:val="00F02EFF"/>
    <w:rsid w:val="00F03921"/>
    <w:rsid w:val="00F03CD4"/>
    <w:rsid w:val="00F0452A"/>
    <w:rsid w:val="00F0489D"/>
    <w:rsid w:val="00F05025"/>
    <w:rsid w:val="00F07CED"/>
    <w:rsid w:val="00F07F17"/>
    <w:rsid w:val="00F12880"/>
    <w:rsid w:val="00F131F8"/>
    <w:rsid w:val="00F1674C"/>
    <w:rsid w:val="00F2451E"/>
    <w:rsid w:val="00F257A6"/>
    <w:rsid w:val="00F25DE2"/>
    <w:rsid w:val="00F26DFB"/>
    <w:rsid w:val="00F30900"/>
    <w:rsid w:val="00F31027"/>
    <w:rsid w:val="00F3170B"/>
    <w:rsid w:val="00F32229"/>
    <w:rsid w:val="00F33A57"/>
    <w:rsid w:val="00F35FDF"/>
    <w:rsid w:val="00F3757B"/>
    <w:rsid w:val="00F42DF0"/>
    <w:rsid w:val="00F432CE"/>
    <w:rsid w:val="00F44BBE"/>
    <w:rsid w:val="00F5317C"/>
    <w:rsid w:val="00F57299"/>
    <w:rsid w:val="00F5736F"/>
    <w:rsid w:val="00F57564"/>
    <w:rsid w:val="00F60798"/>
    <w:rsid w:val="00F60F44"/>
    <w:rsid w:val="00F61D35"/>
    <w:rsid w:val="00F641FF"/>
    <w:rsid w:val="00F65EC9"/>
    <w:rsid w:val="00F66623"/>
    <w:rsid w:val="00F6676A"/>
    <w:rsid w:val="00F668C3"/>
    <w:rsid w:val="00F67C34"/>
    <w:rsid w:val="00F710E2"/>
    <w:rsid w:val="00F74943"/>
    <w:rsid w:val="00F75D3B"/>
    <w:rsid w:val="00F77790"/>
    <w:rsid w:val="00F77C93"/>
    <w:rsid w:val="00F818C4"/>
    <w:rsid w:val="00F81CA8"/>
    <w:rsid w:val="00F81D0C"/>
    <w:rsid w:val="00F85201"/>
    <w:rsid w:val="00F94FDB"/>
    <w:rsid w:val="00F97853"/>
    <w:rsid w:val="00FA1083"/>
    <w:rsid w:val="00FA50A6"/>
    <w:rsid w:val="00FA5186"/>
    <w:rsid w:val="00FA5A5E"/>
    <w:rsid w:val="00FA61B2"/>
    <w:rsid w:val="00FA6DAC"/>
    <w:rsid w:val="00FA753B"/>
    <w:rsid w:val="00FB468E"/>
    <w:rsid w:val="00FB5E11"/>
    <w:rsid w:val="00FC037E"/>
    <w:rsid w:val="00FC1F0C"/>
    <w:rsid w:val="00FC4D3C"/>
    <w:rsid w:val="00FC57BC"/>
    <w:rsid w:val="00FC583A"/>
    <w:rsid w:val="00FC6FAA"/>
    <w:rsid w:val="00FD01BB"/>
    <w:rsid w:val="00FD043B"/>
    <w:rsid w:val="00FD1EE1"/>
    <w:rsid w:val="00FD2F54"/>
    <w:rsid w:val="00FD4604"/>
    <w:rsid w:val="00FD7E9B"/>
    <w:rsid w:val="00FE3F3A"/>
    <w:rsid w:val="00FF17AC"/>
    <w:rsid w:val="00FF2BB4"/>
    <w:rsid w:val="00FF2F86"/>
    <w:rsid w:val="00FF6D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164ED"/>
    <w:pPr>
      <w:suppressAutoHyphens/>
      <w:spacing w:after="0" w:line="240" w:lineRule="auto"/>
    </w:pPr>
    <w:rPr>
      <w:rFonts w:ascii="Times New Roman" w:eastAsia="Times New Roman" w:hAnsi="Times New Roman"/>
      <w:sz w:val="24"/>
      <w:szCs w:val="24"/>
    </w:rPr>
  </w:style>
  <w:style w:type="paragraph" w:styleId="Titolo3">
    <w:name w:val="heading 3"/>
    <w:basedOn w:val="Normale"/>
    <w:rsid w:val="006164ED"/>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erschrift3Zchn">
    <w:name w:val="Überschrift 3 Zchn"/>
    <w:basedOn w:val="Carpredefinitoparagrafo"/>
    <w:rsid w:val="006164ED"/>
    <w:rPr>
      <w:rFonts w:ascii="Arial" w:eastAsia="Times New Roman" w:hAnsi="Arial" w:cs="Arial"/>
      <w:b/>
      <w:bCs/>
      <w:sz w:val="26"/>
      <w:szCs w:val="26"/>
      <w:lang w:val="en-GB"/>
    </w:rPr>
  </w:style>
  <w:style w:type="paragraph" w:styleId="Intestazione">
    <w:name w:val="header"/>
    <w:basedOn w:val="Normale"/>
    <w:rsid w:val="006164ED"/>
    <w:pPr>
      <w:tabs>
        <w:tab w:val="center" w:pos="4320"/>
        <w:tab w:val="right" w:pos="8640"/>
      </w:tabs>
    </w:pPr>
  </w:style>
  <w:style w:type="character" w:customStyle="1" w:styleId="KopfzeileZchn">
    <w:name w:val="Kopfzeile Zchn"/>
    <w:basedOn w:val="Carpredefinitoparagrafo"/>
    <w:rsid w:val="006164ED"/>
    <w:rPr>
      <w:rFonts w:ascii="Times New Roman" w:eastAsia="Times New Roman" w:hAnsi="Times New Roman" w:cs="Times New Roman"/>
      <w:sz w:val="24"/>
      <w:szCs w:val="24"/>
      <w:lang w:val="en-GB"/>
    </w:rPr>
  </w:style>
  <w:style w:type="paragraph" w:customStyle="1" w:styleId="AddressArea">
    <w:name w:val="Address Area"/>
    <w:basedOn w:val="Normale"/>
    <w:rsid w:val="006164ED"/>
    <w:pPr>
      <w:spacing w:line="200" w:lineRule="exact"/>
      <w:ind w:left="612"/>
    </w:pPr>
    <w:rPr>
      <w:rFonts w:ascii="Futura Bk BT" w:hAnsi="Futura Bk BT"/>
      <w:color w:val="000000"/>
      <w:spacing w:val="10"/>
      <w:sz w:val="16"/>
      <w:szCs w:val="20"/>
    </w:rPr>
  </w:style>
  <w:style w:type="character" w:styleId="Collegamentoipertestuale">
    <w:name w:val="Hyperlink"/>
    <w:uiPriority w:val="99"/>
    <w:rsid w:val="006164ED"/>
    <w:rPr>
      <w:color w:val="0000FF"/>
      <w:u w:val="single"/>
    </w:rPr>
  </w:style>
  <w:style w:type="paragraph" w:customStyle="1" w:styleId="MainText">
    <w:name w:val="Main Text"/>
    <w:basedOn w:val="Normale"/>
    <w:rsid w:val="006164ED"/>
    <w:pPr>
      <w:spacing w:line="300" w:lineRule="exact"/>
      <w:ind w:left="120"/>
    </w:pPr>
    <w:rPr>
      <w:szCs w:val="20"/>
    </w:rPr>
  </w:style>
  <w:style w:type="character" w:styleId="Enfasicorsivo">
    <w:name w:val="Emphasis"/>
    <w:uiPriority w:val="20"/>
    <w:qFormat/>
    <w:rsid w:val="006164ED"/>
    <w:rPr>
      <w:i/>
      <w:iCs/>
    </w:rPr>
  </w:style>
  <w:style w:type="paragraph" w:styleId="NormaleWeb">
    <w:name w:val="Normal (Web)"/>
    <w:basedOn w:val="Normale"/>
    <w:uiPriority w:val="99"/>
    <w:rsid w:val="006164ED"/>
    <w:pPr>
      <w:spacing w:before="100" w:after="100"/>
    </w:pPr>
    <w:rPr>
      <w:lang w:eastAsia="en-GB"/>
    </w:rPr>
  </w:style>
  <w:style w:type="character" w:customStyle="1" w:styleId="hps">
    <w:name w:val="hps"/>
    <w:rsid w:val="006164ED"/>
  </w:style>
  <w:style w:type="paragraph" w:styleId="Testofumetto">
    <w:name w:val="Balloon Text"/>
    <w:basedOn w:val="Normale"/>
    <w:rsid w:val="006164ED"/>
    <w:rPr>
      <w:rFonts w:ascii="Tahoma" w:hAnsi="Tahoma" w:cs="Tahoma"/>
      <w:sz w:val="16"/>
      <w:szCs w:val="16"/>
    </w:rPr>
  </w:style>
  <w:style w:type="character" w:customStyle="1" w:styleId="SprechblasentextZchn">
    <w:name w:val="Sprechblasentext Zchn"/>
    <w:basedOn w:val="Carpredefinitoparagrafo"/>
    <w:rsid w:val="006164ED"/>
    <w:rPr>
      <w:rFonts w:ascii="Tahoma" w:eastAsia="Times New Roman" w:hAnsi="Tahoma" w:cs="Tahoma"/>
      <w:sz w:val="16"/>
      <w:szCs w:val="16"/>
      <w:lang w:val="en-GB"/>
    </w:rPr>
  </w:style>
  <w:style w:type="paragraph" w:styleId="Pidipagina">
    <w:name w:val="footer"/>
    <w:basedOn w:val="Normale"/>
    <w:rsid w:val="006164ED"/>
    <w:pPr>
      <w:tabs>
        <w:tab w:val="center" w:pos="4536"/>
        <w:tab w:val="right" w:pos="9072"/>
      </w:tabs>
    </w:pPr>
  </w:style>
  <w:style w:type="character" w:customStyle="1" w:styleId="FuzeileZchn">
    <w:name w:val="Fußzeile Zchn"/>
    <w:basedOn w:val="Carpredefinitoparagrafo"/>
    <w:rsid w:val="006164ED"/>
    <w:rPr>
      <w:rFonts w:ascii="Times New Roman" w:eastAsia="Times New Roman" w:hAnsi="Times New Roman" w:cs="Times New Roman"/>
      <w:sz w:val="24"/>
      <w:szCs w:val="24"/>
      <w:lang w:val="en-GB"/>
    </w:rPr>
  </w:style>
  <w:style w:type="paragraph" w:styleId="Paragrafoelenco">
    <w:name w:val="List Paragraph"/>
    <w:basedOn w:val="Normale"/>
    <w:uiPriority w:val="34"/>
    <w:qFormat/>
    <w:rsid w:val="000C338F"/>
    <w:pPr>
      <w:suppressAutoHyphens w:val="0"/>
      <w:autoSpaceDN/>
      <w:ind w:left="720"/>
      <w:contextualSpacing/>
      <w:textAlignment w:val="auto"/>
    </w:pPr>
  </w:style>
  <w:style w:type="paragraph" w:styleId="PreformattatoHTML">
    <w:name w:val="HTML Preformatted"/>
    <w:basedOn w:val="Normale"/>
    <w:link w:val="PreformattatoHTMLCarattere"/>
    <w:uiPriority w:val="99"/>
    <w:unhideWhenUsed/>
    <w:rsid w:val="000C3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de-DE"/>
    </w:rPr>
  </w:style>
  <w:style w:type="character" w:customStyle="1" w:styleId="PreformattatoHTMLCarattere">
    <w:name w:val="Preformattato HTML Carattere"/>
    <w:basedOn w:val="Carpredefinitoparagrafo"/>
    <w:link w:val="PreformattatoHTML"/>
    <w:uiPriority w:val="99"/>
    <w:rsid w:val="000C338F"/>
    <w:rPr>
      <w:rFonts w:ascii="Courier New" w:eastAsia="Times New Roman" w:hAnsi="Courier New" w:cs="Courier New"/>
      <w:sz w:val="20"/>
      <w:szCs w:val="20"/>
      <w:lang w:eastAsia="de-DE"/>
    </w:rPr>
  </w:style>
  <w:style w:type="paragraph" w:customStyle="1" w:styleId="Default">
    <w:name w:val="Default"/>
    <w:rsid w:val="000D555B"/>
    <w:pPr>
      <w:autoSpaceDE w:val="0"/>
      <w:adjustRightInd w:val="0"/>
      <w:spacing w:after="0" w:line="240" w:lineRule="auto"/>
      <w:textAlignment w:val="auto"/>
    </w:pPr>
    <w:rPr>
      <w:rFonts w:ascii="Arial" w:hAnsi="Arial" w:cs="Arial"/>
      <w:color w:val="000000"/>
      <w:sz w:val="24"/>
      <w:szCs w:val="24"/>
    </w:rPr>
  </w:style>
  <w:style w:type="character" w:customStyle="1" w:styleId="apple-converted-space">
    <w:name w:val="apple-converted-space"/>
    <w:basedOn w:val="Carpredefinitoparagrafo"/>
    <w:rsid w:val="0060128E"/>
  </w:style>
  <w:style w:type="character" w:styleId="Rimandocommento">
    <w:name w:val="annotation reference"/>
    <w:basedOn w:val="Carpredefinitoparagrafo"/>
    <w:uiPriority w:val="99"/>
    <w:semiHidden/>
    <w:unhideWhenUsed/>
    <w:rsid w:val="002D1175"/>
    <w:rPr>
      <w:sz w:val="16"/>
      <w:szCs w:val="16"/>
    </w:rPr>
  </w:style>
  <w:style w:type="paragraph" w:styleId="Testocommento">
    <w:name w:val="annotation text"/>
    <w:basedOn w:val="Normale"/>
    <w:link w:val="TestocommentoCarattere"/>
    <w:uiPriority w:val="99"/>
    <w:unhideWhenUsed/>
    <w:rsid w:val="002D1175"/>
    <w:rPr>
      <w:sz w:val="20"/>
      <w:szCs w:val="20"/>
    </w:rPr>
  </w:style>
  <w:style w:type="character" w:customStyle="1" w:styleId="TestocommentoCarattere">
    <w:name w:val="Testo commento Carattere"/>
    <w:basedOn w:val="Carpredefinitoparagrafo"/>
    <w:link w:val="Testocommento"/>
    <w:uiPriority w:val="99"/>
    <w:rsid w:val="002D1175"/>
    <w:rPr>
      <w:rFonts w:ascii="Times New Roman" w:eastAsia="Times New Roman" w:hAnsi="Times New Roman"/>
      <w:sz w:val="20"/>
      <w:szCs w:val="20"/>
      <w:lang w:val="en-GB"/>
    </w:rPr>
  </w:style>
  <w:style w:type="paragraph" w:styleId="Soggettocommento">
    <w:name w:val="annotation subject"/>
    <w:basedOn w:val="Testocommento"/>
    <w:next w:val="Testocommento"/>
    <w:link w:val="SoggettocommentoCarattere"/>
    <w:uiPriority w:val="99"/>
    <w:semiHidden/>
    <w:unhideWhenUsed/>
    <w:rsid w:val="002D1175"/>
    <w:rPr>
      <w:b/>
      <w:bCs/>
    </w:rPr>
  </w:style>
  <w:style w:type="character" w:customStyle="1" w:styleId="SoggettocommentoCarattere">
    <w:name w:val="Soggetto commento Carattere"/>
    <w:basedOn w:val="TestocommentoCarattere"/>
    <w:link w:val="Soggettocommento"/>
    <w:uiPriority w:val="99"/>
    <w:semiHidden/>
    <w:rsid w:val="002D1175"/>
    <w:rPr>
      <w:rFonts w:ascii="Times New Roman" w:eastAsia="Times New Roman" w:hAnsi="Times New Roman"/>
      <w:b/>
      <w:bCs/>
      <w:sz w:val="20"/>
      <w:szCs w:val="20"/>
      <w:lang w:val="en-GB"/>
    </w:rPr>
  </w:style>
  <w:style w:type="paragraph" w:styleId="Revisione">
    <w:name w:val="Revision"/>
    <w:hidden/>
    <w:uiPriority w:val="99"/>
    <w:semiHidden/>
    <w:rsid w:val="00A607FA"/>
    <w:pPr>
      <w:autoSpaceDN/>
      <w:spacing w:after="0" w:line="240" w:lineRule="auto"/>
      <w:textAlignment w:val="auto"/>
    </w:pPr>
    <w:rPr>
      <w:rFonts w:ascii="Times New Roman" w:eastAsia="Times New Roman" w:hAnsi="Times New Roman"/>
      <w:sz w:val="24"/>
      <w:szCs w:val="24"/>
    </w:rPr>
  </w:style>
  <w:style w:type="table" w:styleId="Grigliatabella">
    <w:name w:val="Table Grid"/>
    <w:basedOn w:val="Tabellanormale"/>
    <w:uiPriority w:val="59"/>
    <w:rsid w:val="006C0C3A"/>
    <w:pPr>
      <w:autoSpaceDN/>
      <w:spacing w:after="0" w:line="240" w:lineRule="auto"/>
      <w:textAlignment w:val="auto"/>
    </w:pPr>
    <w:rPr>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ichtaufgelsteErwhnung1">
    <w:name w:val="Nicht aufgelöste Erwähnung1"/>
    <w:basedOn w:val="Carpredefinitoparagrafo"/>
    <w:uiPriority w:val="99"/>
    <w:semiHidden/>
    <w:unhideWhenUsed/>
    <w:rsid w:val="00A23DF7"/>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24528460">
      <w:bodyDiv w:val="1"/>
      <w:marLeft w:val="0"/>
      <w:marRight w:val="0"/>
      <w:marTop w:val="0"/>
      <w:marBottom w:val="0"/>
      <w:divBdr>
        <w:top w:val="none" w:sz="0" w:space="0" w:color="auto"/>
        <w:left w:val="none" w:sz="0" w:space="0" w:color="auto"/>
        <w:bottom w:val="none" w:sz="0" w:space="0" w:color="auto"/>
        <w:right w:val="none" w:sz="0" w:space="0" w:color="auto"/>
      </w:divBdr>
    </w:div>
    <w:div w:id="314838086">
      <w:bodyDiv w:val="1"/>
      <w:marLeft w:val="0"/>
      <w:marRight w:val="0"/>
      <w:marTop w:val="0"/>
      <w:marBottom w:val="0"/>
      <w:divBdr>
        <w:top w:val="none" w:sz="0" w:space="0" w:color="auto"/>
        <w:left w:val="none" w:sz="0" w:space="0" w:color="auto"/>
        <w:bottom w:val="none" w:sz="0" w:space="0" w:color="auto"/>
        <w:right w:val="none" w:sz="0" w:space="0" w:color="auto"/>
      </w:divBdr>
    </w:div>
    <w:div w:id="336887630">
      <w:bodyDiv w:val="1"/>
      <w:marLeft w:val="0"/>
      <w:marRight w:val="0"/>
      <w:marTop w:val="0"/>
      <w:marBottom w:val="0"/>
      <w:divBdr>
        <w:top w:val="none" w:sz="0" w:space="0" w:color="auto"/>
        <w:left w:val="none" w:sz="0" w:space="0" w:color="auto"/>
        <w:bottom w:val="none" w:sz="0" w:space="0" w:color="auto"/>
        <w:right w:val="none" w:sz="0" w:space="0" w:color="auto"/>
      </w:divBdr>
    </w:div>
    <w:div w:id="443114735">
      <w:bodyDiv w:val="1"/>
      <w:marLeft w:val="0"/>
      <w:marRight w:val="0"/>
      <w:marTop w:val="0"/>
      <w:marBottom w:val="0"/>
      <w:divBdr>
        <w:top w:val="none" w:sz="0" w:space="0" w:color="auto"/>
        <w:left w:val="none" w:sz="0" w:space="0" w:color="auto"/>
        <w:bottom w:val="none" w:sz="0" w:space="0" w:color="auto"/>
        <w:right w:val="none" w:sz="0" w:space="0" w:color="auto"/>
      </w:divBdr>
    </w:div>
    <w:div w:id="510800036">
      <w:bodyDiv w:val="1"/>
      <w:marLeft w:val="0"/>
      <w:marRight w:val="0"/>
      <w:marTop w:val="0"/>
      <w:marBottom w:val="0"/>
      <w:divBdr>
        <w:top w:val="none" w:sz="0" w:space="0" w:color="auto"/>
        <w:left w:val="none" w:sz="0" w:space="0" w:color="auto"/>
        <w:bottom w:val="none" w:sz="0" w:space="0" w:color="auto"/>
        <w:right w:val="none" w:sz="0" w:space="0" w:color="auto"/>
      </w:divBdr>
    </w:div>
    <w:div w:id="544097352">
      <w:bodyDiv w:val="1"/>
      <w:marLeft w:val="0"/>
      <w:marRight w:val="0"/>
      <w:marTop w:val="0"/>
      <w:marBottom w:val="0"/>
      <w:divBdr>
        <w:top w:val="none" w:sz="0" w:space="0" w:color="auto"/>
        <w:left w:val="none" w:sz="0" w:space="0" w:color="auto"/>
        <w:bottom w:val="none" w:sz="0" w:space="0" w:color="auto"/>
        <w:right w:val="none" w:sz="0" w:space="0" w:color="auto"/>
      </w:divBdr>
    </w:div>
    <w:div w:id="703021202">
      <w:bodyDiv w:val="1"/>
      <w:marLeft w:val="0"/>
      <w:marRight w:val="0"/>
      <w:marTop w:val="0"/>
      <w:marBottom w:val="0"/>
      <w:divBdr>
        <w:top w:val="none" w:sz="0" w:space="0" w:color="auto"/>
        <w:left w:val="none" w:sz="0" w:space="0" w:color="auto"/>
        <w:bottom w:val="none" w:sz="0" w:space="0" w:color="auto"/>
        <w:right w:val="none" w:sz="0" w:space="0" w:color="auto"/>
      </w:divBdr>
    </w:div>
    <w:div w:id="1096706327">
      <w:bodyDiv w:val="1"/>
      <w:marLeft w:val="0"/>
      <w:marRight w:val="0"/>
      <w:marTop w:val="0"/>
      <w:marBottom w:val="0"/>
      <w:divBdr>
        <w:top w:val="none" w:sz="0" w:space="0" w:color="auto"/>
        <w:left w:val="none" w:sz="0" w:space="0" w:color="auto"/>
        <w:bottom w:val="none" w:sz="0" w:space="0" w:color="auto"/>
        <w:right w:val="none" w:sz="0" w:space="0" w:color="auto"/>
      </w:divBdr>
    </w:div>
    <w:div w:id="1165122792">
      <w:bodyDiv w:val="1"/>
      <w:marLeft w:val="0"/>
      <w:marRight w:val="0"/>
      <w:marTop w:val="0"/>
      <w:marBottom w:val="0"/>
      <w:divBdr>
        <w:top w:val="none" w:sz="0" w:space="0" w:color="auto"/>
        <w:left w:val="none" w:sz="0" w:space="0" w:color="auto"/>
        <w:bottom w:val="none" w:sz="0" w:space="0" w:color="auto"/>
        <w:right w:val="none" w:sz="0" w:space="0" w:color="auto"/>
      </w:divBdr>
    </w:div>
    <w:div w:id="1169366857">
      <w:bodyDiv w:val="1"/>
      <w:marLeft w:val="0"/>
      <w:marRight w:val="0"/>
      <w:marTop w:val="0"/>
      <w:marBottom w:val="0"/>
      <w:divBdr>
        <w:top w:val="none" w:sz="0" w:space="0" w:color="auto"/>
        <w:left w:val="none" w:sz="0" w:space="0" w:color="auto"/>
        <w:bottom w:val="none" w:sz="0" w:space="0" w:color="auto"/>
        <w:right w:val="none" w:sz="0" w:space="0" w:color="auto"/>
      </w:divBdr>
    </w:div>
    <w:div w:id="1202939453">
      <w:bodyDiv w:val="1"/>
      <w:marLeft w:val="0"/>
      <w:marRight w:val="0"/>
      <w:marTop w:val="0"/>
      <w:marBottom w:val="0"/>
      <w:divBdr>
        <w:top w:val="none" w:sz="0" w:space="0" w:color="auto"/>
        <w:left w:val="none" w:sz="0" w:space="0" w:color="auto"/>
        <w:bottom w:val="none" w:sz="0" w:space="0" w:color="auto"/>
        <w:right w:val="none" w:sz="0" w:space="0" w:color="auto"/>
      </w:divBdr>
    </w:div>
    <w:div w:id="1366326895">
      <w:bodyDiv w:val="1"/>
      <w:marLeft w:val="0"/>
      <w:marRight w:val="0"/>
      <w:marTop w:val="0"/>
      <w:marBottom w:val="0"/>
      <w:divBdr>
        <w:top w:val="none" w:sz="0" w:space="0" w:color="auto"/>
        <w:left w:val="none" w:sz="0" w:space="0" w:color="auto"/>
        <w:bottom w:val="none" w:sz="0" w:space="0" w:color="auto"/>
        <w:right w:val="none" w:sz="0" w:space="0" w:color="auto"/>
      </w:divBdr>
    </w:div>
    <w:div w:id="1490830042">
      <w:bodyDiv w:val="1"/>
      <w:marLeft w:val="0"/>
      <w:marRight w:val="0"/>
      <w:marTop w:val="0"/>
      <w:marBottom w:val="0"/>
      <w:divBdr>
        <w:top w:val="none" w:sz="0" w:space="0" w:color="auto"/>
        <w:left w:val="none" w:sz="0" w:space="0" w:color="auto"/>
        <w:bottom w:val="none" w:sz="0" w:space="0" w:color="auto"/>
        <w:right w:val="none" w:sz="0" w:space="0" w:color="auto"/>
      </w:divBdr>
    </w:div>
    <w:div w:id="1545556221">
      <w:bodyDiv w:val="1"/>
      <w:marLeft w:val="0"/>
      <w:marRight w:val="0"/>
      <w:marTop w:val="0"/>
      <w:marBottom w:val="0"/>
      <w:divBdr>
        <w:top w:val="none" w:sz="0" w:space="0" w:color="auto"/>
        <w:left w:val="none" w:sz="0" w:space="0" w:color="auto"/>
        <w:bottom w:val="none" w:sz="0" w:space="0" w:color="auto"/>
        <w:right w:val="none" w:sz="0" w:space="0" w:color="auto"/>
      </w:divBdr>
    </w:div>
    <w:div w:id="1606960033">
      <w:bodyDiv w:val="1"/>
      <w:marLeft w:val="0"/>
      <w:marRight w:val="0"/>
      <w:marTop w:val="0"/>
      <w:marBottom w:val="0"/>
      <w:divBdr>
        <w:top w:val="none" w:sz="0" w:space="0" w:color="auto"/>
        <w:left w:val="none" w:sz="0" w:space="0" w:color="auto"/>
        <w:bottom w:val="none" w:sz="0" w:space="0" w:color="auto"/>
        <w:right w:val="none" w:sz="0" w:space="0" w:color="auto"/>
      </w:divBdr>
    </w:div>
    <w:div w:id="1677539647">
      <w:bodyDiv w:val="1"/>
      <w:marLeft w:val="0"/>
      <w:marRight w:val="0"/>
      <w:marTop w:val="0"/>
      <w:marBottom w:val="0"/>
      <w:divBdr>
        <w:top w:val="none" w:sz="0" w:space="0" w:color="auto"/>
        <w:left w:val="none" w:sz="0" w:space="0" w:color="auto"/>
        <w:bottom w:val="none" w:sz="0" w:space="0" w:color="auto"/>
        <w:right w:val="none" w:sz="0" w:space="0" w:color="auto"/>
      </w:divBdr>
    </w:div>
    <w:div w:id="1744831471">
      <w:bodyDiv w:val="1"/>
      <w:marLeft w:val="0"/>
      <w:marRight w:val="0"/>
      <w:marTop w:val="0"/>
      <w:marBottom w:val="0"/>
      <w:divBdr>
        <w:top w:val="none" w:sz="0" w:space="0" w:color="auto"/>
        <w:left w:val="none" w:sz="0" w:space="0" w:color="auto"/>
        <w:bottom w:val="none" w:sz="0" w:space="0" w:color="auto"/>
        <w:right w:val="none" w:sz="0" w:space="0" w:color="auto"/>
      </w:divBdr>
    </w:div>
    <w:div w:id="1888907566">
      <w:bodyDiv w:val="1"/>
      <w:marLeft w:val="0"/>
      <w:marRight w:val="0"/>
      <w:marTop w:val="0"/>
      <w:marBottom w:val="0"/>
      <w:divBdr>
        <w:top w:val="none" w:sz="0" w:space="0" w:color="auto"/>
        <w:left w:val="none" w:sz="0" w:space="0" w:color="auto"/>
        <w:bottom w:val="none" w:sz="0" w:space="0" w:color="auto"/>
        <w:right w:val="none" w:sz="0" w:space="0" w:color="auto"/>
      </w:divBdr>
    </w:div>
    <w:div w:id="1906796446">
      <w:bodyDiv w:val="1"/>
      <w:marLeft w:val="0"/>
      <w:marRight w:val="0"/>
      <w:marTop w:val="0"/>
      <w:marBottom w:val="0"/>
      <w:divBdr>
        <w:top w:val="none" w:sz="0" w:space="0" w:color="auto"/>
        <w:left w:val="none" w:sz="0" w:space="0" w:color="auto"/>
        <w:bottom w:val="none" w:sz="0" w:space="0" w:color="auto"/>
        <w:right w:val="none" w:sz="0" w:space="0" w:color="auto"/>
      </w:divBdr>
      <w:divsChild>
        <w:div w:id="2130278354">
          <w:marLeft w:val="0"/>
          <w:marRight w:val="0"/>
          <w:marTop w:val="0"/>
          <w:marBottom w:val="0"/>
          <w:divBdr>
            <w:top w:val="none" w:sz="0" w:space="0" w:color="auto"/>
            <w:left w:val="none" w:sz="0" w:space="0" w:color="auto"/>
            <w:bottom w:val="none" w:sz="0" w:space="0" w:color="auto"/>
            <w:right w:val="none" w:sz="0" w:space="0" w:color="auto"/>
          </w:divBdr>
        </w:div>
      </w:divsChild>
    </w:div>
    <w:div w:id="1932734553">
      <w:bodyDiv w:val="1"/>
      <w:marLeft w:val="0"/>
      <w:marRight w:val="0"/>
      <w:marTop w:val="0"/>
      <w:marBottom w:val="0"/>
      <w:divBdr>
        <w:top w:val="none" w:sz="0" w:space="0" w:color="auto"/>
        <w:left w:val="none" w:sz="0" w:space="0" w:color="auto"/>
        <w:bottom w:val="none" w:sz="0" w:space="0" w:color="auto"/>
        <w:right w:val="none" w:sz="0" w:space="0" w:color="auto"/>
      </w:divBdr>
      <w:divsChild>
        <w:div w:id="420414897">
          <w:marLeft w:val="0"/>
          <w:marRight w:val="0"/>
          <w:marTop w:val="0"/>
          <w:marBottom w:val="0"/>
          <w:divBdr>
            <w:top w:val="none" w:sz="0" w:space="0" w:color="auto"/>
            <w:left w:val="none" w:sz="0" w:space="0" w:color="auto"/>
            <w:bottom w:val="none" w:sz="0" w:space="0" w:color="auto"/>
            <w:right w:val="none" w:sz="0" w:space="0" w:color="auto"/>
          </w:divBdr>
        </w:div>
        <w:div w:id="1819951321">
          <w:marLeft w:val="0"/>
          <w:marRight w:val="0"/>
          <w:marTop w:val="0"/>
          <w:marBottom w:val="0"/>
          <w:divBdr>
            <w:top w:val="none" w:sz="0" w:space="0" w:color="auto"/>
            <w:left w:val="none" w:sz="0" w:space="0" w:color="auto"/>
            <w:bottom w:val="none" w:sz="0" w:space="0" w:color="auto"/>
            <w:right w:val="none" w:sz="0" w:space="0" w:color="auto"/>
          </w:divBdr>
        </w:div>
      </w:divsChild>
    </w:div>
    <w:div w:id="2098402616">
      <w:bodyDiv w:val="1"/>
      <w:marLeft w:val="0"/>
      <w:marRight w:val="0"/>
      <w:marTop w:val="0"/>
      <w:marBottom w:val="0"/>
      <w:divBdr>
        <w:top w:val="none" w:sz="0" w:space="0" w:color="auto"/>
        <w:left w:val="none" w:sz="0" w:space="0" w:color="auto"/>
        <w:bottom w:val="none" w:sz="0" w:space="0" w:color="auto"/>
        <w:right w:val="none" w:sz="0" w:space="0" w:color="auto"/>
      </w:divBdr>
    </w:div>
    <w:div w:id="2110613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xing.com/companies/cbregmbh" TargetMode="Externa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witter.com/cbregermany" TargetMode="External"/><Relationship Id="rId20" Type="http://schemas.openxmlformats.org/officeDocument/2006/relationships/hyperlink" Target="https://www.linkedin.com/company-beta/289667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cbre.d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746DE424361B94881FBE4C955CA927B" ma:contentTypeVersion="7" ma:contentTypeDescription="Ein neues Dokument erstellen." ma:contentTypeScope="" ma:versionID="da8016820f7a55397ec4537f4c0d656d">
  <xsd:schema xmlns:xsd="http://www.w3.org/2001/XMLSchema" xmlns:xs="http://www.w3.org/2001/XMLSchema" xmlns:p="http://schemas.microsoft.com/office/2006/metadata/properties" xmlns:ns2="e2713d7d-9d9a-4a89-8a74-c883c28e49bb" xmlns:ns3="7f6b1062-e47e-4d9f-9964-2c06f6218976" targetNamespace="http://schemas.microsoft.com/office/2006/metadata/properties" ma:root="true" ma:fieldsID="8e6a331b177ee77e128e787e2e83110c" ns2:_="" ns3:_="">
    <xsd:import namespace="e2713d7d-9d9a-4a89-8a74-c883c28e49bb"/>
    <xsd:import namespace="7f6b1062-e47e-4d9f-9964-2c06f62189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13d7d-9d9a-4a89-8a74-c883c28e4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b1062-e47e-4d9f-9964-2c06f6218976"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39D8-FE80-46D6-A27C-62C0847237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0486C-8B1B-4D1C-8000-2ACFFCEADAAD}">
  <ds:schemaRefs>
    <ds:schemaRef ds:uri="http://schemas.microsoft.com/sharepoint/v3/contenttype/forms"/>
  </ds:schemaRefs>
</ds:datastoreItem>
</file>

<file path=customXml/itemProps3.xml><?xml version="1.0" encoding="utf-8"?>
<ds:datastoreItem xmlns:ds="http://schemas.openxmlformats.org/officeDocument/2006/customXml" ds:itemID="{69431B8B-B3DE-44A1-8C36-60826AE78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13d7d-9d9a-4a89-8a74-c883c28e49bb"/>
    <ds:schemaRef ds:uri="7f6b1062-e47e-4d9f-9964-2c06f6218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5EA1D1-1676-47F2-BADA-8A841771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601</Words>
  <Characters>3429</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Siewert, Malgorzata</dc:creator>
  <cp:lastModifiedBy>paola</cp:lastModifiedBy>
  <cp:revision>4</cp:revision>
  <cp:lastPrinted>2015-04-29T11:33:00Z</cp:lastPrinted>
  <dcterms:created xsi:type="dcterms:W3CDTF">2019-10-17T13:11:00Z</dcterms:created>
  <dcterms:modified xsi:type="dcterms:W3CDTF">2019-10-18T10:11:00Z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0x0101007746DE424361B94881FBE4C955CA927B</vt:lpwstr>
  </property>
</Properties>
</file>