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F8" w:rsidRDefault="003339F8" w:rsidP="00594180">
      <w:pPr>
        <w:spacing w:before="100" w:beforeAutospacing="1" w:after="100" w:afterAutospacing="1"/>
        <w:jc w:val="center"/>
        <w:rPr>
          <w:rFonts w:ascii="PT Sans Narrow" w:hAnsi="PT Sans Narrow" w:cs="Calibri"/>
          <w:b/>
          <w:sz w:val="22"/>
          <w:szCs w:val="22"/>
        </w:rPr>
      </w:pPr>
    </w:p>
    <w:p w:rsidR="003339F8" w:rsidRDefault="003339F8" w:rsidP="00594180">
      <w:pPr>
        <w:spacing w:before="100" w:beforeAutospacing="1" w:after="100" w:afterAutospacing="1"/>
        <w:jc w:val="center"/>
        <w:rPr>
          <w:rFonts w:ascii="PT Sans Narrow" w:hAnsi="PT Sans Narrow" w:cs="Calibri"/>
          <w:b/>
          <w:sz w:val="22"/>
          <w:szCs w:val="22"/>
        </w:rPr>
      </w:pPr>
      <w:bookmarkStart w:id="0" w:name="_GoBack"/>
      <w:bookmarkEnd w:id="0"/>
    </w:p>
    <w:p w:rsidR="00E518C3" w:rsidRDefault="00E518C3" w:rsidP="00E518C3">
      <w:pPr>
        <w:spacing w:before="100" w:beforeAutospacing="1" w:after="100" w:afterAutospacing="1"/>
        <w:jc w:val="center"/>
        <w:rPr>
          <w:rFonts w:ascii="PT Sans Narrow" w:hAnsi="PT Sans Narrow"/>
          <w:b/>
          <w:bCs/>
        </w:rPr>
      </w:pPr>
      <w:r>
        <w:rPr>
          <w:rFonts w:ascii="PT Sans Narrow" w:hAnsi="PT Sans Narrow"/>
          <w:b/>
          <w:bCs/>
        </w:rPr>
        <w:t>INVESTIMENTI IMMOBILIARI INTERNAZIONALI</w:t>
      </w:r>
    </w:p>
    <w:p w:rsidR="00E518C3" w:rsidRDefault="00E518C3" w:rsidP="00E518C3">
      <w:pPr>
        <w:spacing w:before="100" w:beforeAutospacing="1" w:after="100" w:afterAutospacing="1"/>
        <w:jc w:val="center"/>
        <w:rPr>
          <w:rFonts w:ascii="PT Sans Narrow" w:hAnsi="PT Sans Narrow"/>
          <w:b/>
          <w:bCs/>
        </w:rPr>
      </w:pPr>
      <w:r>
        <w:rPr>
          <w:rFonts w:ascii="PT Sans Narrow" w:hAnsi="PT Sans Narrow"/>
          <w:b/>
          <w:bCs/>
          <w:u w:val="single"/>
        </w:rPr>
        <w:t>Gli investitori esteri e il mercato italiano</w:t>
      </w:r>
      <w:r>
        <w:rPr>
          <w:rFonts w:ascii="PT Sans Narrow" w:hAnsi="PT Sans Narrow"/>
          <w:b/>
          <w:bCs/>
        </w:rPr>
        <w:t>: +26% nel 2019, ma sfiducia nella burocrazia e timore per l’instabilità economica costituiscono ancora un grande freno</w:t>
      </w:r>
    </w:p>
    <w:p w:rsidR="00E518C3" w:rsidRDefault="00E518C3" w:rsidP="00E518C3">
      <w:pPr>
        <w:spacing w:before="100" w:beforeAutospacing="1" w:after="100" w:afterAutospacing="1"/>
        <w:jc w:val="center"/>
        <w:rPr>
          <w:rFonts w:ascii="PT Sans Narrow" w:hAnsi="PT Sans Narrow"/>
          <w:b/>
          <w:bCs/>
        </w:rPr>
      </w:pPr>
      <w:r>
        <w:rPr>
          <w:rFonts w:ascii="PT Sans Narrow" w:hAnsi="PT Sans Narrow"/>
          <w:b/>
          <w:bCs/>
          <w:u w:val="single"/>
        </w:rPr>
        <w:t>Gli italiani e gli investimenti all’estero</w:t>
      </w:r>
      <w:r>
        <w:rPr>
          <w:rFonts w:ascii="PT Sans Narrow" w:hAnsi="PT Sans Narrow"/>
          <w:b/>
          <w:bCs/>
        </w:rPr>
        <w:t>: 6 italiani su 10 si affidano all’agente immobiliare di fiducia e ad un partner specializzato nel mercato estero</w:t>
      </w:r>
    </w:p>
    <w:p w:rsidR="00E518C3" w:rsidRDefault="00E518C3" w:rsidP="00E518C3">
      <w:pPr>
        <w:spacing w:before="100" w:beforeAutospacing="1" w:after="100" w:afterAutospacing="1"/>
        <w:rPr>
          <w:rFonts w:ascii="PT Sans Narrow" w:hAnsi="PT Sans Narrow"/>
          <w:b/>
          <w:bCs/>
        </w:rPr>
      </w:pPr>
    </w:p>
    <w:p w:rsidR="00E518C3" w:rsidRDefault="00E518C3" w:rsidP="00E518C3">
      <w:pPr>
        <w:spacing w:before="100" w:beforeAutospacing="1" w:after="100" w:afterAutospacing="1"/>
        <w:jc w:val="both"/>
        <w:rPr>
          <w:rFonts w:ascii="PT Sans Narrow" w:hAnsi="PT Sans Narrow"/>
        </w:rPr>
      </w:pPr>
      <w:r>
        <w:rPr>
          <w:rFonts w:ascii="PT Sans Narrow" w:hAnsi="PT Sans Narrow"/>
          <w:i/>
          <w:iCs/>
        </w:rPr>
        <w:t>Roma, 25 ottobre 2019</w:t>
      </w:r>
      <w:r>
        <w:rPr>
          <w:rFonts w:ascii="PT Sans Narrow" w:hAnsi="PT Sans Narrow"/>
        </w:rPr>
        <w:t xml:space="preserve"> – Qual è il comportamento degli italiani che investono all’estero e perché gli acquirenti stranieri scelgono di investire in Italia? L’analisi del </w:t>
      </w:r>
      <w:r>
        <w:rPr>
          <w:rFonts w:ascii="PT Sans Narrow" w:hAnsi="PT Sans Narrow"/>
          <w:b/>
          <w:bCs/>
        </w:rPr>
        <w:t>Centro Studi FIAIP</w:t>
      </w:r>
      <w:r>
        <w:rPr>
          <w:rFonts w:ascii="PT Sans Narrow" w:hAnsi="PT Sans Narrow"/>
        </w:rPr>
        <w:t xml:space="preserve">, il Centro Studi della Federazione Italiana Agenti Immobiliari Professionali, la principale associazione di categoria del Real Estate in Italia e </w:t>
      </w:r>
      <w:r>
        <w:rPr>
          <w:rFonts w:ascii="PT Sans Narrow" w:hAnsi="PT Sans Narrow"/>
          <w:b/>
          <w:bCs/>
        </w:rPr>
        <w:t xml:space="preserve">OPISAS </w:t>
      </w:r>
      <w:proofErr w:type="spellStart"/>
      <w:r>
        <w:rPr>
          <w:rFonts w:ascii="PT Sans Narrow" w:hAnsi="PT Sans Narrow"/>
          <w:b/>
          <w:bCs/>
        </w:rPr>
        <w:t>REinsight</w:t>
      </w:r>
      <w:proofErr w:type="spellEnd"/>
      <w:r>
        <w:rPr>
          <w:rFonts w:ascii="PT Sans Narrow" w:hAnsi="PT Sans Narrow"/>
          <w:b/>
          <w:bCs/>
        </w:rPr>
        <w:t>.Info</w:t>
      </w:r>
      <w:r>
        <w:rPr>
          <w:rFonts w:ascii="PT Sans Narrow" w:hAnsi="PT Sans Narrow"/>
        </w:rPr>
        <w:t xml:space="preserve">, l’osservatorio sui mercati immobiliari internazionali promosso da OPISAS, realtà internazionale specializzata nella vendita e intermediazione di investimenti immobiliari ad alto rendimento nel mercato USA,  fotografa  gli investimenti immobiliari internazionali in Italia e definisce l’identikit di chi investe nel nostro Paese e le motivazioni che allontanano troppo spesso gli investitori internazionali dalla madre patria. Gli italiani che investono all’estero preferiscono solitamente farsi supportare da un partner immobiliare specializzato e di fiducia. A fronte di questa consulenza dallo studio emerge come 7 su 10 non ritengono necessario visitare di persona l’immobile prima dell’acquisto. </w:t>
      </w:r>
    </w:p>
    <w:p w:rsidR="00E518C3" w:rsidRDefault="00E518C3" w:rsidP="00E518C3">
      <w:pPr>
        <w:spacing w:before="100" w:beforeAutospacing="1" w:after="100" w:afterAutospacing="1"/>
        <w:jc w:val="both"/>
        <w:rPr>
          <w:rFonts w:ascii="PT Sans Narrow" w:hAnsi="PT Sans Narrow"/>
        </w:rPr>
      </w:pPr>
      <w:r>
        <w:rPr>
          <w:rFonts w:ascii="PT Sans Narrow" w:hAnsi="PT Sans Narrow"/>
          <w:b/>
          <w:bCs/>
        </w:rPr>
        <w:t>Ma qual è l’identikit dell’italiano che investe nel settore immobiliare all’estero? Quanto è preparato dal punto di vista tecnico? Quali sono le sue aspettative in termini di rendita?</w:t>
      </w:r>
      <w:r>
        <w:rPr>
          <w:rFonts w:ascii="PT Sans Narrow" w:hAnsi="PT Sans Narrow"/>
        </w:rPr>
        <w:t xml:space="preserve"> A dare una risposta a queste domande è l’osservatorio sui mercati immobiliari internazionali REinsight.info promosso da OPISAS, che insieme a al Centro Studi Fiaip ha presentato a Napoli un’indagine sottoposta a circa </w:t>
      </w:r>
      <w:r>
        <w:rPr>
          <w:rFonts w:ascii="PT Sans Narrow" w:hAnsi="PT Sans Narrow"/>
          <w:b/>
          <w:bCs/>
        </w:rPr>
        <w:t>2000 italiani</w:t>
      </w:r>
      <w:r>
        <w:rPr>
          <w:rFonts w:ascii="PT Sans Narrow" w:hAnsi="PT Sans Narrow"/>
        </w:rPr>
        <w:t xml:space="preserve"> che hanno investito o hanno manifestato l'interesse a investire all’estero e a più di </w:t>
      </w:r>
      <w:r>
        <w:rPr>
          <w:rFonts w:ascii="PT Sans Narrow" w:hAnsi="PT Sans Narrow"/>
          <w:b/>
          <w:bCs/>
        </w:rPr>
        <w:t xml:space="preserve">250 agenti immobiliari italiani </w:t>
      </w:r>
      <w:r>
        <w:rPr>
          <w:rFonts w:ascii="PT Sans Narrow" w:hAnsi="PT Sans Narrow"/>
        </w:rPr>
        <w:t xml:space="preserve">che hanno fotografato </w:t>
      </w:r>
      <w:r>
        <w:rPr>
          <w:rFonts w:ascii="PT Sans Narrow" w:hAnsi="PT Sans Narrow"/>
          <w:b/>
          <w:bCs/>
        </w:rPr>
        <w:t>l’identikit degli investitori esteri in Italia e le motivazioni e le paure che allontanano tutt’oggi molti investitori dal mattone italiano.</w:t>
      </w:r>
    </w:p>
    <w:p w:rsidR="00E518C3" w:rsidRDefault="00E518C3" w:rsidP="00E518C3">
      <w:pPr>
        <w:spacing w:before="100" w:beforeAutospacing="1" w:after="100" w:afterAutospacing="1"/>
        <w:jc w:val="both"/>
        <w:rPr>
          <w:rFonts w:ascii="PT Sans Narrow" w:hAnsi="PT Sans Narrow"/>
        </w:rPr>
      </w:pPr>
      <w:r>
        <w:rPr>
          <w:rFonts w:ascii="PT Sans Narrow" w:hAnsi="PT Sans Narrow"/>
          <w:b/>
          <w:bCs/>
        </w:rPr>
        <w:t>L’investitore italiano - tipo</w:t>
      </w:r>
      <w:r>
        <w:rPr>
          <w:rFonts w:ascii="PT Sans Narrow" w:hAnsi="PT Sans Narrow"/>
        </w:rPr>
        <w:t xml:space="preserve"> ha un’età compresa fra i 35 e i 54 anni, è libero professionista (30%), pensionato (21,67%) o proprietario di azienda (16,67%) e opera nel campo dell’industria (23,53%), della consulenza (15,69%), della sanità (13,73%) o della pubblica amministrazione (11,76%). </w:t>
      </w:r>
    </w:p>
    <w:p w:rsidR="00E518C3" w:rsidRDefault="00E518C3" w:rsidP="00E518C3">
      <w:pPr>
        <w:spacing w:before="100" w:beforeAutospacing="1" w:after="100" w:afterAutospacing="1"/>
        <w:jc w:val="both"/>
        <w:rPr>
          <w:rFonts w:ascii="PT Sans Narrow" w:hAnsi="PT Sans Narrow"/>
        </w:rPr>
      </w:pPr>
      <w:r>
        <w:rPr>
          <w:rFonts w:ascii="PT Sans Narrow" w:hAnsi="PT Sans Narrow"/>
        </w:rPr>
        <w:t xml:space="preserve">Nella valutazione del potenziale investimento, la possibilità più ambita è quella di ottenere una </w:t>
      </w:r>
      <w:r>
        <w:rPr>
          <w:rFonts w:ascii="PT Sans Narrow" w:hAnsi="PT Sans Narrow"/>
          <w:b/>
          <w:bCs/>
        </w:rPr>
        <w:t>rendita da locazione continuativa nel tempo</w:t>
      </w:r>
      <w:r>
        <w:rPr>
          <w:rFonts w:ascii="PT Sans Narrow" w:hAnsi="PT Sans Narrow"/>
        </w:rPr>
        <w:t xml:space="preserve">. Su una scala di importanza compresa da 1 a 6, questo fattore ottiene una valutazione media di 5,38; inoltre, se garantito almeno per un dato periodo di tempo, più della metà del campione dichiara esplicitamente di preferirlo a tutte le altre eventuali caratteristiche anche qualora la rendita fosse moderata. Scendendo ulteriormente nello specifico, si scopre che il 37,25% degli intervistati si aspetta una rendita netta annuale da locazione compresa tra il 7,5 e il 9%, mentre il 35,29% si “accontenta” di una rendita compresa tra il 5,5% e il 7%. Un investitore italiano su 3 si dichiara disposto a vincolarsi all’investimento per un periodo compreso tra </w:t>
      </w:r>
      <w:r>
        <w:rPr>
          <w:rFonts w:ascii="PT Sans Narrow" w:hAnsi="PT Sans Narrow"/>
          <w:b/>
          <w:bCs/>
        </w:rPr>
        <w:t>7 e 10 anni</w:t>
      </w:r>
      <w:r>
        <w:rPr>
          <w:rFonts w:ascii="PT Sans Narrow" w:hAnsi="PT Sans Narrow"/>
        </w:rPr>
        <w:t xml:space="preserve">, mentre una percentuale leggermente più alta predilige un </w:t>
      </w:r>
      <w:r>
        <w:rPr>
          <w:rFonts w:ascii="PT Sans Narrow" w:hAnsi="PT Sans Narrow"/>
          <w:b/>
          <w:bCs/>
        </w:rPr>
        <w:t>orizzonte temporale</w:t>
      </w:r>
      <w:r>
        <w:rPr>
          <w:rFonts w:ascii="PT Sans Narrow" w:hAnsi="PT Sans Narrow"/>
        </w:rPr>
        <w:t xml:space="preserve"> più breve: 5-7 anni (21,57%) o addirittura 3-5 anni (13,73%). Circa un italiano su cinque (19,61%) è orientato su un periodo di 10-15 anni. Per quanto riguarda la </w:t>
      </w:r>
      <w:r>
        <w:rPr>
          <w:rFonts w:ascii="PT Sans Narrow" w:hAnsi="PT Sans Narrow"/>
          <w:b/>
          <w:bCs/>
        </w:rPr>
        <w:t>plusvalenza attesa alla rivendita</w:t>
      </w:r>
      <w:r>
        <w:rPr>
          <w:rFonts w:ascii="PT Sans Narrow" w:hAnsi="PT Sans Narrow"/>
        </w:rPr>
        <w:t xml:space="preserve">, il 29,41% degli intervistati punta al +3,5-+5% annuo, ma più di un terzo degli italiani mira </w:t>
      </w:r>
      <w:r>
        <w:rPr>
          <w:rFonts w:ascii="PT Sans Narrow" w:hAnsi="PT Sans Narrow"/>
        </w:rPr>
        <w:lastRenderedPageBreak/>
        <w:t xml:space="preserve">molto più in alto, per la precisione a un +5,5-7% annuo (il 17,65% del campione) o addirittura a un +7,5-10% (il 19,61%). </w:t>
      </w:r>
    </w:p>
    <w:p w:rsidR="00E518C3" w:rsidRDefault="00E518C3" w:rsidP="00E518C3">
      <w:pPr>
        <w:spacing w:before="100" w:beforeAutospacing="1" w:after="100" w:afterAutospacing="1"/>
        <w:jc w:val="both"/>
        <w:rPr>
          <w:rFonts w:ascii="PT Sans Narrow" w:hAnsi="PT Sans Narrow"/>
        </w:rPr>
      </w:pPr>
      <w:r>
        <w:rPr>
          <w:rFonts w:ascii="PT Sans Narrow" w:hAnsi="PT Sans Narrow"/>
        </w:rPr>
        <w:t xml:space="preserve">Ma i nostri connazionali dispongono delle </w:t>
      </w:r>
      <w:r>
        <w:rPr>
          <w:rFonts w:ascii="PT Sans Narrow" w:hAnsi="PT Sans Narrow"/>
          <w:b/>
          <w:bCs/>
        </w:rPr>
        <w:t>competenze</w:t>
      </w:r>
      <w:r>
        <w:rPr>
          <w:rFonts w:ascii="PT Sans Narrow" w:hAnsi="PT Sans Narrow"/>
        </w:rPr>
        <w:t xml:space="preserve"> necessarie per orientarsi all’interno di un mercato così promettente, ma al tempo stesso così complesso? “Se è vero che buona parte del campione si dichiara preparato sui concetti-base del settore (come Rendimento Netto Annuo, Plusvalenza o Capital Gain), è vero anche che il </w:t>
      </w:r>
      <w:r>
        <w:rPr>
          <w:rFonts w:ascii="PT Sans Narrow" w:hAnsi="PT Sans Narrow"/>
          <w:b/>
          <w:bCs/>
        </w:rPr>
        <w:t>58%</w:t>
      </w:r>
      <w:r>
        <w:rPr>
          <w:rFonts w:ascii="PT Sans Narrow" w:hAnsi="PT Sans Narrow"/>
        </w:rPr>
        <w:t xml:space="preserve"> vuole essere </w:t>
      </w:r>
      <w:r>
        <w:rPr>
          <w:rFonts w:ascii="PT Sans Narrow" w:hAnsi="PT Sans Narrow"/>
          <w:b/>
          <w:bCs/>
        </w:rPr>
        <w:t>supportato da un professionista</w:t>
      </w:r>
      <w:r>
        <w:rPr>
          <w:rFonts w:ascii="PT Sans Narrow" w:hAnsi="PT Sans Narrow"/>
        </w:rPr>
        <w:t xml:space="preserve">” dichiara </w:t>
      </w:r>
      <w:r>
        <w:rPr>
          <w:rFonts w:ascii="PT Sans Narrow" w:hAnsi="PT Sans Narrow"/>
          <w:b/>
          <w:bCs/>
        </w:rPr>
        <w:t xml:space="preserve">Christian </w:t>
      </w:r>
      <w:proofErr w:type="spellStart"/>
      <w:r>
        <w:rPr>
          <w:rFonts w:ascii="PT Sans Narrow" w:hAnsi="PT Sans Narrow"/>
          <w:b/>
          <w:bCs/>
        </w:rPr>
        <w:t>Calusa</w:t>
      </w:r>
      <w:proofErr w:type="spellEnd"/>
      <w:r>
        <w:rPr>
          <w:rFonts w:ascii="PT Sans Narrow" w:hAnsi="PT Sans Narrow"/>
        </w:rPr>
        <w:t xml:space="preserve">, Presidente di </w:t>
      </w:r>
      <w:proofErr w:type="spellStart"/>
      <w:r>
        <w:rPr>
          <w:rFonts w:ascii="PT Sans Narrow" w:hAnsi="PT Sans Narrow"/>
        </w:rPr>
        <w:t>REinsight.info</w:t>
      </w:r>
      <w:proofErr w:type="spellEnd"/>
      <w:r>
        <w:rPr>
          <w:rFonts w:ascii="PT Sans Narrow" w:hAnsi="PT Sans Narrow"/>
        </w:rPr>
        <w:t xml:space="preserve"> e CEO &amp; </w:t>
      </w:r>
      <w:proofErr w:type="spellStart"/>
      <w:r>
        <w:rPr>
          <w:rFonts w:ascii="PT Sans Narrow" w:hAnsi="PT Sans Narrow"/>
        </w:rPr>
        <w:t>Founder</w:t>
      </w:r>
      <w:proofErr w:type="spellEnd"/>
      <w:r>
        <w:rPr>
          <w:rFonts w:ascii="PT Sans Narrow" w:hAnsi="PT Sans Narrow"/>
        </w:rPr>
        <w:t xml:space="preserve"> di OPISAS. Un’esigenza che passa addirittura in primo piano rispetto a quella di avere le idee chiare sullo specifico Paese scelto o sulla tipologia di investimento. “È anche in ragione di questo dato che </w:t>
      </w:r>
      <w:r>
        <w:rPr>
          <w:rFonts w:ascii="PT Sans Narrow" w:hAnsi="PT Sans Narrow"/>
          <w:b/>
          <w:bCs/>
        </w:rPr>
        <w:t>quasi sette italiani su dieci non ritengono necessario visitare di persona l’immobile</w:t>
      </w:r>
      <w:r>
        <w:rPr>
          <w:rFonts w:ascii="PT Sans Narrow" w:hAnsi="PT Sans Narrow"/>
        </w:rPr>
        <w:t xml:space="preserve"> prima dell’acquisto (il </w:t>
      </w:r>
      <w:r>
        <w:rPr>
          <w:rFonts w:ascii="PT Sans Narrow" w:hAnsi="PT Sans Narrow"/>
          <w:b/>
          <w:bCs/>
        </w:rPr>
        <w:t>68,63%</w:t>
      </w:r>
      <w:r>
        <w:rPr>
          <w:rFonts w:ascii="PT Sans Narrow" w:hAnsi="PT Sans Narrow"/>
        </w:rPr>
        <w:t xml:space="preserve"> degli intervistati)”, sottolinea </w:t>
      </w:r>
      <w:proofErr w:type="spellStart"/>
      <w:r>
        <w:rPr>
          <w:rFonts w:ascii="PT Sans Narrow" w:hAnsi="PT Sans Narrow"/>
        </w:rPr>
        <w:t>Calusa</w:t>
      </w:r>
      <w:proofErr w:type="spellEnd"/>
      <w:r>
        <w:rPr>
          <w:rFonts w:ascii="PT Sans Narrow" w:hAnsi="PT Sans Narrow"/>
        </w:rPr>
        <w:t xml:space="preserve">. Investire all’estero sì, quindi, ma solo se si può fare affidamento su un partner solido, affidandosi ad un agente immobiliare di fiducia. Non a caso, di fronte a un’opportunità di questo tipo, il più grande timore degli italiani è la scarsa conoscenza della società che propone l’investimento. </w:t>
      </w:r>
    </w:p>
    <w:p w:rsidR="00E518C3" w:rsidRDefault="00E518C3" w:rsidP="00E518C3">
      <w:pPr>
        <w:spacing w:before="100" w:beforeAutospacing="1" w:after="100" w:afterAutospacing="1"/>
        <w:jc w:val="both"/>
        <w:rPr>
          <w:rFonts w:ascii="PT Sans Narrow" w:hAnsi="PT Sans Narrow"/>
        </w:rPr>
      </w:pPr>
      <w:r>
        <w:rPr>
          <w:rFonts w:ascii="PT Sans Narrow" w:hAnsi="PT Sans Narrow"/>
        </w:rPr>
        <w:t xml:space="preserve">Analizzando i comportamenti degli </w:t>
      </w:r>
      <w:r>
        <w:rPr>
          <w:rFonts w:ascii="PT Sans Narrow" w:hAnsi="PT Sans Narrow"/>
          <w:b/>
          <w:bCs/>
        </w:rPr>
        <w:t>investitori internazionali nel nostro Paese</w:t>
      </w:r>
      <w:r>
        <w:rPr>
          <w:rFonts w:ascii="PT Sans Narrow" w:hAnsi="PT Sans Narrow"/>
        </w:rPr>
        <w:t xml:space="preserve"> la ricerca fotografa il </w:t>
      </w:r>
      <w:r>
        <w:rPr>
          <w:rFonts w:ascii="PT Sans Narrow" w:hAnsi="PT Sans Narrow"/>
          <w:b/>
          <w:bCs/>
        </w:rPr>
        <w:t>perché gli acquirenti esteri scelgono l’Italia? Qual è la tipologia dell’immobile più richiesto dagli stranieri e da che Paese europeo o extra-europeo proviene chi compra casa in Italia?</w:t>
      </w:r>
    </w:p>
    <w:p w:rsidR="00E518C3" w:rsidRPr="00E518C3" w:rsidRDefault="00E518C3" w:rsidP="00E518C3">
      <w:pPr>
        <w:spacing w:before="100" w:beforeAutospacing="1" w:after="100" w:afterAutospacing="1"/>
        <w:jc w:val="both"/>
        <w:rPr>
          <w:rFonts w:ascii="PT Sans Narrow" w:hAnsi="PT Sans Narrow"/>
        </w:rPr>
      </w:pPr>
      <w:r>
        <w:rPr>
          <w:rFonts w:ascii="PT Sans Narrow" w:hAnsi="PT Sans Narrow"/>
        </w:rPr>
        <w:t xml:space="preserve">“A fronte di una </w:t>
      </w:r>
      <w:r>
        <w:rPr>
          <w:rFonts w:ascii="PT Sans Narrow" w:hAnsi="PT Sans Narrow"/>
          <w:b/>
          <w:bCs/>
        </w:rPr>
        <w:t>crescita</w:t>
      </w:r>
      <w:r>
        <w:rPr>
          <w:rFonts w:ascii="PT Sans Narrow" w:hAnsi="PT Sans Narrow"/>
        </w:rPr>
        <w:t xml:space="preserve"> annua del </w:t>
      </w:r>
      <w:r>
        <w:rPr>
          <w:rFonts w:ascii="PT Sans Narrow" w:hAnsi="PT Sans Narrow"/>
          <w:b/>
          <w:bCs/>
        </w:rPr>
        <w:t>26% nel 2019</w:t>
      </w:r>
      <w:r>
        <w:rPr>
          <w:rFonts w:ascii="PT Sans Narrow" w:hAnsi="PT Sans Narrow"/>
        </w:rPr>
        <w:t xml:space="preserve"> – sottolinea </w:t>
      </w:r>
      <w:r>
        <w:rPr>
          <w:rFonts w:ascii="PT Sans Narrow" w:hAnsi="PT Sans Narrow"/>
          <w:b/>
          <w:bCs/>
        </w:rPr>
        <w:t xml:space="preserve">Federico </w:t>
      </w:r>
      <w:proofErr w:type="spellStart"/>
      <w:r>
        <w:rPr>
          <w:rFonts w:ascii="PT Sans Narrow" w:hAnsi="PT Sans Narrow"/>
          <w:b/>
          <w:bCs/>
        </w:rPr>
        <w:t>Ranuzzi</w:t>
      </w:r>
      <w:proofErr w:type="spellEnd"/>
      <w:r>
        <w:rPr>
          <w:rFonts w:ascii="PT Sans Narrow" w:hAnsi="PT Sans Narrow"/>
          <w:b/>
          <w:bCs/>
        </w:rPr>
        <w:t xml:space="preserve"> de’ Bianchi</w:t>
      </w:r>
      <w:r>
        <w:rPr>
          <w:rFonts w:ascii="PT Sans Narrow" w:hAnsi="PT Sans Narrow"/>
        </w:rPr>
        <w:t xml:space="preserve">, Delegato Nazionale Fiaip al settore estero e Vicepresidente CEPI – che fotografa il buon andamento del mercato e delle richieste provenienti dall'estero per gli immobili in vendita in Italia, permane ancora oggi la </w:t>
      </w:r>
      <w:r>
        <w:rPr>
          <w:rFonts w:ascii="PT Sans Narrow" w:hAnsi="PT Sans Narrow"/>
          <w:b/>
          <w:bCs/>
        </w:rPr>
        <w:t>sfiducia nella burocrazia italiana</w:t>
      </w:r>
      <w:r>
        <w:rPr>
          <w:rFonts w:ascii="PT Sans Narrow" w:hAnsi="PT Sans Narrow"/>
        </w:rPr>
        <w:t xml:space="preserve">, il </w:t>
      </w:r>
      <w:r>
        <w:rPr>
          <w:rFonts w:ascii="PT Sans Narrow" w:hAnsi="PT Sans Narrow"/>
          <w:b/>
          <w:bCs/>
        </w:rPr>
        <w:t>timore per l’instabilità politica ed economica</w:t>
      </w:r>
      <w:r>
        <w:rPr>
          <w:rFonts w:ascii="PT Sans Narrow" w:hAnsi="PT Sans Narrow"/>
        </w:rPr>
        <w:t xml:space="preserve"> e la </w:t>
      </w:r>
      <w:r>
        <w:rPr>
          <w:rFonts w:ascii="PT Sans Narrow" w:hAnsi="PT Sans Narrow"/>
          <w:b/>
          <w:bCs/>
        </w:rPr>
        <w:t>fiscalità percepita</w:t>
      </w:r>
      <w:r>
        <w:rPr>
          <w:rFonts w:ascii="PT Sans Narrow" w:hAnsi="PT Sans Narrow"/>
        </w:rPr>
        <w:t xml:space="preserve"> dall’estero </w:t>
      </w:r>
      <w:r w:rsidRPr="00E518C3">
        <w:rPr>
          <w:rFonts w:ascii="PT Sans Narrow" w:hAnsi="PT Sans Narrow"/>
          <w:b/>
          <w:bCs/>
        </w:rPr>
        <w:t>come invasiva.”</w:t>
      </w:r>
    </w:p>
    <w:p w:rsidR="00E518C3" w:rsidRDefault="00E518C3" w:rsidP="00E518C3">
      <w:pPr>
        <w:spacing w:before="100" w:beforeAutospacing="1" w:after="100" w:afterAutospacing="1"/>
        <w:jc w:val="both"/>
        <w:rPr>
          <w:rFonts w:ascii="PT Sans Narrow" w:hAnsi="PT Sans Narrow"/>
        </w:rPr>
      </w:pPr>
      <w:r w:rsidRPr="00E518C3">
        <w:rPr>
          <w:rFonts w:ascii="PT Sans Narrow" w:hAnsi="PT Sans Narrow"/>
        </w:rPr>
        <w:t xml:space="preserve">“La ricerca condotta dal </w:t>
      </w:r>
      <w:r w:rsidRPr="00E518C3">
        <w:rPr>
          <w:rFonts w:ascii="PT Sans Narrow" w:hAnsi="PT Sans Narrow"/>
          <w:b/>
          <w:bCs/>
        </w:rPr>
        <w:t>Centro Studi Fiaip</w:t>
      </w:r>
      <w:r w:rsidRPr="00E518C3">
        <w:rPr>
          <w:rFonts w:ascii="PT Sans Narrow" w:hAnsi="PT Sans Narrow"/>
        </w:rPr>
        <w:t xml:space="preserve"> e </w:t>
      </w:r>
      <w:r w:rsidRPr="00E518C3">
        <w:rPr>
          <w:rFonts w:ascii="PT Sans Narrow" w:hAnsi="PT Sans Narrow"/>
          <w:b/>
          <w:bCs/>
        </w:rPr>
        <w:t>OPISAS REinsight.info</w:t>
      </w:r>
      <w:r w:rsidRPr="00E518C3">
        <w:rPr>
          <w:rFonts w:ascii="PT Sans Narrow" w:hAnsi="PT Sans Narrow"/>
        </w:rPr>
        <w:t xml:space="preserve"> – sottolinea </w:t>
      </w:r>
      <w:r w:rsidRPr="00E518C3">
        <w:rPr>
          <w:rFonts w:ascii="PT Sans Narrow" w:hAnsi="PT Sans Narrow"/>
          <w:b/>
          <w:bCs/>
        </w:rPr>
        <w:t>Mario  Condò de Satriano</w:t>
      </w:r>
      <w:r w:rsidRPr="00E518C3">
        <w:rPr>
          <w:rFonts w:ascii="PT Sans Narrow" w:hAnsi="PT Sans Narrow"/>
        </w:rPr>
        <w:t xml:space="preserve">, Presidente del Centro Studi </w:t>
      </w:r>
      <w:r>
        <w:rPr>
          <w:rFonts w:ascii="PT Sans Narrow" w:hAnsi="PT Sans Narrow"/>
        </w:rPr>
        <w:t xml:space="preserve">Fiaip </w:t>
      </w:r>
      <w:r w:rsidRPr="00E518C3">
        <w:rPr>
          <w:rFonts w:ascii="PT Sans Narrow" w:hAnsi="PT Sans Narrow"/>
        </w:rPr>
        <w:t>- evidenzia come vi siano nuove opportunità per le agenzie immobiliari che nel nostro Paese sono sempre più ricercate da investitori internazionali.  Allo stesso tempo constatiamo un aumento del grado di incertezza da parte degli investitori stranieri, ciò è dettato da una fiscalità immobiliare che penalizza ancora chi intende investire In Italia.”</w:t>
      </w:r>
      <w:r>
        <w:rPr>
          <w:rFonts w:ascii="PT Sans Narrow" w:hAnsi="PT Sans Narrow"/>
        </w:rPr>
        <w:t xml:space="preserve"> </w:t>
      </w:r>
    </w:p>
    <w:p w:rsidR="005A5CE5" w:rsidRDefault="00E518C3" w:rsidP="00E518C3">
      <w:pPr>
        <w:spacing w:before="100" w:beforeAutospacing="1" w:after="100" w:afterAutospacing="1"/>
        <w:jc w:val="both"/>
        <w:rPr>
          <w:rFonts w:ascii="PT Sans Narrow" w:hAnsi="PT Sans Narrow"/>
        </w:rPr>
      </w:pPr>
      <w:r>
        <w:rPr>
          <w:rFonts w:ascii="PT Sans Narrow" w:hAnsi="PT Sans Narrow"/>
          <w:b/>
          <w:bCs/>
        </w:rPr>
        <w:t>Ma da dove provengono le richieste?</w:t>
      </w:r>
      <w:r>
        <w:rPr>
          <w:rFonts w:ascii="PT Sans Narrow" w:hAnsi="PT Sans Narrow"/>
        </w:rPr>
        <w:t xml:space="preserve"> Per la maggior parte degli intervistati da ogni parte del mondo, ma i </w:t>
      </w:r>
      <w:r>
        <w:rPr>
          <w:rFonts w:ascii="PT Sans Narrow" w:hAnsi="PT Sans Narrow"/>
          <w:b/>
          <w:bCs/>
        </w:rPr>
        <w:t>tedeschi</w:t>
      </w:r>
      <w:r>
        <w:rPr>
          <w:rFonts w:ascii="PT Sans Narrow" w:hAnsi="PT Sans Narrow"/>
        </w:rPr>
        <w:t xml:space="preserve"> (19,5%), gli investitori del </w:t>
      </w:r>
      <w:r>
        <w:rPr>
          <w:rFonts w:ascii="PT Sans Narrow" w:hAnsi="PT Sans Narrow"/>
          <w:b/>
          <w:bCs/>
        </w:rPr>
        <w:t>Nord Europa</w:t>
      </w:r>
      <w:r>
        <w:rPr>
          <w:rFonts w:ascii="PT Sans Narrow" w:hAnsi="PT Sans Narrow"/>
        </w:rPr>
        <w:t xml:space="preserve"> (19,5%) e della </w:t>
      </w:r>
      <w:r>
        <w:rPr>
          <w:rFonts w:ascii="PT Sans Narrow" w:hAnsi="PT Sans Narrow"/>
          <w:b/>
          <w:bCs/>
        </w:rPr>
        <w:t>Gran Bretagna</w:t>
      </w:r>
      <w:r>
        <w:rPr>
          <w:rFonts w:ascii="PT Sans Narrow" w:hAnsi="PT Sans Narrow"/>
        </w:rPr>
        <w:t xml:space="preserve"> (15%) sono i primi a voler investire in immobili in Italia. Gli stranieri cercano nel nostro Paese prevalentemente case indipendenti, appartamenti (44,86%) e ville singole (37%) ristrutturate e già abitabili e sono pronti ad investire per il 25,51% un </w:t>
      </w:r>
      <w:r>
        <w:rPr>
          <w:rFonts w:ascii="PT Sans Narrow" w:hAnsi="PT Sans Narrow"/>
          <w:b/>
          <w:bCs/>
        </w:rPr>
        <w:t>budget tra 301mila Euro e 500mila Euro</w:t>
      </w:r>
      <w:r>
        <w:rPr>
          <w:rFonts w:ascii="PT Sans Narrow" w:hAnsi="PT Sans Narrow"/>
        </w:rPr>
        <w:t xml:space="preserve">, solo il 6,17% degli investitori esteri è disposto a spendere cifre tra 1milione di Euro e 2,5 milione di Euro. La lunghezza media dell’investimento nel nostro Paese è caratterizzata per il 27,01% da una durata da 7 a 10 anni e per il 21,80 % degli intervistati da una durata da 10 a 15 anni. Gli investitori esteri ritengono fondamentale inoltre farsi guidare da un professionista specializzato di un’agenzia immobiliare nell’ipotesi di un acquisto immobiliare nel nostro Paese (55,19%). Tra le regioni più gettonate dagli stranieri per l’acquisto immobiliare in testa la Lombardia con </w:t>
      </w:r>
      <w:r>
        <w:rPr>
          <w:rFonts w:ascii="PT Sans Narrow" w:hAnsi="PT Sans Narrow"/>
          <w:b/>
          <w:bCs/>
        </w:rPr>
        <w:t>Milano</w:t>
      </w:r>
      <w:r>
        <w:rPr>
          <w:rFonts w:ascii="PT Sans Narrow" w:hAnsi="PT Sans Narrow"/>
        </w:rPr>
        <w:t xml:space="preserve"> (+9,1%) e i laghi lombardi (+7,49%), Il Veneto con </w:t>
      </w:r>
      <w:r>
        <w:rPr>
          <w:rFonts w:ascii="PT Sans Narrow" w:hAnsi="PT Sans Narrow"/>
          <w:b/>
          <w:bCs/>
        </w:rPr>
        <w:t>Venezia</w:t>
      </w:r>
      <w:r>
        <w:rPr>
          <w:rFonts w:ascii="PT Sans Narrow" w:hAnsi="PT Sans Narrow"/>
        </w:rPr>
        <w:t xml:space="preserve"> (+8,51), Il Lazio con </w:t>
      </w:r>
      <w:r>
        <w:rPr>
          <w:rFonts w:ascii="PT Sans Narrow" w:hAnsi="PT Sans Narrow"/>
          <w:b/>
          <w:bCs/>
        </w:rPr>
        <w:t>Roma</w:t>
      </w:r>
      <w:r>
        <w:rPr>
          <w:rFonts w:ascii="PT Sans Narrow" w:hAnsi="PT Sans Narrow"/>
        </w:rPr>
        <w:t xml:space="preserve"> (+8,42%) e </w:t>
      </w:r>
      <w:r>
        <w:rPr>
          <w:rFonts w:ascii="PT Sans Narrow" w:hAnsi="PT Sans Narrow"/>
          <w:b/>
          <w:bCs/>
        </w:rPr>
        <w:t>Firenze</w:t>
      </w:r>
      <w:r>
        <w:rPr>
          <w:rFonts w:ascii="PT Sans Narrow" w:hAnsi="PT Sans Narrow"/>
        </w:rPr>
        <w:t xml:space="preserve"> (8,27%) e la Toscana (8,12%) seguono. In crescita le domande per la riviera ligure (+6,87%), le Alpi e le Dolomiti (+6,69%), la Costiera amalfitana (+6,4%), il Salento (+6,24), la Sicilia (+5,55) e la Riviera romagnola (+ 5,52%).</w:t>
      </w:r>
    </w:p>
    <w:p w:rsidR="00E518C3" w:rsidRDefault="00E518C3" w:rsidP="00E518C3">
      <w:pPr>
        <w:spacing w:before="100" w:beforeAutospacing="1" w:after="100" w:afterAutospacing="1"/>
        <w:jc w:val="both"/>
        <w:rPr>
          <w:rFonts w:ascii="PT Sans Narrow" w:hAnsi="PT Sans Narrow"/>
        </w:rPr>
      </w:pPr>
    </w:p>
    <w:p w:rsidR="00E518C3" w:rsidRDefault="00E518C3" w:rsidP="00E518C3">
      <w:pPr>
        <w:spacing w:before="100" w:beforeAutospacing="1" w:after="100" w:afterAutospacing="1"/>
        <w:jc w:val="both"/>
        <w:rPr>
          <w:rFonts w:ascii="PT Sans Narrow" w:hAnsi="PT Sans Narrow"/>
        </w:rPr>
      </w:pPr>
    </w:p>
    <w:p w:rsidR="00E518C3" w:rsidRPr="00E518C3" w:rsidRDefault="00E518C3" w:rsidP="00E518C3">
      <w:pPr>
        <w:spacing w:before="100" w:beforeAutospacing="1" w:after="100" w:afterAutospacing="1"/>
        <w:jc w:val="both"/>
        <w:rPr>
          <w:rFonts w:ascii="PT Sans Narrow" w:hAnsi="PT Sans Narrow"/>
        </w:rPr>
      </w:pPr>
    </w:p>
    <w:p w:rsidR="000221A2" w:rsidRPr="0009575F" w:rsidRDefault="00410515" w:rsidP="005A5CE5">
      <w:pPr>
        <w:spacing w:after="120"/>
        <w:rPr>
          <w:rFonts w:ascii="Ps San Narrow" w:eastAsia="Times New Roman" w:hAnsi="Ps San Narrow"/>
          <w:b/>
          <w:bCs/>
          <w:color w:val="414242"/>
          <w:sz w:val="18"/>
          <w:szCs w:val="18"/>
        </w:rPr>
      </w:pPr>
      <w:r w:rsidRPr="00410515">
        <w:rPr>
          <w:rFonts w:ascii="Ps San Narrow" w:eastAsia="Times New Roman" w:hAnsi="Ps San Narrow"/>
          <w:bCs/>
          <w:color w:val="414242"/>
          <w:sz w:val="18"/>
          <w:szCs w:val="18"/>
        </w:rPr>
        <w:t xml:space="preserve"> </w:t>
      </w:r>
      <w:r w:rsidR="005A5CE5">
        <w:rPr>
          <w:rFonts w:ascii="Ps San Narrow" w:eastAsia="Times New Roman" w:hAnsi="Ps San Narrow"/>
          <w:bCs/>
          <w:color w:val="414242"/>
          <w:sz w:val="18"/>
          <w:szCs w:val="18"/>
        </w:rPr>
        <w:t>__________________________________________________________________________________________________________</w:t>
      </w:r>
    </w:p>
    <w:p w:rsidR="002A1238" w:rsidRPr="00E737E2" w:rsidRDefault="002A1238" w:rsidP="005A5CE5">
      <w:pPr>
        <w:jc w:val="both"/>
        <w:rPr>
          <w:rFonts w:ascii="PT Sans Narrow" w:hAnsi="PT Sans Narrow" w:cs="Calibri"/>
          <w:sz w:val="18"/>
          <w:szCs w:val="18"/>
        </w:rPr>
      </w:pPr>
    </w:p>
    <w:p w:rsidR="005A5CE5" w:rsidRDefault="002A1238" w:rsidP="005A5CE5">
      <w:pPr>
        <w:jc w:val="both"/>
        <w:rPr>
          <w:rFonts w:ascii="PT Sans Narrow" w:hAnsi="PT Sans Narrow"/>
          <w:sz w:val="18"/>
          <w:szCs w:val="18"/>
        </w:rPr>
      </w:pPr>
      <w:r w:rsidRPr="00E737E2">
        <w:rPr>
          <w:rFonts w:ascii="PT Sans Narrow" w:hAnsi="PT Sans Narrow"/>
          <w:b/>
          <w:noProof/>
          <w:sz w:val="18"/>
          <w:szCs w:val="18"/>
        </w:rPr>
        <w:t>OPISAS</w:t>
      </w:r>
      <w:r w:rsidRPr="00E737E2">
        <w:rPr>
          <w:rFonts w:ascii="PT Sans Narrow" w:hAnsi="PT Sans Narrow"/>
          <w:b/>
          <w:sz w:val="18"/>
          <w:szCs w:val="18"/>
        </w:rPr>
        <w:t xml:space="preserve"> </w:t>
      </w:r>
      <w:r w:rsidRPr="00E737E2">
        <w:rPr>
          <w:rFonts w:ascii="PT Sans Narrow" w:hAnsi="PT Sans Narrow"/>
          <w:sz w:val="18"/>
          <w:szCs w:val="18"/>
        </w:rPr>
        <w:t>è una realtà internazionale specializzata nella vendita e intermediazione di investimenti immobiliari al alto rendimento negli Stati Uniti.</w:t>
      </w:r>
      <w:r w:rsidRPr="00E737E2">
        <w:rPr>
          <w:sz w:val="18"/>
          <w:szCs w:val="18"/>
        </w:rPr>
        <w:t xml:space="preserve"> </w:t>
      </w:r>
      <w:r w:rsidRPr="00E737E2">
        <w:rPr>
          <w:rFonts w:ascii="PT Sans Narrow" w:hAnsi="PT Sans Narrow"/>
          <w:sz w:val="18"/>
          <w:szCs w:val="18"/>
        </w:rPr>
        <w:t>È attiva dal 2008, quando la crisi dei mutui sub-prime ha creato le prime grandi occasioni di acquistare in blocco gli immobili a prezzi estremamente convenienti, rinnovarli e affittarli, per poi rivenderli a prezzi comunque inferiori rispetto</w:t>
      </w:r>
      <w:r w:rsidR="0049639F" w:rsidRPr="00E737E2">
        <w:rPr>
          <w:rFonts w:ascii="PT Sans Narrow" w:hAnsi="PT Sans Narrow"/>
          <w:sz w:val="18"/>
          <w:szCs w:val="18"/>
        </w:rPr>
        <w:t xml:space="preserve"> ai valori immobiliari attuali. </w:t>
      </w:r>
      <w:r w:rsidRPr="00E737E2">
        <w:rPr>
          <w:rFonts w:ascii="PT Sans Narrow" w:hAnsi="PT Sans Narrow"/>
          <w:sz w:val="18"/>
          <w:szCs w:val="18"/>
        </w:rPr>
        <w:t xml:space="preserve">In oltre </w:t>
      </w:r>
      <w:r w:rsidR="001B1855" w:rsidRPr="00E737E2">
        <w:rPr>
          <w:rFonts w:ascii="PT Sans Narrow" w:hAnsi="PT Sans Narrow"/>
          <w:sz w:val="18"/>
          <w:szCs w:val="18"/>
        </w:rPr>
        <w:t xml:space="preserve">undici </w:t>
      </w:r>
      <w:r w:rsidRPr="00E737E2">
        <w:rPr>
          <w:rFonts w:ascii="PT Sans Narrow" w:hAnsi="PT Sans Narrow"/>
          <w:sz w:val="18"/>
          <w:szCs w:val="18"/>
        </w:rPr>
        <w:t xml:space="preserve">anni di attività OPISAS ha </w:t>
      </w:r>
      <w:r w:rsidR="00542A84" w:rsidRPr="00E737E2">
        <w:rPr>
          <w:rFonts w:ascii="PT Sans Narrow" w:hAnsi="PT Sans Narrow"/>
          <w:sz w:val="18"/>
          <w:szCs w:val="18"/>
        </w:rPr>
        <w:t>fatto percepiti ai suoi investitori più di 1/4 di miliardo di dollari in rendite da locazione</w:t>
      </w:r>
      <w:r w:rsidRPr="00E737E2">
        <w:rPr>
          <w:rFonts w:ascii="PT Sans Narrow" w:hAnsi="PT Sans Narrow"/>
          <w:sz w:val="18"/>
          <w:szCs w:val="18"/>
        </w:rPr>
        <w:t>.</w:t>
      </w:r>
    </w:p>
    <w:p w:rsidR="005A5CE5" w:rsidRDefault="005A5CE5" w:rsidP="005A5CE5">
      <w:pPr>
        <w:jc w:val="both"/>
        <w:rPr>
          <w:rFonts w:ascii="PT Sans Narrow" w:hAnsi="PT Sans Narrow"/>
          <w:sz w:val="18"/>
          <w:szCs w:val="18"/>
        </w:rPr>
      </w:pPr>
    </w:p>
    <w:p w:rsidR="005A5CE5" w:rsidRPr="005A5CE5" w:rsidRDefault="005A5CE5" w:rsidP="005A5CE5">
      <w:pPr>
        <w:jc w:val="both"/>
        <w:rPr>
          <w:rFonts w:ascii="PT Sans Narrow" w:hAnsi="PT Sans Narrow"/>
          <w:sz w:val="18"/>
          <w:szCs w:val="18"/>
        </w:rPr>
      </w:pPr>
      <w:r w:rsidRPr="005A5CE5">
        <w:rPr>
          <w:rFonts w:ascii="PT Sans Narrow" w:hAnsi="PT Sans Narrow" w:cs="Calibri"/>
          <w:b/>
          <w:bCs/>
          <w:sz w:val="18"/>
          <w:szCs w:val="18"/>
        </w:rPr>
        <w:t>FIAIP</w:t>
      </w:r>
      <w:r w:rsidRPr="005A5CE5">
        <w:rPr>
          <w:rFonts w:ascii="PT Sans Narrow" w:hAnsi="PT Sans Narrow" w:cs="Calibri"/>
          <w:bCs/>
          <w:sz w:val="18"/>
          <w:szCs w:val="18"/>
        </w:rPr>
        <w:t xml:space="preserve"> è</w:t>
      </w:r>
      <w:r w:rsidRPr="000221A2">
        <w:rPr>
          <w:rFonts w:ascii="PT Sans Narrow" w:eastAsia="Times New Roman" w:hAnsi="PT Sans Narrow"/>
          <w:color w:val="414242"/>
          <w:sz w:val="18"/>
          <w:szCs w:val="18"/>
        </w:rPr>
        <w:t xml:space="preserve"> il punto di riferimento per tutti i professionisti del settore immobiliare e per le famiglie italiane. È la principale associazione di categoria del settore ricon</w:t>
      </w:r>
      <w:r w:rsidRPr="005A5CE5">
        <w:rPr>
          <w:rFonts w:ascii="PT Sans Narrow" w:eastAsia="Times New Roman" w:hAnsi="PT Sans Narrow"/>
          <w:color w:val="414242"/>
          <w:sz w:val="18"/>
          <w:szCs w:val="18"/>
        </w:rPr>
        <w:t xml:space="preserve">osciuta dalla Comunità Europea. </w:t>
      </w:r>
      <w:r w:rsidRPr="005A5CE5">
        <w:rPr>
          <w:rFonts w:ascii="PT Sans Narrow" w:eastAsia="Times New Roman" w:hAnsi="PT Sans Narrow"/>
          <w:sz w:val="18"/>
          <w:szCs w:val="18"/>
        </w:rPr>
        <w:t>a cui aderiscono oltre 8.000 agenti immobiliari, 15.200 agenzie immobiliari sull'intero territorio nazionale, e più di 45mila operatori del settore (tra agenti immobiliari, turistici, consulenti del credito e gestori di beni immobili). FIAIP è accredita</w:t>
      </w:r>
      <w:r w:rsidR="00EB44D8">
        <w:rPr>
          <w:rFonts w:ascii="PT Sans Narrow" w:eastAsia="Times New Roman" w:hAnsi="PT Sans Narrow"/>
          <w:sz w:val="18"/>
          <w:szCs w:val="18"/>
        </w:rPr>
        <w:t>ta presso il Parlamento Europeo ed in</w:t>
      </w:r>
      <w:r w:rsidRPr="005A5CE5">
        <w:rPr>
          <w:rFonts w:ascii="PT Sans Narrow" w:eastAsia="Times New Roman" w:hAnsi="PT Sans Narrow"/>
          <w:sz w:val="18"/>
          <w:szCs w:val="18"/>
        </w:rPr>
        <w:t xml:space="preserve"> Italia è referente tecnica dell'</w:t>
      </w:r>
      <w:r w:rsidRPr="005A5CE5">
        <w:rPr>
          <w:rFonts w:ascii="PT Sans Narrow" w:eastAsia="Times New Roman" w:hAnsi="PT Sans Narrow"/>
          <w:b/>
          <w:sz w:val="18"/>
          <w:szCs w:val="18"/>
        </w:rPr>
        <w:t xml:space="preserve">O.P.M.I. </w:t>
      </w:r>
      <w:r w:rsidRPr="005A5CE5">
        <w:rPr>
          <w:rFonts w:ascii="PT Sans Narrow" w:eastAsia="Times New Roman" w:hAnsi="PT Sans Narrow"/>
          <w:sz w:val="18"/>
          <w:szCs w:val="18"/>
        </w:rPr>
        <w:t>Osservatorio Parlam</w:t>
      </w:r>
      <w:r w:rsidR="00EB44D8">
        <w:rPr>
          <w:rFonts w:ascii="PT Sans Narrow" w:eastAsia="Times New Roman" w:hAnsi="PT Sans Narrow"/>
          <w:sz w:val="18"/>
          <w:szCs w:val="18"/>
        </w:rPr>
        <w:t xml:space="preserve">entare del Mercato Immobiliare. La Federazione è </w:t>
      </w:r>
      <w:r w:rsidRPr="005A5CE5">
        <w:rPr>
          <w:rFonts w:ascii="PT Sans Narrow" w:eastAsia="Times New Roman" w:hAnsi="PT Sans Narrow"/>
          <w:sz w:val="18"/>
          <w:szCs w:val="18"/>
        </w:rPr>
        <w:t xml:space="preserve">aderente a </w:t>
      </w:r>
      <w:r w:rsidRPr="005A5CE5">
        <w:rPr>
          <w:rFonts w:ascii="PT Sans Narrow" w:eastAsia="Times New Roman" w:hAnsi="PT Sans Narrow"/>
          <w:b/>
          <w:sz w:val="18"/>
          <w:szCs w:val="18"/>
        </w:rPr>
        <w:t>Confindustria</w:t>
      </w:r>
      <w:r w:rsidRPr="005A5CE5">
        <w:rPr>
          <w:rFonts w:ascii="PT Sans Narrow" w:eastAsia="Times New Roman" w:hAnsi="PT Sans Narrow"/>
          <w:sz w:val="18"/>
          <w:szCs w:val="18"/>
        </w:rPr>
        <w:t xml:space="preserve">, </w:t>
      </w:r>
      <w:proofErr w:type="spellStart"/>
      <w:r w:rsidRPr="005A5CE5">
        <w:rPr>
          <w:rFonts w:ascii="PT Sans Narrow" w:eastAsia="Times New Roman" w:hAnsi="PT Sans Narrow"/>
          <w:b/>
          <w:sz w:val="18"/>
          <w:szCs w:val="18"/>
        </w:rPr>
        <w:t>Confedilizia</w:t>
      </w:r>
      <w:proofErr w:type="spellEnd"/>
      <w:r w:rsidRPr="005A5CE5">
        <w:rPr>
          <w:rFonts w:ascii="PT Sans Narrow" w:eastAsia="Times New Roman" w:hAnsi="PT Sans Narrow"/>
          <w:b/>
          <w:sz w:val="18"/>
          <w:szCs w:val="18"/>
        </w:rPr>
        <w:t>,</w:t>
      </w:r>
      <w:r w:rsidRPr="005A5CE5">
        <w:rPr>
          <w:rFonts w:ascii="PT Sans Narrow" w:eastAsia="Times New Roman" w:hAnsi="PT Sans Narrow"/>
          <w:sz w:val="18"/>
          <w:szCs w:val="18"/>
        </w:rPr>
        <w:t xml:space="preserve"> </w:t>
      </w:r>
      <w:proofErr w:type="spellStart"/>
      <w:r w:rsidRPr="005A5CE5">
        <w:rPr>
          <w:rFonts w:ascii="PT Sans Narrow" w:eastAsia="Times New Roman" w:hAnsi="PT Sans Narrow"/>
          <w:b/>
          <w:sz w:val="18"/>
          <w:szCs w:val="18"/>
        </w:rPr>
        <w:t>Tecnoborsa</w:t>
      </w:r>
      <w:proofErr w:type="spellEnd"/>
      <w:r w:rsidRPr="005A5CE5">
        <w:rPr>
          <w:rFonts w:ascii="PT Sans Narrow" w:eastAsia="Times New Roman" w:hAnsi="PT Sans Narrow"/>
          <w:b/>
          <w:sz w:val="18"/>
          <w:szCs w:val="18"/>
        </w:rPr>
        <w:t xml:space="preserve">, </w:t>
      </w:r>
      <w:proofErr w:type="spellStart"/>
      <w:r w:rsidRPr="005A5CE5">
        <w:rPr>
          <w:rFonts w:ascii="PT Sans Narrow" w:eastAsia="Times New Roman" w:hAnsi="PT Sans Narrow"/>
          <w:b/>
          <w:sz w:val="18"/>
          <w:szCs w:val="18"/>
        </w:rPr>
        <w:t>Confassociazioni</w:t>
      </w:r>
      <w:proofErr w:type="spellEnd"/>
      <w:r w:rsidRPr="005A5CE5">
        <w:rPr>
          <w:rFonts w:ascii="PT Sans Narrow" w:eastAsia="Times New Roman" w:hAnsi="PT Sans Narrow"/>
          <w:sz w:val="18"/>
          <w:szCs w:val="18"/>
        </w:rPr>
        <w:t xml:space="preserve"> e collabora con </w:t>
      </w:r>
      <w:r w:rsidRPr="005A5CE5">
        <w:rPr>
          <w:rFonts w:ascii="PT Sans Narrow" w:eastAsia="Times New Roman" w:hAnsi="PT Sans Narrow"/>
          <w:b/>
          <w:sz w:val="18"/>
          <w:szCs w:val="18"/>
        </w:rPr>
        <w:t>CEPI -</w:t>
      </w:r>
      <w:r>
        <w:rPr>
          <w:rFonts w:ascii="PT Sans Narrow" w:eastAsia="Times New Roman" w:hAnsi="PT Sans Narrow"/>
          <w:b/>
          <w:sz w:val="18"/>
          <w:szCs w:val="18"/>
        </w:rPr>
        <w:t xml:space="preserve"> </w:t>
      </w:r>
      <w:r w:rsidRPr="005A5CE5">
        <w:rPr>
          <w:rFonts w:ascii="PT Sans Narrow" w:eastAsia="Times New Roman" w:hAnsi="PT Sans Narrow"/>
          <w:b/>
          <w:sz w:val="18"/>
          <w:szCs w:val="18"/>
        </w:rPr>
        <w:t xml:space="preserve">European </w:t>
      </w:r>
      <w:proofErr w:type="spellStart"/>
      <w:r w:rsidRPr="005A5CE5">
        <w:rPr>
          <w:rFonts w:ascii="PT Sans Narrow" w:eastAsia="Times New Roman" w:hAnsi="PT Sans Narrow"/>
          <w:b/>
          <w:sz w:val="18"/>
          <w:szCs w:val="18"/>
        </w:rPr>
        <w:t>Association</w:t>
      </w:r>
      <w:proofErr w:type="spellEnd"/>
      <w:r w:rsidRPr="005A5CE5">
        <w:rPr>
          <w:rFonts w:ascii="PT Sans Narrow" w:eastAsia="Times New Roman" w:hAnsi="PT Sans Narrow"/>
          <w:b/>
          <w:sz w:val="18"/>
          <w:szCs w:val="18"/>
        </w:rPr>
        <w:t xml:space="preserve"> </w:t>
      </w:r>
      <w:proofErr w:type="spellStart"/>
      <w:r w:rsidRPr="005A5CE5">
        <w:rPr>
          <w:rFonts w:ascii="PT Sans Narrow" w:eastAsia="Times New Roman" w:hAnsi="PT Sans Narrow"/>
          <w:b/>
          <w:sz w:val="18"/>
          <w:szCs w:val="18"/>
        </w:rPr>
        <w:t>of</w:t>
      </w:r>
      <w:proofErr w:type="spellEnd"/>
      <w:r w:rsidRPr="005A5CE5">
        <w:rPr>
          <w:rFonts w:ascii="PT Sans Narrow" w:eastAsia="Times New Roman" w:hAnsi="PT Sans Narrow"/>
          <w:b/>
          <w:sz w:val="18"/>
          <w:szCs w:val="18"/>
        </w:rPr>
        <w:t xml:space="preserve"> Real Estate </w:t>
      </w:r>
      <w:proofErr w:type="spellStart"/>
      <w:r w:rsidRPr="005A5CE5">
        <w:rPr>
          <w:rFonts w:ascii="PT Sans Narrow" w:eastAsia="Times New Roman" w:hAnsi="PT Sans Narrow"/>
          <w:b/>
          <w:sz w:val="18"/>
          <w:szCs w:val="18"/>
        </w:rPr>
        <w:t>Professions</w:t>
      </w:r>
      <w:proofErr w:type="spellEnd"/>
      <w:r w:rsidRPr="005A5CE5">
        <w:rPr>
          <w:rFonts w:ascii="PT Sans Narrow" w:eastAsia="Times New Roman" w:hAnsi="PT Sans Narrow"/>
          <w:sz w:val="18"/>
          <w:szCs w:val="18"/>
        </w:rPr>
        <w:t xml:space="preserve"> e con il </w:t>
      </w:r>
      <w:r w:rsidRPr="005A5CE5">
        <w:rPr>
          <w:rFonts w:ascii="PT Sans Narrow" w:eastAsia="Times New Roman" w:hAnsi="PT Sans Narrow"/>
          <w:b/>
          <w:sz w:val="18"/>
          <w:szCs w:val="18"/>
        </w:rPr>
        <w:t xml:space="preserve">NAR - National </w:t>
      </w:r>
      <w:proofErr w:type="spellStart"/>
      <w:r w:rsidRPr="005A5CE5">
        <w:rPr>
          <w:rFonts w:ascii="PT Sans Narrow" w:eastAsia="Times New Roman" w:hAnsi="PT Sans Narrow"/>
          <w:b/>
          <w:sz w:val="18"/>
          <w:szCs w:val="18"/>
        </w:rPr>
        <w:t>Association</w:t>
      </w:r>
      <w:proofErr w:type="spellEnd"/>
      <w:r w:rsidRPr="005A5CE5">
        <w:rPr>
          <w:rFonts w:ascii="PT Sans Narrow" w:eastAsia="Times New Roman" w:hAnsi="PT Sans Narrow"/>
          <w:b/>
          <w:sz w:val="18"/>
          <w:szCs w:val="18"/>
        </w:rPr>
        <w:t xml:space="preserve"> </w:t>
      </w:r>
      <w:proofErr w:type="spellStart"/>
      <w:r w:rsidRPr="005A5CE5">
        <w:rPr>
          <w:rFonts w:ascii="PT Sans Narrow" w:eastAsia="Times New Roman" w:hAnsi="PT Sans Narrow"/>
          <w:b/>
          <w:sz w:val="18"/>
          <w:szCs w:val="18"/>
        </w:rPr>
        <w:t>of</w:t>
      </w:r>
      <w:proofErr w:type="spellEnd"/>
      <w:r w:rsidRPr="005A5CE5">
        <w:rPr>
          <w:rFonts w:ascii="PT Sans Narrow" w:eastAsia="Times New Roman" w:hAnsi="PT Sans Narrow"/>
          <w:b/>
          <w:sz w:val="18"/>
          <w:szCs w:val="18"/>
        </w:rPr>
        <w:t xml:space="preserve"> </w:t>
      </w:r>
      <w:proofErr w:type="spellStart"/>
      <w:r w:rsidRPr="005A5CE5">
        <w:rPr>
          <w:rFonts w:ascii="PT Sans Narrow" w:eastAsia="Times New Roman" w:hAnsi="PT Sans Narrow"/>
          <w:b/>
          <w:sz w:val="18"/>
          <w:szCs w:val="18"/>
        </w:rPr>
        <w:t>Realtors</w:t>
      </w:r>
      <w:proofErr w:type="spellEnd"/>
      <w:r w:rsidRPr="005A5CE5">
        <w:rPr>
          <w:rFonts w:ascii="PT San Narrow" w:eastAsia="Times New Roman" w:hAnsi="PT San Narrow"/>
          <w:b/>
          <w:sz w:val="18"/>
          <w:szCs w:val="18"/>
        </w:rPr>
        <w:t>.</w:t>
      </w:r>
    </w:p>
    <w:p w:rsidR="00BD1658" w:rsidRDefault="00BD1658" w:rsidP="002A1238">
      <w:pPr>
        <w:rPr>
          <w:rFonts w:ascii="PT Sans Narrow" w:hAnsi="PT Sans Narrow"/>
          <w:sz w:val="18"/>
          <w:szCs w:val="18"/>
        </w:rPr>
      </w:pPr>
    </w:p>
    <w:p w:rsidR="002A1238" w:rsidRPr="00BD1658" w:rsidRDefault="002A1238" w:rsidP="00BD1658">
      <w:pPr>
        <w:pStyle w:val="NormaleWeb"/>
        <w:spacing w:before="0" w:beforeAutospacing="0" w:after="0" w:afterAutospacing="0"/>
        <w:rPr>
          <w:rFonts w:asciiTheme="minorHAnsi" w:hAnsiTheme="minorHAnsi" w:cstheme="minorHAnsi"/>
          <w:sz w:val="18"/>
          <w:szCs w:val="18"/>
        </w:rPr>
      </w:pPr>
    </w:p>
    <w:sectPr w:rsidR="002A1238" w:rsidRPr="00BD1658" w:rsidSect="00542A84">
      <w:headerReference w:type="default" r:id="rId7"/>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D2" w:rsidRDefault="008250D2" w:rsidP="00542A84">
      <w:r>
        <w:separator/>
      </w:r>
    </w:p>
  </w:endnote>
  <w:endnote w:type="continuationSeparator" w:id="0">
    <w:p w:rsidR="008250D2" w:rsidRDefault="008250D2" w:rsidP="00542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ans Narrow">
    <w:altName w:val="Arial Narrow"/>
    <w:charset w:val="00"/>
    <w:family w:val="swiss"/>
    <w:pitch w:val="variable"/>
    <w:sig w:usb0="A00002EF" w:usb1="5000204B" w:usb2="00000000" w:usb3="00000000" w:csb0="00000097" w:csb1="00000000"/>
  </w:font>
  <w:font w:name="Ps San Narrow">
    <w:altName w:val="Times New Roman"/>
    <w:panose1 w:val="00000000000000000000"/>
    <w:charset w:val="00"/>
    <w:family w:val="roman"/>
    <w:notTrueType/>
    <w:pitch w:val="default"/>
    <w:sig w:usb0="00000000" w:usb1="00000000" w:usb2="00000000" w:usb3="00000000" w:csb0="00000000" w:csb1="00000000"/>
  </w:font>
  <w:font w:name="PT San Narrow">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D2" w:rsidRDefault="008250D2" w:rsidP="00542A84">
      <w:r>
        <w:separator/>
      </w:r>
    </w:p>
  </w:footnote>
  <w:footnote w:type="continuationSeparator" w:id="0">
    <w:p w:rsidR="008250D2" w:rsidRDefault="008250D2" w:rsidP="00542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A84" w:rsidRDefault="00BD76F1">
    <w:pPr>
      <w:pStyle w:val="Intestazione"/>
    </w:pPr>
    <w:r>
      <w:rPr>
        <w:noProof/>
      </w:rPr>
      <w:drawing>
        <wp:anchor distT="0" distB="0" distL="114300" distR="114300" simplePos="0" relativeHeight="251658240" behindDoc="0" locked="0" layoutInCell="1" allowOverlap="1">
          <wp:simplePos x="0" y="0"/>
          <wp:positionH relativeFrom="column">
            <wp:posOffset>4707890</wp:posOffset>
          </wp:positionH>
          <wp:positionV relativeFrom="paragraph">
            <wp:posOffset>11430</wp:posOffset>
          </wp:positionV>
          <wp:extent cx="1410970" cy="61277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insight.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0970" cy="612775"/>
                  </a:xfrm>
                  <a:prstGeom prst="rect">
                    <a:avLst/>
                  </a:prstGeom>
                </pic:spPr>
              </pic:pic>
            </a:graphicData>
          </a:graphic>
        </wp:anchor>
      </w:drawing>
    </w:r>
    <w:r w:rsidR="00542A84">
      <w:rPr>
        <w:noProof/>
      </w:rPr>
      <w:drawing>
        <wp:inline distT="0" distB="0" distL="0" distR="0">
          <wp:extent cx="1443936" cy="662940"/>
          <wp:effectExtent l="0" t="0" r="4445"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entro-studi-bassa.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1709" cy="671100"/>
                  </a:xfrm>
                  <a:prstGeom prst="rect">
                    <a:avLst/>
                  </a:prstGeom>
                </pic:spPr>
              </pic:pic>
            </a:graphicData>
          </a:graphic>
        </wp:inline>
      </w:drawing>
    </w:r>
    <w:r w:rsidR="00594BBC">
      <w:tab/>
    </w:r>
    <w:r w:rsidR="00594BBC">
      <w:tab/>
    </w:r>
  </w:p>
  <w:p w:rsidR="00542A84" w:rsidRDefault="00542A84">
    <w:pPr>
      <w:pStyle w:val="Intestazion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33AD"/>
    <w:multiLevelType w:val="hybridMultilevel"/>
    <w:tmpl w:val="4D82D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0A4A94"/>
    <w:multiLevelType w:val="hybridMultilevel"/>
    <w:tmpl w:val="B3E85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1D03F6"/>
    <w:rsid w:val="000221A2"/>
    <w:rsid w:val="00045932"/>
    <w:rsid w:val="0008533B"/>
    <w:rsid w:val="0009575F"/>
    <w:rsid w:val="0009600B"/>
    <w:rsid w:val="000C40A7"/>
    <w:rsid w:val="000C775C"/>
    <w:rsid w:val="000E52F8"/>
    <w:rsid w:val="001059B5"/>
    <w:rsid w:val="0013589E"/>
    <w:rsid w:val="00184962"/>
    <w:rsid w:val="001B1415"/>
    <w:rsid w:val="001B1855"/>
    <w:rsid w:val="001B5E46"/>
    <w:rsid w:val="001D03F6"/>
    <w:rsid w:val="001E6B34"/>
    <w:rsid w:val="00203874"/>
    <w:rsid w:val="00210F57"/>
    <w:rsid w:val="00213ACD"/>
    <w:rsid w:val="0022071F"/>
    <w:rsid w:val="00221DCA"/>
    <w:rsid w:val="002336BB"/>
    <w:rsid w:val="00273EBE"/>
    <w:rsid w:val="00286D46"/>
    <w:rsid w:val="002A1238"/>
    <w:rsid w:val="002A4768"/>
    <w:rsid w:val="002E0F91"/>
    <w:rsid w:val="002E56EB"/>
    <w:rsid w:val="003339F8"/>
    <w:rsid w:val="0036207A"/>
    <w:rsid w:val="00370B3C"/>
    <w:rsid w:val="0039256E"/>
    <w:rsid w:val="003B392B"/>
    <w:rsid w:val="003D1F41"/>
    <w:rsid w:val="003E69D5"/>
    <w:rsid w:val="00407EED"/>
    <w:rsid w:val="00410515"/>
    <w:rsid w:val="004165E0"/>
    <w:rsid w:val="00426DC2"/>
    <w:rsid w:val="00483DDF"/>
    <w:rsid w:val="00485D10"/>
    <w:rsid w:val="004928AA"/>
    <w:rsid w:val="0049639F"/>
    <w:rsid w:val="004F1F79"/>
    <w:rsid w:val="004F5E01"/>
    <w:rsid w:val="00542146"/>
    <w:rsid w:val="00542A84"/>
    <w:rsid w:val="00546B52"/>
    <w:rsid w:val="00594180"/>
    <w:rsid w:val="00594BBC"/>
    <w:rsid w:val="005A1864"/>
    <w:rsid w:val="005A5CE5"/>
    <w:rsid w:val="005B3872"/>
    <w:rsid w:val="005B5B6B"/>
    <w:rsid w:val="005D73B8"/>
    <w:rsid w:val="005F3986"/>
    <w:rsid w:val="006010A4"/>
    <w:rsid w:val="00602FB2"/>
    <w:rsid w:val="00640BF8"/>
    <w:rsid w:val="006550C4"/>
    <w:rsid w:val="00667A22"/>
    <w:rsid w:val="00671250"/>
    <w:rsid w:val="00687C1C"/>
    <w:rsid w:val="0069164A"/>
    <w:rsid w:val="00696285"/>
    <w:rsid w:val="006B278F"/>
    <w:rsid w:val="006C4495"/>
    <w:rsid w:val="006C6DCD"/>
    <w:rsid w:val="006E11D7"/>
    <w:rsid w:val="00714D31"/>
    <w:rsid w:val="007305F8"/>
    <w:rsid w:val="00737CAE"/>
    <w:rsid w:val="007817A2"/>
    <w:rsid w:val="007B1AEA"/>
    <w:rsid w:val="007E2160"/>
    <w:rsid w:val="00805827"/>
    <w:rsid w:val="0081073E"/>
    <w:rsid w:val="008250D2"/>
    <w:rsid w:val="00874B77"/>
    <w:rsid w:val="008A7644"/>
    <w:rsid w:val="008C5E3C"/>
    <w:rsid w:val="00944B08"/>
    <w:rsid w:val="00956574"/>
    <w:rsid w:val="009608B0"/>
    <w:rsid w:val="009A0176"/>
    <w:rsid w:val="009D2071"/>
    <w:rsid w:val="009F134A"/>
    <w:rsid w:val="00A14F2F"/>
    <w:rsid w:val="00A17D52"/>
    <w:rsid w:val="00A7147D"/>
    <w:rsid w:val="00A75245"/>
    <w:rsid w:val="00B07286"/>
    <w:rsid w:val="00B23A27"/>
    <w:rsid w:val="00B60AC3"/>
    <w:rsid w:val="00BA1BEE"/>
    <w:rsid w:val="00BB5840"/>
    <w:rsid w:val="00BC354C"/>
    <w:rsid w:val="00BD1658"/>
    <w:rsid w:val="00BD76F1"/>
    <w:rsid w:val="00C77288"/>
    <w:rsid w:val="00C81CE9"/>
    <w:rsid w:val="00CA1082"/>
    <w:rsid w:val="00CA17C3"/>
    <w:rsid w:val="00CA4F89"/>
    <w:rsid w:val="00CB1FE1"/>
    <w:rsid w:val="00CB7F39"/>
    <w:rsid w:val="00CF6894"/>
    <w:rsid w:val="00CF68A4"/>
    <w:rsid w:val="00D162C2"/>
    <w:rsid w:val="00D311FA"/>
    <w:rsid w:val="00D51236"/>
    <w:rsid w:val="00D609B3"/>
    <w:rsid w:val="00DA3FCC"/>
    <w:rsid w:val="00DA6EB0"/>
    <w:rsid w:val="00DE211E"/>
    <w:rsid w:val="00DF7E4A"/>
    <w:rsid w:val="00E050F6"/>
    <w:rsid w:val="00E246BE"/>
    <w:rsid w:val="00E2521D"/>
    <w:rsid w:val="00E3544A"/>
    <w:rsid w:val="00E47D84"/>
    <w:rsid w:val="00E518C3"/>
    <w:rsid w:val="00E64CE9"/>
    <w:rsid w:val="00E6790F"/>
    <w:rsid w:val="00E737E2"/>
    <w:rsid w:val="00E83C5E"/>
    <w:rsid w:val="00EB44D8"/>
    <w:rsid w:val="00EC55A2"/>
    <w:rsid w:val="00F521CC"/>
    <w:rsid w:val="00F76B44"/>
    <w:rsid w:val="00F81169"/>
    <w:rsid w:val="00F92D2D"/>
    <w:rsid w:val="00FC55E9"/>
    <w:rsid w:val="00FD1A8C"/>
    <w:rsid w:val="00FE2DC1"/>
    <w:rsid w:val="00FE3B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3F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3123161044889799748msolistparagraph">
    <w:name w:val="gmail-m_3123161044889799748msolistparagraph"/>
    <w:basedOn w:val="Normale"/>
    <w:rsid w:val="001D03F6"/>
    <w:pPr>
      <w:spacing w:before="100" w:beforeAutospacing="1" w:after="100" w:afterAutospacing="1"/>
    </w:pPr>
  </w:style>
  <w:style w:type="character" w:styleId="Collegamentoipertestuale">
    <w:name w:val="Hyperlink"/>
    <w:basedOn w:val="Carpredefinitoparagrafo"/>
    <w:uiPriority w:val="99"/>
    <w:unhideWhenUsed/>
    <w:rsid w:val="00213ACD"/>
    <w:rPr>
      <w:color w:val="0563C1" w:themeColor="hyperlink"/>
      <w:u w:val="single"/>
    </w:rPr>
  </w:style>
  <w:style w:type="paragraph" w:styleId="Paragrafoelenco">
    <w:name w:val="List Paragraph"/>
    <w:basedOn w:val="Normale"/>
    <w:uiPriority w:val="34"/>
    <w:qFormat/>
    <w:rsid w:val="007B1AEA"/>
    <w:pPr>
      <w:ind w:left="720"/>
      <w:contextualSpacing/>
    </w:pPr>
  </w:style>
  <w:style w:type="paragraph" w:styleId="Testofumetto">
    <w:name w:val="Balloon Text"/>
    <w:basedOn w:val="Normale"/>
    <w:link w:val="TestofumettoCarattere"/>
    <w:uiPriority w:val="99"/>
    <w:semiHidden/>
    <w:unhideWhenUsed/>
    <w:rsid w:val="009D20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2071"/>
    <w:rPr>
      <w:rFonts w:ascii="Tahoma" w:hAnsi="Tahoma" w:cs="Tahoma"/>
      <w:sz w:val="16"/>
      <w:szCs w:val="16"/>
      <w:lang w:eastAsia="it-IT"/>
    </w:rPr>
  </w:style>
  <w:style w:type="paragraph" w:styleId="NormaleWeb">
    <w:name w:val="Normal (Web)"/>
    <w:basedOn w:val="Normale"/>
    <w:uiPriority w:val="99"/>
    <w:unhideWhenUsed/>
    <w:rsid w:val="002A1238"/>
    <w:pPr>
      <w:spacing w:before="100" w:beforeAutospacing="1" w:after="100" w:afterAutospacing="1"/>
    </w:pPr>
    <w:rPr>
      <w:rFonts w:eastAsia="Times New Roman"/>
    </w:rPr>
  </w:style>
  <w:style w:type="character" w:customStyle="1" w:styleId="hoenzb">
    <w:name w:val="hoenzb"/>
    <w:basedOn w:val="Carpredefinitoparagrafo"/>
    <w:rsid w:val="002A1238"/>
  </w:style>
  <w:style w:type="character" w:styleId="Rimandocommento">
    <w:name w:val="annotation reference"/>
    <w:basedOn w:val="Carpredefinitoparagrafo"/>
    <w:uiPriority w:val="99"/>
    <w:semiHidden/>
    <w:unhideWhenUsed/>
    <w:rsid w:val="00B60AC3"/>
    <w:rPr>
      <w:sz w:val="16"/>
      <w:szCs w:val="16"/>
    </w:rPr>
  </w:style>
  <w:style w:type="paragraph" w:styleId="Testocommento">
    <w:name w:val="annotation text"/>
    <w:basedOn w:val="Normale"/>
    <w:link w:val="TestocommentoCarattere"/>
    <w:uiPriority w:val="99"/>
    <w:semiHidden/>
    <w:unhideWhenUsed/>
    <w:rsid w:val="00B60AC3"/>
    <w:rPr>
      <w:sz w:val="20"/>
      <w:szCs w:val="20"/>
    </w:rPr>
  </w:style>
  <w:style w:type="character" w:customStyle="1" w:styleId="TestocommentoCarattere">
    <w:name w:val="Testo commento Carattere"/>
    <w:basedOn w:val="Carpredefinitoparagrafo"/>
    <w:link w:val="Testocommento"/>
    <w:uiPriority w:val="99"/>
    <w:semiHidden/>
    <w:rsid w:val="00B60AC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60AC3"/>
    <w:rPr>
      <w:b/>
      <w:bCs/>
    </w:rPr>
  </w:style>
  <w:style w:type="character" w:customStyle="1" w:styleId="SoggettocommentoCarattere">
    <w:name w:val="Soggetto commento Carattere"/>
    <w:basedOn w:val="TestocommentoCarattere"/>
    <w:link w:val="Soggettocommento"/>
    <w:uiPriority w:val="99"/>
    <w:semiHidden/>
    <w:rsid w:val="00B60AC3"/>
    <w:rPr>
      <w:rFonts w:ascii="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542A84"/>
    <w:pPr>
      <w:tabs>
        <w:tab w:val="center" w:pos="4819"/>
        <w:tab w:val="right" w:pos="9638"/>
      </w:tabs>
    </w:pPr>
  </w:style>
  <w:style w:type="character" w:customStyle="1" w:styleId="IntestazioneCarattere">
    <w:name w:val="Intestazione Carattere"/>
    <w:basedOn w:val="Carpredefinitoparagrafo"/>
    <w:link w:val="Intestazione"/>
    <w:uiPriority w:val="99"/>
    <w:rsid w:val="00542A84"/>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42A84"/>
    <w:pPr>
      <w:tabs>
        <w:tab w:val="center" w:pos="4819"/>
        <w:tab w:val="right" w:pos="9638"/>
      </w:tabs>
    </w:pPr>
  </w:style>
  <w:style w:type="character" w:customStyle="1" w:styleId="PidipaginaCarattere">
    <w:name w:val="Piè di pagina Carattere"/>
    <w:basedOn w:val="Carpredefinitoparagrafo"/>
    <w:link w:val="Pidipagina"/>
    <w:uiPriority w:val="99"/>
    <w:rsid w:val="00542A84"/>
    <w:rPr>
      <w:rFonts w:ascii="Times New Roman" w:hAnsi="Times New Roman" w:cs="Times New Roman"/>
      <w:sz w:val="24"/>
      <w:szCs w:val="24"/>
      <w:lang w:eastAsia="it-IT"/>
    </w:rPr>
  </w:style>
  <w:style w:type="character" w:styleId="Enfasigrassetto">
    <w:name w:val="Strong"/>
    <w:basedOn w:val="Carpredefinitoparagrafo"/>
    <w:uiPriority w:val="22"/>
    <w:qFormat/>
    <w:rsid w:val="000221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3F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3123161044889799748msolistparagraph">
    <w:name w:val="gmail-m_3123161044889799748msolistparagraph"/>
    <w:basedOn w:val="Normale"/>
    <w:rsid w:val="001D03F6"/>
    <w:pPr>
      <w:spacing w:before="100" w:beforeAutospacing="1" w:after="100" w:afterAutospacing="1"/>
    </w:pPr>
  </w:style>
  <w:style w:type="character" w:styleId="Collegamentoipertestuale">
    <w:name w:val="Hyperlink"/>
    <w:basedOn w:val="Carpredefinitoparagrafo"/>
    <w:uiPriority w:val="99"/>
    <w:unhideWhenUsed/>
    <w:rsid w:val="00213ACD"/>
    <w:rPr>
      <w:color w:val="0563C1" w:themeColor="hyperlink"/>
      <w:u w:val="single"/>
    </w:rPr>
  </w:style>
  <w:style w:type="paragraph" w:styleId="Paragrafoelenco">
    <w:name w:val="List Paragraph"/>
    <w:basedOn w:val="Normale"/>
    <w:uiPriority w:val="34"/>
    <w:qFormat/>
    <w:rsid w:val="007B1AEA"/>
    <w:pPr>
      <w:ind w:left="720"/>
      <w:contextualSpacing/>
    </w:pPr>
  </w:style>
  <w:style w:type="paragraph" w:styleId="Testofumetto">
    <w:name w:val="Balloon Text"/>
    <w:basedOn w:val="Normale"/>
    <w:link w:val="TestofumettoCarattere"/>
    <w:uiPriority w:val="99"/>
    <w:semiHidden/>
    <w:unhideWhenUsed/>
    <w:rsid w:val="009D20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2071"/>
    <w:rPr>
      <w:rFonts w:ascii="Tahoma" w:hAnsi="Tahoma" w:cs="Tahoma"/>
      <w:sz w:val="16"/>
      <w:szCs w:val="16"/>
      <w:lang w:eastAsia="it-IT"/>
    </w:rPr>
  </w:style>
  <w:style w:type="paragraph" w:styleId="NormaleWeb">
    <w:name w:val="Normal (Web)"/>
    <w:basedOn w:val="Normale"/>
    <w:uiPriority w:val="99"/>
    <w:unhideWhenUsed/>
    <w:rsid w:val="002A1238"/>
    <w:pPr>
      <w:spacing w:before="100" w:beforeAutospacing="1" w:after="100" w:afterAutospacing="1"/>
    </w:pPr>
    <w:rPr>
      <w:rFonts w:eastAsia="Times New Roman"/>
    </w:rPr>
  </w:style>
  <w:style w:type="character" w:customStyle="1" w:styleId="hoenzb">
    <w:name w:val="hoenzb"/>
    <w:basedOn w:val="Carpredefinitoparagrafo"/>
    <w:rsid w:val="002A1238"/>
  </w:style>
  <w:style w:type="character" w:styleId="Rimandocommento">
    <w:name w:val="annotation reference"/>
    <w:basedOn w:val="Carpredefinitoparagrafo"/>
    <w:uiPriority w:val="99"/>
    <w:semiHidden/>
    <w:unhideWhenUsed/>
    <w:rsid w:val="00B60AC3"/>
    <w:rPr>
      <w:sz w:val="16"/>
      <w:szCs w:val="16"/>
    </w:rPr>
  </w:style>
  <w:style w:type="paragraph" w:styleId="Testocommento">
    <w:name w:val="annotation text"/>
    <w:basedOn w:val="Normale"/>
    <w:link w:val="TestocommentoCarattere"/>
    <w:uiPriority w:val="99"/>
    <w:semiHidden/>
    <w:unhideWhenUsed/>
    <w:rsid w:val="00B60AC3"/>
    <w:rPr>
      <w:sz w:val="20"/>
      <w:szCs w:val="20"/>
    </w:rPr>
  </w:style>
  <w:style w:type="character" w:customStyle="1" w:styleId="TestocommentoCarattere">
    <w:name w:val="Testo commento Carattere"/>
    <w:basedOn w:val="Carpredefinitoparagrafo"/>
    <w:link w:val="Testocommento"/>
    <w:uiPriority w:val="99"/>
    <w:semiHidden/>
    <w:rsid w:val="00B60AC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60AC3"/>
    <w:rPr>
      <w:b/>
      <w:bCs/>
    </w:rPr>
  </w:style>
  <w:style w:type="character" w:customStyle="1" w:styleId="SoggettocommentoCarattere">
    <w:name w:val="Soggetto commento Carattere"/>
    <w:basedOn w:val="TestocommentoCarattere"/>
    <w:link w:val="Soggettocommento"/>
    <w:uiPriority w:val="99"/>
    <w:semiHidden/>
    <w:rsid w:val="00B60AC3"/>
    <w:rPr>
      <w:rFonts w:ascii="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542A84"/>
    <w:pPr>
      <w:tabs>
        <w:tab w:val="center" w:pos="4819"/>
        <w:tab w:val="right" w:pos="9638"/>
      </w:tabs>
    </w:pPr>
  </w:style>
  <w:style w:type="character" w:customStyle="1" w:styleId="IntestazioneCarattere">
    <w:name w:val="Intestazione Carattere"/>
    <w:basedOn w:val="Carpredefinitoparagrafo"/>
    <w:link w:val="Intestazione"/>
    <w:uiPriority w:val="99"/>
    <w:rsid w:val="00542A84"/>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42A84"/>
    <w:pPr>
      <w:tabs>
        <w:tab w:val="center" w:pos="4819"/>
        <w:tab w:val="right" w:pos="9638"/>
      </w:tabs>
    </w:pPr>
  </w:style>
  <w:style w:type="character" w:customStyle="1" w:styleId="PidipaginaCarattere">
    <w:name w:val="Piè di pagina Carattere"/>
    <w:basedOn w:val="Carpredefinitoparagrafo"/>
    <w:link w:val="Pidipagina"/>
    <w:uiPriority w:val="99"/>
    <w:rsid w:val="00542A84"/>
    <w:rPr>
      <w:rFonts w:ascii="Times New Roman" w:hAnsi="Times New Roman" w:cs="Times New Roman"/>
      <w:sz w:val="24"/>
      <w:szCs w:val="24"/>
      <w:lang w:eastAsia="it-IT"/>
    </w:rPr>
  </w:style>
  <w:style w:type="character" w:styleId="Enfasigrassetto">
    <w:name w:val="Strong"/>
    <w:basedOn w:val="Carpredefinitoparagrafo"/>
    <w:uiPriority w:val="22"/>
    <w:qFormat/>
    <w:rsid w:val="000221A2"/>
    <w:rPr>
      <w:b/>
      <w:bCs/>
    </w:rPr>
  </w:style>
</w:styles>
</file>

<file path=word/webSettings.xml><?xml version="1.0" encoding="utf-8"?>
<w:webSettings xmlns:r="http://schemas.openxmlformats.org/officeDocument/2006/relationships" xmlns:w="http://schemas.openxmlformats.org/wordprocessingml/2006/main">
  <w:divs>
    <w:div w:id="112790167">
      <w:bodyDiv w:val="1"/>
      <w:marLeft w:val="0"/>
      <w:marRight w:val="0"/>
      <w:marTop w:val="0"/>
      <w:marBottom w:val="0"/>
      <w:divBdr>
        <w:top w:val="none" w:sz="0" w:space="0" w:color="auto"/>
        <w:left w:val="none" w:sz="0" w:space="0" w:color="auto"/>
        <w:bottom w:val="none" w:sz="0" w:space="0" w:color="auto"/>
        <w:right w:val="none" w:sz="0" w:space="0" w:color="auto"/>
      </w:divBdr>
    </w:div>
    <w:div w:id="149366878">
      <w:bodyDiv w:val="1"/>
      <w:marLeft w:val="0"/>
      <w:marRight w:val="0"/>
      <w:marTop w:val="0"/>
      <w:marBottom w:val="0"/>
      <w:divBdr>
        <w:top w:val="none" w:sz="0" w:space="0" w:color="auto"/>
        <w:left w:val="none" w:sz="0" w:space="0" w:color="auto"/>
        <w:bottom w:val="none" w:sz="0" w:space="0" w:color="auto"/>
        <w:right w:val="none" w:sz="0" w:space="0" w:color="auto"/>
      </w:divBdr>
    </w:div>
    <w:div w:id="592662793">
      <w:bodyDiv w:val="1"/>
      <w:marLeft w:val="0"/>
      <w:marRight w:val="0"/>
      <w:marTop w:val="0"/>
      <w:marBottom w:val="0"/>
      <w:divBdr>
        <w:top w:val="none" w:sz="0" w:space="0" w:color="auto"/>
        <w:left w:val="none" w:sz="0" w:space="0" w:color="auto"/>
        <w:bottom w:val="none" w:sz="0" w:space="0" w:color="auto"/>
        <w:right w:val="none" w:sz="0" w:space="0" w:color="auto"/>
      </w:divBdr>
    </w:div>
    <w:div w:id="716320351">
      <w:bodyDiv w:val="1"/>
      <w:marLeft w:val="0"/>
      <w:marRight w:val="0"/>
      <w:marTop w:val="0"/>
      <w:marBottom w:val="0"/>
      <w:divBdr>
        <w:top w:val="none" w:sz="0" w:space="0" w:color="auto"/>
        <w:left w:val="none" w:sz="0" w:space="0" w:color="auto"/>
        <w:bottom w:val="none" w:sz="0" w:space="0" w:color="auto"/>
        <w:right w:val="none" w:sz="0" w:space="0" w:color="auto"/>
      </w:divBdr>
    </w:div>
    <w:div w:id="1001927066">
      <w:bodyDiv w:val="1"/>
      <w:marLeft w:val="0"/>
      <w:marRight w:val="0"/>
      <w:marTop w:val="0"/>
      <w:marBottom w:val="0"/>
      <w:divBdr>
        <w:top w:val="none" w:sz="0" w:space="0" w:color="auto"/>
        <w:left w:val="none" w:sz="0" w:space="0" w:color="auto"/>
        <w:bottom w:val="none" w:sz="0" w:space="0" w:color="auto"/>
        <w:right w:val="none" w:sz="0" w:space="0" w:color="auto"/>
      </w:divBdr>
    </w:div>
    <w:div w:id="1279607301">
      <w:bodyDiv w:val="1"/>
      <w:marLeft w:val="0"/>
      <w:marRight w:val="0"/>
      <w:marTop w:val="0"/>
      <w:marBottom w:val="0"/>
      <w:divBdr>
        <w:top w:val="none" w:sz="0" w:space="0" w:color="auto"/>
        <w:left w:val="none" w:sz="0" w:space="0" w:color="auto"/>
        <w:bottom w:val="none" w:sz="0" w:space="0" w:color="auto"/>
        <w:right w:val="none" w:sz="0" w:space="0" w:color="auto"/>
      </w:divBdr>
    </w:div>
    <w:div w:id="1381056739">
      <w:bodyDiv w:val="1"/>
      <w:marLeft w:val="0"/>
      <w:marRight w:val="0"/>
      <w:marTop w:val="0"/>
      <w:marBottom w:val="0"/>
      <w:divBdr>
        <w:top w:val="none" w:sz="0" w:space="0" w:color="auto"/>
        <w:left w:val="none" w:sz="0" w:space="0" w:color="auto"/>
        <w:bottom w:val="none" w:sz="0" w:space="0" w:color="auto"/>
        <w:right w:val="none" w:sz="0" w:space="0" w:color="auto"/>
      </w:divBdr>
    </w:div>
    <w:div w:id="1397975133">
      <w:bodyDiv w:val="1"/>
      <w:marLeft w:val="0"/>
      <w:marRight w:val="0"/>
      <w:marTop w:val="0"/>
      <w:marBottom w:val="0"/>
      <w:divBdr>
        <w:top w:val="none" w:sz="0" w:space="0" w:color="auto"/>
        <w:left w:val="none" w:sz="0" w:space="0" w:color="auto"/>
        <w:bottom w:val="none" w:sz="0" w:space="0" w:color="auto"/>
        <w:right w:val="none" w:sz="0" w:space="0" w:color="auto"/>
      </w:divBdr>
      <w:divsChild>
        <w:div w:id="488447617">
          <w:marLeft w:val="0"/>
          <w:marRight w:val="0"/>
          <w:marTop w:val="300"/>
          <w:marBottom w:val="0"/>
          <w:divBdr>
            <w:top w:val="none" w:sz="0" w:space="0" w:color="auto"/>
            <w:left w:val="none" w:sz="0" w:space="0" w:color="auto"/>
            <w:bottom w:val="none" w:sz="0" w:space="0" w:color="auto"/>
            <w:right w:val="none" w:sz="0" w:space="0" w:color="auto"/>
          </w:divBdr>
        </w:div>
      </w:divsChild>
    </w:div>
    <w:div w:id="17242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1332</Words>
  <Characters>7594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HRD Italia Srl</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paola</cp:lastModifiedBy>
  <cp:revision>4</cp:revision>
  <cp:lastPrinted>2019-10-22T11:33:00Z</cp:lastPrinted>
  <dcterms:created xsi:type="dcterms:W3CDTF">2019-10-24T14:44:00Z</dcterms:created>
  <dcterms:modified xsi:type="dcterms:W3CDTF">2019-10-25T11:51:00Z</dcterms:modified>
</cp:coreProperties>
</file>