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A2A5" w14:textId="6F1BFF55" w:rsidR="00A87434" w:rsidRDefault="002805D7" w:rsidP="00A87434">
      <w:pPr>
        <w:spacing w:after="0" w:line="288" w:lineRule="auto"/>
        <w:jc w:val="center"/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</w:pPr>
      <w:r w:rsidRPr="005F5C1B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>Milano</w:t>
      </w:r>
      <w:r w:rsidR="00A87434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 brilla in Italia con</w:t>
      </w:r>
      <w:r w:rsidR="003A0110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 investimenti </w:t>
      </w:r>
      <w:r w:rsidR="005F5C1B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>immobiliari</w:t>
      </w:r>
      <w:r w:rsidR="00807AAF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 </w:t>
      </w:r>
      <w:r w:rsidR="00A87434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in crescita </w:t>
      </w:r>
      <w:r w:rsidR="00807AAF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ma in Europa </w:t>
      </w:r>
      <w:r w:rsidR="00E36C1D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>è 1</w:t>
      </w:r>
      <w:r w:rsidR="00E145B4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>4</w:t>
      </w:r>
      <w:r w:rsidR="00A87434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 esima </w:t>
      </w:r>
      <w:r w:rsidR="00E36C1D"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  <w:t xml:space="preserve"> </w:t>
      </w:r>
    </w:p>
    <w:p w14:paraId="2F57E5C4" w14:textId="77777777" w:rsidR="00A87434" w:rsidRDefault="00A87434" w:rsidP="00A87434">
      <w:pPr>
        <w:spacing w:after="0" w:line="288" w:lineRule="auto"/>
        <w:jc w:val="center"/>
        <w:rPr>
          <w:rFonts w:ascii="Arial" w:hAnsi="Arial" w:cs="Arial"/>
          <w:b/>
          <w:color w:val="000000" w:themeColor="text1" w:themeShade="BF"/>
          <w:sz w:val="28"/>
          <w:szCs w:val="28"/>
          <w:lang w:val="it-IT"/>
        </w:rPr>
      </w:pPr>
    </w:p>
    <w:p w14:paraId="705906C0" w14:textId="385EF684" w:rsidR="00715BE9" w:rsidRDefault="00715BE9" w:rsidP="000B79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i/>
          <w:color w:val="4E5050"/>
          <w:szCs w:val="24"/>
          <w:lang w:val="it-IT"/>
        </w:rPr>
      </w:pPr>
      <w:r w:rsidRPr="00CA6723">
        <w:rPr>
          <w:rFonts w:ascii="Arial" w:hAnsi="Arial" w:cs="Arial"/>
          <w:i/>
          <w:color w:val="4E5050"/>
          <w:szCs w:val="24"/>
          <w:lang w:val="it-IT"/>
        </w:rPr>
        <w:t xml:space="preserve">Tra le città più ambite in Europa, Londra si conferma </w:t>
      </w:r>
      <w:r>
        <w:rPr>
          <w:rFonts w:ascii="Arial" w:hAnsi="Arial" w:cs="Arial"/>
          <w:i/>
          <w:color w:val="4E5050"/>
          <w:szCs w:val="24"/>
          <w:lang w:val="it-IT"/>
        </w:rPr>
        <w:t>quella con il volume</w:t>
      </w:r>
      <w:r w:rsidR="00F54C62">
        <w:rPr>
          <w:rFonts w:ascii="Arial" w:hAnsi="Arial" w:cs="Arial"/>
          <w:i/>
          <w:color w:val="4E5050"/>
          <w:szCs w:val="24"/>
          <w:lang w:val="it-IT"/>
        </w:rPr>
        <w:t xml:space="preserve"> investito</w:t>
      </w:r>
      <w:r>
        <w:rPr>
          <w:rFonts w:ascii="Arial" w:hAnsi="Arial" w:cs="Arial"/>
          <w:i/>
          <w:color w:val="4E5050"/>
          <w:szCs w:val="24"/>
          <w:lang w:val="it-IT"/>
        </w:rPr>
        <w:t xml:space="preserve"> maggiore, seguita da Parigi, Berlino, Madrid e Francoforte nella top 5; Milano è 1</w:t>
      </w:r>
      <w:r w:rsidR="00AB205B">
        <w:rPr>
          <w:rFonts w:ascii="Arial" w:hAnsi="Arial" w:cs="Arial"/>
          <w:i/>
          <w:color w:val="4E5050"/>
          <w:szCs w:val="24"/>
          <w:lang w:val="it-IT"/>
        </w:rPr>
        <w:t>4</w:t>
      </w:r>
      <w:r w:rsidR="00F54C62">
        <w:rPr>
          <w:rFonts w:ascii="Arial" w:hAnsi="Arial" w:cs="Arial"/>
          <w:i/>
          <w:color w:val="4E5050"/>
          <w:szCs w:val="24"/>
          <w:lang w:val="it-IT"/>
        </w:rPr>
        <w:t>°</w:t>
      </w:r>
      <w:r w:rsidR="00AB205B">
        <w:rPr>
          <w:rFonts w:ascii="Arial" w:hAnsi="Arial" w:cs="Arial"/>
          <w:i/>
          <w:color w:val="4E5050"/>
          <w:szCs w:val="24"/>
          <w:lang w:val="it-IT"/>
        </w:rPr>
        <w:t xml:space="preserve"> </w:t>
      </w:r>
      <w:r>
        <w:rPr>
          <w:rFonts w:ascii="Arial" w:hAnsi="Arial" w:cs="Arial"/>
          <w:i/>
          <w:color w:val="4E5050"/>
          <w:szCs w:val="24"/>
          <w:lang w:val="it-IT"/>
        </w:rPr>
        <w:t xml:space="preserve">dopo </w:t>
      </w:r>
      <w:proofErr w:type="spellStart"/>
      <w:r w:rsidR="00F731DA">
        <w:rPr>
          <w:rFonts w:ascii="Arial" w:hAnsi="Arial" w:cs="Arial"/>
          <w:i/>
          <w:color w:val="4E5050"/>
          <w:szCs w:val="24"/>
          <w:lang w:val="it-IT"/>
        </w:rPr>
        <w:t>Dusseldorf</w:t>
      </w:r>
      <w:proofErr w:type="spellEnd"/>
      <w:r w:rsidR="00754099">
        <w:rPr>
          <w:rFonts w:ascii="Arial" w:hAnsi="Arial" w:cs="Arial"/>
          <w:i/>
          <w:color w:val="4E5050"/>
          <w:szCs w:val="24"/>
          <w:lang w:val="it-IT"/>
        </w:rPr>
        <w:t>.</w:t>
      </w:r>
    </w:p>
    <w:p w14:paraId="197CD178" w14:textId="2321AB4E" w:rsidR="00F2470D" w:rsidRPr="00414CEF" w:rsidRDefault="00F2470D" w:rsidP="000B790F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i/>
          <w:color w:val="4E5050"/>
          <w:szCs w:val="24"/>
          <w:lang w:val="it-IT"/>
        </w:rPr>
      </w:pPr>
    </w:p>
    <w:p w14:paraId="6193DA80" w14:textId="2E23ED24" w:rsidR="00A61740" w:rsidRPr="006A3BEE" w:rsidRDefault="00F2470D" w:rsidP="000B790F">
      <w:pPr>
        <w:pStyle w:val="ListParagraph"/>
        <w:numPr>
          <w:ilvl w:val="0"/>
          <w:numId w:val="1"/>
        </w:numPr>
        <w:tabs>
          <w:tab w:val="left" w:pos="7938"/>
          <w:tab w:val="left" w:pos="8647"/>
        </w:tabs>
        <w:ind w:right="-23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2470D">
        <w:rPr>
          <w:rFonts w:ascii="Arial" w:hAnsi="Arial" w:cs="Arial"/>
          <w:i/>
          <w:color w:val="4E5050"/>
          <w:szCs w:val="24"/>
          <w:lang w:val="it-IT"/>
        </w:rPr>
        <w:t>Dal report ‘</w:t>
      </w:r>
      <w:proofErr w:type="spellStart"/>
      <w:r w:rsidRPr="00F2470D">
        <w:rPr>
          <w:rFonts w:ascii="Arial" w:hAnsi="Arial" w:cs="Arial"/>
          <w:i/>
          <w:color w:val="4E5050"/>
          <w:szCs w:val="24"/>
          <w:lang w:val="it-IT"/>
        </w:rPr>
        <w:t>Winning</w:t>
      </w:r>
      <w:proofErr w:type="spellEnd"/>
      <w:r w:rsidRPr="00F2470D">
        <w:rPr>
          <w:rFonts w:ascii="Arial" w:hAnsi="Arial" w:cs="Arial"/>
          <w:i/>
          <w:color w:val="4E5050"/>
          <w:szCs w:val="24"/>
          <w:lang w:val="it-IT"/>
        </w:rPr>
        <w:t xml:space="preserve"> in </w:t>
      </w:r>
      <w:proofErr w:type="spellStart"/>
      <w:r w:rsidRPr="00F2470D">
        <w:rPr>
          <w:rFonts w:ascii="Arial" w:hAnsi="Arial" w:cs="Arial"/>
          <w:i/>
          <w:color w:val="4E5050"/>
          <w:szCs w:val="24"/>
          <w:lang w:val="it-IT"/>
        </w:rPr>
        <w:t>Growth</w:t>
      </w:r>
      <w:proofErr w:type="spellEnd"/>
      <w:r w:rsidRPr="00F2470D">
        <w:rPr>
          <w:rFonts w:ascii="Arial" w:hAnsi="Arial" w:cs="Arial"/>
          <w:i/>
          <w:color w:val="4E5050"/>
          <w:szCs w:val="24"/>
          <w:lang w:val="it-IT"/>
        </w:rPr>
        <w:t xml:space="preserve"> </w:t>
      </w:r>
      <w:proofErr w:type="spellStart"/>
      <w:r w:rsidRPr="00F2470D">
        <w:rPr>
          <w:rFonts w:ascii="Arial" w:hAnsi="Arial" w:cs="Arial"/>
          <w:i/>
          <w:color w:val="4E5050"/>
          <w:szCs w:val="24"/>
          <w:lang w:val="it-IT"/>
        </w:rPr>
        <w:t>Cities</w:t>
      </w:r>
      <w:proofErr w:type="spellEnd"/>
      <w:r w:rsidRPr="00F2470D">
        <w:rPr>
          <w:rFonts w:ascii="Arial" w:hAnsi="Arial" w:cs="Arial"/>
          <w:i/>
          <w:color w:val="4E5050"/>
          <w:szCs w:val="24"/>
          <w:lang w:val="it-IT"/>
        </w:rPr>
        <w:t xml:space="preserve">’ emerge un quadro generale ancora positivo per l’immobiliare globale, pur se più cauto, per l’anno appena trascorso, con volumi d’investimento </w:t>
      </w:r>
      <w:r w:rsidR="00B0649B">
        <w:rPr>
          <w:rFonts w:ascii="Arial" w:hAnsi="Arial" w:cs="Arial"/>
          <w:i/>
          <w:color w:val="4E5050"/>
          <w:szCs w:val="24"/>
          <w:lang w:val="it-IT"/>
        </w:rPr>
        <w:t>in stabilizzazione</w:t>
      </w:r>
      <w:r w:rsidRPr="00F2470D">
        <w:rPr>
          <w:rFonts w:ascii="Arial" w:hAnsi="Arial" w:cs="Arial"/>
          <w:i/>
          <w:color w:val="4E5050"/>
          <w:szCs w:val="24"/>
          <w:lang w:val="it-IT"/>
        </w:rPr>
        <w:t xml:space="preserve">, con poco meno di </w:t>
      </w:r>
      <w:r w:rsidR="00A50970">
        <w:rPr>
          <w:rFonts w:ascii="Arial" w:hAnsi="Arial" w:cs="Arial"/>
          <w:i/>
          <w:color w:val="4E5050"/>
          <w:szCs w:val="24"/>
          <w:lang w:val="it-IT"/>
        </w:rPr>
        <w:t>mille miliardi</w:t>
      </w:r>
      <w:r w:rsidRPr="00F2470D">
        <w:rPr>
          <w:rFonts w:ascii="Arial" w:hAnsi="Arial" w:cs="Arial"/>
          <w:i/>
          <w:color w:val="4E5050"/>
          <w:szCs w:val="24"/>
          <w:lang w:val="it-IT"/>
        </w:rPr>
        <w:t xml:space="preserve"> di Euro investiti</w:t>
      </w:r>
      <w:r w:rsidR="00754099">
        <w:rPr>
          <w:rFonts w:ascii="Arial" w:hAnsi="Arial" w:cs="Arial"/>
          <w:i/>
          <w:color w:val="4E5050"/>
          <w:szCs w:val="24"/>
          <w:lang w:val="it-IT"/>
        </w:rPr>
        <w:t>.</w:t>
      </w:r>
    </w:p>
    <w:p w14:paraId="3ECD3757" w14:textId="77777777" w:rsidR="006A3BEE" w:rsidRPr="006A3BEE" w:rsidRDefault="006A3BEE" w:rsidP="000B790F">
      <w:pPr>
        <w:pStyle w:val="ListParagraph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52871446" w14:textId="3159A738" w:rsidR="006A3BEE" w:rsidRDefault="006A3BEE" w:rsidP="000B79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i/>
          <w:color w:val="4E5050"/>
          <w:szCs w:val="24"/>
          <w:lang w:val="it-IT"/>
        </w:rPr>
      </w:pPr>
      <w:r>
        <w:rPr>
          <w:rFonts w:ascii="Arial" w:hAnsi="Arial" w:cs="Arial"/>
          <w:i/>
          <w:color w:val="4E5050"/>
          <w:szCs w:val="24"/>
          <w:lang w:val="it-IT"/>
        </w:rPr>
        <w:t xml:space="preserve">In Italia nei primi nove mesi </w:t>
      </w:r>
      <w:r w:rsidR="00AB205B">
        <w:rPr>
          <w:rFonts w:ascii="Arial" w:hAnsi="Arial" w:cs="Arial"/>
          <w:i/>
          <w:color w:val="4E5050"/>
          <w:szCs w:val="24"/>
          <w:lang w:val="it-IT"/>
        </w:rPr>
        <w:t xml:space="preserve">gli investimenti immobiliari </w:t>
      </w:r>
      <w:r w:rsidR="00BC6725">
        <w:rPr>
          <w:rFonts w:ascii="Arial" w:hAnsi="Arial" w:cs="Arial"/>
          <w:i/>
          <w:color w:val="4E5050"/>
          <w:szCs w:val="24"/>
          <w:lang w:val="it-IT"/>
        </w:rPr>
        <w:t>hanno superato di poco i</w:t>
      </w:r>
      <w:r>
        <w:rPr>
          <w:rFonts w:ascii="Arial" w:hAnsi="Arial" w:cs="Arial"/>
          <w:i/>
          <w:color w:val="4E5050"/>
          <w:szCs w:val="24"/>
          <w:lang w:val="it-IT"/>
        </w:rPr>
        <w:t xml:space="preserve"> 7 miliardi</w:t>
      </w:r>
      <w:r w:rsidR="00F54C62">
        <w:rPr>
          <w:rFonts w:ascii="Arial" w:hAnsi="Arial" w:cs="Arial"/>
          <w:i/>
          <w:color w:val="4E5050"/>
          <w:szCs w:val="24"/>
          <w:lang w:val="it-IT"/>
        </w:rPr>
        <w:t xml:space="preserve"> di Euro</w:t>
      </w:r>
      <w:r>
        <w:rPr>
          <w:rFonts w:ascii="Arial" w:hAnsi="Arial" w:cs="Arial"/>
          <w:i/>
          <w:color w:val="4E5050"/>
          <w:szCs w:val="24"/>
          <w:lang w:val="it-IT"/>
        </w:rPr>
        <w:t>,</w:t>
      </w:r>
      <w:r w:rsidR="00BC6725">
        <w:rPr>
          <w:rFonts w:ascii="Arial" w:hAnsi="Arial" w:cs="Arial"/>
          <w:i/>
          <w:color w:val="4E5050"/>
          <w:szCs w:val="24"/>
          <w:lang w:val="it-IT"/>
        </w:rPr>
        <w:t xml:space="preserve"> </w:t>
      </w:r>
      <w:r>
        <w:rPr>
          <w:rFonts w:ascii="Arial" w:hAnsi="Arial" w:cs="Arial"/>
          <w:i/>
          <w:color w:val="4E5050"/>
          <w:szCs w:val="24"/>
          <w:lang w:val="it-IT"/>
        </w:rPr>
        <w:t>oltre il 30% rispetto allo stesso periodo dello scorso anno; solo a Milano</w:t>
      </w:r>
      <w:r w:rsidR="00BC6725">
        <w:rPr>
          <w:rFonts w:ascii="Arial" w:hAnsi="Arial" w:cs="Arial"/>
          <w:i/>
          <w:color w:val="4E5050"/>
          <w:szCs w:val="24"/>
          <w:lang w:val="it-IT"/>
        </w:rPr>
        <w:t xml:space="preserve"> investiti </w:t>
      </w:r>
      <w:r w:rsidRPr="00CE7F40">
        <w:rPr>
          <w:rFonts w:ascii="Arial" w:hAnsi="Arial" w:cs="Arial"/>
          <w:i/>
          <w:color w:val="4E5050"/>
          <w:szCs w:val="24"/>
          <w:lang w:val="it-IT"/>
        </w:rPr>
        <w:t>2,</w:t>
      </w:r>
      <w:r w:rsidR="00252859">
        <w:rPr>
          <w:rFonts w:ascii="Arial" w:hAnsi="Arial" w:cs="Arial"/>
          <w:i/>
          <w:color w:val="4E5050"/>
          <w:szCs w:val="24"/>
          <w:lang w:val="it-IT"/>
        </w:rPr>
        <w:t>1</w:t>
      </w:r>
      <w:r w:rsidRPr="00CE7F40">
        <w:rPr>
          <w:rFonts w:ascii="Arial" w:hAnsi="Arial" w:cs="Arial"/>
          <w:i/>
          <w:color w:val="4E5050"/>
          <w:szCs w:val="24"/>
          <w:lang w:val="it-IT"/>
        </w:rPr>
        <w:t xml:space="preserve"> miliardi</w:t>
      </w:r>
      <w:r w:rsidR="00F54C62">
        <w:rPr>
          <w:rFonts w:ascii="Arial" w:hAnsi="Arial" w:cs="Arial"/>
          <w:i/>
          <w:color w:val="4E5050"/>
          <w:szCs w:val="24"/>
          <w:lang w:val="it-IT"/>
        </w:rPr>
        <w:t xml:space="preserve"> di Euro</w:t>
      </w:r>
      <w:r w:rsidRPr="00414CEF">
        <w:rPr>
          <w:rFonts w:ascii="Arial" w:hAnsi="Arial" w:cs="Arial"/>
          <w:i/>
          <w:color w:val="4E5050"/>
          <w:szCs w:val="24"/>
          <w:lang w:val="it-IT"/>
        </w:rPr>
        <w:t xml:space="preserve">, un incremento </w:t>
      </w:r>
      <w:r w:rsidRPr="00DC6AE9">
        <w:rPr>
          <w:rFonts w:ascii="Arial" w:hAnsi="Arial" w:cs="Arial"/>
          <w:i/>
          <w:color w:val="4E5050"/>
          <w:szCs w:val="24"/>
          <w:lang w:val="it-IT"/>
        </w:rPr>
        <w:t>del 2</w:t>
      </w:r>
      <w:r w:rsidR="00DC6AE9" w:rsidRPr="00DC6AE9">
        <w:rPr>
          <w:rFonts w:ascii="Arial" w:hAnsi="Arial" w:cs="Arial"/>
          <w:i/>
          <w:color w:val="4E5050"/>
          <w:szCs w:val="24"/>
          <w:lang w:val="it-IT"/>
        </w:rPr>
        <w:t>8</w:t>
      </w:r>
      <w:r w:rsidRPr="00DC6AE9">
        <w:rPr>
          <w:rFonts w:ascii="Arial" w:hAnsi="Arial" w:cs="Arial"/>
          <w:i/>
          <w:color w:val="4E5050"/>
          <w:szCs w:val="24"/>
          <w:lang w:val="it-IT"/>
        </w:rPr>
        <w:t>%</w:t>
      </w:r>
      <w:r w:rsidRPr="00414CEF">
        <w:rPr>
          <w:rFonts w:ascii="Arial" w:hAnsi="Arial" w:cs="Arial"/>
          <w:i/>
          <w:color w:val="4E5050"/>
          <w:szCs w:val="24"/>
          <w:lang w:val="it-IT"/>
        </w:rPr>
        <w:t xml:space="preserve"> rispetto allo stesso periodo dello scorso anno</w:t>
      </w:r>
      <w:r w:rsidR="00BC6725">
        <w:rPr>
          <w:rFonts w:ascii="Arial" w:hAnsi="Arial" w:cs="Arial"/>
          <w:i/>
          <w:color w:val="4E5050"/>
          <w:szCs w:val="24"/>
          <w:lang w:val="it-IT"/>
        </w:rPr>
        <w:t>.</w:t>
      </w:r>
    </w:p>
    <w:p w14:paraId="3CB6185F" w14:textId="77777777" w:rsidR="00F2470D" w:rsidRDefault="00F2470D" w:rsidP="00745E2F">
      <w:pPr>
        <w:tabs>
          <w:tab w:val="left" w:pos="7938"/>
          <w:tab w:val="left" w:pos="8647"/>
        </w:tabs>
        <w:spacing w:after="0"/>
        <w:ind w:right="-23"/>
        <w:rPr>
          <w:rFonts w:ascii="Arial" w:hAnsi="Arial" w:cs="Arial"/>
          <w:b/>
          <w:sz w:val="20"/>
          <w:szCs w:val="20"/>
          <w:lang w:val="it-IT"/>
        </w:rPr>
      </w:pPr>
    </w:p>
    <w:p w14:paraId="221163F5" w14:textId="371270A1" w:rsidR="00745E2F" w:rsidRPr="00342BC3" w:rsidRDefault="00577735" w:rsidP="000B790F">
      <w:pPr>
        <w:tabs>
          <w:tab w:val="left" w:pos="7938"/>
          <w:tab w:val="left" w:pos="8647"/>
        </w:tabs>
        <w:spacing w:after="0"/>
        <w:ind w:right="-23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181464">
        <w:rPr>
          <w:rFonts w:ascii="Arial" w:hAnsi="Arial" w:cs="Arial"/>
          <w:b/>
          <w:sz w:val="20"/>
          <w:szCs w:val="20"/>
          <w:lang w:val="it-IT"/>
        </w:rPr>
        <w:t>Milano</w:t>
      </w:r>
      <w:r w:rsidR="0002726B" w:rsidRPr="00181464">
        <w:rPr>
          <w:rFonts w:ascii="Arial" w:hAnsi="Arial" w:cs="Arial"/>
          <w:b/>
          <w:sz w:val="20"/>
          <w:szCs w:val="20"/>
          <w:lang w:val="it-IT"/>
        </w:rPr>
        <w:t>, 0</w:t>
      </w:r>
      <w:r w:rsidR="00AB205B">
        <w:rPr>
          <w:rFonts w:ascii="Arial" w:hAnsi="Arial" w:cs="Arial"/>
          <w:b/>
          <w:sz w:val="20"/>
          <w:szCs w:val="20"/>
          <w:lang w:val="it-IT"/>
        </w:rPr>
        <w:t>8</w:t>
      </w:r>
      <w:r w:rsidR="0002726B" w:rsidRPr="0018146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81464">
        <w:rPr>
          <w:rFonts w:ascii="Arial" w:hAnsi="Arial" w:cs="Arial"/>
          <w:b/>
          <w:sz w:val="20"/>
          <w:szCs w:val="20"/>
          <w:lang w:val="it-IT"/>
        </w:rPr>
        <w:t>ottobre</w:t>
      </w:r>
      <w:r w:rsidR="0002726B" w:rsidRPr="00181464">
        <w:rPr>
          <w:rFonts w:ascii="Arial" w:hAnsi="Arial" w:cs="Arial"/>
          <w:b/>
          <w:sz w:val="20"/>
          <w:szCs w:val="20"/>
          <w:lang w:val="it-IT"/>
        </w:rPr>
        <w:t xml:space="preserve"> 201</w:t>
      </w:r>
      <w:r w:rsidR="004B0033" w:rsidRPr="00181464">
        <w:rPr>
          <w:rFonts w:ascii="Arial" w:hAnsi="Arial" w:cs="Arial"/>
          <w:b/>
          <w:sz w:val="20"/>
          <w:szCs w:val="20"/>
          <w:lang w:val="it-IT"/>
        </w:rPr>
        <w:t>9</w:t>
      </w:r>
      <w:r w:rsidR="0002726B" w:rsidRPr="00181464">
        <w:rPr>
          <w:rFonts w:ascii="Arial" w:hAnsi="Arial" w:cs="Arial"/>
          <w:b/>
          <w:sz w:val="20"/>
          <w:szCs w:val="20"/>
          <w:lang w:val="it-IT"/>
        </w:rPr>
        <w:t xml:space="preserve"> – </w:t>
      </w:r>
      <w:r w:rsidRPr="00181464">
        <w:rPr>
          <w:rFonts w:ascii="Arial" w:hAnsi="Arial" w:cs="Arial"/>
          <w:sz w:val="20"/>
          <w:szCs w:val="20"/>
          <w:lang w:val="it-IT"/>
        </w:rPr>
        <w:t>In Europa</w:t>
      </w:r>
      <w:r w:rsidR="00CD12A0">
        <w:rPr>
          <w:rFonts w:ascii="Arial" w:hAnsi="Arial" w:cs="Arial"/>
          <w:sz w:val="20"/>
          <w:szCs w:val="20"/>
          <w:lang w:val="it-IT"/>
        </w:rPr>
        <w:t>,</w:t>
      </w:r>
      <w:r w:rsidRPr="00181464">
        <w:rPr>
          <w:rFonts w:ascii="Arial" w:hAnsi="Arial" w:cs="Arial"/>
          <w:sz w:val="20"/>
          <w:szCs w:val="20"/>
          <w:lang w:val="it-IT"/>
        </w:rPr>
        <w:t xml:space="preserve"> Londra detiene la posizione in cima </w:t>
      </w:r>
      <w:r w:rsidR="00F330BA" w:rsidRPr="00181464">
        <w:rPr>
          <w:rFonts w:ascii="Arial" w:hAnsi="Arial" w:cs="Arial"/>
          <w:sz w:val="20"/>
          <w:szCs w:val="20"/>
          <w:lang w:val="it-IT"/>
        </w:rPr>
        <w:t>alla graduatoria per volume</w:t>
      </w:r>
      <w:r w:rsidR="00CD12A0">
        <w:rPr>
          <w:rFonts w:ascii="Arial" w:hAnsi="Arial" w:cs="Arial"/>
          <w:sz w:val="20"/>
          <w:szCs w:val="20"/>
          <w:lang w:val="it-IT"/>
        </w:rPr>
        <w:t xml:space="preserve"> </w:t>
      </w:r>
      <w:r w:rsidR="00745E2F" w:rsidRPr="00181464">
        <w:rPr>
          <w:rFonts w:ascii="Arial" w:hAnsi="Arial" w:cs="Arial"/>
          <w:sz w:val="20"/>
          <w:szCs w:val="20"/>
          <w:lang w:val="it-IT"/>
        </w:rPr>
        <w:t>investito</w:t>
      </w:r>
      <w:r w:rsidR="004B0033" w:rsidRPr="00181464">
        <w:rPr>
          <w:rFonts w:ascii="Arial" w:hAnsi="Arial" w:cs="Arial"/>
          <w:sz w:val="20"/>
          <w:szCs w:val="20"/>
          <w:lang w:val="it-IT"/>
        </w:rPr>
        <w:t xml:space="preserve"> </w:t>
      </w:r>
      <w:r w:rsidR="00745E2F" w:rsidRPr="00181464">
        <w:rPr>
          <w:rFonts w:ascii="Arial" w:hAnsi="Arial" w:cs="Arial"/>
          <w:sz w:val="20"/>
          <w:szCs w:val="20"/>
          <w:lang w:val="it-IT"/>
        </w:rPr>
        <w:t>nell’immobiliare nell’anno appena trascorso</w:t>
      </w:r>
      <w:r w:rsidR="00CD12A0">
        <w:rPr>
          <w:rFonts w:ascii="Arial" w:hAnsi="Arial" w:cs="Arial"/>
          <w:sz w:val="20"/>
          <w:szCs w:val="20"/>
          <w:lang w:val="it-IT"/>
        </w:rPr>
        <w:t xml:space="preserve"> (giugno 2018-giugno 2019)</w:t>
      </w:r>
      <w:r w:rsidR="00745E2F" w:rsidRPr="00181464">
        <w:rPr>
          <w:rFonts w:ascii="Arial" w:hAnsi="Arial" w:cs="Arial"/>
          <w:sz w:val="20"/>
          <w:szCs w:val="20"/>
          <w:lang w:val="it-IT"/>
        </w:rPr>
        <w:t xml:space="preserve">, confermandosi la quarta città più ambita </w:t>
      </w:r>
      <w:r w:rsidR="00CD12A0">
        <w:rPr>
          <w:rFonts w:ascii="Arial" w:hAnsi="Arial" w:cs="Arial"/>
          <w:sz w:val="20"/>
          <w:szCs w:val="20"/>
          <w:lang w:val="it-IT"/>
        </w:rPr>
        <w:t>a livello globale</w:t>
      </w:r>
      <w:r w:rsidR="00745E2F" w:rsidRPr="00181464">
        <w:rPr>
          <w:rFonts w:ascii="Arial" w:hAnsi="Arial" w:cs="Arial"/>
          <w:sz w:val="20"/>
          <w:szCs w:val="20"/>
          <w:lang w:val="it-IT"/>
        </w:rPr>
        <w:t xml:space="preserve"> dopo le </w:t>
      </w:r>
      <w:r w:rsidR="00181464">
        <w:rPr>
          <w:rFonts w:ascii="Arial" w:hAnsi="Arial" w:cs="Arial"/>
          <w:sz w:val="20"/>
          <w:szCs w:val="20"/>
          <w:lang w:val="it-IT"/>
        </w:rPr>
        <w:t>città</w:t>
      </w:r>
      <w:r w:rsidR="00745E2F" w:rsidRPr="00181464">
        <w:rPr>
          <w:rFonts w:ascii="Arial" w:hAnsi="Arial" w:cs="Arial"/>
          <w:sz w:val="20"/>
          <w:szCs w:val="20"/>
          <w:lang w:val="it-IT"/>
        </w:rPr>
        <w:t xml:space="preserve"> americane</w:t>
      </w:r>
      <w:r w:rsidR="00181464">
        <w:rPr>
          <w:rFonts w:ascii="Arial" w:hAnsi="Arial" w:cs="Arial"/>
          <w:sz w:val="20"/>
          <w:szCs w:val="20"/>
          <w:lang w:val="it-IT"/>
        </w:rPr>
        <w:t xml:space="preserve"> di</w:t>
      </w:r>
      <w:r w:rsidR="00745E2F" w:rsidRPr="00181464">
        <w:rPr>
          <w:rFonts w:ascii="Arial" w:hAnsi="Arial" w:cs="Arial"/>
          <w:sz w:val="20"/>
          <w:szCs w:val="20"/>
          <w:lang w:val="it-IT"/>
        </w:rPr>
        <w:t xml:space="preserve"> New York, Los Angeles e San Francisco. </w:t>
      </w:r>
      <w:r w:rsidR="00745E2F" w:rsidRPr="00745E2F">
        <w:rPr>
          <w:rFonts w:ascii="Arial" w:hAnsi="Arial" w:cs="Arial"/>
          <w:sz w:val="20"/>
          <w:szCs w:val="20"/>
          <w:lang w:val="it-IT"/>
        </w:rPr>
        <w:t xml:space="preserve">Ciò è quanto emerge </w:t>
      </w:r>
      <w:r w:rsidR="00745E2F">
        <w:rPr>
          <w:rFonts w:ascii="Arial" w:hAnsi="Arial" w:cs="Arial"/>
          <w:sz w:val="20"/>
          <w:szCs w:val="20"/>
          <w:lang w:val="it-IT"/>
        </w:rPr>
        <w:t xml:space="preserve">dal rapporto annuale </w:t>
      </w:r>
      <w:r w:rsidR="005A1245" w:rsidRPr="00745E2F">
        <w:rPr>
          <w:rFonts w:ascii="Arial" w:hAnsi="Arial" w:cs="Arial"/>
          <w:sz w:val="20"/>
          <w:szCs w:val="20"/>
          <w:lang w:val="it-IT"/>
        </w:rPr>
        <w:t>‘</w:t>
      </w:r>
      <w:proofErr w:type="spellStart"/>
      <w:r w:rsidR="004B0033" w:rsidRPr="00745E2F">
        <w:rPr>
          <w:rFonts w:ascii="Arial" w:hAnsi="Arial" w:cs="Arial"/>
          <w:i/>
          <w:sz w:val="20"/>
          <w:szCs w:val="20"/>
          <w:lang w:val="it-IT"/>
        </w:rPr>
        <w:t>Winning</w:t>
      </w:r>
      <w:proofErr w:type="spellEnd"/>
      <w:r w:rsidR="004B0033" w:rsidRPr="00745E2F">
        <w:rPr>
          <w:rFonts w:ascii="Arial" w:hAnsi="Arial" w:cs="Arial"/>
          <w:i/>
          <w:sz w:val="20"/>
          <w:szCs w:val="20"/>
          <w:lang w:val="it-IT"/>
        </w:rPr>
        <w:t xml:space="preserve"> in </w:t>
      </w:r>
      <w:proofErr w:type="spellStart"/>
      <w:r w:rsidR="004B0033" w:rsidRPr="00745E2F">
        <w:rPr>
          <w:rFonts w:ascii="Arial" w:hAnsi="Arial" w:cs="Arial"/>
          <w:i/>
          <w:sz w:val="20"/>
          <w:szCs w:val="20"/>
          <w:lang w:val="it-IT"/>
        </w:rPr>
        <w:t>Growth</w:t>
      </w:r>
      <w:proofErr w:type="spellEnd"/>
      <w:r w:rsidR="004B0033" w:rsidRPr="00745E2F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4B0033" w:rsidRPr="00745E2F">
        <w:rPr>
          <w:rFonts w:ascii="Arial" w:hAnsi="Arial" w:cs="Arial"/>
          <w:i/>
          <w:sz w:val="20"/>
          <w:szCs w:val="20"/>
          <w:lang w:val="it-IT"/>
        </w:rPr>
        <w:t>Cities</w:t>
      </w:r>
      <w:proofErr w:type="spellEnd"/>
      <w:r w:rsidR="005A1245" w:rsidRPr="00745E2F">
        <w:rPr>
          <w:rFonts w:ascii="Arial" w:hAnsi="Arial" w:cs="Arial"/>
          <w:i/>
          <w:sz w:val="20"/>
          <w:szCs w:val="20"/>
          <w:lang w:val="it-IT"/>
        </w:rPr>
        <w:t>’</w:t>
      </w:r>
      <w:r w:rsidR="004B0033" w:rsidRPr="00745E2F">
        <w:rPr>
          <w:rFonts w:ascii="Arial" w:hAnsi="Arial" w:cs="Arial"/>
          <w:sz w:val="20"/>
          <w:szCs w:val="20"/>
          <w:lang w:val="it-IT"/>
        </w:rPr>
        <w:t xml:space="preserve"> </w:t>
      </w:r>
      <w:r w:rsidR="00745E2F" w:rsidRPr="00342BC3">
        <w:rPr>
          <w:rFonts w:ascii="Arial" w:hAnsi="Arial"/>
          <w:sz w:val="20"/>
          <w:lang w:val="it-IT"/>
        </w:rPr>
        <w:t>pubblicato da Cushman &amp; Wakefield</w:t>
      </w:r>
      <w:r w:rsidR="00C71121">
        <w:rPr>
          <w:rFonts w:ascii="Arial" w:hAnsi="Arial"/>
          <w:sz w:val="20"/>
          <w:lang w:val="it-IT"/>
        </w:rPr>
        <w:t>, società leader a livello globale nei servizi immobiliari.</w:t>
      </w:r>
    </w:p>
    <w:p w14:paraId="48168A2A" w14:textId="77777777" w:rsidR="00506F93" w:rsidRPr="001B40FC" w:rsidRDefault="00506F93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11BFBC73" w14:textId="5770D04E" w:rsidR="00577735" w:rsidRDefault="00492F53" w:rsidP="00492F53">
      <w:pPr>
        <w:spacing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Il quadro generale che emerge è che, con</w:t>
      </w:r>
      <w:r w:rsidR="00AB205B">
        <w:rPr>
          <w:rFonts w:ascii="Arial" w:hAnsi="Arial" w:cs="Arial"/>
          <w:sz w:val="20"/>
          <w:lang w:val="it-IT"/>
        </w:rPr>
        <w:t xml:space="preserve"> </w:t>
      </w:r>
      <w:r w:rsidR="00A50970">
        <w:rPr>
          <w:rFonts w:ascii="Arial" w:hAnsi="Arial" w:cs="Arial"/>
          <w:sz w:val="20"/>
          <w:lang w:val="it-IT"/>
        </w:rPr>
        <w:t>quasi mille miliardi di Euro</w:t>
      </w:r>
      <w:r w:rsidR="00AB205B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 xml:space="preserve">di investimenti, </w:t>
      </w:r>
      <w:r w:rsidRPr="00492F53">
        <w:rPr>
          <w:rFonts w:ascii="Arial" w:hAnsi="Arial" w:cs="Arial"/>
          <w:sz w:val="20"/>
          <w:lang w:val="it-IT"/>
        </w:rPr>
        <w:t xml:space="preserve">i volumi </w:t>
      </w:r>
      <w:r>
        <w:rPr>
          <w:rFonts w:ascii="Arial" w:hAnsi="Arial" w:cs="Arial"/>
          <w:sz w:val="20"/>
          <w:lang w:val="it-IT"/>
        </w:rPr>
        <w:t>globali</w:t>
      </w:r>
      <w:r w:rsidRPr="00492F53">
        <w:rPr>
          <w:rFonts w:ascii="Arial" w:hAnsi="Arial" w:cs="Arial"/>
          <w:sz w:val="20"/>
          <w:lang w:val="it-IT"/>
        </w:rPr>
        <w:t xml:space="preserve"> nel settore immobiliare si sono stabilizzati. </w:t>
      </w:r>
      <w:r>
        <w:rPr>
          <w:rFonts w:ascii="Arial" w:hAnsi="Arial" w:cs="Arial"/>
          <w:sz w:val="20"/>
          <w:lang w:val="it-IT"/>
        </w:rPr>
        <w:t xml:space="preserve">Nonostante ciò, </w:t>
      </w:r>
      <w:r w:rsidRPr="00492F53">
        <w:rPr>
          <w:rFonts w:ascii="Arial" w:hAnsi="Arial" w:cs="Arial"/>
          <w:sz w:val="20"/>
          <w:lang w:val="it-IT"/>
        </w:rPr>
        <w:t>la domanda</w:t>
      </w:r>
      <w:r>
        <w:rPr>
          <w:rFonts w:ascii="Arial" w:hAnsi="Arial" w:cs="Arial"/>
          <w:sz w:val="20"/>
          <w:lang w:val="it-IT"/>
        </w:rPr>
        <w:t xml:space="preserve"> </w:t>
      </w:r>
      <w:r w:rsidRPr="00492F53">
        <w:rPr>
          <w:rFonts w:ascii="Arial" w:hAnsi="Arial" w:cs="Arial"/>
          <w:sz w:val="20"/>
          <w:lang w:val="it-IT"/>
        </w:rPr>
        <w:t>rimane a livelli record</w:t>
      </w:r>
      <w:r w:rsidR="006A3BEE">
        <w:rPr>
          <w:rFonts w:ascii="Arial" w:hAnsi="Arial" w:cs="Arial"/>
          <w:sz w:val="20"/>
          <w:lang w:val="it-IT"/>
        </w:rPr>
        <w:t>,</w:t>
      </w:r>
      <w:r w:rsidRPr="00492F53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 xml:space="preserve">soprattutto quella domestica e </w:t>
      </w:r>
      <w:r w:rsidRPr="00492F53">
        <w:rPr>
          <w:rFonts w:ascii="Arial" w:hAnsi="Arial" w:cs="Arial"/>
          <w:sz w:val="20"/>
          <w:lang w:val="it-IT"/>
        </w:rPr>
        <w:t>regional</w:t>
      </w:r>
      <w:r>
        <w:rPr>
          <w:rFonts w:ascii="Arial" w:hAnsi="Arial" w:cs="Arial"/>
          <w:sz w:val="20"/>
          <w:lang w:val="it-IT"/>
        </w:rPr>
        <w:t>e</w:t>
      </w:r>
      <w:r w:rsidRPr="00492F53">
        <w:rPr>
          <w:rFonts w:ascii="Arial" w:hAnsi="Arial" w:cs="Arial"/>
          <w:sz w:val="20"/>
          <w:lang w:val="it-IT"/>
        </w:rPr>
        <w:t xml:space="preserve">. </w:t>
      </w:r>
      <w:r>
        <w:rPr>
          <w:rFonts w:ascii="Arial" w:hAnsi="Arial" w:cs="Arial"/>
          <w:sz w:val="20"/>
          <w:lang w:val="it-IT"/>
        </w:rPr>
        <w:t>I valori elevati</w:t>
      </w:r>
      <w:r w:rsidRPr="00492F53">
        <w:rPr>
          <w:rFonts w:ascii="Arial" w:hAnsi="Arial" w:cs="Arial"/>
          <w:sz w:val="20"/>
          <w:lang w:val="it-IT"/>
        </w:rPr>
        <w:t xml:space="preserve"> e la carenza di </w:t>
      </w:r>
      <w:r>
        <w:rPr>
          <w:rFonts w:ascii="Arial" w:hAnsi="Arial" w:cs="Arial"/>
          <w:sz w:val="20"/>
          <w:lang w:val="it-IT"/>
        </w:rPr>
        <w:t xml:space="preserve">prodotto </w:t>
      </w:r>
      <w:r w:rsidRPr="00492F53">
        <w:rPr>
          <w:rFonts w:ascii="Arial" w:hAnsi="Arial" w:cs="Arial"/>
          <w:sz w:val="20"/>
          <w:lang w:val="it-IT"/>
        </w:rPr>
        <w:t xml:space="preserve">hanno </w:t>
      </w:r>
      <w:r w:rsidR="006A3BEE">
        <w:rPr>
          <w:rFonts w:ascii="Arial" w:hAnsi="Arial" w:cs="Arial"/>
          <w:sz w:val="20"/>
          <w:lang w:val="it-IT"/>
        </w:rPr>
        <w:t>rallentato</w:t>
      </w:r>
      <w:r w:rsidRPr="00492F53">
        <w:rPr>
          <w:rFonts w:ascii="Arial" w:hAnsi="Arial" w:cs="Arial"/>
          <w:sz w:val="20"/>
          <w:lang w:val="it-IT"/>
        </w:rPr>
        <w:t xml:space="preserve"> l'attività</w:t>
      </w:r>
      <w:r w:rsidR="006A3BEE">
        <w:rPr>
          <w:rFonts w:ascii="Arial" w:hAnsi="Arial" w:cs="Arial"/>
          <w:sz w:val="20"/>
          <w:lang w:val="it-IT"/>
        </w:rPr>
        <w:t xml:space="preserve"> rispetto ai mesi precedenti</w:t>
      </w:r>
      <w:r w:rsidRPr="00492F53">
        <w:rPr>
          <w:rFonts w:ascii="Arial" w:hAnsi="Arial" w:cs="Arial"/>
          <w:sz w:val="20"/>
          <w:lang w:val="it-IT"/>
        </w:rPr>
        <w:t>, con gli investitori</w:t>
      </w:r>
      <w:r w:rsidR="00715BE9">
        <w:rPr>
          <w:rFonts w:ascii="Arial" w:hAnsi="Arial" w:cs="Arial"/>
          <w:sz w:val="20"/>
          <w:lang w:val="it-IT"/>
        </w:rPr>
        <w:t xml:space="preserve"> che,</w:t>
      </w:r>
      <w:r w:rsidRPr="00492F53">
        <w:rPr>
          <w:rFonts w:ascii="Arial" w:hAnsi="Arial" w:cs="Arial"/>
          <w:sz w:val="20"/>
          <w:lang w:val="it-IT"/>
        </w:rPr>
        <w:t xml:space="preserve"> in generale</w:t>
      </w:r>
      <w:r w:rsidR="00715BE9">
        <w:rPr>
          <w:rFonts w:ascii="Arial" w:hAnsi="Arial" w:cs="Arial"/>
          <w:sz w:val="20"/>
          <w:lang w:val="it-IT"/>
        </w:rPr>
        <w:t>, sono</w:t>
      </w:r>
      <w:r w:rsidRPr="00492F53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meno propensi a</w:t>
      </w:r>
      <w:r w:rsidR="00715BE9">
        <w:rPr>
          <w:rFonts w:ascii="Arial" w:hAnsi="Arial" w:cs="Arial"/>
          <w:sz w:val="20"/>
          <w:lang w:val="it-IT"/>
        </w:rPr>
        <w:t>d investire in</w:t>
      </w:r>
      <w:r>
        <w:rPr>
          <w:rFonts w:ascii="Arial" w:hAnsi="Arial" w:cs="Arial"/>
          <w:sz w:val="20"/>
          <w:lang w:val="it-IT"/>
        </w:rPr>
        <w:t xml:space="preserve"> mercati più rischiosi o a sbilanciarsi su valori ancora più alti</w:t>
      </w:r>
      <w:r w:rsidR="00CD12A0"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sz w:val="20"/>
          <w:lang w:val="it-IT"/>
        </w:rPr>
        <w:t>vista l</w:t>
      </w:r>
      <w:r w:rsidR="00C71121">
        <w:rPr>
          <w:rFonts w:ascii="Arial" w:hAnsi="Arial" w:cs="Arial"/>
          <w:sz w:val="20"/>
          <w:lang w:val="it-IT"/>
        </w:rPr>
        <w:t>a prospettiva di</w:t>
      </w:r>
      <w:r>
        <w:rPr>
          <w:rFonts w:ascii="Arial" w:hAnsi="Arial" w:cs="Arial"/>
          <w:sz w:val="20"/>
          <w:lang w:val="it-IT"/>
        </w:rPr>
        <w:t xml:space="preserve"> </w:t>
      </w:r>
      <w:r w:rsidR="00AB205B">
        <w:rPr>
          <w:rFonts w:ascii="Arial" w:hAnsi="Arial" w:cs="Arial"/>
          <w:sz w:val="20"/>
          <w:lang w:val="it-IT"/>
        </w:rPr>
        <w:t xml:space="preserve">una </w:t>
      </w:r>
      <w:r>
        <w:rPr>
          <w:rFonts w:ascii="Arial" w:hAnsi="Arial" w:cs="Arial"/>
          <w:sz w:val="20"/>
          <w:lang w:val="it-IT"/>
        </w:rPr>
        <w:t>crescita debole</w:t>
      </w:r>
      <w:r w:rsidR="00F54C62">
        <w:rPr>
          <w:rFonts w:ascii="Arial" w:hAnsi="Arial" w:cs="Arial"/>
          <w:sz w:val="20"/>
          <w:lang w:val="it-IT"/>
        </w:rPr>
        <w:t xml:space="preserve">, </w:t>
      </w:r>
      <w:r w:rsidR="00AB205B">
        <w:rPr>
          <w:rFonts w:ascii="Arial" w:hAnsi="Arial" w:cs="Arial"/>
          <w:sz w:val="20"/>
          <w:lang w:val="it-IT"/>
        </w:rPr>
        <w:t>in contrazione</w:t>
      </w:r>
      <w:r w:rsidR="00BF3E63">
        <w:rPr>
          <w:rFonts w:ascii="Arial" w:hAnsi="Arial" w:cs="Arial"/>
          <w:sz w:val="20"/>
          <w:lang w:val="it-IT"/>
        </w:rPr>
        <w:t xml:space="preserve"> e l’incertezza sui tassi.</w:t>
      </w:r>
    </w:p>
    <w:p w14:paraId="32D19D3B" w14:textId="410ABDE7" w:rsidR="006708F1" w:rsidRDefault="006708F1" w:rsidP="00492F53">
      <w:pPr>
        <w:spacing w:after="0" w:line="240" w:lineRule="auto"/>
        <w:jc w:val="both"/>
        <w:rPr>
          <w:rFonts w:ascii="Arial" w:hAnsi="Arial" w:cs="Arial"/>
          <w:sz w:val="20"/>
          <w:lang w:val="it-IT"/>
        </w:rPr>
      </w:pPr>
    </w:p>
    <w:p w14:paraId="5424234E" w14:textId="1DF42CAF" w:rsidR="006708F1" w:rsidRDefault="006708F1" w:rsidP="00492F53">
      <w:pPr>
        <w:spacing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I trend </w:t>
      </w:r>
      <w:r w:rsidRPr="006708F1">
        <w:rPr>
          <w:rFonts w:ascii="Arial" w:hAnsi="Arial" w:cs="Arial"/>
          <w:sz w:val="20"/>
          <w:lang w:val="it-IT"/>
        </w:rPr>
        <w:t>sono stat</w:t>
      </w:r>
      <w:r>
        <w:rPr>
          <w:rFonts w:ascii="Arial" w:hAnsi="Arial" w:cs="Arial"/>
          <w:sz w:val="20"/>
          <w:lang w:val="it-IT"/>
        </w:rPr>
        <w:t>i</w:t>
      </w:r>
      <w:r w:rsidRPr="006708F1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differenti tra le aree geografiche</w:t>
      </w:r>
      <w:r w:rsidRPr="006708F1">
        <w:rPr>
          <w:rFonts w:ascii="Arial" w:hAnsi="Arial" w:cs="Arial"/>
          <w:sz w:val="20"/>
          <w:lang w:val="it-IT"/>
        </w:rPr>
        <w:t xml:space="preserve">, con il Nord America che ha registrato un aumento dell'attività di quasi il 13% – la performance </w:t>
      </w:r>
      <w:r>
        <w:rPr>
          <w:rFonts w:ascii="Arial" w:hAnsi="Arial" w:cs="Arial"/>
          <w:sz w:val="20"/>
          <w:lang w:val="it-IT"/>
        </w:rPr>
        <w:t>migliore</w:t>
      </w:r>
      <w:r w:rsidRPr="006708F1">
        <w:rPr>
          <w:rFonts w:ascii="Arial" w:hAnsi="Arial" w:cs="Arial"/>
          <w:sz w:val="20"/>
          <w:lang w:val="it-IT"/>
        </w:rPr>
        <w:t xml:space="preserve"> in cinque anni – mentre l'Europa e l'Asia hanno visto scendere </w:t>
      </w:r>
      <w:r w:rsidR="00F54C62" w:rsidRPr="006708F1">
        <w:rPr>
          <w:rFonts w:ascii="Arial" w:hAnsi="Arial" w:cs="Arial"/>
          <w:sz w:val="20"/>
          <w:lang w:val="it-IT"/>
        </w:rPr>
        <w:t xml:space="preserve">i volumi </w:t>
      </w:r>
      <w:r w:rsidRPr="006708F1">
        <w:rPr>
          <w:rFonts w:ascii="Arial" w:hAnsi="Arial" w:cs="Arial"/>
          <w:sz w:val="20"/>
          <w:lang w:val="it-IT"/>
        </w:rPr>
        <w:t>del 12%</w:t>
      </w:r>
      <w:r>
        <w:rPr>
          <w:rFonts w:ascii="Arial" w:hAnsi="Arial" w:cs="Arial"/>
          <w:sz w:val="20"/>
          <w:lang w:val="it-IT"/>
        </w:rPr>
        <w:t xml:space="preserve">, con </w:t>
      </w:r>
      <w:r w:rsidRPr="006708F1">
        <w:rPr>
          <w:rFonts w:ascii="Arial" w:hAnsi="Arial" w:cs="Arial"/>
          <w:sz w:val="20"/>
          <w:lang w:val="it-IT"/>
        </w:rPr>
        <w:t xml:space="preserve">cali </w:t>
      </w:r>
      <w:r>
        <w:rPr>
          <w:rFonts w:ascii="Arial" w:hAnsi="Arial" w:cs="Arial"/>
          <w:sz w:val="20"/>
          <w:lang w:val="it-IT"/>
        </w:rPr>
        <w:t>maggiori</w:t>
      </w:r>
      <w:r w:rsidRPr="006708F1">
        <w:rPr>
          <w:rFonts w:ascii="Arial" w:hAnsi="Arial" w:cs="Arial"/>
          <w:sz w:val="20"/>
          <w:lang w:val="it-IT"/>
        </w:rPr>
        <w:t xml:space="preserve"> in America Latina (-38,5%) </w:t>
      </w:r>
      <w:r w:rsidR="00CD12A0">
        <w:rPr>
          <w:rFonts w:ascii="Arial" w:hAnsi="Arial" w:cs="Arial"/>
          <w:sz w:val="20"/>
          <w:lang w:val="it-IT"/>
        </w:rPr>
        <w:t xml:space="preserve">e </w:t>
      </w:r>
      <w:r w:rsidRPr="006708F1">
        <w:rPr>
          <w:rFonts w:ascii="Arial" w:hAnsi="Arial" w:cs="Arial"/>
          <w:sz w:val="20"/>
          <w:lang w:val="it-IT"/>
        </w:rPr>
        <w:t>Medio Oriente (-65,5%).</w:t>
      </w:r>
    </w:p>
    <w:p w14:paraId="07C5C37E" w14:textId="77777777" w:rsidR="006708F1" w:rsidRDefault="006708F1" w:rsidP="00492F53">
      <w:pPr>
        <w:spacing w:after="0" w:line="240" w:lineRule="auto"/>
        <w:jc w:val="both"/>
        <w:rPr>
          <w:rFonts w:ascii="Arial" w:hAnsi="Arial" w:cs="Arial"/>
          <w:sz w:val="20"/>
          <w:lang w:val="it-IT"/>
        </w:rPr>
      </w:pPr>
    </w:p>
    <w:p w14:paraId="7F1A25D1" w14:textId="29398AF0" w:rsidR="006708F1" w:rsidRDefault="006708F1" w:rsidP="006708F1">
      <w:pPr>
        <w:spacing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L’anno che verrà sarà caratterizzato da una bassa crescita </w:t>
      </w:r>
      <w:r w:rsidRPr="006708F1">
        <w:rPr>
          <w:rFonts w:ascii="Arial" w:hAnsi="Arial" w:cs="Arial"/>
          <w:sz w:val="20"/>
          <w:lang w:val="it-IT"/>
        </w:rPr>
        <w:t xml:space="preserve">economica </w:t>
      </w:r>
      <w:r>
        <w:rPr>
          <w:rFonts w:ascii="Arial" w:hAnsi="Arial" w:cs="Arial"/>
          <w:sz w:val="20"/>
          <w:lang w:val="it-IT"/>
        </w:rPr>
        <w:t>ma, la rinnovata politica monetaria espansiva</w:t>
      </w:r>
      <w:r w:rsidRPr="006708F1"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sz w:val="20"/>
          <w:lang w:val="it-IT"/>
        </w:rPr>
        <w:t>potrà favorire l’estensione del ciclo di compressione dei rendimenti anche al 2020,</w:t>
      </w:r>
      <w:r w:rsidR="00F54C62">
        <w:rPr>
          <w:rFonts w:ascii="Arial" w:hAnsi="Arial" w:cs="Arial"/>
          <w:sz w:val="20"/>
          <w:lang w:val="it-IT"/>
        </w:rPr>
        <w:t xml:space="preserve"> pur</w:t>
      </w:r>
      <w:r>
        <w:rPr>
          <w:rFonts w:ascii="Arial" w:hAnsi="Arial" w:cs="Arial"/>
          <w:sz w:val="20"/>
          <w:lang w:val="it-IT"/>
        </w:rPr>
        <w:t xml:space="preserve"> se in modo selettivo. Proseguirà la ricerca di </w:t>
      </w:r>
      <w:r w:rsidR="00715BE9">
        <w:rPr>
          <w:rFonts w:ascii="Arial" w:hAnsi="Arial" w:cs="Arial"/>
          <w:sz w:val="20"/>
          <w:lang w:val="it-IT"/>
        </w:rPr>
        <w:t xml:space="preserve">maggiori </w:t>
      </w:r>
      <w:r>
        <w:rPr>
          <w:rFonts w:ascii="Arial" w:hAnsi="Arial" w:cs="Arial"/>
          <w:sz w:val="20"/>
          <w:lang w:val="it-IT"/>
        </w:rPr>
        <w:t xml:space="preserve">rendimenti da parte degli investitori che dovranno </w:t>
      </w:r>
      <w:r w:rsidR="00715BE9">
        <w:rPr>
          <w:rFonts w:ascii="Arial" w:hAnsi="Arial" w:cs="Arial"/>
          <w:sz w:val="20"/>
          <w:lang w:val="it-IT"/>
        </w:rPr>
        <w:t xml:space="preserve">approcciare </w:t>
      </w:r>
      <w:r>
        <w:rPr>
          <w:rFonts w:ascii="Arial" w:hAnsi="Arial" w:cs="Arial"/>
          <w:sz w:val="20"/>
          <w:lang w:val="it-IT"/>
        </w:rPr>
        <w:t xml:space="preserve">nuove opportunità – mercati e </w:t>
      </w:r>
      <w:proofErr w:type="spellStart"/>
      <w:r>
        <w:rPr>
          <w:rFonts w:ascii="Arial" w:hAnsi="Arial" w:cs="Arial"/>
          <w:sz w:val="20"/>
          <w:lang w:val="it-IT"/>
        </w:rPr>
        <w:t>asset</w:t>
      </w:r>
      <w:proofErr w:type="spellEnd"/>
      <w:r>
        <w:rPr>
          <w:rFonts w:ascii="Arial" w:hAnsi="Arial" w:cs="Arial"/>
          <w:sz w:val="20"/>
          <w:lang w:val="it-IT"/>
        </w:rPr>
        <w:t xml:space="preserve"> </w:t>
      </w:r>
      <w:r w:rsidR="000B790F">
        <w:rPr>
          <w:rFonts w:ascii="Arial" w:hAnsi="Arial" w:cs="Arial"/>
          <w:sz w:val="20"/>
          <w:lang w:val="it-IT"/>
        </w:rPr>
        <w:t>–</w:t>
      </w:r>
      <w:r>
        <w:rPr>
          <w:rFonts w:ascii="Arial" w:hAnsi="Arial" w:cs="Arial"/>
          <w:sz w:val="20"/>
          <w:lang w:val="it-IT"/>
        </w:rPr>
        <w:t xml:space="preserve"> pur</w:t>
      </w:r>
      <w:r w:rsidR="000B790F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di allocare il capitale, che continuerà ad esse</w:t>
      </w:r>
      <w:r w:rsidR="00CD12A0">
        <w:rPr>
          <w:rFonts w:ascii="Arial" w:hAnsi="Arial" w:cs="Arial"/>
          <w:sz w:val="20"/>
          <w:lang w:val="it-IT"/>
        </w:rPr>
        <w:t>r</w:t>
      </w:r>
      <w:r>
        <w:rPr>
          <w:rFonts w:ascii="Arial" w:hAnsi="Arial" w:cs="Arial"/>
          <w:sz w:val="20"/>
          <w:lang w:val="it-IT"/>
        </w:rPr>
        <w:t xml:space="preserve">e abbondante. </w:t>
      </w:r>
    </w:p>
    <w:p w14:paraId="2177E8C9" w14:textId="77777777" w:rsidR="00CD12A0" w:rsidRDefault="00CD12A0" w:rsidP="00CD12A0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14:paraId="353A68F0" w14:textId="7E1D488F" w:rsidR="00CD12A0" w:rsidRPr="006708F1" w:rsidRDefault="00715BE9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 livello Europeo </w:t>
      </w:r>
      <w:r w:rsidR="006A3BEE">
        <w:rPr>
          <w:rFonts w:ascii="Arial" w:hAnsi="Arial" w:cs="Arial"/>
          <w:sz w:val="20"/>
          <w:szCs w:val="20"/>
          <w:lang w:val="it-IT"/>
        </w:rPr>
        <w:t>l</w:t>
      </w:r>
      <w:r w:rsidR="00CD12A0" w:rsidRPr="006708F1">
        <w:rPr>
          <w:rFonts w:ascii="Arial" w:hAnsi="Arial" w:cs="Arial"/>
          <w:sz w:val="20"/>
          <w:szCs w:val="20"/>
          <w:lang w:val="it-IT"/>
        </w:rPr>
        <w:t xml:space="preserve">a Spagna </w:t>
      </w:r>
      <w:r w:rsidR="00CD12A0">
        <w:rPr>
          <w:rFonts w:ascii="Arial" w:hAnsi="Arial" w:cs="Arial"/>
          <w:sz w:val="20"/>
          <w:szCs w:val="20"/>
          <w:lang w:val="it-IT"/>
        </w:rPr>
        <w:t xml:space="preserve">continua ad attrarre capitali </w:t>
      </w:r>
      <w:r w:rsidR="00CD12A0" w:rsidRPr="006708F1">
        <w:rPr>
          <w:rFonts w:ascii="Arial" w:hAnsi="Arial" w:cs="Arial"/>
          <w:sz w:val="20"/>
          <w:szCs w:val="20"/>
          <w:lang w:val="it-IT"/>
        </w:rPr>
        <w:t>internazional</w:t>
      </w:r>
      <w:r w:rsidR="00CD12A0">
        <w:rPr>
          <w:rFonts w:ascii="Arial" w:hAnsi="Arial" w:cs="Arial"/>
          <w:sz w:val="20"/>
          <w:szCs w:val="20"/>
          <w:lang w:val="it-IT"/>
        </w:rPr>
        <w:t>i</w:t>
      </w:r>
      <w:r w:rsidR="00CD12A0" w:rsidRPr="006708F1">
        <w:rPr>
          <w:rFonts w:ascii="Arial" w:hAnsi="Arial" w:cs="Arial"/>
          <w:sz w:val="20"/>
          <w:szCs w:val="20"/>
          <w:lang w:val="it-IT"/>
        </w:rPr>
        <w:t xml:space="preserve">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e Madrid passa al </w:t>
      </w:r>
      <w:r w:rsidR="00F54C62">
        <w:rPr>
          <w:rFonts w:ascii="Arial" w:hAnsi="Arial" w:cs="Arial"/>
          <w:sz w:val="20"/>
          <w:szCs w:val="20"/>
          <w:lang w:val="it-IT"/>
        </w:rPr>
        <w:t xml:space="preserve">4°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posto della graduatoria </w:t>
      </w:r>
      <w:r w:rsidR="006A3BEE">
        <w:rPr>
          <w:rFonts w:ascii="Arial" w:hAnsi="Arial" w:cs="Arial"/>
          <w:sz w:val="20"/>
          <w:szCs w:val="20"/>
          <w:lang w:val="it-IT"/>
        </w:rPr>
        <w:t>Europea</w:t>
      </w:r>
      <w:r w:rsidR="00CF00FD">
        <w:rPr>
          <w:rFonts w:ascii="Arial" w:hAnsi="Arial" w:cs="Arial"/>
          <w:sz w:val="20"/>
          <w:szCs w:val="20"/>
          <w:lang w:val="it-IT"/>
        </w:rPr>
        <w:t xml:space="preserve">, dopo </w:t>
      </w:r>
      <w:r w:rsidR="006A3BEE">
        <w:rPr>
          <w:rFonts w:ascii="Arial" w:hAnsi="Arial" w:cs="Arial"/>
          <w:sz w:val="20"/>
          <w:szCs w:val="20"/>
          <w:lang w:val="it-IT"/>
        </w:rPr>
        <w:t xml:space="preserve">Londra, Parigi e </w:t>
      </w:r>
      <w:r w:rsidR="00CF00FD">
        <w:rPr>
          <w:rFonts w:ascii="Arial" w:hAnsi="Arial" w:cs="Arial"/>
          <w:sz w:val="20"/>
          <w:szCs w:val="20"/>
          <w:lang w:val="it-IT"/>
        </w:rPr>
        <w:t>Berlino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CF00FD">
        <w:rPr>
          <w:rFonts w:ascii="Arial" w:hAnsi="Arial" w:cs="Arial"/>
          <w:sz w:val="20"/>
          <w:szCs w:val="20"/>
          <w:lang w:val="it-IT"/>
        </w:rPr>
        <w:t xml:space="preserve"> confermandosi una delle città più ambite. Rispetto all’Italia, </w:t>
      </w:r>
      <w:r w:rsidR="008D0A2F">
        <w:rPr>
          <w:rFonts w:ascii="Arial" w:hAnsi="Arial" w:cs="Arial"/>
          <w:sz w:val="20"/>
          <w:szCs w:val="20"/>
          <w:lang w:val="it-IT"/>
        </w:rPr>
        <w:t>l</w:t>
      </w:r>
      <w:r w:rsidR="00CF00FD">
        <w:rPr>
          <w:rFonts w:ascii="Arial" w:hAnsi="Arial" w:cs="Arial"/>
          <w:sz w:val="20"/>
          <w:szCs w:val="20"/>
          <w:lang w:val="it-IT"/>
        </w:rPr>
        <w:t>e migliori prospettive di crescita</w:t>
      </w:r>
      <w:r w:rsidR="003C6763">
        <w:rPr>
          <w:rFonts w:ascii="Arial" w:hAnsi="Arial" w:cs="Arial"/>
          <w:sz w:val="20"/>
          <w:szCs w:val="20"/>
          <w:lang w:val="it-IT"/>
        </w:rPr>
        <w:t xml:space="preserve"> </w:t>
      </w:r>
      <w:r w:rsidR="00CF00FD">
        <w:rPr>
          <w:rFonts w:ascii="Arial" w:hAnsi="Arial" w:cs="Arial"/>
          <w:sz w:val="20"/>
          <w:szCs w:val="20"/>
          <w:lang w:val="it-IT"/>
        </w:rPr>
        <w:t>insieme all</w:t>
      </w:r>
      <w:r w:rsidR="00CD12A0">
        <w:rPr>
          <w:rFonts w:ascii="Arial" w:hAnsi="Arial" w:cs="Arial"/>
          <w:sz w:val="20"/>
          <w:szCs w:val="20"/>
          <w:lang w:val="it-IT"/>
        </w:rPr>
        <w:t xml:space="preserve">a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capacità </w:t>
      </w:r>
      <w:r w:rsidR="00376442">
        <w:rPr>
          <w:rFonts w:ascii="Arial" w:hAnsi="Arial" w:cs="Arial"/>
          <w:sz w:val="20"/>
          <w:szCs w:val="20"/>
          <w:lang w:val="it-IT"/>
        </w:rPr>
        <w:t xml:space="preserve">del Paese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di </w:t>
      </w:r>
      <w:r w:rsidR="006A3BEE">
        <w:rPr>
          <w:rFonts w:ascii="Arial" w:hAnsi="Arial" w:cs="Arial"/>
          <w:sz w:val="20"/>
          <w:szCs w:val="20"/>
          <w:lang w:val="it-IT"/>
        </w:rPr>
        <w:t>infondere</w:t>
      </w:r>
      <w:r w:rsidR="00CF00FD">
        <w:rPr>
          <w:rFonts w:ascii="Arial" w:hAnsi="Arial" w:cs="Arial"/>
          <w:sz w:val="20"/>
          <w:szCs w:val="20"/>
          <w:lang w:val="it-IT"/>
        </w:rPr>
        <w:t xml:space="preserve"> </w:t>
      </w:r>
      <w:r w:rsidR="00CD12A0">
        <w:rPr>
          <w:rFonts w:ascii="Arial" w:hAnsi="Arial" w:cs="Arial"/>
          <w:sz w:val="20"/>
          <w:szCs w:val="20"/>
          <w:lang w:val="it-IT"/>
        </w:rPr>
        <w:t xml:space="preserve">maggiore fiducia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agli investitori </w:t>
      </w:r>
      <w:r w:rsidR="00376442">
        <w:rPr>
          <w:rFonts w:ascii="Arial" w:hAnsi="Arial" w:cs="Arial"/>
          <w:sz w:val="20"/>
          <w:szCs w:val="20"/>
          <w:lang w:val="it-IT"/>
        </w:rPr>
        <w:t xml:space="preserve">sul futuro, </w:t>
      </w:r>
      <w:r w:rsidR="00CF00FD">
        <w:rPr>
          <w:rFonts w:ascii="Arial" w:hAnsi="Arial" w:cs="Arial"/>
          <w:sz w:val="20"/>
          <w:szCs w:val="20"/>
          <w:lang w:val="it-IT"/>
        </w:rPr>
        <w:t xml:space="preserve">si dimostrano fattori </w:t>
      </w:r>
      <w:r w:rsidR="00CD12A0">
        <w:rPr>
          <w:rFonts w:ascii="Arial" w:hAnsi="Arial" w:cs="Arial"/>
          <w:sz w:val="20"/>
          <w:szCs w:val="20"/>
          <w:lang w:val="it-IT"/>
        </w:rPr>
        <w:t>premiant</w:t>
      </w:r>
      <w:r w:rsidR="00CF00FD">
        <w:rPr>
          <w:rFonts w:ascii="Arial" w:hAnsi="Arial" w:cs="Arial"/>
          <w:sz w:val="20"/>
          <w:szCs w:val="20"/>
          <w:lang w:val="it-IT"/>
        </w:rPr>
        <w:t>i</w:t>
      </w:r>
      <w:r w:rsidR="00CD12A0">
        <w:rPr>
          <w:rFonts w:ascii="Arial" w:hAnsi="Arial" w:cs="Arial"/>
          <w:sz w:val="20"/>
          <w:szCs w:val="20"/>
          <w:lang w:val="it-IT"/>
        </w:rPr>
        <w:t xml:space="preserve"> </w:t>
      </w:r>
      <w:r w:rsidR="003C6763">
        <w:rPr>
          <w:rFonts w:ascii="Arial" w:hAnsi="Arial" w:cs="Arial"/>
          <w:sz w:val="20"/>
          <w:szCs w:val="20"/>
          <w:lang w:val="it-IT"/>
        </w:rPr>
        <w:t>per il Paese</w:t>
      </w:r>
      <w:r w:rsidR="00CD12A0">
        <w:rPr>
          <w:rFonts w:ascii="Arial" w:hAnsi="Arial" w:cs="Arial"/>
          <w:sz w:val="20"/>
          <w:szCs w:val="20"/>
          <w:lang w:val="it-IT"/>
        </w:rPr>
        <w:t xml:space="preserve">, nonostante l’incertezza politica. </w:t>
      </w:r>
    </w:p>
    <w:p w14:paraId="1CD884CC" w14:textId="77777777" w:rsidR="00CD12A0" w:rsidRPr="006708F1" w:rsidRDefault="00CD12A0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265A0E06" w14:textId="027407E1" w:rsidR="00422DE9" w:rsidRDefault="00CD12A0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A61740">
        <w:rPr>
          <w:rFonts w:ascii="Arial" w:hAnsi="Arial" w:cs="Arial"/>
          <w:sz w:val="20"/>
          <w:szCs w:val="20"/>
          <w:lang w:val="it-IT"/>
        </w:rPr>
        <w:t xml:space="preserve">A Milano </w:t>
      </w:r>
      <w:r>
        <w:rPr>
          <w:rFonts w:ascii="Arial" w:hAnsi="Arial" w:cs="Arial"/>
          <w:sz w:val="20"/>
          <w:szCs w:val="20"/>
          <w:lang w:val="it-IT"/>
        </w:rPr>
        <w:t xml:space="preserve">nell’ultimo anno (giugno 2018-giugno 2019) i volumi investiti nell’immobiliare sono stati circa </w:t>
      </w:r>
      <w:r w:rsidRPr="009156A0">
        <w:rPr>
          <w:rFonts w:ascii="Arial" w:hAnsi="Arial" w:cs="Arial"/>
          <w:sz w:val="20"/>
          <w:szCs w:val="20"/>
          <w:lang w:val="it-IT"/>
        </w:rPr>
        <w:t>3</w:t>
      </w:r>
      <w:r w:rsidR="00754099">
        <w:rPr>
          <w:rFonts w:ascii="Arial" w:hAnsi="Arial" w:cs="Arial"/>
          <w:sz w:val="20"/>
          <w:szCs w:val="20"/>
          <w:lang w:val="it-IT"/>
        </w:rPr>
        <w:t>,</w:t>
      </w:r>
      <w:r w:rsidR="00501C7E" w:rsidRPr="009156A0">
        <w:rPr>
          <w:rFonts w:ascii="Arial" w:hAnsi="Arial" w:cs="Arial"/>
          <w:sz w:val="20"/>
          <w:szCs w:val="20"/>
          <w:lang w:val="it-IT"/>
        </w:rPr>
        <w:t>2</w:t>
      </w:r>
      <w:r w:rsidRPr="009156A0">
        <w:rPr>
          <w:rFonts w:ascii="Arial" w:hAnsi="Arial" w:cs="Arial"/>
          <w:sz w:val="20"/>
          <w:szCs w:val="20"/>
          <w:lang w:val="it-IT"/>
        </w:rPr>
        <w:t xml:space="preserve"> miliardi</w:t>
      </w:r>
      <w:r w:rsidR="00F54C62">
        <w:rPr>
          <w:rFonts w:ascii="Arial" w:hAnsi="Arial" w:cs="Arial"/>
          <w:sz w:val="20"/>
          <w:szCs w:val="20"/>
          <w:lang w:val="it-IT"/>
        </w:rPr>
        <w:t xml:space="preserve"> di Euro</w:t>
      </w:r>
      <w:r w:rsidRPr="009156A0">
        <w:rPr>
          <w:rFonts w:ascii="Arial" w:hAnsi="Arial" w:cs="Arial"/>
          <w:sz w:val="20"/>
          <w:szCs w:val="20"/>
          <w:lang w:val="it-IT"/>
        </w:rPr>
        <w:t xml:space="preserve">, in </w:t>
      </w:r>
      <w:r w:rsidR="00E145B4" w:rsidRPr="009156A0">
        <w:rPr>
          <w:rFonts w:ascii="Arial" w:hAnsi="Arial" w:cs="Arial"/>
          <w:sz w:val="20"/>
          <w:szCs w:val="20"/>
          <w:lang w:val="it-IT"/>
        </w:rPr>
        <w:t>linea con lo</w:t>
      </w:r>
      <w:r w:rsidRPr="009156A0">
        <w:rPr>
          <w:rFonts w:ascii="Arial" w:hAnsi="Arial" w:cs="Arial"/>
          <w:sz w:val="20"/>
          <w:szCs w:val="20"/>
          <w:lang w:val="it-IT"/>
        </w:rPr>
        <w:t xml:space="preserve"> stesso periodo dello scorso anno. </w:t>
      </w:r>
      <w:r w:rsidR="000D75D4" w:rsidRPr="009156A0">
        <w:rPr>
          <w:rFonts w:ascii="Arial" w:hAnsi="Arial" w:cs="Arial"/>
          <w:sz w:val="20"/>
          <w:szCs w:val="20"/>
          <w:lang w:val="it-IT"/>
        </w:rPr>
        <w:t>Nella graduatoria europea, Milano si</w:t>
      </w:r>
      <w:r w:rsidR="000D75D4">
        <w:rPr>
          <w:rFonts w:ascii="Arial" w:hAnsi="Arial" w:cs="Arial"/>
          <w:sz w:val="20"/>
          <w:szCs w:val="20"/>
          <w:lang w:val="it-IT"/>
        </w:rPr>
        <w:t xml:space="preserve"> posiziona al 1</w:t>
      </w:r>
      <w:r w:rsidR="00AB205B">
        <w:rPr>
          <w:rFonts w:ascii="Arial" w:hAnsi="Arial" w:cs="Arial"/>
          <w:sz w:val="20"/>
          <w:szCs w:val="20"/>
          <w:lang w:val="it-IT"/>
        </w:rPr>
        <w:t>4</w:t>
      </w:r>
      <w:r w:rsidR="000D75D4">
        <w:rPr>
          <w:rFonts w:ascii="Arial" w:hAnsi="Arial" w:cs="Arial"/>
          <w:sz w:val="20"/>
          <w:szCs w:val="20"/>
          <w:lang w:val="it-IT"/>
        </w:rPr>
        <w:t xml:space="preserve">° posto, dopo </w:t>
      </w:r>
      <w:proofErr w:type="spellStart"/>
      <w:r w:rsidR="008D0A2F">
        <w:rPr>
          <w:rFonts w:ascii="Arial" w:hAnsi="Arial" w:cs="Arial"/>
          <w:sz w:val="20"/>
          <w:szCs w:val="20"/>
          <w:lang w:val="it-IT"/>
        </w:rPr>
        <w:t>Dusseldorf</w:t>
      </w:r>
      <w:proofErr w:type="spellEnd"/>
      <w:r w:rsidR="000D75D4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70A91B2A" w14:textId="6DD1CAB4" w:rsidR="00422DE9" w:rsidRPr="00A61740" w:rsidRDefault="00422DE9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Se consideriamo </w:t>
      </w:r>
      <w:r w:rsidR="00376442">
        <w:rPr>
          <w:rFonts w:ascii="Arial" w:hAnsi="Arial" w:cs="Arial"/>
          <w:sz w:val="20"/>
          <w:szCs w:val="20"/>
          <w:lang w:val="it-IT"/>
        </w:rPr>
        <w:t xml:space="preserve">invece </w:t>
      </w:r>
      <w:r>
        <w:rPr>
          <w:rFonts w:ascii="Arial" w:hAnsi="Arial" w:cs="Arial"/>
          <w:sz w:val="20"/>
          <w:szCs w:val="20"/>
          <w:lang w:val="it-IT"/>
        </w:rPr>
        <w:t>i primi nove mesi del 2019, il volume si attesta su 2,1 miliardi</w:t>
      </w:r>
      <w:r w:rsidR="00F54C62">
        <w:rPr>
          <w:rFonts w:ascii="Arial" w:hAnsi="Arial" w:cs="Arial"/>
          <w:sz w:val="20"/>
          <w:szCs w:val="20"/>
          <w:lang w:val="it-IT"/>
        </w:rPr>
        <w:t xml:space="preserve"> di Euro</w:t>
      </w:r>
      <w:r>
        <w:rPr>
          <w:rFonts w:ascii="Arial" w:hAnsi="Arial" w:cs="Arial"/>
          <w:sz w:val="20"/>
          <w:szCs w:val="20"/>
          <w:lang w:val="it-IT"/>
        </w:rPr>
        <w:t>, un terzo del volume investito in Italia nello stesso periodo</w:t>
      </w:r>
      <w:r w:rsidR="00A21998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un incremento </w:t>
      </w:r>
      <w:r w:rsidR="002F6C14">
        <w:rPr>
          <w:rFonts w:ascii="Arial" w:hAnsi="Arial" w:cs="Arial"/>
          <w:sz w:val="20"/>
          <w:szCs w:val="20"/>
          <w:lang w:val="it-IT"/>
        </w:rPr>
        <w:t xml:space="preserve">del </w:t>
      </w:r>
      <w:r w:rsidR="002F6C14" w:rsidRPr="009156A0">
        <w:rPr>
          <w:rFonts w:ascii="Arial" w:hAnsi="Arial" w:cs="Arial"/>
          <w:sz w:val="20"/>
          <w:szCs w:val="20"/>
          <w:lang w:val="it-IT"/>
        </w:rPr>
        <w:t>28</w:t>
      </w:r>
      <w:r w:rsidRPr="009156A0">
        <w:rPr>
          <w:rFonts w:ascii="Arial" w:hAnsi="Arial" w:cs="Arial"/>
          <w:sz w:val="20"/>
          <w:szCs w:val="20"/>
          <w:lang w:val="it-IT"/>
        </w:rPr>
        <w:t>% rispetto al 2018</w:t>
      </w:r>
      <w:r>
        <w:rPr>
          <w:rFonts w:ascii="Arial" w:hAnsi="Arial" w:cs="Arial"/>
          <w:sz w:val="20"/>
          <w:szCs w:val="20"/>
          <w:lang w:val="it-IT"/>
        </w:rPr>
        <w:t xml:space="preserve"> e </w:t>
      </w:r>
      <w:r w:rsidR="002F6C14">
        <w:rPr>
          <w:rFonts w:ascii="Arial" w:hAnsi="Arial" w:cs="Arial"/>
          <w:sz w:val="20"/>
          <w:szCs w:val="20"/>
          <w:lang w:val="it-IT"/>
        </w:rPr>
        <w:t>in linea con il volume dei primi nove mesi del</w:t>
      </w:r>
      <w:r>
        <w:rPr>
          <w:rFonts w:ascii="Arial" w:hAnsi="Arial" w:cs="Arial"/>
          <w:sz w:val="20"/>
          <w:szCs w:val="20"/>
          <w:lang w:val="it-IT"/>
        </w:rPr>
        <w:t xml:space="preserve"> 2017</w:t>
      </w:r>
      <w:r w:rsidR="002F6C14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anno record per il mercato immobiliare italiano. </w:t>
      </w:r>
    </w:p>
    <w:p w14:paraId="3CD34269" w14:textId="77777777" w:rsidR="00422DE9" w:rsidRDefault="00422DE9" w:rsidP="00422DE9">
      <w:pPr>
        <w:spacing w:after="0"/>
        <w:rPr>
          <w:rFonts w:ascii="Arial" w:eastAsia="Times New Roman" w:hAnsi="Arial" w:cs="Arial"/>
          <w:b/>
          <w:sz w:val="20"/>
          <w:szCs w:val="20"/>
          <w:lang w:val="it-IT"/>
        </w:rPr>
      </w:pPr>
    </w:p>
    <w:p w14:paraId="30EF1E46" w14:textId="49533F0D" w:rsidR="00422DE9" w:rsidRPr="003637F7" w:rsidRDefault="00422DE9" w:rsidP="000B790F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B77E2D">
        <w:rPr>
          <w:rFonts w:ascii="Arial" w:eastAsia="Times New Roman" w:hAnsi="Arial" w:cs="Arial"/>
          <w:b/>
          <w:sz w:val="20"/>
          <w:szCs w:val="20"/>
          <w:lang w:val="it-IT"/>
        </w:rPr>
        <w:lastRenderedPageBreak/>
        <w:t xml:space="preserve">Carlo Vanini, Head of Capital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M</w:t>
      </w:r>
      <w:r w:rsidRPr="00B77E2D">
        <w:rPr>
          <w:rFonts w:ascii="Arial" w:eastAsia="Times New Roman" w:hAnsi="Arial" w:cs="Arial"/>
          <w:b/>
          <w:sz w:val="20"/>
          <w:szCs w:val="20"/>
          <w:lang w:val="it-IT"/>
        </w:rPr>
        <w:t xml:space="preserve">arkets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per</w:t>
      </w:r>
      <w:r w:rsidRPr="00B77E2D">
        <w:rPr>
          <w:rFonts w:ascii="Arial" w:eastAsia="Times New Roman" w:hAnsi="Arial" w:cs="Arial"/>
          <w:b/>
          <w:sz w:val="20"/>
          <w:szCs w:val="20"/>
          <w:lang w:val="it-IT"/>
        </w:rPr>
        <w:t xml:space="preserve"> Cushman &amp; Wakefield in Italia, afferma:</w:t>
      </w:r>
      <w:r w:rsidRPr="00B77E2D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77E2D">
        <w:rPr>
          <w:rFonts w:ascii="Arial" w:eastAsia="Times New Roman" w:hAnsi="Arial" w:cs="Arial"/>
          <w:i/>
          <w:sz w:val="20"/>
          <w:szCs w:val="20"/>
          <w:lang w:val="it-IT"/>
        </w:rPr>
        <w:t>“Milano continua a crescere e a con</w:t>
      </w:r>
      <w:r>
        <w:rPr>
          <w:rFonts w:ascii="Arial" w:eastAsia="Times New Roman" w:hAnsi="Arial" w:cs="Arial"/>
          <w:i/>
          <w:sz w:val="20"/>
          <w:szCs w:val="20"/>
          <w:lang w:val="it-IT"/>
        </w:rPr>
        <w:t xml:space="preserve">solidarsi come “gateway city” e come mercato dalle dinamiche europee, attraendo tutti i tipi di capitali: core/core plus,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it-IT"/>
        </w:rPr>
        <w:t>value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it-IT"/>
        </w:rPr>
        <w:t>add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it-IT"/>
        </w:rPr>
        <w:t xml:space="preserve"> e opportunistici. I volumi sono in crescita in tutti </w:t>
      </w:r>
      <w:r w:rsidRPr="003637F7">
        <w:rPr>
          <w:rFonts w:ascii="Arial" w:eastAsia="Times New Roman" w:hAnsi="Arial" w:cs="Arial"/>
          <w:i/>
          <w:sz w:val="20"/>
          <w:szCs w:val="20"/>
          <w:lang w:val="it-IT"/>
        </w:rPr>
        <w:t>i settori</w:t>
      </w:r>
      <w:r w:rsidR="00376442">
        <w:rPr>
          <w:rFonts w:ascii="Arial" w:eastAsia="Times New Roman" w:hAnsi="Arial" w:cs="Arial"/>
          <w:i/>
          <w:sz w:val="20"/>
          <w:szCs w:val="20"/>
          <w:lang w:val="it-IT"/>
        </w:rPr>
        <w:t>, pur se gli uffici continuano a dominare,</w:t>
      </w:r>
      <w:r w:rsidRPr="003637F7">
        <w:rPr>
          <w:rFonts w:ascii="Arial" w:eastAsia="Times New Roman" w:hAnsi="Arial" w:cs="Arial"/>
          <w:i/>
          <w:sz w:val="20"/>
          <w:szCs w:val="20"/>
          <w:lang w:val="it-IT"/>
        </w:rPr>
        <w:t xml:space="preserve"> a dimostrazione che </w:t>
      </w:r>
      <w:r>
        <w:rPr>
          <w:rFonts w:ascii="Arial" w:eastAsia="Times New Roman" w:hAnsi="Arial" w:cs="Arial"/>
          <w:i/>
          <w:sz w:val="20"/>
          <w:szCs w:val="20"/>
          <w:lang w:val="it-IT"/>
        </w:rPr>
        <w:t>l</w:t>
      </w:r>
      <w:r w:rsidRPr="003637F7">
        <w:rPr>
          <w:rFonts w:ascii="Arial" w:eastAsia="Times New Roman" w:hAnsi="Arial" w:cs="Arial"/>
          <w:i/>
          <w:sz w:val="20"/>
          <w:szCs w:val="20"/>
          <w:lang w:val="it-IT"/>
        </w:rPr>
        <w:t>a città è in grado di offrire</w:t>
      </w:r>
      <w:r>
        <w:rPr>
          <w:rFonts w:ascii="Arial" w:eastAsia="Times New Roman" w:hAnsi="Arial" w:cs="Arial"/>
          <w:i/>
          <w:sz w:val="20"/>
          <w:szCs w:val="20"/>
          <w:lang w:val="it-IT"/>
        </w:rPr>
        <w:t xml:space="preserve"> opportunità con profili rischio/rendimento molto interessanti nel contesto del mercato continentale. </w:t>
      </w:r>
      <w:bookmarkStart w:id="0" w:name="_Hlk21418956"/>
      <w:r>
        <w:rPr>
          <w:rFonts w:ascii="Arial" w:eastAsia="Times New Roman" w:hAnsi="Arial" w:cs="Arial"/>
          <w:i/>
          <w:sz w:val="20"/>
          <w:szCs w:val="20"/>
          <w:lang w:val="it-IT"/>
        </w:rPr>
        <w:t>O</w:t>
      </w:r>
      <w:r w:rsidRPr="003637F7">
        <w:rPr>
          <w:rFonts w:ascii="Arial" w:hAnsi="Arial" w:cs="Arial"/>
          <w:i/>
          <w:sz w:val="20"/>
          <w:szCs w:val="20"/>
          <w:lang w:val="it-IT"/>
        </w:rPr>
        <w:t>ggi</w:t>
      </w:r>
      <w:r>
        <w:rPr>
          <w:rFonts w:ascii="Arial" w:hAnsi="Arial" w:cs="Arial"/>
          <w:i/>
          <w:sz w:val="20"/>
          <w:szCs w:val="20"/>
          <w:lang w:val="it-IT"/>
        </w:rPr>
        <w:t xml:space="preserve"> stimiamo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in pipeline </w:t>
      </w:r>
      <w:r>
        <w:rPr>
          <w:rFonts w:ascii="Arial" w:hAnsi="Arial" w:cs="Arial"/>
          <w:i/>
          <w:sz w:val="20"/>
          <w:szCs w:val="20"/>
          <w:lang w:val="it-IT"/>
        </w:rPr>
        <w:t xml:space="preserve">operazioni per </w:t>
      </w:r>
      <w:r w:rsidRPr="003637F7">
        <w:rPr>
          <w:rFonts w:ascii="Arial" w:hAnsi="Arial" w:cs="Arial"/>
          <w:i/>
          <w:sz w:val="20"/>
          <w:szCs w:val="20"/>
          <w:lang w:val="it-IT"/>
        </w:rPr>
        <w:t>un v</w:t>
      </w:r>
      <w:r>
        <w:rPr>
          <w:rFonts w:ascii="Arial" w:hAnsi="Arial" w:cs="Arial"/>
          <w:i/>
          <w:sz w:val="20"/>
          <w:szCs w:val="20"/>
          <w:lang w:val="it-IT"/>
        </w:rPr>
        <w:t>alore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5F5FA8">
        <w:rPr>
          <w:rFonts w:ascii="Arial" w:hAnsi="Arial" w:cs="Arial"/>
          <w:i/>
          <w:sz w:val="20"/>
          <w:szCs w:val="20"/>
          <w:lang w:val="it-IT"/>
        </w:rPr>
        <w:t>di almeno un miliardo</w:t>
      </w:r>
      <w:r w:rsidR="00E840C4">
        <w:rPr>
          <w:rFonts w:ascii="Arial" w:hAnsi="Arial" w:cs="Arial"/>
          <w:i/>
          <w:sz w:val="20"/>
          <w:szCs w:val="20"/>
          <w:lang w:val="it-IT"/>
        </w:rPr>
        <w:t xml:space="preserve"> e mezzo</w:t>
      </w:r>
      <w:r w:rsidR="005F5FA8">
        <w:rPr>
          <w:rFonts w:ascii="Arial" w:hAnsi="Arial" w:cs="Arial"/>
          <w:i/>
          <w:sz w:val="20"/>
          <w:szCs w:val="20"/>
          <w:lang w:val="it-IT"/>
        </w:rPr>
        <w:t xml:space="preserve"> di Euro, </w:t>
      </w:r>
      <w:r>
        <w:rPr>
          <w:rFonts w:ascii="Arial" w:hAnsi="Arial" w:cs="Arial"/>
          <w:i/>
          <w:sz w:val="20"/>
          <w:szCs w:val="20"/>
          <w:lang w:val="it-IT"/>
        </w:rPr>
        <w:t>che potrebbe portare il volume investito nella città nel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2019 </w:t>
      </w:r>
      <w:r>
        <w:rPr>
          <w:rFonts w:ascii="Arial" w:hAnsi="Arial" w:cs="Arial"/>
          <w:i/>
          <w:sz w:val="20"/>
          <w:szCs w:val="20"/>
          <w:lang w:val="it-IT"/>
        </w:rPr>
        <w:t>a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uno dei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miglior</w:t>
      </w:r>
      <w:r>
        <w:rPr>
          <w:rFonts w:ascii="Arial" w:hAnsi="Arial" w:cs="Arial"/>
          <w:i/>
          <w:sz w:val="20"/>
          <w:szCs w:val="20"/>
          <w:lang w:val="it-IT"/>
        </w:rPr>
        <w:t>i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E840C4">
        <w:rPr>
          <w:rFonts w:ascii="Arial" w:hAnsi="Arial" w:cs="Arial"/>
          <w:i/>
          <w:sz w:val="20"/>
          <w:szCs w:val="20"/>
          <w:lang w:val="it-IT"/>
        </w:rPr>
        <w:t xml:space="preserve">livelli </w:t>
      </w:r>
      <w:r w:rsidRPr="003637F7">
        <w:rPr>
          <w:rFonts w:ascii="Arial" w:hAnsi="Arial" w:cs="Arial"/>
          <w:i/>
          <w:sz w:val="20"/>
          <w:szCs w:val="20"/>
          <w:lang w:val="it-IT"/>
        </w:rPr>
        <w:t>di sempre.</w:t>
      </w:r>
      <w:r>
        <w:rPr>
          <w:rFonts w:ascii="Arial" w:hAnsi="Arial" w:cs="Arial"/>
          <w:i/>
          <w:sz w:val="20"/>
          <w:szCs w:val="20"/>
          <w:lang w:val="it-IT"/>
        </w:rPr>
        <w:t>”</w:t>
      </w:r>
      <w:r w:rsidRPr="003637F7">
        <w:rPr>
          <w:rFonts w:ascii="Arial" w:hAnsi="Arial" w:cs="Arial"/>
          <w:i/>
          <w:sz w:val="20"/>
          <w:szCs w:val="20"/>
          <w:lang w:val="it-IT"/>
        </w:rPr>
        <w:t xml:space="preserve"> </w:t>
      </w:r>
    </w:p>
    <w:bookmarkEnd w:id="0"/>
    <w:p w14:paraId="65D42FE4" w14:textId="77777777" w:rsidR="00CD12A0" w:rsidRPr="00A61740" w:rsidRDefault="00CD12A0" w:rsidP="000B790F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7C600CCF" w14:textId="090B1C83" w:rsidR="00CA6723" w:rsidRPr="00A47A48" w:rsidRDefault="00577735" w:rsidP="006708F1">
      <w:pPr>
        <w:spacing w:after="0" w:line="240" w:lineRule="auto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 xml:space="preserve">Top 15 mercati Europei per volumi </w:t>
      </w:r>
      <w:r w:rsidR="008E71F5">
        <w:rPr>
          <w:rFonts w:ascii="Arial" w:hAnsi="Arial" w:cs="Arial"/>
          <w:i/>
          <w:sz w:val="20"/>
          <w:lang w:val="it-IT"/>
        </w:rPr>
        <w:t xml:space="preserve">annuali </w:t>
      </w:r>
      <w:r w:rsidR="00CA6723" w:rsidRPr="00A47A48">
        <w:rPr>
          <w:rFonts w:ascii="Arial" w:hAnsi="Arial" w:cs="Arial"/>
          <w:i/>
          <w:sz w:val="20"/>
          <w:lang w:val="it-IT"/>
        </w:rPr>
        <w:t>investiti nell’immobiliare</w:t>
      </w:r>
      <w:r w:rsidR="00CA6723">
        <w:rPr>
          <w:rFonts w:ascii="Arial" w:hAnsi="Arial" w:cs="Arial"/>
          <w:i/>
          <w:sz w:val="20"/>
          <w:lang w:val="it-IT"/>
        </w:rPr>
        <w:t xml:space="preserve"> (tutti i settori</w:t>
      </w:r>
      <w:r>
        <w:rPr>
          <w:rFonts w:ascii="Arial" w:hAnsi="Arial" w:cs="Arial"/>
          <w:i/>
          <w:sz w:val="20"/>
          <w:lang w:val="it-IT"/>
        </w:rPr>
        <w:t xml:space="preserve">-esclusi gli sviluppi), </w:t>
      </w:r>
      <w:r w:rsidR="00333FFD">
        <w:rPr>
          <w:rFonts w:ascii="Arial" w:hAnsi="Arial" w:cs="Arial"/>
          <w:i/>
          <w:sz w:val="20"/>
          <w:lang w:val="it-IT"/>
        </w:rPr>
        <w:t>g</w:t>
      </w:r>
      <w:r>
        <w:rPr>
          <w:rFonts w:ascii="Arial" w:hAnsi="Arial" w:cs="Arial"/>
          <w:i/>
          <w:sz w:val="20"/>
          <w:lang w:val="it-IT"/>
        </w:rPr>
        <w:t>iugno 2018-</w:t>
      </w:r>
      <w:r w:rsidR="00333FFD">
        <w:rPr>
          <w:rFonts w:ascii="Arial" w:hAnsi="Arial" w:cs="Arial"/>
          <w:i/>
          <w:sz w:val="20"/>
          <w:lang w:val="it-IT"/>
        </w:rPr>
        <w:t>g</w:t>
      </w:r>
      <w:r>
        <w:rPr>
          <w:rFonts w:ascii="Arial" w:hAnsi="Arial" w:cs="Arial"/>
          <w:i/>
          <w:sz w:val="20"/>
          <w:lang w:val="it-IT"/>
        </w:rPr>
        <w:t>iugno 2019</w:t>
      </w:r>
    </w:p>
    <w:p w14:paraId="02CBA6A9" w14:textId="7A3FB90A" w:rsidR="00CA6723" w:rsidRDefault="00564166" w:rsidP="00027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4EA60D3D" wp14:editId="60E2DCDB">
            <wp:extent cx="4584700" cy="2755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422B7" w14:textId="098668F3" w:rsidR="00577735" w:rsidRPr="00715BE9" w:rsidRDefault="00ED3115" w:rsidP="00577735">
      <w:pPr>
        <w:spacing w:after="0" w:line="360" w:lineRule="auto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Font</w:t>
      </w:r>
      <w:r w:rsidR="00577735" w:rsidRPr="00715BE9">
        <w:rPr>
          <w:rFonts w:ascii="Arial" w:hAnsi="Arial" w:cs="Arial"/>
          <w:i/>
          <w:sz w:val="20"/>
          <w:lang w:val="it-IT"/>
        </w:rPr>
        <w:t>e: Cushman &amp; Wakefield, RCA</w:t>
      </w:r>
    </w:p>
    <w:p w14:paraId="642E67FA" w14:textId="77777777" w:rsidR="00B77E2D" w:rsidRDefault="00B77E2D" w:rsidP="0002726B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14:paraId="185D9BF7" w14:textId="15EB1C65" w:rsidR="00422DE9" w:rsidRPr="0030452E" w:rsidRDefault="00B77E2D" w:rsidP="000B790F">
      <w:pPr>
        <w:spacing w:after="0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F7B44">
        <w:rPr>
          <w:rFonts w:ascii="Arial" w:eastAsia="Times New Roman" w:hAnsi="Arial" w:cs="Arial"/>
          <w:sz w:val="20"/>
          <w:szCs w:val="20"/>
          <w:lang w:val="it-IT"/>
        </w:rPr>
        <w:t>Gli investitori internazionali,</w:t>
      </w:r>
      <w:r w:rsidR="00DE2A6C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465A40" w:rsidRPr="008F7B44">
        <w:rPr>
          <w:rFonts w:ascii="Arial" w:eastAsia="Times New Roman" w:hAnsi="Arial" w:cs="Arial"/>
          <w:sz w:val="20"/>
          <w:szCs w:val="20"/>
          <w:lang w:val="it-IT"/>
        </w:rPr>
        <w:t xml:space="preserve">sia quelli con una presenza ormai consolidata che quelli </w:t>
      </w:r>
      <w:r w:rsidR="0004409C" w:rsidRPr="008F7B44">
        <w:rPr>
          <w:rFonts w:ascii="Arial" w:eastAsia="Times New Roman" w:hAnsi="Arial" w:cs="Arial"/>
          <w:sz w:val="20"/>
          <w:szCs w:val="20"/>
          <w:lang w:val="it-IT"/>
        </w:rPr>
        <w:t>che solo recentemente hanno iniziato ad analizzare il mercato</w:t>
      </w:r>
      <w:r w:rsidR="00A21998">
        <w:rPr>
          <w:rFonts w:ascii="Arial" w:eastAsia="Times New Roman" w:hAnsi="Arial" w:cs="Arial"/>
          <w:sz w:val="20"/>
          <w:szCs w:val="20"/>
          <w:lang w:val="it-IT"/>
        </w:rPr>
        <w:t xml:space="preserve"> milanese</w:t>
      </w:r>
      <w:r w:rsidRPr="008F7B44">
        <w:rPr>
          <w:rFonts w:ascii="Arial" w:eastAsia="Times New Roman" w:hAnsi="Arial" w:cs="Arial"/>
          <w:sz w:val="20"/>
          <w:szCs w:val="20"/>
          <w:lang w:val="it-IT"/>
        </w:rPr>
        <w:t xml:space="preserve">, </w:t>
      </w:r>
      <w:r w:rsidR="00DF39F4" w:rsidRPr="008F7B44">
        <w:rPr>
          <w:rFonts w:ascii="Arial" w:eastAsia="Times New Roman" w:hAnsi="Arial" w:cs="Arial"/>
          <w:sz w:val="20"/>
          <w:szCs w:val="20"/>
          <w:lang w:val="it-IT"/>
        </w:rPr>
        <w:t>stanno</w:t>
      </w:r>
      <w:r w:rsidRPr="008F7B44">
        <w:rPr>
          <w:rFonts w:ascii="Arial" w:eastAsia="Times New Roman" w:hAnsi="Arial" w:cs="Arial"/>
          <w:sz w:val="20"/>
          <w:szCs w:val="20"/>
          <w:lang w:val="it-IT"/>
        </w:rPr>
        <w:t xml:space="preserve"> conferma</w:t>
      </w:r>
      <w:r w:rsidR="00DF39F4" w:rsidRPr="008F7B44">
        <w:rPr>
          <w:rFonts w:ascii="Arial" w:eastAsia="Times New Roman" w:hAnsi="Arial" w:cs="Arial"/>
          <w:sz w:val="20"/>
          <w:szCs w:val="20"/>
          <w:lang w:val="it-IT"/>
        </w:rPr>
        <w:t>ndo</w:t>
      </w:r>
      <w:r w:rsidRPr="008F7B44">
        <w:rPr>
          <w:rFonts w:ascii="Arial" w:eastAsia="Times New Roman" w:hAnsi="Arial" w:cs="Arial"/>
          <w:sz w:val="20"/>
          <w:szCs w:val="20"/>
          <w:lang w:val="it-IT"/>
        </w:rPr>
        <w:t xml:space="preserve"> la loro fiducia </w:t>
      </w:r>
      <w:r w:rsidR="00F05647" w:rsidRPr="00E145B4">
        <w:rPr>
          <w:rFonts w:ascii="Arial" w:eastAsia="Times New Roman" w:hAnsi="Arial" w:cs="Arial"/>
          <w:sz w:val="20"/>
          <w:szCs w:val="20"/>
          <w:lang w:val="it-IT"/>
        </w:rPr>
        <w:t>con</w:t>
      </w:r>
      <w:r w:rsidR="00465A40" w:rsidRPr="00E145B4">
        <w:rPr>
          <w:rFonts w:ascii="Arial" w:eastAsia="Times New Roman" w:hAnsi="Arial" w:cs="Arial"/>
          <w:sz w:val="20"/>
          <w:szCs w:val="20"/>
          <w:lang w:val="it-IT"/>
        </w:rPr>
        <w:t xml:space="preserve"> l’80% del volume delle transazioni generato da capitale </w:t>
      </w:r>
      <w:r w:rsidR="0004409C" w:rsidRPr="008F7B44">
        <w:rPr>
          <w:rFonts w:ascii="Arial" w:eastAsia="Times New Roman" w:hAnsi="Arial" w:cs="Arial"/>
          <w:sz w:val="20"/>
          <w:szCs w:val="20"/>
          <w:lang w:val="it-IT"/>
        </w:rPr>
        <w:t>“</w:t>
      </w:r>
      <w:r w:rsidR="0004409C" w:rsidRPr="008F7B4B">
        <w:rPr>
          <w:rFonts w:ascii="Arial" w:eastAsia="Times New Roman" w:hAnsi="Arial" w:cs="Arial"/>
          <w:i/>
          <w:sz w:val="20"/>
          <w:szCs w:val="20"/>
          <w:lang w:val="it-IT"/>
        </w:rPr>
        <w:t xml:space="preserve">cross </w:t>
      </w:r>
      <w:proofErr w:type="spellStart"/>
      <w:r w:rsidR="0004409C" w:rsidRPr="008F7B4B">
        <w:rPr>
          <w:rFonts w:ascii="Arial" w:eastAsia="Times New Roman" w:hAnsi="Arial" w:cs="Arial"/>
          <w:i/>
          <w:sz w:val="20"/>
          <w:szCs w:val="20"/>
          <w:lang w:val="it-IT"/>
        </w:rPr>
        <w:t>border</w:t>
      </w:r>
      <w:proofErr w:type="spellEnd"/>
      <w:r w:rsidR="0004409C" w:rsidRPr="008F7B44">
        <w:rPr>
          <w:rFonts w:ascii="Arial" w:eastAsia="Times New Roman" w:hAnsi="Arial" w:cs="Arial"/>
          <w:sz w:val="20"/>
          <w:szCs w:val="20"/>
          <w:lang w:val="it-IT"/>
        </w:rPr>
        <w:t>”</w:t>
      </w:r>
      <w:r w:rsidR="00F05647">
        <w:rPr>
          <w:rFonts w:ascii="Arial" w:eastAsia="Times New Roman" w:hAnsi="Arial" w:cs="Arial"/>
          <w:sz w:val="20"/>
          <w:szCs w:val="20"/>
          <w:lang w:val="it-IT"/>
        </w:rPr>
        <w:t xml:space="preserve">, </w:t>
      </w:r>
      <w:r w:rsidR="00465A40" w:rsidRPr="008F7B44">
        <w:rPr>
          <w:rFonts w:ascii="Arial" w:eastAsia="Times New Roman" w:hAnsi="Arial" w:cs="Arial"/>
          <w:sz w:val="20"/>
          <w:szCs w:val="20"/>
          <w:lang w:val="it-IT"/>
        </w:rPr>
        <w:t>in particolare da investitori Europei e Statunitensi</w:t>
      </w:r>
      <w:r w:rsidR="00422DE9" w:rsidRPr="00745510">
        <w:rPr>
          <w:rFonts w:ascii="Arial" w:eastAsia="Times New Roman" w:hAnsi="Arial" w:cs="Arial"/>
          <w:sz w:val="20"/>
          <w:szCs w:val="20"/>
          <w:lang w:val="it-IT"/>
        </w:rPr>
        <w:t>.</w:t>
      </w:r>
    </w:p>
    <w:p w14:paraId="5A35242D" w14:textId="77777777" w:rsidR="00422DE9" w:rsidRDefault="00422DE9" w:rsidP="000B790F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val="it-IT"/>
        </w:rPr>
      </w:pPr>
    </w:p>
    <w:p w14:paraId="3B716FB4" w14:textId="39426423" w:rsidR="00422DE9" w:rsidRPr="008F7B44" w:rsidRDefault="00422DE9" w:rsidP="000B790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8F7B44">
        <w:rPr>
          <w:rFonts w:ascii="Arial" w:eastAsia="Times New Roman" w:hAnsi="Arial" w:cs="Arial"/>
          <w:b/>
          <w:sz w:val="20"/>
          <w:szCs w:val="20"/>
          <w:lang w:val="it-IT"/>
        </w:rPr>
        <w:t>Joachim Sandberg</w:t>
      </w:r>
      <w:r w:rsidRPr="00CE7F40">
        <w:rPr>
          <w:rFonts w:ascii="Arial" w:eastAsia="Times New Roman" w:hAnsi="Arial" w:cs="Arial"/>
          <w:b/>
          <w:sz w:val="20"/>
          <w:szCs w:val="20"/>
          <w:lang w:val="it-IT"/>
        </w:rPr>
        <w:t>, Head of Cushman &amp; Wakefield in Italia</w:t>
      </w:r>
      <w:r w:rsidRPr="008F7B44">
        <w:rPr>
          <w:rFonts w:ascii="Arial" w:eastAsia="Times New Roman" w:hAnsi="Arial" w:cs="Arial"/>
          <w:b/>
          <w:sz w:val="20"/>
          <w:szCs w:val="20"/>
          <w:lang w:val="it-IT"/>
        </w:rPr>
        <w:t>, Spagna e Portogallo</w:t>
      </w:r>
      <w:r w:rsidRPr="00CE7F40">
        <w:rPr>
          <w:rFonts w:ascii="Arial" w:eastAsia="Times New Roman" w:hAnsi="Arial" w:cs="Arial"/>
          <w:b/>
          <w:sz w:val="20"/>
          <w:szCs w:val="20"/>
          <w:lang w:val="it-IT"/>
        </w:rPr>
        <w:t>, afferma</w:t>
      </w:r>
      <w:r w:rsidRPr="008F7B44">
        <w:rPr>
          <w:rFonts w:ascii="Arial" w:eastAsia="Times New Roman" w:hAnsi="Arial" w:cs="Arial"/>
          <w:b/>
          <w:sz w:val="20"/>
          <w:szCs w:val="20"/>
          <w:lang w:val="it-IT"/>
        </w:rPr>
        <w:t>:</w:t>
      </w:r>
    </w:p>
    <w:p w14:paraId="47CBAC1A" w14:textId="20FB9BCD" w:rsidR="00CD12A0" w:rsidRPr="008F7B44" w:rsidRDefault="00422DE9" w:rsidP="000B790F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val="it-IT"/>
        </w:rPr>
      </w:pPr>
      <w:bookmarkStart w:id="1" w:name="_Hlk21421096"/>
      <w:r>
        <w:rPr>
          <w:rFonts w:ascii="Arial" w:eastAsia="Times New Roman" w:hAnsi="Arial" w:cs="Arial"/>
          <w:sz w:val="20"/>
          <w:szCs w:val="20"/>
          <w:lang w:val="it-IT"/>
        </w:rPr>
        <w:t>“</w:t>
      </w:r>
      <w:r w:rsidR="00F05647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Il proseguimento delle politiche monetarie espansive, con tassi d’interesse </w:t>
      </w:r>
      <w:r w:rsidR="006A3BEE">
        <w:rPr>
          <w:rFonts w:ascii="Arial" w:eastAsia="Times New Roman" w:hAnsi="Arial" w:cs="Arial"/>
          <w:i/>
          <w:sz w:val="20"/>
          <w:szCs w:val="20"/>
          <w:lang w:val="it-IT"/>
        </w:rPr>
        <w:t xml:space="preserve">attesi </w:t>
      </w:r>
      <w:r w:rsidR="00F05647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bassi anche nel 2020, continua a beneficiare </w:t>
      </w:r>
      <w:r w:rsidR="009B31B7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anche </w:t>
      </w:r>
      <w:r w:rsidR="00F05647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il mercato Italiano, dove solo nel </w:t>
      </w:r>
      <w:r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terzo </w:t>
      </w:r>
      <w:r w:rsidR="00F758BB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trimestre dell’anno </w:t>
      </w:r>
      <w:r w:rsidR="00F05647" w:rsidRPr="008F7B44">
        <w:rPr>
          <w:rFonts w:ascii="Arial" w:eastAsia="Times New Roman" w:hAnsi="Arial" w:cs="Arial"/>
          <w:i/>
          <w:sz w:val="20"/>
          <w:szCs w:val="20"/>
          <w:lang w:val="it-IT"/>
        </w:rPr>
        <w:t>sono stati investiti oltre</w:t>
      </w:r>
      <w:r w:rsidR="0004409C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="00F54C62">
        <w:rPr>
          <w:rFonts w:ascii="Arial" w:eastAsia="Times New Roman" w:hAnsi="Arial" w:cs="Arial"/>
          <w:i/>
          <w:sz w:val="20"/>
          <w:szCs w:val="20"/>
          <w:lang w:val="it-IT"/>
        </w:rPr>
        <w:t xml:space="preserve">2 </w:t>
      </w:r>
      <w:r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miliardi </w:t>
      </w:r>
      <w:r w:rsidR="0093411E"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di </w:t>
      </w:r>
      <w:r w:rsidR="009B31B7" w:rsidRPr="008F7B44">
        <w:rPr>
          <w:rFonts w:ascii="Arial" w:eastAsia="Times New Roman" w:hAnsi="Arial" w:cs="Arial"/>
          <w:i/>
          <w:sz w:val="20"/>
          <w:szCs w:val="20"/>
          <w:lang w:val="it-IT"/>
        </w:rPr>
        <w:t>Euro</w:t>
      </w:r>
      <w:r w:rsidR="00D2027F">
        <w:rPr>
          <w:rFonts w:ascii="Arial" w:eastAsia="Times New Roman" w:hAnsi="Arial" w:cs="Arial"/>
          <w:i/>
          <w:sz w:val="20"/>
          <w:szCs w:val="20"/>
          <w:lang w:val="it-IT"/>
        </w:rPr>
        <w:t xml:space="preserve">. </w:t>
      </w:r>
      <w:r w:rsidR="000B790F" w:rsidRPr="000B790F">
        <w:rPr>
          <w:rFonts w:ascii="Arial" w:eastAsia="Times New Roman" w:hAnsi="Arial" w:cs="Arial"/>
          <w:i/>
          <w:sz w:val="20"/>
          <w:szCs w:val="20"/>
          <w:lang w:val="it-IT"/>
        </w:rPr>
        <w:t>Ci aspettiamo un anno con volumi in linea o superiori a quelli del 2017. Però c’è ancora tanto da fare per migliorare la nostra posizione in Europa e tornare a crescere come economia sarà necessario per rafforzare la fiducia e ampliare la dimensione del mercato Italia. Non dimentichiamo che solo Madrid e Barcellona in un anno (giugno 2018-giugno 2019) hanno attratto circa 12 miliardi</w:t>
      </w:r>
      <w:r w:rsidR="00F0176C">
        <w:rPr>
          <w:rFonts w:ascii="Arial" w:eastAsia="Times New Roman" w:hAnsi="Arial" w:cs="Arial"/>
          <w:i/>
          <w:sz w:val="20"/>
          <w:szCs w:val="20"/>
          <w:lang w:val="it-IT"/>
        </w:rPr>
        <w:t xml:space="preserve"> di Euro</w:t>
      </w:r>
      <w:r w:rsidR="000B790F" w:rsidRPr="000B790F">
        <w:rPr>
          <w:rFonts w:ascii="Arial" w:eastAsia="Times New Roman" w:hAnsi="Arial" w:cs="Arial"/>
          <w:i/>
          <w:sz w:val="20"/>
          <w:szCs w:val="20"/>
          <w:lang w:val="it-IT"/>
        </w:rPr>
        <w:t xml:space="preserve"> di investimenti immobiliari, sviluppi esclusi</w:t>
      </w:r>
      <w:r w:rsidR="008F7B4B">
        <w:rPr>
          <w:rFonts w:ascii="Arial" w:eastAsia="Times New Roman" w:hAnsi="Arial" w:cs="Arial"/>
          <w:i/>
          <w:sz w:val="20"/>
          <w:szCs w:val="20"/>
          <w:lang w:val="it-IT"/>
        </w:rPr>
        <w:t>.</w:t>
      </w:r>
      <w:bookmarkStart w:id="2" w:name="_GoBack"/>
      <w:bookmarkEnd w:id="2"/>
      <w:r w:rsidR="000B790F" w:rsidRPr="000B790F">
        <w:rPr>
          <w:rFonts w:ascii="Arial" w:eastAsia="Times New Roman" w:hAnsi="Arial" w:cs="Arial"/>
          <w:i/>
          <w:sz w:val="20"/>
          <w:szCs w:val="20"/>
          <w:lang w:val="it-IT"/>
        </w:rPr>
        <w:t xml:space="preserve"> Milano e Roma</w:t>
      </w:r>
      <w:r w:rsidR="00001AB8">
        <w:rPr>
          <w:rFonts w:ascii="Arial" w:eastAsia="Times New Roman" w:hAnsi="Arial" w:cs="Arial"/>
          <w:i/>
          <w:sz w:val="20"/>
          <w:szCs w:val="20"/>
          <w:lang w:val="it-IT"/>
        </w:rPr>
        <w:t>, nello stesso periodo</w:t>
      </w:r>
      <w:r w:rsidR="00BC0398">
        <w:rPr>
          <w:rFonts w:ascii="Arial" w:eastAsia="Times New Roman" w:hAnsi="Arial" w:cs="Arial"/>
          <w:i/>
          <w:sz w:val="20"/>
          <w:szCs w:val="20"/>
          <w:lang w:val="it-IT"/>
        </w:rPr>
        <w:t xml:space="preserve">, </w:t>
      </w:r>
      <w:r w:rsidR="00B44322">
        <w:rPr>
          <w:rFonts w:ascii="Arial" w:eastAsia="Times New Roman" w:hAnsi="Arial" w:cs="Arial"/>
          <w:i/>
          <w:sz w:val="20"/>
          <w:szCs w:val="20"/>
          <w:lang w:val="it-IT"/>
        </w:rPr>
        <w:t xml:space="preserve">circa </w:t>
      </w:r>
      <w:r w:rsidR="00D56706">
        <w:rPr>
          <w:rFonts w:ascii="Arial" w:eastAsia="Times New Roman" w:hAnsi="Arial" w:cs="Arial"/>
          <w:i/>
          <w:sz w:val="20"/>
          <w:szCs w:val="20"/>
          <w:lang w:val="it-IT"/>
        </w:rPr>
        <w:t>5</w:t>
      </w:r>
      <w:r w:rsidR="00BC0398">
        <w:rPr>
          <w:rFonts w:ascii="Arial" w:eastAsia="Times New Roman" w:hAnsi="Arial" w:cs="Arial"/>
          <w:i/>
          <w:sz w:val="20"/>
          <w:szCs w:val="20"/>
          <w:lang w:val="it-IT"/>
        </w:rPr>
        <w:t xml:space="preserve"> miliardi</w:t>
      </w:r>
      <w:r w:rsidR="00F0176C">
        <w:rPr>
          <w:rFonts w:ascii="Arial" w:eastAsia="Times New Roman" w:hAnsi="Arial" w:cs="Arial"/>
          <w:i/>
          <w:sz w:val="20"/>
          <w:szCs w:val="20"/>
          <w:lang w:val="it-IT"/>
        </w:rPr>
        <w:t xml:space="preserve"> di Euro</w:t>
      </w:r>
      <w:r w:rsidR="003F2939">
        <w:rPr>
          <w:rFonts w:ascii="Arial" w:eastAsia="Times New Roman" w:hAnsi="Arial" w:cs="Arial"/>
          <w:i/>
          <w:sz w:val="20"/>
          <w:szCs w:val="20"/>
          <w:lang w:val="it-IT"/>
        </w:rPr>
        <w:t>, meno della metà delle città spagnole</w:t>
      </w:r>
      <w:r w:rsidR="003B4365">
        <w:rPr>
          <w:rFonts w:ascii="Arial" w:eastAsia="Times New Roman" w:hAnsi="Arial" w:cs="Arial"/>
          <w:i/>
          <w:sz w:val="20"/>
          <w:szCs w:val="20"/>
          <w:lang w:val="it-IT"/>
        </w:rPr>
        <w:t>.</w:t>
      </w:r>
      <w:r w:rsidR="009B31B7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</w:p>
    <w:bookmarkEnd w:id="1"/>
    <w:p w14:paraId="7E1109D1" w14:textId="59311A5D" w:rsidR="00CD12A0" w:rsidRPr="008F7B44" w:rsidRDefault="001B40FC" w:rsidP="0093411E">
      <w:pPr>
        <w:spacing w:after="0"/>
        <w:rPr>
          <w:rFonts w:ascii="Arial" w:eastAsia="Times New Roman" w:hAnsi="Arial" w:cs="Arial"/>
          <w:i/>
          <w:sz w:val="20"/>
          <w:szCs w:val="20"/>
          <w:lang w:val="it-IT"/>
        </w:rPr>
      </w:pPr>
      <w:r w:rsidRPr="008F7B44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</w:p>
    <w:p w14:paraId="1CE27E9E" w14:textId="13B54F83" w:rsidR="0002726B" w:rsidRPr="00715BE9" w:rsidRDefault="0002726B" w:rsidP="00F758BB">
      <w:pPr>
        <w:spacing w:after="0"/>
        <w:rPr>
          <w:rFonts w:ascii="Arial" w:hAnsi="Arial" w:cs="Arial"/>
          <w:color w:val="000000" w:themeColor="text1" w:themeShade="BF"/>
          <w:sz w:val="20"/>
          <w:szCs w:val="20"/>
          <w:lang w:val="it-IT"/>
        </w:rPr>
      </w:pPr>
    </w:p>
    <w:p w14:paraId="4976B7E2" w14:textId="468B20EE" w:rsidR="00124578" w:rsidRDefault="00124578" w:rsidP="00124578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</w:pPr>
      <w:r w:rsidRPr="000B790F"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  <w:t xml:space="preserve">FINE </w:t>
      </w:r>
      <w:r w:rsidR="0002726B" w:rsidRPr="000B790F"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  <w:t>-</w:t>
      </w:r>
    </w:p>
    <w:p w14:paraId="39C38B8B" w14:textId="77777777" w:rsidR="00124578" w:rsidRDefault="00124578">
      <w:pPr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</w:pPr>
      <w:r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  <w:br w:type="page"/>
      </w:r>
    </w:p>
    <w:p w14:paraId="6CC4292F" w14:textId="77777777" w:rsidR="0002726B" w:rsidRPr="000B790F" w:rsidRDefault="0002726B" w:rsidP="000B790F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color w:val="000000" w:themeColor="text1" w:themeShade="BF"/>
          <w:sz w:val="20"/>
          <w:szCs w:val="20"/>
          <w:lang w:val="it-IT"/>
        </w:rPr>
      </w:pPr>
    </w:p>
    <w:p w14:paraId="6A79466B" w14:textId="334D37A0" w:rsidR="0002726B" w:rsidRDefault="0002726B" w:rsidP="0002726B">
      <w:pPr>
        <w:spacing w:after="0"/>
        <w:rPr>
          <w:rStyle w:val="Strong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it-IT"/>
        </w:rPr>
      </w:pPr>
      <w:r w:rsidRPr="008F7B44">
        <w:rPr>
          <w:rStyle w:val="Strong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it-IT"/>
        </w:rPr>
        <w:t xml:space="preserve">Note </w:t>
      </w:r>
      <w:r w:rsidR="00243432">
        <w:rPr>
          <w:rStyle w:val="Strong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it-IT"/>
        </w:rPr>
        <w:t>all’editore</w:t>
      </w:r>
    </w:p>
    <w:p w14:paraId="345BBBC9" w14:textId="77777777" w:rsidR="00754099" w:rsidRPr="008F7B44" w:rsidRDefault="00754099" w:rsidP="0002726B">
      <w:pPr>
        <w:spacing w:after="0"/>
        <w:rPr>
          <w:rStyle w:val="Strong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it-IT"/>
        </w:rPr>
      </w:pPr>
    </w:p>
    <w:p w14:paraId="1B1B9D0E" w14:textId="3CCB7C68" w:rsidR="001B40FC" w:rsidRPr="001B40FC" w:rsidRDefault="00B77E2D" w:rsidP="00B77E2D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‘</w:t>
      </w:r>
      <w:proofErr w:type="spellStart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Winning</w:t>
      </w:r>
      <w:proofErr w:type="spellEnd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 in </w:t>
      </w:r>
      <w:proofErr w:type="spellStart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Growth</w:t>
      </w:r>
      <w:proofErr w:type="spellEnd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Cities</w:t>
      </w:r>
      <w:proofErr w:type="spellEnd"/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’ </w:t>
      </w:r>
      <w:r w:rsidR="001B40FC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è il rapport</w:t>
      </w:r>
      <w:r w:rsid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o</w:t>
      </w:r>
      <w:r w:rsidR="001B40FC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 annuale </w:t>
      </w:r>
      <w:r w:rsidR="001B40FC" w:rsidRPr="00342BC3">
        <w:rPr>
          <w:rFonts w:ascii="Arial" w:hAnsi="Arial"/>
          <w:sz w:val="20"/>
          <w:lang w:val="it-IT"/>
        </w:rPr>
        <w:t xml:space="preserve">che analizza l’attività di investimento nel settore </w:t>
      </w:r>
      <w:r w:rsidR="001B40FC">
        <w:rPr>
          <w:rFonts w:ascii="Arial" w:hAnsi="Arial"/>
          <w:sz w:val="20"/>
          <w:lang w:val="it-IT"/>
        </w:rPr>
        <w:t xml:space="preserve">degli </w:t>
      </w:r>
      <w:r w:rsidR="001B40FC" w:rsidRPr="00342BC3">
        <w:rPr>
          <w:rFonts w:ascii="Arial" w:hAnsi="Arial"/>
          <w:sz w:val="20"/>
          <w:lang w:val="it-IT"/>
        </w:rPr>
        <w:t>immobili commercia</w:t>
      </w:r>
      <w:r w:rsidR="001B40FC">
        <w:rPr>
          <w:rFonts w:ascii="Arial" w:hAnsi="Arial"/>
          <w:sz w:val="20"/>
          <w:lang w:val="it-IT"/>
        </w:rPr>
        <w:t>li</w:t>
      </w:r>
      <w:r w:rsidR="001B40FC" w:rsidRPr="00342BC3">
        <w:rPr>
          <w:rFonts w:ascii="Arial" w:hAnsi="Arial"/>
          <w:sz w:val="20"/>
          <w:lang w:val="it-IT"/>
        </w:rPr>
        <w:t xml:space="preserve"> e classifica le città in base alla loro capacità di attrarre capitali</w:t>
      </w:r>
      <w:r w:rsidR="00333FFD">
        <w:rPr>
          <w:rFonts w:ascii="Arial" w:hAnsi="Arial"/>
          <w:sz w:val="20"/>
          <w:lang w:val="it-IT"/>
        </w:rPr>
        <w:t>.</w:t>
      </w:r>
    </w:p>
    <w:p w14:paraId="2E6DD6E0" w14:textId="6BE55D17" w:rsidR="00B77E2D" w:rsidRPr="001B40FC" w:rsidRDefault="001B40FC" w:rsidP="00B77E2D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Il report include indici che mostrano le città più ambite per gli investimenti Immobiliari</w:t>
      </w:r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; </w:t>
      </w:r>
      <w: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gli investimenti </w:t>
      </w:r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cross </w:t>
      </w:r>
      <w:proofErr w:type="spellStart"/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border</w:t>
      </w:r>
      <w:proofErr w:type="spellEnd"/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; </w:t>
      </w:r>
      <w: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i settori più attrattivi</w:t>
      </w:r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; </w:t>
      </w:r>
      <w: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le fonti dei capitali internazionali</w:t>
      </w:r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; </w:t>
      </w:r>
      <w: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e il confronto tra capitali regionali e globali nell’allocazione dei capitali</w:t>
      </w:r>
      <w:r w:rsidR="00B77E2D" w:rsidRPr="001B40FC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.</w:t>
      </w:r>
    </w:p>
    <w:p w14:paraId="46D92C49" w14:textId="1CEC791B" w:rsidR="00B77E2D" w:rsidRDefault="00DF39F4" w:rsidP="00B77E2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DF39F4">
        <w:rPr>
          <w:rFonts w:ascii="Arial" w:eastAsia="Times New Roman" w:hAnsi="Arial" w:cs="Arial"/>
          <w:sz w:val="20"/>
          <w:szCs w:val="20"/>
          <w:lang w:val="it-IT"/>
        </w:rPr>
        <w:t xml:space="preserve">Le comparazioni nel report </w:t>
      </w:r>
      <w:r w:rsidR="001B40FC">
        <w:rPr>
          <w:rFonts w:ascii="Arial" w:eastAsia="Times New Roman" w:hAnsi="Arial" w:cs="Arial"/>
          <w:sz w:val="20"/>
          <w:szCs w:val="20"/>
          <w:lang w:val="it-IT"/>
        </w:rPr>
        <w:t>si riferiscono alla prima metà del 2</w:t>
      </w:r>
      <w:r w:rsidR="00B77E2D" w:rsidRPr="00DF39F4">
        <w:rPr>
          <w:rFonts w:ascii="Arial" w:eastAsia="Times New Roman" w:hAnsi="Arial" w:cs="Arial"/>
          <w:sz w:val="20"/>
          <w:szCs w:val="20"/>
          <w:lang w:val="it-IT"/>
        </w:rPr>
        <w:t xml:space="preserve">019 </w:t>
      </w:r>
      <w:r w:rsidR="001B40FC">
        <w:rPr>
          <w:rFonts w:ascii="Arial" w:eastAsia="Times New Roman" w:hAnsi="Arial" w:cs="Arial"/>
          <w:sz w:val="20"/>
          <w:szCs w:val="20"/>
          <w:lang w:val="it-IT"/>
        </w:rPr>
        <w:t>rispetto alla prima metà 2018</w:t>
      </w:r>
      <w:r w:rsidR="00B77E2D" w:rsidRPr="00DF39F4">
        <w:rPr>
          <w:rFonts w:ascii="Arial" w:eastAsia="Times New Roman" w:hAnsi="Arial" w:cs="Arial"/>
          <w:sz w:val="20"/>
          <w:szCs w:val="20"/>
          <w:lang w:val="it-IT"/>
        </w:rPr>
        <w:t>.</w:t>
      </w:r>
    </w:p>
    <w:p w14:paraId="36EECB97" w14:textId="52EABA1A" w:rsidR="002F3B32" w:rsidRPr="00DF39F4" w:rsidRDefault="002F3B32" w:rsidP="00B77E2D">
      <w:pPr>
        <w:pStyle w:val="ListParagraph"/>
        <w:numPr>
          <w:ilvl w:val="0"/>
          <w:numId w:val="3"/>
        </w:numPr>
        <w:rPr>
          <w:rStyle w:val="Strong"/>
          <w:rFonts w:ascii="Arial" w:eastAsia="Times New Roman" w:hAnsi="Arial" w:cs="Arial"/>
          <w:b w:val="0"/>
          <w:bCs w:val="0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 xml:space="preserve">I dati riportati sull’Italia e Milano per il terzo trimestre 2019 sono riferiti solo all’Italia e non sono comparabili con i dati </w:t>
      </w:r>
      <w:r w:rsidR="00376442">
        <w:rPr>
          <w:rFonts w:ascii="Arial" w:eastAsia="Times New Roman" w:hAnsi="Arial" w:cs="Arial"/>
          <w:sz w:val="20"/>
          <w:szCs w:val="20"/>
          <w:lang w:val="it-IT"/>
        </w:rPr>
        <w:t>contenuti n</w:t>
      </w:r>
      <w:r>
        <w:rPr>
          <w:rFonts w:ascii="Arial" w:eastAsia="Times New Roman" w:hAnsi="Arial" w:cs="Arial"/>
          <w:sz w:val="20"/>
          <w:szCs w:val="20"/>
          <w:lang w:val="it-IT"/>
        </w:rPr>
        <w:t>el report.</w:t>
      </w:r>
    </w:p>
    <w:p w14:paraId="05AF3F86" w14:textId="77777777" w:rsidR="00DF39F4" w:rsidRPr="00715BE9" w:rsidRDefault="00DF39F4" w:rsidP="006F009E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DF39F4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La classifica delle città più importanti per volume di investimenti esclude gli sviluppi. </w:t>
      </w:r>
    </w:p>
    <w:p w14:paraId="46137993" w14:textId="3F882E7A" w:rsidR="00B77E2D" w:rsidRPr="00DF39F4" w:rsidRDefault="00DF39F4" w:rsidP="006F009E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DF39F4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Il report include anche una sezione che esamina l’impatto del cambiamento climatico sul mercato degli investimenti Immobiliari</w:t>
      </w:r>
      <w:r w:rsidR="00B77E2D" w:rsidRPr="00DF39F4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  <w:lang w:val="it-IT"/>
        </w:rPr>
        <w:t>.</w:t>
      </w:r>
    </w:p>
    <w:p w14:paraId="742BD9FC" w14:textId="77777777" w:rsidR="00B77E2D" w:rsidRPr="00DF39F4" w:rsidRDefault="00B77E2D" w:rsidP="00B77E2D">
      <w:pPr>
        <w:pStyle w:val="ListParagraph"/>
        <w:ind w:left="360"/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it-IT"/>
        </w:rPr>
      </w:pPr>
    </w:p>
    <w:p w14:paraId="1380A3BD" w14:textId="77777777" w:rsidR="00CB2DE8" w:rsidRPr="00DF39F4" w:rsidRDefault="00CB2DE8" w:rsidP="00CB2DE8">
      <w:pPr>
        <w:pStyle w:val="ListParagraph"/>
        <w:ind w:left="360"/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it-IT"/>
        </w:rPr>
      </w:pPr>
    </w:p>
    <w:p w14:paraId="0F54FA18" w14:textId="11F2594E" w:rsidR="00FB2EEA" w:rsidRPr="007B26C3" w:rsidRDefault="00FB2EEA" w:rsidP="00FB2EEA">
      <w:pPr>
        <w:pStyle w:val="NormalWeb"/>
        <w:rPr>
          <w:rFonts w:ascii="Arial" w:hAnsi="Arial" w:cs="Arial"/>
          <w:color w:val="212529"/>
          <w:sz w:val="20"/>
          <w:szCs w:val="20"/>
          <w:lang w:val="it-IT"/>
        </w:rPr>
      </w:pPr>
      <w:r w:rsidRPr="007B26C3">
        <w:rPr>
          <w:rStyle w:val="Strong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it-IT"/>
        </w:rPr>
        <w:t>Cushman &amp; Wakefield</w:t>
      </w:r>
      <w:r w:rsidRPr="007B26C3">
        <w:rPr>
          <w:rFonts w:ascii="Arial" w:hAnsi="Arial" w:cs="Arial"/>
          <w:color w:val="000000"/>
          <w:sz w:val="20"/>
          <w:szCs w:val="20"/>
          <w:lang w:val="it-IT"/>
        </w:rPr>
        <w:br/>
      </w:r>
      <w:r w:rsidR="007B26C3" w:rsidRPr="007B26C3">
        <w:rPr>
          <w:rFonts w:ascii="Arial" w:hAnsi="Arial" w:cs="Arial"/>
          <w:color w:val="212529"/>
          <w:sz w:val="20"/>
          <w:szCs w:val="20"/>
          <w:lang w:val="it-IT"/>
        </w:rPr>
        <w:t xml:space="preserve">Cushman &amp; Wakefield (NYSE: CWK) è un leader a livello globale nei servizi immobiliari che, traducendo le idee in azione, genera valore per proprietari e conduttori degli immobili. Cushman &amp; Wakefield è tra le più grandi società di consulenza immobiliare, con 51.000 dipendenti in circa 400 sedi e 70 paesi. Nel 2018 l’azienda ha sviluppato un fatturato di 8,2 miliardi di dollari nelle principali linee di servizio, tra le quali property, facility e project management, leasing, capital </w:t>
      </w:r>
      <w:proofErr w:type="spellStart"/>
      <w:r w:rsidR="007B26C3" w:rsidRPr="007B26C3">
        <w:rPr>
          <w:rFonts w:ascii="Arial" w:hAnsi="Arial" w:cs="Arial"/>
          <w:color w:val="212529"/>
          <w:sz w:val="20"/>
          <w:szCs w:val="20"/>
          <w:lang w:val="it-IT"/>
        </w:rPr>
        <w:t>markets</w:t>
      </w:r>
      <w:proofErr w:type="spellEnd"/>
      <w:r w:rsidR="007B26C3" w:rsidRPr="007B26C3">
        <w:rPr>
          <w:rFonts w:ascii="Arial" w:hAnsi="Arial" w:cs="Arial"/>
          <w:color w:val="212529"/>
          <w:sz w:val="20"/>
          <w:szCs w:val="20"/>
          <w:lang w:val="it-IT"/>
        </w:rPr>
        <w:t xml:space="preserve">, </w:t>
      </w:r>
      <w:proofErr w:type="spellStart"/>
      <w:r w:rsidR="007B26C3" w:rsidRPr="007B26C3">
        <w:rPr>
          <w:rFonts w:ascii="Arial" w:hAnsi="Arial" w:cs="Arial"/>
          <w:color w:val="212529"/>
          <w:sz w:val="20"/>
          <w:szCs w:val="20"/>
          <w:lang w:val="it-IT"/>
        </w:rPr>
        <w:t>advisory</w:t>
      </w:r>
      <w:proofErr w:type="spellEnd"/>
      <w:r w:rsidR="007B26C3" w:rsidRPr="007B26C3">
        <w:rPr>
          <w:rFonts w:ascii="Arial" w:hAnsi="Arial" w:cs="Arial"/>
          <w:color w:val="212529"/>
          <w:sz w:val="20"/>
          <w:szCs w:val="20"/>
          <w:lang w:val="it-IT"/>
        </w:rPr>
        <w:t>. Per ulteriori informazioni, visitate il sito</w:t>
      </w:r>
      <w:r w:rsidRPr="007B26C3">
        <w:rPr>
          <w:rFonts w:ascii="Arial" w:hAnsi="Arial" w:cs="Arial"/>
          <w:color w:val="212529"/>
          <w:sz w:val="20"/>
          <w:szCs w:val="20"/>
          <w:lang w:val="it-IT"/>
        </w:rPr>
        <w:t> </w:t>
      </w:r>
      <w:hyperlink r:id="rId8" w:history="1">
        <w:r w:rsidRPr="007B26C3">
          <w:rPr>
            <w:rStyle w:val="Hyperlink"/>
            <w:rFonts w:ascii="Arial" w:hAnsi="Arial" w:cs="Arial"/>
            <w:color w:val="E4002B"/>
            <w:sz w:val="20"/>
            <w:szCs w:val="20"/>
            <w:lang w:val="it-IT"/>
          </w:rPr>
          <w:t>www.cushmanwakefield.com</w:t>
        </w:r>
      </w:hyperlink>
      <w:r w:rsidRPr="007B26C3">
        <w:rPr>
          <w:rFonts w:ascii="Arial" w:hAnsi="Arial" w:cs="Arial"/>
          <w:color w:val="212529"/>
          <w:sz w:val="20"/>
          <w:szCs w:val="20"/>
          <w:lang w:val="it-IT"/>
        </w:rPr>
        <w:t> </w:t>
      </w:r>
      <w:r w:rsidR="007B26C3">
        <w:rPr>
          <w:rFonts w:ascii="Arial" w:hAnsi="Arial" w:cs="Arial"/>
          <w:color w:val="212529"/>
          <w:sz w:val="20"/>
          <w:szCs w:val="20"/>
          <w:lang w:val="it-IT"/>
        </w:rPr>
        <w:t>o segui</w:t>
      </w:r>
      <w:r w:rsidRPr="007B26C3">
        <w:rPr>
          <w:rFonts w:ascii="Arial" w:hAnsi="Arial" w:cs="Arial"/>
          <w:color w:val="212529"/>
          <w:sz w:val="20"/>
          <w:szCs w:val="20"/>
          <w:lang w:val="it-IT"/>
        </w:rPr>
        <w:t> </w:t>
      </w:r>
      <w:hyperlink r:id="rId9" w:history="1">
        <w:r w:rsidRPr="007B26C3">
          <w:rPr>
            <w:rStyle w:val="Hyperlink"/>
            <w:rFonts w:ascii="Arial" w:hAnsi="Arial" w:cs="Arial"/>
            <w:color w:val="E4002B"/>
            <w:sz w:val="20"/>
            <w:szCs w:val="20"/>
            <w:lang w:val="it-IT"/>
          </w:rPr>
          <w:t>@</w:t>
        </w:r>
        <w:proofErr w:type="spellStart"/>
        <w:r w:rsidRPr="007B26C3">
          <w:rPr>
            <w:rStyle w:val="Hyperlink"/>
            <w:rFonts w:ascii="Arial" w:hAnsi="Arial" w:cs="Arial"/>
            <w:color w:val="E4002B"/>
            <w:sz w:val="20"/>
            <w:szCs w:val="20"/>
            <w:lang w:val="it-IT"/>
          </w:rPr>
          <w:t>CushWake</w:t>
        </w:r>
        <w:proofErr w:type="spellEnd"/>
      </w:hyperlink>
      <w:r w:rsidRPr="007B26C3">
        <w:rPr>
          <w:rFonts w:ascii="Arial" w:hAnsi="Arial" w:cs="Arial"/>
          <w:color w:val="212529"/>
          <w:sz w:val="20"/>
          <w:szCs w:val="20"/>
          <w:lang w:val="it-IT"/>
        </w:rPr>
        <w:t> </w:t>
      </w:r>
      <w:r w:rsidR="007B26C3">
        <w:rPr>
          <w:rFonts w:ascii="Arial" w:hAnsi="Arial" w:cs="Arial"/>
          <w:color w:val="212529"/>
          <w:sz w:val="20"/>
          <w:szCs w:val="20"/>
          <w:lang w:val="it-IT"/>
        </w:rPr>
        <w:t>su</w:t>
      </w:r>
      <w:r w:rsidRPr="007B26C3">
        <w:rPr>
          <w:rFonts w:ascii="Arial" w:hAnsi="Arial" w:cs="Arial"/>
          <w:color w:val="212529"/>
          <w:sz w:val="20"/>
          <w:szCs w:val="20"/>
          <w:lang w:val="it-IT"/>
        </w:rPr>
        <w:t xml:space="preserve"> </w:t>
      </w:r>
      <w:proofErr w:type="spellStart"/>
      <w:r w:rsidRPr="007B26C3">
        <w:rPr>
          <w:rFonts w:ascii="Arial" w:hAnsi="Arial" w:cs="Arial"/>
          <w:color w:val="212529"/>
          <w:sz w:val="20"/>
          <w:szCs w:val="20"/>
          <w:lang w:val="it-IT"/>
        </w:rPr>
        <w:t>Twitter</w:t>
      </w:r>
      <w:proofErr w:type="spellEnd"/>
      <w:r w:rsidRPr="007B26C3">
        <w:rPr>
          <w:rFonts w:ascii="Arial" w:hAnsi="Arial" w:cs="Arial"/>
          <w:color w:val="212529"/>
          <w:sz w:val="20"/>
          <w:szCs w:val="20"/>
          <w:lang w:val="it-IT"/>
        </w:rPr>
        <w:t>.</w:t>
      </w:r>
    </w:p>
    <w:p w14:paraId="4A0B19EC" w14:textId="77777777" w:rsidR="00D96E52" w:rsidRPr="007B26C3" w:rsidRDefault="00B44322" w:rsidP="00FB2EEA">
      <w:pPr>
        <w:spacing w:after="120"/>
        <w:rPr>
          <w:rFonts w:ascii="Arial" w:eastAsia="Times New Roman" w:hAnsi="Arial" w:cs="Times New Roman"/>
          <w:lang w:val="it-IT"/>
        </w:rPr>
      </w:pPr>
    </w:p>
    <w:sectPr w:rsidR="00D96E52" w:rsidRPr="007B26C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90F8" w14:textId="77777777" w:rsidR="00C957DF" w:rsidRDefault="00C957DF" w:rsidP="0002726B">
      <w:pPr>
        <w:spacing w:after="0" w:line="240" w:lineRule="auto"/>
      </w:pPr>
      <w:r>
        <w:separator/>
      </w:r>
    </w:p>
  </w:endnote>
  <w:endnote w:type="continuationSeparator" w:id="0">
    <w:p w14:paraId="3855DA2A" w14:textId="77777777" w:rsidR="00C957DF" w:rsidRDefault="00C957DF" w:rsidP="0002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3784" w14:textId="18B5654A" w:rsidR="0002726B" w:rsidRDefault="00376442" w:rsidP="000B790F">
    <w:pPr>
      <w:pStyle w:val="Footer"/>
      <w:rPr>
        <w:b/>
        <w:color w:val="4E5050"/>
        <w:sz w:val="18"/>
        <w:szCs w:val="18"/>
        <w:lang w:val="it-IT"/>
      </w:rPr>
    </w:pPr>
    <w:r w:rsidRPr="00376442">
      <w:rPr>
        <w:b/>
        <w:color w:val="4E5050"/>
        <w:sz w:val="18"/>
        <w:szCs w:val="18"/>
        <w:lang w:val="it-IT"/>
      </w:rPr>
      <w:t>Per maggiori informazioni contattare</w:t>
    </w:r>
    <w:r w:rsidR="0002726B" w:rsidRPr="00376442">
      <w:rPr>
        <w:b/>
        <w:color w:val="4E5050"/>
        <w:sz w:val="18"/>
        <w:szCs w:val="18"/>
        <w:lang w:val="it-IT"/>
      </w:rPr>
      <w:t>:</w:t>
    </w:r>
  </w:p>
  <w:p w14:paraId="0AACA275" w14:textId="77777777" w:rsidR="00124578" w:rsidRPr="00124578" w:rsidRDefault="00124578" w:rsidP="00124578">
    <w:pPr>
      <w:spacing w:after="0" w:line="240" w:lineRule="auto"/>
      <w:rPr>
        <w:rFonts w:ascii="Arial" w:eastAsia="Times New Roman" w:hAnsi="Arial" w:cs="Arial"/>
        <w:sz w:val="18"/>
        <w:szCs w:val="18"/>
        <w:lang w:val="sv-SE" w:eastAsia="en-GB"/>
      </w:rPr>
    </w:pPr>
    <w:r w:rsidRPr="00124578">
      <w:rPr>
        <w:rFonts w:ascii="Arial" w:eastAsia="Times New Roman" w:hAnsi="Arial" w:cs="Arial"/>
        <w:sz w:val="18"/>
        <w:szCs w:val="18"/>
        <w:lang w:val="sv-SE" w:eastAsia="en-GB"/>
      </w:rPr>
      <w:t>NIC – Nuove Idee di Comunicazione</w:t>
    </w:r>
  </w:p>
  <w:p w14:paraId="1BE10EDD" w14:textId="77777777" w:rsidR="00124578" w:rsidRPr="00124578" w:rsidRDefault="00124578" w:rsidP="00124578">
    <w:pPr>
      <w:spacing w:after="0" w:line="240" w:lineRule="auto"/>
      <w:rPr>
        <w:rFonts w:ascii="Arial" w:eastAsia="Times New Roman" w:hAnsi="Arial" w:cs="Arial"/>
        <w:color w:val="000000"/>
        <w:sz w:val="18"/>
        <w:szCs w:val="18"/>
        <w:lang w:val="it-IT" w:eastAsia="en-GB"/>
      </w:rPr>
    </w:pPr>
    <w:r w:rsidRPr="00124578">
      <w:rPr>
        <w:rFonts w:ascii="Arial" w:eastAsia="Times New Roman" w:hAnsi="Arial" w:cs="Arial"/>
        <w:color w:val="000000"/>
        <w:sz w:val="18"/>
        <w:szCs w:val="18"/>
        <w:lang w:val="it-IT" w:eastAsia="en-GB"/>
      </w:rPr>
      <w:t>+39 02 3653 5859</w:t>
    </w:r>
  </w:p>
  <w:p w14:paraId="199F99E7" w14:textId="421F5190" w:rsidR="00124578" w:rsidRPr="000B790F" w:rsidRDefault="00124578" w:rsidP="000B790F">
    <w:pPr>
      <w:spacing w:after="0" w:line="240" w:lineRule="auto"/>
      <w:rPr>
        <w:rStyle w:val="Hyperlink"/>
        <w:sz w:val="20"/>
        <w:szCs w:val="20"/>
        <w:lang w:val="it-IT" w:eastAsia="en-GB"/>
      </w:rPr>
    </w:pPr>
    <w:r w:rsidRPr="00124578">
      <w:rPr>
        <w:rFonts w:ascii="Arial" w:eastAsia="Times New Roman" w:hAnsi="Arial" w:cs="Arial"/>
        <w:b/>
        <w:sz w:val="18"/>
        <w:szCs w:val="18"/>
        <w:lang w:val="sv-SE" w:eastAsia="en-GB"/>
      </w:rPr>
      <w:t>Paola Nicolai</w:t>
    </w:r>
    <w:r>
      <w:rPr>
        <w:rFonts w:ascii="Arial" w:eastAsia="Times New Roman" w:hAnsi="Arial" w:cs="Arial"/>
        <w:b/>
        <w:sz w:val="18"/>
        <w:szCs w:val="18"/>
        <w:lang w:val="sv-SE" w:eastAsia="en-GB"/>
      </w:rPr>
      <w:t xml:space="preserve"> </w:t>
    </w:r>
    <w:r w:rsidRPr="00124578">
      <w:rPr>
        <w:rFonts w:ascii="Arial" w:eastAsia="Times New Roman" w:hAnsi="Arial" w:cs="Arial"/>
        <w:color w:val="000000"/>
        <w:sz w:val="18"/>
        <w:lang w:val="it-IT" w:eastAsia="en-GB"/>
      </w:rPr>
      <w:t>+39 335 80 56962</w:t>
    </w:r>
    <w:r>
      <w:rPr>
        <w:rFonts w:ascii="Arial" w:eastAsia="Times New Roman" w:hAnsi="Arial" w:cs="Arial"/>
        <w:color w:val="000000"/>
        <w:sz w:val="18"/>
        <w:lang w:val="it-IT" w:eastAsia="en-GB"/>
      </w:rPr>
      <w:t xml:space="preserve"> </w:t>
    </w:r>
    <w:hyperlink r:id="rId1" w:history="1">
      <w:r w:rsidRPr="000B790F">
        <w:rPr>
          <w:rStyle w:val="Hyperlink"/>
          <w:sz w:val="20"/>
          <w:szCs w:val="20"/>
          <w:lang w:val="it-IT" w:eastAsia="en-GB"/>
        </w:rPr>
        <w:t>paola.nicolai@nicpr.it</w:t>
      </w:r>
    </w:hyperlink>
  </w:p>
  <w:p w14:paraId="4688CE44" w14:textId="453C90B6" w:rsidR="00124578" w:rsidRPr="00124578" w:rsidRDefault="00124578" w:rsidP="000B790F">
    <w:pPr>
      <w:spacing w:after="0" w:line="240" w:lineRule="auto"/>
      <w:rPr>
        <w:b/>
        <w:color w:val="4E5050"/>
        <w:sz w:val="18"/>
        <w:szCs w:val="18"/>
        <w:lang w:val="it-IT"/>
      </w:rPr>
    </w:pPr>
    <w:r w:rsidRPr="000B790F">
      <w:rPr>
        <w:rFonts w:ascii="Arial" w:eastAsia="Times New Roman" w:hAnsi="Arial" w:cs="Arial"/>
        <w:b/>
        <w:sz w:val="18"/>
        <w:szCs w:val="18"/>
        <w:lang w:val="sv-SE" w:eastAsia="en-GB"/>
      </w:rPr>
      <w:t>Adele Olivieri</w:t>
    </w:r>
    <w:r>
      <w:rPr>
        <w:rFonts w:ascii="Arial" w:eastAsia="Times New Roman" w:hAnsi="Arial" w:cs="Arial"/>
        <w:color w:val="0093B2"/>
        <w:sz w:val="18"/>
        <w:szCs w:val="18"/>
        <w:u w:val="single"/>
        <w:lang w:val="it-IT"/>
      </w:rPr>
      <w:t xml:space="preserve"> </w:t>
    </w:r>
    <w:r w:rsidRPr="000B790F">
      <w:rPr>
        <w:rFonts w:ascii="Arial" w:eastAsia="Times New Roman" w:hAnsi="Arial" w:cs="Arial"/>
        <w:color w:val="000000"/>
        <w:sz w:val="18"/>
        <w:lang w:val="it-IT" w:eastAsia="en-GB"/>
      </w:rPr>
      <w:t>+39 320 11 99338</w:t>
    </w:r>
    <w:r>
      <w:rPr>
        <w:rFonts w:ascii="Arial" w:eastAsia="Times New Roman" w:hAnsi="Arial" w:cs="Arial"/>
        <w:color w:val="000000"/>
        <w:sz w:val="18"/>
        <w:lang w:val="it-IT" w:eastAsia="en-GB"/>
      </w:rPr>
      <w:t xml:space="preserve"> </w:t>
    </w:r>
    <w:hyperlink r:id="rId2" w:history="1">
      <w:r w:rsidRPr="00876B0A">
        <w:rPr>
          <w:rStyle w:val="Hyperlink"/>
          <w:rFonts w:ascii="Arial" w:eastAsia="Times New Roman" w:hAnsi="Arial" w:cs="Arial"/>
          <w:sz w:val="18"/>
          <w:lang w:val="it-IT" w:eastAsia="en-GB"/>
        </w:rPr>
        <w:t>adele.olivieri@nicpr.it</w:t>
      </w:r>
    </w:hyperlink>
    <w:r>
      <w:rPr>
        <w:rFonts w:ascii="Arial" w:eastAsia="Times New Roman" w:hAnsi="Arial" w:cs="Arial"/>
        <w:color w:val="000000"/>
        <w:sz w:val="18"/>
        <w:lang w:val="it-IT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089E" w14:textId="77777777" w:rsidR="00C957DF" w:rsidRDefault="00C957DF" w:rsidP="0002726B">
      <w:pPr>
        <w:spacing w:after="0" w:line="240" w:lineRule="auto"/>
      </w:pPr>
      <w:r>
        <w:separator/>
      </w:r>
    </w:p>
  </w:footnote>
  <w:footnote w:type="continuationSeparator" w:id="0">
    <w:p w14:paraId="6359F4F8" w14:textId="77777777" w:rsidR="00C957DF" w:rsidRDefault="00C957DF" w:rsidP="0002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C16E" w14:textId="77777777" w:rsidR="0002726B" w:rsidRDefault="0002726B">
    <w:pPr>
      <w:pStyle w:val="Header"/>
    </w:pPr>
    <w:r>
      <w:rPr>
        <w:noProof/>
        <w:lang w:val="it-IT" w:eastAsia="it-IT"/>
      </w:rPr>
      <w:drawing>
        <wp:inline distT="0" distB="0" distL="0" distR="0" wp14:anchorId="07F31234" wp14:editId="130E02E6">
          <wp:extent cx="2303780" cy="484505"/>
          <wp:effectExtent l="0" t="0" r="1270" b="0"/>
          <wp:docPr id="6" name="Picture 6" descr="E:\CW REBRAND\Assets\CW Logo Suite\Cushman &amp; Wakefield\CW_Logo_PMS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:\CW REBRAND\Assets\CW Logo Suite\Cushman &amp; Wakefield\CW_Logo_PM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EA59B" w14:textId="77777777" w:rsidR="0002726B" w:rsidRDefault="0002726B">
    <w:pPr>
      <w:pStyle w:val="Header"/>
    </w:pPr>
  </w:p>
  <w:p w14:paraId="78605A91" w14:textId="77777777" w:rsidR="0002726B" w:rsidRPr="0002726B" w:rsidRDefault="0002726B">
    <w:pPr>
      <w:pStyle w:val="Header"/>
      <w:rPr>
        <w:rFonts w:ascii="Arial" w:hAnsi="Arial" w:cs="Arial"/>
        <w:color w:val="4E505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C69"/>
    <w:multiLevelType w:val="hybridMultilevel"/>
    <w:tmpl w:val="76E0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C6B"/>
    <w:multiLevelType w:val="hybridMultilevel"/>
    <w:tmpl w:val="69066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77A33"/>
    <w:multiLevelType w:val="hybridMultilevel"/>
    <w:tmpl w:val="71B4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42B"/>
    <w:multiLevelType w:val="hybridMultilevel"/>
    <w:tmpl w:val="0F8CC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B79E6"/>
    <w:multiLevelType w:val="hybridMultilevel"/>
    <w:tmpl w:val="4468BC54"/>
    <w:lvl w:ilvl="0" w:tplc="B7221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6B"/>
    <w:rsid w:val="00001AB8"/>
    <w:rsid w:val="0001099E"/>
    <w:rsid w:val="0002726B"/>
    <w:rsid w:val="00031281"/>
    <w:rsid w:val="0004409C"/>
    <w:rsid w:val="00055863"/>
    <w:rsid w:val="0006424E"/>
    <w:rsid w:val="00087BE5"/>
    <w:rsid w:val="000B790F"/>
    <w:rsid w:val="000D75D4"/>
    <w:rsid w:val="00124578"/>
    <w:rsid w:val="00174E85"/>
    <w:rsid w:val="00181464"/>
    <w:rsid w:val="00194723"/>
    <w:rsid w:val="001A0DEE"/>
    <w:rsid w:val="001B40FC"/>
    <w:rsid w:val="00225996"/>
    <w:rsid w:val="00243432"/>
    <w:rsid w:val="00252859"/>
    <w:rsid w:val="002805D7"/>
    <w:rsid w:val="00286FC6"/>
    <w:rsid w:val="00291820"/>
    <w:rsid w:val="00291DAC"/>
    <w:rsid w:val="002D0D93"/>
    <w:rsid w:val="002E0B20"/>
    <w:rsid w:val="002F3B32"/>
    <w:rsid w:val="002F6C14"/>
    <w:rsid w:val="00323EA1"/>
    <w:rsid w:val="00333FFD"/>
    <w:rsid w:val="00357A5E"/>
    <w:rsid w:val="003665C0"/>
    <w:rsid w:val="00376442"/>
    <w:rsid w:val="003A0110"/>
    <w:rsid w:val="003B4365"/>
    <w:rsid w:val="003C5DC1"/>
    <w:rsid w:val="003C6763"/>
    <w:rsid w:val="003F2939"/>
    <w:rsid w:val="00414CEF"/>
    <w:rsid w:val="00417398"/>
    <w:rsid w:val="0042010C"/>
    <w:rsid w:val="00422DE9"/>
    <w:rsid w:val="00434886"/>
    <w:rsid w:val="00445E24"/>
    <w:rsid w:val="0046510B"/>
    <w:rsid w:val="00465A40"/>
    <w:rsid w:val="004920AE"/>
    <w:rsid w:val="00492F53"/>
    <w:rsid w:val="004B0033"/>
    <w:rsid w:val="00501C7E"/>
    <w:rsid w:val="00506F93"/>
    <w:rsid w:val="00544229"/>
    <w:rsid w:val="00564166"/>
    <w:rsid w:val="00574FB6"/>
    <w:rsid w:val="00577735"/>
    <w:rsid w:val="00586B9C"/>
    <w:rsid w:val="005A1245"/>
    <w:rsid w:val="005E0E61"/>
    <w:rsid w:val="005E7F5F"/>
    <w:rsid w:val="005F5C1B"/>
    <w:rsid w:val="005F5FA8"/>
    <w:rsid w:val="00621172"/>
    <w:rsid w:val="006221F8"/>
    <w:rsid w:val="00632BB1"/>
    <w:rsid w:val="00643FB5"/>
    <w:rsid w:val="006708F1"/>
    <w:rsid w:val="0067625E"/>
    <w:rsid w:val="00686515"/>
    <w:rsid w:val="006A3BEE"/>
    <w:rsid w:val="006D00B7"/>
    <w:rsid w:val="006F11AB"/>
    <w:rsid w:val="007127C3"/>
    <w:rsid w:val="007135E5"/>
    <w:rsid w:val="00715BE9"/>
    <w:rsid w:val="00745E2F"/>
    <w:rsid w:val="007517A5"/>
    <w:rsid w:val="00754099"/>
    <w:rsid w:val="00762133"/>
    <w:rsid w:val="00783CBA"/>
    <w:rsid w:val="0079302F"/>
    <w:rsid w:val="007B26C3"/>
    <w:rsid w:val="007C653B"/>
    <w:rsid w:val="007D3BDB"/>
    <w:rsid w:val="00807AAF"/>
    <w:rsid w:val="00814760"/>
    <w:rsid w:val="008160BA"/>
    <w:rsid w:val="00825E22"/>
    <w:rsid w:val="008402F6"/>
    <w:rsid w:val="00884F3E"/>
    <w:rsid w:val="00892B86"/>
    <w:rsid w:val="008D0A2F"/>
    <w:rsid w:val="008E71F5"/>
    <w:rsid w:val="008F7B44"/>
    <w:rsid w:val="008F7B4B"/>
    <w:rsid w:val="00911CFC"/>
    <w:rsid w:val="009156A0"/>
    <w:rsid w:val="0093411E"/>
    <w:rsid w:val="009B31B7"/>
    <w:rsid w:val="00A21998"/>
    <w:rsid w:val="00A47A48"/>
    <w:rsid w:val="00A50970"/>
    <w:rsid w:val="00A61740"/>
    <w:rsid w:val="00A87434"/>
    <w:rsid w:val="00AA317A"/>
    <w:rsid w:val="00AB0C06"/>
    <w:rsid w:val="00AB205B"/>
    <w:rsid w:val="00AC3533"/>
    <w:rsid w:val="00B01004"/>
    <w:rsid w:val="00B0649B"/>
    <w:rsid w:val="00B079CA"/>
    <w:rsid w:val="00B33E14"/>
    <w:rsid w:val="00B44322"/>
    <w:rsid w:val="00B77E2D"/>
    <w:rsid w:val="00B8162D"/>
    <w:rsid w:val="00B95BF8"/>
    <w:rsid w:val="00BB3537"/>
    <w:rsid w:val="00BB4C8C"/>
    <w:rsid w:val="00BB6B0D"/>
    <w:rsid w:val="00BC0398"/>
    <w:rsid w:val="00BC6725"/>
    <w:rsid w:val="00BF3E63"/>
    <w:rsid w:val="00C37AC6"/>
    <w:rsid w:val="00C55F71"/>
    <w:rsid w:val="00C645EC"/>
    <w:rsid w:val="00C71121"/>
    <w:rsid w:val="00C957DF"/>
    <w:rsid w:val="00CA6723"/>
    <w:rsid w:val="00CB2DE8"/>
    <w:rsid w:val="00CC6F61"/>
    <w:rsid w:val="00CD12A0"/>
    <w:rsid w:val="00CE7F40"/>
    <w:rsid w:val="00CF00FD"/>
    <w:rsid w:val="00D2027F"/>
    <w:rsid w:val="00D329DD"/>
    <w:rsid w:val="00D56706"/>
    <w:rsid w:val="00D870D4"/>
    <w:rsid w:val="00D90010"/>
    <w:rsid w:val="00DC454D"/>
    <w:rsid w:val="00DC6AE9"/>
    <w:rsid w:val="00DE2A6C"/>
    <w:rsid w:val="00DF39F4"/>
    <w:rsid w:val="00DF6CF1"/>
    <w:rsid w:val="00E145B4"/>
    <w:rsid w:val="00E36C1D"/>
    <w:rsid w:val="00E371BF"/>
    <w:rsid w:val="00E604C3"/>
    <w:rsid w:val="00E75D72"/>
    <w:rsid w:val="00E766DB"/>
    <w:rsid w:val="00E840C4"/>
    <w:rsid w:val="00EB792C"/>
    <w:rsid w:val="00ED3115"/>
    <w:rsid w:val="00EE1F8C"/>
    <w:rsid w:val="00F0176C"/>
    <w:rsid w:val="00F05647"/>
    <w:rsid w:val="00F06E8D"/>
    <w:rsid w:val="00F2470D"/>
    <w:rsid w:val="00F330BA"/>
    <w:rsid w:val="00F535F8"/>
    <w:rsid w:val="00F54C62"/>
    <w:rsid w:val="00F66CDF"/>
    <w:rsid w:val="00F731DA"/>
    <w:rsid w:val="00F758BB"/>
    <w:rsid w:val="00FB2EEA"/>
    <w:rsid w:val="00FC2645"/>
    <w:rsid w:val="00FC33E4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643A32"/>
  <w15:chartTrackingRefBased/>
  <w15:docId w15:val="{4A223690-4BD9-4EA4-8720-C7C46CE3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6B"/>
  </w:style>
  <w:style w:type="paragraph" w:styleId="Footer">
    <w:name w:val="footer"/>
    <w:basedOn w:val="Normal"/>
    <w:link w:val="FooterChar"/>
    <w:uiPriority w:val="99"/>
    <w:unhideWhenUsed/>
    <w:rsid w:val="0002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26B"/>
  </w:style>
  <w:style w:type="character" w:styleId="Hyperlink">
    <w:name w:val="Hyperlink"/>
    <w:basedOn w:val="DefaultParagraphFont"/>
    <w:unhideWhenUsed/>
    <w:qFormat/>
    <w:rsid w:val="0002726B"/>
    <w:rPr>
      <w:color w:val="4472C4" w:themeColor="accent1"/>
      <w:u w:val="single"/>
    </w:rPr>
  </w:style>
  <w:style w:type="paragraph" w:styleId="ListParagraph">
    <w:name w:val="List Paragraph"/>
    <w:basedOn w:val="Normal"/>
    <w:uiPriority w:val="34"/>
    <w:qFormat/>
    <w:rsid w:val="0002726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0272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0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B8162D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715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%3A%2F%2Fwww.cushmanwakefield.com&amp;esheet=51947363&amp;newsitemid=20190227005966&amp;lan=en-US&amp;anchor=www.cushmanwakefield.com&amp;index=4&amp;md5=8f7fef2415bfb0ba14714801cf7448f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ts.businesswire.com/ct/CT?id=smartlink&amp;url=https%3A%2F%2Ftwitter.com%2FCushWake&amp;esheet=51947363&amp;newsitemid=20190227005966&amp;lan=en-US&amp;anchor=%40CushWake&amp;index=5&amp;md5=63f270bf7c1f92873f3ce5d33e1be67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le.olivieri@nicpr.it" TargetMode="External"/><Relationship Id="rId1" Type="http://schemas.openxmlformats.org/officeDocument/2006/relationships/hyperlink" Target="mailto:paola.nicolai@nic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Joselyn/GBR</dc:creator>
  <cp:keywords/>
  <dc:description/>
  <cp:lastModifiedBy>Raffaella Pinto/ITA</cp:lastModifiedBy>
  <cp:revision>16</cp:revision>
  <dcterms:created xsi:type="dcterms:W3CDTF">2019-10-08T09:23:00Z</dcterms:created>
  <dcterms:modified xsi:type="dcterms:W3CDTF">2019-10-08T09:45:00Z</dcterms:modified>
</cp:coreProperties>
</file>