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26D58" w14:textId="0202A710" w:rsidR="00B970B4" w:rsidRPr="007E3398" w:rsidRDefault="007E3398" w:rsidP="00B970B4">
      <w:pPr>
        <w:spacing w:line="360" w:lineRule="auto"/>
        <w:jc w:val="center"/>
        <w:rPr>
          <w:rFonts w:asciiTheme="majorHAnsi" w:eastAsia="Calibri" w:hAnsiTheme="majorHAnsi" w:cs="Calibri"/>
          <w:b/>
          <w:bCs/>
          <w:color w:val="A6A6A6" w:themeColor="accent6" w:themeShade="A6"/>
          <w:sz w:val="19"/>
          <w:szCs w:val="19"/>
          <w:lang w:val="it-IT"/>
        </w:rPr>
      </w:pPr>
      <w:bookmarkStart w:id="0" w:name="_Toc433368662"/>
      <w:r w:rsidRPr="007E3398">
        <w:rPr>
          <w:rFonts w:asciiTheme="majorHAnsi" w:eastAsia="Calibri" w:hAnsiTheme="majorHAnsi" w:cs="Calibri"/>
          <w:b/>
          <w:bCs/>
          <w:color w:val="A6A6A6" w:themeColor="accent6" w:themeShade="A6"/>
          <w:sz w:val="19"/>
          <w:szCs w:val="19"/>
          <w:lang w:val="it-IT"/>
        </w:rPr>
        <w:t>COMUNICATO STAMPA</w:t>
      </w:r>
    </w:p>
    <w:p w14:paraId="407C61D7" w14:textId="0AB63095" w:rsidR="00403242" w:rsidRDefault="000D6FEC" w:rsidP="00B970B4">
      <w:pPr>
        <w:spacing w:line="360" w:lineRule="auto"/>
        <w:jc w:val="center"/>
        <w:rPr>
          <w:rFonts w:asciiTheme="majorHAnsi" w:eastAsia="Calibri" w:hAnsiTheme="majorHAnsi" w:cs="Calibri"/>
          <w:b/>
          <w:bCs/>
          <w:color w:val="003B79" w:themeColor="accent1"/>
          <w:sz w:val="19"/>
          <w:szCs w:val="19"/>
          <w:lang w:val="it-IT"/>
        </w:rPr>
      </w:pPr>
      <w:r>
        <w:rPr>
          <w:rFonts w:asciiTheme="majorHAnsi" w:eastAsia="Calibri" w:hAnsiTheme="majorHAnsi" w:cs="Calibri"/>
          <w:b/>
          <w:bCs/>
          <w:color w:val="003B79" w:themeColor="accent1"/>
          <w:sz w:val="19"/>
          <w:szCs w:val="19"/>
          <w:lang w:val="it-IT"/>
        </w:rPr>
        <w:t>LE COMPRAVENDITE</w:t>
      </w:r>
      <w:r w:rsidRPr="00403242">
        <w:rPr>
          <w:rFonts w:asciiTheme="majorHAnsi" w:eastAsia="Calibri" w:hAnsiTheme="majorHAnsi" w:cs="Calibri"/>
          <w:b/>
          <w:bCs/>
          <w:color w:val="003B79" w:themeColor="accent1"/>
          <w:sz w:val="19"/>
          <w:szCs w:val="19"/>
          <w:lang w:val="it-IT"/>
        </w:rPr>
        <w:t xml:space="preserve"> </w:t>
      </w:r>
      <w:r>
        <w:rPr>
          <w:rFonts w:asciiTheme="majorHAnsi" w:eastAsia="Calibri" w:hAnsiTheme="majorHAnsi" w:cs="Calibri"/>
          <w:b/>
          <w:bCs/>
          <w:color w:val="003B79" w:themeColor="accent1"/>
          <w:sz w:val="19"/>
          <w:szCs w:val="19"/>
          <w:lang w:val="it-IT"/>
        </w:rPr>
        <w:t xml:space="preserve">DI UFFICI, NEGOZI E CAPANNONI HANNO SUPERATO I 15,6 MILIARDI DI EURO MA DAL 2013 </w:t>
      </w:r>
      <w:r w:rsidR="001E12D5" w:rsidRPr="00B655F8">
        <w:rPr>
          <w:rFonts w:asciiTheme="majorHAnsi" w:eastAsia="Calibri" w:hAnsiTheme="majorHAnsi" w:cs="Calibri"/>
          <w:b/>
          <w:bCs/>
          <w:color w:val="003B79" w:themeColor="accent1"/>
          <w:sz w:val="19"/>
          <w:szCs w:val="19"/>
          <w:lang w:val="it-IT"/>
        </w:rPr>
        <w:t xml:space="preserve">I PREZZI AL MQ </w:t>
      </w:r>
      <w:r w:rsidR="00BC3988">
        <w:rPr>
          <w:rFonts w:asciiTheme="majorHAnsi" w:eastAsia="Calibri" w:hAnsiTheme="majorHAnsi" w:cs="Calibri"/>
          <w:b/>
          <w:bCs/>
          <w:color w:val="003B79" w:themeColor="accent1"/>
          <w:sz w:val="19"/>
          <w:szCs w:val="19"/>
          <w:lang w:val="it-IT"/>
        </w:rPr>
        <w:t xml:space="preserve">SONO DIMINUITI </w:t>
      </w:r>
      <w:r w:rsidR="00B655F8" w:rsidRPr="00B655F8">
        <w:rPr>
          <w:rFonts w:asciiTheme="majorHAnsi" w:eastAsia="Calibri" w:hAnsiTheme="majorHAnsi" w:cs="Calibri"/>
          <w:b/>
          <w:bCs/>
          <w:color w:val="003B79" w:themeColor="accent1"/>
          <w:sz w:val="19"/>
          <w:szCs w:val="19"/>
          <w:lang w:val="it-IT"/>
        </w:rPr>
        <w:t>DEL 26%</w:t>
      </w:r>
      <w:r>
        <w:rPr>
          <w:rFonts w:asciiTheme="majorHAnsi" w:eastAsia="Calibri" w:hAnsiTheme="majorHAnsi" w:cs="Calibri"/>
          <w:b/>
          <w:bCs/>
          <w:color w:val="003B79" w:themeColor="accent1"/>
          <w:sz w:val="19"/>
          <w:szCs w:val="19"/>
          <w:lang w:val="it-IT"/>
        </w:rPr>
        <w:t>.</w:t>
      </w:r>
    </w:p>
    <w:p w14:paraId="72E2E207" w14:textId="77777777" w:rsidR="00B970B4" w:rsidRDefault="00B970B4" w:rsidP="00270A27">
      <w:pPr>
        <w:jc w:val="both"/>
        <w:rPr>
          <w:rFonts w:ascii="Verdana" w:eastAsia="Calibri" w:hAnsi="Verdana" w:cs="Calibri"/>
          <w:sz w:val="20"/>
          <w:szCs w:val="20"/>
          <w:lang w:val="it-IT"/>
        </w:rPr>
      </w:pPr>
    </w:p>
    <w:p w14:paraId="57C3CF6E" w14:textId="72D5AFA3" w:rsidR="00270A27" w:rsidRDefault="007E3398" w:rsidP="00270A27">
      <w:pPr>
        <w:jc w:val="both"/>
        <w:rPr>
          <w:rFonts w:ascii="Verdana" w:eastAsia="Calibri" w:hAnsi="Verdana" w:cs="Calibri"/>
          <w:sz w:val="20"/>
          <w:szCs w:val="20"/>
          <w:lang w:val="it-IT"/>
        </w:rPr>
      </w:pPr>
      <w:r>
        <w:rPr>
          <w:rFonts w:ascii="Verdana" w:eastAsia="Calibri" w:hAnsi="Verdana" w:cs="Calibri"/>
          <w:sz w:val="20"/>
          <w:szCs w:val="20"/>
          <w:lang w:val="it-IT"/>
        </w:rPr>
        <w:t xml:space="preserve">Bologna, 2 dicembre 2019 - </w:t>
      </w:r>
      <w:r w:rsidR="00270A27">
        <w:rPr>
          <w:rFonts w:ascii="Verdana" w:eastAsia="Calibri" w:hAnsi="Verdana" w:cs="Calibri"/>
          <w:sz w:val="20"/>
          <w:szCs w:val="20"/>
          <w:lang w:val="it-IT"/>
        </w:rPr>
        <w:t xml:space="preserve">Degli immobili presenti sul territorio nazionale, quelli dedicati ad </w:t>
      </w:r>
      <w:r w:rsidR="00270A27" w:rsidRPr="002B64E3">
        <w:rPr>
          <w:rFonts w:ascii="Verdana" w:eastAsia="Calibri" w:hAnsi="Verdana" w:cs="Calibri"/>
          <w:b/>
          <w:sz w:val="20"/>
          <w:szCs w:val="20"/>
          <w:lang w:val="it-IT"/>
        </w:rPr>
        <w:t>attività direzionali, terziarie e produttive rappresentano il 6,5% sul totale</w:t>
      </w:r>
      <w:r w:rsidR="00270A27">
        <w:rPr>
          <w:rFonts w:ascii="Verdana" w:eastAsia="Calibri" w:hAnsi="Verdana" w:cs="Calibri"/>
          <w:sz w:val="20"/>
          <w:szCs w:val="20"/>
          <w:lang w:val="it-IT"/>
        </w:rPr>
        <w:t xml:space="preserve">. Si tratta di poco più di </w:t>
      </w:r>
      <w:r w:rsidR="00270A27" w:rsidRPr="002B64E3">
        <w:rPr>
          <w:rFonts w:ascii="Verdana" w:eastAsia="Calibri" w:hAnsi="Verdana" w:cs="Calibri"/>
          <w:b/>
          <w:sz w:val="20"/>
          <w:szCs w:val="20"/>
          <w:lang w:val="it-IT"/>
        </w:rPr>
        <w:t>4,1 milioni</w:t>
      </w:r>
      <w:r w:rsidR="00270A27">
        <w:rPr>
          <w:rFonts w:ascii="Verdana" w:eastAsia="Calibri" w:hAnsi="Verdana" w:cs="Calibri"/>
          <w:sz w:val="20"/>
          <w:szCs w:val="20"/>
          <w:lang w:val="it-IT"/>
        </w:rPr>
        <w:t xml:space="preserve"> di unità immobiliari rispetto ai quasi 64 milioni complessivi, dove peraltro la parte del leone è rappresentata dalla destinazione residenziale e pertinenze</w:t>
      </w:r>
      <w:r w:rsidR="00BC3988">
        <w:rPr>
          <w:rFonts w:ascii="Verdana" w:eastAsia="Calibri" w:hAnsi="Verdana" w:cs="Calibri"/>
          <w:sz w:val="20"/>
          <w:szCs w:val="20"/>
          <w:lang w:val="it-IT"/>
        </w:rPr>
        <w:t>,</w:t>
      </w:r>
      <w:r w:rsidR="00270A27">
        <w:rPr>
          <w:rFonts w:ascii="Verdana" w:eastAsia="Calibri" w:hAnsi="Verdana" w:cs="Calibri"/>
          <w:sz w:val="20"/>
          <w:szCs w:val="20"/>
          <w:lang w:val="it-IT"/>
        </w:rPr>
        <w:t xml:space="preserve"> che insieme sfiorano le 59 milioni di unità.</w:t>
      </w:r>
    </w:p>
    <w:p w14:paraId="4425808E" w14:textId="5178E753" w:rsidR="000516C4" w:rsidRDefault="00BC3988" w:rsidP="001E12D5">
      <w:pPr>
        <w:jc w:val="both"/>
        <w:rPr>
          <w:rFonts w:ascii="Verdana" w:eastAsia="Calibri" w:hAnsi="Verdana" w:cs="Calibri"/>
          <w:sz w:val="20"/>
          <w:szCs w:val="20"/>
          <w:lang w:val="it-IT"/>
        </w:rPr>
      </w:pPr>
      <w:r>
        <w:rPr>
          <w:rFonts w:ascii="Verdana" w:eastAsia="Calibri" w:hAnsi="Verdana" w:cs="Calibri"/>
          <w:sz w:val="20"/>
          <w:szCs w:val="20"/>
          <w:lang w:val="it-IT"/>
        </w:rPr>
        <w:t xml:space="preserve">Dall’ultima rilevazione </w:t>
      </w:r>
      <w:r w:rsidR="000D6FEC">
        <w:rPr>
          <w:rFonts w:ascii="Verdana" w:eastAsia="Calibri" w:hAnsi="Verdana" w:cs="Calibri"/>
          <w:sz w:val="20"/>
          <w:szCs w:val="20"/>
          <w:lang w:val="it-IT"/>
        </w:rPr>
        <w:t>prodotta</w:t>
      </w:r>
      <w:r w:rsidRPr="00DF4CDA">
        <w:rPr>
          <w:rFonts w:ascii="Verdana" w:eastAsia="Calibri" w:hAnsi="Verdana" w:cs="Calibri"/>
          <w:sz w:val="20"/>
          <w:szCs w:val="20"/>
          <w:lang w:val="it-IT"/>
        </w:rPr>
        <w:t xml:space="preserve"> da CRIF RES – la divisione di CRIF </w:t>
      </w:r>
      <w:r w:rsidR="00DF4CDA" w:rsidRPr="00403242">
        <w:rPr>
          <w:rFonts w:ascii="Verdana" w:eastAsia="Calibri" w:hAnsi="Verdana" w:cs="Calibri"/>
          <w:sz w:val="20"/>
          <w:szCs w:val="20"/>
          <w:lang w:val="it-IT"/>
        </w:rPr>
        <w:t>specializzata nei servizi valutativi e tecnici per il real estate e leader nel mercato bancario</w:t>
      </w:r>
      <w:r w:rsidR="00DF4CDA" w:rsidRPr="00DF4CDA">
        <w:rPr>
          <w:rFonts w:ascii="Verdana" w:eastAsia="Calibri" w:hAnsi="Verdana" w:cs="Calibri"/>
          <w:sz w:val="20"/>
          <w:szCs w:val="20"/>
          <w:lang w:val="it-IT"/>
        </w:rPr>
        <w:t xml:space="preserve"> - </w:t>
      </w:r>
      <w:r w:rsidR="00DF4CDA">
        <w:rPr>
          <w:rFonts w:ascii="Verdana" w:eastAsia="Calibri" w:hAnsi="Verdana" w:cs="Calibri"/>
          <w:sz w:val="20"/>
          <w:szCs w:val="20"/>
          <w:lang w:val="it-IT"/>
        </w:rPr>
        <w:t>g</w:t>
      </w:r>
      <w:r w:rsidR="00DF4CDA" w:rsidRPr="00DF4CDA">
        <w:rPr>
          <w:rFonts w:ascii="Verdana" w:eastAsia="Calibri" w:hAnsi="Verdana" w:cs="Calibri"/>
          <w:sz w:val="20"/>
          <w:szCs w:val="20"/>
          <w:lang w:val="it-IT"/>
        </w:rPr>
        <w:t xml:space="preserve">li </w:t>
      </w:r>
      <w:r w:rsidR="000516C4" w:rsidRPr="00DF4CDA">
        <w:rPr>
          <w:rFonts w:ascii="Verdana" w:eastAsia="Calibri" w:hAnsi="Verdana" w:cs="Calibri"/>
          <w:sz w:val="20"/>
          <w:szCs w:val="20"/>
          <w:lang w:val="it-IT"/>
        </w:rPr>
        <w:t>immobili destinati alle attività economiche</w:t>
      </w:r>
      <w:r w:rsidR="00E500BF" w:rsidRPr="00DF4CDA">
        <w:rPr>
          <w:rFonts w:ascii="Verdana" w:eastAsia="Calibri" w:hAnsi="Verdana" w:cs="Calibri"/>
          <w:sz w:val="20"/>
          <w:szCs w:val="20"/>
          <w:lang w:val="it-IT"/>
        </w:rPr>
        <w:t xml:space="preserve"> </w:t>
      </w:r>
      <w:r w:rsidR="000D6FEC">
        <w:rPr>
          <w:rFonts w:ascii="Verdana" w:eastAsia="Calibri" w:hAnsi="Verdana" w:cs="Calibri"/>
          <w:sz w:val="20"/>
          <w:szCs w:val="20"/>
          <w:lang w:val="it-IT"/>
        </w:rPr>
        <w:t xml:space="preserve">hanno </w:t>
      </w:r>
      <w:r w:rsidR="000516C4" w:rsidRPr="00DF4CDA">
        <w:rPr>
          <w:rFonts w:ascii="Verdana" w:eastAsia="Calibri" w:hAnsi="Verdana" w:cs="Calibri"/>
          <w:sz w:val="20"/>
          <w:szCs w:val="20"/>
          <w:lang w:val="it-IT"/>
        </w:rPr>
        <w:t>origina</w:t>
      </w:r>
      <w:r w:rsidR="000D6FEC">
        <w:rPr>
          <w:rFonts w:ascii="Verdana" w:eastAsia="Calibri" w:hAnsi="Verdana" w:cs="Calibri"/>
          <w:sz w:val="20"/>
          <w:szCs w:val="20"/>
          <w:lang w:val="it-IT"/>
        </w:rPr>
        <w:t>t</w:t>
      </w:r>
      <w:r w:rsidR="000516C4" w:rsidRPr="00DF4CDA">
        <w:rPr>
          <w:rFonts w:ascii="Verdana" w:eastAsia="Calibri" w:hAnsi="Verdana" w:cs="Calibri"/>
          <w:sz w:val="20"/>
          <w:szCs w:val="20"/>
          <w:lang w:val="it-IT"/>
        </w:rPr>
        <w:t xml:space="preserve">o oltre </w:t>
      </w:r>
      <w:r w:rsidR="000516C4" w:rsidRPr="00DF4CDA">
        <w:rPr>
          <w:rFonts w:ascii="Verdana" w:eastAsia="Calibri" w:hAnsi="Verdana" w:cs="Calibri"/>
          <w:b/>
          <w:sz w:val="20"/>
          <w:szCs w:val="20"/>
          <w:lang w:val="it-IT"/>
        </w:rPr>
        <w:t>51</w:t>
      </w:r>
      <w:r w:rsidR="000516C4" w:rsidRPr="002B64E3">
        <w:rPr>
          <w:rFonts w:ascii="Verdana" w:eastAsia="Calibri" w:hAnsi="Verdana" w:cs="Calibri"/>
          <w:b/>
          <w:sz w:val="20"/>
          <w:szCs w:val="20"/>
          <w:lang w:val="it-IT"/>
        </w:rPr>
        <w:t xml:space="preserve"> mila transazioni immobiliari</w:t>
      </w:r>
      <w:r w:rsidR="000516C4">
        <w:rPr>
          <w:rFonts w:ascii="Verdana" w:eastAsia="Calibri" w:hAnsi="Verdana" w:cs="Calibri"/>
          <w:sz w:val="20"/>
          <w:szCs w:val="20"/>
          <w:lang w:val="it-IT"/>
        </w:rPr>
        <w:t xml:space="preserve"> (a fronte delle 578 mila riguardanti le sole abitazioni)</w:t>
      </w:r>
      <w:r w:rsidR="008C271C">
        <w:rPr>
          <w:rFonts w:ascii="Verdana" w:eastAsia="Calibri" w:hAnsi="Verdana" w:cs="Calibri"/>
          <w:sz w:val="20"/>
          <w:szCs w:val="20"/>
          <w:lang w:val="it-IT"/>
        </w:rPr>
        <w:t xml:space="preserve"> </w:t>
      </w:r>
      <w:r w:rsidR="00E500BF">
        <w:rPr>
          <w:rFonts w:ascii="Verdana" w:eastAsia="Calibri" w:hAnsi="Verdana" w:cs="Calibri"/>
          <w:sz w:val="20"/>
          <w:szCs w:val="20"/>
          <w:lang w:val="it-IT"/>
        </w:rPr>
        <w:t xml:space="preserve">per </w:t>
      </w:r>
      <w:r w:rsidR="00E500BF" w:rsidRPr="002B64E3">
        <w:rPr>
          <w:rFonts w:ascii="Verdana" w:eastAsia="Calibri" w:hAnsi="Verdana" w:cs="Calibri"/>
          <w:b/>
          <w:sz w:val="20"/>
          <w:szCs w:val="20"/>
          <w:lang w:val="it-IT"/>
        </w:rPr>
        <w:t>un fatturato</w:t>
      </w:r>
      <w:r w:rsidR="002B64E3">
        <w:rPr>
          <w:rFonts w:ascii="Verdana" w:eastAsia="Calibri" w:hAnsi="Verdana" w:cs="Calibri"/>
          <w:b/>
          <w:sz w:val="20"/>
          <w:szCs w:val="20"/>
          <w:lang w:val="it-IT"/>
        </w:rPr>
        <w:t xml:space="preserve"> immobiliare</w:t>
      </w:r>
      <w:r w:rsidR="00DF4CDA">
        <w:rPr>
          <w:rFonts w:ascii="Verdana" w:eastAsia="Calibri" w:hAnsi="Verdana" w:cs="Calibri"/>
          <w:sz w:val="20"/>
          <w:szCs w:val="20"/>
          <w:lang w:val="it-IT"/>
        </w:rPr>
        <w:t>,</w:t>
      </w:r>
      <w:r w:rsidR="00E500BF">
        <w:rPr>
          <w:rFonts w:ascii="Verdana" w:eastAsia="Calibri" w:hAnsi="Verdana" w:cs="Calibri"/>
          <w:sz w:val="20"/>
          <w:szCs w:val="20"/>
          <w:lang w:val="it-IT"/>
        </w:rPr>
        <w:t xml:space="preserve"> prodotto del numero di compravendite per il</w:t>
      </w:r>
      <w:r w:rsidR="000516C4">
        <w:rPr>
          <w:rFonts w:ascii="Verdana" w:eastAsia="Calibri" w:hAnsi="Verdana" w:cs="Calibri"/>
          <w:sz w:val="20"/>
          <w:szCs w:val="20"/>
          <w:lang w:val="it-IT"/>
        </w:rPr>
        <w:t xml:space="preserve"> loro valore</w:t>
      </w:r>
      <w:r w:rsidR="00DF4CDA">
        <w:rPr>
          <w:rFonts w:ascii="Verdana" w:eastAsia="Calibri" w:hAnsi="Verdana" w:cs="Calibri"/>
          <w:sz w:val="20"/>
          <w:szCs w:val="20"/>
          <w:lang w:val="it-IT"/>
        </w:rPr>
        <w:t>,</w:t>
      </w:r>
      <w:r w:rsidR="000516C4">
        <w:rPr>
          <w:rFonts w:ascii="Verdana" w:eastAsia="Calibri" w:hAnsi="Verdana" w:cs="Calibri"/>
          <w:sz w:val="20"/>
          <w:szCs w:val="20"/>
          <w:lang w:val="it-IT"/>
        </w:rPr>
        <w:t xml:space="preserve"> di </w:t>
      </w:r>
      <w:r w:rsidR="000516C4" w:rsidRPr="002B64E3">
        <w:rPr>
          <w:rFonts w:ascii="Verdana" w:eastAsia="Calibri" w:hAnsi="Verdana" w:cs="Calibri"/>
          <w:b/>
          <w:sz w:val="20"/>
          <w:szCs w:val="20"/>
          <w:lang w:val="it-IT"/>
        </w:rPr>
        <w:t>15,6 miliardi</w:t>
      </w:r>
      <w:r w:rsidR="000D6FEC">
        <w:rPr>
          <w:rFonts w:ascii="Verdana" w:eastAsia="Calibri" w:hAnsi="Verdana" w:cs="Calibri"/>
          <w:b/>
          <w:sz w:val="20"/>
          <w:szCs w:val="20"/>
          <w:lang w:val="it-IT"/>
        </w:rPr>
        <w:t xml:space="preserve"> di euro</w:t>
      </w:r>
      <w:r w:rsidR="000516C4">
        <w:rPr>
          <w:rFonts w:ascii="Verdana" w:eastAsia="Calibri" w:hAnsi="Verdana" w:cs="Calibri"/>
          <w:sz w:val="20"/>
          <w:szCs w:val="20"/>
          <w:lang w:val="it-IT"/>
        </w:rPr>
        <w:t>, ovvero un sesto di quanto registrato per il comparto residenziale (pari a 94,3 miliardi di euro).</w:t>
      </w:r>
    </w:p>
    <w:p w14:paraId="22D11876" w14:textId="49CA4DC3" w:rsidR="006C418E" w:rsidRPr="001E12D5" w:rsidRDefault="006C418E" w:rsidP="006C418E">
      <w:pPr>
        <w:jc w:val="both"/>
        <w:rPr>
          <w:rFonts w:ascii="Verdana" w:eastAsia="Calibri" w:hAnsi="Verdana" w:cs="Calibri"/>
          <w:sz w:val="20"/>
          <w:szCs w:val="20"/>
          <w:lang w:val="it-IT"/>
        </w:rPr>
      </w:pPr>
      <w:r w:rsidRPr="006C418E">
        <w:rPr>
          <w:rFonts w:ascii="Verdana" w:eastAsia="Calibri" w:hAnsi="Verdana" w:cs="Calibri"/>
          <w:sz w:val="20"/>
          <w:szCs w:val="20"/>
          <w:lang w:val="it-IT"/>
        </w:rPr>
        <w:t xml:space="preserve">Da queste prime evidenze si deduce che il peso effettivo del comparto, pur essendo caratterizzato da un volume di scambi relativamente contenuto, in realtà determini un </w:t>
      </w:r>
      <w:r w:rsidRPr="002B64E3">
        <w:rPr>
          <w:rFonts w:ascii="Verdana" w:eastAsia="Calibri" w:hAnsi="Verdana" w:cs="Calibri"/>
          <w:b/>
          <w:sz w:val="20"/>
          <w:szCs w:val="20"/>
          <w:lang w:val="it-IT"/>
        </w:rPr>
        <w:t>valore commerciale</w:t>
      </w:r>
      <w:r w:rsidRPr="006C418E">
        <w:rPr>
          <w:rFonts w:ascii="Verdana" w:eastAsia="Calibri" w:hAnsi="Verdana" w:cs="Calibri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z w:val="20"/>
          <w:szCs w:val="20"/>
          <w:lang w:val="it-IT"/>
        </w:rPr>
        <w:t>ben più consistente e</w:t>
      </w:r>
      <w:r w:rsidRPr="006C418E">
        <w:rPr>
          <w:rFonts w:ascii="Verdana" w:eastAsia="Calibri" w:hAnsi="Verdana" w:cs="Calibri"/>
          <w:sz w:val="20"/>
          <w:szCs w:val="20"/>
          <w:lang w:val="it-IT"/>
        </w:rPr>
        <w:t xml:space="preserve"> pari al </w:t>
      </w:r>
      <w:r w:rsidRPr="002B64E3">
        <w:rPr>
          <w:rFonts w:ascii="Verdana" w:eastAsia="Calibri" w:hAnsi="Verdana" w:cs="Calibri"/>
          <w:b/>
          <w:sz w:val="20"/>
          <w:szCs w:val="20"/>
          <w:lang w:val="it-IT"/>
        </w:rPr>
        <w:t>14% del mercato immobiliare italiano</w:t>
      </w:r>
      <w:r w:rsidR="00DF4CDA">
        <w:rPr>
          <w:rFonts w:ascii="Verdana" w:eastAsia="Calibri" w:hAnsi="Verdana" w:cs="Calibri"/>
          <w:b/>
          <w:sz w:val="20"/>
          <w:szCs w:val="20"/>
          <w:lang w:val="it-IT"/>
        </w:rPr>
        <w:t xml:space="preserve"> </w:t>
      </w:r>
      <w:r w:rsidR="00DF4CDA" w:rsidRPr="00403242">
        <w:rPr>
          <w:rFonts w:ascii="Verdana" w:eastAsia="Calibri" w:hAnsi="Verdana" w:cs="Calibri"/>
          <w:sz w:val="20"/>
          <w:szCs w:val="20"/>
          <w:lang w:val="it-IT"/>
        </w:rPr>
        <w:t>nel suo complesso</w:t>
      </w:r>
      <w:r w:rsidRPr="00DF4CDA">
        <w:rPr>
          <w:rFonts w:ascii="Verdana" w:eastAsia="Calibri" w:hAnsi="Verdana" w:cs="Calibri"/>
          <w:sz w:val="20"/>
          <w:szCs w:val="20"/>
          <w:lang w:val="it-IT"/>
        </w:rPr>
        <w:t>, da cui s</w:t>
      </w:r>
      <w:r>
        <w:rPr>
          <w:rFonts w:ascii="Verdana" w:eastAsia="Calibri" w:hAnsi="Verdana" w:cs="Calibri"/>
          <w:sz w:val="20"/>
          <w:szCs w:val="20"/>
          <w:lang w:val="it-IT"/>
        </w:rPr>
        <w:t xml:space="preserve">i </w:t>
      </w:r>
      <w:r w:rsidR="000D6FEC">
        <w:rPr>
          <w:rFonts w:ascii="Verdana" w:eastAsia="Calibri" w:hAnsi="Verdana" w:cs="Calibri"/>
          <w:sz w:val="20"/>
          <w:szCs w:val="20"/>
          <w:lang w:val="it-IT"/>
        </w:rPr>
        <w:t>ha conferma del fatto</w:t>
      </w:r>
      <w:r w:rsidR="000D6FEC" w:rsidRPr="006C418E">
        <w:rPr>
          <w:rFonts w:ascii="Verdana" w:eastAsia="Calibri" w:hAnsi="Verdana" w:cs="Calibri"/>
          <w:sz w:val="20"/>
          <w:szCs w:val="20"/>
          <w:lang w:val="it-IT"/>
        </w:rPr>
        <w:t xml:space="preserve"> </w:t>
      </w:r>
      <w:r w:rsidRPr="006C418E">
        <w:rPr>
          <w:rFonts w:ascii="Verdana" w:eastAsia="Calibri" w:hAnsi="Verdana" w:cs="Calibri"/>
          <w:sz w:val="20"/>
          <w:szCs w:val="20"/>
          <w:lang w:val="it-IT"/>
        </w:rPr>
        <w:t xml:space="preserve">che </w:t>
      </w:r>
      <w:r w:rsidRPr="002B64E3">
        <w:rPr>
          <w:rFonts w:ascii="Verdana" w:eastAsia="Calibri" w:hAnsi="Verdana" w:cs="Calibri"/>
          <w:b/>
          <w:sz w:val="20"/>
          <w:szCs w:val="20"/>
          <w:lang w:val="it-IT"/>
        </w:rPr>
        <w:t>i valori medi per unità compravenduta risultano significativamente più elevati rispetto a quelli rilevati per il residenziale</w:t>
      </w:r>
      <w:r w:rsidRPr="006C418E">
        <w:rPr>
          <w:rFonts w:ascii="Verdana" w:eastAsia="Calibri" w:hAnsi="Verdana" w:cs="Calibri"/>
          <w:sz w:val="20"/>
          <w:szCs w:val="20"/>
          <w:lang w:val="it-IT"/>
        </w:rPr>
        <w:t>.</w:t>
      </w:r>
    </w:p>
    <w:p w14:paraId="3117AD34" w14:textId="64F44B9A" w:rsidR="000516C4" w:rsidRDefault="00DF4CDA" w:rsidP="001E12D5">
      <w:pPr>
        <w:jc w:val="both"/>
        <w:rPr>
          <w:rFonts w:ascii="Verdana" w:eastAsia="Calibri" w:hAnsi="Verdana" w:cs="Calibri"/>
          <w:sz w:val="20"/>
          <w:szCs w:val="20"/>
          <w:lang w:val="it-IT"/>
        </w:rPr>
      </w:pPr>
      <w:r>
        <w:rPr>
          <w:rFonts w:ascii="Verdana" w:eastAsia="Calibri" w:hAnsi="Verdana" w:cs="Calibri"/>
          <w:sz w:val="20"/>
          <w:szCs w:val="20"/>
          <w:lang w:val="it-IT"/>
        </w:rPr>
        <w:t>Nello specifico, d</w:t>
      </w:r>
      <w:r w:rsidR="000516C4">
        <w:rPr>
          <w:rFonts w:ascii="Verdana" w:eastAsia="Calibri" w:hAnsi="Verdana" w:cs="Calibri"/>
          <w:sz w:val="20"/>
          <w:szCs w:val="20"/>
          <w:lang w:val="it-IT"/>
        </w:rPr>
        <w:t xml:space="preserve">elle 51.571 compravendite </w:t>
      </w:r>
      <w:r w:rsidR="007E1360">
        <w:rPr>
          <w:rFonts w:ascii="Verdana" w:eastAsia="Calibri" w:hAnsi="Verdana" w:cs="Calibri"/>
          <w:sz w:val="20"/>
          <w:szCs w:val="20"/>
          <w:lang w:val="it-IT"/>
        </w:rPr>
        <w:t>di</w:t>
      </w:r>
      <w:r w:rsidR="00E500BF">
        <w:rPr>
          <w:rFonts w:ascii="Verdana" w:eastAsia="Calibri" w:hAnsi="Verdana" w:cs="Calibri"/>
          <w:sz w:val="20"/>
          <w:szCs w:val="20"/>
          <w:lang w:val="it-IT"/>
        </w:rPr>
        <w:t xml:space="preserve"> immobili non residenziali</w:t>
      </w:r>
      <w:r w:rsidR="000516C4">
        <w:rPr>
          <w:rFonts w:ascii="Verdana" w:eastAsia="Calibri" w:hAnsi="Verdana" w:cs="Calibri"/>
          <w:sz w:val="20"/>
          <w:szCs w:val="20"/>
          <w:lang w:val="it-IT"/>
        </w:rPr>
        <w:t xml:space="preserve">, il 57% è costituito da negozi (circa 30 mila transazioni), </w:t>
      </w:r>
      <w:r w:rsidR="00A92C16">
        <w:rPr>
          <w:rFonts w:ascii="Verdana" w:eastAsia="Calibri" w:hAnsi="Verdana" w:cs="Calibri"/>
          <w:sz w:val="20"/>
          <w:szCs w:val="20"/>
          <w:lang w:val="it-IT"/>
        </w:rPr>
        <w:t>il 24% da capannoni e il restant</w:t>
      </w:r>
      <w:r w:rsidR="00CB0567">
        <w:rPr>
          <w:rFonts w:ascii="Verdana" w:eastAsia="Calibri" w:hAnsi="Verdana" w:cs="Calibri"/>
          <w:sz w:val="20"/>
          <w:szCs w:val="20"/>
          <w:lang w:val="it-IT"/>
        </w:rPr>
        <w:t>e</w:t>
      </w:r>
      <w:r w:rsidR="00A92C16">
        <w:rPr>
          <w:rFonts w:ascii="Verdana" w:eastAsia="Calibri" w:hAnsi="Verdana" w:cs="Calibri"/>
          <w:sz w:val="20"/>
          <w:szCs w:val="20"/>
          <w:lang w:val="it-IT"/>
        </w:rPr>
        <w:t xml:space="preserve"> 19% da uffici</w:t>
      </w:r>
      <w:r w:rsidR="00E500BF">
        <w:rPr>
          <w:rFonts w:ascii="Verdana" w:eastAsia="Calibri" w:hAnsi="Verdana" w:cs="Calibri"/>
          <w:sz w:val="20"/>
          <w:szCs w:val="20"/>
          <w:lang w:val="it-IT"/>
        </w:rPr>
        <w:t xml:space="preserve"> (fig. 1)</w:t>
      </w:r>
      <w:r w:rsidR="00A92C16">
        <w:rPr>
          <w:rFonts w:ascii="Verdana" w:eastAsia="Calibri" w:hAnsi="Verdana" w:cs="Calibri"/>
          <w:sz w:val="20"/>
          <w:szCs w:val="20"/>
          <w:lang w:val="it-IT"/>
        </w:rPr>
        <w:t xml:space="preserve">. </w:t>
      </w:r>
      <w:r w:rsidR="00A92C16" w:rsidRPr="002B64E3">
        <w:rPr>
          <w:rFonts w:ascii="Verdana" w:eastAsia="Calibri" w:hAnsi="Verdana" w:cs="Calibri"/>
          <w:b/>
          <w:sz w:val="20"/>
          <w:szCs w:val="20"/>
          <w:lang w:val="it-IT"/>
        </w:rPr>
        <w:t>Complessivamente il volume delle compravendite è cresciuto del</w:t>
      </w:r>
      <w:r>
        <w:rPr>
          <w:rFonts w:ascii="Verdana" w:eastAsia="Calibri" w:hAnsi="Verdana" w:cs="Calibri"/>
          <w:b/>
          <w:sz w:val="20"/>
          <w:szCs w:val="20"/>
          <w:lang w:val="it-IT"/>
        </w:rPr>
        <w:t xml:space="preserve"> +</w:t>
      </w:r>
      <w:r w:rsidR="00A92C16" w:rsidRPr="002B64E3">
        <w:rPr>
          <w:rFonts w:ascii="Verdana" w:eastAsia="Calibri" w:hAnsi="Verdana" w:cs="Calibri"/>
          <w:b/>
          <w:sz w:val="20"/>
          <w:szCs w:val="20"/>
          <w:lang w:val="it-IT"/>
        </w:rPr>
        <w:t>1,9%</w:t>
      </w:r>
      <w:r w:rsidR="007E1360" w:rsidRPr="00403242">
        <w:rPr>
          <w:rFonts w:ascii="Verdana" w:eastAsia="Calibri" w:hAnsi="Verdana" w:cs="Calibri"/>
          <w:sz w:val="20"/>
          <w:szCs w:val="20"/>
          <w:lang w:val="it-IT"/>
        </w:rPr>
        <w:t xml:space="preserve"> rispetto all’anno precedente</w:t>
      </w:r>
      <w:r w:rsidR="00CB0567" w:rsidRPr="00403242">
        <w:rPr>
          <w:rFonts w:ascii="Verdana" w:eastAsia="Calibri" w:hAnsi="Verdana" w:cs="Calibri"/>
          <w:sz w:val="20"/>
          <w:szCs w:val="20"/>
          <w:lang w:val="it-IT"/>
        </w:rPr>
        <w:t>,</w:t>
      </w:r>
      <w:r w:rsidR="00CB0567">
        <w:rPr>
          <w:rFonts w:ascii="Verdana" w:eastAsia="Calibri" w:hAnsi="Verdana" w:cs="Calibri"/>
          <w:sz w:val="20"/>
          <w:szCs w:val="20"/>
          <w:lang w:val="it-IT"/>
        </w:rPr>
        <w:t xml:space="preserve"> </w:t>
      </w:r>
      <w:r w:rsidR="007E1360">
        <w:rPr>
          <w:rFonts w:ascii="Verdana" w:eastAsia="Calibri" w:hAnsi="Verdana" w:cs="Calibri"/>
          <w:sz w:val="20"/>
          <w:szCs w:val="20"/>
          <w:lang w:val="it-IT"/>
        </w:rPr>
        <w:t xml:space="preserve">dato </w:t>
      </w:r>
      <w:r w:rsidR="00A92C16">
        <w:rPr>
          <w:rFonts w:ascii="Verdana" w:eastAsia="Calibri" w:hAnsi="Verdana" w:cs="Calibri"/>
          <w:sz w:val="20"/>
          <w:szCs w:val="20"/>
          <w:lang w:val="it-IT"/>
        </w:rPr>
        <w:t xml:space="preserve">che sintetizza andamenti diversificati: crescita del </w:t>
      </w:r>
      <w:r w:rsidR="007E1360">
        <w:rPr>
          <w:rFonts w:ascii="Verdana" w:eastAsia="Calibri" w:hAnsi="Verdana" w:cs="Calibri"/>
          <w:sz w:val="20"/>
          <w:szCs w:val="20"/>
          <w:lang w:val="it-IT"/>
        </w:rPr>
        <w:t>+</w:t>
      </w:r>
      <w:r w:rsidR="00A92C16">
        <w:rPr>
          <w:rFonts w:ascii="Verdana" w:eastAsia="Calibri" w:hAnsi="Verdana" w:cs="Calibri"/>
          <w:sz w:val="20"/>
          <w:szCs w:val="20"/>
          <w:lang w:val="it-IT"/>
        </w:rPr>
        <w:t xml:space="preserve">4,6% </w:t>
      </w:r>
      <w:r w:rsidR="00270A27">
        <w:rPr>
          <w:rFonts w:ascii="Verdana" w:eastAsia="Calibri" w:hAnsi="Verdana" w:cs="Calibri"/>
          <w:sz w:val="20"/>
          <w:szCs w:val="20"/>
          <w:lang w:val="it-IT"/>
        </w:rPr>
        <w:t>per il</w:t>
      </w:r>
      <w:r w:rsidR="00A92C16">
        <w:rPr>
          <w:rFonts w:ascii="Verdana" w:eastAsia="Calibri" w:hAnsi="Verdana" w:cs="Calibri"/>
          <w:sz w:val="20"/>
          <w:szCs w:val="20"/>
          <w:lang w:val="it-IT"/>
        </w:rPr>
        <w:t xml:space="preserve"> comparto commerciale, flessione del -3,7% </w:t>
      </w:r>
      <w:r w:rsidR="00270A27">
        <w:rPr>
          <w:rFonts w:ascii="Verdana" w:eastAsia="Calibri" w:hAnsi="Verdana" w:cs="Calibri"/>
          <w:sz w:val="20"/>
          <w:szCs w:val="20"/>
          <w:lang w:val="it-IT"/>
        </w:rPr>
        <w:t>per</w:t>
      </w:r>
      <w:r w:rsidR="00A92C16">
        <w:rPr>
          <w:rFonts w:ascii="Verdana" w:eastAsia="Calibri" w:hAnsi="Verdana" w:cs="Calibri"/>
          <w:sz w:val="20"/>
          <w:szCs w:val="20"/>
          <w:lang w:val="it-IT"/>
        </w:rPr>
        <w:t xml:space="preserve"> quello direzionale, sostanziale stabilità per quello produttivo</w:t>
      </w:r>
      <w:r w:rsidR="00E500BF">
        <w:rPr>
          <w:rFonts w:ascii="Verdana" w:eastAsia="Calibri" w:hAnsi="Verdana" w:cs="Calibri"/>
          <w:sz w:val="20"/>
          <w:szCs w:val="20"/>
          <w:lang w:val="it-IT"/>
        </w:rPr>
        <w:t xml:space="preserve"> (tav. 1)</w:t>
      </w:r>
      <w:r w:rsidR="00A92C16">
        <w:rPr>
          <w:rFonts w:ascii="Verdana" w:eastAsia="Calibri" w:hAnsi="Verdana" w:cs="Calibri"/>
          <w:sz w:val="20"/>
          <w:szCs w:val="20"/>
          <w:lang w:val="it-IT"/>
        </w:rPr>
        <w:t>.</w:t>
      </w:r>
    </w:p>
    <w:p w14:paraId="0347D9F2" w14:textId="0B053BB3" w:rsidR="00CB0567" w:rsidRDefault="00CB0567" w:rsidP="00CB0567">
      <w:pPr>
        <w:jc w:val="both"/>
        <w:rPr>
          <w:rFonts w:ascii="Verdana" w:eastAsia="Calibri" w:hAnsi="Verdana" w:cs="Calibri"/>
          <w:sz w:val="20"/>
          <w:szCs w:val="20"/>
          <w:lang w:val="it-IT"/>
        </w:rPr>
      </w:pPr>
      <w:r>
        <w:rPr>
          <w:rFonts w:ascii="Verdana" w:eastAsia="Calibri" w:hAnsi="Verdana" w:cs="Calibri"/>
          <w:sz w:val="20"/>
          <w:szCs w:val="20"/>
          <w:lang w:val="it-IT"/>
        </w:rPr>
        <w:t>Se però parliamo di fatturato</w:t>
      </w:r>
      <w:r w:rsidR="002B64E3">
        <w:rPr>
          <w:rFonts w:ascii="Verdana" w:eastAsia="Calibri" w:hAnsi="Verdana" w:cs="Calibri"/>
          <w:sz w:val="20"/>
          <w:szCs w:val="20"/>
          <w:lang w:val="it-IT"/>
        </w:rPr>
        <w:t xml:space="preserve"> immobiliare</w:t>
      </w:r>
      <w:r w:rsidR="00E500BF">
        <w:rPr>
          <w:rFonts w:ascii="Verdana" w:eastAsia="Calibri" w:hAnsi="Verdana" w:cs="Calibri"/>
          <w:sz w:val="20"/>
          <w:szCs w:val="20"/>
          <w:lang w:val="it-IT"/>
        </w:rPr>
        <w:t>,</w:t>
      </w:r>
      <w:r>
        <w:rPr>
          <w:rFonts w:ascii="Verdana" w:eastAsia="Calibri" w:hAnsi="Verdana" w:cs="Calibri"/>
          <w:sz w:val="20"/>
          <w:szCs w:val="20"/>
          <w:lang w:val="it-IT"/>
        </w:rPr>
        <w:t xml:space="preserve"> i rapporti di forza si presentano diversamente in quanto i capannoni costituiscono ben il 42% del totale, poco al di sopra de</w:t>
      </w:r>
      <w:r w:rsidR="00E500BF">
        <w:rPr>
          <w:rFonts w:ascii="Verdana" w:eastAsia="Calibri" w:hAnsi="Verdana" w:cs="Calibri"/>
          <w:sz w:val="20"/>
          <w:szCs w:val="20"/>
          <w:lang w:val="it-IT"/>
        </w:rPr>
        <w:t>l</w:t>
      </w:r>
      <w:r>
        <w:rPr>
          <w:rFonts w:ascii="Verdana" w:eastAsia="Calibri" w:hAnsi="Verdana" w:cs="Calibri"/>
          <w:sz w:val="20"/>
          <w:szCs w:val="20"/>
          <w:lang w:val="it-IT"/>
        </w:rPr>
        <w:t xml:space="preserve"> settore commerciale che, a sua volta, costituisce il doppio di quello direzionale</w:t>
      </w:r>
      <w:r w:rsidR="00E500BF">
        <w:rPr>
          <w:rFonts w:ascii="Verdana" w:eastAsia="Calibri" w:hAnsi="Verdana" w:cs="Calibri"/>
          <w:sz w:val="20"/>
          <w:szCs w:val="20"/>
          <w:lang w:val="it-IT"/>
        </w:rPr>
        <w:t xml:space="preserve"> (fig. 1)</w:t>
      </w:r>
      <w:r>
        <w:rPr>
          <w:rFonts w:ascii="Verdana" w:eastAsia="Calibri" w:hAnsi="Verdana" w:cs="Calibri"/>
          <w:sz w:val="20"/>
          <w:szCs w:val="20"/>
          <w:lang w:val="it-IT"/>
        </w:rPr>
        <w:t>.</w:t>
      </w:r>
    </w:p>
    <w:p w14:paraId="3BAD8388" w14:textId="0379CC19" w:rsidR="00403242" w:rsidRDefault="007E1360" w:rsidP="00403242">
      <w:pPr>
        <w:jc w:val="both"/>
        <w:rPr>
          <w:rFonts w:ascii="Verdana" w:eastAsia="Calibri" w:hAnsi="Verdana" w:cs="Calibri"/>
          <w:sz w:val="20"/>
          <w:szCs w:val="20"/>
          <w:lang w:val="it-IT"/>
        </w:rPr>
      </w:pPr>
      <w:r>
        <w:rPr>
          <w:rFonts w:ascii="Verdana" w:eastAsia="Calibri" w:hAnsi="Verdana" w:cs="Calibri"/>
          <w:sz w:val="20"/>
          <w:szCs w:val="20"/>
          <w:lang w:val="it-IT"/>
        </w:rPr>
        <w:t>I</w:t>
      </w:r>
      <w:r w:rsidR="00CB0567">
        <w:rPr>
          <w:rFonts w:ascii="Verdana" w:eastAsia="Calibri" w:hAnsi="Verdana" w:cs="Calibri"/>
          <w:sz w:val="20"/>
          <w:szCs w:val="20"/>
          <w:lang w:val="it-IT"/>
        </w:rPr>
        <w:t xml:space="preserve">noltre, a fronte di una sostanziale invarianza del </w:t>
      </w:r>
      <w:r w:rsidR="00CB0567" w:rsidRPr="002B64E3">
        <w:rPr>
          <w:rFonts w:ascii="Verdana" w:eastAsia="Calibri" w:hAnsi="Verdana" w:cs="Calibri"/>
          <w:b/>
          <w:sz w:val="20"/>
          <w:szCs w:val="20"/>
          <w:lang w:val="it-IT"/>
        </w:rPr>
        <w:t xml:space="preserve">fatturato </w:t>
      </w:r>
      <w:r w:rsidR="00CB0567">
        <w:rPr>
          <w:rFonts w:ascii="Verdana" w:eastAsia="Calibri" w:hAnsi="Verdana" w:cs="Calibri"/>
          <w:sz w:val="20"/>
          <w:szCs w:val="20"/>
          <w:lang w:val="it-IT"/>
        </w:rPr>
        <w:t xml:space="preserve">generato da questi tre mercati </w:t>
      </w:r>
      <w:r w:rsidR="00CB0567" w:rsidRPr="002B64E3">
        <w:rPr>
          <w:rFonts w:ascii="Verdana" w:eastAsia="Calibri" w:hAnsi="Verdana" w:cs="Calibri"/>
          <w:b/>
          <w:sz w:val="20"/>
          <w:szCs w:val="20"/>
          <w:lang w:val="it-IT"/>
        </w:rPr>
        <w:t>(-0,4%</w:t>
      </w:r>
      <w:r w:rsidRPr="00403242">
        <w:rPr>
          <w:rFonts w:ascii="Verdana" w:eastAsia="Calibri" w:hAnsi="Verdana" w:cs="Calibri"/>
          <w:sz w:val="20"/>
          <w:szCs w:val="20"/>
          <w:lang w:val="it-IT"/>
        </w:rPr>
        <w:t xml:space="preserve"> nel 2018</w:t>
      </w:r>
      <w:r w:rsidR="00CB0567" w:rsidRPr="002B64E3">
        <w:rPr>
          <w:rFonts w:ascii="Verdana" w:eastAsia="Calibri" w:hAnsi="Verdana" w:cs="Calibri"/>
          <w:b/>
          <w:sz w:val="20"/>
          <w:szCs w:val="20"/>
          <w:lang w:val="it-IT"/>
        </w:rPr>
        <w:t>),</w:t>
      </w:r>
      <w:r w:rsidR="00CB0567">
        <w:rPr>
          <w:rFonts w:ascii="Verdana" w:eastAsia="Calibri" w:hAnsi="Verdana" w:cs="Calibri"/>
          <w:sz w:val="20"/>
          <w:szCs w:val="20"/>
          <w:lang w:val="it-IT"/>
        </w:rPr>
        <w:t xml:space="preserve"> si osserva una crescita del </w:t>
      </w:r>
      <w:r>
        <w:rPr>
          <w:rFonts w:ascii="Verdana" w:eastAsia="Calibri" w:hAnsi="Verdana" w:cs="Calibri"/>
          <w:sz w:val="20"/>
          <w:szCs w:val="20"/>
          <w:lang w:val="it-IT"/>
        </w:rPr>
        <w:t>+</w:t>
      </w:r>
      <w:r w:rsidR="00CB0567">
        <w:rPr>
          <w:rFonts w:ascii="Verdana" w:eastAsia="Calibri" w:hAnsi="Verdana" w:cs="Calibri"/>
          <w:sz w:val="20"/>
          <w:szCs w:val="20"/>
          <w:lang w:val="it-IT"/>
        </w:rPr>
        <w:t xml:space="preserve">2,9% del mercato dei negozi e una contestuale diminuzione dei capannoni, mentre gli uffici restano pressoché sui livelli dell’anno </w:t>
      </w:r>
      <w:r w:rsidR="00DF4CDA">
        <w:rPr>
          <w:rFonts w:ascii="Verdana" w:eastAsia="Calibri" w:hAnsi="Verdana" w:cs="Calibri"/>
          <w:sz w:val="20"/>
          <w:szCs w:val="20"/>
          <w:lang w:val="it-IT"/>
        </w:rPr>
        <w:t xml:space="preserve">precedente </w:t>
      </w:r>
      <w:r w:rsidR="00E500BF">
        <w:rPr>
          <w:rFonts w:ascii="Verdana" w:eastAsia="Calibri" w:hAnsi="Verdana" w:cs="Calibri"/>
          <w:sz w:val="20"/>
          <w:szCs w:val="20"/>
          <w:lang w:val="it-IT"/>
        </w:rPr>
        <w:t>(tav. 1)</w:t>
      </w:r>
      <w:r w:rsidR="00CB0567">
        <w:rPr>
          <w:rFonts w:ascii="Verdana" w:eastAsia="Calibri" w:hAnsi="Verdana" w:cs="Calibri"/>
          <w:sz w:val="20"/>
          <w:szCs w:val="20"/>
          <w:lang w:val="it-IT"/>
        </w:rPr>
        <w:t>.</w:t>
      </w:r>
    </w:p>
    <w:p w14:paraId="72979DFE" w14:textId="16C2C03C" w:rsidR="00B970B4" w:rsidRDefault="00B970B4" w:rsidP="00403242">
      <w:pPr>
        <w:jc w:val="both"/>
        <w:rPr>
          <w:rFonts w:ascii="Verdana" w:eastAsia="Calibri" w:hAnsi="Verdana" w:cs="Calibri"/>
          <w:sz w:val="20"/>
          <w:szCs w:val="20"/>
          <w:lang w:val="it-IT"/>
        </w:rPr>
      </w:pPr>
    </w:p>
    <w:p w14:paraId="4855880D" w14:textId="77777777" w:rsidR="00B970B4" w:rsidRPr="00B970B4" w:rsidRDefault="00B970B4" w:rsidP="00403242">
      <w:pPr>
        <w:jc w:val="both"/>
        <w:rPr>
          <w:rFonts w:ascii="Verdana" w:eastAsia="Calibri" w:hAnsi="Verdana" w:cs="Calibri"/>
          <w:sz w:val="20"/>
          <w:szCs w:val="20"/>
          <w:lang w:val="it-IT"/>
        </w:rPr>
      </w:pPr>
    </w:p>
    <w:p w14:paraId="26F160B9" w14:textId="114BD65B" w:rsidR="00CB0567" w:rsidRPr="00B970B4" w:rsidRDefault="00A92C16">
      <w:pPr>
        <w:jc w:val="center"/>
        <w:rPr>
          <w:rFonts w:ascii="Verdana" w:eastAsia="Calibri" w:hAnsi="Verdana" w:cs="Calibri"/>
          <w:b/>
          <w:color w:val="003B79" w:themeColor="text1"/>
          <w:sz w:val="20"/>
          <w:szCs w:val="20"/>
          <w:lang w:val="it-IT"/>
        </w:rPr>
      </w:pPr>
      <w:r w:rsidRPr="00B970B4">
        <w:rPr>
          <w:rFonts w:ascii="Verdana" w:eastAsia="Calibri" w:hAnsi="Verdana" w:cs="Calibri"/>
          <w:b/>
          <w:color w:val="003B79" w:themeColor="text1"/>
          <w:sz w:val="20"/>
          <w:szCs w:val="20"/>
          <w:lang w:val="it-IT"/>
        </w:rPr>
        <w:lastRenderedPageBreak/>
        <w:t>Figura</w:t>
      </w:r>
      <w:r w:rsidR="00E500BF" w:rsidRPr="00B970B4">
        <w:rPr>
          <w:rFonts w:ascii="Verdana" w:eastAsia="Calibri" w:hAnsi="Verdana" w:cs="Calibri"/>
          <w:b/>
          <w:color w:val="003B79" w:themeColor="text1"/>
          <w:sz w:val="20"/>
          <w:szCs w:val="20"/>
          <w:lang w:val="it-IT"/>
        </w:rPr>
        <w:t xml:space="preserve"> 1</w:t>
      </w:r>
      <w:r w:rsidR="00DF4CDA" w:rsidRPr="00B970B4">
        <w:rPr>
          <w:rFonts w:ascii="Verdana" w:eastAsia="Calibri" w:hAnsi="Verdana" w:cs="Calibri"/>
          <w:b/>
          <w:color w:val="003B79" w:themeColor="text1"/>
          <w:sz w:val="20"/>
          <w:szCs w:val="20"/>
          <w:lang w:val="it-IT"/>
        </w:rPr>
        <w:t xml:space="preserve"> -</w:t>
      </w:r>
      <w:r w:rsidR="007E1360" w:rsidRPr="00B970B4">
        <w:rPr>
          <w:rFonts w:ascii="Verdana" w:eastAsia="Calibri" w:hAnsi="Verdana" w:cs="Calibri"/>
          <w:b/>
          <w:color w:val="003B79" w:themeColor="text1"/>
          <w:sz w:val="20"/>
          <w:szCs w:val="20"/>
          <w:lang w:val="it-IT"/>
        </w:rPr>
        <w:t xml:space="preserve"> </w:t>
      </w:r>
      <w:r w:rsidR="00CB0567" w:rsidRPr="00B970B4">
        <w:rPr>
          <w:rFonts w:ascii="Verdana" w:eastAsia="Calibri" w:hAnsi="Verdana" w:cs="Calibri"/>
          <w:b/>
          <w:color w:val="003B79" w:themeColor="text1"/>
          <w:sz w:val="20"/>
          <w:szCs w:val="20"/>
          <w:lang w:val="it-IT"/>
        </w:rPr>
        <w:t>Immobili non residenziali</w:t>
      </w:r>
    </w:p>
    <w:p w14:paraId="09871646" w14:textId="27FCB329" w:rsidR="00B74920" w:rsidRDefault="00B74920">
      <w:pPr>
        <w:jc w:val="center"/>
        <w:rPr>
          <w:rFonts w:ascii="Verdana" w:eastAsia="Calibri" w:hAnsi="Verdana" w:cs="Calibri"/>
          <w:b/>
          <w:sz w:val="20"/>
          <w:szCs w:val="20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2471EE0F" wp14:editId="680946D2">
            <wp:extent cx="5489257" cy="2063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83468" cy="209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1D8EE" w14:textId="4630D4B5" w:rsidR="00A92C16" w:rsidRPr="00403242" w:rsidRDefault="00A92C16" w:rsidP="00CB0567">
      <w:pPr>
        <w:jc w:val="both"/>
        <w:rPr>
          <w:rFonts w:ascii="Verdana" w:eastAsia="Calibri" w:hAnsi="Verdana" w:cs="Calibri"/>
          <w:i/>
          <w:sz w:val="20"/>
          <w:szCs w:val="20"/>
          <w:lang w:val="it-IT"/>
        </w:rPr>
      </w:pPr>
      <w:r w:rsidRPr="00403242">
        <w:rPr>
          <w:rFonts w:ascii="Verdana" w:eastAsia="Calibri" w:hAnsi="Verdana" w:cs="Calibri"/>
          <w:i/>
          <w:sz w:val="20"/>
          <w:szCs w:val="20"/>
          <w:lang w:val="it-IT"/>
        </w:rPr>
        <w:t>Fonte: Elaborazione CRIF su dati Agenzia delle Entrate</w:t>
      </w:r>
    </w:p>
    <w:p w14:paraId="732439EC" w14:textId="77777777" w:rsidR="007E1360" w:rsidRDefault="007E1360">
      <w:pPr>
        <w:jc w:val="center"/>
        <w:rPr>
          <w:rFonts w:ascii="Verdana" w:eastAsia="Calibri" w:hAnsi="Verdana" w:cs="Calibri"/>
          <w:b/>
          <w:sz w:val="20"/>
          <w:szCs w:val="20"/>
          <w:lang w:val="it-IT"/>
        </w:rPr>
      </w:pPr>
    </w:p>
    <w:p w14:paraId="5A5CFA85" w14:textId="06E81DDA" w:rsidR="00BF4128" w:rsidRPr="00B970B4" w:rsidRDefault="00BF4128">
      <w:pPr>
        <w:jc w:val="center"/>
        <w:rPr>
          <w:rFonts w:ascii="Verdana" w:eastAsia="Calibri" w:hAnsi="Verdana" w:cs="Calibri"/>
          <w:b/>
          <w:color w:val="003B79" w:themeColor="text1"/>
          <w:sz w:val="20"/>
          <w:szCs w:val="20"/>
          <w:lang w:val="it-IT"/>
        </w:rPr>
      </w:pPr>
      <w:r w:rsidRPr="00B970B4">
        <w:rPr>
          <w:rFonts w:ascii="Verdana" w:eastAsia="Calibri" w:hAnsi="Verdana" w:cs="Calibri"/>
          <w:b/>
          <w:color w:val="003B79" w:themeColor="text1"/>
          <w:sz w:val="20"/>
          <w:szCs w:val="20"/>
          <w:lang w:val="it-IT"/>
        </w:rPr>
        <w:t xml:space="preserve">Tavola </w:t>
      </w:r>
      <w:r w:rsidR="00E500BF" w:rsidRPr="00B970B4">
        <w:rPr>
          <w:rFonts w:ascii="Verdana" w:eastAsia="Calibri" w:hAnsi="Verdana" w:cs="Calibri"/>
          <w:b/>
          <w:color w:val="003B79" w:themeColor="text1"/>
          <w:sz w:val="20"/>
          <w:szCs w:val="20"/>
          <w:lang w:val="it-IT"/>
        </w:rPr>
        <w:t>1</w:t>
      </w:r>
      <w:r w:rsidR="00DF4CDA" w:rsidRPr="00B970B4">
        <w:rPr>
          <w:rFonts w:ascii="Verdana" w:eastAsia="Calibri" w:hAnsi="Verdana" w:cs="Calibri"/>
          <w:b/>
          <w:color w:val="003B79" w:themeColor="text1"/>
          <w:sz w:val="20"/>
          <w:szCs w:val="20"/>
          <w:lang w:val="it-IT"/>
        </w:rPr>
        <w:t xml:space="preserve"> -</w:t>
      </w:r>
      <w:r w:rsidR="007E1360" w:rsidRPr="00B970B4">
        <w:rPr>
          <w:rFonts w:ascii="Verdana" w:eastAsia="Calibri" w:hAnsi="Verdana" w:cs="Calibri"/>
          <w:b/>
          <w:color w:val="003B79" w:themeColor="text1"/>
          <w:sz w:val="20"/>
          <w:szCs w:val="20"/>
          <w:lang w:val="it-IT"/>
        </w:rPr>
        <w:t xml:space="preserve"> </w:t>
      </w:r>
      <w:r w:rsidRPr="00B970B4">
        <w:rPr>
          <w:rFonts w:ascii="Verdana" w:eastAsia="Calibri" w:hAnsi="Verdana" w:cs="Calibri"/>
          <w:b/>
          <w:color w:val="003B79" w:themeColor="text1"/>
          <w:sz w:val="20"/>
          <w:szCs w:val="20"/>
          <w:lang w:val="it-IT"/>
        </w:rPr>
        <w:t>Numero di compravendite e fatturato di immobili non residenziali e loro variazione annua</w:t>
      </w:r>
    </w:p>
    <w:tbl>
      <w:tblPr>
        <w:tblStyle w:val="GridTable4-Accent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0"/>
        <w:gridCol w:w="2154"/>
        <w:gridCol w:w="1722"/>
        <w:gridCol w:w="1722"/>
        <w:gridCol w:w="1722"/>
      </w:tblGrid>
      <w:tr w:rsidR="002351CD" w14:paraId="679EEADC" w14:textId="36F0785C" w:rsidTr="004032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tcBorders>
              <w:top w:val="none" w:sz="0" w:space="0" w:color="auto"/>
              <w:left w:val="none" w:sz="0" w:space="0" w:color="auto"/>
              <w:bottom w:val="single" w:sz="4" w:space="0" w:color="003B79" w:themeColor="text1"/>
            </w:tcBorders>
            <w:shd w:val="clear" w:color="auto" w:fill="003B79" w:themeFill="text1"/>
          </w:tcPr>
          <w:p w14:paraId="3CDC1E08" w14:textId="77777777" w:rsidR="00BF4128" w:rsidRDefault="00BF4128" w:rsidP="001E12D5">
            <w:pPr>
              <w:jc w:val="both"/>
              <w:rPr>
                <w:rFonts w:ascii="Verdana" w:eastAsia="Calibri" w:hAnsi="Verdana" w:cs="Calibri"/>
                <w:sz w:val="20"/>
                <w:szCs w:val="20"/>
                <w:lang w:val="it-IT"/>
              </w:rPr>
            </w:pPr>
          </w:p>
        </w:tc>
        <w:tc>
          <w:tcPr>
            <w:tcW w:w="2154" w:type="dxa"/>
            <w:tcBorders>
              <w:top w:val="none" w:sz="0" w:space="0" w:color="auto"/>
              <w:bottom w:val="single" w:sz="4" w:space="0" w:color="003B79" w:themeColor="text1"/>
            </w:tcBorders>
            <w:shd w:val="clear" w:color="auto" w:fill="003B79" w:themeFill="text1"/>
          </w:tcPr>
          <w:p w14:paraId="6378F644" w14:textId="45C6D1FF" w:rsidR="00BF4128" w:rsidRPr="00BF4128" w:rsidRDefault="00BF4128" w:rsidP="00BF41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sz w:val="20"/>
                <w:szCs w:val="20"/>
                <w:lang w:val="it-IT"/>
              </w:rPr>
            </w:pPr>
            <w:r w:rsidRPr="00BF4128">
              <w:rPr>
                <w:rFonts w:ascii="Verdana" w:eastAsia="Calibri" w:hAnsi="Verdana" w:cs="Calibri"/>
                <w:sz w:val="20"/>
                <w:szCs w:val="20"/>
                <w:lang w:val="it-IT"/>
              </w:rPr>
              <w:t>Numero di compravendite 2018</w:t>
            </w:r>
          </w:p>
        </w:tc>
        <w:tc>
          <w:tcPr>
            <w:tcW w:w="1722" w:type="dxa"/>
            <w:tcBorders>
              <w:top w:val="none" w:sz="0" w:space="0" w:color="auto"/>
              <w:bottom w:val="single" w:sz="4" w:space="0" w:color="003B79" w:themeColor="text1"/>
            </w:tcBorders>
            <w:shd w:val="clear" w:color="auto" w:fill="003B79" w:themeFill="text1"/>
          </w:tcPr>
          <w:p w14:paraId="328C74FB" w14:textId="1AA94ABB" w:rsidR="00BF4128" w:rsidRPr="00BF4128" w:rsidRDefault="00BF4128" w:rsidP="00BF41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sz w:val="20"/>
                <w:szCs w:val="20"/>
                <w:lang w:val="it-IT"/>
              </w:rPr>
            </w:pPr>
            <w:r w:rsidRPr="00BF4128">
              <w:rPr>
                <w:rFonts w:ascii="Verdana" w:eastAsia="Calibri" w:hAnsi="Verdana" w:cs="Calibri"/>
                <w:sz w:val="20"/>
                <w:szCs w:val="20"/>
                <w:lang w:val="it-IT"/>
              </w:rPr>
              <w:t>Variazione % 2018/2017</w:t>
            </w:r>
          </w:p>
        </w:tc>
        <w:tc>
          <w:tcPr>
            <w:tcW w:w="1722" w:type="dxa"/>
            <w:tcBorders>
              <w:top w:val="none" w:sz="0" w:space="0" w:color="auto"/>
              <w:bottom w:val="single" w:sz="4" w:space="0" w:color="003B79" w:themeColor="text1"/>
            </w:tcBorders>
            <w:shd w:val="clear" w:color="auto" w:fill="003B79" w:themeFill="text1"/>
          </w:tcPr>
          <w:p w14:paraId="5E899D7B" w14:textId="77777777" w:rsidR="002351CD" w:rsidRDefault="00BF4128" w:rsidP="00BF41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sz w:val="20"/>
                <w:szCs w:val="20"/>
                <w:lang w:val="it-IT"/>
              </w:rPr>
            </w:pPr>
            <w:r w:rsidRPr="00BF4128">
              <w:rPr>
                <w:rFonts w:ascii="Verdana" w:eastAsia="Calibri" w:hAnsi="Verdana" w:cs="Calibri"/>
                <w:sz w:val="20"/>
                <w:szCs w:val="20"/>
                <w:lang w:val="it-IT"/>
              </w:rPr>
              <w:t xml:space="preserve">Fatturato  2018 </w:t>
            </w:r>
          </w:p>
          <w:p w14:paraId="517098B3" w14:textId="3600FA28" w:rsidR="00BF4128" w:rsidRPr="00BF4128" w:rsidRDefault="00BF4128" w:rsidP="00BF41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sz w:val="20"/>
                <w:szCs w:val="20"/>
                <w:lang w:val="it-IT"/>
              </w:rPr>
            </w:pPr>
            <w:r w:rsidRPr="00BF4128">
              <w:rPr>
                <w:rFonts w:ascii="Verdana" w:eastAsia="Calibri" w:hAnsi="Verdana" w:cs="Calibri"/>
                <w:sz w:val="20"/>
                <w:szCs w:val="20"/>
                <w:lang w:val="it-IT"/>
              </w:rPr>
              <w:t>(mln €)</w:t>
            </w:r>
          </w:p>
        </w:tc>
        <w:tc>
          <w:tcPr>
            <w:tcW w:w="1722" w:type="dxa"/>
            <w:tcBorders>
              <w:top w:val="none" w:sz="0" w:space="0" w:color="auto"/>
              <w:bottom w:val="single" w:sz="4" w:space="0" w:color="003B79" w:themeColor="text1"/>
              <w:right w:val="none" w:sz="0" w:space="0" w:color="auto"/>
            </w:tcBorders>
            <w:shd w:val="clear" w:color="auto" w:fill="003B79" w:themeFill="text1"/>
          </w:tcPr>
          <w:p w14:paraId="4246380A" w14:textId="3E0926AB" w:rsidR="00BF4128" w:rsidRPr="00BF4128" w:rsidRDefault="00BF4128" w:rsidP="00BF41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sz w:val="20"/>
                <w:szCs w:val="20"/>
                <w:lang w:val="it-IT"/>
              </w:rPr>
            </w:pPr>
            <w:r w:rsidRPr="00BF4128">
              <w:rPr>
                <w:rFonts w:ascii="Verdana" w:eastAsia="Calibri" w:hAnsi="Verdana" w:cs="Calibri"/>
                <w:sz w:val="20"/>
                <w:szCs w:val="20"/>
                <w:lang w:val="it-IT"/>
              </w:rPr>
              <w:t>Variazione % 2018/2017</w:t>
            </w:r>
          </w:p>
        </w:tc>
      </w:tr>
      <w:tr w:rsidR="00BF4128" w14:paraId="0861C70C" w14:textId="1AE0B093" w:rsidTr="00403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tcBorders>
              <w:top w:val="single" w:sz="4" w:space="0" w:color="003B79" w:themeColor="text1"/>
              <w:bottom w:val="single" w:sz="4" w:space="0" w:color="003B79" w:themeColor="text1"/>
            </w:tcBorders>
            <w:shd w:val="clear" w:color="auto" w:fill="auto"/>
          </w:tcPr>
          <w:p w14:paraId="56A4DFF9" w14:textId="5CEE2215" w:rsidR="00BF4128" w:rsidRPr="00BF4128" w:rsidRDefault="00BF4128" w:rsidP="001E12D5">
            <w:pPr>
              <w:jc w:val="both"/>
              <w:rPr>
                <w:rFonts w:ascii="Verdana" w:eastAsia="Calibri" w:hAnsi="Verdana" w:cs="Calibri"/>
                <w:i/>
                <w:sz w:val="20"/>
                <w:szCs w:val="20"/>
                <w:lang w:val="it-IT"/>
              </w:rPr>
            </w:pPr>
            <w:r w:rsidRPr="00BF4128">
              <w:rPr>
                <w:rFonts w:ascii="Verdana" w:eastAsia="Calibri" w:hAnsi="Verdana" w:cs="Calibri"/>
                <w:sz w:val="20"/>
                <w:szCs w:val="20"/>
                <w:lang w:val="it-IT"/>
              </w:rPr>
              <w:t>Uffici</w:t>
            </w:r>
          </w:p>
        </w:tc>
        <w:tc>
          <w:tcPr>
            <w:tcW w:w="2154" w:type="dxa"/>
            <w:tcBorders>
              <w:top w:val="single" w:sz="4" w:space="0" w:color="003B79" w:themeColor="text1"/>
              <w:bottom w:val="single" w:sz="4" w:space="0" w:color="003B79" w:themeColor="text1"/>
            </w:tcBorders>
            <w:shd w:val="clear" w:color="auto" w:fill="auto"/>
          </w:tcPr>
          <w:p w14:paraId="0E313C6F" w14:textId="660EB5EC" w:rsidR="00BF4128" w:rsidRDefault="00BF4128" w:rsidP="00BF4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sz w:val="20"/>
                <w:szCs w:val="20"/>
                <w:lang w:val="it-IT"/>
              </w:rPr>
            </w:pPr>
            <w:r>
              <w:rPr>
                <w:rFonts w:ascii="Verdana" w:eastAsia="Calibri" w:hAnsi="Verdana" w:cs="Calibri"/>
                <w:sz w:val="20"/>
                <w:szCs w:val="20"/>
                <w:lang w:val="it-IT"/>
              </w:rPr>
              <w:t>9.988</w:t>
            </w:r>
          </w:p>
        </w:tc>
        <w:tc>
          <w:tcPr>
            <w:tcW w:w="1722" w:type="dxa"/>
            <w:tcBorders>
              <w:top w:val="single" w:sz="4" w:space="0" w:color="003B79" w:themeColor="text1"/>
              <w:bottom w:val="single" w:sz="4" w:space="0" w:color="003B79" w:themeColor="text1"/>
            </w:tcBorders>
            <w:shd w:val="clear" w:color="auto" w:fill="auto"/>
          </w:tcPr>
          <w:p w14:paraId="11E83429" w14:textId="574289FE" w:rsidR="00BF4128" w:rsidRDefault="00BF4128" w:rsidP="00BF4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sz w:val="20"/>
                <w:szCs w:val="20"/>
                <w:lang w:val="it-IT"/>
              </w:rPr>
            </w:pPr>
            <w:r>
              <w:rPr>
                <w:rFonts w:ascii="Verdana" w:eastAsia="Calibri" w:hAnsi="Verdana" w:cs="Calibri"/>
                <w:sz w:val="20"/>
                <w:szCs w:val="20"/>
                <w:lang w:val="it-IT"/>
              </w:rPr>
              <w:t>-3,7</w:t>
            </w:r>
          </w:p>
        </w:tc>
        <w:tc>
          <w:tcPr>
            <w:tcW w:w="1722" w:type="dxa"/>
            <w:tcBorders>
              <w:top w:val="single" w:sz="4" w:space="0" w:color="003B79" w:themeColor="text1"/>
              <w:bottom w:val="single" w:sz="4" w:space="0" w:color="003B79" w:themeColor="text1"/>
            </w:tcBorders>
            <w:shd w:val="clear" w:color="auto" w:fill="auto"/>
          </w:tcPr>
          <w:p w14:paraId="1425C776" w14:textId="5C123EFE" w:rsidR="00BF4128" w:rsidRDefault="00BF4128" w:rsidP="00BF4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sz w:val="20"/>
                <w:szCs w:val="20"/>
                <w:lang w:val="it-IT"/>
              </w:rPr>
            </w:pPr>
            <w:r>
              <w:rPr>
                <w:rFonts w:ascii="Verdana" w:eastAsia="Calibri" w:hAnsi="Verdana" w:cs="Calibri"/>
                <w:sz w:val="20"/>
                <w:szCs w:val="20"/>
                <w:lang w:val="it-IT"/>
              </w:rPr>
              <w:t>3.110</w:t>
            </w:r>
          </w:p>
        </w:tc>
        <w:tc>
          <w:tcPr>
            <w:tcW w:w="1722" w:type="dxa"/>
            <w:tcBorders>
              <w:top w:val="single" w:sz="4" w:space="0" w:color="003B79" w:themeColor="text1"/>
              <w:bottom w:val="single" w:sz="4" w:space="0" w:color="003B79" w:themeColor="text1"/>
            </w:tcBorders>
            <w:shd w:val="clear" w:color="auto" w:fill="auto"/>
          </w:tcPr>
          <w:p w14:paraId="38E2C22E" w14:textId="7D3475BC" w:rsidR="00BF4128" w:rsidRDefault="00BF4128" w:rsidP="00BF4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sz w:val="20"/>
                <w:szCs w:val="20"/>
                <w:lang w:val="it-IT"/>
              </w:rPr>
            </w:pPr>
            <w:r>
              <w:rPr>
                <w:rFonts w:ascii="Verdana" w:eastAsia="Calibri" w:hAnsi="Verdana" w:cs="Calibri"/>
                <w:sz w:val="20"/>
                <w:szCs w:val="20"/>
                <w:lang w:val="it-IT"/>
              </w:rPr>
              <w:t>+0,7</w:t>
            </w:r>
          </w:p>
        </w:tc>
      </w:tr>
      <w:tr w:rsidR="00BF4128" w14:paraId="05E9B463" w14:textId="6E404330" w:rsidTr="0040324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tcBorders>
              <w:top w:val="single" w:sz="4" w:space="0" w:color="003B79" w:themeColor="text1"/>
              <w:bottom w:val="single" w:sz="4" w:space="0" w:color="003B79" w:themeColor="text1"/>
            </w:tcBorders>
            <w:shd w:val="clear" w:color="auto" w:fill="auto"/>
          </w:tcPr>
          <w:p w14:paraId="2A1DCE49" w14:textId="6ADA64B7" w:rsidR="00BF4128" w:rsidRPr="00BF4128" w:rsidRDefault="00BF4128" w:rsidP="001E12D5">
            <w:pPr>
              <w:jc w:val="both"/>
              <w:rPr>
                <w:rFonts w:ascii="Verdana" w:eastAsia="Calibri" w:hAnsi="Verdana" w:cs="Calibri"/>
                <w:i/>
                <w:sz w:val="20"/>
                <w:szCs w:val="20"/>
                <w:lang w:val="it-IT"/>
              </w:rPr>
            </w:pPr>
            <w:r w:rsidRPr="00BF4128">
              <w:rPr>
                <w:rFonts w:ascii="Verdana" w:eastAsia="Calibri" w:hAnsi="Verdana" w:cs="Calibri"/>
                <w:sz w:val="20"/>
                <w:szCs w:val="20"/>
                <w:lang w:val="it-IT"/>
              </w:rPr>
              <w:t xml:space="preserve">Negozi </w:t>
            </w:r>
          </w:p>
        </w:tc>
        <w:tc>
          <w:tcPr>
            <w:tcW w:w="2154" w:type="dxa"/>
            <w:tcBorders>
              <w:top w:val="single" w:sz="4" w:space="0" w:color="003B79" w:themeColor="text1"/>
              <w:bottom w:val="single" w:sz="4" w:space="0" w:color="003B79" w:themeColor="text1"/>
            </w:tcBorders>
            <w:shd w:val="clear" w:color="auto" w:fill="auto"/>
          </w:tcPr>
          <w:p w14:paraId="547F7F77" w14:textId="273C61B2" w:rsidR="00BF4128" w:rsidRDefault="00BF4128" w:rsidP="00BF4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sz w:val="20"/>
                <w:szCs w:val="20"/>
                <w:lang w:val="it-IT"/>
              </w:rPr>
            </w:pPr>
            <w:r>
              <w:rPr>
                <w:rFonts w:ascii="Verdana" w:eastAsia="Calibri" w:hAnsi="Verdana" w:cs="Calibri"/>
                <w:sz w:val="20"/>
                <w:szCs w:val="20"/>
                <w:lang w:val="it-IT"/>
              </w:rPr>
              <w:t>29.463</w:t>
            </w:r>
          </w:p>
        </w:tc>
        <w:tc>
          <w:tcPr>
            <w:tcW w:w="1722" w:type="dxa"/>
            <w:tcBorders>
              <w:top w:val="single" w:sz="4" w:space="0" w:color="003B79" w:themeColor="text1"/>
              <w:bottom w:val="single" w:sz="4" w:space="0" w:color="003B79" w:themeColor="text1"/>
            </w:tcBorders>
            <w:shd w:val="clear" w:color="auto" w:fill="auto"/>
          </w:tcPr>
          <w:p w14:paraId="3A49D3DE" w14:textId="68878CCA" w:rsidR="00BF4128" w:rsidRDefault="00BF4128" w:rsidP="00BF4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sz w:val="20"/>
                <w:szCs w:val="20"/>
                <w:lang w:val="it-IT"/>
              </w:rPr>
            </w:pPr>
            <w:r>
              <w:rPr>
                <w:rFonts w:ascii="Verdana" w:eastAsia="Calibri" w:hAnsi="Verdana" w:cs="Calibri"/>
                <w:sz w:val="20"/>
                <w:szCs w:val="20"/>
                <w:lang w:val="it-IT"/>
              </w:rPr>
              <w:t>+4,6</w:t>
            </w:r>
          </w:p>
        </w:tc>
        <w:tc>
          <w:tcPr>
            <w:tcW w:w="1722" w:type="dxa"/>
            <w:tcBorders>
              <w:top w:val="single" w:sz="4" w:space="0" w:color="003B79" w:themeColor="text1"/>
              <w:bottom w:val="single" w:sz="4" w:space="0" w:color="003B79" w:themeColor="text1"/>
            </w:tcBorders>
            <w:shd w:val="clear" w:color="auto" w:fill="auto"/>
          </w:tcPr>
          <w:p w14:paraId="3D51CB1C" w14:textId="4C8A08AB" w:rsidR="00BF4128" w:rsidRDefault="00BF4128" w:rsidP="00BF4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sz w:val="20"/>
                <w:szCs w:val="20"/>
                <w:lang w:val="it-IT"/>
              </w:rPr>
            </w:pPr>
            <w:r>
              <w:rPr>
                <w:rFonts w:ascii="Verdana" w:eastAsia="Calibri" w:hAnsi="Verdana" w:cs="Calibri"/>
                <w:sz w:val="20"/>
                <w:szCs w:val="20"/>
                <w:lang w:val="it-IT"/>
              </w:rPr>
              <w:t>6.019</w:t>
            </w:r>
          </w:p>
        </w:tc>
        <w:tc>
          <w:tcPr>
            <w:tcW w:w="1722" w:type="dxa"/>
            <w:tcBorders>
              <w:top w:val="single" w:sz="4" w:space="0" w:color="003B79" w:themeColor="text1"/>
              <w:bottom w:val="single" w:sz="4" w:space="0" w:color="003B79" w:themeColor="text1"/>
            </w:tcBorders>
            <w:shd w:val="clear" w:color="auto" w:fill="auto"/>
          </w:tcPr>
          <w:p w14:paraId="325E7888" w14:textId="18E60DDA" w:rsidR="00BF4128" w:rsidRDefault="00BF4128" w:rsidP="00BF4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sz w:val="20"/>
                <w:szCs w:val="20"/>
                <w:lang w:val="it-IT"/>
              </w:rPr>
            </w:pPr>
            <w:r>
              <w:rPr>
                <w:rFonts w:ascii="Verdana" w:eastAsia="Calibri" w:hAnsi="Verdana" w:cs="Calibri"/>
                <w:sz w:val="20"/>
                <w:szCs w:val="20"/>
                <w:lang w:val="it-IT"/>
              </w:rPr>
              <w:t>+2,9</w:t>
            </w:r>
          </w:p>
        </w:tc>
      </w:tr>
      <w:tr w:rsidR="00BF4128" w14:paraId="4C9096ED" w14:textId="6D42C90D" w:rsidTr="004032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tcBorders>
              <w:top w:val="single" w:sz="4" w:space="0" w:color="003B79" w:themeColor="text1"/>
              <w:bottom w:val="single" w:sz="4" w:space="0" w:color="003B79" w:themeColor="text1"/>
            </w:tcBorders>
            <w:shd w:val="clear" w:color="auto" w:fill="auto"/>
          </w:tcPr>
          <w:p w14:paraId="71B9EAD1" w14:textId="068CAD06" w:rsidR="00BF4128" w:rsidRPr="00BF4128" w:rsidRDefault="00BF4128" w:rsidP="001E12D5">
            <w:pPr>
              <w:jc w:val="both"/>
              <w:rPr>
                <w:rFonts w:ascii="Verdana" w:eastAsia="Calibri" w:hAnsi="Verdana" w:cs="Calibri"/>
                <w:i/>
                <w:sz w:val="20"/>
                <w:szCs w:val="20"/>
                <w:lang w:val="it-IT"/>
              </w:rPr>
            </w:pPr>
            <w:r w:rsidRPr="00BF4128">
              <w:rPr>
                <w:rFonts w:ascii="Verdana" w:eastAsia="Calibri" w:hAnsi="Verdana" w:cs="Calibri"/>
                <w:sz w:val="20"/>
                <w:szCs w:val="20"/>
                <w:lang w:val="it-IT"/>
              </w:rPr>
              <w:t>Capannoni</w:t>
            </w:r>
          </w:p>
        </w:tc>
        <w:tc>
          <w:tcPr>
            <w:tcW w:w="2154" w:type="dxa"/>
            <w:tcBorders>
              <w:top w:val="single" w:sz="4" w:space="0" w:color="003B79" w:themeColor="text1"/>
              <w:bottom w:val="single" w:sz="4" w:space="0" w:color="003B79" w:themeColor="text1"/>
            </w:tcBorders>
            <w:shd w:val="clear" w:color="auto" w:fill="auto"/>
          </w:tcPr>
          <w:p w14:paraId="04723E41" w14:textId="0205912E" w:rsidR="00BF4128" w:rsidRDefault="00BF4128" w:rsidP="00BF4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sz w:val="20"/>
                <w:szCs w:val="20"/>
                <w:lang w:val="it-IT"/>
              </w:rPr>
            </w:pPr>
            <w:r>
              <w:rPr>
                <w:rFonts w:ascii="Verdana" w:eastAsia="Calibri" w:hAnsi="Verdana" w:cs="Calibri"/>
                <w:sz w:val="20"/>
                <w:szCs w:val="20"/>
                <w:lang w:val="it-IT"/>
              </w:rPr>
              <w:t>12.120</w:t>
            </w:r>
          </w:p>
        </w:tc>
        <w:tc>
          <w:tcPr>
            <w:tcW w:w="1722" w:type="dxa"/>
            <w:tcBorders>
              <w:top w:val="single" w:sz="4" w:space="0" w:color="003B79" w:themeColor="text1"/>
              <w:bottom w:val="single" w:sz="4" w:space="0" w:color="003B79" w:themeColor="text1"/>
            </w:tcBorders>
            <w:shd w:val="clear" w:color="auto" w:fill="auto"/>
          </w:tcPr>
          <w:p w14:paraId="2DCAED80" w14:textId="53B26EEF" w:rsidR="00BF4128" w:rsidRDefault="00BF4128" w:rsidP="00BF4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sz w:val="20"/>
                <w:szCs w:val="20"/>
                <w:lang w:val="it-IT"/>
              </w:rPr>
            </w:pPr>
            <w:r>
              <w:rPr>
                <w:rFonts w:ascii="Verdana" w:eastAsia="Calibri" w:hAnsi="Verdana" w:cs="Calibri"/>
                <w:sz w:val="20"/>
                <w:szCs w:val="20"/>
                <w:lang w:val="it-IT"/>
              </w:rPr>
              <w:t>+0,6</w:t>
            </w:r>
          </w:p>
        </w:tc>
        <w:tc>
          <w:tcPr>
            <w:tcW w:w="1722" w:type="dxa"/>
            <w:tcBorders>
              <w:top w:val="single" w:sz="4" w:space="0" w:color="003B79" w:themeColor="text1"/>
              <w:bottom w:val="single" w:sz="4" w:space="0" w:color="003B79" w:themeColor="text1"/>
            </w:tcBorders>
            <w:shd w:val="clear" w:color="auto" w:fill="auto"/>
          </w:tcPr>
          <w:p w14:paraId="5D060F94" w14:textId="0F9745DE" w:rsidR="00BF4128" w:rsidRDefault="00BF4128" w:rsidP="00BF4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sz w:val="20"/>
                <w:szCs w:val="20"/>
                <w:lang w:val="it-IT"/>
              </w:rPr>
            </w:pPr>
            <w:r>
              <w:rPr>
                <w:rFonts w:ascii="Verdana" w:eastAsia="Calibri" w:hAnsi="Verdana" w:cs="Calibri"/>
                <w:sz w:val="20"/>
                <w:szCs w:val="20"/>
                <w:lang w:val="it-IT"/>
              </w:rPr>
              <w:t>6.498</w:t>
            </w:r>
          </w:p>
        </w:tc>
        <w:tc>
          <w:tcPr>
            <w:tcW w:w="1722" w:type="dxa"/>
            <w:tcBorders>
              <w:top w:val="single" w:sz="4" w:space="0" w:color="003B79" w:themeColor="text1"/>
              <w:bottom w:val="single" w:sz="4" w:space="0" w:color="003B79" w:themeColor="text1"/>
            </w:tcBorders>
            <w:shd w:val="clear" w:color="auto" w:fill="auto"/>
          </w:tcPr>
          <w:p w14:paraId="3627FB26" w14:textId="6D7F059E" w:rsidR="00BF4128" w:rsidRDefault="00BF4128" w:rsidP="00BF4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Calibri"/>
                <w:sz w:val="20"/>
                <w:szCs w:val="20"/>
                <w:lang w:val="it-IT"/>
              </w:rPr>
            </w:pPr>
            <w:r>
              <w:rPr>
                <w:rFonts w:ascii="Verdana" w:eastAsia="Calibri" w:hAnsi="Verdana" w:cs="Calibri"/>
                <w:sz w:val="20"/>
                <w:szCs w:val="20"/>
                <w:lang w:val="it-IT"/>
              </w:rPr>
              <w:t>-3,7</w:t>
            </w:r>
          </w:p>
        </w:tc>
      </w:tr>
      <w:tr w:rsidR="00BF4128" w:rsidRPr="00BF4128" w14:paraId="7085D4E0" w14:textId="36DAAB5C" w:rsidTr="0040324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tcBorders>
              <w:top w:val="single" w:sz="4" w:space="0" w:color="003B79" w:themeColor="text1"/>
              <w:bottom w:val="single" w:sz="4" w:space="0" w:color="003B79" w:themeColor="text1"/>
            </w:tcBorders>
            <w:shd w:val="clear" w:color="auto" w:fill="DDDDDD" w:themeFill="accent5"/>
          </w:tcPr>
          <w:p w14:paraId="61FAED18" w14:textId="7ADE4E07" w:rsidR="00BF4128" w:rsidRPr="00BF4128" w:rsidRDefault="00BF4128" w:rsidP="001E12D5">
            <w:pPr>
              <w:jc w:val="both"/>
              <w:rPr>
                <w:rFonts w:ascii="Verdana" w:eastAsia="Calibri" w:hAnsi="Verdana" w:cs="Calibri"/>
                <w:b w:val="0"/>
                <w:i/>
                <w:sz w:val="20"/>
                <w:szCs w:val="20"/>
                <w:lang w:val="it-IT"/>
              </w:rPr>
            </w:pPr>
            <w:r w:rsidRPr="00BF4128">
              <w:rPr>
                <w:rFonts w:ascii="Verdana" w:eastAsia="Calibri" w:hAnsi="Verdana" w:cs="Calibri"/>
                <w:sz w:val="20"/>
                <w:szCs w:val="20"/>
                <w:lang w:val="it-IT"/>
              </w:rPr>
              <w:t>Totale</w:t>
            </w:r>
          </w:p>
        </w:tc>
        <w:tc>
          <w:tcPr>
            <w:tcW w:w="2154" w:type="dxa"/>
            <w:tcBorders>
              <w:top w:val="single" w:sz="4" w:space="0" w:color="003B79" w:themeColor="text1"/>
              <w:bottom w:val="single" w:sz="4" w:space="0" w:color="003B79" w:themeColor="text1"/>
            </w:tcBorders>
            <w:shd w:val="clear" w:color="auto" w:fill="DDDDDD" w:themeFill="accent5"/>
          </w:tcPr>
          <w:p w14:paraId="72669A3E" w14:textId="0D402C94" w:rsidR="00BF4128" w:rsidRPr="00BF4128" w:rsidRDefault="00BF4128" w:rsidP="00BF4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b/>
                <w:sz w:val="20"/>
                <w:szCs w:val="20"/>
                <w:lang w:val="it-IT"/>
              </w:rPr>
            </w:pPr>
            <w:r w:rsidRPr="00BF4128">
              <w:rPr>
                <w:rFonts w:ascii="Verdana" w:eastAsia="Calibri" w:hAnsi="Verdana" w:cs="Calibri"/>
                <w:b/>
                <w:sz w:val="20"/>
                <w:szCs w:val="20"/>
                <w:lang w:val="it-IT"/>
              </w:rPr>
              <w:t>51.571</w:t>
            </w:r>
          </w:p>
        </w:tc>
        <w:tc>
          <w:tcPr>
            <w:tcW w:w="1722" w:type="dxa"/>
            <w:tcBorders>
              <w:top w:val="single" w:sz="4" w:space="0" w:color="003B79" w:themeColor="text1"/>
              <w:bottom w:val="single" w:sz="4" w:space="0" w:color="003B79" w:themeColor="text1"/>
            </w:tcBorders>
            <w:shd w:val="clear" w:color="auto" w:fill="DDDDDD" w:themeFill="accent5"/>
          </w:tcPr>
          <w:p w14:paraId="65382545" w14:textId="28CE5805" w:rsidR="00BF4128" w:rsidRPr="00BF4128" w:rsidRDefault="00BF4128" w:rsidP="00BF4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b/>
                <w:sz w:val="20"/>
                <w:szCs w:val="20"/>
                <w:lang w:val="it-IT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  <w:lang w:val="it-IT"/>
              </w:rPr>
              <w:t>+</w:t>
            </w:r>
            <w:r w:rsidRPr="00BF4128">
              <w:rPr>
                <w:rFonts w:ascii="Verdana" w:eastAsia="Calibri" w:hAnsi="Verdana" w:cs="Calibri"/>
                <w:b/>
                <w:sz w:val="20"/>
                <w:szCs w:val="20"/>
                <w:lang w:val="it-IT"/>
              </w:rPr>
              <w:t>1,9</w:t>
            </w:r>
          </w:p>
        </w:tc>
        <w:tc>
          <w:tcPr>
            <w:tcW w:w="1722" w:type="dxa"/>
            <w:tcBorders>
              <w:top w:val="single" w:sz="4" w:space="0" w:color="003B79" w:themeColor="text1"/>
              <w:bottom w:val="single" w:sz="4" w:space="0" w:color="003B79" w:themeColor="text1"/>
            </w:tcBorders>
            <w:shd w:val="clear" w:color="auto" w:fill="DDDDDD" w:themeFill="accent5"/>
          </w:tcPr>
          <w:p w14:paraId="35FAC5DF" w14:textId="75494B36" w:rsidR="00BF4128" w:rsidRPr="00BF4128" w:rsidRDefault="00BF4128" w:rsidP="00BF4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b/>
                <w:sz w:val="20"/>
                <w:szCs w:val="20"/>
                <w:lang w:val="it-IT"/>
              </w:rPr>
            </w:pPr>
            <w:r w:rsidRPr="00BF4128">
              <w:rPr>
                <w:rFonts w:ascii="Verdana" w:eastAsia="Calibri" w:hAnsi="Verdana" w:cs="Calibri"/>
                <w:b/>
                <w:sz w:val="20"/>
                <w:szCs w:val="20"/>
                <w:lang w:val="it-IT"/>
              </w:rPr>
              <w:t>15.627</w:t>
            </w:r>
          </w:p>
        </w:tc>
        <w:tc>
          <w:tcPr>
            <w:tcW w:w="1722" w:type="dxa"/>
            <w:tcBorders>
              <w:top w:val="single" w:sz="4" w:space="0" w:color="003B79" w:themeColor="text1"/>
              <w:bottom w:val="single" w:sz="4" w:space="0" w:color="003B79" w:themeColor="text1"/>
            </w:tcBorders>
            <w:shd w:val="clear" w:color="auto" w:fill="DDDDDD" w:themeFill="accent5"/>
          </w:tcPr>
          <w:p w14:paraId="7DECB7FE" w14:textId="3B5C4543" w:rsidR="00BF4128" w:rsidRPr="00BF4128" w:rsidRDefault="00BF4128" w:rsidP="00BF4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Calibri"/>
                <w:b/>
                <w:sz w:val="20"/>
                <w:szCs w:val="20"/>
                <w:lang w:val="it-IT"/>
              </w:rPr>
            </w:pPr>
            <w:r w:rsidRPr="00BF4128">
              <w:rPr>
                <w:rFonts w:ascii="Verdana" w:eastAsia="Calibri" w:hAnsi="Verdana" w:cs="Calibri"/>
                <w:b/>
                <w:sz w:val="20"/>
                <w:szCs w:val="20"/>
                <w:lang w:val="it-IT"/>
              </w:rPr>
              <w:t>-0,4</w:t>
            </w:r>
          </w:p>
        </w:tc>
      </w:tr>
    </w:tbl>
    <w:p w14:paraId="230CC59A" w14:textId="474229B9" w:rsidR="000516C4" w:rsidRDefault="00BF4128" w:rsidP="001E12D5">
      <w:pPr>
        <w:jc w:val="both"/>
        <w:rPr>
          <w:rFonts w:ascii="Verdana" w:eastAsia="Calibri" w:hAnsi="Verdana" w:cs="Calibri"/>
          <w:i/>
          <w:sz w:val="20"/>
          <w:szCs w:val="20"/>
          <w:lang w:val="it-IT"/>
        </w:rPr>
      </w:pPr>
      <w:r w:rsidRPr="00403242">
        <w:rPr>
          <w:rFonts w:ascii="Verdana" w:eastAsia="Calibri" w:hAnsi="Verdana" w:cs="Calibri"/>
          <w:i/>
          <w:sz w:val="20"/>
          <w:szCs w:val="20"/>
          <w:lang w:val="it-IT"/>
        </w:rPr>
        <w:t>Fonte: Elaborazione CRIF su dati Agenzia delle Entrate</w:t>
      </w:r>
    </w:p>
    <w:p w14:paraId="504773ED" w14:textId="77777777" w:rsidR="00B970B4" w:rsidRPr="00403242" w:rsidRDefault="00B970B4" w:rsidP="001E12D5">
      <w:pPr>
        <w:jc w:val="both"/>
        <w:rPr>
          <w:rFonts w:ascii="Verdana" w:eastAsia="Calibri" w:hAnsi="Verdana" w:cs="Calibri"/>
          <w:i/>
          <w:sz w:val="20"/>
          <w:szCs w:val="20"/>
          <w:lang w:val="it-IT"/>
        </w:rPr>
      </w:pPr>
    </w:p>
    <w:p w14:paraId="5991A10C" w14:textId="1A361147" w:rsidR="001E12D5" w:rsidRPr="003C72CB" w:rsidRDefault="00DD2446" w:rsidP="001E12D5">
      <w:pPr>
        <w:jc w:val="both"/>
        <w:rPr>
          <w:rFonts w:ascii="Verdana" w:eastAsia="Calibri" w:hAnsi="Verdana" w:cs="Calibri"/>
          <w:b/>
          <w:color w:val="003B79" w:themeColor="accent1"/>
          <w:sz w:val="20"/>
          <w:szCs w:val="20"/>
          <w:lang w:val="it-IT"/>
        </w:rPr>
      </w:pPr>
      <w:r>
        <w:rPr>
          <w:rFonts w:ascii="Verdana" w:eastAsia="Calibri" w:hAnsi="Verdana" w:cs="Calibri"/>
          <w:b/>
          <w:color w:val="003B79" w:themeColor="accent1"/>
          <w:sz w:val="20"/>
          <w:szCs w:val="20"/>
          <w:lang w:val="it-IT"/>
        </w:rPr>
        <w:t>I valori di uffici, negozi e capannoni</w:t>
      </w:r>
    </w:p>
    <w:p w14:paraId="42DC28E5" w14:textId="595B4580" w:rsidR="001E12D5" w:rsidRPr="000109B9" w:rsidRDefault="001E12D5" w:rsidP="001E12D5">
      <w:pPr>
        <w:jc w:val="both"/>
        <w:rPr>
          <w:rFonts w:ascii="Verdana" w:eastAsia="Calibri" w:hAnsi="Verdana" w:cs="Calibri"/>
          <w:sz w:val="20"/>
          <w:szCs w:val="20"/>
          <w:lang w:val="it-IT"/>
        </w:rPr>
      </w:pPr>
      <w:r w:rsidRPr="00192AD4">
        <w:rPr>
          <w:rFonts w:ascii="Verdana" w:eastAsia="Calibri" w:hAnsi="Verdana" w:cs="Calibri"/>
          <w:sz w:val="20"/>
          <w:szCs w:val="20"/>
          <w:lang w:val="it-IT"/>
        </w:rPr>
        <w:t>Partendo dal database delle valutazioni immobiliari effettuate da CRIF RES tra i</w:t>
      </w:r>
      <w:r w:rsidR="00192AD4" w:rsidRPr="00192AD4">
        <w:rPr>
          <w:rFonts w:ascii="Verdana" w:eastAsia="Calibri" w:hAnsi="Verdana" w:cs="Calibri"/>
          <w:sz w:val="20"/>
          <w:szCs w:val="20"/>
          <w:lang w:val="it-IT"/>
        </w:rPr>
        <w:t>l gennaio 2013 il 30 giugno 2019</w:t>
      </w:r>
      <w:r w:rsidRPr="00192AD4">
        <w:rPr>
          <w:rFonts w:ascii="Verdana" w:eastAsia="Calibri" w:hAnsi="Verdana" w:cs="Calibri"/>
          <w:sz w:val="20"/>
          <w:szCs w:val="20"/>
          <w:lang w:val="it-IT"/>
        </w:rPr>
        <w:t xml:space="preserve"> relativamente a uffici, negozi/laboratori e capannoni, l’analisi </w:t>
      </w:r>
      <w:r w:rsidR="007E1360">
        <w:rPr>
          <w:rFonts w:ascii="Verdana" w:eastAsia="Calibri" w:hAnsi="Verdana" w:cs="Calibri"/>
          <w:sz w:val="20"/>
          <w:szCs w:val="20"/>
          <w:lang w:val="it-IT"/>
        </w:rPr>
        <w:t>prodotta</w:t>
      </w:r>
      <w:r w:rsidRPr="000109B9">
        <w:rPr>
          <w:rFonts w:ascii="Verdana" w:eastAsia="Calibri" w:hAnsi="Verdana" w:cs="Calibri"/>
          <w:sz w:val="20"/>
          <w:szCs w:val="20"/>
          <w:lang w:val="it-IT"/>
        </w:rPr>
        <w:t xml:space="preserve"> consente di misurare la quota coperta sul mercato delle transazioni, distinta per tipologia edilizia e per area geografica, oltre a permettere l’osservazione dell’andamento </w:t>
      </w:r>
      <w:r w:rsidR="007E1360">
        <w:rPr>
          <w:rFonts w:ascii="Verdana" w:eastAsia="Calibri" w:hAnsi="Verdana" w:cs="Calibri"/>
          <w:sz w:val="20"/>
          <w:szCs w:val="20"/>
          <w:lang w:val="it-IT"/>
        </w:rPr>
        <w:t xml:space="preserve">nel tempo </w:t>
      </w:r>
      <w:r w:rsidRPr="000109B9">
        <w:rPr>
          <w:rFonts w:ascii="Verdana" w:eastAsia="Calibri" w:hAnsi="Verdana" w:cs="Calibri"/>
          <w:sz w:val="20"/>
          <w:szCs w:val="20"/>
          <w:lang w:val="it-IT"/>
        </w:rPr>
        <w:t>dei valori per unità immobiliare, superficie media e prezzo al metro quadrato.</w:t>
      </w:r>
    </w:p>
    <w:p w14:paraId="1319A360" w14:textId="3D0E0A33" w:rsidR="001E12D5" w:rsidRPr="000109B9" w:rsidRDefault="007E1360" w:rsidP="001E12D5">
      <w:pPr>
        <w:jc w:val="both"/>
        <w:rPr>
          <w:rFonts w:ascii="Verdana" w:eastAsia="Calibri" w:hAnsi="Verdana" w:cs="Calibri"/>
          <w:sz w:val="20"/>
          <w:szCs w:val="20"/>
          <w:lang w:val="it-IT"/>
        </w:rPr>
      </w:pPr>
      <w:r>
        <w:rPr>
          <w:rFonts w:ascii="Verdana" w:eastAsia="Calibri" w:hAnsi="Verdana" w:cs="Calibri"/>
          <w:sz w:val="20"/>
          <w:szCs w:val="20"/>
          <w:lang w:val="it-IT"/>
        </w:rPr>
        <w:lastRenderedPageBreak/>
        <w:t>M</w:t>
      </w:r>
      <w:r w:rsidR="001E12D5" w:rsidRPr="000109B9">
        <w:rPr>
          <w:rFonts w:ascii="Verdana" w:eastAsia="Calibri" w:hAnsi="Verdana" w:cs="Calibri"/>
          <w:sz w:val="20"/>
          <w:szCs w:val="20"/>
          <w:lang w:val="it-IT"/>
        </w:rPr>
        <w:t>ettendo a confronto la distribuzione delle valutazioni effettuate da CRIF RES e quella delle compravendite</w:t>
      </w:r>
      <w:r w:rsidR="00270A27">
        <w:rPr>
          <w:rFonts w:ascii="Verdana" w:eastAsia="Calibri" w:hAnsi="Verdana" w:cs="Calibri"/>
          <w:sz w:val="20"/>
          <w:szCs w:val="20"/>
          <w:lang w:val="it-IT"/>
        </w:rPr>
        <w:t>,</w:t>
      </w:r>
      <w:r w:rsidR="001E12D5" w:rsidRPr="000109B9">
        <w:rPr>
          <w:rFonts w:ascii="Verdana" w:eastAsia="Calibri" w:hAnsi="Verdana" w:cs="Calibri"/>
          <w:sz w:val="20"/>
          <w:szCs w:val="20"/>
          <w:lang w:val="it-IT"/>
        </w:rPr>
        <w:t xml:space="preserve"> </w:t>
      </w:r>
      <w:r>
        <w:rPr>
          <w:rFonts w:ascii="Verdana" w:eastAsia="Calibri" w:hAnsi="Verdana" w:cs="Calibri"/>
          <w:sz w:val="20"/>
          <w:szCs w:val="20"/>
          <w:lang w:val="it-IT"/>
        </w:rPr>
        <w:t>l</w:t>
      </w:r>
      <w:r w:rsidRPr="000109B9">
        <w:rPr>
          <w:rFonts w:ascii="Verdana" w:eastAsia="Calibri" w:hAnsi="Verdana" w:cs="Calibri"/>
          <w:sz w:val="20"/>
          <w:szCs w:val="20"/>
          <w:lang w:val="it-IT"/>
        </w:rPr>
        <w:t xml:space="preserve">a prima evidenza che emerge </w:t>
      </w:r>
      <w:r w:rsidR="001E12D5" w:rsidRPr="000109B9">
        <w:rPr>
          <w:rFonts w:ascii="Verdana" w:eastAsia="Calibri" w:hAnsi="Verdana" w:cs="Calibri"/>
          <w:sz w:val="20"/>
          <w:szCs w:val="20"/>
          <w:lang w:val="it-IT"/>
        </w:rPr>
        <w:t>riguarda l’elevata analogia fra queste ultime</w:t>
      </w:r>
      <w:r w:rsidR="001E12D5" w:rsidRPr="000109B9">
        <w:rPr>
          <w:rStyle w:val="FootnoteReference"/>
          <w:rFonts w:ascii="Verdana" w:eastAsia="Calibri" w:hAnsi="Verdana" w:cs="Calibri"/>
          <w:sz w:val="20"/>
          <w:szCs w:val="20"/>
          <w:lang w:val="it-IT"/>
        </w:rPr>
        <w:footnoteReference w:id="2"/>
      </w:r>
      <w:r w:rsidR="001E12D5" w:rsidRPr="000109B9">
        <w:rPr>
          <w:rFonts w:ascii="Verdana" w:eastAsia="Calibri" w:hAnsi="Verdana" w:cs="Calibri"/>
          <w:sz w:val="20"/>
          <w:szCs w:val="20"/>
          <w:lang w:val="it-IT"/>
        </w:rPr>
        <w:t>. Tale relazione si osserva non solo nel tempo a livello complessivo ma anche a livello territoriale nelle diverse macro aree geografiche.</w:t>
      </w:r>
    </w:p>
    <w:p w14:paraId="599D469B" w14:textId="5B5F5435" w:rsidR="001E12D5" w:rsidRPr="00E40FAC" w:rsidRDefault="001E12D5" w:rsidP="001E12D5">
      <w:pPr>
        <w:rPr>
          <w:rFonts w:ascii="Verdana" w:eastAsia="Calibri" w:hAnsi="Verdana" w:cs="Calibri"/>
          <w:sz w:val="20"/>
          <w:szCs w:val="20"/>
          <w:lang w:val="it-IT"/>
        </w:rPr>
      </w:pPr>
      <w:r w:rsidRPr="000109B9">
        <w:rPr>
          <w:rFonts w:ascii="Verdana" w:eastAsia="Calibri" w:hAnsi="Verdana" w:cs="Calibri"/>
          <w:sz w:val="20"/>
          <w:szCs w:val="20"/>
          <w:lang w:val="it-IT"/>
        </w:rPr>
        <w:t xml:space="preserve">Entrando nel dettaglio, fatte 100 le transazioni relative a immobili non residenziali registrate negli ultimi </w:t>
      </w:r>
      <w:r w:rsidR="000109B9" w:rsidRPr="000109B9">
        <w:rPr>
          <w:rFonts w:ascii="Verdana" w:eastAsia="Calibri" w:hAnsi="Verdana" w:cs="Calibri"/>
          <w:sz w:val="20"/>
          <w:szCs w:val="20"/>
          <w:lang w:val="it-IT"/>
        </w:rPr>
        <w:t>6 anni</w:t>
      </w:r>
      <w:r w:rsidRPr="000109B9">
        <w:rPr>
          <w:rFonts w:ascii="Verdana" w:eastAsia="Calibri" w:hAnsi="Verdana" w:cs="Calibri"/>
          <w:sz w:val="20"/>
          <w:szCs w:val="20"/>
          <w:lang w:val="it-IT"/>
        </w:rPr>
        <w:t xml:space="preserve"> di osservazione </w:t>
      </w:r>
      <w:r w:rsidRPr="00403242">
        <w:rPr>
          <w:rFonts w:ascii="Verdana" w:eastAsia="Calibri" w:hAnsi="Verdana" w:cs="Calibri"/>
          <w:b/>
          <w:sz w:val="20"/>
          <w:szCs w:val="20"/>
          <w:lang w:val="it-IT"/>
        </w:rPr>
        <w:t>la media di quelle relative a</w:t>
      </w:r>
      <w:r w:rsidRPr="000109B9">
        <w:rPr>
          <w:rFonts w:ascii="Verdana" w:eastAsia="Calibri" w:hAnsi="Verdana" w:cs="Calibri"/>
          <w:sz w:val="20"/>
          <w:szCs w:val="20"/>
          <w:lang w:val="it-IT"/>
        </w:rPr>
        <w:t xml:space="preserve"> </w:t>
      </w:r>
      <w:r w:rsidRPr="000109B9">
        <w:rPr>
          <w:rFonts w:ascii="Verdana" w:eastAsia="Calibri" w:hAnsi="Verdana" w:cs="Calibri"/>
          <w:b/>
          <w:sz w:val="20"/>
          <w:szCs w:val="20"/>
          <w:lang w:val="it-IT"/>
        </w:rPr>
        <w:t xml:space="preserve">negozi e laboratori è stata pari al 50% </w:t>
      </w:r>
      <w:r w:rsidR="00E40FAC">
        <w:rPr>
          <w:rFonts w:ascii="Verdana" w:eastAsia="Calibri" w:hAnsi="Verdana" w:cs="Calibri"/>
          <w:b/>
          <w:sz w:val="20"/>
          <w:szCs w:val="20"/>
          <w:lang w:val="it-IT"/>
        </w:rPr>
        <w:t xml:space="preserve">del totale contro il 25% degli uffici e </w:t>
      </w:r>
      <w:r w:rsidR="007E1360">
        <w:rPr>
          <w:rFonts w:ascii="Verdana" w:eastAsia="Calibri" w:hAnsi="Verdana" w:cs="Calibri"/>
          <w:b/>
          <w:sz w:val="20"/>
          <w:szCs w:val="20"/>
          <w:lang w:val="it-IT"/>
        </w:rPr>
        <w:t>i</w:t>
      </w:r>
      <w:r w:rsidR="00E40FAC">
        <w:rPr>
          <w:rFonts w:ascii="Verdana" w:eastAsia="Calibri" w:hAnsi="Verdana" w:cs="Calibri"/>
          <w:b/>
          <w:sz w:val="20"/>
          <w:szCs w:val="20"/>
          <w:lang w:val="it-IT"/>
        </w:rPr>
        <w:t>l 25</w:t>
      </w:r>
      <w:r w:rsidRPr="000109B9">
        <w:rPr>
          <w:rFonts w:ascii="Verdana" w:eastAsia="Calibri" w:hAnsi="Verdana" w:cs="Calibri"/>
          <w:b/>
          <w:sz w:val="20"/>
          <w:szCs w:val="20"/>
          <w:lang w:val="it-IT"/>
        </w:rPr>
        <w:t xml:space="preserve">% dei </w:t>
      </w:r>
      <w:r w:rsidRPr="00E40FAC">
        <w:rPr>
          <w:rFonts w:ascii="Verdana" w:eastAsia="Calibri" w:hAnsi="Verdana" w:cs="Calibri"/>
          <w:b/>
          <w:sz w:val="20"/>
          <w:szCs w:val="20"/>
          <w:lang w:val="it-IT"/>
        </w:rPr>
        <w:t>capannoni</w:t>
      </w:r>
      <w:r w:rsidR="00C441C4">
        <w:rPr>
          <w:rFonts w:ascii="Verdana" w:eastAsia="Calibri" w:hAnsi="Verdana" w:cs="Calibri"/>
          <w:b/>
          <w:sz w:val="20"/>
          <w:szCs w:val="20"/>
          <w:lang w:val="it-IT"/>
        </w:rPr>
        <w:t xml:space="preserve"> </w:t>
      </w:r>
      <w:r w:rsidR="00C441C4" w:rsidRPr="00C441C4">
        <w:rPr>
          <w:rFonts w:ascii="Verdana" w:eastAsia="Calibri" w:hAnsi="Verdana" w:cs="Calibri"/>
          <w:sz w:val="20"/>
          <w:szCs w:val="20"/>
          <w:lang w:val="it-IT"/>
        </w:rPr>
        <w:t>(fig. 2).</w:t>
      </w:r>
    </w:p>
    <w:p w14:paraId="785C45E6" w14:textId="732E67D1" w:rsidR="00E40FAC" w:rsidRPr="00B970B4" w:rsidRDefault="00E40FAC">
      <w:pPr>
        <w:jc w:val="center"/>
        <w:rPr>
          <w:rFonts w:ascii="Verdana" w:eastAsia="Calibri" w:hAnsi="Verdana" w:cs="Calibri"/>
          <w:b/>
          <w:color w:val="003B79" w:themeColor="text1"/>
          <w:sz w:val="20"/>
          <w:szCs w:val="20"/>
          <w:lang w:val="it-IT"/>
        </w:rPr>
      </w:pPr>
      <w:r w:rsidRPr="00B970B4">
        <w:rPr>
          <w:rFonts w:ascii="Verdana" w:eastAsia="Calibri" w:hAnsi="Verdana" w:cs="Calibri"/>
          <w:b/>
          <w:color w:val="003B79" w:themeColor="text1"/>
          <w:sz w:val="20"/>
          <w:szCs w:val="20"/>
          <w:lang w:val="it-IT"/>
        </w:rPr>
        <w:t>Figura 2</w:t>
      </w:r>
      <w:r w:rsidR="00DF4CDA" w:rsidRPr="00B970B4">
        <w:rPr>
          <w:rFonts w:ascii="Verdana" w:eastAsia="Calibri" w:hAnsi="Verdana" w:cs="Calibri"/>
          <w:b/>
          <w:color w:val="003B79" w:themeColor="text1"/>
          <w:sz w:val="20"/>
          <w:szCs w:val="20"/>
          <w:lang w:val="it-IT"/>
        </w:rPr>
        <w:t xml:space="preserve"> -</w:t>
      </w:r>
      <w:r w:rsidR="007E1360" w:rsidRPr="00B970B4">
        <w:rPr>
          <w:rFonts w:ascii="Verdana" w:eastAsia="Calibri" w:hAnsi="Verdana" w:cs="Calibri"/>
          <w:b/>
          <w:color w:val="003B79" w:themeColor="text1"/>
          <w:sz w:val="20"/>
          <w:szCs w:val="20"/>
          <w:lang w:val="it-IT"/>
        </w:rPr>
        <w:t xml:space="preserve"> </w:t>
      </w:r>
      <w:r w:rsidR="001E12D5" w:rsidRPr="00B970B4">
        <w:rPr>
          <w:rFonts w:ascii="Verdana" w:eastAsia="Calibri" w:hAnsi="Verdana" w:cs="Calibri"/>
          <w:b/>
          <w:color w:val="003B79" w:themeColor="text1"/>
          <w:sz w:val="20"/>
          <w:szCs w:val="20"/>
          <w:lang w:val="it-IT"/>
        </w:rPr>
        <w:t>Distribuzione delle Transazioni registrate da OMI e delle Perizie effettuate da CRIF RES nel tempo</w:t>
      </w:r>
    </w:p>
    <w:p w14:paraId="5A34428D" w14:textId="4AE54838" w:rsidR="00B74920" w:rsidRPr="00270A27" w:rsidRDefault="00B74920">
      <w:pPr>
        <w:jc w:val="center"/>
        <w:rPr>
          <w:rFonts w:ascii="Verdana" w:eastAsia="Calibri" w:hAnsi="Verdana" w:cs="Calibri"/>
          <w:b/>
          <w:sz w:val="20"/>
          <w:szCs w:val="20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5910771E" wp14:editId="0F32C577">
            <wp:extent cx="5943600" cy="334073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B5D5C" w14:textId="75F89562" w:rsidR="007E1360" w:rsidRDefault="001E12D5" w:rsidP="001E12D5">
      <w:pPr>
        <w:jc w:val="both"/>
        <w:rPr>
          <w:rFonts w:ascii="Verdana" w:eastAsia="Calibri" w:hAnsi="Verdana" w:cs="Calibri"/>
          <w:i/>
          <w:sz w:val="20"/>
          <w:szCs w:val="20"/>
          <w:lang w:val="it-IT"/>
        </w:rPr>
      </w:pPr>
      <w:r w:rsidRPr="00403242">
        <w:rPr>
          <w:rFonts w:ascii="Verdana" w:eastAsia="Calibri" w:hAnsi="Verdana" w:cs="Calibri"/>
          <w:i/>
          <w:sz w:val="20"/>
          <w:szCs w:val="20"/>
          <w:lang w:val="it-IT"/>
        </w:rPr>
        <w:t>Fonte: elaborazioni CRIF RES su dati CRIF e Agenzia delle Entrate</w:t>
      </w:r>
    </w:p>
    <w:p w14:paraId="27BEB192" w14:textId="1804C71E" w:rsidR="00403242" w:rsidRPr="00403242" w:rsidRDefault="00403242" w:rsidP="001E12D5">
      <w:pPr>
        <w:jc w:val="both"/>
        <w:rPr>
          <w:rFonts w:ascii="Verdana" w:eastAsia="Calibri" w:hAnsi="Verdana" w:cs="Calibri"/>
          <w:i/>
          <w:sz w:val="20"/>
          <w:szCs w:val="20"/>
          <w:lang w:val="it-IT"/>
        </w:rPr>
      </w:pPr>
    </w:p>
    <w:p w14:paraId="55754008" w14:textId="7C64BEDF" w:rsidR="001E12D5" w:rsidRPr="00E40FAC" w:rsidRDefault="001E12D5" w:rsidP="001E12D5">
      <w:pPr>
        <w:jc w:val="both"/>
        <w:rPr>
          <w:rFonts w:eastAsia="Calibri" w:cs="Calibri"/>
          <w:sz w:val="20"/>
          <w:szCs w:val="20"/>
          <w:lang w:val="it-IT"/>
        </w:rPr>
      </w:pPr>
      <w:r w:rsidRPr="00E40FAC">
        <w:rPr>
          <w:rFonts w:eastAsia="Calibri" w:cs="Calibri"/>
          <w:sz w:val="20"/>
          <w:szCs w:val="20"/>
          <w:lang w:val="it-IT"/>
        </w:rPr>
        <w:t xml:space="preserve">Se nello specifico ci riferiamo all’ultimo triennio e confrontiamo il numero di valutazioni effettuate per singolo segmento con il numero di compravendite concluse, si evince una copertura che va dal 9% circa nel settore del negozi/laboratori e dei capannoni sino ad oltre il 12% per il comparto direzionale. Di seguito riportiamo le principali metriche relative ai tre </w:t>
      </w:r>
      <w:r w:rsidRPr="00E40FAC">
        <w:rPr>
          <w:rFonts w:eastAsia="Calibri" w:cs="Calibri"/>
          <w:sz w:val="20"/>
          <w:szCs w:val="20"/>
          <w:lang w:val="it-IT"/>
        </w:rPr>
        <w:lastRenderedPageBreak/>
        <w:t>settori considerati con riferimento all’evoluzione storica del valore complessivo degli immobili, la loro superficie mediana e il valore mediano per unità di superficie. Evidentemente, come spesso avviene in un mercato disomogeneo come l’Italia, le dinamiche rilevate risultano differenti a livello territoriale.</w:t>
      </w:r>
    </w:p>
    <w:p w14:paraId="6CF3BD39" w14:textId="197AA4B8" w:rsidR="001E12D5" w:rsidRPr="00B970B4" w:rsidRDefault="008E23AE">
      <w:pPr>
        <w:jc w:val="center"/>
        <w:rPr>
          <w:rFonts w:eastAsia="Calibri" w:cs="Calibri"/>
          <w:b/>
          <w:color w:val="003B79" w:themeColor="text1"/>
          <w:sz w:val="20"/>
          <w:szCs w:val="20"/>
          <w:lang w:val="it-IT"/>
        </w:rPr>
      </w:pPr>
      <w:r w:rsidRPr="00B970B4">
        <w:rPr>
          <w:rFonts w:eastAsia="Calibri" w:cs="Calibri"/>
          <w:b/>
          <w:color w:val="003B79" w:themeColor="text1"/>
          <w:sz w:val="20"/>
          <w:szCs w:val="20"/>
          <w:lang w:val="it-IT"/>
        </w:rPr>
        <w:t>Tavola 2</w:t>
      </w:r>
      <w:r w:rsidR="00DF4CDA" w:rsidRPr="00B970B4">
        <w:rPr>
          <w:rFonts w:eastAsia="Calibri" w:cs="Calibri"/>
          <w:b/>
          <w:color w:val="003B79" w:themeColor="text1"/>
          <w:sz w:val="20"/>
          <w:szCs w:val="20"/>
          <w:lang w:val="it-IT"/>
        </w:rPr>
        <w:t xml:space="preserve"> -</w:t>
      </w:r>
      <w:r w:rsidR="007E1360" w:rsidRPr="00B970B4">
        <w:rPr>
          <w:rFonts w:eastAsia="Calibri" w:cs="Calibri"/>
          <w:b/>
          <w:color w:val="003B79" w:themeColor="text1"/>
          <w:sz w:val="20"/>
          <w:szCs w:val="20"/>
          <w:lang w:val="it-IT"/>
        </w:rPr>
        <w:t xml:space="preserve"> </w:t>
      </w:r>
      <w:r w:rsidR="001E12D5" w:rsidRPr="00B970B4">
        <w:rPr>
          <w:rFonts w:eastAsia="Calibri" w:cs="Calibri"/>
          <w:b/>
          <w:color w:val="003B79" w:themeColor="text1"/>
          <w:sz w:val="20"/>
          <w:szCs w:val="20"/>
          <w:lang w:val="it-IT"/>
        </w:rPr>
        <w:t>Mercato dei Negozi (senza i laboratori)</w:t>
      </w:r>
    </w:p>
    <w:tbl>
      <w:tblPr>
        <w:tblStyle w:val="PlainTable2"/>
        <w:tblW w:w="0" w:type="auto"/>
        <w:jc w:val="center"/>
        <w:tblBorders>
          <w:top w:val="single" w:sz="4" w:space="0" w:color="003B79" w:themeColor="text1"/>
          <w:bottom w:val="single" w:sz="4" w:space="0" w:color="003B79" w:themeColor="text1"/>
          <w:insideH w:val="single" w:sz="4" w:space="0" w:color="003B79" w:themeColor="text1"/>
        </w:tblBorders>
        <w:tblLook w:val="0600" w:firstRow="0" w:lastRow="0" w:firstColumn="0" w:lastColumn="0" w:noHBand="1" w:noVBand="1"/>
      </w:tblPr>
      <w:tblGrid>
        <w:gridCol w:w="1418"/>
        <w:gridCol w:w="2647"/>
        <w:gridCol w:w="2647"/>
        <w:gridCol w:w="2648"/>
      </w:tblGrid>
      <w:tr w:rsidR="002351CD" w:rsidRPr="002351CD" w14:paraId="4CCCBF54" w14:textId="77777777" w:rsidTr="00403242">
        <w:trPr>
          <w:trHeight w:val="284"/>
          <w:jc w:val="center"/>
        </w:trPr>
        <w:tc>
          <w:tcPr>
            <w:tcW w:w="1418" w:type="dxa"/>
            <w:shd w:val="clear" w:color="auto" w:fill="003B79" w:themeFill="text1"/>
            <w:vAlign w:val="center"/>
            <w:hideMark/>
          </w:tcPr>
          <w:p w14:paraId="735AD3FA" w14:textId="77777777" w:rsidR="008E23AE" w:rsidRPr="00403242" w:rsidRDefault="008E23AE">
            <w:pPr>
              <w:jc w:val="center"/>
              <w:textAlignment w:val="bottom"/>
              <w:rPr>
                <w:rFonts w:eastAsia="Times New Roman" w:cs="Arial"/>
                <w:color w:val="FFFFFF" w:themeColor="background1"/>
                <w:sz w:val="20"/>
                <w:szCs w:val="20"/>
                <w:lang w:val="it-IT" w:eastAsia="it-IT"/>
              </w:rPr>
            </w:pPr>
            <w:proofErr w:type="spellStart"/>
            <w:r w:rsidRPr="00403242">
              <w:rPr>
                <w:rFonts w:eastAsia="Times New Roman" w:cs="Calibri"/>
                <w:b/>
                <w:bCs/>
                <w:color w:val="FFFFFF" w:themeColor="background1"/>
                <w:kern w:val="24"/>
                <w:sz w:val="20"/>
                <w:szCs w:val="20"/>
                <w:lang w:val="en-GB" w:eastAsia="it-IT"/>
              </w:rPr>
              <w:t>Semestre</w:t>
            </w:r>
            <w:proofErr w:type="spellEnd"/>
          </w:p>
        </w:tc>
        <w:tc>
          <w:tcPr>
            <w:tcW w:w="2647" w:type="dxa"/>
            <w:shd w:val="clear" w:color="auto" w:fill="003B79" w:themeFill="text1"/>
            <w:vAlign w:val="center"/>
            <w:hideMark/>
          </w:tcPr>
          <w:p w14:paraId="06BC2296" w14:textId="504077DD" w:rsidR="008E23AE" w:rsidRPr="00403242" w:rsidRDefault="008E23AE">
            <w:pPr>
              <w:jc w:val="center"/>
              <w:textAlignment w:val="bottom"/>
              <w:rPr>
                <w:rFonts w:eastAsia="Times New Roman" w:cs="Arial"/>
                <w:color w:val="FFFFFF" w:themeColor="background1"/>
                <w:sz w:val="20"/>
                <w:szCs w:val="20"/>
                <w:lang w:val="it-IT" w:eastAsia="it-IT"/>
              </w:rPr>
            </w:pPr>
            <w:r w:rsidRPr="00403242">
              <w:rPr>
                <w:rFonts w:eastAsia="Times New Roman" w:cs="Calibri"/>
                <w:b/>
                <w:bCs/>
                <w:color w:val="FFFFFF" w:themeColor="background1"/>
                <w:kern w:val="24"/>
                <w:sz w:val="20"/>
                <w:szCs w:val="20"/>
                <w:lang w:val="en-GB" w:eastAsia="it-IT"/>
              </w:rPr>
              <w:t xml:space="preserve">Valore </w:t>
            </w:r>
            <w:proofErr w:type="spellStart"/>
            <w:r w:rsidRPr="00403242">
              <w:rPr>
                <w:rFonts w:eastAsia="Times New Roman" w:cs="Calibri"/>
                <w:b/>
                <w:bCs/>
                <w:color w:val="FFFFFF" w:themeColor="background1"/>
                <w:kern w:val="24"/>
                <w:sz w:val="20"/>
                <w:szCs w:val="20"/>
                <w:lang w:val="en-GB" w:eastAsia="it-IT"/>
              </w:rPr>
              <w:t>mediano</w:t>
            </w:r>
            <w:proofErr w:type="spellEnd"/>
            <w:r w:rsidR="00DE3F7E" w:rsidRPr="00403242">
              <w:rPr>
                <w:rFonts w:eastAsia="Times New Roman" w:cs="Calibri"/>
                <w:b/>
                <w:bCs/>
                <w:color w:val="FFFFFF" w:themeColor="background1"/>
                <w:kern w:val="24"/>
                <w:sz w:val="20"/>
                <w:szCs w:val="20"/>
                <w:lang w:val="en-GB" w:eastAsia="it-IT"/>
              </w:rPr>
              <w:t xml:space="preserve"> (€)</w:t>
            </w:r>
          </w:p>
        </w:tc>
        <w:tc>
          <w:tcPr>
            <w:tcW w:w="2647" w:type="dxa"/>
            <w:shd w:val="clear" w:color="auto" w:fill="003B79" w:themeFill="text1"/>
            <w:vAlign w:val="center"/>
            <w:hideMark/>
          </w:tcPr>
          <w:p w14:paraId="7A878977" w14:textId="7076DA4B" w:rsidR="008E23AE" w:rsidRPr="00403242" w:rsidRDefault="008E23AE">
            <w:pPr>
              <w:jc w:val="center"/>
              <w:textAlignment w:val="bottom"/>
              <w:rPr>
                <w:rFonts w:eastAsia="Times New Roman" w:cs="Arial"/>
                <w:color w:val="FFFFFF" w:themeColor="background1"/>
                <w:sz w:val="20"/>
                <w:szCs w:val="20"/>
                <w:lang w:val="it-IT" w:eastAsia="it-IT"/>
              </w:rPr>
            </w:pPr>
            <w:proofErr w:type="spellStart"/>
            <w:r w:rsidRPr="00403242">
              <w:rPr>
                <w:rFonts w:eastAsia="Times New Roman" w:cs="Calibri"/>
                <w:b/>
                <w:bCs/>
                <w:color w:val="FFFFFF" w:themeColor="background1"/>
                <w:kern w:val="24"/>
                <w:sz w:val="20"/>
                <w:szCs w:val="20"/>
                <w:lang w:val="en-GB" w:eastAsia="it-IT"/>
              </w:rPr>
              <w:t>Superficie</w:t>
            </w:r>
            <w:proofErr w:type="spellEnd"/>
            <w:r w:rsidRPr="00403242">
              <w:rPr>
                <w:rFonts w:eastAsia="Times New Roman" w:cs="Calibri"/>
                <w:b/>
                <w:bCs/>
                <w:color w:val="FFFFFF" w:themeColor="background1"/>
                <w:kern w:val="24"/>
                <w:sz w:val="20"/>
                <w:szCs w:val="20"/>
                <w:lang w:val="en-GB" w:eastAsia="it-IT"/>
              </w:rPr>
              <w:t xml:space="preserve"> </w:t>
            </w:r>
            <w:proofErr w:type="spellStart"/>
            <w:r w:rsidRPr="00403242">
              <w:rPr>
                <w:rFonts w:eastAsia="Times New Roman" w:cs="Calibri"/>
                <w:b/>
                <w:bCs/>
                <w:color w:val="FFFFFF" w:themeColor="background1"/>
                <w:kern w:val="24"/>
                <w:sz w:val="20"/>
                <w:szCs w:val="20"/>
                <w:lang w:val="en-GB" w:eastAsia="it-IT"/>
              </w:rPr>
              <w:t>mediana</w:t>
            </w:r>
            <w:proofErr w:type="spellEnd"/>
            <w:r w:rsidRPr="00403242">
              <w:rPr>
                <w:rFonts w:eastAsia="Times New Roman" w:cs="Calibri"/>
                <w:b/>
                <w:bCs/>
                <w:color w:val="FFFFFF" w:themeColor="background1"/>
                <w:kern w:val="24"/>
                <w:sz w:val="20"/>
                <w:szCs w:val="20"/>
                <w:lang w:val="en-GB" w:eastAsia="it-IT"/>
              </w:rPr>
              <w:t xml:space="preserve"> (</w:t>
            </w:r>
            <w:proofErr w:type="spellStart"/>
            <w:r w:rsidRPr="00403242">
              <w:rPr>
                <w:rFonts w:eastAsia="Times New Roman" w:cs="Calibri"/>
                <w:b/>
                <w:bCs/>
                <w:color w:val="FFFFFF" w:themeColor="background1"/>
                <w:kern w:val="24"/>
                <w:sz w:val="20"/>
                <w:szCs w:val="20"/>
                <w:lang w:val="en-GB" w:eastAsia="it-IT"/>
              </w:rPr>
              <w:t>mq</w:t>
            </w:r>
            <w:proofErr w:type="spellEnd"/>
            <w:r w:rsidRPr="00403242">
              <w:rPr>
                <w:rFonts w:eastAsia="Times New Roman" w:cs="Calibri"/>
                <w:b/>
                <w:bCs/>
                <w:color w:val="FFFFFF" w:themeColor="background1"/>
                <w:kern w:val="24"/>
                <w:sz w:val="20"/>
                <w:szCs w:val="20"/>
                <w:lang w:val="en-GB" w:eastAsia="it-IT"/>
              </w:rPr>
              <w:t>)</w:t>
            </w:r>
          </w:p>
        </w:tc>
        <w:tc>
          <w:tcPr>
            <w:tcW w:w="2648" w:type="dxa"/>
            <w:shd w:val="clear" w:color="auto" w:fill="003B79" w:themeFill="text1"/>
            <w:vAlign w:val="center"/>
            <w:hideMark/>
          </w:tcPr>
          <w:p w14:paraId="3CB1842E" w14:textId="61F1C356" w:rsidR="008E23AE" w:rsidRPr="00403242" w:rsidRDefault="00DE3F7E">
            <w:pPr>
              <w:jc w:val="center"/>
              <w:textAlignment w:val="bottom"/>
              <w:rPr>
                <w:rFonts w:eastAsia="Times New Roman" w:cs="Arial"/>
                <w:color w:val="FFFFFF" w:themeColor="background1"/>
                <w:sz w:val="20"/>
                <w:szCs w:val="20"/>
                <w:lang w:val="it-IT" w:eastAsia="it-IT"/>
              </w:rPr>
            </w:pPr>
            <w:r w:rsidRPr="00403242">
              <w:rPr>
                <w:rFonts w:eastAsia="Times New Roman" w:cs="Calibri"/>
                <w:b/>
                <w:bCs/>
                <w:color w:val="FFFFFF" w:themeColor="background1"/>
                <w:kern w:val="24"/>
                <w:sz w:val="20"/>
                <w:szCs w:val="20"/>
                <w:lang w:val="en-GB" w:eastAsia="it-IT"/>
              </w:rPr>
              <w:t xml:space="preserve">Valore </w:t>
            </w:r>
            <w:proofErr w:type="spellStart"/>
            <w:r w:rsidRPr="00403242">
              <w:rPr>
                <w:rFonts w:eastAsia="Times New Roman" w:cs="Calibri"/>
                <w:b/>
                <w:bCs/>
                <w:color w:val="FFFFFF" w:themeColor="background1"/>
                <w:kern w:val="24"/>
                <w:sz w:val="20"/>
                <w:szCs w:val="20"/>
                <w:lang w:val="en-GB" w:eastAsia="it-IT"/>
              </w:rPr>
              <w:t>mq</w:t>
            </w:r>
            <w:proofErr w:type="spellEnd"/>
            <w:r w:rsidRPr="00403242">
              <w:rPr>
                <w:rFonts w:eastAsia="Times New Roman" w:cs="Calibri"/>
                <w:b/>
                <w:bCs/>
                <w:color w:val="FFFFFF" w:themeColor="background1"/>
                <w:kern w:val="24"/>
                <w:sz w:val="20"/>
                <w:szCs w:val="20"/>
                <w:lang w:val="en-GB" w:eastAsia="it-IT"/>
              </w:rPr>
              <w:t xml:space="preserve"> </w:t>
            </w:r>
            <w:proofErr w:type="spellStart"/>
            <w:r w:rsidRPr="00403242">
              <w:rPr>
                <w:rFonts w:eastAsia="Times New Roman" w:cs="Calibri"/>
                <w:b/>
                <w:bCs/>
                <w:color w:val="FFFFFF" w:themeColor="background1"/>
                <w:kern w:val="24"/>
                <w:sz w:val="20"/>
                <w:szCs w:val="20"/>
                <w:lang w:val="en-GB" w:eastAsia="it-IT"/>
              </w:rPr>
              <w:t>mediano</w:t>
            </w:r>
            <w:proofErr w:type="spellEnd"/>
            <w:r w:rsidRPr="00403242">
              <w:rPr>
                <w:rFonts w:eastAsia="Times New Roman" w:cs="Calibri"/>
                <w:b/>
                <w:bCs/>
                <w:color w:val="FFFFFF" w:themeColor="background1"/>
                <w:kern w:val="24"/>
                <w:sz w:val="20"/>
                <w:szCs w:val="20"/>
                <w:lang w:val="en-GB" w:eastAsia="it-IT"/>
              </w:rPr>
              <w:t xml:space="preserve"> (</w:t>
            </w:r>
            <w:r w:rsidR="008E23AE" w:rsidRPr="00403242">
              <w:rPr>
                <w:rFonts w:eastAsia="Times New Roman" w:cs="Calibri"/>
                <w:b/>
                <w:bCs/>
                <w:color w:val="FFFFFF" w:themeColor="background1"/>
                <w:kern w:val="24"/>
                <w:sz w:val="20"/>
                <w:szCs w:val="20"/>
                <w:lang w:val="en-GB" w:eastAsia="it-IT"/>
              </w:rPr>
              <w:t>€</w:t>
            </w:r>
            <w:r w:rsidRPr="00403242">
              <w:rPr>
                <w:rFonts w:eastAsia="Times New Roman" w:cs="Calibri"/>
                <w:b/>
                <w:bCs/>
                <w:color w:val="FFFFFF" w:themeColor="background1"/>
                <w:kern w:val="24"/>
                <w:sz w:val="20"/>
                <w:szCs w:val="20"/>
                <w:lang w:val="en-GB" w:eastAsia="it-IT"/>
              </w:rPr>
              <w:t>/</w:t>
            </w:r>
            <w:proofErr w:type="spellStart"/>
            <w:r w:rsidRPr="00403242">
              <w:rPr>
                <w:rFonts w:eastAsia="Times New Roman" w:cs="Calibri"/>
                <w:b/>
                <w:bCs/>
                <w:color w:val="FFFFFF" w:themeColor="background1"/>
                <w:kern w:val="24"/>
                <w:sz w:val="20"/>
                <w:szCs w:val="20"/>
                <w:lang w:val="en-GB" w:eastAsia="it-IT"/>
              </w:rPr>
              <w:t>mq</w:t>
            </w:r>
            <w:proofErr w:type="spellEnd"/>
            <w:r w:rsidRPr="00403242">
              <w:rPr>
                <w:rFonts w:eastAsia="Times New Roman" w:cs="Calibri"/>
                <w:b/>
                <w:bCs/>
                <w:color w:val="FFFFFF" w:themeColor="background1"/>
                <w:kern w:val="24"/>
                <w:sz w:val="20"/>
                <w:szCs w:val="20"/>
                <w:lang w:val="en-GB" w:eastAsia="it-IT"/>
              </w:rPr>
              <w:t>)</w:t>
            </w:r>
          </w:p>
        </w:tc>
      </w:tr>
      <w:tr w:rsidR="00DE3F7E" w:rsidRPr="008E23AE" w14:paraId="0AD85CE0" w14:textId="77777777" w:rsidTr="00403242">
        <w:trPr>
          <w:trHeight w:val="284"/>
          <w:jc w:val="center"/>
        </w:trPr>
        <w:tc>
          <w:tcPr>
            <w:tcW w:w="1418" w:type="dxa"/>
            <w:vAlign w:val="center"/>
            <w:hideMark/>
          </w:tcPr>
          <w:p w14:paraId="65D4DBA2" w14:textId="77777777" w:rsidR="008E23AE" w:rsidRPr="00403242" w:rsidRDefault="008E23AE">
            <w:pPr>
              <w:contextualSpacing/>
              <w:jc w:val="center"/>
              <w:textAlignment w:val="bottom"/>
              <w:rPr>
                <w:rFonts w:eastAsia="Times New Roman" w:cs="Arial"/>
                <w:b/>
                <w:sz w:val="20"/>
                <w:szCs w:val="20"/>
                <w:lang w:val="it-IT" w:eastAsia="it-IT"/>
              </w:rPr>
            </w:pPr>
            <w:r w:rsidRPr="00403242">
              <w:rPr>
                <w:rFonts w:eastAsia="Times New Roman" w:cs="Calibri"/>
                <w:b/>
                <w:color w:val="000000"/>
                <w:kern w:val="24"/>
                <w:sz w:val="20"/>
                <w:szCs w:val="20"/>
                <w:lang w:val="en-GB" w:eastAsia="it-IT"/>
              </w:rPr>
              <w:t>2013_1</w:t>
            </w:r>
          </w:p>
        </w:tc>
        <w:tc>
          <w:tcPr>
            <w:tcW w:w="2647" w:type="dxa"/>
            <w:vAlign w:val="center"/>
            <w:hideMark/>
          </w:tcPr>
          <w:p w14:paraId="7B40F34D" w14:textId="1718E933" w:rsidR="008E23AE" w:rsidRPr="008E23AE" w:rsidRDefault="008E23AE">
            <w:pPr>
              <w:contextualSpacing/>
              <w:jc w:val="center"/>
              <w:textAlignment w:val="bottom"/>
              <w:rPr>
                <w:rFonts w:eastAsia="Times New Roman" w:cs="Arial"/>
                <w:sz w:val="20"/>
                <w:szCs w:val="20"/>
                <w:lang w:val="it-IT" w:eastAsia="it-IT"/>
              </w:rPr>
            </w:pP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182</w:t>
            </w:r>
            <w:r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.</w:t>
            </w: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500</w:t>
            </w:r>
          </w:p>
        </w:tc>
        <w:tc>
          <w:tcPr>
            <w:tcW w:w="2647" w:type="dxa"/>
            <w:vAlign w:val="center"/>
            <w:hideMark/>
          </w:tcPr>
          <w:p w14:paraId="05C2DDD7" w14:textId="43EC0997" w:rsidR="008E23AE" w:rsidRPr="008E23AE" w:rsidRDefault="008E23AE">
            <w:pPr>
              <w:contextualSpacing/>
              <w:jc w:val="center"/>
              <w:textAlignment w:val="bottom"/>
              <w:rPr>
                <w:rFonts w:eastAsia="Times New Roman" w:cs="Arial"/>
                <w:sz w:val="20"/>
                <w:szCs w:val="20"/>
                <w:lang w:val="it-IT" w:eastAsia="it-IT"/>
              </w:rPr>
            </w:pP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76</w:t>
            </w:r>
          </w:p>
        </w:tc>
        <w:tc>
          <w:tcPr>
            <w:tcW w:w="2648" w:type="dxa"/>
            <w:vAlign w:val="center"/>
            <w:hideMark/>
          </w:tcPr>
          <w:p w14:paraId="1FC5472A" w14:textId="549BFAF5" w:rsidR="008E23AE" w:rsidRPr="008E23AE" w:rsidRDefault="008E23AE">
            <w:pPr>
              <w:contextualSpacing/>
              <w:jc w:val="center"/>
              <w:textAlignment w:val="bottom"/>
              <w:rPr>
                <w:rFonts w:eastAsia="Times New Roman" w:cs="Arial"/>
                <w:sz w:val="20"/>
                <w:szCs w:val="20"/>
                <w:lang w:val="it-IT" w:eastAsia="it-IT"/>
              </w:rPr>
            </w:pP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2</w:t>
            </w:r>
            <w:r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.</w:t>
            </w: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138</w:t>
            </w:r>
          </w:p>
        </w:tc>
      </w:tr>
      <w:tr w:rsidR="00DE3F7E" w:rsidRPr="008E23AE" w14:paraId="6334EF5E" w14:textId="77777777" w:rsidTr="00403242">
        <w:trPr>
          <w:trHeight w:val="284"/>
          <w:jc w:val="center"/>
        </w:trPr>
        <w:tc>
          <w:tcPr>
            <w:tcW w:w="1418" w:type="dxa"/>
            <w:vAlign w:val="center"/>
            <w:hideMark/>
          </w:tcPr>
          <w:p w14:paraId="296FB2BA" w14:textId="77777777" w:rsidR="008E23AE" w:rsidRPr="00403242" w:rsidRDefault="008E23AE">
            <w:pPr>
              <w:contextualSpacing/>
              <w:jc w:val="center"/>
              <w:textAlignment w:val="bottom"/>
              <w:rPr>
                <w:rFonts w:eastAsia="Times New Roman" w:cs="Arial"/>
                <w:b/>
                <w:sz w:val="20"/>
                <w:szCs w:val="20"/>
                <w:lang w:val="it-IT" w:eastAsia="it-IT"/>
              </w:rPr>
            </w:pPr>
            <w:r w:rsidRPr="00403242">
              <w:rPr>
                <w:rFonts w:eastAsia="Times New Roman" w:cs="Calibri"/>
                <w:b/>
                <w:color w:val="000000"/>
                <w:kern w:val="24"/>
                <w:sz w:val="20"/>
                <w:szCs w:val="20"/>
                <w:lang w:val="en-GB" w:eastAsia="it-IT"/>
              </w:rPr>
              <w:t>2013_2</w:t>
            </w:r>
          </w:p>
        </w:tc>
        <w:tc>
          <w:tcPr>
            <w:tcW w:w="2647" w:type="dxa"/>
            <w:vAlign w:val="center"/>
            <w:hideMark/>
          </w:tcPr>
          <w:p w14:paraId="4D9DB14E" w14:textId="733EAE26" w:rsidR="008E23AE" w:rsidRPr="008E23AE" w:rsidRDefault="008E23AE">
            <w:pPr>
              <w:contextualSpacing/>
              <w:jc w:val="center"/>
              <w:textAlignment w:val="bottom"/>
              <w:rPr>
                <w:rFonts w:eastAsia="Times New Roman" w:cs="Arial"/>
                <w:sz w:val="20"/>
                <w:szCs w:val="20"/>
                <w:lang w:val="it-IT" w:eastAsia="it-IT"/>
              </w:rPr>
            </w:pP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159</w:t>
            </w:r>
            <w:r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.</w:t>
            </w: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000</w:t>
            </w:r>
          </w:p>
        </w:tc>
        <w:tc>
          <w:tcPr>
            <w:tcW w:w="2647" w:type="dxa"/>
            <w:vAlign w:val="center"/>
            <w:hideMark/>
          </w:tcPr>
          <w:p w14:paraId="35A7D4EE" w14:textId="6331C28E" w:rsidR="008E23AE" w:rsidRPr="008E23AE" w:rsidRDefault="008E23AE">
            <w:pPr>
              <w:contextualSpacing/>
              <w:jc w:val="center"/>
              <w:textAlignment w:val="bottom"/>
              <w:rPr>
                <w:rFonts w:eastAsia="Times New Roman" w:cs="Arial"/>
                <w:sz w:val="20"/>
                <w:szCs w:val="20"/>
                <w:lang w:val="it-IT" w:eastAsia="it-IT"/>
              </w:rPr>
            </w:pP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73</w:t>
            </w:r>
          </w:p>
        </w:tc>
        <w:tc>
          <w:tcPr>
            <w:tcW w:w="2648" w:type="dxa"/>
            <w:vAlign w:val="center"/>
            <w:hideMark/>
          </w:tcPr>
          <w:p w14:paraId="02A06EE7" w14:textId="4808137B" w:rsidR="008E23AE" w:rsidRPr="008E23AE" w:rsidRDefault="008E23AE">
            <w:pPr>
              <w:contextualSpacing/>
              <w:jc w:val="center"/>
              <w:textAlignment w:val="bottom"/>
              <w:rPr>
                <w:rFonts w:eastAsia="Times New Roman" w:cs="Arial"/>
                <w:sz w:val="20"/>
                <w:szCs w:val="20"/>
                <w:lang w:val="it-IT" w:eastAsia="it-IT"/>
              </w:rPr>
            </w:pP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2</w:t>
            </w:r>
            <w:r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.</w:t>
            </w: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100</w:t>
            </w:r>
          </w:p>
        </w:tc>
      </w:tr>
      <w:tr w:rsidR="00DE3F7E" w:rsidRPr="008E23AE" w14:paraId="1EC1B553" w14:textId="77777777" w:rsidTr="00403242">
        <w:trPr>
          <w:trHeight w:val="284"/>
          <w:jc w:val="center"/>
        </w:trPr>
        <w:tc>
          <w:tcPr>
            <w:tcW w:w="1418" w:type="dxa"/>
            <w:vAlign w:val="center"/>
            <w:hideMark/>
          </w:tcPr>
          <w:p w14:paraId="00CFD6C6" w14:textId="77777777" w:rsidR="008E23AE" w:rsidRPr="00403242" w:rsidRDefault="008E23AE">
            <w:pPr>
              <w:contextualSpacing/>
              <w:jc w:val="center"/>
              <w:textAlignment w:val="bottom"/>
              <w:rPr>
                <w:rFonts w:eastAsia="Times New Roman" w:cs="Arial"/>
                <w:b/>
                <w:sz w:val="20"/>
                <w:szCs w:val="20"/>
                <w:lang w:val="it-IT" w:eastAsia="it-IT"/>
              </w:rPr>
            </w:pPr>
            <w:r w:rsidRPr="00403242">
              <w:rPr>
                <w:rFonts w:eastAsia="Times New Roman" w:cs="Calibri"/>
                <w:b/>
                <w:color w:val="000000"/>
                <w:kern w:val="24"/>
                <w:sz w:val="20"/>
                <w:szCs w:val="20"/>
                <w:lang w:val="en-GB" w:eastAsia="it-IT"/>
              </w:rPr>
              <w:t>2014_1</w:t>
            </w:r>
          </w:p>
        </w:tc>
        <w:tc>
          <w:tcPr>
            <w:tcW w:w="2647" w:type="dxa"/>
            <w:vAlign w:val="center"/>
            <w:hideMark/>
          </w:tcPr>
          <w:p w14:paraId="0049A1A9" w14:textId="48F9B6F8" w:rsidR="008E23AE" w:rsidRPr="008E23AE" w:rsidRDefault="008E23AE">
            <w:pPr>
              <w:contextualSpacing/>
              <w:jc w:val="center"/>
              <w:textAlignment w:val="bottom"/>
              <w:rPr>
                <w:rFonts w:eastAsia="Times New Roman" w:cs="Arial"/>
                <w:sz w:val="20"/>
                <w:szCs w:val="20"/>
                <w:lang w:val="it-IT" w:eastAsia="it-IT"/>
              </w:rPr>
            </w:pP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227</w:t>
            </w:r>
            <w:r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.</w:t>
            </w: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500</w:t>
            </w:r>
          </w:p>
        </w:tc>
        <w:tc>
          <w:tcPr>
            <w:tcW w:w="2647" w:type="dxa"/>
            <w:vAlign w:val="center"/>
            <w:hideMark/>
          </w:tcPr>
          <w:p w14:paraId="23CB738A" w14:textId="78DB6F7D" w:rsidR="008E23AE" w:rsidRPr="008E23AE" w:rsidRDefault="008E23AE">
            <w:pPr>
              <w:contextualSpacing/>
              <w:jc w:val="center"/>
              <w:textAlignment w:val="bottom"/>
              <w:rPr>
                <w:rFonts w:eastAsia="Times New Roman" w:cs="Arial"/>
                <w:sz w:val="20"/>
                <w:szCs w:val="20"/>
                <w:lang w:val="it-IT" w:eastAsia="it-IT"/>
              </w:rPr>
            </w:pP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104</w:t>
            </w:r>
          </w:p>
        </w:tc>
        <w:tc>
          <w:tcPr>
            <w:tcW w:w="2648" w:type="dxa"/>
            <w:vAlign w:val="center"/>
            <w:hideMark/>
          </w:tcPr>
          <w:p w14:paraId="4F1C2FE1" w14:textId="57DFFAA7" w:rsidR="008E23AE" w:rsidRPr="008E23AE" w:rsidRDefault="008E23AE">
            <w:pPr>
              <w:contextualSpacing/>
              <w:jc w:val="center"/>
              <w:textAlignment w:val="bottom"/>
              <w:rPr>
                <w:rFonts w:eastAsia="Times New Roman" w:cs="Arial"/>
                <w:sz w:val="20"/>
                <w:szCs w:val="20"/>
                <w:lang w:val="it-IT" w:eastAsia="it-IT"/>
              </w:rPr>
            </w:pP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2</w:t>
            </w:r>
            <w:r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.</w:t>
            </w: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052</w:t>
            </w:r>
          </w:p>
        </w:tc>
      </w:tr>
      <w:tr w:rsidR="00DE3F7E" w:rsidRPr="008E23AE" w14:paraId="3DF836B9" w14:textId="77777777" w:rsidTr="00403242">
        <w:trPr>
          <w:trHeight w:val="284"/>
          <w:jc w:val="center"/>
        </w:trPr>
        <w:tc>
          <w:tcPr>
            <w:tcW w:w="1418" w:type="dxa"/>
            <w:vAlign w:val="center"/>
            <w:hideMark/>
          </w:tcPr>
          <w:p w14:paraId="0855FBC9" w14:textId="77777777" w:rsidR="008E23AE" w:rsidRPr="00403242" w:rsidRDefault="008E23AE">
            <w:pPr>
              <w:contextualSpacing/>
              <w:jc w:val="center"/>
              <w:textAlignment w:val="bottom"/>
              <w:rPr>
                <w:rFonts w:eastAsia="Times New Roman" w:cs="Arial"/>
                <w:b/>
                <w:sz w:val="20"/>
                <w:szCs w:val="20"/>
                <w:lang w:val="it-IT" w:eastAsia="it-IT"/>
              </w:rPr>
            </w:pPr>
            <w:r w:rsidRPr="00403242">
              <w:rPr>
                <w:rFonts w:eastAsia="Times New Roman" w:cs="Calibri"/>
                <w:b/>
                <w:color w:val="000000"/>
                <w:kern w:val="24"/>
                <w:sz w:val="20"/>
                <w:szCs w:val="20"/>
                <w:lang w:val="en-GB" w:eastAsia="it-IT"/>
              </w:rPr>
              <w:t>2014_2</w:t>
            </w:r>
          </w:p>
        </w:tc>
        <w:tc>
          <w:tcPr>
            <w:tcW w:w="2647" w:type="dxa"/>
            <w:vAlign w:val="center"/>
            <w:hideMark/>
          </w:tcPr>
          <w:p w14:paraId="1F2CBC80" w14:textId="7AB4D2AF" w:rsidR="008E23AE" w:rsidRPr="008E23AE" w:rsidRDefault="008E23AE">
            <w:pPr>
              <w:contextualSpacing/>
              <w:jc w:val="center"/>
              <w:textAlignment w:val="bottom"/>
              <w:rPr>
                <w:rFonts w:eastAsia="Times New Roman" w:cs="Arial"/>
                <w:sz w:val="20"/>
                <w:szCs w:val="20"/>
                <w:lang w:val="it-IT" w:eastAsia="it-IT"/>
              </w:rPr>
            </w:pP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150</w:t>
            </w:r>
            <w:r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.</w:t>
            </w: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000</w:t>
            </w:r>
          </w:p>
        </w:tc>
        <w:tc>
          <w:tcPr>
            <w:tcW w:w="2647" w:type="dxa"/>
            <w:vAlign w:val="center"/>
            <w:hideMark/>
          </w:tcPr>
          <w:p w14:paraId="12484967" w14:textId="28295741" w:rsidR="008E23AE" w:rsidRPr="008E23AE" w:rsidRDefault="008E23AE">
            <w:pPr>
              <w:contextualSpacing/>
              <w:jc w:val="center"/>
              <w:textAlignment w:val="bottom"/>
              <w:rPr>
                <w:rFonts w:eastAsia="Times New Roman" w:cs="Arial"/>
                <w:sz w:val="20"/>
                <w:szCs w:val="20"/>
                <w:lang w:val="it-IT" w:eastAsia="it-IT"/>
              </w:rPr>
            </w:pP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73</w:t>
            </w:r>
          </w:p>
        </w:tc>
        <w:tc>
          <w:tcPr>
            <w:tcW w:w="2648" w:type="dxa"/>
            <w:vAlign w:val="center"/>
            <w:hideMark/>
          </w:tcPr>
          <w:p w14:paraId="7A34B228" w14:textId="4F5F00FD" w:rsidR="008E23AE" w:rsidRPr="008E23AE" w:rsidRDefault="008E23AE">
            <w:pPr>
              <w:contextualSpacing/>
              <w:jc w:val="center"/>
              <w:textAlignment w:val="bottom"/>
              <w:rPr>
                <w:rFonts w:eastAsia="Times New Roman" w:cs="Arial"/>
                <w:sz w:val="20"/>
                <w:szCs w:val="20"/>
                <w:lang w:val="it-IT" w:eastAsia="it-IT"/>
              </w:rPr>
            </w:pP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1</w:t>
            </w:r>
            <w:r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.</w:t>
            </w: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943</w:t>
            </w:r>
          </w:p>
        </w:tc>
      </w:tr>
      <w:tr w:rsidR="00DE3F7E" w:rsidRPr="008E23AE" w14:paraId="1F4FF7CC" w14:textId="77777777" w:rsidTr="00403242">
        <w:trPr>
          <w:trHeight w:val="284"/>
          <w:jc w:val="center"/>
        </w:trPr>
        <w:tc>
          <w:tcPr>
            <w:tcW w:w="1418" w:type="dxa"/>
            <w:vAlign w:val="center"/>
            <w:hideMark/>
          </w:tcPr>
          <w:p w14:paraId="76582F18" w14:textId="77777777" w:rsidR="008E23AE" w:rsidRPr="00403242" w:rsidRDefault="008E23AE">
            <w:pPr>
              <w:contextualSpacing/>
              <w:jc w:val="center"/>
              <w:textAlignment w:val="bottom"/>
              <w:rPr>
                <w:rFonts w:eastAsia="Times New Roman" w:cs="Arial"/>
                <w:b/>
                <w:sz w:val="20"/>
                <w:szCs w:val="20"/>
                <w:lang w:val="it-IT" w:eastAsia="it-IT"/>
              </w:rPr>
            </w:pPr>
            <w:r w:rsidRPr="00403242">
              <w:rPr>
                <w:rFonts w:eastAsia="Times New Roman" w:cs="Calibri"/>
                <w:b/>
                <w:color w:val="000000"/>
                <w:kern w:val="24"/>
                <w:sz w:val="20"/>
                <w:szCs w:val="20"/>
                <w:lang w:val="en-GB" w:eastAsia="it-IT"/>
              </w:rPr>
              <w:t>2015_1</w:t>
            </w:r>
          </w:p>
        </w:tc>
        <w:tc>
          <w:tcPr>
            <w:tcW w:w="2647" w:type="dxa"/>
            <w:vAlign w:val="center"/>
            <w:hideMark/>
          </w:tcPr>
          <w:p w14:paraId="7E162A23" w14:textId="7AC7470C" w:rsidR="008E23AE" w:rsidRPr="008E23AE" w:rsidRDefault="008E23AE">
            <w:pPr>
              <w:contextualSpacing/>
              <w:jc w:val="center"/>
              <w:textAlignment w:val="bottom"/>
              <w:rPr>
                <w:rFonts w:eastAsia="Times New Roman" w:cs="Arial"/>
                <w:sz w:val="20"/>
                <w:szCs w:val="20"/>
                <w:lang w:val="it-IT" w:eastAsia="it-IT"/>
              </w:rPr>
            </w:pP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155</w:t>
            </w:r>
            <w:r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.</w:t>
            </w: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000</w:t>
            </w:r>
          </w:p>
        </w:tc>
        <w:tc>
          <w:tcPr>
            <w:tcW w:w="2647" w:type="dxa"/>
            <w:vAlign w:val="center"/>
            <w:hideMark/>
          </w:tcPr>
          <w:p w14:paraId="335B6B90" w14:textId="3A6DECA7" w:rsidR="008E23AE" w:rsidRPr="008E23AE" w:rsidRDefault="008E23AE">
            <w:pPr>
              <w:contextualSpacing/>
              <w:jc w:val="center"/>
              <w:textAlignment w:val="bottom"/>
              <w:rPr>
                <w:rFonts w:eastAsia="Times New Roman" w:cs="Arial"/>
                <w:sz w:val="20"/>
                <w:szCs w:val="20"/>
                <w:lang w:val="it-IT" w:eastAsia="it-IT"/>
              </w:rPr>
            </w:pP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83</w:t>
            </w:r>
          </w:p>
        </w:tc>
        <w:tc>
          <w:tcPr>
            <w:tcW w:w="2648" w:type="dxa"/>
            <w:vAlign w:val="center"/>
            <w:hideMark/>
          </w:tcPr>
          <w:p w14:paraId="553A4E0D" w14:textId="1FE5EA0F" w:rsidR="008E23AE" w:rsidRPr="008E23AE" w:rsidRDefault="008E23AE">
            <w:pPr>
              <w:contextualSpacing/>
              <w:jc w:val="center"/>
              <w:textAlignment w:val="bottom"/>
              <w:rPr>
                <w:rFonts w:eastAsia="Times New Roman" w:cs="Arial"/>
                <w:sz w:val="20"/>
                <w:szCs w:val="20"/>
                <w:lang w:val="it-IT" w:eastAsia="it-IT"/>
              </w:rPr>
            </w:pP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1</w:t>
            </w:r>
            <w:r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.</w:t>
            </w: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803</w:t>
            </w:r>
          </w:p>
        </w:tc>
      </w:tr>
      <w:tr w:rsidR="00DE3F7E" w:rsidRPr="008E23AE" w14:paraId="09503EE0" w14:textId="77777777" w:rsidTr="00403242">
        <w:trPr>
          <w:trHeight w:val="284"/>
          <w:jc w:val="center"/>
        </w:trPr>
        <w:tc>
          <w:tcPr>
            <w:tcW w:w="1418" w:type="dxa"/>
            <w:vAlign w:val="center"/>
            <w:hideMark/>
          </w:tcPr>
          <w:p w14:paraId="59E214F7" w14:textId="77777777" w:rsidR="008E23AE" w:rsidRPr="00403242" w:rsidRDefault="008E23AE">
            <w:pPr>
              <w:contextualSpacing/>
              <w:jc w:val="center"/>
              <w:textAlignment w:val="bottom"/>
              <w:rPr>
                <w:rFonts w:eastAsia="Times New Roman" w:cs="Arial"/>
                <w:b/>
                <w:sz w:val="20"/>
                <w:szCs w:val="20"/>
                <w:lang w:val="it-IT" w:eastAsia="it-IT"/>
              </w:rPr>
            </w:pPr>
            <w:r w:rsidRPr="00403242">
              <w:rPr>
                <w:rFonts w:eastAsia="Times New Roman" w:cs="Calibri"/>
                <w:b/>
                <w:color w:val="000000"/>
                <w:kern w:val="24"/>
                <w:sz w:val="20"/>
                <w:szCs w:val="20"/>
                <w:lang w:val="en-GB" w:eastAsia="it-IT"/>
              </w:rPr>
              <w:t>2015_2</w:t>
            </w:r>
          </w:p>
        </w:tc>
        <w:tc>
          <w:tcPr>
            <w:tcW w:w="2647" w:type="dxa"/>
            <w:vAlign w:val="center"/>
            <w:hideMark/>
          </w:tcPr>
          <w:p w14:paraId="4B7042E8" w14:textId="0B34E735" w:rsidR="008E23AE" w:rsidRPr="008E23AE" w:rsidRDefault="008E23AE">
            <w:pPr>
              <w:contextualSpacing/>
              <w:jc w:val="center"/>
              <w:textAlignment w:val="bottom"/>
              <w:rPr>
                <w:rFonts w:eastAsia="Times New Roman" w:cs="Arial"/>
                <w:sz w:val="20"/>
                <w:szCs w:val="20"/>
                <w:lang w:val="it-IT" w:eastAsia="it-IT"/>
              </w:rPr>
            </w:pP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166</w:t>
            </w:r>
            <w:r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.</w:t>
            </w: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000</w:t>
            </w:r>
          </w:p>
        </w:tc>
        <w:tc>
          <w:tcPr>
            <w:tcW w:w="2647" w:type="dxa"/>
            <w:vAlign w:val="center"/>
            <w:hideMark/>
          </w:tcPr>
          <w:p w14:paraId="2CC3A5AF" w14:textId="18190C4E" w:rsidR="008E23AE" w:rsidRPr="008E23AE" w:rsidRDefault="008E23AE">
            <w:pPr>
              <w:contextualSpacing/>
              <w:jc w:val="center"/>
              <w:textAlignment w:val="bottom"/>
              <w:rPr>
                <w:rFonts w:eastAsia="Times New Roman" w:cs="Arial"/>
                <w:sz w:val="20"/>
                <w:szCs w:val="20"/>
                <w:lang w:val="it-IT" w:eastAsia="it-IT"/>
              </w:rPr>
            </w:pP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88</w:t>
            </w:r>
          </w:p>
        </w:tc>
        <w:tc>
          <w:tcPr>
            <w:tcW w:w="2648" w:type="dxa"/>
            <w:vAlign w:val="center"/>
            <w:hideMark/>
          </w:tcPr>
          <w:p w14:paraId="68B7F786" w14:textId="3600AB83" w:rsidR="008E23AE" w:rsidRPr="008E23AE" w:rsidRDefault="008E23AE">
            <w:pPr>
              <w:contextualSpacing/>
              <w:jc w:val="center"/>
              <w:textAlignment w:val="bottom"/>
              <w:rPr>
                <w:rFonts w:eastAsia="Times New Roman" w:cs="Arial"/>
                <w:sz w:val="20"/>
                <w:szCs w:val="20"/>
                <w:lang w:val="it-IT" w:eastAsia="it-IT"/>
              </w:rPr>
            </w:pP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1</w:t>
            </w:r>
            <w:r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.</w:t>
            </w: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789</w:t>
            </w:r>
          </w:p>
        </w:tc>
      </w:tr>
      <w:tr w:rsidR="00DE3F7E" w:rsidRPr="008E23AE" w14:paraId="50581450" w14:textId="77777777" w:rsidTr="00403242">
        <w:trPr>
          <w:trHeight w:val="284"/>
          <w:jc w:val="center"/>
        </w:trPr>
        <w:tc>
          <w:tcPr>
            <w:tcW w:w="1418" w:type="dxa"/>
            <w:vAlign w:val="center"/>
            <w:hideMark/>
          </w:tcPr>
          <w:p w14:paraId="6688BBA3" w14:textId="77777777" w:rsidR="008E23AE" w:rsidRPr="00403242" w:rsidRDefault="008E23AE">
            <w:pPr>
              <w:contextualSpacing/>
              <w:jc w:val="center"/>
              <w:textAlignment w:val="bottom"/>
              <w:rPr>
                <w:rFonts w:eastAsia="Times New Roman" w:cs="Arial"/>
                <w:b/>
                <w:sz w:val="20"/>
                <w:szCs w:val="20"/>
                <w:lang w:val="it-IT" w:eastAsia="it-IT"/>
              </w:rPr>
            </w:pPr>
            <w:r w:rsidRPr="00403242">
              <w:rPr>
                <w:rFonts w:eastAsia="Times New Roman" w:cs="Calibri"/>
                <w:b/>
                <w:color w:val="000000"/>
                <w:kern w:val="24"/>
                <w:sz w:val="20"/>
                <w:szCs w:val="20"/>
                <w:lang w:val="en-GB" w:eastAsia="it-IT"/>
              </w:rPr>
              <w:t>2016_1</w:t>
            </w:r>
          </w:p>
        </w:tc>
        <w:tc>
          <w:tcPr>
            <w:tcW w:w="2647" w:type="dxa"/>
            <w:vAlign w:val="center"/>
            <w:hideMark/>
          </w:tcPr>
          <w:p w14:paraId="7DCECC3B" w14:textId="4072F0D5" w:rsidR="008E23AE" w:rsidRPr="008E23AE" w:rsidRDefault="008E23AE">
            <w:pPr>
              <w:contextualSpacing/>
              <w:jc w:val="center"/>
              <w:textAlignment w:val="bottom"/>
              <w:rPr>
                <w:rFonts w:eastAsia="Times New Roman" w:cs="Arial"/>
                <w:sz w:val="20"/>
                <w:szCs w:val="20"/>
                <w:lang w:val="it-IT" w:eastAsia="it-IT"/>
              </w:rPr>
            </w:pP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168</w:t>
            </w:r>
            <w:r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.</w:t>
            </w: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000</w:t>
            </w:r>
          </w:p>
        </w:tc>
        <w:tc>
          <w:tcPr>
            <w:tcW w:w="2647" w:type="dxa"/>
            <w:vAlign w:val="center"/>
            <w:hideMark/>
          </w:tcPr>
          <w:p w14:paraId="017DE8B3" w14:textId="6AD9E6CE" w:rsidR="008E23AE" w:rsidRPr="008E23AE" w:rsidRDefault="008E23AE">
            <w:pPr>
              <w:contextualSpacing/>
              <w:jc w:val="center"/>
              <w:textAlignment w:val="bottom"/>
              <w:rPr>
                <w:rFonts w:eastAsia="Times New Roman" w:cs="Arial"/>
                <w:sz w:val="20"/>
                <w:szCs w:val="20"/>
                <w:lang w:val="it-IT" w:eastAsia="it-IT"/>
              </w:rPr>
            </w:pP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90</w:t>
            </w:r>
          </w:p>
        </w:tc>
        <w:tc>
          <w:tcPr>
            <w:tcW w:w="2648" w:type="dxa"/>
            <w:vAlign w:val="center"/>
            <w:hideMark/>
          </w:tcPr>
          <w:p w14:paraId="5654D8D8" w14:textId="269A84C8" w:rsidR="008E23AE" w:rsidRPr="008E23AE" w:rsidRDefault="008E23AE">
            <w:pPr>
              <w:contextualSpacing/>
              <w:jc w:val="center"/>
              <w:textAlignment w:val="bottom"/>
              <w:rPr>
                <w:rFonts w:eastAsia="Times New Roman" w:cs="Arial"/>
                <w:sz w:val="20"/>
                <w:szCs w:val="20"/>
                <w:lang w:val="it-IT" w:eastAsia="it-IT"/>
              </w:rPr>
            </w:pP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1</w:t>
            </w:r>
            <w:r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.</w:t>
            </w: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803</w:t>
            </w:r>
          </w:p>
        </w:tc>
      </w:tr>
      <w:tr w:rsidR="00DE3F7E" w:rsidRPr="008E23AE" w14:paraId="71A7B983" w14:textId="77777777" w:rsidTr="00403242">
        <w:trPr>
          <w:trHeight w:val="284"/>
          <w:jc w:val="center"/>
        </w:trPr>
        <w:tc>
          <w:tcPr>
            <w:tcW w:w="1418" w:type="dxa"/>
            <w:vAlign w:val="center"/>
            <w:hideMark/>
          </w:tcPr>
          <w:p w14:paraId="5E102F35" w14:textId="77777777" w:rsidR="008E23AE" w:rsidRPr="00403242" w:rsidRDefault="008E23AE">
            <w:pPr>
              <w:contextualSpacing/>
              <w:jc w:val="center"/>
              <w:textAlignment w:val="bottom"/>
              <w:rPr>
                <w:rFonts w:eastAsia="Times New Roman" w:cs="Arial"/>
                <w:b/>
                <w:sz w:val="20"/>
                <w:szCs w:val="20"/>
                <w:lang w:val="it-IT" w:eastAsia="it-IT"/>
              </w:rPr>
            </w:pPr>
            <w:r w:rsidRPr="00403242">
              <w:rPr>
                <w:rFonts w:eastAsia="Times New Roman" w:cs="Calibri"/>
                <w:b/>
                <w:color w:val="000000"/>
                <w:kern w:val="24"/>
                <w:sz w:val="20"/>
                <w:szCs w:val="20"/>
                <w:lang w:val="en-GB" w:eastAsia="it-IT"/>
              </w:rPr>
              <w:t>2016_2</w:t>
            </w:r>
          </w:p>
        </w:tc>
        <w:tc>
          <w:tcPr>
            <w:tcW w:w="2647" w:type="dxa"/>
            <w:vAlign w:val="center"/>
            <w:hideMark/>
          </w:tcPr>
          <w:p w14:paraId="66394F9D" w14:textId="32B6F249" w:rsidR="008E23AE" w:rsidRPr="008E23AE" w:rsidRDefault="008E23AE">
            <w:pPr>
              <w:contextualSpacing/>
              <w:jc w:val="center"/>
              <w:textAlignment w:val="bottom"/>
              <w:rPr>
                <w:rFonts w:eastAsia="Times New Roman" w:cs="Arial"/>
                <w:sz w:val="20"/>
                <w:szCs w:val="20"/>
                <w:lang w:val="it-IT" w:eastAsia="it-IT"/>
              </w:rPr>
            </w:pP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146</w:t>
            </w:r>
            <w:r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.</w:t>
            </w: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000</w:t>
            </w:r>
          </w:p>
        </w:tc>
        <w:tc>
          <w:tcPr>
            <w:tcW w:w="2647" w:type="dxa"/>
            <w:vAlign w:val="center"/>
            <w:hideMark/>
          </w:tcPr>
          <w:p w14:paraId="3FB02110" w14:textId="27E442EE" w:rsidR="008E23AE" w:rsidRPr="008E23AE" w:rsidRDefault="008E23AE">
            <w:pPr>
              <w:contextualSpacing/>
              <w:jc w:val="center"/>
              <w:textAlignment w:val="bottom"/>
              <w:rPr>
                <w:rFonts w:eastAsia="Times New Roman" w:cs="Arial"/>
                <w:sz w:val="20"/>
                <w:szCs w:val="20"/>
                <w:lang w:val="it-IT" w:eastAsia="it-IT"/>
              </w:rPr>
            </w:pP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86</w:t>
            </w:r>
          </w:p>
        </w:tc>
        <w:tc>
          <w:tcPr>
            <w:tcW w:w="2648" w:type="dxa"/>
            <w:vAlign w:val="center"/>
            <w:hideMark/>
          </w:tcPr>
          <w:p w14:paraId="62F13349" w14:textId="693FF3A8" w:rsidR="008E23AE" w:rsidRPr="008E23AE" w:rsidRDefault="008E23AE">
            <w:pPr>
              <w:contextualSpacing/>
              <w:jc w:val="center"/>
              <w:textAlignment w:val="bottom"/>
              <w:rPr>
                <w:rFonts w:eastAsia="Times New Roman" w:cs="Arial"/>
                <w:sz w:val="20"/>
                <w:szCs w:val="20"/>
                <w:lang w:val="it-IT" w:eastAsia="it-IT"/>
              </w:rPr>
            </w:pP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1</w:t>
            </w:r>
            <w:r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.</w:t>
            </w: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683</w:t>
            </w:r>
          </w:p>
        </w:tc>
      </w:tr>
      <w:tr w:rsidR="00DE3F7E" w:rsidRPr="008E23AE" w14:paraId="74261823" w14:textId="77777777" w:rsidTr="00403242">
        <w:trPr>
          <w:trHeight w:val="284"/>
          <w:jc w:val="center"/>
        </w:trPr>
        <w:tc>
          <w:tcPr>
            <w:tcW w:w="1418" w:type="dxa"/>
            <w:vAlign w:val="center"/>
            <w:hideMark/>
          </w:tcPr>
          <w:p w14:paraId="4A84DAEA" w14:textId="77777777" w:rsidR="008E23AE" w:rsidRPr="00403242" w:rsidRDefault="008E23AE">
            <w:pPr>
              <w:contextualSpacing/>
              <w:jc w:val="center"/>
              <w:textAlignment w:val="bottom"/>
              <w:rPr>
                <w:rFonts w:eastAsia="Times New Roman" w:cs="Arial"/>
                <w:b/>
                <w:sz w:val="20"/>
                <w:szCs w:val="20"/>
                <w:lang w:val="it-IT" w:eastAsia="it-IT"/>
              </w:rPr>
            </w:pPr>
            <w:r w:rsidRPr="00403242">
              <w:rPr>
                <w:rFonts w:eastAsia="Times New Roman" w:cs="Calibri"/>
                <w:b/>
                <w:color w:val="000000"/>
                <w:kern w:val="24"/>
                <w:sz w:val="20"/>
                <w:szCs w:val="20"/>
                <w:lang w:val="en-GB" w:eastAsia="it-IT"/>
              </w:rPr>
              <w:t>2017_1</w:t>
            </w:r>
          </w:p>
        </w:tc>
        <w:tc>
          <w:tcPr>
            <w:tcW w:w="2647" w:type="dxa"/>
            <w:vAlign w:val="center"/>
            <w:hideMark/>
          </w:tcPr>
          <w:p w14:paraId="545090FD" w14:textId="43E3D128" w:rsidR="008E23AE" w:rsidRPr="008E23AE" w:rsidRDefault="008E23AE">
            <w:pPr>
              <w:contextualSpacing/>
              <w:jc w:val="center"/>
              <w:textAlignment w:val="bottom"/>
              <w:rPr>
                <w:rFonts w:eastAsia="Times New Roman" w:cs="Arial"/>
                <w:sz w:val="20"/>
                <w:szCs w:val="20"/>
                <w:lang w:val="it-IT" w:eastAsia="it-IT"/>
              </w:rPr>
            </w:pP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161</w:t>
            </w:r>
            <w:r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.</w:t>
            </w: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500</w:t>
            </w:r>
          </w:p>
        </w:tc>
        <w:tc>
          <w:tcPr>
            <w:tcW w:w="2647" w:type="dxa"/>
            <w:vAlign w:val="center"/>
            <w:hideMark/>
          </w:tcPr>
          <w:p w14:paraId="31D71480" w14:textId="2876CD6F" w:rsidR="008E23AE" w:rsidRPr="008E23AE" w:rsidRDefault="008E23AE">
            <w:pPr>
              <w:contextualSpacing/>
              <w:jc w:val="center"/>
              <w:textAlignment w:val="bottom"/>
              <w:rPr>
                <w:rFonts w:eastAsia="Times New Roman" w:cs="Arial"/>
                <w:sz w:val="20"/>
                <w:szCs w:val="20"/>
                <w:lang w:val="it-IT" w:eastAsia="it-IT"/>
              </w:rPr>
            </w:pP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85</w:t>
            </w:r>
          </w:p>
        </w:tc>
        <w:tc>
          <w:tcPr>
            <w:tcW w:w="2648" w:type="dxa"/>
            <w:vAlign w:val="center"/>
            <w:hideMark/>
          </w:tcPr>
          <w:p w14:paraId="233A3D21" w14:textId="2C7FF00E" w:rsidR="008E23AE" w:rsidRPr="008E23AE" w:rsidRDefault="008E23AE">
            <w:pPr>
              <w:contextualSpacing/>
              <w:jc w:val="center"/>
              <w:textAlignment w:val="bottom"/>
              <w:rPr>
                <w:rFonts w:eastAsia="Times New Roman" w:cs="Arial"/>
                <w:sz w:val="20"/>
                <w:szCs w:val="20"/>
                <w:lang w:val="it-IT" w:eastAsia="it-IT"/>
              </w:rPr>
            </w:pP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1</w:t>
            </w:r>
            <w:r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.</w:t>
            </w: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705</w:t>
            </w:r>
          </w:p>
        </w:tc>
      </w:tr>
      <w:tr w:rsidR="00DE3F7E" w:rsidRPr="008E23AE" w14:paraId="28FEE881" w14:textId="77777777" w:rsidTr="00403242">
        <w:trPr>
          <w:trHeight w:val="284"/>
          <w:jc w:val="center"/>
        </w:trPr>
        <w:tc>
          <w:tcPr>
            <w:tcW w:w="1418" w:type="dxa"/>
            <w:vAlign w:val="center"/>
            <w:hideMark/>
          </w:tcPr>
          <w:p w14:paraId="7478DAD1" w14:textId="77777777" w:rsidR="008E23AE" w:rsidRPr="00403242" w:rsidRDefault="008E23AE">
            <w:pPr>
              <w:contextualSpacing/>
              <w:jc w:val="center"/>
              <w:textAlignment w:val="bottom"/>
              <w:rPr>
                <w:rFonts w:eastAsia="Times New Roman" w:cs="Arial"/>
                <w:b/>
                <w:sz w:val="20"/>
                <w:szCs w:val="20"/>
                <w:lang w:val="it-IT" w:eastAsia="it-IT"/>
              </w:rPr>
            </w:pPr>
            <w:r w:rsidRPr="00403242">
              <w:rPr>
                <w:rFonts w:eastAsia="Times New Roman" w:cs="Calibri"/>
                <w:b/>
                <w:color w:val="000000"/>
                <w:kern w:val="24"/>
                <w:sz w:val="20"/>
                <w:szCs w:val="20"/>
                <w:lang w:val="en-GB" w:eastAsia="it-IT"/>
              </w:rPr>
              <w:t>2017_2</w:t>
            </w:r>
          </w:p>
        </w:tc>
        <w:tc>
          <w:tcPr>
            <w:tcW w:w="2647" w:type="dxa"/>
            <w:vAlign w:val="center"/>
            <w:hideMark/>
          </w:tcPr>
          <w:p w14:paraId="5E49CD76" w14:textId="18D7F62F" w:rsidR="008E23AE" w:rsidRPr="008E23AE" w:rsidRDefault="008E23AE">
            <w:pPr>
              <w:contextualSpacing/>
              <w:jc w:val="center"/>
              <w:textAlignment w:val="bottom"/>
              <w:rPr>
                <w:rFonts w:eastAsia="Times New Roman" w:cs="Arial"/>
                <w:sz w:val="20"/>
                <w:szCs w:val="20"/>
                <w:lang w:val="it-IT" w:eastAsia="it-IT"/>
              </w:rPr>
            </w:pP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171</w:t>
            </w:r>
            <w:r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.</w:t>
            </w: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000</w:t>
            </w:r>
          </w:p>
        </w:tc>
        <w:tc>
          <w:tcPr>
            <w:tcW w:w="2647" w:type="dxa"/>
            <w:vAlign w:val="center"/>
            <w:hideMark/>
          </w:tcPr>
          <w:p w14:paraId="505C0A06" w14:textId="1305F380" w:rsidR="008E23AE" w:rsidRPr="008E23AE" w:rsidRDefault="008E23AE">
            <w:pPr>
              <w:contextualSpacing/>
              <w:jc w:val="center"/>
              <w:textAlignment w:val="bottom"/>
              <w:rPr>
                <w:rFonts w:eastAsia="Times New Roman" w:cs="Arial"/>
                <w:sz w:val="20"/>
                <w:szCs w:val="20"/>
                <w:lang w:val="it-IT" w:eastAsia="it-IT"/>
              </w:rPr>
            </w:pP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97</w:t>
            </w:r>
          </w:p>
        </w:tc>
        <w:tc>
          <w:tcPr>
            <w:tcW w:w="2648" w:type="dxa"/>
            <w:vAlign w:val="center"/>
            <w:hideMark/>
          </w:tcPr>
          <w:p w14:paraId="75F96011" w14:textId="5B120602" w:rsidR="008E23AE" w:rsidRPr="008E23AE" w:rsidRDefault="008E23AE">
            <w:pPr>
              <w:contextualSpacing/>
              <w:jc w:val="center"/>
              <w:textAlignment w:val="bottom"/>
              <w:rPr>
                <w:rFonts w:eastAsia="Times New Roman" w:cs="Arial"/>
                <w:sz w:val="20"/>
                <w:szCs w:val="20"/>
                <w:lang w:val="it-IT" w:eastAsia="it-IT"/>
              </w:rPr>
            </w:pP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1</w:t>
            </w:r>
            <w:r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.</w:t>
            </w: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667</w:t>
            </w:r>
          </w:p>
        </w:tc>
      </w:tr>
      <w:tr w:rsidR="00DE3F7E" w:rsidRPr="008E23AE" w14:paraId="4802309F" w14:textId="77777777" w:rsidTr="00403242">
        <w:trPr>
          <w:trHeight w:val="284"/>
          <w:jc w:val="center"/>
        </w:trPr>
        <w:tc>
          <w:tcPr>
            <w:tcW w:w="1418" w:type="dxa"/>
            <w:vAlign w:val="center"/>
            <w:hideMark/>
          </w:tcPr>
          <w:p w14:paraId="562A580E" w14:textId="77777777" w:rsidR="008E23AE" w:rsidRPr="00403242" w:rsidRDefault="008E23AE">
            <w:pPr>
              <w:contextualSpacing/>
              <w:jc w:val="center"/>
              <w:textAlignment w:val="bottom"/>
              <w:rPr>
                <w:rFonts w:eastAsia="Times New Roman" w:cs="Arial"/>
                <w:b/>
                <w:sz w:val="20"/>
                <w:szCs w:val="20"/>
                <w:lang w:val="it-IT" w:eastAsia="it-IT"/>
              </w:rPr>
            </w:pPr>
            <w:r w:rsidRPr="00403242">
              <w:rPr>
                <w:rFonts w:eastAsia="Times New Roman" w:cs="Calibri"/>
                <w:b/>
                <w:color w:val="000000"/>
                <w:kern w:val="24"/>
                <w:sz w:val="20"/>
                <w:szCs w:val="20"/>
                <w:lang w:val="en-GB" w:eastAsia="it-IT"/>
              </w:rPr>
              <w:t>2018_1</w:t>
            </w:r>
          </w:p>
        </w:tc>
        <w:tc>
          <w:tcPr>
            <w:tcW w:w="2647" w:type="dxa"/>
            <w:vAlign w:val="center"/>
            <w:hideMark/>
          </w:tcPr>
          <w:p w14:paraId="3C9B76EC" w14:textId="2B89B734" w:rsidR="008E23AE" w:rsidRPr="008E23AE" w:rsidRDefault="008E23AE">
            <w:pPr>
              <w:contextualSpacing/>
              <w:jc w:val="center"/>
              <w:textAlignment w:val="bottom"/>
              <w:rPr>
                <w:rFonts w:eastAsia="Times New Roman" w:cs="Arial"/>
                <w:sz w:val="20"/>
                <w:szCs w:val="20"/>
                <w:lang w:val="it-IT" w:eastAsia="it-IT"/>
              </w:rPr>
            </w:pP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164</w:t>
            </w:r>
            <w:r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.</w:t>
            </w: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000</w:t>
            </w:r>
          </w:p>
        </w:tc>
        <w:tc>
          <w:tcPr>
            <w:tcW w:w="2647" w:type="dxa"/>
            <w:vAlign w:val="center"/>
            <w:hideMark/>
          </w:tcPr>
          <w:p w14:paraId="332E0A2F" w14:textId="10697E9A" w:rsidR="008E23AE" w:rsidRPr="008E23AE" w:rsidRDefault="008E23AE">
            <w:pPr>
              <w:contextualSpacing/>
              <w:jc w:val="center"/>
              <w:textAlignment w:val="bottom"/>
              <w:rPr>
                <w:rFonts w:eastAsia="Times New Roman" w:cs="Arial"/>
                <w:sz w:val="20"/>
                <w:szCs w:val="20"/>
                <w:lang w:val="it-IT" w:eastAsia="it-IT"/>
              </w:rPr>
            </w:pP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99</w:t>
            </w:r>
          </w:p>
        </w:tc>
        <w:tc>
          <w:tcPr>
            <w:tcW w:w="2648" w:type="dxa"/>
            <w:vAlign w:val="center"/>
            <w:hideMark/>
          </w:tcPr>
          <w:p w14:paraId="08498DBC" w14:textId="64678FAF" w:rsidR="008E23AE" w:rsidRPr="008E23AE" w:rsidRDefault="008E23AE">
            <w:pPr>
              <w:contextualSpacing/>
              <w:jc w:val="center"/>
              <w:textAlignment w:val="bottom"/>
              <w:rPr>
                <w:rFonts w:eastAsia="Times New Roman" w:cs="Arial"/>
                <w:sz w:val="20"/>
                <w:szCs w:val="20"/>
                <w:lang w:val="it-IT" w:eastAsia="it-IT"/>
              </w:rPr>
            </w:pP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1</w:t>
            </w:r>
            <w:r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.</w:t>
            </w: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531</w:t>
            </w:r>
          </w:p>
        </w:tc>
      </w:tr>
      <w:tr w:rsidR="00DE3F7E" w:rsidRPr="008E23AE" w14:paraId="1C26B90C" w14:textId="77777777" w:rsidTr="00403242">
        <w:trPr>
          <w:trHeight w:val="284"/>
          <w:jc w:val="center"/>
        </w:trPr>
        <w:tc>
          <w:tcPr>
            <w:tcW w:w="1418" w:type="dxa"/>
            <w:vAlign w:val="center"/>
            <w:hideMark/>
          </w:tcPr>
          <w:p w14:paraId="17102851" w14:textId="77777777" w:rsidR="008E23AE" w:rsidRPr="00403242" w:rsidRDefault="008E23AE">
            <w:pPr>
              <w:contextualSpacing/>
              <w:jc w:val="center"/>
              <w:textAlignment w:val="bottom"/>
              <w:rPr>
                <w:rFonts w:eastAsia="Times New Roman" w:cs="Arial"/>
                <w:b/>
                <w:sz w:val="20"/>
                <w:szCs w:val="20"/>
                <w:lang w:val="it-IT" w:eastAsia="it-IT"/>
              </w:rPr>
            </w:pPr>
            <w:r w:rsidRPr="00403242">
              <w:rPr>
                <w:rFonts w:eastAsia="Times New Roman" w:cs="Calibri"/>
                <w:b/>
                <w:color w:val="000000"/>
                <w:kern w:val="24"/>
                <w:sz w:val="20"/>
                <w:szCs w:val="20"/>
                <w:lang w:val="en-GB" w:eastAsia="it-IT"/>
              </w:rPr>
              <w:t>2018_2</w:t>
            </w:r>
          </w:p>
        </w:tc>
        <w:tc>
          <w:tcPr>
            <w:tcW w:w="2647" w:type="dxa"/>
            <w:vAlign w:val="center"/>
            <w:hideMark/>
          </w:tcPr>
          <w:p w14:paraId="0891A328" w14:textId="42DFE134" w:rsidR="008E23AE" w:rsidRPr="008E23AE" w:rsidRDefault="008E23AE">
            <w:pPr>
              <w:contextualSpacing/>
              <w:jc w:val="center"/>
              <w:textAlignment w:val="bottom"/>
              <w:rPr>
                <w:rFonts w:eastAsia="Times New Roman" w:cs="Arial"/>
                <w:sz w:val="20"/>
                <w:szCs w:val="20"/>
                <w:lang w:val="it-IT" w:eastAsia="it-IT"/>
              </w:rPr>
            </w:pP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201</w:t>
            </w:r>
            <w:r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.</w:t>
            </w: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000</w:t>
            </w:r>
          </w:p>
        </w:tc>
        <w:tc>
          <w:tcPr>
            <w:tcW w:w="2647" w:type="dxa"/>
            <w:vAlign w:val="center"/>
            <w:hideMark/>
          </w:tcPr>
          <w:p w14:paraId="562CEC9A" w14:textId="125C978B" w:rsidR="008E23AE" w:rsidRPr="008E23AE" w:rsidRDefault="008E23AE">
            <w:pPr>
              <w:contextualSpacing/>
              <w:jc w:val="center"/>
              <w:textAlignment w:val="bottom"/>
              <w:rPr>
                <w:rFonts w:eastAsia="Times New Roman" w:cs="Arial"/>
                <w:sz w:val="20"/>
                <w:szCs w:val="20"/>
                <w:lang w:val="it-IT" w:eastAsia="it-IT"/>
              </w:rPr>
            </w:pP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120</w:t>
            </w:r>
          </w:p>
        </w:tc>
        <w:tc>
          <w:tcPr>
            <w:tcW w:w="2648" w:type="dxa"/>
            <w:vAlign w:val="center"/>
            <w:hideMark/>
          </w:tcPr>
          <w:p w14:paraId="147DBD32" w14:textId="2994EF40" w:rsidR="008E23AE" w:rsidRPr="008E23AE" w:rsidRDefault="008E23AE">
            <w:pPr>
              <w:contextualSpacing/>
              <w:jc w:val="center"/>
              <w:textAlignment w:val="bottom"/>
              <w:rPr>
                <w:rFonts w:eastAsia="Times New Roman" w:cs="Arial"/>
                <w:sz w:val="20"/>
                <w:szCs w:val="20"/>
                <w:lang w:val="it-IT" w:eastAsia="it-IT"/>
              </w:rPr>
            </w:pP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1</w:t>
            </w:r>
            <w:r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.</w:t>
            </w: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622</w:t>
            </w:r>
          </w:p>
        </w:tc>
      </w:tr>
      <w:tr w:rsidR="00DE3F7E" w:rsidRPr="008E23AE" w14:paraId="068DBD94" w14:textId="77777777" w:rsidTr="00403242">
        <w:trPr>
          <w:trHeight w:val="284"/>
          <w:jc w:val="center"/>
        </w:trPr>
        <w:tc>
          <w:tcPr>
            <w:tcW w:w="1418" w:type="dxa"/>
            <w:vAlign w:val="center"/>
            <w:hideMark/>
          </w:tcPr>
          <w:p w14:paraId="1495AF5E" w14:textId="77777777" w:rsidR="008E23AE" w:rsidRPr="00403242" w:rsidRDefault="008E23AE">
            <w:pPr>
              <w:contextualSpacing/>
              <w:jc w:val="center"/>
              <w:textAlignment w:val="bottom"/>
              <w:rPr>
                <w:rFonts w:eastAsia="Times New Roman" w:cs="Calibri"/>
                <w:b/>
                <w:color w:val="000000"/>
                <w:kern w:val="24"/>
                <w:sz w:val="20"/>
                <w:szCs w:val="20"/>
                <w:lang w:val="en-GB" w:eastAsia="it-IT"/>
              </w:rPr>
            </w:pPr>
            <w:r w:rsidRPr="00403242">
              <w:rPr>
                <w:rFonts w:eastAsia="Times New Roman" w:cs="Calibri"/>
                <w:b/>
                <w:color w:val="000000"/>
                <w:kern w:val="24"/>
                <w:sz w:val="20"/>
                <w:szCs w:val="20"/>
                <w:lang w:val="en-GB" w:eastAsia="it-IT"/>
              </w:rPr>
              <w:t>2019_1</w:t>
            </w:r>
          </w:p>
        </w:tc>
        <w:tc>
          <w:tcPr>
            <w:tcW w:w="2647" w:type="dxa"/>
            <w:vAlign w:val="center"/>
            <w:hideMark/>
          </w:tcPr>
          <w:p w14:paraId="2D7754E1" w14:textId="1FC3C7A9" w:rsidR="008E23AE" w:rsidRPr="008E23AE" w:rsidRDefault="008E23AE">
            <w:pPr>
              <w:contextualSpacing/>
              <w:jc w:val="center"/>
              <w:textAlignment w:val="bottom"/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</w:pP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182</w:t>
            </w:r>
            <w:r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.</w:t>
            </w: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000</w:t>
            </w:r>
          </w:p>
        </w:tc>
        <w:tc>
          <w:tcPr>
            <w:tcW w:w="2647" w:type="dxa"/>
            <w:vAlign w:val="center"/>
            <w:hideMark/>
          </w:tcPr>
          <w:p w14:paraId="560014FA" w14:textId="12A6D11D" w:rsidR="008E23AE" w:rsidRPr="008E23AE" w:rsidRDefault="008E23AE">
            <w:pPr>
              <w:contextualSpacing/>
              <w:jc w:val="center"/>
              <w:textAlignment w:val="bottom"/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</w:pP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111</w:t>
            </w:r>
          </w:p>
        </w:tc>
        <w:tc>
          <w:tcPr>
            <w:tcW w:w="2648" w:type="dxa"/>
            <w:vAlign w:val="center"/>
            <w:hideMark/>
          </w:tcPr>
          <w:p w14:paraId="5C31A178" w14:textId="37A0937B" w:rsidR="008E23AE" w:rsidRPr="008E23AE" w:rsidRDefault="008E23AE">
            <w:pPr>
              <w:contextualSpacing/>
              <w:jc w:val="center"/>
              <w:textAlignment w:val="bottom"/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</w:pP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1</w:t>
            </w:r>
            <w:r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.</w:t>
            </w:r>
            <w:r w:rsidRPr="008E23AE">
              <w:rPr>
                <w:rFonts w:eastAsia="Times New Roman" w:cs="Calibri"/>
                <w:color w:val="000000"/>
                <w:kern w:val="24"/>
                <w:sz w:val="20"/>
                <w:szCs w:val="20"/>
                <w:lang w:val="en-GB" w:eastAsia="it-IT"/>
              </w:rPr>
              <w:t>577</w:t>
            </w:r>
          </w:p>
        </w:tc>
      </w:tr>
    </w:tbl>
    <w:p w14:paraId="4614D9BE" w14:textId="77777777" w:rsidR="008E23AE" w:rsidRPr="00403242" w:rsidRDefault="008E23AE" w:rsidP="008E23AE">
      <w:pPr>
        <w:jc w:val="both"/>
        <w:rPr>
          <w:rFonts w:ascii="Verdana" w:eastAsia="Calibri" w:hAnsi="Verdana" w:cs="Calibri"/>
          <w:i/>
          <w:sz w:val="20"/>
          <w:szCs w:val="20"/>
          <w:lang w:val="it-IT"/>
        </w:rPr>
      </w:pPr>
      <w:r w:rsidRPr="00403242">
        <w:rPr>
          <w:rFonts w:ascii="Verdana" w:eastAsia="Calibri" w:hAnsi="Verdana" w:cs="Calibri"/>
          <w:i/>
          <w:sz w:val="20"/>
          <w:szCs w:val="20"/>
          <w:lang w:val="it-IT"/>
        </w:rPr>
        <w:t>Fonte: CRIF RES</w:t>
      </w:r>
    </w:p>
    <w:p w14:paraId="00C8E637" w14:textId="77777777" w:rsidR="00B970B4" w:rsidRDefault="00B970B4" w:rsidP="00BA16AB">
      <w:pPr>
        <w:jc w:val="both"/>
        <w:rPr>
          <w:rFonts w:eastAsia="Calibri" w:cs="Calibri"/>
          <w:sz w:val="20"/>
          <w:szCs w:val="20"/>
          <w:lang w:val="it-IT"/>
        </w:rPr>
      </w:pPr>
    </w:p>
    <w:p w14:paraId="61CE858F" w14:textId="7563628E" w:rsidR="00BA16AB" w:rsidRPr="008E23AE" w:rsidRDefault="00BA16AB" w:rsidP="00BA16AB">
      <w:pPr>
        <w:jc w:val="both"/>
        <w:rPr>
          <w:rFonts w:eastAsia="Calibri" w:cs="Calibri"/>
          <w:sz w:val="20"/>
          <w:szCs w:val="20"/>
          <w:lang w:val="it-IT"/>
        </w:rPr>
      </w:pPr>
      <w:r w:rsidRPr="008E23AE">
        <w:rPr>
          <w:rFonts w:eastAsia="Calibri" w:cs="Calibri"/>
          <w:sz w:val="20"/>
          <w:szCs w:val="20"/>
          <w:lang w:val="it-IT"/>
        </w:rPr>
        <w:t xml:space="preserve">Rimanendo sul dato nazionale, relativamente al </w:t>
      </w:r>
      <w:r w:rsidRPr="008E23AE">
        <w:rPr>
          <w:rFonts w:eastAsia="Calibri" w:cs="Calibri"/>
          <w:b/>
          <w:sz w:val="20"/>
          <w:szCs w:val="20"/>
          <w:lang w:val="it-IT"/>
        </w:rPr>
        <w:t>I semestre dell’anno in corso</w:t>
      </w:r>
      <w:r>
        <w:rPr>
          <w:rFonts w:eastAsia="Calibri" w:cs="Calibri"/>
          <w:b/>
          <w:sz w:val="20"/>
          <w:szCs w:val="20"/>
          <w:lang w:val="it-IT"/>
        </w:rPr>
        <w:t>,</w:t>
      </w:r>
      <w:r w:rsidRPr="008E23AE">
        <w:rPr>
          <w:rFonts w:eastAsia="Calibri" w:cs="Calibri"/>
          <w:b/>
          <w:sz w:val="20"/>
          <w:szCs w:val="20"/>
          <w:lang w:val="it-IT"/>
        </w:rPr>
        <w:t xml:space="preserve"> il valore mediano dei negozi </w:t>
      </w:r>
      <w:r w:rsidRPr="008E23AE">
        <w:rPr>
          <w:rFonts w:eastAsia="Calibri" w:cs="Calibri"/>
          <w:sz w:val="20"/>
          <w:szCs w:val="20"/>
          <w:lang w:val="it-IT"/>
        </w:rPr>
        <w:t xml:space="preserve">(senza considerare i laboratori) oggetto di compravendita a livello nazionale è stato pari a </w:t>
      </w:r>
      <w:r w:rsidRPr="008E23AE">
        <w:rPr>
          <w:rFonts w:eastAsia="Calibri" w:cs="Calibri"/>
          <w:b/>
          <w:sz w:val="20"/>
          <w:szCs w:val="20"/>
          <w:lang w:val="it-IT"/>
        </w:rPr>
        <w:t>1</w:t>
      </w:r>
      <w:r>
        <w:rPr>
          <w:rFonts w:eastAsia="Calibri" w:cs="Calibri"/>
          <w:b/>
          <w:sz w:val="20"/>
          <w:szCs w:val="20"/>
          <w:lang w:val="it-IT"/>
        </w:rPr>
        <w:t>82</w:t>
      </w:r>
      <w:r w:rsidRPr="008E23AE">
        <w:rPr>
          <w:rFonts w:eastAsia="Calibri" w:cs="Calibri"/>
          <w:b/>
          <w:sz w:val="20"/>
          <w:szCs w:val="20"/>
          <w:lang w:val="it-IT"/>
        </w:rPr>
        <w:t>.000 €,</w:t>
      </w:r>
      <w:r w:rsidRPr="008E23AE">
        <w:rPr>
          <w:rFonts w:eastAsia="Calibri" w:cs="Calibri"/>
          <w:sz w:val="20"/>
          <w:szCs w:val="20"/>
          <w:lang w:val="it-IT"/>
        </w:rPr>
        <w:t xml:space="preserve"> </w:t>
      </w:r>
      <w:r>
        <w:rPr>
          <w:rFonts w:eastAsia="Calibri" w:cs="Calibri"/>
          <w:sz w:val="20"/>
          <w:szCs w:val="20"/>
          <w:lang w:val="it-IT"/>
        </w:rPr>
        <w:t xml:space="preserve">sostanzialmente allineato a quello del 2013, ma superiore a quello dello stesso periodo dell’anno scorso. </w:t>
      </w:r>
      <w:r w:rsidRPr="008E23AE">
        <w:rPr>
          <w:rFonts w:eastAsia="Calibri" w:cs="Calibri"/>
          <w:sz w:val="20"/>
          <w:szCs w:val="20"/>
          <w:lang w:val="it-IT"/>
        </w:rPr>
        <w:t xml:space="preserve">In compenso, risulta </w:t>
      </w:r>
      <w:r w:rsidRPr="00403242">
        <w:rPr>
          <w:rFonts w:eastAsia="Calibri" w:cs="Calibri"/>
          <w:b/>
          <w:sz w:val="20"/>
          <w:szCs w:val="20"/>
          <w:lang w:val="it-IT"/>
        </w:rPr>
        <w:t>in costante crescita la</w:t>
      </w:r>
      <w:r w:rsidRPr="008E23AE">
        <w:rPr>
          <w:rFonts w:eastAsia="Calibri" w:cs="Calibri"/>
          <w:sz w:val="20"/>
          <w:szCs w:val="20"/>
          <w:lang w:val="it-IT"/>
        </w:rPr>
        <w:t xml:space="preserve"> </w:t>
      </w:r>
      <w:r w:rsidRPr="008E23AE">
        <w:rPr>
          <w:rFonts w:eastAsia="Calibri" w:cs="Calibri"/>
          <w:b/>
          <w:sz w:val="20"/>
          <w:szCs w:val="20"/>
          <w:lang w:val="it-IT"/>
        </w:rPr>
        <w:t>superficie degli immobili</w:t>
      </w:r>
      <w:r w:rsidRPr="008E23AE">
        <w:rPr>
          <w:rFonts w:eastAsia="Calibri" w:cs="Calibri"/>
          <w:sz w:val="20"/>
          <w:szCs w:val="20"/>
          <w:lang w:val="it-IT"/>
        </w:rPr>
        <w:t xml:space="preserve"> in oggetto, che è arrivata ad assestarsi a </w:t>
      </w:r>
      <w:r>
        <w:rPr>
          <w:rFonts w:eastAsia="Calibri" w:cs="Calibri"/>
          <w:b/>
          <w:sz w:val="20"/>
          <w:szCs w:val="20"/>
          <w:lang w:val="it-IT"/>
        </w:rPr>
        <w:t>111</w:t>
      </w:r>
      <w:r w:rsidRPr="008E23AE">
        <w:rPr>
          <w:rFonts w:eastAsia="Calibri" w:cs="Calibri"/>
          <w:b/>
          <w:sz w:val="20"/>
          <w:szCs w:val="20"/>
          <w:lang w:val="it-IT"/>
        </w:rPr>
        <w:t xml:space="preserve"> mq</w:t>
      </w:r>
      <w:r w:rsidRPr="008E23AE">
        <w:rPr>
          <w:rFonts w:eastAsia="Calibri" w:cs="Calibri"/>
          <w:sz w:val="20"/>
          <w:szCs w:val="20"/>
          <w:lang w:val="it-IT"/>
        </w:rPr>
        <w:t xml:space="preserve"> contro i 7</w:t>
      </w:r>
      <w:r>
        <w:rPr>
          <w:rFonts w:eastAsia="Calibri" w:cs="Calibri"/>
          <w:sz w:val="20"/>
          <w:szCs w:val="20"/>
          <w:lang w:val="it-IT"/>
        </w:rPr>
        <w:t>6</w:t>
      </w:r>
      <w:r w:rsidRPr="008E23AE">
        <w:rPr>
          <w:rFonts w:eastAsia="Calibri" w:cs="Calibri"/>
          <w:sz w:val="20"/>
          <w:szCs w:val="20"/>
          <w:lang w:val="it-IT"/>
        </w:rPr>
        <w:t>mq del 2013</w:t>
      </w:r>
      <w:r>
        <w:rPr>
          <w:rFonts w:eastAsia="Calibri" w:cs="Calibri"/>
          <w:sz w:val="20"/>
          <w:szCs w:val="20"/>
          <w:lang w:val="it-IT"/>
        </w:rPr>
        <w:t xml:space="preserve"> (tav. 2)</w:t>
      </w:r>
      <w:r w:rsidR="007E1360">
        <w:rPr>
          <w:rFonts w:eastAsia="Calibri" w:cs="Calibri"/>
          <w:sz w:val="20"/>
          <w:szCs w:val="20"/>
          <w:lang w:val="it-IT"/>
        </w:rPr>
        <w:t xml:space="preserve">. </w:t>
      </w:r>
      <w:r w:rsidRPr="008E23AE">
        <w:rPr>
          <w:rFonts w:eastAsia="Calibri" w:cs="Calibri"/>
          <w:sz w:val="20"/>
          <w:szCs w:val="20"/>
          <w:lang w:val="it-IT"/>
        </w:rPr>
        <w:t xml:space="preserve">La combinazione tra questi indicatori fa sì, però, che </w:t>
      </w:r>
      <w:r w:rsidRPr="008E23AE">
        <w:rPr>
          <w:rFonts w:eastAsia="Calibri" w:cs="Calibri"/>
          <w:b/>
          <w:sz w:val="20"/>
          <w:szCs w:val="20"/>
          <w:lang w:val="it-IT"/>
        </w:rPr>
        <w:t>il valore al metro quadro risulti in decisa e costante diminuzione, essendosi attestato a 1.5</w:t>
      </w:r>
      <w:r>
        <w:rPr>
          <w:rFonts w:eastAsia="Calibri" w:cs="Calibri"/>
          <w:b/>
          <w:sz w:val="20"/>
          <w:szCs w:val="20"/>
          <w:lang w:val="it-IT"/>
        </w:rPr>
        <w:t>77 €</w:t>
      </w:r>
      <w:r w:rsidRPr="008E23AE">
        <w:rPr>
          <w:rFonts w:eastAsia="Calibri" w:cs="Calibri"/>
          <w:b/>
          <w:sz w:val="20"/>
          <w:szCs w:val="20"/>
          <w:lang w:val="it-IT"/>
        </w:rPr>
        <w:t xml:space="preserve"> al mq</w:t>
      </w:r>
      <w:r>
        <w:rPr>
          <w:rFonts w:eastAsia="Calibri" w:cs="Calibri"/>
          <w:sz w:val="20"/>
          <w:szCs w:val="20"/>
          <w:lang w:val="it-IT"/>
        </w:rPr>
        <w:t xml:space="preserve">, sebbene con un piccolo rimbalzo nell’ultimo semestre </w:t>
      </w:r>
      <w:r w:rsidRPr="00BA16AB">
        <w:rPr>
          <w:rFonts w:eastAsia="Calibri" w:cs="Calibri"/>
          <w:b/>
          <w:sz w:val="20"/>
          <w:szCs w:val="20"/>
          <w:lang w:val="it-IT"/>
        </w:rPr>
        <w:t>(+3%).</w:t>
      </w:r>
    </w:p>
    <w:p w14:paraId="2A7F2830" w14:textId="1ACAADDB" w:rsidR="00BA16AB" w:rsidRDefault="001E12D5" w:rsidP="001E12D5">
      <w:pPr>
        <w:jc w:val="both"/>
        <w:rPr>
          <w:rFonts w:asciiTheme="majorHAnsi" w:eastAsia="Calibri" w:hAnsiTheme="majorHAnsi" w:cs="Calibri"/>
          <w:sz w:val="20"/>
          <w:szCs w:val="20"/>
          <w:lang w:val="it-IT"/>
        </w:rPr>
      </w:pPr>
      <w:r w:rsidRPr="00DE3F7E">
        <w:rPr>
          <w:rFonts w:asciiTheme="majorHAnsi" w:eastAsia="Calibri" w:hAnsiTheme="majorHAnsi" w:cs="Calibri"/>
          <w:sz w:val="20"/>
          <w:szCs w:val="20"/>
          <w:lang w:val="it-IT"/>
        </w:rPr>
        <w:t xml:space="preserve">Per quanto riguarda, invece, il mercato degli </w:t>
      </w:r>
      <w:r w:rsidRPr="00DE3F7E">
        <w:rPr>
          <w:rFonts w:asciiTheme="majorHAnsi" w:eastAsia="Calibri" w:hAnsiTheme="majorHAnsi" w:cs="Calibri"/>
          <w:b/>
          <w:sz w:val="20"/>
          <w:szCs w:val="20"/>
          <w:lang w:val="it-IT"/>
        </w:rPr>
        <w:t>uffici</w:t>
      </w:r>
      <w:r w:rsidRPr="00DE3F7E">
        <w:rPr>
          <w:rFonts w:asciiTheme="majorHAnsi" w:eastAsia="Calibri" w:hAnsiTheme="majorHAnsi" w:cs="Calibri"/>
          <w:sz w:val="20"/>
          <w:szCs w:val="20"/>
          <w:lang w:val="it-IT"/>
        </w:rPr>
        <w:t xml:space="preserve">, il valore mediano nella prima metà dell’anno </w:t>
      </w:r>
      <w:r w:rsidR="007E1360">
        <w:rPr>
          <w:rFonts w:asciiTheme="majorHAnsi" w:eastAsia="Calibri" w:hAnsiTheme="majorHAnsi" w:cs="Calibri"/>
          <w:sz w:val="20"/>
          <w:szCs w:val="20"/>
          <w:lang w:val="it-IT"/>
        </w:rPr>
        <w:t xml:space="preserve">in corso </w:t>
      </w:r>
      <w:r w:rsidRPr="00DE3F7E">
        <w:rPr>
          <w:rFonts w:asciiTheme="majorHAnsi" w:eastAsia="Calibri" w:hAnsiTheme="majorHAnsi" w:cs="Calibri"/>
          <w:sz w:val="20"/>
          <w:szCs w:val="20"/>
          <w:lang w:val="it-IT"/>
        </w:rPr>
        <w:t xml:space="preserve">si è assestato a </w:t>
      </w:r>
      <w:r w:rsidR="007953C3">
        <w:rPr>
          <w:rFonts w:asciiTheme="majorHAnsi" w:eastAsia="Calibri" w:hAnsiTheme="majorHAnsi" w:cs="Calibri"/>
          <w:b/>
          <w:sz w:val="20"/>
          <w:szCs w:val="20"/>
          <w:lang w:val="it-IT"/>
        </w:rPr>
        <w:t>264</w:t>
      </w:r>
      <w:r w:rsidRPr="00DE3F7E">
        <w:rPr>
          <w:rFonts w:asciiTheme="majorHAnsi" w:eastAsia="Calibri" w:hAnsiTheme="majorHAnsi" w:cs="Calibri"/>
          <w:b/>
          <w:sz w:val="20"/>
          <w:szCs w:val="20"/>
          <w:lang w:val="it-IT"/>
        </w:rPr>
        <w:t>.000 €,</w:t>
      </w:r>
      <w:r w:rsidRPr="00DE3F7E">
        <w:rPr>
          <w:rFonts w:asciiTheme="majorHAnsi" w:eastAsia="Calibri" w:hAnsiTheme="majorHAnsi" w:cs="Calibri"/>
          <w:sz w:val="20"/>
          <w:szCs w:val="20"/>
          <w:lang w:val="it-IT"/>
        </w:rPr>
        <w:t xml:space="preserve"> contro i 2</w:t>
      </w:r>
      <w:r w:rsidR="007953C3">
        <w:rPr>
          <w:rFonts w:asciiTheme="majorHAnsi" w:eastAsia="Calibri" w:hAnsiTheme="majorHAnsi" w:cs="Calibri"/>
          <w:sz w:val="20"/>
          <w:szCs w:val="20"/>
          <w:lang w:val="it-IT"/>
        </w:rPr>
        <w:t>20</w:t>
      </w:r>
      <w:r w:rsidRPr="00DE3F7E">
        <w:rPr>
          <w:rFonts w:asciiTheme="majorHAnsi" w:eastAsia="Calibri" w:hAnsiTheme="majorHAnsi" w:cs="Calibri"/>
          <w:sz w:val="20"/>
          <w:szCs w:val="20"/>
          <w:lang w:val="it-IT"/>
        </w:rPr>
        <w:t>.000 del 201</w:t>
      </w:r>
      <w:r w:rsidR="007953C3">
        <w:rPr>
          <w:rFonts w:asciiTheme="majorHAnsi" w:eastAsia="Calibri" w:hAnsiTheme="majorHAnsi" w:cs="Calibri"/>
          <w:sz w:val="20"/>
          <w:szCs w:val="20"/>
          <w:lang w:val="it-IT"/>
        </w:rPr>
        <w:t>3</w:t>
      </w:r>
      <w:r w:rsidR="00C441C4">
        <w:rPr>
          <w:rFonts w:asciiTheme="majorHAnsi" w:eastAsia="Calibri" w:hAnsiTheme="majorHAnsi" w:cs="Calibri"/>
          <w:sz w:val="20"/>
          <w:szCs w:val="20"/>
          <w:lang w:val="it-IT"/>
        </w:rPr>
        <w:t xml:space="preserve"> (tav. 3)</w:t>
      </w:r>
      <w:r w:rsidRPr="00DE3F7E">
        <w:rPr>
          <w:rFonts w:asciiTheme="majorHAnsi" w:eastAsia="Calibri" w:hAnsiTheme="majorHAnsi" w:cs="Calibri"/>
          <w:sz w:val="20"/>
          <w:szCs w:val="20"/>
          <w:lang w:val="it-IT"/>
        </w:rPr>
        <w:t xml:space="preserve">. </w:t>
      </w:r>
    </w:p>
    <w:p w14:paraId="4444DA6F" w14:textId="3F6AE4CF" w:rsidR="001E12D5" w:rsidRDefault="001E12D5" w:rsidP="001E12D5">
      <w:pPr>
        <w:jc w:val="both"/>
        <w:rPr>
          <w:rFonts w:asciiTheme="majorHAnsi" w:eastAsia="Calibri" w:hAnsiTheme="majorHAnsi" w:cs="Calibri"/>
          <w:sz w:val="20"/>
          <w:szCs w:val="20"/>
          <w:lang w:val="it-IT"/>
        </w:rPr>
      </w:pPr>
      <w:r w:rsidRPr="00DE3F7E">
        <w:rPr>
          <w:rFonts w:asciiTheme="majorHAnsi" w:eastAsia="Calibri" w:hAnsiTheme="majorHAnsi" w:cs="Calibri"/>
          <w:sz w:val="20"/>
          <w:szCs w:val="20"/>
          <w:lang w:val="it-IT"/>
        </w:rPr>
        <w:t xml:space="preserve">Anche in questo caso, però, la superficie mediana risulta in costante crescita negli ultimi anni e con </w:t>
      </w:r>
      <w:r w:rsidR="007953C3">
        <w:rPr>
          <w:rFonts w:asciiTheme="majorHAnsi" w:eastAsia="Calibri" w:hAnsiTheme="majorHAnsi" w:cs="Calibri"/>
          <w:b/>
          <w:sz w:val="20"/>
          <w:szCs w:val="20"/>
          <w:lang w:val="it-IT"/>
        </w:rPr>
        <w:t xml:space="preserve">143 </w:t>
      </w:r>
      <w:r w:rsidRPr="00DE3F7E">
        <w:rPr>
          <w:rFonts w:asciiTheme="majorHAnsi" w:eastAsia="Calibri" w:hAnsiTheme="majorHAnsi" w:cs="Calibri"/>
          <w:b/>
          <w:sz w:val="20"/>
          <w:szCs w:val="20"/>
          <w:lang w:val="it-IT"/>
        </w:rPr>
        <w:t>mq</w:t>
      </w:r>
      <w:r w:rsidRPr="00DE3F7E">
        <w:rPr>
          <w:rFonts w:asciiTheme="majorHAnsi" w:eastAsia="Calibri" w:hAnsiTheme="majorHAnsi" w:cs="Calibri"/>
          <w:sz w:val="20"/>
          <w:szCs w:val="20"/>
          <w:lang w:val="it-IT"/>
        </w:rPr>
        <w:t xml:space="preserve"> arriva a superare anche il record del 2014. </w:t>
      </w:r>
      <w:r w:rsidRPr="00DE3F7E">
        <w:rPr>
          <w:rFonts w:asciiTheme="majorHAnsi" w:eastAsia="Calibri" w:hAnsiTheme="majorHAnsi" w:cs="Calibri"/>
          <w:b/>
          <w:sz w:val="20"/>
          <w:szCs w:val="20"/>
          <w:lang w:val="it-IT"/>
        </w:rPr>
        <w:t>Il valore al mq però si conferma in costante contrazione negli ultimi 6 anni e si ferma a 1.</w:t>
      </w:r>
      <w:r w:rsidR="007953C3">
        <w:rPr>
          <w:rFonts w:asciiTheme="majorHAnsi" w:eastAsia="Calibri" w:hAnsiTheme="majorHAnsi" w:cs="Calibri"/>
          <w:b/>
          <w:sz w:val="20"/>
          <w:szCs w:val="20"/>
          <w:lang w:val="it-IT"/>
        </w:rPr>
        <w:t>727</w:t>
      </w:r>
      <w:r w:rsidR="00D814DA">
        <w:rPr>
          <w:rFonts w:asciiTheme="majorHAnsi" w:eastAsia="Calibri" w:hAnsiTheme="majorHAnsi" w:cs="Calibri"/>
          <w:b/>
          <w:sz w:val="20"/>
          <w:szCs w:val="20"/>
          <w:lang w:val="it-IT"/>
        </w:rPr>
        <w:t xml:space="preserve"> € </w:t>
      </w:r>
      <w:r w:rsidR="00D814DA" w:rsidRPr="00B057E3">
        <w:rPr>
          <w:rFonts w:asciiTheme="majorHAnsi" w:eastAsia="Calibri" w:hAnsiTheme="majorHAnsi" w:cs="Calibri"/>
          <w:b/>
          <w:sz w:val="20"/>
          <w:szCs w:val="20"/>
          <w:lang w:val="it-IT"/>
        </w:rPr>
        <w:t>con una flessione del -</w:t>
      </w:r>
      <w:r w:rsidR="00D814DA">
        <w:rPr>
          <w:rFonts w:asciiTheme="majorHAnsi" w:eastAsia="Calibri" w:hAnsiTheme="majorHAnsi" w:cs="Calibri"/>
          <w:b/>
          <w:sz w:val="20"/>
          <w:szCs w:val="20"/>
          <w:lang w:val="it-IT"/>
        </w:rPr>
        <w:t xml:space="preserve">1,5% </w:t>
      </w:r>
      <w:r w:rsidR="00D814DA" w:rsidRPr="00403242">
        <w:rPr>
          <w:rFonts w:asciiTheme="majorHAnsi" w:eastAsia="Calibri" w:hAnsiTheme="majorHAnsi" w:cs="Calibri"/>
          <w:sz w:val="20"/>
          <w:szCs w:val="20"/>
          <w:lang w:val="it-IT"/>
        </w:rPr>
        <w:t>rispetto all I semestre 2018.</w:t>
      </w:r>
    </w:p>
    <w:p w14:paraId="02D8BEA8" w14:textId="77777777" w:rsidR="00B970B4" w:rsidRPr="00403242" w:rsidRDefault="00B970B4" w:rsidP="001E12D5">
      <w:pPr>
        <w:jc w:val="both"/>
        <w:rPr>
          <w:rFonts w:asciiTheme="majorHAnsi" w:eastAsia="Calibri" w:hAnsiTheme="majorHAnsi" w:cs="Calibri"/>
          <w:sz w:val="20"/>
          <w:szCs w:val="20"/>
          <w:lang w:val="it-IT"/>
        </w:rPr>
      </w:pPr>
    </w:p>
    <w:p w14:paraId="02BE3594" w14:textId="6C664AAF" w:rsidR="007953C3" w:rsidRPr="00B970B4" w:rsidRDefault="007953C3">
      <w:pPr>
        <w:jc w:val="center"/>
        <w:rPr>
          <w:rFonts w:eastAsia="Calibri" w:cs="Calibri"/>
          <w:b/>
          <w:color w:val="003B79" w:themeColor="text1"/>
          <w:sz w:val="18"/>
          <w:szCs w:val="18"/>
          <w:lang w:val="it-IT"/>
        </w:rPr>
      </w:pPr>
      <w:r w:rsidRPr="00B970B4">
        <w:rPr>
          <w:rFonts w:eastAsia="Calibri" w:cs="Calibri"/>
          <w:b/>
          <w:color w:val="003B79" w:themeColor="text1"/>
          <w:sz w:val="18"/>
          <w:szCs w:val="18"/>
          <w:lang w:val="it-IT"/>
        </w:rPr>
        <w:lastRenderedPageBreak/>
        <w:t>Tavola 3</w:t>
      </w:r>
      <w:r w:rsidR="00DF4CDA" w:rsidRPr="00B970B4">
        <w:rPr>
          <w:rFonts w:eastAsia="Calibri" w:cs="Calibri"/>
          <w:b/>
          <w:color w:val="003B79" w:themeColor="text1"/>
          <w:sz w:val="18"/>
          <w:szCs w:val="18"/>
          <w:lang w:val="it-IT"/>
        </w:rPr>
        <w:t xml:space="preserve"> -</w:t>
      </w:r>
      <w:r w:rsidR="00B057E3" w:rsidRPr="00B970B4">
        <w:rPr>
          <w:rFonts w:eastAsia="Calibri" w:cs="Calibri"/>
          <w:b/>
          <w:color w:val="003B79" w:themeColor="text1"/>
          <w:sz w:val="18"/>
          <w:szCs w:val="18"/>
          <w:lang w:val="it-IT"/>
        </w:rPr>
        <w:t xml:space="preserve"> </w:t>
      </w:r>
      <w:r w:rsidRPr="00B970B4">
        <w:rPr>
          <w:rFonts w:eastAsia="Calibri" w:cs="Calibri"/>
          <w:b/>
          <w:color w:val="003B79" w:themeColor="text1"/>
          <w:sz w:val="18"/>
          <w:szCs w:val="18"/>
          <w:lang w:val="it-IT"/>
        </w:rPr>
        <w:t>Mercato degli Uffici</w:t>
      </w:r>
    </w:p>
    <w:tbl>
      <w:tblPr>
        <w:tblStyle w:val="PlainTable2"/>
        <w:tblW w:w="0" w:type="auto"/>
        <w:jc w:val="center"/>
        <w:tblBorders>
          <w:top w:val="single" w:sz="4" w:space="0" w:color="003B79" w:themeColor="text1"/>
          <w:bottom w:val="single" w:sz="4" w:space="0" w:color="003B79" w:themeColor="text1"/>
          <w:insideH w:val="single" w:sz="4" w:space="0" w:color="003B79" w:themeColor="text1"/>
        </w:tblBorders>
        <w:tblLook w:val="0600" w:firstRow="0" w:lastRow="0" w:firstColumn="0" w:lastColumn="0" w:noHBand="1" w:noVBand="1"/>
      </w:tblPr>
      <w:tblGrid>
        <w:gridCol w:w="1562"/>
        <w:gridCol w:w="2546"/>
        <w:gridCol w:w="2547"/>
        <w:gridCol w:w="2547"/>
      </w:tblGrid>
      <w:tr w:rsidR="00DE3F7E" w:rsidRPr="008E23AE" w14:paraId="61072ADF" w14:textId="77777777" w:rsidTr="00403242">
        <w:trPr>
          <w:trHeight w:val="284"/>
          <w:jc w:val="center"/>
        </w:trPr>
        <w:tc>
          <w:tcPr>
            <w:tcW w:w="1562" w:type="dxa"/>
            <w:shd w:val="clear" w:color="auto" w:fill="003B79" w:themeFill="text1"/>
            <w:hideMark/>
          </w:tcPr>
          <w:p w14:paraId="7C477DF2" w14:textId="77777777" w:rsidR="00DE3F7E" w:rsidRPr="008E23AE" w:rsidRDefault="00DE3F7E" w:rsidP="00DE3F7E">
            <w:pPr>
              <w:jc w:val="center"/>
              <w:textAlignment w:val="bottom"/>
              <w:rPr>
                <w:rFonts w:eastAsia="Times New Roman" w:cs="Arial"/>
                <w:sz w:val="20"/>
                <w:szCs w:val="20"/>
                <w:lang w:val="it-IT" w:eastAsia="it-IT"/>
              </w:rPr>
            </w:pPr>
            <w:proofErr w:type="spellStart"/>
            <w:r w:rsidRPr="008E23AE">
              <w:rPr>
                <w:rFonts w:eastAsia="Times New Roman" w:cs="Calibri"/>
                <w:b/>
                <w:bCs/>
                <w:kern w:val="24"/>
                <w:sz w:val="20"/>
                <w:szCs w:val="20"/>
                <w:lang w:val="en-GB" w:eastAsia="it-IT"/>
              </w:rPr>
              <w:t>Semestre</w:t>
            </w:r>
            <w:proofErr w:type="spellEnd"/>
          </w:p>
        </w:tc>
        <w:tc>
          <w:tcPr>
            <w:tcW w:w="2546" w:type="dxa"/>
            <w:shd w:val="clear" w:color="auto" w:fill="003B79" w:themeFill="text1"/>
            <w:hideMark/>
          </w:tcPr>
          <w:p w14:paraId="5DB79CC8" w14:textId="77777777" w:rsidR="00DE3F7E" w:rsidRPr="008E23AE" w:rsidRDefault="00DE3F7E" w:rsidP="00DE3F7E">
            <w:pPr>
              <w:jc w:val="center"/>
              <w:textAlignment w:val="bottom"/>
              <w:rPr>
                <w:rFonts w:eastAsia="Times New Roman" w:cs="Arial"/>
                <w:sz w:val="20"/>
                <w:szCs w:val="20"/>
                <w:lang w:val="it-IT" w:eastAsia="it-IT"/>
              </w:rPr>
            </w:pPr>
            <w:r w:rsidRPr="008E23AE">
              <w:rPr>
                <w:rFonts w:eastAsia="Times New Roman" w:cs="Calibri"/>
                <w:b/>
                <w:bCs/>
                <w:kern w:val="24"/>
                <w:sz w:val="20"/>
                <w:szCs w:val="20"/>
                <w:lang w:val="en-GB" w:eastAsia="it-IT"/>
              </w:rPr>
              <w:t xml:space="preserve">Valore </w:t>
            </w:r>
            <w:proofErr w:type="spellStart"/>
            <w:r w:rsidRPr="008E23AE">
              <w:rPr>
                <w:rFonts w:eastAsia="Times New Roman" w:cs="Calibri"/>
                <w:b/>
                <w:bCs/>
                <w:kern w:val="24"/>
                <w:sz w:val="20"/>
                <w:szCs w:val="20"/>
                <w:lang w:val="en-GB" w:eastAsia="it-IT"/>
              </w:rPr>
              <w:t>mediano</w:t>
            </w:r>
            <w:proofErr w:type="spellEnd"/>
            <w:r>
              <w:rPr>
                <w:rFonts w:eastAsia="Times New Roman" w:cs="Calibri"/>
                <w:b/>
                <w:bCs/>
                <w:kern w:val="24"/>
                <w:sz w:val="20"/>
                <w:szCs w:val="20"/>
                <w:lang w:val="en-GB" w:eastAsia="it-IT"/>
              </w:rPr>
              <w:t xml:space="preserve"> (€)</w:t>
            </w:r>
          </w:p>
        </w:tc>
        <w:tc>
          <w:tcPr>
            <w:tcW w:w="2547" w:type="dxa"/>
            <w:shd w:val="clear" w:color="auto" w:fill="003B79" w:themeFill="text1"/>
            <w:hideMark/>
          </w:tcPr>
          <w:p w14:paraId="680685D6" w14:textId="5755F79E" w:rsidR="00DE3F7E" w:rsidRPr="008E23AE" w:rsidRDefault="00DE3F7E" w:rsidP="00DE3F7E">
            <w:pPr>
              <w:jc w:val="center"/>
              <w:textAlignment w:val="bottom"/>
              <w:rPr>
                <w:rFonts w:eastAsia="Times New Roman" w:cs="Arial"/>
                <w:sz w:val="20"/>
                <w:szCs w:val="20"/>
                <w:lang w:val="it-IT" w:eastAsia="it-IT"/>
              </w:rPr>
            </w:pPr>
            <w:r w:rsidRPr="007953C3">
              <w:rPr>
                <w:rFonts w:eastAsia="Times New Roman" w:cs="Calibri"/>
                <w:b/>
                <w:bCs/>
                <w:kern w:val="24"/>
                <w:sz w:val="20"/>
                <w:szCs w:val="20"/>
                <w:lang w:val="it-IT" w:eastAsia="it-IT"/>
              </w:rPr>
              <w:t>Superficie mediana</w:t>
            </w:r>
            <w:r w:rsidR="007953C3" w:rsidRPr="007953C3">
              <w:rPr>
                <w:rFonts w:eastAsia="Times New Roman" w:cs="Calibri"/>
                <w:b/>
                <w:bCs/>
                <w:kern w:val="24"/>
                <w:sz w:val="20"/>
                <w:szCs w:val="20"/>
                <w:lang w:val="it-IT" w:eastAsia="it-IT"/>
              </w:rPr>
              <w:br/>
            </w:r>
            <w:r w:rsidRPr="007953C3">
              <w:rPr>
                <w:rFonts w:eastAsia="Times New Roman" w:cs="Calibri"/>
                <w:b/>
                <w:bCs/>
                <w:kern w:val="24"/>
                <w:sz w:val="20"/>
                <w:szCs w:val="20"/>
                <w:lang w:val="it-IT" w:eastAsia="it-IT"/>
              </w:rPr>
              <w:t>(mq)</w:t>
            </w:r>
          </w:p>
        </w:tc>
        <w:tc>
          <w:tcPr>
            <w:tcW w:w="2547" w:type="dxa"/>
            <w:shd w:val="clear" w:color="auto" w:fill="003B79" w:themeFill="text1"/>
            <w:hideMark/>
          </w:tcPr>
          <w:p w14:paraId="5D495322" w14:textId="77777777" w:rsidR="00DE3F7E" w:rsidRPr="008E23AE" w:rsidRDefault="00DE3F7E" w:rsidP="00DE3F7E">
            <w:pPr>
              <w:jc w:val="center"/>
              <w:textAlignment w:val="bottom"/>
              <w:rPr>
                <w:rFonts w:eastAsia="Times New Roman" w:cs="Arial"/>
                <w:sz w:val="20"/>
                <w:szCs w:val="20"/>
                <w:lang w:val="it-IT" w:eastAsia="it-IT"/>
              </w:rPr>
            </w:pPr>
            <w:r w:rsidRPr="007953C3">
              <w:rPr>
                <w:rFonts w:eastAsia="Times New Roman" w:cs="Calibri"/>
                <w:b/>
                <w:bCs/>
                <w:kern w:val="24"/>
                <w:sz w:val="20"/>
                <w:szCs w:val="20"/>
                <w:lang w:val="it-IT" w:eastAsia="it-IT"/>
              </w:rPr>
              <w:t>Valore mq mediano (€/mq)</w:t>
            </w:r>
          </w:p>
        </w:tc>
      </w:tr>
      <w:tr w:rsidR="00DE3F7E" w:rsidRPr="00DE3F7E" w14:paraId="10771E3B" w14:textId="77777777" w:rsidTr="00403242">
        <w:trPr>
          <w:trHeight w:val="284"/>
          <w:jc w:val="center"/>
        </w:trPr>
        <w:tc>
          <w:tcPr>
            <w:tcW w:w="1562" w:type="dxa"/>
            <w:vAlign w:val="center"/>
            <w:hideMark/>
          </w:tcPr>
          <w:p w14:paraId="2AE87732" w14:textId="77777777" w:rsidR="00DE3F7E" w:rsidRPr="00403242" w:rsidRDefault="00DE3F7E" w:rsidP="007953C3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  <w:lang w:val="it-IT"/>
              </w:rPr>
            </w:pPr>
            <w:r w:rsidRPr="00403242">
              <w:rPr>
                <w:rFonts w:asciiTheme="majorHAnsi" w:eastAsia="Calibri" w:hAnsiTheme="majorHAnsi" w:cs="Calibri"/>
                <w:b/>
                <w:sz w:val="18"/>
                <w:szCs w:val="18"/>
                <w:lang w:val="it-IT"/>
              </w:rPr>
              <w:t>2013_1</w:t>
            </w:r>
          </w:p>
        </w:tc>
        <w:tc>
          <w:tcPr>
            <w:tcW w:w="2546" w:type="dxa"/>
            <w:vAlign w:val="center"/>
            <w:hideMark/>
          </w:tcPr>
          <w:p w14:paraId="0D605BE1" w14:textId="24E53F3F" w:rsidR="00DE3F7E" w:rsidRPr="00DE3F7E" w:rsidRDefault="00DE3F7E" w:rsidP="007953C3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</w:pPr>
            <w:r w:rsidRPr="007953C3"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  <w:t>220</w:t>
            </w:r>
            <w:r w:rsidR="007953C3"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  <w:t>.</w:t>
            </w:r>
            <w:r w:rsidRPr="007953C3"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  <w:t>000</w:t>
            </w:r>
          </w:p>
        </w:tc>
        <w:tc>
          <w:tcPr>
            <w:tcW w:w="2547" w:type="dxa"/>
            <w:vAlign w:val="center"/>
          </w:tcPr>
          <w:p w14:paraId="44B1780B" w14:textId="0D3EBC76" w:rsidR="00DE3F7E" w:rsidRPr="00DE3F7E" w:rsidRDefault="00DE3F7E" w:rsidP="007953C3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</w:pPr>
            <w:r w:rsidRPr="007953C3"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  <w:t>97</w:t>
            </w:r>
          </w:p>
        </w:tc>
        <w:tc>
          <w:tcPr>
            <w:tcW w:w="2547" w:type="dxa"/>
            <w:vAlign w:val="center"/>
          </w:tcPr>
          <w:p w14:paraId="67570567" w14:textId="77E4BF94" w:rsidR="00DE3F7E" w:rsidRPr="00DE3F7E" w:rsidRDefault="00DE3F7E" w:rsidP="007953C3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</w:pPr>
            <w:r w:rsidRPr="007953C3"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  <w:t>2</w:t>
            </w:r>
            <w:r w:rsidR="007953C3"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  <w:t>.</w:t>
            </w:r>
            <w:r w:rsidRPr="007953C3"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  <w:t>328</w:t>
            </w:r>
          </w:p>
        </w:tc>
      </w:tr>
      <w:tr w:rsidR="00DE3F7E" w:rsidRPr="00DE3F7E" w14:paraId="446000F4" w14:textId="77777777" w:rsidTr="00403242">
        <w:trPr>
          <w:trHeight w:val="284"/>
          <w:jc w:val="center"/>
        </w:trPr>
        <w:tc>
          <w:tcPr>
            <w:tcW w:w="1562" w:type="dxa"/>
            <w:vAlign w:val="center"/>
            <w:hideMark/>
          </w:tcPr>
          <w:p w14:paraId="44CF80CB" w14:textId="77777777" w:rsidR="00DE3F7E" w:rsidRPr="00403242" w:rsidRDefault="00DE3F7E" w:rsidP="007953C3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  <w:lang w:val="it-IT"/>
              </w:rPr>
            </w:pPr>
            <w:r w:rsidRPr="00403242">
              <w:rPr>
                <w:rFonts w:asciiTheme="majorHAnsi" w:eastAsia="Calibri" w:hAnsiTheme="majorHAnsi" w:cs="Calibri"/>
                <w:b/>
                <w:sz w:val="18"/>
                <w:szCs w:val="18"/>
                <w:lang w:val="it-IT"/>
              </w:rPr>
              <w:t>2013_2</w:t>
            </w:r>
          </w:p>
        </w:tc>
        <w:tc>
          <w:tcPr>
            <w:tcW w:w="2546" w:type="dxa"/>
            <w:vAlign w:val="center"/>
            <w:hideMark/>
          </w:tcPr>
          <w:p w14:paraId="2036E9A3" w14:textId="329DBEC7" w:rsidR="00DE3F7E" w:rsidRPr="00DE3F7E" w:rsidRDefault="00DE3F7E" w:rsidP="007953C3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</w:pPr>
            <w:r w:rsidRPr="007953C3"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  <w:t>215</w:t>
            </w:r>
            <w:r w:rsidR="007953C3"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  <w:t>.</w:t>
            </w:r>
            <w:r w:rsidRPr="007953C3"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  <w:t>000</w:t>
            </w:r>
          </w:p>
        </w:tc>
        <w:tc>
          <w:tcPr>
            <w:tcW w:w="2547" w:type="dxa"/>
            <w:vAlign w:val="center"/>
          </w:tcPr>
          <w:p w14:paraId="75ADE322" w14:textId="23A186F4" w:rsidR="00DE3F7E" w:rsidRPr="00DE3F7E" w:rsidRDefault="00DE3F7E" w:rsidP="007953C3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</w:pPr>
            <w:r w:rsidRPr="007953C3"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  <w:t>94</w:t>
            </w:r>
          </w:p>
        </w:tc>
        <w:tc>
          <w:tcPr>
            <w:tcW w:w="2547" w:type="dxa"/>
            <w:vAlign w:val="center"/>
          </w:tcPr>
          <w:p w14:paraId="2AEF9626" w14:textId="42F5C2A3" w:rsidR="00DE3F7E" w:rsidRPr="00DE3F7E" w:rsidRDefault="00DE3F7E" w:rsidP="007953C3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</w:pPr>
            <w:r w:rsidRPr="007953C3"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  <w:t>2</w:t>
            </w:r>
            <w:r w:rsidR="007953C3"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  <w:t>.</w:t>
            </w:r>
            <w:r w:rsidRPr="007953C3"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  <w:t>147</w:t>
            </w:r>
          </w:p>
        </w:tc>
      </w:tr>
      <w:tr w:rsidR="00DE3F7E" w:rsidRPr="00DE3F7E" w14:paraId="1A5BF772" w14:textId="77777777" w:rsidTr="00403242">
        <w:trPr>
          <w:trHeight w:val="284"/>
          <w:jc w:val="center"/>
        </w:trPr>
        <w:tc>
          <w:tcPr>
            <w:tcW w:w="1562" w:type="dxa"/>
            <w:vAlign w:val="center"/>
            <w:hideMark/>
          </w:tcPr>
          <w:p w14:paraId="32115F9E" w14:textId="77777777" w:rsidR="00DE3F7E" w:rsidRPr="00403242" w:rsidRDefault="00DE3F7E" w:rsidP="007953C3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  <w:lang w:val="it-IT"/>
              </w:rPr>
            </w:pPr>
            <w:r w:rsidRPr="00403242">
              <w:rPr>
                <w:rFonts w:asciiTheme="majorHAnsi" w:eastAsia="Calibri" w:hAnsiTheme="majorHAnsi" w:cs="Calibri"/>
                <w:b/>
                <w:sz w:val="18"/>
                <w:szCs w:val="18"/>
                <w:lang w:val="it-IT"/>
              </w:rPr>
              <w:t>2014_1</w:t>
            </w:r>
          </w:p>
        </w:tc>
        <w:tc>
          <w:tcPr>
            <w:tcW w:w="2546" w:type="dxa"/>
            <w:vAlign w:val="center"/>
            <w:hideMark/>
          </w:tcPr>
          <w:p w14:paraId="6400FC4D" w14:textId="420DDF5A" w:rsidR="00DE3F7E" w:rsidRPr="00DE3F7E" w:rsidRDefault="00DE3F7E" w:rsidP="007953C3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</w:pPr>
            <w:r w:rsidRPr="007953C3"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  <w:t>294</w:t>
            </w:r>
            <w:r w:rsidR="007953C3"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  <w:t>.</w:t>
            </w:r>
            <w:r w:rsidRPr="007953C3"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  <w:t>000</w:t>
            </w:r>
          </w:p>
        </w:tc>
        <w:tc>
          <w:tcPr>
            <w:tcW w:w="2547" w:type="dxa"/>
            <w:vAlign w:val="center"/>
          </w:tcPr>
          <w:p w14:paraId="14DBFA9B" w14:textId="6BCF4A6B" w:rsidR="00DE3F7E" w:rsidRPr="00DE3F7E" w:rsidRDefault="00DE3F7E" w:rsidP="007953C3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</w:pPr>
            <w:r w:rsidRPr="007953C3"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  <w:t>132</w:t>
            </w:r>
          </w:p>
        </w:tc>
        <w:tc>
          <w:tcPr>
            <w:tcW w:w="2547" w:type="dxa"/>
            <w:vAlign w:val="center"/>
          </w:tcPr>
          <w:p w14:paraId="5629BD9C" w14:textId="58064E0D" w:rsidR="00DE3F7E" w:rsidRPr="00DE3F7E" w:rsidRDefault="00DE3F7E" w:rsidP="007953C3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</w:pPr>
            <w:r w:rsidRPr="007953C3"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  <w:t>2</w:t>
            </w:r>
            <w:r w:rsidR="007953C3"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  <w:t>.</w:t>
            </w:r>
            <w:r w:rsidRPr="007953C3"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  <w:t>052</w:t>
            </w:r>
          </w:p>
        </w:tc>
      </w:tr>
      <w:tr w:rsidR="00DE3F7E" w:rsidRPr="00DE3F7E" w14:paraId="6245591F" w14:textId="77777777" w:rsidTr="00403242">
        <w:trPr>
          <w:trHeight w:val="284"/>
          <w:jc w:val="center"/>
        </w:trPr>
        <w:tc>
          <w:tcPr>
            <w:tcW w:w="1562" w:type="dxa"/>
            <w:vAlign w:val="center"/>
            <w:hideMark/>
          </w:tcPr>
          <w:p w14:paraId="553087DC" w14:textId="77777777" w:rsidR="00DE3F7E" w:rsidRPr="00403242" w:rsidRDefault="00DE3F7E" w:rsidP="007953C3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  <w:lang w:val="it-IT"/>
              </w:rPr>
            </w:pPr>
            <w:r w:rsidRPr="00403242">
              <w:rPr>
                <w:rFonts w:asciiTheme="majorHAnsi" w:eastAsia="Calibri" w:hAnsiTheme="majorHAnsi" w:cs="Calibri"/>
                <w:b/>
                <w:sz w:val="18"/>
                <w:szCs w:val="18"/>
                <w:lang w:val="it-IT"/>
              </w:rPr>
              <w:t>2014_2</w:t>
            </w:r>
          </w:p>
        </w:tc>
        <w:tc>
          <w:tcPr>
            <w:tcW w:w="2546" w:type="dxa"/>
            <w:vAlign w:val="center"/>
            <w:hideMark/>
          </w:tcPr>
          <w:p w14:paraId="39FB5B18" w14:textId="1C27F3E3" w:rsidR="00DE3F7E" w:rsidRPr="00DE3F7E" w:rsidRDefault="00DE3F7E" w:rsidP="007953C3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</w:pPr>
            <w:r w:rsidRPr="007953C3"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  <w:t>194</w:t>
            </w:r>
            <w:r w:rsidR="007953C3"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  <w:t>.</w:t>
            </w:r>
            <w:r w:rsidRPr="007953C3"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  <w:t>500</w:t>
            </w:r>
          </w:p>
        </w:tc>
        <w:tc>
          <w:tcPr>
            <w:tcW w:w="2547" w:type="dxa"/>
            <w:vAlign w:val="center"/>
          </w:tcPr>
          <w:p w14:paraId="7AE289CC" w14:textId="50D89F01" w:rsidR="00DE3F7E" w:rsidRPr="00DE3F7E" w:rsidRDefault="00DE3F7E" w:rsidP="007953C3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</w:pPr>
            <w:r w:rsidRPr="007953C3"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  <w:t>99</w:t>
            </w:r>
          </w:p>
        </w:tc>
        <w:tc>
          <w:tcPr>
            <w:tcW w:w="2547" w:type="dxa"/>
            <w:vAlign w:val="center"/>
          </w:tcPr>
          <w:p w14:paraId="5FCD4E65" w14:textId="53263D8E" w:rsidR="00DE3F7E" w:rsidRPr="00DE3F7E" w:rsidRDefault="00DE3F7E" w:rsidP="007953C3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</w:pPr>
            <w:r w:rsidRPr="007953C3"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  <w:t>2</w:t>
            </w:r>
            <w:r w:rsidR="007953C3"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  <w:t>.</w:t>
            </w:r>
            <w:r w:rsidRPr="007953C3"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  <w:t>047</w:t>
            </w:r>
          </w:p>
        </w:tc>
      </w:tr>
      <w:tr w:rsidR="00DE3F7E" w:rsidRPr="00DE3F7E" w14:paraId="277384FE" w14:textId="77777777" w:rsidTr="00403242">
        <w:trPr>
          <w:trHeight w:val="284"/>
          <w:jc w:val="center"/>
        </w:trPr>
        <w:tc>
          <w:tcPr>
            <w:tcW w:w="1562" w:type="dxa"/>
            <w:vAlign w:val="center"/>
            <w:hideMark/>
          </w:tcPr>
          <w:p w14:paraId="1978F1B3" w14:textId="77777777" w:rsidR="00DE3F7E" w:rsidRPr="00403242" w:rsidRDefault="00DE3F7E" w:rsidP="007953C3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  <w:lang w:val="it-IT"/>
              </w:rPr>
            </w:pPr>
            <w:r w:rsidRPr="00403242">
              <w:rPr>
                <w:rFonts w:asciiTheme="majorHAnsi" w:eastAsia="Calibri" w:hAnsiTheme="majorHAnsi" w:cs="Calibri"/>
                <w:b/>
                <w:sz w:val="18"/>
                <w:szCs w:val="18"/>
                <w:lang w:val="en-GB"/>
              </w:rPr>
              <w:t>2015_1</w:t>
            </w:r>
          </w:p>
        </w:tc>
        <w:tc>
          <w:tcPr>
            <w:tcW w:w="2546" w:type="dxa"/>
            <w:vAlign w:val="center"/>
            <w:hideMark/>
          </w:tcPr>
          <w:p w14:paraId="7255AA19" w14:textId="105DD36B" w:rsidR="00DE3F7E" w:rsidRPr="00DE3F7E" w:rsidRDefault="00DE3F7E" w:rsidP="007953C3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</w:pPr>
            <w:r w:rsidRPr="00DE3F7E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200</w:t>
            </w:r>
            <w:r w:rsidR="007953C3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.</w:t>
            </w:r>
            <w:r w:rsidRPr="00DE3F7E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000</w:t>
            </w:r>
          </w:p>
        </w:tc>
        <w:tc>
          <w:tcPr>
            <w:tcW w:w="2547" w:type="dxa"/>
            <w:vAlign w:val="center"/>
          </w:tcPr>
          <w:p w14:paraId="5B6B7033" w14:textId="2B757295" w:rsidR="00DE3F7E" w:rsidRPr="00DE3F7E" w:rsidRDefault="00DE3F7E" w:rsidP="007953C3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</w:pPr>
            <w:r w:rsidRPr="00DE3F7E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100</w:t>
            </w:r>
          </w:p>
        </w:tc>
        <w:tc>
          <w:tcPr>
            <w:tcW w:w="2547" w:type="dxa"/>
            <w:vAlign w:val="center"/>
          </w:tcPr>
          <w:p w14:paraId="43BC3CC1" w14:textId="42F2A9DE" w:rsidR="00DE3F7E" w:rsidRPr="00DE3F7E" w:rsidRDefault="00DE3F7E" w:rsidP="007953C3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</w:pPr>
            <w:r w:rsidRPr="00DE3F7E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1</w:t>
            </w:r>
            <w:r w:rsidR="007953C3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.</w:t>
            </w:r>
            <w:r w:rsidRPr="00DE3F7E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952</w:t>
            </w:r>
          </w:p>
        </w:tc>
      </w:tr>
      <w:tr w:rsidR="00DE3F7E" w:rsidRPr="00DE3F7E" w14:paraId="0370AE6E" w14:textId="77777777" w:rsidTr="00403242">
        <w:trPr>
          <w:trHeight w:val="284"/>
          <w:jc w:val="center"/>
        </w:trPr>
        <w:tc>
          <w:tcPr>
            <w:tcW w:w="1562" w:type="dxa"/>
            <w:vAlign w:val="center"/>
            <w:hideMark/>
          </w:tcPr>
          <w:p w14:paraId="15C1C5B0" w14:textId="77777777" w:rsidR="00DE3F7E" w:rsidRPr="00403242" w:rsidRDefault="00DE3F7E" w:rsidP="007953C3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  <w:lang w:val="it-IT"/>
              </w:rPr>
            </w:pPr>
            <w:r w:rsidRPr="00403242">
              <w:rPr>
                <w:rFonts w:asciiTheme="majorHAnsi" w:eastAsia="Calibri" w:hAnsiTheme="majorHAnsi" w:cs="Calibri"/>
                <w:b/>
                <w:sz w:val="18"/>
                <w:szCs w:val="18"/>
                <w:lang w:val="en-GB"/>
              </w:rPr>
              <w:t>2015_2</w:t>
            </w:r>
          </w:p>
        </w:tc>
        <w:tc>
          <w:tcPr>
            <w:tcW w:w="2546" w:type="dxa"/>
            <w:vAlign w:val="center"/>
            <w:hideMark/>
          </w:tcPr>
          <w:p w14:paraId="66FF8249" w14:textId="21B7230D" w:rsidR="00DE3F7E" w:rsidRPr="00DE3F7E" w:rsidRDefault="00DE3F7E" w:rsidP="007953C3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</w:pPr>
            <w:r w:rsidRPr="00DE3F7E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205</w:t>
            </w:r>
            <w:r w:rsidR="007953C3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.</w:t>
            </w:r>
            <w:r w:rsidRPr="00DE3F7E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500</w:t>
            </w:r>
          </w:p>
        </w:tc>
        <w:tc>
          <w:tcPr>
            <w:tcW w:w="2547" w:type="dxa"/>
            <w:vAlign w:val="center"/>
          </w:tcPr>
          <w:p w14:paraId="73361810" w14:textId="6F40061F" w:rsidR="00DE3F7E" w:rsidRPr="00DE3F7E" w:rsidRDefault="00DE3F7E" w:rsidP="007953C3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</w:pPr>
            <w:r w:rsidRPr="00DE3F7E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106</w:t>
            </w:r>
          </w:p>
        </w:tc>
        <w:tc>
          <w:tcPr>
            <w:tcW w:w="2547" w:type="dxa"/>
            <w:vAlign w:val="center"/>
          </w:tcPr>
          <w:p w14:paraId="7D460D14" w14:textId="676FB667" w:rsidR="00DE3F7E" w:rsidRPr="00DE3F7E" w:rsidRDefault="00DE3F7E" w:rsidP="007953C3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</w:pPr>
            <w:r w:rsidRPr="00DE3F7E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1</w:t>
            </w:r>
            <w:r w:rsidR="007953C3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.</w:t>
            </w:r>
            <w:r w:rsidRPr="00DE3F7E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894</w:t>
            </w:r>
          </w:p>
        </w:tc>
      </w:tr>
      <w:tr w:rsidR="00DE3F7E" w:rsidRPr="00DE3F7E" w14:paraId="6D0AB278" w14:textId="77777777" w:rsidTr="00403242">
        <w:trPr>
          <w:trHeight w:val="284"/>
          <w:jc w:val="center"/>
        </w:trPr>
        <w:tc>
          <w:tcPr>
            <w:tcW w:w="1562" w:type="dxa"/>
            <w:vAlign w:val="center"/>
            <w:hideMark/>
          </w:tcPr>
          <w:p w14:paraId="14E076AC" w14:textId="77777777" w:rsidR="00DE3F7E" w:rsidRPr="00403242" w:rsidRDefault="00DE3F7E" w:rsidP="007953C3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  <w:lang w:val="it-IT"/>
              </w:rPr>
            </w:pPr>
            <w:r w:rsidRPr="00403242">
              <w:rPr>
                <w:rFonts w:asciiTheme="majorHAnsi" w:eastAsia="Calibri" w:hAnsiTheme="majorHAnsi" w:cs="Calibri"/>
                <w:b/>
                <w:sz w:val="18"/>
                <w:szCs w:val="18"/>
                <w:lang w:val="en-GB"/>
              </w:rPr>
              <w:t>2016_1</w:t>
            </w:r>
          </w:p>
        </w:tc>
        <w:tc>
          <w:tcPr>
            <w:tcW w:w="2546" w:type="dxa"/>
            <w:vAlign w:val="center"/>
            <w:hideMark/>
          </w:tcPr>
          <w:p w14:paraId="56BB04AA" w14:textId="25353363" w:rsidR="00DE3F7E" w:rsidRPr="00DE3F7E" w:rsidRDefault="00DE3F7E" w:rsidP="007953C3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</w:pPr>
            <w:r w:rsidRPr="00DE3F7E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204</w:t>
            </w:r>
            <w:r w:rsidR="007953C3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.</w:t>
            </w:r>
            <w:r w:rsidRPr="00DE3F7E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000</w:t>
            </w:r>
          </w:p>
        </w:tc>
        <w:tc>
          <w:tcPr>
            <w:tcW w:w="2547" w:type="dxa"/>
            <w:vAlign w:val="center"/>
          </w:tcPr>
          <w:p w14:paraId="5FAEC56D" w14:textId="73C824BE" w:rsidR="00DE3F7E" w:rsidRPr="00DE3F7E" w:rsidRDefault="00DE3F7E" w:rsidP="007953C3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</w:pPr>
            <w:r w:rsidRPr="00DE3F7E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110</w:t>
            </w:r>
          </w:p>
        </w:tc>
        <w:tc>
          <w:tcPr>
            <w:tcW w:w="2547" w:type="dxa"/>
            <w:vAlign w:val="center"/>
          </w:tcPr>
          <w:p w14:paraId="4ED8C502" w14:textId="171F76DC" w:rsidR="00DE3F7E" w:rsidRPr="00DE3F7E" w:rsidRDefault="00DE3F7E" w:rsidP="007953C3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</w:pPr>
            <w:r w:rsidRPr="00DE3F7E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1</w:t>
            </w:r>
            <w:r w:rsidR="007953C3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.</w:t>
            </w:r>
            <w:r w:rsidRPr="00DE3F7E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897</w:t>
            </w:r>
          </w:p>
        </w:tc>
      </w:tr>
      <w:tr w:rsidR="00DE3F7E" w:rsidRPr="00DE3F7E" w14:paraId="4D1869A4" w14:textId="77777777" w:rsidTr="00403242">
        <w:trPr>
          <w:trHeight w:val="284"/>
          <w:jc w:val="center"/>
        </w:trPr>
        <w:tc>
          <w:tcPr>
            <w:tcW w:w="1562" w:type="dxa"/>
            <w:vAlign w:val="center"/>
            <w:hideMark/>
          </w:tcPr>
          <w:p w14:paraId="4E6D9024" w14:textId="77777777" w:rsidR="00DE3F7E" w:rsidRPr="00403242" w:rsidRDefault="00DE3F7E" w:rsidP="007953C3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  <w:lang w:val="it-IT"/>
              </w:rPr>
            </w:pPr>
            <w:r w:rsidRPr="00403242">
              <w:rPr>
                <w:rFonts w:asciiTheme="majorHAnsi" w:eastAsia="Calibri" w:hAnsiTheme="majorHAnsi" w:cs="Calibri"/>
                <w:b/>
                <w:sz w:val="18"/>
                <w:szCs w:val="18"/>
                <w:lang w:val="en-GB"/>
              </w:rPr>
              <w:t>2016_2</w:t>
            </w:r>
          </w:p>
        </w:tc>
        <w:tc>
          <w:tcPr>
            <w:tcW w:w="2546" w:type="dxa"/>
            <w:vAlign w:val="center"/>
            <w:hideMark/>
          </w:tcPr>
          <w:p w14:paraId="0F0F8B64" w14:textId="30CC7E5D" w:rsidR="00DE3F7E" w:rsidRPr="00DE3F7E" w:rsidRDefault="00DE3F7E" w:rsidP="007953C3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</w:pPr>
            <w:r w:rsidRPr="00DE3F7E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235</w:t>
            </w:r>
            <w:r w:rsidR="007953C3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.</w:t>
            </w:r>
            <w:r w:rsidRPr="00DE3F7E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000</w:t>
            </w:r>
          </w:p>
        </w:tc>
        <w:tc>
          <w:tcPr>
            <w:tcW w:w="2547" w:type="dxa"/>
            <w:vAlign w:val="center"/>
          </w:tcPr>
          <w:p w14:paraId="626321C4" w14:textId="3D95099D" w:rsidR="00DE3F7E" w:rsidRPr="00DE3F7E" w:rsidRDefault="00DE3F7E" w:rsidP="007953C3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</w:pPr>
            <w:r w:rsidRPr="00DE3F7E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118</w:t>
            </w:r>
          </w:p>
        </w:tc>
        <w:tc>
          <w:tcPr>
            <w:tcW w:w="2547" w:type="dxa"/>
            <w:vAlign w:val="center"/>
          </w:tcPr>
          <w:p w14:paraId="10133D04" w14:textId="351D6EE8" w:rsidR="00DE3F7E" w:rsidRPr="00DE3F7E" w:rsidRDefault="00DE3F7E" w:rsidP="007953C3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</w:pPr>
            <w:r w:rsidRPr="00DE3F7E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1</w:t>
            </w:r>
            <w:r w:rsidR="007953C3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.</w:t>
            </w:r>
            <w:r w:rsidRPr="00DE3F7E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860</w:t>
            </w:r>
          </w:p>
        </w:tc>
      </w:tr>
      <w:tr w:rsidR="00DE3F7E" w:rsidRPr="00DE3F7E" w14:paraId="2662D329" w14:textId="77777777" w:rsidTr="00403242">
        <w:trPr>
          <w:trHeight w:val="284"/>
          <w:jc w:val="center"/>
        </w:trPr>
        <w:tc>
          <w:tcPr>
            <w:tcW w:w="1562" w:type="dxa"/>
            <w:vAlign w:val="center"/>
            <w:hideMark/>
          </w:tcPr>
          <w:p w14:paraId="3C999258" w14:textId="77777777" w:rsidR="00DE3F7E" w:rsidRPr="00403242" w:rsidRDefault="00DE3F7E" w:rsidP="007953C3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  <w:lang w:val="it-IT"/>
              </w:rPr>
            </w:pPr>
            <w:r w:rsidRPr="00403242">
              <w:rPr>
                <w:rFonts w:asciiTheme="majorHAnsi" w:eastAsia="Calibri" w:hAnsiTheme="majorHAnsi" w:cs="Calibri"/>
                <w:b/>
                <w:sz w:val="18"/>
                <w:szCs w:val="18"/>
                <w:lang w:val="en-GB"/>
              </w:rPr>
              <w:t>2017_1</w:t>
            </w:r>
          </w:p>
        </w:tc>
        <w:tc>
          <w:tcPr>
            <w:tcW w:w="2546" w:type="dxa"/>
            <w:vAlign w:val="center"/>
            <w:hideMark/>
          </w:tcPr>
          <w:p w14:paraId="321017FF" w14:textId="0CD87E4D" w:rsidR="00DE3F7E" w:rsidRPr="00DE3F7E" w:rsidRDefault="00DE3F7E" w:rsidP="007953C3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</w:pPr>
            <w:r w:rsidRPr="00DE3F7E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210</w:t>
            </w:r>
            <w:r w:rsidR="007953C3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.</w:t>
            </w:r>
            <w:r w:rsidRPr="00DE3F7E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000</w:t>
            </w:r>
          </w:p>
        </w:tc>
        <w:tc>
          <w:tcPr>
            <w:tcW w:w="2547" w:type="dxa"/>
            <w:vAlign w:val="center"/>
          </w:tcPr>
          <w:p w14:paraId="2E755F7D" w14:textId="2EA014B4" w:rsidR="00DE3F7E" w:rsidRPr="00DE3F7E" w:rsidRDefault="00DE3F7E" w:rsidP="007953C3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</w:pPr>
            <w:r w:rsidRPr="00DE3F7E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116</w:t>
            </w:r>
          </w:p>
        </w:tc>
        <w:tc>
          <w:tcPr>
            <w:tcW w:w="2547" w:type="dxa"/>
            <w:vAlign w:val="center"/>
          </w:tcPr>
          <w:p w14:paraId="67DD0DAF" w14:textId="77B932EE" w:rsidR="00DE3F7E" w:rsidRPr="00DE3F7E" w:rsidRDefault="00DE3F7E" w:rsidP="007953C3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</w:pPr>
            <w:r w:rsidRPr="00DE3F7E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1</w:t>
            </w:r>
            <w:r w:rsidR="007953C3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.</w:t>
            </w:r>
            <w:r w:rsidRPr="00DE3F7E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827</w:t>
            </w:r>
          </w:p>
        </w:tc>
      </w:tr>
      <w:tr w:rsidR="00DE3F7E" w:rsidRPr="00DE3F7E" w14:paraId="21ECAC80" w14:textId="77777777" w:rsidTr="00403242">
        <w:trPr>
          <w:trHeight w:val="284"/>
          <w:jc w:val="center"/>
        </w:trPr>
        <w:tc>
          <w:tcPr>
            <w:tcW w:w="1562" w:type="dxa"/>
            <w:vAlign w:val="center"/>
            <w:hideMark/>
          </w:tcPr>
          <w:p w14:paraId="384B848B" w14:textId="77777777" w:rsidR="00DE3F7E" w:rsidRPr="00403242" w:rsidRDefault="00DE3F7E" w:rsidP="007953C3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  <w:lang w:val="it-IT"/>
              </w:rPr>
            </w:pPr>
            <w:r w:rsidRPr="00403242">
              <w:rPr>
                <w:rFonts w:asciiTheme="majorHAnsi" w:eastAsia="Calibri" w:hAnsiTheme="majorHAnsi" w:cs="Calibri"/>
                <w:b/>
                <w:sz w:val="18"/>
                <w:szCs w:val="18"/>
                <w:lang w:val="en-GB"/>
              </w:rPr>
              <w:t>2017_2</w:t>
            </w:r>
          </w:p>
        </w:tc>
        <w:tc>
          <w:tcPr>
            <w:tcW w:w="2546" w:type="dxa"/>
            <w:vAlign w:val="center"/>
            <w:hideMark/>
          </w:tcPr>
          <w:p w14:paraId="62003BEB" w14:textId="3D7F0E36" w:rsidR="00DE3F7E" w:rsidRPr="00DE3F7E" w:rsidRDefault="00DE3F7E" w:rsidP="007953C3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</w:pPr>
            <w:r w:rsidRPr="00DE3F7E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202</w:t>
            </w:r>
            <w:r w:rsidR="007953C3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.</w:t>
            </w:r>
            <w:r w:rsidRPr="00DE3F7E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000</w:t>
            </w:r>
          </w:p>
        </w:tc>
        <w:tc>
          <w:tcPr>
            <w:tcW w:w="2547" w:type="dxa"/>
            <w:vAlign w:val="center"/>
          </w:tcPr>
          <w:p w14:paraId="3E078E72" w14:textId="222464D8" w:rsidR="00DE3F7E" w:rsidRPr="00DE3F7E" w:rsidRDefault="00DE3F7E" w:rsidP="007953C3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</w:pPr>
            <w:r w:rsidRPr="00DE3F7E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109</w:t>
            </w:r>
          </w:p>
        </w:tc>
        <w:tc>
          <w:tcPr>
            <w:tcW w:w="2547" w:type="dxa"/>
            <w:vAlign w:val="center"/>
          </w:tcPr>
          <w:p w14:paraId="42F090B8" w14:textId="1624BED7" w:rsidR="00DE3F7E" w:rsidRPr="00DE3F7E" w:rsidRDefault="00DE3F7E" w:rsidP="007953C3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</w:pPr>
            <w:r w:rsidRPr="00DE3F7E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1</w:t>
            </w:r>
            <w:r w:rsidR="007953C3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.</w:t>
            </w:r>
            <w:r w:rsidRPr="00DE3F7E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874</w:t>
            </w:r>
          </w:p>
        </w:tc>
      </w:tr>
      <w:tr w:rsidR="00DE3F7E" w:rsidRPr="00DE3F7E" w14:paraId="76A883F8" w14:textId="77777777" w:rsidTr="00403242">
        <w:trPr>
          <w:trHeight w:val="284"/>
          <w:jc w:val="center"/>
        </w:trPr>
        <w:tc>
          <w:tcPr>
            <w:tcW w:w="1562" w:type="dxa"/>
            <w:vAlign w:val="center"/>
            <w:hideMark/>
          </w:tcPr>
          <w:p w14:paraId="0FA2732F" w14:textId="77777777" w:rsidR="00DE3F7E" w:rsidRPr="00403242" w:rsidRDefault="00DE3F7E" w:rsidP="007953C3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  <w:lang w:val="it-IT"/>
              </w:rPr>
            </w:pPr>
            <w:r w:rsidRPr="00403242">
              <w:rPr>
                <w:rFonts w:asciiTheme="majorHAnsi" w:eastAsia="Calibri" w:hAnsiTheme="majorHAnsi" w:cs="Calibri"/>
                <w:b/>
                <w:sz w:val="18"/>
                <w:szCs w:val="18"/>
                <w:lang w:val="en-GB"/>
              </w:rPr>
              <w:t>2018_1</w:t>
            </w:r>
          </w:p>
        </w:tc>
        <w:tc>
          <w:tcPr>
            <w:tcW w:w="2546" w:type="dxa"/>
            <w:vAlign w:val="center"/>
            <w:hideMark/>
          </w:tcPr>
          <w:p w14:paraId="630EF738" w14:textId="6EA022D1" w:rsidR="00DE3F7E" w:rsidRPr="00DE3F7E" w:rsidRDefault="00DE3F7E" w:rsidP="007953C3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</w:pPr>
            <w:r w:rsidRPr="00DE3F7E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211</w:t>
            </w:r>
            <w:r w:rsidR="007953C3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.</w:t>
            </w:r>
            <w:r w:rsidRPr="00DE3F7E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000</w:t>
            </w:r>
          </w:p>
        </w:tc>
        <w:tc>
          <w:tcPr>
            <w:tcW w:w="2547" w:type="dxa"/>
            <w:vAlign w:val="center"/>
          </w:tcPr>
          <w:p w14:paraId="502F0ADD" w14:textId="73595288" w:rsidR="00DE3F7E" w:rsidRPr="00DE3F7E" w:rsidRDefault="00DE3F7E" w:rsidP="007953C3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</w:pPr>
            <w:r w:rsidRPr="00DE3F7E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121</w:t>
            </w:r>
          </w:p>
        </w:tc>
        <w:tc>
          <w:tcPr>
            <w:tcW w:w="2547" w:type="dxa"/>
            <w:vAlign w:val="center"/>
          </w:tcPr>
          <w:p w14:paraId="37C0B33A" w14:textId="01F296BE" w:rsidR="00DE3F7E" w:rsidRPr="00DE3F7E" w:rsidRDefault="00DE3F7E" w:rsidP="007953C3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</w:pPr>
            <w:r w:rsidRPr="00DE3F7E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1</w:t>
            </w:r>
            <w:r w:rsidR="007953C3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.</w:t>
            </w:r>
            <w:r w:rsidRPr="00DE3F7E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754</w:t>
            </w:r>
          </w:p>
        </w:tc>
      </w:tr>
      <w:tr w:rsidR="00DE3F7E" w:rsidRPr="00DE3F7E" w14:paraId="45CFFB45" w14:textId="77777777" w:rsidTr="00403242">
        <w:trPr>
          <w:trHeight w:val="284"/>
          <w:jc w:val="center"/>
        </w:trPr>
        <w:tc>
          <w:tcPr>
            <w:tcW w:w="1562" w:type="dxa"/>
            <w:vAlign w:val="center"/>
            <w:hideMark/>
          </w:tcPr>
          <w:p w14:paraId="39DBC15F" w14:textId="77777777" w:rsidR="00DE3F7E" w:rsidRPr="00403242" w:rsidRDefault="00DE3F7E" w:rsidP="007953C3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  <w:lang w:val="it-IT"/>
              </w:rPr>
            </w:pPr>
            <w:r w:rsidRPr="00403242">
              <w:rPr>
                <w:rFonts w:asciiTheme="majorHAnsi" w:eastAsia="Calibri" w:hAnsiTheme="majorHAnsi" w:cs="Calibri"/>
                <w:b/>
                <w:sz w:val="18"/>
                <w:szCs w:val="18"/>
                <w:lang w:val="en-GB"/>
              </w:rPr>
              <w:t>2018_2</w:t>
            </w:r>
          </w:p>
        </w:tc>
        <w:tc>
          <w:tcPr>
            <w:tcW w:w="2546" w:type="dxa"/>
            <w:vAlign w:val="center"/>
            <w:hideMark/>
          </w:tcPr>
          <w:p w14:paraId="230ED770" w14:textId="1D62FE3E" w:rsidR="00DE3F7E" w:rsidRPr="00DE3F7E" w:rsidRDefault="00DE3F7E" w:rsidP="007953C3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</w:pPr>
            <w:r w:rsidRPr="00DE3F7E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280</w:t>
            </w:r>
            <w:r w:rsidR="007953C3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.</w:t>
            </w:r>
            <w:r w:rsidRPr="00DE3F7E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000</w:t>
            </w:r>
          </w:p>
        </w:tc>
        <w:tc>
          <w:tcPr>
            <w:tcW w:w="2547" w:type="dxa"/>
            <w:vAlign w:val="center"/>
            <w:hideMark/>
          </w:tcPr>
          <w:p w14:paraId="0B6BB24A" w14:textId="2AC5CD5B" w:rsidR="00DE3F7E" w:rsidRPr="00DE3F7E" w:rsidRDefault="00DE3F7E" w:rsidP="007953C3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</w:pPr>
            <w:r w:rsidRPr="00DE3F7E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140</w:t>
            </w:r>
          </w:p>
        </w:tc>
        <w:tc>
          <w:tcPr>
            <w:tcW w:w="2547" w:type="dxa"/>
            <w:vAlign w:val="center"/>
            <w:hideMark/>
          </w:tcPr>
          <w:p w14:paraId="3DA3891D" w14:textId="5F680C65" w:rsidR="00DE3F7E" w:rsidRPr="00DE3F7E" w:rsidRDefault="00DE3F7E" w:rsidP="007953C3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</w:pPr>
            <w:r w:rsidRPr="00DE3F7E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1</w:t>
            </w:r>
            <w:r w:rsidR="007953C3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.</w:t>
            </w:r>
            <w:r w:rsidRPr="00DE3F7E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691</w:t>
            </w:r>
          </w:p>
        </w:tc>
      </w:tr>
      <w:tr w:rsidR="00DE3F7E" w:rsidRPr="00DE3F7E" w14:paraId="7B3738A6" w14:textId="77777777" w:rsidTr="00403242">
        <w:trPr>
          <w:trHeight w:val="284"/>
          <w:jc w:val="center"/>
        </w:trPr>
        <w:tc>
          <w:tcPr>
            <w:tcW w:w="1562" w:type="dxa"/>
            <w:vAlign w:val="center"/>
            <w:hideMark/>
          </w:tcPr>
          <w:p w14:paraId="56E768D2" w14:textId="77777777" w:rsidR="00DE3F7E" w:rsidRPr="00403242" w:rsidRDefault="00DE3F7E" w:rsidP="007953C3">
            <w:pPr>
              <w:jc w:val="center"/>
              <w:rPr>
                <w:rFonts w:asciiTheme="majorHAnsi" w:eastAsia="Calibri" w:hAnsiTheme="majorHAnsi" w:cs="Calibri"/>
                <w:b/>
                <w:sz w:val="18"/>
                <w:szCs w:val="18"/>
                <w:lang w:val="it-IT"/>
              </w:rPr>
            </w:pPr>
            <w:r w:rsidRPr="00403242">
              <w:rPr>
                <w:rFonts w:asciiTheme="majorHAnsi" w:eastAsia="Calibri" w:hAnsiTheme="majorHAnsi" w:cs="Calibri"/>
                <w:b/>
                <w:sz w:val="18"/>
                <w:szCs w:val="18"/>
                <w:lang w:val="en-GB"/>
              </w:rPr>
              <w:t>2019_1</w:t>
            </w:r>
          </w:p>
        </w:tc>
        <w:tc>
          <w:tcPr>
            <w:tcW w:w="2546" w:type="dxa"/>
            <w:vAlign w:val="center"/>
            <w:hideMark/>
          </w:tcPr>
          <w:p w14:paraId="3C205B05" w14:textId="4C9404CC" w:rsidR="00DE3F7E" w:rsidRPr="00DE3F7E" w:rsidRDefault="00DE3F7E" w:rsidP="007953C3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</w:pPr>
            <w:r w:rsidRPr="00DE3F7E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264</w:t>
            </w:r>
            <w:r w:rsidR="007953C3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.</w:t>
            </w:r>
            <w:r w:rsidRPr="00DE3F7E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000</w:t>
            </w:r>
          </w:p>
        </w:tc>
        <w:tc>
          <w:tcPr>
            <w:tcW w:w="2547" w:type="dxa"/>
            <w:vAlign w:val="center"/>
            <w:hideMark/>
          </w:tcPr>
          <w:p w14:paraId="4050A343" w14:textId="1FD0152E" w:rsidR="00DE3F7E" w:rsidRPr="00DE3F7E" w:rsidRDefault="00DE3F7E" w:rsidP="007953C3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</w:pPr>
            <w:r w:rsidRPr="00DE3F7E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143</w:t>
            </w:r>
          </w:p>
        </w:tc>
        <w:tc>
          <w:tcPr>
            <w:tcW w:w="2547" w:type="dxa"/>
            <w:vAlign w:val="center"/>
            <w:hideMark/>
          </w:tcPr>
          <w:p w14:paraId="70941003" w14:textId="501DF246" w:rsidR="00DE3F7E" w:rsidRPr="00DE3F7E" w:rsidRDefault="00DE3F7E" w:rsidP="007953C3">
            <w:pPr>
              <w:jc w:val="center"/>
              <w:rPr>
                <w:rFonts w:asciiTheme="majorHAnsi" w:eastAsia="Calibri" w:hAnsiTheme="majorHAnsi" w:cs="Calibri"/>
                <w:sz w:val="18"/>
                <w:szCs w:val="18"/>
                <w:lang w:val="it-IT"/>
              </w:rPr>
            </w:pPr>
            <w:r w:rsidRPr="00DE3F7E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1</w:t>
            </w:r>
            <w:r w:rsidR="007953C3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.</w:t>
            </w:r>
            <w:r w:rsidRPr="00DE3F7E">
              <w:rPr>
                <w:rFonts w:asciiTheme="majorHAnsi" w:eastAsia="Calibri" w:hAnsiTheme="majorHAnsi" w:cs="Calibri"/>
                <w:sz w:val="18"/>
                <w:szCs w:val="18"/>
                <w:lang w:val="en-GB"/>
              </w:rPr>
              <w:t>727</w:t>
            </w:r>
          </w:p>
        </w:tc>
      </w:tr>
    </w:tbl>
    <w:p w14:paraId="5E97B12D" w14:textId="77777777" w:rsidR="001E12D5" w:rsidRPr="00403242" w:rsidRDefault="001E12D5" w:rsidP="00403242">
      <w:pPr>
        <w:jc w:val="both"/>
        <w:rPr>
          <w:rFonts w:ascii="Verdana" w:eastAsia="Calibri" w:hAnsi="Verdana" w:cs="Calibri"/>
          <w:i/>
          <w:sz w:val="20"/>
          <w:szCs w:val="20"/>
          <w:lang w:val="it-IT"/>
        </w:rPr>
      </w:pPr>
      <w:r w:rsidRPr="00403242">
        <w:rPr>
          <w:rFonts w:ascii="Verdana" w:eastAsia="Calibri" w:hAnsi="Verdana" w:cs="Calibri"/>
          <w:i/>
          <w:sz w:val="20"/>
          <w:szCs w:val="20"/>
          <w:lang w:val="it-IT"/>
        </w:rPr>
        <w:t>Fonte: CRIF RES</w:t>
      </w:r>
    </w:p>
    <w:p w14:paraId="24A9C730" w14:textId="1ED5D571" w:rsidR="00742129" w:rsidRDefault="001E12D5" w:rsidP="001E12D5">
      <w:pPr>
        <w:jc w:val="both"/>
        <w:rPr>
          <w:sz w:val="20"/>
          <w:szCs w:val="20"/>
          <w:lang w:val="it-IT"/>
        </w:rPr>
      </w:pPr>
      <w:r w:rsidRPr="00D814DA">
        <w:rPr>
          <w:sz w:val="20"/>
          <w:szCs w:val="20"/>
          <w:lang w:val="it-IT"/>
        </w:rPr>
        <w:t xml:space="preserve">In merito ai </w:t>
      </w:r>
      <w:r w:rsidRPr="00D814DA">
        <w:rPr>
          <w:b/>
          <w:sz w:val="20"/>
          <w:szCs w:val="20"/>
          <w:lang w:val="it-IT"/>
        </w:rPr>
        <w:t>capannoni</w:t>
      </w:r>
      <w:r w:rsidRPr="00D814DA">
        <w:rPr>
          <w:sz w:val="20"/>
          <w:szCs w:val="20"/>
          <w:lang w:val="it-IT"/>
        </w:rPr>
        <w:t xml:space="preserve"> oggetto di compravendita, infine</w:t>
      </w:r>
      <w:r w:rsidR="00742129">
        <w:rPr>
          <w:sz w:val="20"/>
          <w:szCs w:val="20"/>
          <w:lang w:val="it-IT"/>
        </w:rPr>
        <w:t xml:space="preserve">, il valore mediano nel I semestre dell’anno si attesta </w:t>
      </w:r>
      <w:r w:rsidR="00B057E3">
        <w:rPr>
          <w:sz w:val="20"/>
          <w:szCs w:val="20"/>
          <w:lang w:val="it-IT"/>
        </w:rPr>
        <w:t>a</w:t>
      </w:r>
      <w:r w:rsidR="00742129">
        <w:rPr>
          <w:sz w:val="20"/>
          <w:szCs w:val="20"/>
          <w:lang w:val="it-IT"/>
        </w:rPr>
        <w:t xml:space="preserve"> </w:t>
      </w:r>
      <w:r w:rsidR="00742129" w:rsidRPr="00403242">
        <w:rPr>
          <w:b/>
          <w:sz w:val="20"/>
          <w:szCs w:val="20"/>
          <w:lang w:val="it-IT"/>
        </w:rPr>
        <w:t>972.000 €</w:t>
      </w:r>
      <w:r w:rsidR="00B057E3">
        <w:rPr>
          <w:b/>
          <w:sz w:val="20"/>
          <w:szCs w:val="20"/>
          <w:lang w:val="it-IT"/>
        </w:rPr>
        <w:t>,</w:t>
      </w:r>
      <w:r w:rsidR="00742129">
        <w:rPr>
          <w:sz w:val="20"/>
          <w:szCs w:val="20"/>
          <w:lang w:val="it-IT"/>
        </w:rPr>
        <w:t xml:space="preserve"> sostanzialmente sui livelli dell’inizio del 2013, mentre </w:t>
      </w:r>
      <w:r w:rsidR="00742129" w:rsidRPr="00403242">
        <w:rPr>
          <w:b/>
          <w:sz w:val="20"/>
          <w:szCs w:val="20"/>
          <w:lang w:val="it-IT"/>
        </w:rPr>
        <w:t>cambia considerevolmente la superficie</w:t>
      </w:r>
      <w:r w:rsidR="00B057E3" w:rsidRPr="00403242">
        <w:rPr>
          <w:b/>
          <w:sz w:val="20"/>
          <w:szCs w:val="20"/>
          <w:lang w:val="it-IT"/>
        </w:rPr>
        <w:t>,</w:t>
      </w:r>
      <w:r w:rsidR="00742129" w:rsidRPr="00403242">
        <w:rPr>
          <w:b/>
          <w:sz w:val="20"/>
          <w:szCs w:val="20"/>
          <w:lang w:val="it-IT"/>
        </w:rPr>
        <w:t xml:space="preserve"> che da poco meno di 1.300 mq ora si porta a quasi 1.900 mq</w:t>
      </w:r>
      <w:r w:rsidR="00C441C4">
        <w:rPr>
          <w:sz w:val="20"/>
          <w:szCs w:val="20"/>
          <w:lang w:val="it-IT"/>
        </w:rPr>
        <w:t xml:space="preserve"> (tav. 4)</w:t>
      </w:r>
      <w:r w:rsidR="00742129">
        <w:rPr>
          <w:sz w:val="20"/>
          <w:szCs w:val="20"/>
          <w:lang w:val="it-IT"/>
        </w:rPr>
        <w:t>.</w:t>
      </w:r>
      <w:r w:rsidR="00B057E3">
        <w:rPr>
          <w:sz w:val="20"/>
          <w:szCs w:val="20"/>
          <w:lang w:val="it-IT"/>
        </w:rPr>
        <w:t xml:space="preserve"> </w:t>
      </w:r>
      <w:r w:rsidR="00742129">
        <w:rPr>
          <w:sz w:val="20"/>
          <w:szCs w:val="20"/>
          <w:lang w:val="it-IT"/>
        </w:rPr>
        <w:t xml:space="preserve">Ne deriva pertanto una riduzione progressiva del valore al metro quadrato che attualmente si è ridotto a 556 mq, </w:t>
      </w:r>
      <w:r w:rsidR="00742129" w:rsidRPr="00403242">
        <w:rPr>
          <w:sz w:val="20"/>
          <w:szCs w:val="20"/>
          <w:lang w:val="it-IT"/>
        </w:rPr>
        <w:t>l’1% in meno</w:t>
      </w:r>
      <w:r w:rsidR="00742129">
        <w:rPr>
          <w:sz w:val="20"/>
          <w:szCs w:val="20"/>
          <w:lang w:val="it-IT"/>
        </w:rPr>
        <w:t xml:space="preserve"> rispetto a quanto osservato nello stesso periodo dell’anno scorso.</w:t>
      </w:r>
    </w:p>
    <w:p w14:paraId="7CB621A1" w14:textId="0C6A2014" w:rsidR="00E57B27" w:rsidRPr="00B970B4" w:rsidRDefault="00E57B27">
      <w:pPr>
        <w:jc w:val="center"/>
        <w:rPr>
          <w:b/>
          <w:color w:val="003B79" w:themeColor="text1"/>
          <w:sz w:val="18"/>
          <w:szCs w:val="18"/>
          <w:lang w:val="it-IT"/>
        </w:rPr>
      </w:pPr>
      <w:r w:rsidRPr="00B970B4">
        <w:rPr>
          <w:rFonts w:eastAsia="Calibri" w:cs="Calibri"/>
          <w:b/>
          <w:color w:val="003B79" w:themeColor="text1"/>
          <w:sz w:val="18"/>
          <w:szCs w:val="18"/>
          <w:lang w:val="it-IT"/>
        </w:rPr>
        <w:t>Tavola 4</w:t>
      </w:r>
      <w:r w:rsidR="007D605D" w:rsidRPr="00B970B4">
        <w:rPr>
          <w:b/>
          <w:color w:val="003B79" w:themeColor="text1"/>
          <w:sz w:val="18"/>
          <w:szCs w:val="18"/>
          <w:lang w:val="it-IT"/>
        </w:rPr>
        <w:t xml:space="preserve"> -</w:t>
      </w:r>
      <w:r w:rsidR="00B057E3" w:rsidRPr="00B970B4">
        <w:rPr>
          <w:b/>
          <w:color w:val="003B79" w:themeColor="text1"/>
          <w:sz w:val="18"/>
          <w:szCs w:val="18"/>
          <w:lang w:val="it-IT"/>
        </w:rPr>
        <w:t xml:space="preserve"> </w:t>
      </w:r>
      <w:r w:rsidR="001E12D5" w:rsidRPr="00B970B4">
        <w:rPr>
          <w:b/>
          <w:color w:val="003B79" w:themeColor="text1"/>
          <w:sz w:val="18"/>
          <w:szCs w:val="18"/>
          <w:lang w:val="it-IT"/>
        </w:rPr>
        <w:t>Mercato dei Capannoni</w:t>
      </w:r>
    </w:p>
    <w:tbl>
      <w:tblPr>
        <w:tblStyle w:val="PlainTable2"/>
        <w:tblW w:w="0" w:type="auto"/>
        <w:jc w:val="center"/>
        <w:tblBorders>
          <w:top w:val="single" w:sz="4" w:space="0" w:color="003B79" w:themeColor="text1"/>
          <w:bottom w:val="single" w:sz="4" w:space="0" w:color="003B79" w:themeColor="text1"/>
          <w:insideH w:val="single" w:sz="4" w:space="0" w:color="003B79" w:themeColor="text1"/>
        </w:tblBorders>
        <w:tblLook w:val="0600" w:firstRow="0" w:lastRow="0" w:firstColumn="0" w:lastColumn="0" w:noHBand="1" w:noVBand="1"/>
      </w:tblPr>
      <w:tblGrid>
        <w:gridCol w:w="1841"/>
        <w:gridCol w:w="2501"/>
        <w:gridCol w:w="2501"/>
        <w:gridCol w:w="2502"/>
      </w:tblGrid>
      <w:tr w:rsidR="00E57B27" w:rsidRPr="008E23AE" w14:paraId="4FD5F5C2" w14:textId="77777777" w:rsidTr="00B970B4">
        <w:trPr>
          <w:trHeight w:val="278"/>
          <w:jc w:val="center"/>
        </w:trPr>
        <w:tc>
          <w:tcPr>
            <w:tcW w:w="1841" w:type="dxa"/>
            <w:shd w:val="clear" w:color="auto" w:fill="003B79" w:themeFill="text1"/>
            <w:vAlign w:val="center"/>
            <w:hideMark/>
          </w:tcPr>
          <w:p w14:paraId="7B68520B" w14:textId="77777777" w:rsidR="00E57B27" w:rsidRPr="008E23AE" w:rsidRDefault="00E57B27" w:rsidP="00742129">
            <w:pPr>
              <w:jc w:val="center"/>
              <w:textAlignment w:val="bottom"/>
              <w:rPr>
                <w:rFonts w:eastAsia="Times New Roman" w:cs="Arial"/>
                <w:sz w:val="20"/>
                <w:szCs w:val="20"/>
                <w:lang w:val="it-IT" w:eastAsia="it-IT"/>
              </w:rPr>
            </w:pPr>
            <w:proofErr w:type="spellStart"/>
            <w:r w:rsidRPr="008E23AE">
              <w:rPr>
                <w:rFonts w:eastAsia="Times New Roman" w:cs="Calibri"/>
                <w:b/>
                <w:bCs/>
                <w:kern w:val="24"/>
                <w:sz w:val="20"/>
                <w:szCs w:val="20"/>
                <w:lang w:val="en-GB" w:eastAsia="it-IT"/>
              </w:rPr>
              <w:t>Semestre</w:t>
            </w:r>
            <w:proofErr w:type="spellEnd"/>
          </w:p>
        </w:tc>
        <w:tc>
          <w:tcPr>
            <w:tcW w:w="2501" w:type="dxa"/>
            <w:shd w:val="clear" w:color="auto" w:fill="003B79" w:themeFill="text1"/>
            <w:vAlign w:val="center"/>
            <w:hideMark/>
          </w:tcPr>
          <w:p w14:paraId="6C205D8A" w14:textId="77777777" w:rsidR="00E57B27" w:rsidRPr="008E23AE" w:rsidRDefault="00E57B27" w:rsidP="00742129">
            <w:pPr>
              <w:jc w:val="center"/>
              <w:textAlignment w:val="bottom"/>
              <w:rPr>
                <w:rFonts w:eastAsia="Times New Roman" w:cs="Arial"/>
                <w:sz w:val="20"/>
                <w:szCs w:val="20"/>
                <w:lang w:val="it-IT" w:eastAsia="it-IT"/>
              </w:rPr>
            </w:pPr>
            <w:r w:rsidRPr="008E23AE">
              <w:rPr>
                <w:rFonts w:eastAsia="Times New Roman" w:cs="Calibri"/>
                <w:b/>
                <w:bCs/>
                <w:kern w:val="24"/>
                <w:sz w:val="20"/>
                <w:szCs w:val="20"/>
                <w:lang w:val="en-GB" w:eastAsia="it-IT"/>
              </w:rPr>
              <w:t xml:space="preserve">Valore </w:t>
            </w:r>
            <w:proofErr w:type="spellStart"/>
            <w:r w:rsidRPr="008E23AE">
              <w:rPr>
                <w:rFonts w:eastAsia="Times New Roman" w:cs="Calibri"/>
                <w:b/>
                <w:bCs/>
                <w:kern w:val="24"/>
                <w:sz w:val="20"/>
                <w:szCs w:val="20"/>
                <w:lang w:val="en-GB" w:eastAsia="it-IT"/>
              </w:rPr>
              <w:t>mediano</w:t>
            </w:r>
            <w:proofErr w:type="spellEnd"/>
            <w:r>
              <w:rPr>
                <w:rFonts w:eastAsia="Times New Roman" w:cs="Calibri"/>
                <w:b/>
                <w:bCs/>
                <w:kern w:val="24"/>
                <w:sz w:val="20"/>
                <w:szCs w:val="20"/>
                <w:lang w:val="en-GB" w:eastAsia="it-IT"/>
              </w:rPr>
              <w:t xml:space="preserve"> (€)</w:t>
            </w:r>
          </w:p>
        </w:tc>
        <w:tc>
          <w:tcPr>
            <w:tcW w:w="2501" w:type="dxa"/>
            <w:shd w:val="clear" w:color="auto" w:fill="003B79" w:themeFill="text1"/>
            <w:vAlign w:val="center"/>
            <w:hideMark/>
          </w:tcPr>
          <w:p w14:paraId="30B1668D" w14:textId="77777777" w:rsidR="00E57B27" w:rsidRPr="008E23AE" w:rsidRDefault="00E57B27" w:rsidP="00742129">
            <w:pPr>
              <w:jc w:val="center"/>
              <w:textAlignment w:val="bottom"/>
              <w:rPr>
                <w:rFonts w:eastAsia="Times New Roman" w:cs="Arial"/>
                <w:sz w:val="20"/>
                <w:szCs w:val="20"/>
                <w:lang w:val="it-IT" w:eastAsia="it-IT"/>
              </w:rPr>
            </w:pPr>
            <w:r w:rsidRPr="007953C3">
              <w:rPr>
                <w:rFonts w:eastAsia="Times New Roman" w:cs="Calibri"/>
                <w:b/>
                <w:bCs/>
                <w:kern w:val="24"/>
                <w:sz w:val="20"/>
                <w:szCs w:val="20"/>
                <w:lang w:val="it-IT" w:eastAsia="it-IT"/>
              </w:rPr>
              <w:t>Superficie mediana</w:t>
            </w:r>
            <w:r w:rsidRPr="007953C3">
              <w:rPr>
                <w:rFonts w:eastAsia="Times New Roman" w:cs="Calibri"/>
                <w:b/>
                <w:bCs/>
                <w:kern w:val="24"/>
                <w:sz w:val="20"/>
                <w:szCs w:val="20"/>
                <w:lang w:val="it-IT" w:eastAsia="it-IT"/>
              </w:rPr>
              <w:br/>
              <w:t>(mq)</w:t>
            </w:r>
          </w:p>
        </w:tc>
        <w:tc>
          <w:tcPr>
            <w:tcW w:w="2502" w:type="dxa"/>
            <w:shd w:val="clear" w:color="auto" w:fill="003B79" w:themeFill="text1"/>
            <w:vAlign w:val="center"/>
            <w:hideMark/>
          </w:tcPr>
          <w:p w14:paraId="20B80CF6" w14:textId="77777777" w:rsidR="00E57B27" w:rsidRPr="008E23AE" w:rsidRDefault="00E57B27" w:rsidP="00742129">
            <w:pPr>
              <w:jc w:val="center"/>
              <w:textAlignment w:val="bottom"/>
              <w:rPr>
                <w:rFonts w:eastAsia="Times New Roman" w:cs="Arial"/>
                <w:sz w:val="20"/>
                <w:szCs w:val="20"/>
                <w:lang w:val="it-IT" w:eastAsia="it-IT"/>
              </w:rPr>
            </w:pPr>
            <w:r w:rsidRPr="007953C3">
              <w:rPr>
                <w:rFonts w:eastAsia="Times New Roman" w:cs="Calibri"/>
                <w:b/>
                <w:bCs/>
                <w:kern w:val="24"/>
                <w:sz w:val="20"/>
                <w:szCs w:val="20"/>
                <w:lang w:val="it-IT" w:eastAsia="it-IT"/>
              </w:rPr>
              <w:t>Valore mq mediano (€/mq)</w:t>
            </w:r>
          </w:p>
        </w:tc>
      </w:tr>
      <w:tr w:rsidR="00E57B27" w:rsidRPr="00E57B27" w14:paraId="05C7E2B6" w14:textId="77777777" w:rsidTr="00B970B4">
        <w:trPr>
          <w:trHeight w:val="278"/>
          <w:jc w:val="center"/>
        </w:trPr>
        <w:tc>
          <w:tcPr>
            <w:tcW w:w="1841" w:type="dxa"/>
            <w:vAlign w:val="center"/>
            <w:hideMark/>
          </w:tcPr>
          <w:p w14:paraId="01620107" w14:textId="77777777" w:rsidR="00E57B27" w:rsidRPr="00403242" w:rsidRDefault="00E57B27" w:rsidP="00742129">
            <w:pPr>
              <w:contextualSpacing/>
              <w:jc w:val="center"/>
              <w:rPr>
                <w:b/>
                <w:sz w:val="18"/>
                <w:szCs w:val="18"/>
                <w:lang w:val="it-IT"/>
              </w:rPr>
            </w:pPr>
            <w:r w:rsidRPr="00403242">
              <w:rPr>
                <w:b/>
                <w:sz w:val="18"/>
                <w:szCs w:val="18"/>
                <w:lang w:val="en-GB"/>
              </w:rPr>
              <w:t>2013_1</w:t>
            </w:r>
          </w:p>
        </w:tc>
        <w:tc>
          <w:tcPr>
            <w:tcW w:w="2501" w:type="dxa"/>
            <w:vAlign w:val="center"/>
            <w:hideMark/>
          </w:tcPr>
          <w:p w14:paraId="29C61449" w14:textId="28F14B2F" w:rsidR="00E57B27" w:rsidRPr="00E57B27" w:rsidRDefault="00E57B27" w:rsidP="00742129">
            <w:pPr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E57B27">
              <w:rPr>
                <w:sz w:val="18"/>
                <w:szCs w:val="18"/>
                <w:lang w:val="en-GB"/>
              </w:rPr>
              <w:t>975</w:t>
            </w:r>
            <w:r>
              <w:rPr>
                <w:sz w:val="18"/>
                <w:szCs w:val="18"/>
                <w:lang w:val="en-GB"/>
              </w:rPr>
              <w:t>.</w:t>
            </w:r>
            <w:r w:rsidRPr="00E57B27">
              <w:rPr>
                <w:sz w:val="18"/>
                <w:szCs w:val="18"/>
                <w:lang w:val="en-GB"/>
              </w:rPr>
              <w:t>000</w:t>
            </w:r>
          </w:p>
        </w:tc>
        <w:tc>
          <w:tcPr>
            <w:tcW w:w="2501" w:type="dxa"/>
            <w:vAlign w:val="center"/>
            <w:hideMark/>
          </w:tcPr>
          <w:p w14:paraId="2F04ED0E" w14:textId="20D2FF30" w:rsidR="00E57B27" w:rsidRPr="00E57B27" w:rsidRDefault="00E57B27" w:rsidP="00742129">
            <w:pPr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E57B27">
              <w:rPr>
                <w:sz w:val="18"/>
                <w:szCs w:val="18"/>
                <w:lang w:val="en-GB"/>
              </w:rPr>
              <w:t>1</w:t>
            </w:r>
            <w:r>
              <w:rPr>
                <w:sz w:val="18"/>
                <w:szCs w:val="18"/>
                <w:lang w:val="en-GB"/>
              </w:rPr>
              <w:t>.</w:t>
            </w:r>
            <w:r w:rsidRPr="00E57B27">
              <w:rPr>
                <w:sz w:val="18"/>
                <w:szCs w:val="18"/>
                <w:lang w:val="en-GB"/>
              </w:rPr>
              <w:t>275</w:t>
            </w:r>
          </w:p>
        </w:tc>
        <w:tc>
          <w:tcPr>
            <w:tcW w:w="2502" w:type="dxa"/>
            <w:vAlign w:val="center"/>
            <w:hideMark/>
          </w:tcPr>
          <w:p w14:paraId="6B06FA94" w14:textId="5D3651B0" w:rsidR="00E57B27" w:rsidRPr="00E57B27" w:rsidRDefault="00E57B27" w:rsidP="00742129">
            <w:pPr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E57B27">
              <w:rPr>
                <w:sz w:val="18"/>
                <w:szCs w:val="18"/>
                <w:lang w:val="en-GB"/>
              </w:rPr>
              <w:t>760</w:t>
            </w:r>
          </w:p>
        </w:tc>
      </w:tr>
      <w:tr w:rsidR="00E57B27" w:rsidRPr="00E57B27" w14:paraId="059ECF83" w14:textId="77777777" w:rsidTr="00B970B4">
        <w:trPr>
          <w:trHeight w:val="278"/>
          <w:jc w:val="center"/>
        </w:trPr>
        <w:tc>
          <w:tcPr>
            <w:tcW w:w="1841" w:type="dxa"/>
            <w:vAlign w:val="center"/>
            <w:hideMark/>
          </w:tcPr>
          <w:p w14:paraId="60512161" w14:textId="77777777" w:rsidR="00E57B27" w:rsidRPr="00403242" w:rsidRDefault="00E57B27" w:rsidP="00742129">
            <w:pPr>
              <w:contextualSpacing/>
              <w:jc w:val="center"/>
              <w:rPr>
                <w:b/>
                <w:sz w:val="18"/>
                <w:szCs w:val="18"/>
                <w:lang w:val="it-IT"/>
              </w:rPr>
            </w:pPr>
            <w:r w:rsidRPr="00403242">
              <w:rPr>
                <w:b/>
                <w:sz w:val="18"/>
                <w:szCs w:val="18"/>
                <w:lang w:val="en-GB"/>
              </w:rPr>
              <w:t>2013_2</w:t>
            </w:r>
          </w:p>
        </w:tc>
        <w:tc>
          <w:tcPr>
            <w:tcW w:w="2501" w:type="dxa"/>
            <w:vAlign w:val="center"/>
            <w:hideMark/>
          </w:tcPr>
          <w:p w14:paraId="29F8431A" w14:textId="32FDE45F" w:rsidR="00E57B27" w:rsidRPr="00E57B27" w:rsidRDefault="00E57B27" w:rsidP="00742129">
            <w:pPr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E57B27">
              <w:rPr>
                <w:sz w:val="18"/>
                <w:szCs w:val="18"/>
                <w:lang w:val="en-GB"/>
              </w:rPr>
              <w:t>807</w:t>
            </w:r>
            <w:r>
              <w:rPr>
                <w:sz w:val="18"/>
                <w:szCs w:val="18"/>
                <w:lang w:val="en-GB"/>
              </w:rPr>
              <w:t>.</w:t>
            </w:r>
            <w:r w:rsidRPr="00E57B27">
              <w:rPr>
                <w:sz w:val="18"/>
                <w:szCs w:val="18"/>
                <w:lang w:val="en-GB"/>
              </w:rPr>
              <w:t>000</w:t>
            </w:r>
          </w:p>
        </w:tc>
        <w:tc>
          <w:tcPr>
            <w:tcW w:w="2501" w:type="dxa"/>
            <w:vAlign w:val="center"/>
            <w:hideMark/>
          </w:tcPr>
          <w:p w14:paraId="343302E1" w14:textId="0B9741C6" w:rsidR="00E57B27" w:rsidRPr="00E57B27" w:rsidRDefault="00E57B27" w:rsidP="00742129">
            <w:pPr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E57B27">
              <w:rPr>
                <w:sz w:val="18"/>
                <w:szCs w:val="18"/>
                <w:lang w:val="en-GB"/>
              </w:rPr>
              <w:t>1</w:t>
            </w:r>
            <w:r>
              <w:rPr>
                <w:sz w:val="18"/>
                <w:szCs w:val="18"/>
                <w:lang w:val="en-GB"/>
              </w:rPr>
              <w:t>.</w:t>
            </w:r>
            <w:r w:rsidRPr="00E57B27">
              <w:rPr>
                <w:sz w:val="18"/>
                <w:szCs w:val="18"/>
                <w:lang w:val="en-GB"/>
              </w:rPr>
              <w:t>010</w:t>
            </w:r>
          </w:p>
        </w:tc>
        <w:tc>
          <w:tcPr>
            <w:tcW w:w="2502" w:type="dxa"/>
            <w:vAlign w:val="center"/>
            <w:hideMark/>
          </w:tcPr>
          <w:p w14:paraId="240241B0" w14:textId="3610C4FE" w:rsidR="00E57B27" w:rsidRPr="00E57B27" w:rsidRDefault="00E57B27" w:rsidP="00742129">
            <w:pPr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E57B27">
              <w:rPr>
                <w:sz w:val="18"/>
                <w:szCs w:val="18"/>
                <w:lang w:val="en-GB"/>
              </w:rPr>
              <w:t>733</w:t>
            </w:r>
          </w:p>
        </w:tc>
      </w:tr>
      <w:tr w:rsidR="00E57B27" w:rsidRPr="00E57B27" w14:paraId="4D5DE2B3" w14:textId="77777777" w:rsidTr="00B970B4">
        <w:trPr>
          <w:trHeight w:val="278"/>
          <w:jc w:val="center"/>
        </w:trPr>
        <w:tc>
          <w:tcPr>
            <w:tcW w:w="1841" w:type="dxa"/>
            <w:vAlign w:val="center"/>
            <w:hideMark/>
          </w:tcPr>
          <w:p w14:paraId="388B8E83" w14:textId="77777777" w:rsidR="00E57B27" w:rsidRPr="00403242" w:rsidRDefault="00E57B27" w:rsidP="00742129">
            <w:pPr>
              <w:contextualSpacing/>
              <w:jc w:val="center"/>
              <w:rPr>
                <w:b/>
                <w:sz w:val="18"/>
                <w:szCs w:val="18"/>
                <w:lang w:val="it-IT"/>
              </w:rPr>
            </w:pPr>
            <w:r w:rsidRPr="00403242">
              <w:rPr>
                <w:b/>
                <w:sz w:val="18"/>
                <w:szCs w:val="18"/>
                <w:lang w:val="en-GB"/>
              </w:rPr>
              <w:t>2014_1</w:t>
            </w:r>
          </w:p>
        </w:tc>
        <w:tc>
          <w:tcPr>
            <w:tcW w:w="2501" w:type="dxa"/>
            <w:vAlign w:val="center"/>
            <w:hideMark/>
          </w:tcPr>
          <w:p w14:paraId="242D81D2" w14:textId="14792C11" w:rsidR="00E57B27" w:rsidRPr="00E57B27" w:rsidRDefault="00E57B27" w:rsidP="00742129">
            <w:pPr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E57B27">
              <w:rPr>
                <w:sz w:val="18"/>
                <w:szCs w:val="18"/>
                <w:lang w:val="en-GB"/>
              </w:rPr>
              <w:t>1</w:t>
            </w:r>
            <w:r>
              <w:rPr>
                <w:sz w:val="18"/>
                <w:szCs w:val="18"/>
                <w:lang w:val="en-GB"/>
              </w:rPr>
              <w:t>.</w:t>
            </w:r>
            <w:r w:rsidRPr="00E57B27">
              <w:rPr>
                <w:sz w:val="18"/>
                <w:szCs w:val="18"/>
                <w:lang w:val="en-GB"/>
              </w:rPr>
              <w:t>833</w:t>
            </w:r>
            <w:r>
              <w:rPr>
                <w:sz w:val="18"/>
                <w:szCs w:val="18"/>
                <w:lang w:val="en-GB"/>
              </w:rPr>
              <w:t>.</w:t>
            </w:r>
            <w:r w:rsidRPr="00E57B27">
              <w:rPr>
                <w:sz w:val="18"/>
                <w:szCs w:val="18"/>
                <w:lang w:val="en-GB"/>
              </w:rPr>
              <w:t>000</w:t>
            </w:r>
          </w:p>
        </w:tc>
        <w:tc>
          <w:tcPr>
            <w:tcW w:w="2501" w:type="dxa"/>
            <w:vAlign w:val="center"/>
            <w:hideMark/>
          </w:tcPr>
          <w:p w14:paraId="00DA1D60" w14:textId="12B7242B" w:rsidR="00E57B27" w:rsidRPr="00E57B27" w:rsidRDefault="00E57B27" w:rsidP="00742129">
            <w:pPr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E57B27">
              <w:rPr>
                <w:sz w:val="18"/>
                <w:szCs w:val="18"/>
                <w:lang w:val="en-GB"/>
              </w:rPr>
              <w:t>2</w:t>
            </w:r>
            <w:r>
              <w:rPr>
                <w:sz w:val="18"/>
                <w:szCs w:val="18"/>
                <w:lang w:val="en-GB"/>
              </w:rPr>
              <w:t>.</w:t>
            </w:r>
            <w:r w:rsidRPr="00E57B27">
              <w:rPr>
                <w:sz w:val="18"/>
                <w:szCs w:val="18"/>
                <w:lang w:val="en-GB"/>
              </w:rPr>
              <w:t>669</w:t>
            </w:r>
          </w:p>
        </w:tc>
        <w:tc>
          <w:tcPr>
            <w:tcW w:w="2502" w:type="dxa"/>
            <w:vAlign w:val="center"/>
            <w:hideMark/>
          </w:tcPr>
          <w:p w14:paraId="4AA5954F" w14:textId="5332E2BA" w:rsidR="00E57B27" w:rsidRPr="00E57B27" w:rsidRDefault="00E57B27" w:rsidP="00742129">
            <w:pPr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E57B27">
              <w:rPr>
                <w:sz w:val="18"/>
                <w:szCs w:val="18"/>
                <w:lang w:val="en-GB"/>
              </w:rPr>
              <w:t>668</w:t>
            </w:r>
          </w:p>
        </w:tc>
      </w:tr>
      <w:tr w:rsidR="00E57B27" w:rsidRPr="00E57B27" w14:paraId="279C7EC8" w14:textId="77777777" w:rsidTr="00B970B4">
        <w:trPr>
          <w:trHeight w:val="278"/>
          <w:jc w:val="center"/>
        </w:trPr>
        <w:tc>
          <w:tcPr>
            <w:tcW w:w="1841" w:type="dxa"/>
            <w:vAlign w:val="center"/>
            <w:hideMark/>
          </w:tcPr>
          <w:p w14:paraId="25CEBAA8" w14:textId="77777777" w:rsidR="00E57B27" w:rsidRPr="00403242" w:rsidRDefault="00E57B27" w:rsidP="00742129">
            <w:pPr>
              <w:contextualSpacing/>
              <w:jc w:val="center"/>
              <w:rPr>
                <w:b/>
                <w:sz w:val="18"/>
                <w:szCs w:val="18"/>
                <w:lang w:val="it-IT"/>
              </w:rPr>
            </w:pPr>
            <w:r w:rsidRPr="00403242">
              <w:rPr>
                <w:b/>
                <w:sz w:val="18"/>
                <w:szCs w:val="18"/>
                <w:lang w:val="en-GB"/>
              </w:rPr>
              <w:t>2014_2</w:t>
            </w:r>
          </w:p>
        </w:tc>
        <w:tc>
          <w:tcPr>
            <w:tcW w:w="2501" w:type="dxa"/>
            <w:vAlign w:val="center"/>
            <w:hideMark/>
          </w:tcPr>
          <w:p w14:paraId="2CCD2B00" w14:textId="0A8F1505" w:rsidR="00E57B27" w:rsidRPr="00E57B27" w:rsidRDefault="00E57B27" w:rsidP="00742129">
            <w:pPr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E57B27">
              <w:rPr>
                <w:sz w:val="18"/>
                <w:szCs w:val="18"/>
                <w:lang w:val="en-GB"/>
              </w:rPr>
              <w:t>861</w:t>
            </w:r>
            <w:r>
              <w:rPr>
                <w:sz w:val="18"/>
                <w:szCs w:val="18"/>
                <w:lang w:val="en-GB"/>
              </w:rPr>
              <w:t>.</w:t>
            </w:r>
            <w:r w:rsidRPr="00E57B27">
              <w:rPr>
                <w:sz w:val="18"/>
                <w:szCs w:val="18"/>
                <w:lang w:val="en-GB"/>
              </w:rPr>
              <w:t>500</w:t>
            </w:r>
          </w:p>
        </w:tc>
        <w:tc>
          <w:tcPr>
            <w:tcW w:w="2501" w:type="dxa"/>
            <w:vAlign w:val="center"/>
            <w:hideMark/>
          </w:tcPr>
          <w:p w14:paraId="55F77CE2" w14:textId="03F6E92A" w:rsidR="00E57B27" w:rsidRPr="00E57B27" w:rsidRDefault="00E57B27" w:rsidP="00742129">
            <w:pPr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E57B27">
              <w:rPr>
                <w:sz w:val="18"/>
                <w:szCs w:val="18"/>
                <w:lang w:val="en-GB"/>
              </w:rPr>
              <w:t>1</w:t>
            </w:r>
            <w:r>
              <w:rPr>
                <w:sz w:val="18"/>
                <w:szCs w:val="18"/>
                <w:lang w:val="en-GB"/>
              </w:rPr>
              <w:t>.</w:t>
            </w:r>
            <w:r w:rsidRPr="00E57B27">
              <w:rPr>
                <w:sz w:val="18"/>
                <w:szCs w:val="18"/>
                <w:lang w:val="en-GB"/>
              </w:rPr>
              <w:t>185</w:t>
            </w:r>
          </w:p>
        </w:tc>
        <w:tc>
          <w:tcPr>
            <w:tcW w:w="2502" w:type="dxa"/>
            <w:vAlign w:val="center"/>
            <w:hideMark/>
          </w:tcPr>
          <w:p w14:paraId="127EDACC" w14:textId="289031D8" w:rsidR="00E57B27" w:rsidRPr="00E57B27" w:rsidRDefault="00E57B27" w:rsidP="00742129">
            <w:pPr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E57B27">
              <w:rPr>
                <w:sz w:val="18"/>
                <w:szCs w:val="18"/>
                <w:lang w:val="en-GB"/>
              </w:rPr>
              <w:t>692</w:t>
            </w:r>
          </w:p>
        </w:tc>
      </w:tr>
      <w:tr w:rsidR="00E57B27" w:rsidRPr="00E57B27" w14:paraId="7BFAA4B8" w14:textId="77777777" w:rsidTr="00B970B4">
        <w:trPr>
          <w:trHeight w:val="278"/>
          <w:jc w:val="center"/>
        </w:trPr>
        <w:tc>
          <w:tcPr>
            <w:tcW w:w="1841" w:type="dxa"/>
            <w:vAlign w:val="center"/>
            <w:hideMark/>
          </w:tcPr>
          <w:p w14:paraId="39B87AC0" w14:textId="77777777" w:rsidR="00E57B27" w:rsidRPr="00403242" w:rsidRDefault="00E57B27" w:rsidP="00742129">
            <w:pPr>
              <w:contextualSpacing/>
              <w:jc w:val="center"/>
              <w:rPr>
                <w:b/>
                <w:sz w:val="18"/>
                <w:szCs w:val="18"/>
                <w:lang w:val="it-IT"/>
              </w:rPr>
            </w:pPr>
            <w:r w:rsidRPr="00403242">
              <w:rPr>
                <w:b/>
                <w:sz w:val="18"/>
                <w:szCs w:val="18"/>
                <w:lang w:val="en-GB"/>
              </w:rPr>
              <w:t>2015_1</w:t>
            </w:r>
          </w:p>
        </w:tc>
        <w:tc>
          <w:tcPr>
            <w:tcW w:w="2501" w:type="dxa"/>
            <w:vAlign w:val="center"/>
            <w:hideMark/>
          </w:tcPr>
          <w:p w14:paraId="2EE8D4FF" w14:textId="03515631" w:rsidR="00E57B27" w:rsidRPr="00E57B27" w:rsidRDefault="00E57B27" w:rsidP="00742129">
            <w:pPr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E57B27">
              <w:rPr>
                <w:sz w:val="18"/>
                <w:szCs w:val="18"/>
                <w:lang w:val="en-GB"/>
              </w:rPr>
              <w:t>700</w:t>
            </w:r>
            <w:r>
              <w:rPr>
                <w:sz w:val="18"/>
                <w:szCs w:val="18"/>
                <w:lang w:val="en-GB"/>
              </w:rPr>
              <w:t>.</w:t>
            </w:r>
            <w:r w:rsidRPr="00E57B27">
              <w:rPr>
                <w:sz w:val="18"/>
                <w:szCs w:val="18"/>
                <w:lang w:val="en-GB"/>
              </w:rPr>
              <w:t>000</w:t>
            </w:r>
          </w:p>
        </w:tc>
        <w:tc>
          <w:tcPr>
            <w:tcW w:w="2501" w:type="dxa"/>
            <w:vAlign w:val="center"/>
            <w:hideMark/>
          </w:tcPr>
          <w:p w14:paraId="35400D95" w14:textId="3EC8DE88" w:rsidR="00E57B27" w:rsidRPr="00E57B27" w:rsidRDefault="00E57B27" w:rsidP="00742129">
            <w:pPr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E57B27">
              <w:rPr>
                <w:sz w:val="18"/>
                <w:szCs w:val="18"/>
                <w:lang w:val="en-GB"/>
              </w:rPr>
              <w:t>1</w:t>
            </w:r>
            <w:r>
              <w:rPr>
                <w:sz w:val="18"/>
                <w:szCs w:val="18"/>
                <w:lang w:val="en-GB"/>
              </w:rPr>
              <w:t>.</w:t>
            </w:r>
            <w:r w:rsidRPr="00E57B27">
              <w:rPr>
                <w:sz w:val="18"/>
                <w:szCs w:val="18"/>
                <w:lang w:val="en-GB"/>
              </w:rPr>
              <w:t>152</w:t>
            </w:r>
          </w:p>
        </w:tc>
        <w:tc>
          <w:tcPr>
            <w:tcW w:w="2502" w:type="dxa"/>
            <w:vAlign w:val="center"/>
            <w:hideMark/>
          </w:tcPr>
          <w:p w14:paraId="7555E9E3" w14:textId="272E0BF3" w:rsidR="00E57B27" w:rsidRPr="00E57B27" w:rsidRDefault="00E57B27" w:rsidP="00742129">
            <w:pPr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E57B27">
              <w:rPr>
                <w:sz w:val="18"/>
                <w:szCs w:val="18"/>
                <w:lang w:val="en-GB"/>
              </w:rPr>
              <w:t>650</w:t>
            </w:r>
          </w:p>
        </w:tc>
      </w:tr>
      <w:tr w:rsidR="00E57B27" w:rsidRPr="00E57B27" w14:paraId="6EAD1A06" w14:textId="77777777" w:rsidTr="00B970B4">
        <w:trPr>
          <w:trHeight w:val="278"/>
          <w:jc w:val="center"/>
        </w:trPr>
        <w:tc>
          <w:tcPr>
            <w:tcW w:w="1841" w:type="dxa"/>
            <w:vAlign w:val="center"/>
            <w:hideMark/>
          </w:tcPr>
          <w:p w14:paraId="598E1F67" w14:textId="77777777" w:rsidR="00E57B27" w:rsidRPr="00403242" w:rsidRDefault="00E57B27" w:rsidP="00742129">
            <w:pPr>
              <w:contextualSpacing/>
              <w:jc w:val="center"/>
              <w:rPr>
                <w:b/>
                <w:sz w:val="18"/>
                <w:szCs w:val="18"/>
                <w:lang w:val="it-IT"/>
              </w:rPr>
            </w:pPr>
            <w:r w:rsidRPr="00403242">
              <w:rPr>
                <w:b/>
                <w:sz w:val="18"/>
                <w:szCs w:val="18"/>
                <w:lang w:val="en-GB"/>
              </w:rPr>
              <w:t>2015_2</w:t>
            </w:r>
          </w:p>
        </w:tc>
        <w:tc>
          <w:tcPr>
            <w:tcW w:w="2501" w:type="dxa"/>
            <w:vAlign w:val="center"/>
            <w:hideMark/>
          </w:tcPr>
          <w:p w14:paraId="072DC053" w14:textId="20BD4615" w:rsidR="00E57B27" w:rsidRPr="00E57B27" w:rsidRDefault="00E57B27" w:rsidP="00742129">
            <w:pPr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E57B27">
              <w:rPr>
                <w:sz w:val="18"/>
                <w:szCs w:val="18"/>
                <w:lang w:val="en-GB"/>
              </w:rPr>
              <w:t>843</w:t>
            </w:r>
            <w:r>
              <w:rPr>
                <w:sz w:val="18"/>
                <w:szCs w:val="18"/>
                <w:lang w:val="en-GB"/>
              </w:rPr>
              <w:t>.</w:t>
            </w:r>
            <w:r w:rsidRPr="00E57B27">
              <w:rPr>
                <w:sz w:val="18"/>
                <w:szCs w:val="18"/>
                <w:lang w:val="en-GB"/>
              </w:rPr>
              <w:t>000</w:t>
            </w:r>
          </w:p>
        </w:tc>
        <w:tc>
          <w:tcPr>
            <w:tcW w:w="2501" w:type="dxa"/>
            <w:vAlign w:val="center"/>
            <w:hideMark/>
          </w:tcPr>
          <w:p w14:paraId="0137D40C" w14:textId="7A1291C6" w:rsidR="00E57B27" w:rsidRPr="00E57B27" w:rsidRDefault="00E57B27" w:rsidP="00742129">
            <w:pPr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E57B27">
              <w:rPr>
                <w:sz w:val="18"/>
                <w:szCs w:val="18"/>
                <w:lang w:val="en-GB"/>
              </w:rPr>
              <w:t>1</w:t>
            </w:r>
            <w:r>
              <w:rPr>
                <w:sz w:val="18"/>
                <w:szCs w:val="18"/>
                <w:lang w:val="en-GB"/>
              </w:rPr>
              <w:t>.</w:t>
            </w:r>
            <w:r w:rsidRPr="00E57B27">
              <w:rPr>
                <w:sz w:val="18"/>
                <w:szCs w:val="18"/>
                <w:lang w:val="en-GB"/>
              </w:rPr>
              <w:t>415</w:t>
            </w:r>
          </w:p>
        </w:tc>
        <w:tc>
          <w:tcPr>
            <w:tcW w:w="2502" w:type="dxa"/>
            <w:vAlign w:val="center"/>
            <w:hideMark/>
          </w:tcPr>
          <w:p w14:paraId="55CE840F" w14:textId="5C4B7D53" w:rsidR="00E57B27" w:rsidRPr="00E57B27" w:rsidRDefault="00E57B27" w:rsidP="00742129">
            <w:pPr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E57B27">
              <w:rPr>
                <w:sz w:val="18"/>
                <w:szCs w:val="18"/>
                <w:lang w:val="en-GB"/>
              </w:rPr>
              <w:t>606</w:t>
            </w:r>
          </w:p>
        </w:tc>
      </w:tr>
      <w:tr w:rsidR="00E57B27" w:rsidRPr="00E57B27" w14:paraId="3AEEDF38" w14:textId="77777777" w:rsidTr="00B970B4">
        <w:trPr>
          <w:trHeight w:val="278"/>
          <w:jc w:val="center"/>
        </w:trPr>
        <w:tc>
          <w:tcPr>
            <w:tcW w:w="1841" w:type="dxa"/>
            <w:vAlign w:val="center"/>
            <w:hideMark/>
          </w:tcPr>
          <w:p w14:paraId="01CC570A" w14:textId="77777777" w:rsidR="00E57B27" w:rsidRPr="00403242" w:rsidRDefault="00E57B27" w:rsidP="00742129">
            <w:pPr>
              <w:contextualSpacing/>
              <w:jc w:val="center"/>
              <w:rPr>
                <w:b/>
                <w:sz w:val="18"/>
                <w:szCs w:val="18"/>
                <w:lang w:val="it-IT"/>
              </w:rPr>
            </w:pPr>
            <w:r w:rsidRPr="00403242">
              <w:rPr>
                <w:b/>
                <w:sz w:val="18"/>
                <w:szCs w:val="18"/>
                <w:lang w:val="en-GB"/>
              </w:rPr>
              <w:t>2016_1</w:t>
            </w:r>
          </w:p>
        </w:tc>
        <w:tc>
          <w:tcPr>
            <w:tcW w:w="2501" w:type="dxa"/>
            <w:vAlign w:val="center"/>
            <w:hideMark/>
          </w:tcPr>
          <w:p w14:paraId="36B3B9A9" w14:textId="09233CE7" w:rsidR="00E57B27" w:rsidRPr="00E57B27" w:rsidRDefault="00E57B27" w:rsidP="00742129">
            <w:pPr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E57B27">
              <w:rPr>
                <w:sz w:val="18"/>
                <w:szCs w:val="18"/>
                <w:lang w:val="en-GB"/>
              </w:rPr>
              <w:t>811</w:t>
            </w:r>
            <w:r>
              <w:rPr>
                <w:sz w:val="18"/>
                <w:szCs w:val="18"/>
                <w:lang w:val="en-GB"/>
              </w:rPr>
              <w:t>.</w:t>
            </w:r>
            <w:r w:rsidRPr="00E57B27">
              <w:rPr>
                <w:sz w:val="18"/>
                <w:szCs w:val="18"/>
                <w:lang w:val="en-GB"/>
              </w:rPr>
              <w:t>500</w:t>
            </w:r>
          </w:p>
        </w:tc>
        <w:tc>
          <w:tcPr>
            <w:tcW w:w="2501" w:type="dxa"/>
            <w:vAlign w:val="center"/>
            <w:hideMark/>
          </w:tcPr>
          <w:p w14:paraId="27E662C3" w14:textId="74262A6C" w:rsidR="00E57B27" w:rsidRPr="00E57B27" w:rsidRDefault="00E57B27" w:rsidP="00742129">
            <w:pPr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E57B27">
              <w:rPr>
                <w:sz w:val="18"/>
                <w:szCs w:val="18"/>
                <w:lang w:val="en-GB"/>
              </w:rPr>
              <w:t>1</w:t>
            </w:r>
            <w:r>
              <w:rPr>
                <w:sz w:val="18"/>
                <w:szCs w:val="18"/>
                <w:lang w:val="en-GB"/>
              </w:rPr>
              <w:t>.</w:t>
            </w:r>
            <w:r w:rsidRPr="00E57B27">
              <w:rPr>
                <w:sz w:val="18"/>
                <w:szCs w:val="18"/>
                <w:lang w:val="en-GB"/>
              </w:rPr>
              <w:t>351</w:t>
            </w:r>
          </w:p>
        </w:tc>
        <w:tc>
          <w:tcPr>
            <w:tcW w:w="2502" w:type="dxa"/>
            <w:vAlign w:val="center"/>
            <w:hideMark/>
          </w:tcPr>
          <w:p w14:paraId="4C678890" w14:textId="74FDE327" w:rsidR="00E57B27" w:rsidRPr="00E57B27" w:rsidRDefault="00E57B27" w:rsidP="00742129">
            <w:pPr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E57B27">
              <w:rPr>
                <w:sz w:val="18"/>
                <w:szCs w:val="18"/>
                <w:lang w:val="en-GB"/>
              </w:rPr>
              <w:t>638</w:t>
            </w:r>
          </w:p>
        </w:tc>
      </w:tr>
      <w:tr w:rsidR="00E57B27" w:rsidRPr="00E57B27" w14:paraId="04D5D4F8" w14:textId="77777777" w:rsidTr="00B970B4">
        <w:trPr>
          <w:trHeight w:val="278"/>
          <w:jc w:val="center"/>
        </w:trPr>
        <w:tc>
          <w:tcPr>
            <w:tcW w:w="1841" w:type="dxa"/>
            <w:vAlign w:val="center"/>
            <w:hideMark/>
          </w:tcPr>
          <w:p w14:paraId="78F63830" w14:textId="77777777" w:rsidR="00E57B27" w:rsidRPr="00403242" w:rsidRDefault="00E57B27" w:rsidP="00742129">
            <w:pPr>
              <w:contextualSpacing/>
              <w:jc w:val="center"/>
              <w:rPr>
                <w:b/>
                <w:sz w:val="18"/>
                <w:szCs w:val="18"/>
                <w:lang w:val="it-IT"/>
              </w:rPr>
            </w:pPr>
            <w:r w:rsidRPr="00403242">
              <w:rPr>
                <w:b/>
                <w:sz w:val="18"/>
                <w:szCs w:val="18"/>
                <w:lang w:val="en-GB"/>
              </w:rPr>
              <w:t>2016_2</w:t>
            </w:r>
          </w:p>
        </w:tc>
        <w:tc>
          <w:tcPr>
            <w:tcW w:w="2501" w:type="dxa"/>
            <w:vAlign w:val="center"/>
            <w:hideMark/>
          </w:tcPr>
          <w:p w14:paraId="795CCB0B" w14:textId="7DBC1217" w:rsidR="00E57B27" w:rsidRPr="00E57B27" w:rsidRDefault="00E57B27" w:rsidP="00742129">
            <w:pPr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E57B27">
              <w:rPr>
                <w:sz w:val="18"/>
                <w:szCs w:val="18"/>
                <w:lang w:val="en-GB"/>
              </w:rPr>
              <w:t>823</w:t>
            </w:r>
            <w:r>
              <w:rPr>
                <w:sz w:val="18"/>
                <w:szCs w:val="18"/>
                <w:lang w:val="en-GB"/>
              </w:rPr>
              <w:t>.</w:t>
            </w:r>
            <w:r w:rsidRPr="00E57B27">
              <w:rPr>
                <w:sz w:val="18"/>
                <w:szCs w:val="18"/>
                <w:lang w:val="en-GB"/>
              </w:rPr>
              <w:t>000</w:t>
            </w:r>
          </w:p>
        </w:tc>
        <w:tc>
          <w:tcPr>
            <w:tcW w:w="2501" w:type="dxa"/>
            <w:vAlign w:val="center"/>
            <w:hideMark/>
          </w:tcPr>
          <w:p w14:paraId="77E660ED" w14:textId="6071D1E7" w:rsidR="00E57B27" w:rsidRPr="00E57B27" w:rsidRDefault="00E57B27" w:rsidP="00742129">
            <w:pPr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E57B27">
              <w:rPr>
                <w:sz w:val="18"/>
                <w:szCs w:val="18"/>
                <w:lang w:val="en-GB"/>
              </w:rPr>
              <w:t>1</w:t>
            </w:r>
            <w:r>
              <w:rPr>
                <w:sz w:val="18"/>
                <w:szCs w:val="18"/>
                <w:lang w:val="en-GB"/>
              </w:rPr>
              <w:t>.</w:t>
            </w:r>
            <w:r w:rsidRPr="00E57B27">
              <w:rPr>
                <w:sz w:val="18"/>
                <w:szCs w:val="18"/>
                <w:lang w:val="en-GB"/>
              </w:rPr>
              <w:t>407</w:t>
            </w:r>
          </w:p>
        </w:tc>
        <w:tc>
          <w:tcPr>
            <w:tcW w:w="2502" w:type="dxa"/>
            <w:vAlign w:val="center"/>
            <w:hideMark/>
          </w:tcPr>
          <w:p w14:paraId="5C214EB8" w14:textId="0108BD52" w:rsidR="00E57B27" w:rsidRPr="00E57B27" w:rsidRDefault="00E57B27" w:rsidP="00742129">
            <w:pPr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E57B27">
              <w:rPr>
                <w:sz w:val="18"/>
                <w:szCs w:val="18"/>
                <w:lang w:val="en-GB"/>
              </w:rPr>
              <w:t>596</w:t>
            </w:r>
          </w:p>
        </w:tc>
      </w:tr>
      <w:tr w:rsidR="00E57B27" w:rsidRPr="00E57B27" w14:paraId="3B93612C" w14:textId="77777777" w:rsidTr="00B970B4">
        <w:trPr>
          <w:trHeight w:val="278"/>
          <w:jc w:val="center"/>
        </w:trPr>
        <w:tc>
          <w:tcPr>
            <w:tcW w:w="1841" w:type="dxa"/>
            <w:vAlign w:val="center"/>
            <w:hideMark/>
          </w:tcPr>
          <w:p w14:paraId="1A57E5B1" w14:textId="77777777" w:rsidR="00E57B27" w:rsidRPr="00403242" w:rsidRDefault="00E57B27" w:rsidP="00742129">
            <w:pPr>
              <w:contextualSpacing/>
              <w:jc w:val="center"/>
              <w:rPr>
                <w:b/>
                <w:sz w:val="18"/>
                <w:szCs w:val="18"/>
                <w:lang w:val="it-IT"/>
              </w:rPr>
            </w:pPr>
            <w:r w:rsidRPr="00403242">
              <w:rPr>
                <w:b/>
                <w:sz w:val="18"/>
                <w:szCs w:val="18"/>
                <w:lang w:val="en-GB"/>
              </w:rPr>
              <w:t>2017_1</w:t>
            </w:r>
          </w:p>
        </w:tc>
        <w:tc>
          <w:tcPr>
            <w:tcW w:w="2501" w:type="dxa"/>
            <w:vAlign w:val="center"/>
            <w:hideMark/>
          </w:tcPr>
          <w:p w14:paraId="3D6C327E" w14:textId="389C428D" w:rsidR="00E57B27" w:rsidRPr="00E57B27" w:rsidRDefault="00E57B27" w:rsidP="00742129">
            <w:pPr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E57B27">
              <w:rPr>
                <w:sz w:val="18"/>
                <w:szCs w:val="18"/>
                <w:lang w:val="en-GB"/>
              </w:rPr>
              <w:t>820</w:t>
            </w:r>
            <w:r>
              <w:rPr>
                <w:sz w:val="18"/>
                <w:szCs w:val="18"/>
                <w:lang w:val="en-GB"/>
              </w:rPr>
              <w:t>.</w:t>
            </w:r>
            <w:r w:rsidRPr="00E57B27">
              <w:rPr>
                <w:sz w:val="18"/>
                <w:szCs w:val="18"/>
                <w:lang w:val="en-GB"/>
              </w:rPr>
              <w:t>500</w:t>
            </w:r>
          </w:p>
        </w:tc>
        <w:tc>
          <w:tcPr>
            <w:tcW w:w="2501" w:type="dxa"/>
            <w:vAlign w:val="center"/>
            <w:hideMark/>
          </w:tcPr>
          <w:p w14:paraId="7AD9EE9A" w14:textId="0F5B1541" w:rsidR="00E57B27" w:rsidRPr="00E57B27" w:rsidRDefault="00E57B27" w:rsidP="00742129">
            <w:pPr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E57B27">
              <w:rPr>
                <w:sz w:val="18"/>
                <w:szCs w:val="18"/>
                <w:lang w:val="en-GB"/>
              </w:rPr>
              <w:t>1</w:t>
            </w:r>
            <w:r>
              <w:rPr>
                <w:sz w:val="18"/>
                <w:szCs w:val="18"/>
                <w:lang w:val="en-GB"/>
              </w:rPr>
              <w:t>.</w:t>
            </w:r>
            <w:r w:rsidRPr="00E57B27">
              <w:rPr>
                <w:sz w:val="18"/>
                <w:szCs w:val="18"/>
                <w:lang w:val="en-GB"/>
              </w:rPr>
              <w:t>368</w:t>
            </w:r>
          </w:p>
        </w:tc>
        <w:tc>
          <w:tcPr>
            <w:tcW w:w="2502" w:type="dxa"/>
            <w:vAlign w:val="center"/>
            <w:hideMark/>
          </w:tcPr>
          <w:p w14:paraId="15A37A31" w14:textId="158A172C" w:rsidR="00E57B27" w:rsidRPr="00E57B27" w:rsidRDefault="00E57B27" w:rsidP="00742129">
            <w:pPr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E57B27">
              <w:rPr>
                <w:sz w:val="18"/>
                <w:szCs w:val="18"/>
                <w:lang w:val="en-GB"/>
              </w:rPr>
              <w:t>589</w:t>
            </w:r>
          </w:p>
        </w:tc>
      </w:tr>
      <w:tr w:rsidR="00E57B27" w:rsidRPr="00E57B27" w14:paraId="431AF337" w14:textId="77777777" w:rsidTr="00B970B4">
        <w:trPr>
          <w:trHeight w:val="278"/>
          <w:jc w:val="center"/>
        </w:trPr>
        <w:tc>
          <w:tcPr>
            <w:tcW w:w="1841" w:type="dxa"/>
            <w:vAlign w:val="center"/>
            <w:hideMark/>
          </w:tcPr>
          <w:p w14:paraId="2003B7BE" w14:textId="77777777" w:rsidR="00E57B27" w:rsidRPr="00403242" w:rsidRDefault="00E57B27" w:rsidP="00742129">
            <w:pPr>
              <w:contextualSpacing/>
              <w:jc w:val="center"/>
              <w:rPr>
                <w:b/>
                <w:sz w:val="18"/>
                <w:szCs w:val="18"/>
                <w:lang w:val="it-IT"/>
              </w:rPr>
            </w:pPr>
            <w:r w:rsidRPr="00403242">
              <w:rPr>
                <w:b/>
                <w:sz w:val="18"/>
                <w:szCs w:val="18"/>
                <w:lang w:val="en-GB"/>
              </w:rPr>
              <w:t>2017_2</w:t>
            </w:r>
          </w:p>
        </w:tc>
        <w:tc>
          <w:tcPr>
            <w:tcW w:w="2501" w:type="dxa"/>
            <w:vAlign w:val="center"/>
            <w:hideMark/>
          </w:tcPr>
          <w:p w14:paraId="01F2D089" w14:textId="40BF59FB" w:rsidR="00E57B27" w:rsidRPr="00E57B27" w:rsidRDefault="00E57B27" w:rsidP="00742129">
            <w:pPr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E57B27">
              <w:rPr>
                <w:sz w:val="18"/>
                <w:szCs w:val="18"/>
                <w:lang w:val="en-GB"/>
              </w:rPr>
              <w:t>940</w:t>
            </w:r>
            <w:r>
              <w:rPr>
                <w:sz w:val="18"/>
                <w:szCs w:val="18"/>
                <w:lang w:val="en-GB"/>
              </w:rPr>
              <w:t>.</w:t>
            </w:r>
            <w:r w:rsidRPr="00E57B27">
              <w:rPr>
                <w:sz w:val="18"/>
                <w:szCs w:val="18"/>
                <w:lang w:val="en-GB"/>
              </w:rPr>
              <w:t>000</w:t>
            </w:r>
          </w:p>
        </w:tc>
        <w:tc>
          <w:tcPr>
            <w:tcW w:w="2501" w:type="dxa"/>
            <w:vAlign w:val="center"/>
            <w:hideMark/>
          </w:tcPr>
          <w:p w14:paraId="5B36C5D9" w14:textId="7DF01D7A" w:rsidR="00E57B27" w:rsidRPr="00E57B27" w:rsidRDefault="00E57B27" w:rsidP="00742129">
            <w:pPr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E57B27">
              <w:rPr>
                <w:sz w:val="18"/>
                <w:szCs w:val="18"/>
                <w:lang w:val="en-GB"/>
              </w:rPr>
              <w:t>1</w:t>
            </w:r>
            <w:r>
              <w:rPr>
                <w:sz w:val="18"/>
                <w:szCs w:val="18"/>
                <w:lang w:val="en-GB"/>
              </w:rPr>
              <w:t>.</w:t>
            </w:r>
            <w:r w:rsidRPr="00E57B27">
              <w:rPr>
                <w:sz w:val="18"/>
                <w:szCs w:val="18"/>
                <w:lang w:val="en-GB"/>
              </w:rPr>
              <w:t>661</w:t>
            </w:r>
          </w:p>
        </w:tc>
        <w:tc>
          <w:tcPr>
            <w:tcW w:w="2502" w:type="dxa"/>
            <w:vAlign w:val="center"/>
            <w:hideMark/>
          </w:tcPr>
          <w:p w14:paraId="5F510ADF" w14:textId="3350B9EB" w:rsidR="00E57B27" w:rsidRPr="00E57B27" w:rsidRDefault="00E57B27" w:rsidP="00742129">
            <w:pPr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E57B27">
              <w:rPr>
                <w:sz w:val="18"/>
                <w:szCs w:val="18"/>
                <w:lang w:val="en-GB"/>
              </w:rPr>
              <w:t>576</w:t>
            </w:r>
          </w:p>
        </w:tc>
      </w:tr>
      <w:tr w:rsidR="00E57B27" w:rsidRPr="00E57B27" w14:paraId="05859752" w14:textId="77777777" w:rsidTr="00B970B4">
        <w:trPr>
          <w:trHeight w:val="278"/>
          <w:jc w:val="center"/>
        </w:trPr>
        <w:tc>
          <w:tcPr>
            <w:tcW w:w="1841" w:type="dxa"/>
            <w:vAlign w:val="center"/>
            <w:hideMark/>
          </w:tcPr>
          <w:p w14:paraId="7BF15586" w14:textId="77777777" w:rsidR="00E57B27" w:rsidRPr="00403242" w:rsidRDefault="00E57B27" w:rsidP="00742129">
            <w:pPr>
              <w:contextualSpacing/>
              <w:jc w:val="center"/>
              <w:rPr>
                <w:b/>
                <w:sz w:val="18"/>
                <w:szCs w:val="18"/>
                <w:lang w:val="it-IT"/>
              </w:rPr>
            </w:pPr>
            <w:r w:rsidRPr="00403242">
              <w:rPr>
                <w:b/>
                <w:sz w:val="18"/>
                <w:szCs w:val="18"/>
                <w:lang w:val="en-GB"/>
              </w:rPr>
              <w:t>2018_1</w:t>
            </w:r>
          </w:p>
        </w:tc>
        <w:tc>
          <w:tcPr>
            <w:tcW w:w="2501" w:type="dxa"/>
            <w:vAlign w:val="center"/>
            <w:hideMark/>
          </w:tcPr>
          <w:p w14:paraId="47EBBF77" w14:textId="60B11AF2" w:rsidR="00E57B27" w:rsidRPr="00E57B27" w:rsidRDefault="00E57B27" w:rsidP="00742129">
            <w:pPr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E57B27">
              <w:rPr>
                <w:sz w:val="18"/>
                <w:szCs w:val="18"/>
                <w:lang w:val="en-GB"/>
              </w:rPr>
              <w:t>812</w:t>
            </w:r>
            <w:r>
              <w:rPr>
                <w:sz w:val="18"/>
                <w:szCs w:val="18"/>
                <w:lang w:val="en-GB"/>
              </w:rPr>
              <w:t>.</w:t>
            </w:r>
            <w:r w:rsidRPr="00E57B27">
              <w:rPr>
                <w:sz w:val="18"/>
                <w:szCs w:val="18"/>
                <w:lang w:val="en-GB"/>
              </w:rPr>
              <w:t>000</w:t>
            </w:r>
          </w:p>
        </w:tc>
        <w:tc>
          <w:tcPr>
            <w:tcW w:w="2501" w:type="dxa"/>
            <w:vAlign w:val="center"/>
            <w:hideMark/>
          </w:tcPr>
          <w:p w14:paraId="3A1D0C60" w14:textId="583B2906" w:rsidR="00E57B27" w:rsidRPr="00E57B27" w:rsidRDefault="00E57B27" w:rsidP="00742129">
            <w:pPr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E57B27">
              <w:rPr>
                <w:sz w:val="18"/>
                <w:szCs w:val="18"/>
                <w:lang w:val="en-GB"/>
              </w:rPr>
              <w:t>1</w:t>
            </w:r>
            <w:r>
              <w:rPr>
                <w:sz w:val="18"/>
                <w:szCs w:val="18"/>
                <w:lang w:val="en-GB"/>
              </w:rPr>
              <w:t>.</w:t>
            </w:r>
            <w:r w:rsidRPr="00E57B27">
              <w:rPr>
                <w:sz w:val="18"/>
                <w:szCs w:val="18"/>
                <w:lang w:val="en-GB"/>
              </w:rPr>
              <w:t>493</w:t>
            </w:r>
          </w:p>
        </w:tc>
        <w:tc>
          <w:tcPr>
            <w:tcW w:w="2502" w:type="dxa"/>
            <w:vAlign w:val="center"/>
            <w:hideMark/>
          </w:tcPr>
          <w:p w14:paraId="0770980B" w14:textId="1D083556" w:rsidR="00E57B27" w:rsidRPr="00E57B27" w:rsidRDefault="00E57B27" w:rsidP="00742129">
            <w:pPr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E57B27">
              <w:rPr>
                <w:sz w:val="18"/>
                <w:szCs w:val="18"/>
                <w:lang w:val="en-GB"/>
              </w:rPr>
              <w:t>560</w:t>
            </w:r>
          </w:p>
        </w:tc>
      </w:tr>
      <w:tr w:rsidR="00E57B27" w:rsidRPr="00E57B27" w14:paraId="3F8C6950" w14:textId="77777777" w:rsidTr="00B970B4">
        <w:trPr>
          <w:trHeight w:val="278"/>
          <w:jc w:val="center"/>
        </w:trPr>
        <w:tc>
          <w:tcPr>
            <w:tcW w:w="1841" w:type="dxa"/>
            <w:vAlign w:val="center"/>
            <w:hideMark/>
          </w:tcPr>
          <w:p w14:paraId="710AD68A" w14:textId="77777777" w:rsidR="00E57B27" w:rsidRPr="00403242" w:rsidRDefault="00E57B27" w:rsidP="00742129">
            <w:pPr>
              <w:contextualSpacing/>
              <w:jc w:val="center"/>
              <w:rPr>
                <w:b/>
                <w:sz w:val="18"/>
                <w:szCs w:val="18"/>
                <w:lang w:val="it-IT"/>
              </w:rPr>
            </w:pPr>
            <w:r w:rsidRPr="00403242">
              <w:rPr>
                <w:b/>
                <w:sz w:val="18"/>
                <w:szCs w:val="18"/>
                <w:lang w:val="en-GB"/>
              </w:rPr>
              <w:t>2018_2</w:t>
            </w:r>
          </w:p>
        </w:tc>
        <w:tc>
          <w:tcPr>
            <w:tcW w:w="2501" w:type="dxa"/>
            <w:vAlign w:val="center"/>
            <w:hideMark/>
          </w:tcPr>
          <w:p w14:paraId="5F6B0ADA" w14:textId="07639E8A" w:rsidR="00E57B27" w:rsidRPr="00E57B27" w:rsidRDefault="00E57B27" w:rsidP="00742129">
            <w:pPr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E57B27">
              <w:rPr>
                <w:sz w:val="18"/>
                <w:szCs w:val="18"/>
                <w:lang w:val="en-GB"/>
              </w:rPr>
              <w:t>939</w:t>
            </w:r>
            <w:r>
              <w:rPr>
                <w:sz w:val="18"/>
                <w:szCs w:val="18"/>
                <w:lang w:val="en-GB"/>
              </w:rPr>
              <w:t>.</w:t>
            </w:r>
            <w:r w:rsidRPr="00E57B27">
              <w:rPr>
                <w:sz w:val="18"/>
                <w:szCs w:val="18"/>
                <w:lang w:val="en-GB"/>
              </w:rPr>
              <w:t>000</w:t>
            </w:r>
          </w:p>
        </w:tc>
        <w:tc>
          <w:tcPr>
            <w:tcW w:w="2501" w:type="dxa"/>
            <w:vAlign w:val="center"/>
            <w:hideMark/>
          </w:tcPr>
          <w:p w14:paraId="288C4023" w14:textId="263F7512" w:rsidR="00E57B27" w:rsidRPr="00E57B27" w:rsidRDefault="00E57B27" w:rsidP="00742129">
            <w:pPr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E57B27">
              <w:rPr>
                <w:sz w:val="18"/>
                <w:szCs w:val="18"/>
                <w:lang w:val="en-GB"/>
              </w:rPr>
              <w:t>1</w:t>
            </w:r>
            <w:r>
              <w:rPr>
                <w:sz w:val="18"/>
                <w:szCs w:val="18"/>
                <w:lang w:val="en-GB"/>
              </w:rPr>
              <w:t>.</w:t>
            </w:r>
            <w:r w:rsidRPr="00E57B27">
              <w:rPr>
                <w:sz w:val="18"/>
                <w:szCs w:val="18"/>
                <w:lang w:val="en-GB"/>
              </w:rPr>
              <w:t>732</w:t>
            </w:r>
          </w:p>
        </w:tc>
        <w:tc>
          <w:tcPr>
            <w:tcW w:w="2502" w:type="dxa"/>
            <w:vAlign w:val="center"/>
            <w:hideMark/>
          </w:tcPr>
          <w:p w14:paraId="27854A9E" w14:textId="65D197DB" w:rsidR="00E57B27" w:rsidRPr="00E57B27" w:rsidRDefault="00E57B27" w:rsidP="00742129">
            <w:pPr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E57B27">
              <w:rPr>
                <w:sz w:val="18"/>
                <w:szCs w:val="18"/>
                <w:lang w:val="en-GB"/>
              </w:rPr>
              <w:t>544</w:t>
            </w:r>
          </w:p>
        </w:tc>
      </w:tr>
      <w:tr w:rsidR="00E57B27" w:rsidRPr="00E57B27" w14:paraId="39D09F5C" w14:textId="77777777" w:rsidTr="00B970B4">
        <w:trPr>
          <w:trHeight w:val="278"/>
          <w:jc w:val="center"/>
        </w:trPr>
        <w:tc>
          <w:tcPr>
            <w:tcW w:w="1841" w:type="dxa"/>
            <w:vAlign w:val="center"/>
            <w:hideMark/>
          </w:tcPr>
          <w:p w14:paraId="08B0FAB5" w14:textId="77777777" w:rsidR="00E57B27" w:rsidRPr="00403242" w:rsidRDefault="00E57B27" w:rsidP="00742129">
            <w:pPr>
              <w:contextualSpacing/>
              <w:jc w:val="center"/>
              <w:rPr>
                <w:b/>
                <w:sz w:val="18"/>
                <w:szCs w:val="18"/>
                <w:lang w:val="it-IT"/>
              </w:rPr>
            </w:pPr>
            <w:r w:rsidRPr="00403242">
              <w:rPr>
                <w:b/>
                <w:sz w:val="18"/>
                <w:szCs w:val="18"/>
                <w:lang w:val="en-GB"/>
              </w:rPr>
              <w:t>2019_1</w:t>
            </w:r>
          </w:p>
        </w:tc>
        <w:tc>
          <w:tcPr>
            <w:tcW w:w="2501" w:type="dxa"/>
            <w:vAlign w:val="center"/>
            <w:hideMark/>
          </w:tcPr>
          <w:p w14:paraId="62B641FE" w14:textId="65A40E9F" w:rsidR="00E57B27" w:rsidRPr="00E57B27" w:rsidRDefault="00E57B27" w:rsidP="00742129">
            <w:pPr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E57B27">
              <w:rPr>
                <w:sz w:val="18"/>
                <w:szCs w:val="18"/>
                <w:lang w:val="en-GB"/>
              </w:rPr>
              <w:t>972</w:t>
            </w:r>
            <w:r>
              <w:rPr>
                <w:sz w:val="18"/>
                <w:szCs w:val="18"/>
                <w:lang w:val="en-GB"/>
              </w:rPr>
              <w:t>.</w:t>
            </w:r>
            <w:r w:rsidRPr="00E57B27">
              <w:rPr>
                <w:sz w:val="18"/>
                <w:szCs w:val="18"/>
                <w:lang w:val="en-GB"/>
              </w:rPr>
              <w:t>000</w:t>
            </w:r>
          </w:p>
        </w:tc>
        <w:tc>
          <w:tcPr>
            <w:tcW w:w="2501" w:type="dxa"/>
            <w:vAlign w:val="center"/>
            <w:hideMark/>
          </w:tcPr>
          <w:p w14:paraId="050E9BDF" w14:textId="4BA50A70" w:rsidR="00E57B27" w:rsidRPr="00E57B27" w:rsidRDefault="00E57B27" w:rsidP="00742129">
            <w:pPr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E57B27">
              <w:rPr>
                <w:sz w:val="18"/>
                <w:szCs w:val="18"/>
                <w:lang w:val="en-GB"/>
              </w:rPr>
              <w:t>1</w:t>
            </w:r>
            <w:r>
              <w:rPr>
                <w:sz w:val="18"/>
                <w:szCs w:val="18"/>
                <w:lang w:val="en-GB"/>
              </w:rPr>
              <w:t>.</w:t>
            </w:r>
            <w:r w:rsidRPr="00E57B27">
              <w:rPr>
                <w:sz w:val="18"/>
                <w:szCs w:val="18"/>
                <w:lang w:val="en-GB"/>
              </w:rPr>
              <w:t>847</w:t>
            </w:r>
          </w:p>
        </w:tc>
        <w:tc>
          <w:tcPr>
            <w:tcW w:w="2502" w:type="dxa"/>
            <w:vAlign w:val="center"/>
            <w:hideMark/>
          </w:tcPr>
          <w:p w14:paraId="1C7E7163" w14:textId="5896BD97" w:rsidR="00E57B27" w:rsidRPr="00E57B27" w:rsidRDefault="00E57B27" w:rsidP="00742129">
            <w:pPr>
              <w:contextualSpacing/>
              <w:jc w:val="center"/>
              <w:rPr>
                <w:sz w:val="18"/>
                <w:szCs w:val="18"/>
                <w:lang w:val="it-IT"/>
              </w:rPr>
            </w:pPr>
            <w:r w:rsidRPr="00E57B27">
              <w:rPr>
                <w:sz w:val="18"/>
                <w:szCs w:val="18"/>
                <w:lang w:val="en-GB"/>
              </w:rPr>
              <w:t>556</w:t>
            </w:r>
          </w:p>
        </w:tc>
      </w:tr>
    </w:tbl>
    <w:p w14:paraId="2A50B0F5" w14:textId="38F17BA2" w:rsidR="003C72CB" w:rsidRPr="00403242" w:rsidRDefault="001E12D5" w:rsidP="00403242">
      <w:pPr>
        <w:jc w:val="both"/>
        <w:rPr>
          <w:rFonts w:ascii="Verdana" w:eastAsia="Calibri" w:hAnsi="Verdana" w:cs="Calibri"/>
          <w:i/>
          <w:sz w:val="20"/>
          <w:szCs w:val="20"/>
          <w:lang w:val="it-IT"/>
        </w:rPr>
      </w:pPr>
      <w:r w:rsidRPr="00403242">
        <w:rPr>
          <w:rFonts w:ascii="Verdana" w:eastAsia="Calibri" w:hAnsi="Verdana" w:cs="Calibri"/>
          <w:i/>
          <w:sz w:val="20"/>
          <w:szCs w:val="20"/>
          <w:lang w:val="it-IT"/>
        </w:rPr>
        <w:t xml:space="preserve"> Fonte: CRIF RES</w:t>
      </w:r>
    </w:p>
    <w:p w14:paraId="43A15561" w14:textId="3AD7E889" w:rsidR="00403242" w:rsidRPr="00B970B4" w:rsidRDefault="00E062E8" w:rsidP="001E12D5">
      <w:pPr>
        <w:jc w:val="both"/>
        <w:rPr>
          <w:rFonts w:asciiTheme="majorHAnsi" w:hAnsiTheme="majorHAnsi"/>
          <w:sz w:val="20"/>
          <w:szCs w:val="20"/>
          <w:lang w:val="it-IT"/>
        </w:rPr>
      </w:pPr>
      <w:r w:rsidRPr="00E062E8">
        <w:rPr>
          <w:rFonts w:asciiTheme="majorHAnsi" w:hAnsiTheme="majorHAnsi"/>
          <w:sz w:val="20"/>
          <w:szCs w:val="20"/>
          <w:lang w:val="it-IT"/>
        </w:rPr>
        <w:lastRenderedPageBreak/>
        <w:t>Se</w:t>
      </w:r>
      <w:r w:rsidR="001E12D5" w:rsidRPr="00E062E8">
        <w:rPr>
          <w:rFonts w:asciiTheme="majorHAnsi" w:hAnsiTheme="majorHAnsi"/>
          <w:sz w:val="20"/>
          <w:szCs w:val="20"/>
          <w:lang w:val="it-IT"/>
        </w:rPr>
        <w:t xml:space="preserve"> </w:t>
      </w:r>
      <w:r w:rsidR="003C72CB" w:rsidRPr="00E062E8">
        <w:rPr>
          <w:rFonts w:asciiTheme="majorHAnsi" w:hAnsiTheme="majorHAnsi"/>
          <w:sz w:val="20"/>
          <w:szCs w:val="20"/>
          <w:lang w:val="it-IT"/>
        </w:rPr>
        <w:t xml:space="preserve">si </w:t>
      </w:r>
      <w:r w:rsidR="001E12D5" w:rsidRPr="00E062E8">
        <w:rPr>
          <w:rFonts w:asciiTheme="majorHAnsi" w:hAnsiTheme="majorHAnsi"/>
          <w:sz w:val="20"/>
          <w:szCs w:val="20"/>
          <w:lang w:val="it-IT"/>
        </w:rPr>
        <w:t>confront</w:t>
      </w:r>
      <w:r w:rsidR="003C72CB" w:rsidRPr="00E062E8">
        <w:rPr>
          <w:rFonts w:asciiTheme="majorHAnsi" w:hAnsiTheme="majorHAnsi"/>
          <w:sz w:val="20"/>
          <w:szCs w:val="20"/>
          <w:lang w:val="it-IT"/>
        </w:rPr>
        <w:t>ano</w:t>
      </w:r>
      <w:r w:rsidR="001E12D5" w:rsidRPr="00E062E8">
        <w:rPr>
          <w:rFonts w:asciiTheme="majorHAnsi" w:hAnsiTheme="majorHAnsi"/>
          <w:sz w:val="20"/>
          <w:szCs w:val="20"/>
          <w:lang w:val="it-IT"/>
        </w:rPr>
        <w:t xml:space="preserve"> gli </w:t>
      </w:r>
      <w:r w:rsidR="001E12D5" w:rsidRPr="00E062E8">
        <w:rPr>
          <w:rFonts w:asciiTheme="majorHAnsi" w:hAnsiTheme="majorHAnsi"/>
          <w:b/>
          <w:sz w:val="20"/>
          <w:szCs w:val="20"/>
          <w:lang w:val="it-IT"/>
        </w:rPr>
        <w:t>andamenti dei prezzi</w:t>
      </w:r>
      <w:r w:rsidR="001E12D5" w:rsidRPr="00E062E8">
        <w:rPr>
          <w:rFonts w:asciiTheme="majorHAnsi" w:hAnsiTheme="majorHAnsi"/>
          <w:sz w:val="20"/>
          <w:szCs w:val="20"/>
          <w:lang w:val="it-IT"/>
        </w:rPr>
        <w:t xml:space="preserve"> nel tempo dei tre segmenti immobiliari considerati</w:t>
      </w:r>
      <w:r w:rsidR="00C441C4">
        <w:rPr>
          <w:rFonts w:asciiTheme="majorHAnsi" w:hAnsiTheme="majorHAnsi"/>
          <w:sz w:val="20"/>
          <w:szCs w:val="20"/>
          <w:lang w:val="it-IT"/>
        </w:rPr>
        <w:t>,</w:t>
      </w:r>
      <w:r w:rsidR="001E12D5" w:rsidRPr="00E062E8">
        <w:rPr>
          <w:rFonts w:asciiTheme="majorHAnsi" w:hAnsiTheme="majorHAnsi"/>
          <w:sz w:val="20"/>
          <w:szCs w:val="20"/>
          <w:lang w:val="it-IT"/>
        </w:rPr>
        <w:t xml:space="preserve"> si osserva una </w:t>
      </w:r>
      <w:r w:rsidR="001E12D5" w:rsidRPr="00E062E8">
        <w:rPr>
          <w:rFonts w:asciiTheme="majorHAnsi" w:hAnsiTheme="majorHAnsi"/>
          <w:b/>
          <w:sz w:val="20"/>
          <w:szCs w:val="20"/>
          <w:lang w:val="it-IT"/>
        </w:rPr>
        <w:t xml:space="preserve">diminuzione in termini nominali </w:t>
      </w:r>
      <w:r w:rsidR="0096093E">
        <w:rPr>
          <w:rFonts w:asciiTheme="majorHAnsi" w:hAnsiTheme="majorHAnsi"/>
          <w:b/>
          <w:sz w:val="20"/>
          <w:szCs w:val="20"/>
          <w:lang w:val="it-IT"/>
        </w:rPr>
        <w:t>pressoché de</w:t>
      </w:r>
      <w:r>
        <w:rPr>
          <w:rFonts w:asciiTheme="majorHAnsi" w:hAnsiTheme="majorHAnsi"/>
          <w:b/>
          <w:sz w:val="20"/>
          <w:szCs w:val="20"/>
          <w:lang w:val="it-IT"/>
        </w:rPr>
        <w:t>lla medesima entità</w:t>
      </w:r>
      <w:r w:rsidR="001E12D5" w:rsidRPr="00E062E8">
        <w:rPr>
          <w:rFonts w:asciiTheme="majorHAnsi" w:hAnsiTheme="majorHAnsi"/>
          <w:b/>
          <w:sz w:val="20"/>
          <w:szCs w:val="20"/>
          <w:lang w:val="it-IT"/>
        </w:rPr>
        <w:t xml:space="preserve">, </w:t>
      </w:r>
      <w:r w:rsidR="00B057E3">
        <w:rPr>
          <w:rFonts w:asciiTheme="majorHAnsi" w:hAnsiTheme="majorHAnsi"/>
          <w:b/>
          <w:sz w:val="20"/>
          <w:szCs w:val="20"/>
          <w:lang w:val="it-IT"/>
        </w:rPr>
        <w:t>con u</w:t>
      </w:r>
      <w:r w:rsidR="001E12D5" w:rsidRPr="00E062E8">
        <w:rPr>
          <w:rFonts w:asciiTheme="majorHAnsi" w:hAnsiTheme="majorHAnsi"/>
          <w:b/>
          <w:sz w:val="20"/>
          <w:szCs w:val="20"/>
          <w:lang w:val="it-IT"/>
        </w:rPr>
        <w:t xml:space="preserve">n calo </w:t>
      </w:r>
      <w:r>
        <w:rPr>
          <w:rFonts w:asciiTheme="majorHAnsi" w:hAnsiTheme="majorHAnsi"/>
          <w:b/>
          <w:sz w:val="20"/>
          <w:szCs w:val="20"/>
          <w:lang w:val="it-IT"/>
        </w:rPr>
        <w:t xml:space="preserve">del </w:t>
      </w:r>
      <w:r w:rsidR="00B057E3">
        <w:rPr>
          <w:rFonts w:asciiTheme="majorHAnsi" w:hAnsiTheme="majorHAnsi"/>
          <w:b/>
          <w:sz w:val="20"/>
          <w:szCs w:val="20"/>
          <w:lang w:val="it-IT"/>
        </w:rPr>
        <w:t>-</w:t>
      </w:r>
      <w:r>
        <w:rPr>
          <w:rFonts w:asciiTheme="majorHAnsi" w:hAnsiTheme="majorHAnsi"/>
          <w:b/>
          <w:sz w:val="20"/>
          <w:szCs w:val="20"/>
          <w:lang w:val="it-IT"/>
        </w:rPr>
        <w:t>26%</w:t>
      </w:r>
      <w:r w:rsidR="00C24429" w:rsidRPr="00E062E8">
        <w:rPr>
          <w:rFonts w:asciiTheme="majorHAnsi" w:hAnsiTheme="majorHAnsi"/>
          <w:b/>
          <w:sz w:val="20"/>
          <w:szCs w:val="20"/>
          <w:lang w:val="it-IT"/>
        </w:rPr>
        <w:t xml:space="preserve"> negli </w:t>
      </w:r>
      <w:r>
        <w:rPr>
          <w:rFonts w:asciiTheme="majorHAnsi" w:hAnsiTheme="majorHAnsi"/>
          <w:b/>
          <w:sz w:val="20"/>
          <w:szCs w:val="20"/>
          <w:lang w:val="it-IT"/>
        </w:rPr>
        <w:t>ultimi 6</w:t>
      </w:r>
      <w:r w:rsidR="001E12D5" w:rsidRPr="00E062E8">
        <w:rPr>
          <w:rFonts w:asciiTheme="majorHAnsi" w:hAnsiTheme="majorHAnsi"/>
          <w:b/>
          <w:sz w:val="20"/>
          <w:szCs w:val="20"/>
          <w:lang w:val="it-IT"/>
        </w:rPr>
        <w:t xml:space="preserve"> anni</w:t>
      </w:r>
      <w:r w:rsidR="00BA16AB">
        <w:rPr>
          <w:rFonts w:asciiTheme="majorHAnsi" w:hAnsiTheme="majorHAnsi"/>
          <w:b/>
          <w:sz w:val="20"/>
          <w:szCs w:val="20"/>
          <w:lang w:val="it-IT"/>
        </w:rPr>
        <w:t xml:space="preserve"> </w:t>
      </w:r>
      <w:r w:rsidR="00BA16AB">
        <w:rPr>
          <w:rFonts w:asciiTheme="majorHAnsi" w:hAnsiTheme="majorHAnsi"/>
          <w:sz w:val="20"/>
          <w:szCs w:val="20"/>
          <w:lang w:val="it-IT"/>
        </w:rPr>
        <w:t>(fig. 3).</w:t>
      </w:r>
    </w:p>
    <w:p w14:paraId="670F74F4" w14:textId="3D309537" w:rsidR="001E12D5" w:rsidRPr="00B970B4" w:rsidRDefault="00E062E8" w:rsidP="00403242">
      <w:pPr>
        <w:jc w:val="right"/>
        <w:rPr>
          <w:rFonts w:asciiTheme="majorHAnsi" w:hAnsiTheme="majorHAnsi"/>
          <w:b/>
          <w:color w:val="003B79" w:themeColor="text1"/>
          <w:sz w:val="18"/>
          <w:szCs w:val="18"/>
          <w:lang w:val="it-IT"/>
        </w:rPr>
      </w:pPr>
      <w:r w:rsidRPr="00B970B4">
        <w:rPr>
          <w:rFonts w:asciiTheme="majorHAnsi" w:hAnsiTheme="majorHAnsi"/>
          <w:b/>
          <w:color w:val="003B79" w:themeColor="text1"/>
          <w:sz w:val="18"/>
          <w:szCs w:val="18"/>
          <w:lang w:val="it-IT"/>
        </w:rPr>
        <w:t>Figura 3</w:t>
      </w:r>
      <w:r w:rsidR="007D605D" w:rsidRPr="00B970B4">
        <w:rPr>
          <w:rFonts w:asciiTheme="majorHAnsi" w:hAnsiTheme="majorHAnsi"/>
          <w:b/>
          <w:color w:val="003B79" w:themeColor="text1"/>
          <w:sz w:val="18"/>
          <w:szCs w:val="18"/>
          <w:lang w:val="it-IT"/>
        </w:rPr>
        <w:t xml:space="preserve"> - </w:t>
      </w:r>
      <w:r w:rsidR="001E12D5" w:rsidRPr="00B970B4">
        <w:rPr>
          <w:rFonts w:asciiTheme="majorHAnsi" w:hAnsiTheme="majorHAnsi"/>
          <w:b/>
          <w:color w:val="003B79" w:themeColor="text1"/>
          <w:sz w:val="18"/>
          <w:szCs w:val="18"/>
          <w:lang w:val="it-IT"/>
        </w:rPr>
        <w:t xml:space="preserve">Andamento dei prezzi di negozi, uffici e capannoni (N.I.  I </w:t>
      </w:r>
      <w:r w:rsidRPr="00B970B4">
        <w:rPr>
          <w:rFonts w:asciiTheme="majorHAnsi" w:hAnsiTheme="majorHAnsi"/>
          <w:b/>
          <w:color w:val="003B79" w:themeColor="text1"/>
          <w:sz w:val="18"/>
          <w:szCs w:val="18"/>
          <w:lang w:val="it-IT"/>
        </w:rPr>
        <w:t>sem</w:t>
      </w:r>
      <w:r w:rsidR="001E12D5" w:rsidRPr="00B970B4">
        <w:rPr>
          <w:rFonts w:asciiTheme="majorHAnsi" w:hAnsiTheme="majorHAnsi"/>
          <w:b/>
          <w:color w:val="003B79" w:themeColor="text1"/>
          <w:sz w:val="18"/>
          <w:szCs w:val="18"/>
          <w:lang w:val="it-IT"/>
        </w:rPr>
        <w:t>. 2014 = 100)</w:t>
      </w:r>
    </w:p>
    <w:p w14:paraId="092EAAB2" w14:textId="77777777" w:rsidR="007E3398" w:rsidRDefault="00B74920">
      <w:pPr>
        <w:rPr>
          <w:rFonts w:ascii="Verdana" w:eastAsia="Calibri" w:hAnsi="Verdana" w:cs="Calibri"/>
          <w:i/>
          <w:sz w:val="20"/>
          <w:szCs w:val="20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4E33417B" wp14:editId="335405DC">
            <wp:extent cx="4102100" cy="204101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21932" cy="205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2D1EA" w14:textId="1F909847" w:rsidR="00E062E8" w:rsidRPr="00403242" w:rsidRDefault="00E062E8">
      <w:pPr>
        <w:rPr>
          <w:rFonts w:ascii="Verdana" w:eastAsia="Calibri" w:hAnsi="Verdana" w:cs="Calibri"/>
          <w:i/>
          <w:sz w:val="20"/>
          <w:szCs w:val="20"/>
          <w:lang w:val="it-IT"/>
        </w:rPr>
      </w:pPr>
      <w:r w:rsidRPr="00403242">
        <w:rPr>
          <w:rFonts w:ascii="Verdana" w:eastAsia="Calibri" w:hAnsi="Verdana" w:cs="Calibri"/>
          <w:i/>
          <w:sz w:val="20"/>
          <w:szCs w:val="20"/>
          <w:lang w:val="it-IT"/>
        </w:rPr>
        <w:t>Fonte: CRIF RES</w:t>
      </w:r>
    </w:p>
    <w:p w14:paraId="5E3222DD" w14:textId="7934A708" w:rsidR="00B970B4" w:rsidRDefault="00BA16AB" w:rsidP="00B655F8">
      <w:pPr>
        <w:jc w:val="both"/>
        <w:rPr>
          <w:rFonts w:asciiTheme="majorHAnsi" w:hAnsiTheme="majorHAnsi"/>
          <w:sz w:val="20"/>
          <w:szCs w:val="20"/>
          <w:lang w:val="it-IT"/>
        </w:rPr>
      </w:pPr>
      <w:r w:rsidRPr="0096093E">
        <w:rPr>
          <w:rFonts w:asciiTheme="majorHAnsi" w:hAnsiTheme="majorHAnsi"/>
          <w:sz w:val="20"/>
          <w:szCs w:val="20"/>
          <w:lang w:val="it-IT"/>
        </w:rPr>
        <w:t>A livello</w:t>
      </w:r>
      <w:r>
        <w:rPr>
          <w:rFonts w:asciiTheme="majorHAnsi" w:hAnsiTheme="majorHAnsi"/>
          <w:sz w:val="20"/>
          <w:szCs w:val="20"/>
          <w:lang w:val="it-IT"/>
        </w:rPr>
        <w:t xml:space="preserve"> territoriale e di segmento di mercato, però,</w:t>
      </w:r>
      <w:r w:rsidR="00B970B4">
        <w:rPr>
          <w:rFonts w:asciiTheme="majorHAnsi" w:hAnsiTheme="majorHAnsi"/>
          <w:sz w:val="20"/>
          <w:szCs w:val="20"/>
          <w:lang w:val="it-IT"/>
        </w:rPr>
        <w:t xml:space="preserve"> si osservano alcune differenze: i</w:t>
      </w:r>
      <w:r>
        <w:rPr>
          <w:rFonts w:asciiTheme="majorHAnsi" w:hAnsiTheme="majorHAnsi"/>
          <w:sz w:val="20"/>
          <w:szCs w:val="20"/>
          <w:lang w:val="it-IT"/>
        </w:rPr>
        <w:t xml:space="preserve"> </w:t>
      </w:r>
      <w:r>
        <w:rPr>
          <w:rFonts w:asciiTheme="majorHAnsi" w:hAnsiTheme="majorHAnsi"/>
          <w:b/>
          <w:sz w:val="20"/>
          <w:szCs w:val="20"/>
          <w:lang w:val="it-IT"/>
        </w:rPr>
        <w:t>negozi del Nord Est e del Sud I</w:t>
      </w:r>
      <w:r w:rsidRPr="0096093E">
        <w:rPr>
          <w:rFonts w:asciiTheme="majorHAnsi" w:hAnsiTheme="majorHAnsi"/>
          <w:b/>
          <w:sz w:val="20"/>
          <w:szCs w:val="20"/>
          <w:lang w:val="it-IT"/>
        </w:rPr>
        <w:t>talia</w:t>
      </w:r>
      <w:r>
        <w:rPr>
          <w:rFonts w:asciiTheme="majorHAnsi" w:hAnsiTheme="majorHAnsi"/>
          <w:sz w:val="20"/>
          <w:szCs w:val="20"/>
          <w:lang w:val="it-IT"/>
        </w:rPr>
        <w:t xml:space="preserve"> sono quelli che hanno subito la diminuzione dei valori più sensibile rispetto alle altre macroaree italiane, con una riduzione del </w:t>
      </w:r>
      <w:r w:rsidRPr="0096093E">
        <w:rPr>
          <w:rFonts w:asciiTheme="majorHAnsi" w:hAnsiTheme="majorHAnsi"/>
          <w:b/>
          <w:sz w:val="20"/>
          <w:szCs w:val="20"/>
          <w:lang w:val="it-IT"/>
        </w:rPr>
        <w:t>-35%</w:t>
      </w:r>
      <w:r>
        <w:rPr>
          <w:rFonts w:asciiTheme="majorHAnsi" w:hAnsiTheme="majorHAnsi"/>
          <w:sz w:val="20"/>
          <w:szCs w:val="20"/>
          <w:lang w:val="it-IT"/>
        </w:rPr>
        <w:t xml:space="preserve"> nel periodo di riferimento.</w:t>
      </w:r>
      <w:r w:rsidR="00B057E3">
        <w:rPr>
          <w:rFonts w:asciiTheme="majorHAnsi" w:hAnsiTheme="majorHAnsi"/>
          <w:sz w:val="20"/>
          <w:szCs w:val="20"/>
          <w:lang w:val="it-IT"/>
        </w:rPr>
        <w:t xml:space="preserve"> </w:t>
      </w:r>
      <w:r>
        <w:rPr>
          <w:rFonts w:asciiTheme="majorHAnsi" w:hAnsiTheme="majorHAnsi"/>
          <w:sz w:val="20"/>
          <w:szCs w:val="20"/>
          <w:lang w:val="it-IT"/>
        </w:rPr>
        <w:t xml:space="preserve">La flessione più marcata per gli </w:t>
      </w:r>
      <w:r w:rsidRPr="0096093E">
        <w:rPr>
          <w:rFonts w:asciiTheme="majorHAnsi" w:hAnsiTheme="majorHAnsi"/>
          <w:b/>
          <w:sz w:val="20"/>
          <w:szCs w:val="20"/>
          <w:lang w:val="it-IT"/>
        </w:rPr>
        <w:t>uffici</w:t>
      </w:r>
      <w:r w:rsidR="00B057E3">
        <w:rPr>
          <w:rFonts w:asciiTheme="majorHAnsi" w:hAnsiTheme="majorHAnsi"/>
          <w:sz w:val="20"/>
          <w:szCs w:val="20"/>
          <w:lang w:val="it-IT"/>
        </w:rPr>
        <w:t xml:space="preserve">, invece, </w:t>
      </w:r>
      <w:r>
        <w:rPr>
          <w:rFonts w:asciiTheme="majorHAnsi" w:hAnsiTheme="majorHAnsi"/>
          <w:sz w:val="20"/>
          <w:szCs w:val="20"/>
          <w:lang w:val="it-IT"/>
        </w:rPr>
        <w:t xml:space="preserve">è in corrispondenza delle unità ubicate nel </w:t>
      </w:r>
      <w:r w:rsidRPr="0096093E">
        <w:rPr>
          <w:rFonts w:asciiTheme="majorHAnsi" w:hAnsiTheme="majorHAnsi"/>
          <w:b/>
          <w:sz w:val="20"/>
          <w:szCs w:val="20"/>
          <w:lang w:val="it-IT"/>
        </w:rPr>
        <w:t>Centro</w:t>
      </w:r>
      <w:r>
        <w:rPr>
          <w:rFonts w:asciiTheme="majorHAnsi" w:hAnsiTheme="majorHAnsi"/>
          <w:sz w:val="20"/>
          <w:szCs w:val="20"/>
          <w:lang w:val="it-IT"/>
        </w:rPr>
        <w:t xml:space="preserve"> Italia con un calo del </w:t>
      </w:r>
      <w:r w:rsidRPr="0096093E">
        <w:rPr>
          <w:rFonts w:asciiTheme="majorHAnsi" w:hAnsiTheme="majorHAnsi"/>
          <w:b/>
          <w:sz w:val="20"/>
          <w:szCs w:val="20"/>
          <w:lang w:val="it-IT"/>
        </w:rPr>
        <w:t>-40%</w:t>
      </w:r>
      <w:r w:rsidR="00B057E3">
        <w:rPr>
          <w:rFonts w:asciiTheme="majorHAnsi" w:hAnsiTheme="majorHAnsi"/>
          <w:sz w:val="20"/>
          <w:szCs w:val="20"/>
          <w:lang w:val="it-IT"/>
        </w:rPr>
        <w:t xml:space="preserve"> mentre</w:t>
      </w:r>
      <w:r>
        <w:rPr>
          <w:rFonts w:asciiTheme="majorHAnsi" w:hAnsiTheme="majorHAnsi"/>
          <w:sz w:val="20"/>
          <w:szCs w:val="20"/>
          <w:lang w:val="it-IT"/>
        </w:rPr>
        <w:t xml:space="preserve"> sono i </w:t>
      </w:r>
      <w:r w:rsidRPr="0096093E">
        <w:rPr>
          <w:rFonts w:asciiTheme="majorHAnsi" w:hAnsiTheme="majorHAnsi"/>
          <w:b/>
          <w:sz w:val="20"/>
          <w:szCs w:val="20"/>
          <w:lang w:val="it-IT"/>
        </w:rPr>
        <w:t xml:space="preserve">capannoni </w:t>
      </w:r>
      <w:r>
        <w:rPr>
          <w:rFonts w:asciiTheme="majorHAnsi" w:hAnsiTheme="majorHAnsi"/>
          <w:sz w:val="20"/>
          <w:szCs w:val="20"/>
          <w:lang w:val="it-IT"/>
        </w:rPr>
        <w:t xml:space="preserve">presenti sulle </w:t>
      </w:r>
      <w:r w:rsidRPr="0096093E">
        <w:rPr>
          <w:rFonts w:asciiTheme="majorHAnsi" w:hAnsiTheme="majorHAnsi"/>
          <w:b/>
          <w:sz w:val="20"/>
          <w:szCs w:val="20"/>
          <w:lang w:val="it-IT"/>
        </w:rPr>
        <w:t>Isole</w:t>
      </w:r>
      <w:r>
        <w:rPr>
          <w:rFonts w:asciiTheme="majorHAnsi" w:hAnsiTheme="majorHAnsi"/>
          <w:sz w:val="20"/>
          <w:szCs w:val="20"/>
          <w:lang w:val="it-IT"/>
        </w:rPr>
        <w:t xml:space="preserve"> che hanno risentito maggiormente della fase negativa del mercato</w:t>
      </w:r>
      <w:r w:rsidR="00B057E3">
        <w:rPr>
          <w:rFonts w:asciiTheme="majorHAnsi" w:hAnsiTheme="majorHAnsi"/>
          <w:sz w:val="20"/>
          <w:szCs w:val="20"/>
          <w:lang w:val="it-IT"/>
        </w:rPr>
        <w:t>,</w:t>
      </w:r>
      <w:r>
        <w:rPr>
          <w:rFonts w:asciiTheme="majorHAnsi" w:hAnsiTheme="majorHAnsi"/>
          <w:sz w:val="20"/>
          <w:szCs w:val="20"/>
          <w:lang w:val="it-IT"/>
        </w:rPr>
        <w:t xml:space="preserve"> avendo perso ben il </w:t>
      </w:r>
      <w:r w:rsidRPr="0096093E">
        <w:rPr>
          <w:rFonts w:asciiTheme="majorHAnsi" w:hAnsiTheme="majorHAnsi"/>
          <w:b/>
          <w:sz w:val="20"/>
          <w:szCs w:val="20"/>
          <w:lang w:val="it-IT"/>
        </w:rPr>
        <w:t>48%</w:t>
      </w:r>
      <w:r>
        <w:rPr>
          <w:rFonts w:asciiTheme="majorHAnsi" w:hAnsiTheme="majorHAnsi"/>
          <w:sz w:val="20"/>
          <w:szCs w:val="20"/>
          <w:lang w:val="it-IT"/>
        </w:rPr>
        <w:t xml:space="preserve"> del valore nominale dal 2013 ad oggi.</w:t>
      </w:r>
    </w:p>
    <w:p w14:paraId="7BACF3EC" w14:textId="09A4A254" w:rsidR="00B970B4" w:rsidRDefault="00B970B4" w:rsidP="00DD2446">
      <w:pPr>
        <w:jc w:val="both"/>
        <w:rPr>
          <w:rFonts w:asciiTheme="majorHAnsi" w:eastAsia="Calibri" w:hAnsiTheme="majorHAnsi" w:cs="Calibri"/>
          <w:i/>
          <w:sz w:val="20"/>
          <w:szCs w:val="20"/>
          <w:lang w:val="it-IT"/>
        </w:rPr>
      </w:pPr>
      <w:r w:rsidRPr="00B655F8">
        <w:rPr>
          <w:rFonts w:asciiTheme="majorHAnsi" w:eastAsia="Calibri" w:hAnsiTheme="majorHAnsi" w:cs="Calibri"/>
          <w:i/>
          <w:sz w:val="20"/>
          <w:szCs w:val="20"/>
          <w:lang w:val="it-IT"/>
        </w:rPr>
        <w:t xml:space="preserve">“Anche se nel I semestre del 2019 i prezzi degli immobili direzionali e industriali mostrano ancora un trend tendenzialmente calante, la variazione negli ultimi dodici mesi risulta essere la più contenuta </w:t>
      </w:r>
      <w:r>
        <w:rPr>
          <w:rFonts w:asciiTheme="majorHAnsi" w:eastAsia="Calibri" w:hAnsiTheme="majorHAnsi" w:cs="Calibri"/>
          <w:i/>
          <w:sz w:val="20"/>
          <w:szCs w:val="20"/>
          <w:lang w:val="it-IT"/>
        </w:rPr>
        <w:t>nel periodo di osservazione, f</w:t>
      </w:r>
      <w:r w:rsidRPr="00B655F8">
        <w:rPr>
          <w:rFonts w:asciiTheme="majorHAnsi" w:eastAsia="Calibri" w:hAnsiTheme="majorHAnsi" w:cs="Calibri"/>
          <w:i/>
          <w:sz w:val="20"/>
          <w:szCs w:val="20"/>
          <w:lang w:val="it-IT"/>
        </w:rPr>
        <w:t xml:space="preserve">acendo presagire una maggiore stabilizzazione del mercato nel </w:t>
      </w:r>
      <w:r>
        <w:rPr>
          <w:rFonts w:asciiTheme="majorHAnsi" w:eastAsia="Calibri" w:hAnsiTheme="majorHAnsi" w:cs="Calibri"/>
          <w:i/>
          <w:sz w:val="20"/>
          <w:szCs w:val="20"/>
          <w:lang w:val="it-IT"/>
        </w:rPr>
        <w:t xml:space="preserve">suo </w:t>
      </w:r>
      <w:r w:rsidRPr="00B655F8">
        <w:rPr>
          <w:rFonts w:asciiTheme="majorHAnsi" w:eastAsia="Calibri" w:hAnsiTheme="majorHAnsi" w:cs="Calibri"/>
          <w:i/>
          <w:sz w:val="20"/>
          <w:szCs w:val="20"/>
          <w:lang w:val="it-IT"/>
        </w:rPr>
        <w:t>complesso</w:t>
      </w:r>
      <w:r>
        <w:rPr>
          <w:rFonts w:asciiTheme="majorHAnsi" w:eastAsia="Calibri" w:hAnsiTheme="majorHAnsi" w:cs="Calibri"/>
          <w:i/>
          <w:sz w:val="20"/>
          <w:szCs w:val="20"/>
          <w:lang w:val="it-IT"/>
        </w:rPr>
        <w:t xml:space="preserve"> </w:t>
      </w:r>
      <w:r w:rsidRPr="00B655F8">
        <w:rPr>
          <w:rFonts w:asciiTheme="majorHAnsi" w:eastAsia="Calibri" w:hAnsiTheme="majorHAnsi" w:cs="Calibri"/>
          <w:sz w:val="20"/>
          <w:szCs w:val="20"/>
          <w:lang w:val="it-IT"/>
        </w:rPr>
        <w:t xml:space="preserve">- afferma </w:t>
      </w:r>
      <w:r w:rsidRPr="00B655F8">
        <w:rPr>
          <w:rFonts w:asciiTheme="majorHAnsi" w:eastAsia="Calibri" w:hAnsiTheme="majorHAnsi" w:cs="Calibri"/>
          <w:b/>
          <w:sz w:val="20"/>
          <w:szCs w:val="20"/>
          <w:lang w:val="it-IT"/>
        </w:rPr>
        <w:t xml:space="preserve">Daniela Percoco, Responsabile Marketing e Research di CRIF RES </w:t>
      </w:r>
      <w:r w:rsidRPr="00B655F8">
        <w:rPr>
          <w:rFonts w:asciiTheme="majorHAnsi" w:eastAsia="Calibri" w:hAnsiTheme="majorHAnsi" w:cs="Calibri"/>
          <w:b/>
          <w:i/>
          <w:sz w:val="20"/>
          <w:szCs w:val="20"/>
          <w:lang w:val="it-IT"/>
        </w:rPr>
        <w:t>-</w:t>
      </w:r>
      <w:r w:rsidRPr="00B655F8">
        <w:rPr>
          <w:rFonts w:asciiTheme="majorHAnsi" w:eastAsia="Calibri" w:hAnsiTheme="majorHAnsi" w:cs="Calibri"/>
          <w:i/>
          <w:sz w:val="20"/>
          <w:szCs w:val="20"/>
          <w:lang w:val="it-IT"/>
        </w:rPr>
        <w:t xml:space="preserve">. Per quanto riguarda poi il segmento degli immobili commerciali tradizionali, nell’ultimo anno si è registrato </w:t>
      </w:r>
      <w:r>
        <w:rPr>
          <w:rFonts w:asciiTheme="majorHAnsi" w:eastAsia="Calibri" w:hAnsiTheme="majorHAnsi" w:cs="Calibri"/>
          <w:i/>
          <w:sz w:val="20"/>
          <w:szCs w:val="20"/>
          <w:lang w:val="it-IT"/>
        </w:rPr>
        <w:t xml:space="preserve">persino </w:t>
      </w:r>
      <w:r w:rsidRPr="00B655F8">
        <w:rPr>
          <w:rFonts w:asciiTheme="majorHAnsi" w:eastAsia="Calibri" w:hAnsiTheme="majorHAnsi" w:cs="Calibri"/>
          <w:i/>
          <w:sz w:val="20"/>
          <w:szCs w:val="20"/>
          <w:lang w:val="it-IT"/>
        </w:rPr>
        <w:t>un rimbalzo positivo dei valori, anch’esso da leggere come un fattore di possibile inversione di rotta</w:t>
      </w:r>
      <w:r>
        <w:rPr>
          <w:rFonts w:asciiTheme="majorHAnsi" w:eastAsia="Calibri" w:hAnsiTheme="majorHAnsi" w:cs="Calibri"/>
          <w:i/>
          <w:sz w:val="20"/>
          <w:szCs w:val="20"/>
          <w:lang w:val="it-IT"/>
        </w:rPr>
        <w:t>.</w:t>
      </w:r>
      <w:r w:rsidRPr="00B655F8">
        <w:rPr>
          <w:rFonts w:asciiTheme="majorHAnsi" w:eastAsia="Calibri" w:hAnsiTheme="majorHAnsi" w:cs="Calibri"/>
          <w:i/>
          <w:sz w:val="20"/>
          <w:szCs w:val="20"/>
          <w:lang w:val="it-IT"/>
        </w:rPr>
        <w:t xml:space="preserve"> Il favorevole momento sul fronte del mercato del credito, dovuto </w:t>
      </w:r>
      <w:r>
        <w:rPr>
          <w:rFonts w:asciiTheme="majorHAnsi" w:eastAsia="Calibri" w:hAnsiTheme="majorHAnsi" w:cs="Calibri"/>
          <w:i/>
          <w:sz w:val="20"/>
          <w:szCs w:val="20"/>
          <w:lang w:val="it-IT"/>
        </w:rPr>
        <w:t xml:space="preserve">anche </w:t>
      </w:r>
      <w:r w:rsidRPr="00B655F8">
        <w:rPr>
          <w:rFonts w:asciiTheme="majorHAnsi" w:eastAsia="Calibri" w:hAnsiTheme="majorHAnsi" w:cs="Calibri"/>
          <w:i/>
          <w:sz w:val="20"/>
          <w:szCs w:val="20"/>
          <w:lang w:val="it-IT"/>
        </w:rPr>
        <w:t xml:space="preserve">al raggiungimento dei livelli minimi per i tassi </w:t>
      </w:r>
      <w:r>
        <w:rPr>
          <w:rFonts w:asciiTheme="majorHAnsi" w:eastAsia="Calibri" w:hAnsiTheme="majorHAnsi" w:cs="Calibri"/>
          <w:i/>
          <w:sz w:val="20"/>
          <w:szCs w:val="20"/>
          <w:lang w:val="it-IT"/>
        </w:rPr>
        <w:t>applicati a</w:t>
      </w:r>
      <w:r w:rsidRPr="00B655F8">
        <w:rPr>
          <w:rFonts w:asciiTheme="majorHAnsi" w:eastAsia="Calibri" w:hAnsiTheme="majorHAnsi" w:cs="Calibri"/>
          <w:i/>
          <w:sz w:val="20"/>
          <w:szCs w:val="20"/>
          <w:lang w:val="it-IT"/>
        </w:rPr>
        <w:t>i finanziamenti</w:t>
      </w:r>
      <w:r>
        <w:rPr>
          <w:rFonts w:asciiTheme="majorHAnsi" w:eastAsia="Calibri" w:hAnsiTheme="majorHAnsi" w:cs="Calibri"/>
          <w:i/>
          <w:sz w:val="20"/>
          <w:szCs w:val="20"/>
          <w:lang w:val="it-IT"/>
        </w:rPr>
        <w:t xml:space="preserve"> oltre ad un livello di rischiosità del comparto inferiore ai periodi pre-crisi</w:t>
      </w:r>
      <w:r w:rsidRPr="00B655F8">
        <w:rPr>
          <w:rFonts w:asciiTheme="majorHAnsi" w:eastAsia="Calibri" w:hAnsiTheme="majorHAnsi" w:cs="Calibri"/>
          <w:i/>
          <w:sz w:val="20"/>
          <w:szCs w:val="20"/>
          <w:lang w:val="it-IT"/>
        </w:rPr>
        <w:t>, è di certo un elemento favorevole per una solida ripresa del settore</w:t>
      </w:r>
      <w:r>
        <w:rPr>
          <w:rFonts w:asciiTheme="majorHAnsi" w:eastAsia="Calibri" w:hAnsiTheme="majorHAnsi" w:cs="Calibri"/>
          <w:i/>
          <w:sz w:val="20"/>
          <w:szCs w:val="20"/>
          <w:lang w:val="it-IT"/>
        </w:rPr>
        <w:t xml:space="preserve"> anche se</w:t>
      </w:r>
      <w:r w:rsidRPr="00B655F8">
        <w:rPr>
          <w:rFonts w:asciiTheme="majorHAnsi" w:eastAsia="Calibri" w:hAnsiTheme="majorHAnsi" w:cs="Calibri"/>
          <w:i/>
          <w:sz w:val="20"/>
          <w:szCs w:val="20"/>
          <w:lang w:val="it-IT"/>
        </w:rPr>
        <w:t xml:space="preserve"> l’incerta intonazione economica rappresenta un freno per la fiducia e le aspettative delle imprese.</w:t>
      </w:r>
      <w:r>
        <w:rPr>
          <w:rFonts w:asciiTheme="majorHAnsi" w:eastAsia="Calibri" w:hAnsiTheme="majorHAnsi" w:cs="Calibri"/>
          <w:i/>
          <w:sz w:val="20"/>
          <w:szCs w:val="20"/>
          <w:lang w:val="it-IT"/>
        </w:rPr>
        <w:t>”</w:t>
      </w:r>
    </w:p>
    <w:p w14:paraId="68B09125" w14:textId="77777777" w:rsidR="00B970B4" w:rsidRPr="00403242" w:rsidRDefault="00B970B4" w:rsidP="00403242">
      <w:pPr>
        <w:jc w:val="both"/>
        <w:rPr>
          <w:rStyle w:val="Strong"/>
          <w:rFonts w:asciiTheme="majorHAnsi" w:hAnsiTheme="majorHAnsi" w:cs="Arial"/>
          <w:b w:val="0"/>
          <w:sz w:val="20"/>
          <w:szCs w:val="20"/>
          <w:lang w:val="it-IT"/>
        </w:rPr>
      </w:pPr>
    </w:p>
    <w:p w14:paraId="4BA1D09A" w14:textId="6FF26733" w:rsidR="003B1F25" w:rsidRDefault="001E12D5" w:rsidP="00403242">
      <w:pPr>
        <w:jc w:val="both"/>
        <w:rPr>
          <w:rFonts w:asciiTheme="majorHAnsi" w:hAnsiTheme="majorHAnsi" w:cs="Arial"/>
          <w:i/>
          <w:sz w:val="16"/>
          <w:szCs w:val="16"/>
          <w:lang w:val="it-IT"/>
        </w:rPr>
      </w:pPr>
      <w:r w:rsidRPr="00403242">
        <w:rPr>
          <w:rStyle w:val="Strong"/>
          <w:rFonts w:asciiTheme="majorHAnsi" w:hAnsiTheme="majorHAnsi" w:cs="Arial"/>
          <w:i/>
          <w:sz w:val="16"/>
          <w:szCs w:val="16"/>
          <w:lang w:val="it-IT"/>
        </w:rPr>
        <w:t>CRIF Real Estate Services</w:t>
      </w:r>
      <w:r w:rsidRPr="00403242">
        <w:rPr>
          <w:rFonts w:asciiTheme="majorHAnsi" w:hAnsiTheme="majorHAnsi" w:cs="Arial"/>
          <w:i/>
          <w:sz w:val="16"/>
          <w:szCs w:val="16"/>
          <w:lang w:val="it-IT"/>
        </w:rPr>
        <w:t> è la divisione del Gruppo CRIF che si occupa di sviluppare soluzioni in ambito Real Estate tra cui valutazioni immobiliari, visure immobiliari e ulteriori servizi per avere una completa conoscenza delle caratteristiche tecnico-urbanistiche di un immobile.</w:t>
      </w:r>
      <w:bookmarkEnd w:id="0"/>
    </w:p>
    <w:p w14:paraId="416DF5E1" w14:textId="38C15164" w:rsidR="00EE7BBC" w:rsidRDefault="00EE7BBC" w:rsidP="00403242">
      <w:pPr>
        <w:jc w:val="both"/>
        <w:rPr>
          <w:rFonts w:asciiTheme="majorHAnsi" w:hAnsiTheme="majorHAnsi" w:cs="Arial"/>
          <w:i/>
          <w:sz w:val="16"/>
          <w:szCs w:val="16"/>
          <w:lang w:val="it-IT"/>
        </w:rPr>
      </w:pPr>
    </w:p>
    <w:p w14:paraId="4A537F48" w14:textId="77777777" w:rsidR="00EE7BBC" w:rsidRDefault="00EE7BBC" w:rsidP="00EE7BBC">
      <w:pPr>
        <w:pStyle w:val="CRIFBodyText"/>
        <w:jc w:val="left"/>
        <w:rPr>
          <w:rFonts w:ascii="Calibri" w:eastAsia="Calibri" w:hAnsi="Calibri" w:cs="Calibri"/>
          <w:lang w:val="it-IT"/>
        </w:rPr>
      </w:pPr>
      <w:r>
        <w:rPr>
          <w:sz w:val="16"/>
          <w:szCs w:val="16"/>
          <w:lang w:val="it-IT"/>
        </w:rPr>
        <w:t>Per ulteriori informazioni:</w:t>
      </w:r>
      <w:r>
        <w:rPr>
          <w:sz w:val="16"/>
          <w:szCs w:val="16"/>
          <w:lang w:val="it-IT"/>
        </w:rPr>
        <w:br/>
      </w:r>
      <w:r>
        <w:rPr>
          <w:snapToGrid w:val="0"/>
          <w:sz w:val="16"/>
          <w:szCs w:val="16"/>
          <w:lang w:val="it-IT"/>
        </w:rPr>
        <w:t xml:space="preserve">Luca Fumagalli – </w:t>
      </w:r>
      <w:hyperlink r:id="rId17" w:history="1">
        <w:r>
          <w:rPr>
            <w:rStyle w:val="Hyperlink"/>
            <w:snapToGrid w:val="0"/>
            <w:sz w:val="16"/>
            <w:szCs w:val="16"/>
            <w:lang w:val="it-IT"/>
          </w:rPr>
          <w:t>luca.fumagalli@bcw-global.com</w:t>
        </w:r>
      </w:hyperlink>
      <w:r>
        <w:rPr>
          <w:snapToGrid w:val="0"/>
          <w:sz w:val="16"/>
          <w:szCs w:val="16"/>
          <w:lang w:val="it-IT"/>
        </w:rPr>
        <w:t xml:space="preserve"> - Tel. 02 72.143.538</w:t>
      </w:r>
    </w:p>
    <w:p w14:paraId="6B5C2DBC" w14:textId="77777777" w:rsidR="00EE7BBC" w:rsidRPr="007E3398" w:rsidRDefault="00EE7BBC" w:rsidP="00403242">
      <w:pPr>
        <w:jc w:val="both"/>
        <w:rPr>
          <w:rStyle w:val="Strong"/>
          <w:rFonts w:asciiTheme="majorHAnsi" w:hAnsiTheme="majorHAnsi" w:cs="Arial"/>
          <w:b w:val="0"/>
          <w:bCs w:val="0"/>
          <w:i/>
          <w:sz w:val="16"/>
          <w:szCs w:val="16"/>
          <w:lang w:val="it-IT"/>
        </w:rPr>
      </w:pPr>
      <w:bookmarkStart w:id="1" w:name="_GoBack"/>
      <w:bookmarkEnd w:id="1"/>
    </w:p>
    <w:sectPr w:rsidR="00EE7BBC" w:rsidRPr="007E3398" w:rsidSect="00D36FFA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872" w:right="1440" w:bottom="187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C8CAC" w14:textId="77777777" w:rsidR="006212F8" w:rsidRDefault="006212F8" w:rsidP="002C53BF">
      <w:pPr>
        <w:spacing w:after="0" w:line="240" w:lineRule="auto"/>
      </w:pPr>
      <w:r>
        <w:separator/>
      </w:r>
    </w:p>
  </w:endnote>
  <w:endnote w:type="continuationSeparator" w:id="0">
    <w:p w14:paraId="008E7E74" w14:textId="77777777" w:rsidR="006212F8" w:rsidRDefault="006212F8" w:rsidP="002C53BF">
      <w:pPr>
        <w:spacing w:after="0" w:line="240" w:lineRule="auto"/>
      </w:pPr>
      <w:r>
        <w:continuationSeparator/>
      </w:r>
    </w:p>
  </w:endnote>
  <w:endnote w:type="continuationNotice" w:id="1">
    <w:p w14:paraId="134A74BA" w14:textId="77777777" w:rsidR="006212F8" w:rsidRDefault="006212F8" w:rsidP="002C53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ndersonBCGSerif-Regular">
    <w:altName w:val="Henderson Serif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ex New Book">
    <w:altName w:val="Century"/>
    <w:charset w:val="00"/>
    <w:family w:val="auto"/>
    <w:pitch w:val="variable"/>
    <w:sig w:usb0="A00000FF" w:usb1="5001606B" w:usb2="00000010" w:usb3="00000000" w:csb0="0000019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E414C" w14:textId="77777777" w:rsidR="000D6FEC" w:rsidRPr="00D36FFA" w:rsidRDefault="000D6FEC" w:rsidP="00D36FFA">
    <w:pPr>
      <w:spacing w:after="0" w:line="360" w:lineRule="auto"/>
      <w:jc w:val="both"/>
      <w:rPr>
        <w:sz w:val="20"/>
        <w:lang w:val="it-IT"/>
      </w:rPr>
    </w:pPr>
    <w:r>
      <w:rPr>
        <w:noProof/>
        <w:color w:val="B0CFED" w:themeColor="accent3"/>
        <w:sz w:val="20"/>
        <w:lang w:val="it-IT"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7E4153" wp14:editId="737E4154">
              <wp:simplePos x="0" y="0"/>
              <wp:positionH relativeFrom="column">
                <wp:posOffset>5947410</wp:posOffset>
              </wp:positionH>
              <wp:positionV relativeFrom="paragraph">
                <wp:posOffset>-36830</wp:posOffset>
              </wp:positionV>
              <wp:extent cx="914400" cy="274320"/>
              <wp:effectExtent l="0" t="0" r="19050" b="1143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4400" cy="27432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7E4159" w14:textId="721463C8" w:rsidR="000D6FEC" w:rsidRPr="005849DB" w:rsidRDefault="000D6FEC" w:rsidP="005849DB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5849DB">
                            <w:rPr>
                              <w:sz w:val="20"/>
                            </w:rPr>
                            <w:fldChar w:fldCharType="begin"/>
                          </w:r>
                          <w:r w:rsidRPr="005849DB">
                            <w:rPr>
                              <w:sz w:val="20"/>
                            </w:rPr>
                            <w:instrText xml:space="preserve"> PAGE   \* MERGEFORMAT </w:instrText>
                          </w:r>
                          <w:r w:rsidRPr="005849DB">
                            <w:rPr>
                              <w:sz w:val="20"/>
                            </w:rPr>
                            <w:fldChar w:fldCharType="separate"/>
                          </w:r>
                          <w:r w:rsidR="007E3398">
                            <w:rPr>
                              <w:noProof/>
                              <w:sz w:val="20"/>
                            </w:rPr>
                            <w:t>6</w:t>
                          </w:r>
                          <w:r w:rsidRPr="005849DB">
                            <w:rPr>
                              <w:noProof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noProof/>
                              <w:sz w:val="20"/>
                            </w:rPr>
                            <w:t xml:space="preserve"> / </w:t>
                          </w:r>
                          <w:r>
                            <w:rPr>
                              <w:noProof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sz w:val="20"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  <w:sz w:val="20"/>
                            </w:rPr>
                            <w:fldChar w:fldCharType="separate"/>
                          </w:r>
                          <w:r w:rsidR="007E3398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rPr>
                              <w:noProof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7E4153" id="Rectangle 5" o:spid="_x0000_s1026" style="position:absolute;left:0;text-align:left;margin-left:468.3pt;margin-top:-2.9pt;width:1in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2Q3hAIAAFwFAAAOAAAAZHJzL2Uyb0RvYy54bWysVMFu2zAMvQ/YPwi6r3ayZN2MOkXQosOA&#10;oC3aDj0zshQbk0VNUhJnXz9KdtyuLXYY5oMhieQj+fSos/Ou1WwnnW/QlHxyknMmjcCqMZuSf3+4&#10;+vCZMx/AVKDRyJIfpOfni/fvzva2kFOsUVfSMQIxvtjbktch2CLLvKhlC/4ErTRkVOhaCLR1m6xy&#10;sCf0VmfTPP+U7dFV1qGQ3tPpZW/ki4SvlBThRikvA9Mlp9pC+rv0X8d/tjiDYuPA1o0YyoB/qKKF&#10;xlDSEeoSArCta15BtY1w6FGFE4Fthko1QqYeqJtJ/qKb+xqsTL0QOd6ONPn/Byuud7eONVXJ55wZ&#10;aOmK7og0MBst2TzSs7e+IK97e+tig96uUPzwZMj+sMSNH3w65droS+2xLnF9GLmWXWCCDr9MZrOc&#10;bkSQaXo6+zhNd5FBcQy2zoevElsWFyV3VFViGHYrH2J6KI4uQy19+lRIOGgZK9DmTipqjxJOU3QS&#10;lrzQju2AJAFCSBMmvamGSvbH85y+2DwlGSPSLgFGZNVoPWIPAFG0r7F7mME/hsqkyzE4/1thffAY&#10;kTKjCWNw2xh0bwFo6mrI3PsfSeqpiSyFbt2RS1yusTqQDhz2A+KtuGqI9hX4cAuOJoJuiqY83NBP&#10;adyXHIcVZzW6X2+dR38SKlk529OEldz/3IKTnOlvhiScFEAjmTaz+SkpgLnnlvVzi9m2F0g3NqH3&#10;xIq0jP5BH5fKYftIj8EyZiUTGEG5Sy6CO24uQj/59JwIuVwmNxpDC2Fl7q2I4JHgKKuH7hGcHbQX&#10;SLTXeJxGKF5IsPeNkQaX24CqSfp84nWgnkY4aWh4buIb8XyfvJ4excVvAAAA//8DAFBLAwQUAAYA&#10;CAAAACEA0TovSN8AAAAKAQAADwAAAGRycy9kb3ducmV2LnhtbEyPwU7DMAyG70i8Q2QkLmhLYax0&#10;pe6EEBWaxIXBAyRNaCsap2qyrvD0eKdxtP3p9/cX29n1YrJj6Dwh3C4TEJZqbzpqED4/qkUGIkRF&#10;RvWeLMKPDbAtLy8KlRt/pHc77WMjOIRCrhDaGIdcylC31qmw9IMlvn350anI49hIM6ojh7te3iVJ&#10;Kp3qiD+0arDPra2/9weHoHc6/lY63GSTrzY79/K69m+EeH01Pz2CiHaOZxhO+qwOJTtpfyATRI+w&#10;WaUpowiLNVc4AUmW8EYjrB7uQZaF/F+h/AMAAP//AwBQSwECLQAUAAYACAAAACEAtoM4kv4AAADh&#10;AQAAEwAAAAAAAAAAAAAAAAAAAAAAW0NvbnRlbnRfVHlwZXNdLnhtbFBLAQItABQABgAIAAAAIQA4&#10;/SH/1gAAAJQBAAALAAAAAAAAAAAAAAAAAC8BAABfcmVscy8ucmVsc1BLAQItABQABgAIAAAAIQBc&#10;52Q3hAIAAFwFAAAOAAAAAAAAAAAAAAAAAC4CAABkcnMvZTJvRG9jLnhtbFBLAQItABQABgAIAAAA&#10;IQDROi9I3wAAAAoBAAAPAAAAAAAAAAAAAAAAAN4EAABkcnMvZG93bnJldi54bWxQSwUGAAAAAAQA&#10;BADzAAAA6gUAAAAA&#10;" fillcolor="#003b79 [3204]" strokecolor="#001d3c [1604]" strokeweight="1pt">
              <v:path arrowok="t"/>
              <v:textbox>
                <w:txbxContent>
                  <w:p w14:paraId="737E4159" w14:textId="721463C8" w:rsidR="000D6FEC" w:rsidRPr="005849DB" w:rsidRDefault="000D6FEC" w:rsidP="005849DB">
                    <w:pPr>
                      <w:jc w:val="center"/>
                      <w:rPr>
                        <w:sz w:val="20"/>
                      </w:rPr>
                    </w:pPr>
                    <w:r w:rsidRPr="005849DB">
                      <w:rPr>
                        <w:sz w:val="20"/>
                      </w:rPr>
                      <w:fldChar w:fldCharType="begin"/>
                    </w:r>
                    <w:r w:rsidRPr="005849DB">
                      <w:rPr>
                        <w:sz w:val="20"/>
                      </w:rPr>
                      <w:instrText xml:space="preserve"> PAGE   \* MERGEFORMAT </w:instrText>
                    </w:r>
                    <w:r w:rsidRPr="005849DB">
                      <w:rPr>
                        <w:sz w:val="20"/>
                      </w:rPr>
                      <w:fldChar w:fldCharType="separate"/>
                    </w:r>
                    <w:r w:rsidR="007E3398">
                      <w:rPr>
                        <w:noProof/>
                        <w:sz w:val="20"/>
                      </w:rPr>
                      <w:t>6</w:t>
                    </w:r>
                    <w:r w:rsidRPr="005849DB">
                      <w:rPr>
                        <w:noProof/>
                        <w:sz w:val="20"/>
                      </w:rPr>
                      <w:fldChar w:fldCharType="end"/>
                    </w:r>
                    <w:r>
                      <w:rPr>
                        <w:noProof/>
                        <w:sz w:val="20"/>
                      </w:rPr>
                      <w:t xml:space="preserve"> / </w:t>
                    </w:r>
                    <w:r>
                      <w:rPr>
                        <w:noProof/>
                        <w:sz w:val="20"/>
                      </w:rPr>
                      <w:fldChar w:fldCharType="begin"/>
                    </w:r>
                    <w:r>
                      <w:rPr>
                        <w:noProof/>
                        <w:sz w:val="20"/>
                      </w:rPr>
                      <w:instrText xml:space="preserve"> NUMPAGES   \* MERGEFORMAT </w:instrText>
                    </w:r>
                    <w:r>
                      <w:rPr>
                        <w:noProof/>
                        <w:sz w:val="20"/>
                      </w:rPr>
                      <w:fldChar w:fldCharType="separate"/>
                    </w:r>
                    <w:r w:rsidR="007E3398">
                      <w:rPr>
                        <w:noProof/>
                        <w:sz w:val="20"/>
                      </w:rPr>
                      <w:t>6</w:t>
                    </w:r>
                    <w:r>
                      <w:rPr>
                        <w:noProof/>
                        <w:sz w:val="2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E4150" w14:textId="77777777" w:rsidR="000D6FEC" w:rsidRDefault="000D6FEC">
    <w:pPr>
      <w:pStyle w:val="Footer"/>
    </w:pPr>
    <w:r>
      <w:rPr>
        <w:noProof/>
        <w:color w:val="B0CFED" w:themeColor="accent3"/>
        <w:sz w:val="20"/>
        <w:lang w:val="it-IT"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7E4157" wp14:editId="737E4158">
              <wp:simplePos x="0" y="0"/>
              <wp:positionH relativeFrom="column">
                <wp:posOffset>5947410</wp:posOffset>
              </wp:positionH>
              <wp:positionV relativeFrom="paragraph">
                <wp:posOffset>-89535</wp:posOffset>
              </wp:positionV>
              <wp:extent cx="914400" cy="274320"/>
              <wp:effectExtent l="0" t="0" r="19050" b="1143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14400" cy="27432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7E415A" w14:textId="3F998079" w:rsidR="000D6FEC" w:rsidRPr="005849DB" w:rsidRDefault="000D6FEC" w:rsidP="00BA392E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5849DB">
                            <w:rPr>
                              <w:sz w:val="20"/>
                            </w:rPr>
                            <w:fldChar w:fldCharType="begin"/>
                          </w:r>
                          <w:r w:rsidRPr="005849DB">
                            <w:rPr>
                              <w:sz w:val="20"/>
                            </w:rPr>
                            <w:instrText xml:space="preserve"> PAGE   \* MERGEFORMAT </w:instrText>
                          </w:r>
                          <w:r w:rsidRPr="005849DB">
                            <w:rPr>
                              <w:sz w:val="20"/>
                            </w:rPr>
                            <w:fldChar w:fldCharType="separate"/>
                          </w:r>
                          <w:r w:rsidR="007E3398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5849DB">
                            <w:rPr>
                              <w:noProof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noProof/>
                              <w:sz w:val="20"/>
                            </w:rPr>
                            <w:t xml:space="preserve"> / </w:t>
                          </w:r>
                          <w:r>
                            <w:rPr>
                              <w:noProof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sz w:val="20"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  <w:sz w:val="20"/>
                            </w:rPr>
                            <w:fldChar w:fldCharType="separate"/>
                          </w:r>
                          <w:r w:rsidR="007E3398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rPr>
                              <w:noProof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7E4157" id="_x0000_s1027" style="position:absolute;margin-left:468.3pt;margin-top:-7.05pt;width:1in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i/VhgIAAGMFAAAOAAAAZHJzL2Uyb0RvYy54bWysVN9P2zAQfp+0/8Hy+0haymARKapATJMq&#10;QMDE89Wxm2iOz7PdNt1fv7OTBgZoD9PyYMW+u+9+fXfnF12r2VY636Ap+eQo50wagVVj1iX//nj9&#10;6YwzH8BUoNHIku+l5xfzjx/Od7aQU6xRV9IxAjG+2NmS1yHYIsu8qGUL/gitNCRU6FoIdHXrrHKw&#10;I/RWZ9M8/5zt0FXWoZDe0+tVL+TzhK+UFOFWKS8D0yWn2EI6XTpX8czm51CsHdi6EUMY8A9RtNAY&#10;cjpCXUEAtnHNG6i2EQ49qnAksM1QqUbIlANlM8lfZfNQg5UpFyqOt2OZ/P+DFTfbO8eaquTHnBlo&#10;qUX3VDQway3ZSSzPzvqCtB7snYsJertE8cOTIPtDEi9+0OmUa6Mupce6VOv9WGvZBSbo8ctkNsup&#10;I4JE09PZ8TT1IoPiYGydD18ltiz+lNxRVKnCsF36EN1DcVAZYundp0DCXssYgTb3UlF65HCarBOx&#10;5KV2bAtECRBCmjDpRTVUsn8+yemLyZOT0SLdEmBEVo3WI/YAEEn7FruHGfSjqUy8HI3zvwXWG48W&#10;yTOaMBq3jUH3HoCmrAbPvf6hSH1pYpVCt+pS65NmfFlhtSc6OOznxFtx3VD1l+DDHTgaDGoYDXu4&#10;pUNp3JUchz/OanS/3nuP+sRXknK2o0Eruf+5ASc5098MMTkRgSYzXWYnp0QE5l5KVi8lZtNeIjVu&#10;QmvFivQb9YM+/CqH7RPthEX0SiIwgnyXXAR3uFyGfgHQVhFysUhqNI0WwtI8WBHBY50jux67J3B2&#10;oGAg7t7gYSiheMXEXjdaGlxsAqom0fS5rkMHaJITlYatE1fFy3vSet6N898AAAD//wMAUEsDBBQA&#10;BgAIAAAAIQCrGX624AAAAAsBAAAPAAAAZHJzL2Rvd25yZXYueG1sTI9BTsMwEEX3SNzBGiQ2qLVT&#10;IErSTCqEiFAlNhQOYMcmiRqPo9hNA6fHXcFyZp7+vF/uFjuw2Uy+d4SQrAUwQ43TPbUInx/1KgPm&#10;gyQtB0cG4dt42FXXV6UstDvTu5kPoWUxhHwhEboQxoJz33TGSr92o6F4+3KTlSGOU8v1JM8x3A58&#10;I0TKrewpfujkaJ470xwPJ4ug9ir81MrfZbOr8719eX10b4R4e7M8bYEFs4Q/GC76UR2q6KTcibRn&#10;A0J+n6YRRVglDwmwCyEyEVcKYZMnwKuS/+9Q/QIAAP//AwBQSwECLQAUAAYACAAAACEAtoM4kv4A&#10;AADhAQAAEwAAAAAAAAAAAAAAAAAAAAAAW0NvbnRlbnRfVHlwZXNdLnhtbFBLAQItABQABgAIAAAA&#10;IQA4/SH/1gAAAJQBAAALAAAAAAAAAAAAAAAAAC8BAABfcmVscy8ucmVsc1BLAQItABQABgAIAAAA&#10;IQAk/i/VhgIAAGMFAAAOAAAAAAAAAAAAAAAAAC4CAABkcnMvZTJvRG9jLnhtbFBLAQItABQABgAI&#10;AAAAIQCrGX624AAAAAsBAAAPAAAAAAAAAAAAAAAAAOAEAABkcnMvZG93bnJldi54bWxQSwUGAAAA&#10;AAQABADzAAAA7QUAAAAA&#10;" fillcolor="#003b79 [3204]" strokecolor="#001d3c [1604]" strokeweight="1pt">
              <v:path arrowok="t"/>
              <v:textbox>
                <w:txbxContent>
                  <w:p w14:paraId="737E415A" w14:textId="3F998079" w:rsidR="000D6FEC" w:rsidRPr="005849DB" w:rsidRDefault="000D6FEC" w:rsidP="00BA392E">
                    <w:pPr>
                      <w:jc w:val="center"/>
                      <w:rPr>
                        <w:sz w:val="20"/>
                      </w:rPr>
                    </w:pPr>
                    <w:r w:rsidRPr="005849DB">
                      <w:rPr>
                        <w:sz w:val="20"/>
                      </w:rPr>
                      <w:fldChar w:fldCharType="begin"/>
                    </w:r>
                    <w:r w:rsidRPr="005849DB">
                      <w:rPr>
                        <w:sz w:val="20"/>
                      </w:rPr>
                      <w:instrText xml:space="preserve"> PAGE   \* MERGEFORMAT </w:instrText>
                    </w:r>
                    <w:r w:rsidRPr="005849DB">
                      <w:rPr>
                        <w:sz w:val="20"/>
                      </w:rPr>
                      <w:fldChar w:fldCharType="separate"/>
                    </w:r>
                    <w:r w:rsidR="007E3398">
                      <w:rPr>
                        <w:noProof/>
                        <w:sz w:val="20"/>
                      </w:rPr>
                      <w:t>1</w:t>
                    </w:r>
                    <w:r w:rsidRPr="005849DB">
                      <w:rPr>
                        <w:noProof/>
                        <w:sz w:val="20"/>
                      </w:rPr>
                      <w:fldChar w:fldCharType="end"/>
                    </w:r>
                    <w:r>
                      <w:rPr>
                        <w:noProof/>
                        <w:sz w:val="20"/>
                      </w:rPr>
                      <w:t xml:space="preserve"> / </w:t>
                    </w:r>
                    <w:r>
                      <w:rPr>
                        <w:noProof/>
                        <w:sz w:val="20"/>
                      </w:rPr>
                      <w:fldChar w:fldCharType="begin"/>
                    </w:r>
                    <w:r>
                      <w:rPr>
                        <w:noProof/>
                        <w:sz w:val="20"/>
                      </w:rPr>
                      <w:instrText xml:space="preserve"> NUMPAGES   \* MERGEFORMAT </w:instrText>
                    </w:r>
                    <w:r>
                      <w:rPr>
                        <w:noProof/>
                        <w:sz w:val="20"/>
                      </w:rPr>
                      <w:fldChar w:fldCharType="separate"/>
                    </w:r>
                    <w:r w:rsidR="007E3398">
                      <w:rPr>
                        <w:noProof/>
                        <w:sz w:val="20"/>
                      </w:rPr>
                      <w:t>6</w:t>
                    </w:r>
                    <w:r>
                      <w:rPr>
                        <w:noProof/>
                        <w:sz w:val="2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17B87" w14:textId="77777777" w:rsidR="006212F8" w:rsidRDefault="006212F8" w:rsidP="002C53BF">
      <w:pPr>
        <w:spacing w:after="0" w:line="240" w:lineRule="auto"/>
      </w:pPr>
      <w:r>
        <w:separator/>
      </w:r>
    </w:p>
  </w:footnote>
  <w:footnote w:type="continuationSeparator" w:id="0">
    <w:p w14:paraId="6E4B67CA" w14:textId="77777777" w:rsidR="006212F8" w:rsidRDefault="006212F8" w:rsidP="002C53BF">
      <w:pPr>
        <w:spacing w:after="0" w:line="240" w:lineRule="auto"/>
      </w:pPr>
      <w:r>
        <w:continuationSeparator/>
      </w:r>
    </w:p>
  </w:footnote>
  <w:footnote w:type="continuationNotice" w:id="1">
    <w:p w14:paraId="017831C4" w14:textId="77777777" w:rsidR="006212F8" w:rsidRDefault="006212F8" w:rsidP="002C53BF">
      <w:pPr>
        <w:spacing w:after="0" w:line="240" w:lineRule="auto"/>
      </w:pPr>
    </w:p>
  </w:footnote>
  <w:footnote w:id="2">
    <w:p w14:paraId="27C7AF1F" w14:textId="77777777" w:rsidR="000D6FEC" w:rsidRPr="00765AAF" w:rsidRDefault="000D6FEC" w:rsidP="001E12D5">
      <w:pPr>
        <w:pStyle w:val="FootnoteText"/>
        <w:jc w:val="both"/>
        <w:rPr>
          <w:lang w:val="it-IT"/>
        </w:rPr>
      </w:pPr>
      <w:r>
        <w:rPr>
          <w:rStyle w:val="FootnoteReference"/>
        </w:rPr>
        <w:footnoteRef/>
      </w:r>
      <w:r w:rsidRPr="00765AAF">
        <w:rPr>
          <w:lang w:val="it-IT"/>
        </w:rPr>
        <w:t xml:space="preserve"> </w:t>
      </w:r>
      <w:r>
        <w:rPr>
          <w:lang w:val="it-IT"/>
        </w:rPr>
        <w:t xml:space="preserve">Tale similitudine è stata misurata dal Population Stability Index che, mettendo a confronto la distribuzione di due variabili, in questo caso le compravendite e le valutazioni effettuate da CRIF, mostra che la distribuzione della seconda è fortemente rappresentativa della prima.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E4149" w14:textId="77777777" w:rsidR="000D6FEC" w:rsidRDefault="000D6FEC">
    <w:pPr>
      <w:pStyle w:val="Header"/>
    </w:pPr>
  </w:p>
  <w:p w14:paraId="737E414A" w14:textId="77777777" w:rsidR="000D6FEC" w:rsidRDefault="000D6FEC">
    <w:pPr>
      <w:pStyle w:val="Header"/>
    </w:pPr>
    <w:r w:rsidRPr="002A09F3">
      <w:rPr>
        <w:noProof/>
        <w:lang w:val="it-IT" w:eastAsia="it-IT"/>
      </w:rPr>
      <w:drawing>
        <wp:anchor distT="0" distB="0" distL="114300" distR="114300" simplePos="0" relativeHeight="251665408" behindDoc="0" locked="0" layoutInCell="1" allowOverlap="1" wp14:anchorId="737E4151" wp14:editId="737E4152">
          <wp:simplePos x="0" y="0"/>
          <wp:positionH relativeFrom="column">
            <wp:posOffset>-8890</wp:posOffset>
          </wp:positionH>
          <wp:positionV relativeFrom="page">
            <wp:posOffset>327660</wp:posOffset>
          </wp:positionV>
          <wp:extent cx="1208405" cy="539750"/>
          <wp:effectExtent l="0" t="0" r="0" b="0"/>
          <wp:wrapNone/>
          <wp:docPr id="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0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7E414B" w14:textId="77777777" w:rsidR="000D6FEC" w:rsidRDefault="000D6F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E414D" w14:textId="77777777" w:rsidR="000D6FEC" w:rsidRDefault="000D6FEC">
    <w:pPr>
      <w:pStyle w:val="Header"/>
    </w:pPr>
    <w:r w:rsidRPr="002A09F3">
      <w:rPr>
        <w:noProof/>
        <w:lang w:val="it-IT" w:eastAsia="it-IT"/>
      </w:rPr>
      <w:drawing>
        <wp:anchor distT="0" distB="0" distL="114300" distR="114300" simplePos="0" relativeHeight="251667456" behindDoc="0" locked="0" layoutInCell="1" allowOverlap="1" wp14:anchorId="737E4155" wp14:editId="737E4156">
          <wp:simplePos x="0" y="0"/>
          <wp:positionH relativeFrom="column">
            <wp:posOffset>143510</wp:posOffset>
          </wp:positionH>
          <wp:positionV relativeFrom="page">
            <wp:posOffset>480060</wp:posOffset>
          </wp:positionV>
          <wp:extent cx="1208405" cy="539750"/>
          <wp:effectExtent l="0" t="0" r="0" b="0"/>
          <wp:wrapNone/>
          <wp:docPr id="2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0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7E414E" w14:textId="77777777" w:rsidR="000D6FEC" w:rsidRDefault="000D6FEC">
    <w:pPr>
      <w:pStyle w:val="Header"/>
    </w:pPr>
  </w:p>
  <w:p w14:paraId="737E414F" w14:textId="77777777" w:rsidR="000D6FEC" w:rsidRDefault="000D6F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E2C2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9F5CD7"/>
    <w:multiLevelType w:val="hybridMultilevel"/>
    <w:tmpl w:val="E0280AD2"/>
    <w:lvl w:ilvl="0" w:tplc="13E45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858BF"/>
    <w:multiLevelType w:val="hybridMultilevel"/>
    <w:tmpl w:val="CA825D92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0E993CA2"/>
    <w:multiLevelType w:val="multilevel"/>
    <w:tmpl w:val="BB88D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EAB6565"/>
    <w:multiLevelType w:val="hybridMultilevel"/>
    <w:tmpl w:val="D194C816"/>
    <w:lvl w:ilvl="0" w:tplc="53FAF1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7D11" w:themeColor="accent2"/>
      </w:rPr>
    </w:lvl>
    <w:lvl w:ilvl="1" w:tplc="AA34FDF8">
      <w:start w:val="1"/>
      <w:numFmt w:val="bullet"/>
      <w:lvlText w:val="▬"/>
      <w:lvlJc w:val="left"/>
      <w:pPr>
        <w:ind w:left="1440" w:hanging="360"/>
      </w:pPr>
      <w:rPr>
        <w:rFonts w:ascii="Courier New" w:hAnsi="Courier New" w:cs="Times New Roman" w:hint="default"/>
        <w:b/>
        <w:i w:val="0"/>
        <w:color w:val="003B79" w:themeColor="text1"/>
        <w:sz w:val="20"/>
      </w:rPr>
    </w:lvl>
    <w:lvl w:ilvl="2" w:tplc="F4E4987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  <w:i w:val="0"/>
        <w:color w:val="003B79" w:themeColor="text1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B609D"/>
    <w:multiLevelType w:val="multilevel"/>
    <w:tmpl w:val="583E9A9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4A423F"/>
    <w:multiLevelType w:val="hybridMultilevel"/>
    <w:tmpl w:val="653079FC"/>
    <w:lvl w:ilvl="0" w:tplc="3EE4289A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  <w:b/>
        <w:i w:val="0"/>
        <w:color w:val="003B79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D52BF"/>
    <w:multiLevelType w:val="multilevel"/>
    <w:tmpl w:val="0410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3863400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3E1486F"/>
    <w:multiLevelType w:val="multilevel"/>
    <w:tmpl w:val="766C83E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.%2.%3.%1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0" w15:restartNumberingAfterBreak="0">
    <w:nsid w:val="153C64A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5633B0C"/>
    <w:multiLevelType w:val="multilevel"/>
    <w:tmpl w:val="B4ACE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71A734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7D86864"/>
    <w:multiLevelType w:val="hybridMultilevel"/>
    <w:tmpl w:val="13528936"/>
    <w:lvl w:ilvl="0" w:tplc="19485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81206"/>
    <w:multiLevelType w:val="hybridMultilevel"/>
    <w:tmpl w:val="2A568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65DE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DB151B8"/>
    <w:multiLevelType w:val="hybridMultilevel"/>
    <w:tmpl w:val="9604A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CA0C08"/>
    <w:multiLevelType w:val="multilevel"/>
    <w:tmpl w:val="766C83E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.%2.%3.%1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8" w15:restartNumberingAfterBreak="0">
    <w:nsid w:val="28A20DF6"/>
    <w:multiLevelType w:val="hybridMultilevel"/>
    <w:tmpl w:val="3DF42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A1FB0"/>
    <w:multiLevelType w:val="hybridMultilevel"/>
    <w:tmpl w:val="9110BEAE"/>
    <w:lvl w:ilvl="0" w:tplc="2C8C4918">
      <w:start w:val="1"/>
      <w:numFmt w:val="bullet"/>
      <w:lvlText w:val="○"/>
      <w:lvlJc w:val="left"/>
      <w:pPr>
        <w:ind w:left="1080" w:hanging="360"/>
      </w:pPr>
      <w:rPr>
        <w:rFonts w:ascii="Courier New" w:hAnsi="Courier New" w:hint="default"/>
        <w:b/>
        <w:i w:val="0"/>
        <w:color w:val="003B79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F7792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0CF19E2"/>
    <w:multiLevelType w:val="multilevel"/>
    <w:tmpl w:val="A9D4B1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131"/>
      </w:pPr>
      <w:rPr>
        <w:rFonts w:ascii="Verdana" w:hAnsi="Verdana" w:hint="default"/>
        <w:b/>
        <w:i w:val="0"/>
        <w:color w:val="003B79" w:themeColor="text1"/>
        <w:spacing w:val="20"/>
        <w:w w:val="100"/>
        <w:kern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90D43C1"/>
    <w:multiLevelType w:val="hybridMultilevel"/>
    <w:tmpl w:val="063A4A80"/>
    <w:lvl w:ilvl="0" w:tplc="5CEEA6F4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E12F5"/>
    <w:multiLevelType w:val="multilevel"/>
    <w:tmpl w:val="766C83E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.%2.%3.%1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4AA022CA"/>
    <w:multiLevelType w:val="hybridMultilevel"/>
    <w:tmpl w:val="8C809E1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5" w15:restartNumberingAfterBreak="0">
    <w:nsid w:val="4EE02C30"/>
    <w:multiLevelType w:val="hybridMultilevel"/>
    <w:tmpl w:val="983A8DE0"/>
    <w:lvl w:ilvl="0" w:tplc="AA34FDF8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  <w:b/>
        <w:i w:val="0"/>
        <w:color w:val="003B79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21954"/>
    <w:multiLevelType w:val="hybridMultilevel"/>
    <w:tmpl w:val="C0F4F028"/>
    <w:lvl w:ilvl="0" w:tplc="F4E498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003B79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50CA1"/>
    <w:multiLevelType w:val="hybridMultilevel"/>
    <w:tmpl w:val="FBD2611C"/>
    <w:lvl w:ilvl="0" w:tplc="7908A4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3B79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221E6"/>
    <w:multiLevelType w:val="hybridMultilevel"/>
    <w:tmpl w:val="5EC295D0"/>
    <w:lvl w:ilvl="0" w:tplc="13E45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B0FD6"/>
    <w:multiLevelType w:val="hybridMultilevel"/>
    <w:tmpl w:val="72C6B4F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EC1554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083583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1F717ED"/>
    <w:multiLevelType w:val="hybridMultilevel"/>
    <w:tmpl w:val="2D22DBF4"/>
    <w:lvl w:ilvl="0" w:tplc="53FAF120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  <w:color w:val="EE7D11" w:themeColor="accent2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3" w15:restartNumberingAfterBreak="0">
    <w:nsid w:val="66952005"/>
    <w:multiLevelType w:val="hybridMultilevel"/>
    <w:tmpl w:val="2A14BD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761CC"/>
    <w:multiLevelType w:val="hybridMultilevel"/>
    <w:tmpl w:val="4470E2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A2985"/>
    <w:multiLevelType w:val="hybridMultilevel"/>
    <w:tmpl w:val="3C6ED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18004F"/>
    <w:multiLevelType w:val="hybridMultilevel"/>
    <w:tmpl w:val="712079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E5FD7"/>
    <w:multiLevelType w:val="hybridMultilevel"/>
    <w:tmpl w:val="952C3B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5E490F"/>
    <w:multiLevelType w:val="multilevel"/>
    <w:tmpl w:val="A9D4B1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131"/>
      </w:pPr>
      <w:rPr>
        <w:rFonts w:ascii="Verdana" w:hAnsi="Verdana" w:hint="default"/>
        <w:b/>
        <w:i w:val="0"/>
        <w:color w:val="003B79" w:themeColor="text1"/>
        <w:spacing w:val="20"/>
        <w:w w:val="100"/>
        <w:kern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DDF18A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3B79" w:themeColor="text1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E82180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F610E3F"/>
    <w:multiLevelType w:val="hybridMultilevel"/>
    <w:tmpl w:val="E5AA5E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24"/>
  </w:num>
  <w:num w:numId="4">
    <w:abstractNumId w:val="32"/>
  </w:num>
  <w:num w:numId="5">
    <w:abstractNumId w:val="31"/>
  </w:num>
  <w:num w:numId="6">
    <w:abstractNumId w:val="6"/>
  </w:num>
  <w:num w:numId="7">
    <w:abstractNumId w:val="19"/>
  </w:num>
  <w:num w:numId="8">
    <w:abstractNumId w:val="26"/>
  </w:num>
  <w:num w:numId="9">
    <w:abstractNumId w:val="25"/>
  </w:num>
  <w:num w:numId="10">
    <w:abstractNumId w:val="4"/>
  </w:num>
  <w:num w:numId="11">
    <w:abstractNumId w:val="11"/>
  </w:num>
  <w:num w:numId="12">
    <w:abstractNumId w:val="3"/>
  </w:num>
  <w:num w:numId="13">
    <w:abstractNumId w:val="34"/>
  </w:num>
  <w:num w:numId="14">
    <w:abstractNumId w:val="27"/>
  </w:num>
  <w:num w:numId="15">
    <w:abstractNumId w:val="22"/>
  </w:num>
  <w:num w:numId="16">
    <w:abstractNumId w:val="33"/>
  </w:num>
  <w:num w:numId="17">
    <w:abstractNumId w:val="30"/>
  </w:num>
  <w:num w:numId="18">
    <w:abstractNumId w:val="17"/>
  </w:num>
  <w:num w:numId="19">
    <w:abstractNumId w:val="17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.%2.%3.%1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20">
    <w:abstractNumId w:val="1"/>
  </w:num>
  <w:num w:numId="21">
    <w:abstractNumId w:val="28"/>
  </w:num>
  <w:num w:numId="22">
    <w:abstractNumId w:val="13"/>
  </w:num>
  <w:num w:numId="23">
    <w:abstractNumId w:val="9"/>
  </w:num>
  <w:num w:numId="24">
    <w:abstractNumId w:val="40"/>
  </w:num>
  <w:num w:numId="25">
    <w:abstractNumId w:val="5"/>
  </w:num>
  <w:num w:numId="26">
    <w:abstractNumId w:val="10"/>
  </w:num>
  <w:num w:numId="27">
    <w:abstractNumId w:val="38"/>
  </w:num>
  <w:num w:numId="28">
    <w:abstractNumId w:val="21"/>
  </w:num>
  <w:num w:numId="29">
    <w:abstractNumId w:val="39"/>
  </w:num>
  <w:num w:numId="30">
    <w:abstractNumId w:val="15"/>
  </w:num>
  <w:num w:numId="31">
    <w:abstractNumId w:val="7"/>
  </w:num>
  <w:num w:numId="32">
    <w:abstractNumId w:val="0"/>
  </w:num>
  <w:num w:numId="33">
    <w:abstractNumId w:val="20"/>
  </w:num>
  <w:num w:numId="34">
    <w:abstractNumId w:val="36"/>
  </w:num>
  <w:num w:numId="35">
    <w:abstractNumId w:val="37"/>
  </w:num>
  <w:num w:numId="36">
    <w:abstractNumId w:val="12"/>
  </w:num>
  <w:num w:numId="37">
    <w:abstractNumId w:val="41"/>
  </w:num>
  <w:num w:numId="38">
    <w:abstractNumId w:val="8"/>
  </w:num>
  <w:num w:numId="39">
    <w:abstractNumId w:val="23"/>
  </w:num>
  <w:num w:numId="40">
    <w:abstractNumId w:val="35"/>
  </w:num>
  <w:num w:numId="41">
    <w:abstractNumId w:val="29"/>
  </w:num>
  <w:num w:numId="42">
    <w:abstractNumId w:val="18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92E"/>
    <w:rsid w:val="00001471"/>
    <w:rsid w:val="0000197C"/>
    <w:rsid w:val="00002806"/>
    <w:rsid w:val="00004014"/>
    <w:rsid w:val="0000484F"/>
    <w:rsid w:val="00007811"/>
    <w:rsid w:val="000109B9"/>
    <w:rsid w:val="00010FB3"/>
    <w:rsid w:val="00012B1C"/>
    <w:rsid w:val="00012C87"/>
    <w:rsid w:val="0001382A"/>
    <w:rsid w:val="00015B75"/>
    <w:rsid w:val="00020245"/>
    <w:rsid w:val="0002080F"/>
    <w:rsid w:val="00020DD9"/>
    <w:rsid w:val="00023EF1"/>
    <w:rsid w:val="0002535B"/>
    <w:rsid w:val="00026167"/>
    <w:rsid w:val="00026200"/>
    <w:rsid w:val="00027D8F"/>
    <w:rsid w:val="00030F14"/>
    <w:rsid w:val="000313D8"/>
    <w:rsid w:val="00032AAA"/>
    <w:rsid w:val="00032DF0"/>
    <w:rsid w:val="00036643"/>
    <w:rsid w:val="00040F5F"/>
    <w:rsid w:val="00044B04"/>
    <w:rsid w:val="00045809"/>
    <w:rsid w:val="00045BB6"/>
    <w:rsid w:val="0004615F"/>
    <w:rsid w:val="000465B9"/>
    <w:rsid w:val="00046BE3"/>
    <w:rsid w:val="000508E4"/>
    <w:rsid w:val="000516C4"/>
    <w:rsid w:val="00051A77"/>
    <w:rsid w:val="00053DFC"/>
    <w:rsid w:val="0005431A"/>
    <w:rsid w:val="00056010"/>
    <w:rsid w:val="00056315"/>
    <w:rsid w:val="00057649"/>
    <w:rsid w:val="00063A7E"/>
    <w:rsid w:val="0006563A"/>
    <w:rsid w:val="0007055E"/>
    <w:rsid w:val="000711E3"/>
    <w:rsid w:val="000725C5"/>
    <w:rsid w:val="000731DA"/>
    <w:rsid w:val="00073FD2"/>
    <w:rsid w:val="0007419E"/>
    <w:rsid w:val="0007582F"/>
    <w:rsid w:val="00076251"/>
    <w:rsid w:val="00076D22"/>
    <w:rsid w:val="00082233"/>
    <w:rsid w:val="00082B3B"/>
    <w:rsid w:val="0008397D"/>
    <w:rsid w:val="00086E39"/>
    <w:rsid w:val="00087314"/>
    <w:rsid w:val="000877E3"/>
    <w:rsid w:val="00087A53"/>
    <w:rsid w:val="00090233"/>
    <w:rsid w:val="000914DA"/>
    <w:rsid w:val="00092DBC"/>
    <w:rsid w:val="00094299"/>
    <w:rsid w:val="000958F4"/>
    <w:rsid w:val="000A22D0"/>
    <w:rsid w:val="000A46D2"/>
    <w:rsid w:val="000A4A33"/>
    <w:rsid w:val="000B11F8"/>
    <w:rsid w:val="000B1462"/>
    <w:rsid w:val="000B15CE"/>
    <w:rsid w:val="000B18A5"/>
    <w:rsid w:val="000B2404"/>
    <w:rsid w:val="000B2D31"/>
    <w:rsid w:val="000B3148"/>
    <w:rsid w:val="000B4997"/>
    <w:rsid w:val="000B4F02"/>
    <w:rsid w:val="000B6C5A"/>
    <w:rsid w:val="000C0CE1"/>
    <w:rsid w:val="000C1188"/>
    <w:rsid w:val="000C14CC"/>
    <w:rsid w:val="000C174E"/>
    <w:rsid w:val="000C257C"/>
    <w:rsid w:val="000C456A"/>
    <w:rsid w:val="000C58E6"/>
    <w:rsid w:val="000C614F"/>
    <w:rsid w:val="000C7C51"/>
    <w:rsid w:val="000D0B1B"/>
    <w:rsid w:val="000D1408"/>
    <w:rsid w:val="000D530A"/>
    <w:rsid w:val="000D6FEC"/>
    <w:rsid w:val="000E132E"/>
    <w:rsid w:val="000E2DE9"/>
    <w:rsid w:val="000E44F1"/>
    <w:rsid w:val="000E48C8"/>
    <w:rsid w:val="000E6C9A"/>
    <w:rsid w:val="000E7EB0"/>
    <w:rsid w:val="000F4F7B"/>
    <w:rsid w:val="00103B56"/>
    <w:rsid w:val="001066F2"/>
    <w:rsid w:val="00106F05"/>
    <w:rsid w:val="001103DD"/>
    <w:rsid w:val="00114E1C"/>
    <w:rsid w:val="00117461"/>
    <w:rsid w:val="00117967"/>
    <w:rsid w:val="00120666"/>
    <w:rsid w:val="00121FDF"/>
    <w:rsid w:val="00123314"/>
    <w:rsid w:val="001237F8"/>
    <w:rsid w:val="00124BA7"/>
    <w:rsid w:val="001253D9"/>
    <w:rsid w:val="001268AA"/>
    <w:rsid w:val="00130750"/>
    <w:rsid w:val="00130AF9"/>
    <w:rsid w:val="00130B26"/>
    <w:rsid w:val="0013338A"/>
    <w:rsid w:val="001366DD"/>
    <w:rsid w:val="00137B74"/>
    <w:rsid w:val="00143314"/>
    <w:rsid w:val="001447E1"/>
    <w:rsid w:val="00146513"/>
    <w:rsid w:val="00146718"/>
    <w:rsid w:val="00147609"/>
    <w:rsid w:val="00152FF9"/>
    <w:rsid w:val="00153A7A"/>
    <w:rsid w:val="00153E29"/>
    <w:rsid w:val="001570D8"/>
    <w:rsid w:val="001601D9"/>
    <w:rsid w:val="00160603"/>
    <w:rsid w:val="00160C9A"/>
    <w:rsid w:val="0016147A"/>
    <w:rsid w:val="001619A7"/>
    <w:rsid w:val="00162055"/>
    <w:rsid w:val="0016302E"/>
    <w:rsid w:val="00164C33"/>
    <w:rsid w:val="0017085D"/>
    <w:rsid w:val="001710D8"/>
    <w:rsid w:val="00171A16"/>
    <w:rsid w:val="00172D2A"/>
    <w:rsid w:val="00173E6D"/>
    <w:rsid w:val="001751F0"/>
    <w:rsid w:val="001759E9"/>
    <w:rsid w:val="001761AE"/>
    <w:rsid w:val="00177359"/>
    <w:rsid w:val="0017759F"/>
    <w:rsid w:val="00177A9E"/>
    <w:rsid w:val="001824C6"/>
    <w:rsid w:val="00183022"/>
    <w:rsid w:val="00184641"/>
    <w:rsid w:val="00184E81"/>
    <w:rsid w:val="00186E16"/>
    <w:rsid w:val="00187BDC"/>
    <w:rsid w:val="001906AC"/>
    <w:rsid w:val="00191543"/>
    <w:rsid w:val="00192AD4"/>
    <w:rsid w:val="00193453"/>
    <w:rsid w:val="001945E5"/>
    <w:rsid w:val="00196901"/>
    <w:rsid w:val="00196F4B"/>
    <w:rsid w:val="001A25BE"/>
    <w:rsid w:val="001A2E55"/>
    <w:rsid w:val="001A3931"/>
    <w:rsid w:val="001A6492"/>
    <w:rsid w:val="001A79C2"/>
    <w:rsid w:val="001B239A"/>
    <w:rsid w:val="001B40B4"/>
    <w:rsid w:val="001B752E"/>
    <w:rsid w:val="001C0C03"/>
    <w:rsid w:val="001C5B15"/>
    <w:rsid w:val="001C7DCC"/>
    <w:rsid w:val="001D238C"/>
    <w:rsid w:val="001D45CE"/>
    <w:rsid w:val="001D5789"/>
    <w:rsid w:val="001D79EE"/>
    <w:rsid w:val="001D7BD4"/>
    <w:rsid w:val="001D7E40"/>
    <w:rsid w:val="001E12D5"/>
    <w:rsid w:val="001E41BE"/>
    <w:rsid w:val="001E421D"/>
    <w:rsid w:val="001E4932"/>
    <w:rsid w:val="001E77D8"/>
    <w:rsid w:val="001E7C00"/>
    <w:rsid w:val="001F01C2"/>
    <w:rsid w:val="001F1C08"/>
    <w:rsid w:val="001F1FAF"/>
    <w:rsid w:val="001F225E"/>
    <w:rsid w:val="001F5744"/>
    <w:rsid w:val="002004E1"/>
    <w:rsid w:val="002013AA"/>
    <w:rsid w:val="002032A8"/>
    <w:rsid w:val="00205356"/>
    <w:rsid w:val="00205AEB"/>
    <w:rsid w:val="00206395"/>
    <w:rsid w:val="0020747F"/>
    <w:rsid w:val="0021269C"/>
    <w:rsid w:val="00212C7E"/>
    <w:rsid w:val="002144A5"/>
    <w:rsid w:val="002144C0"/>
    <w:rsid w:val="00220647"/>
    <w:rsid w:val="002211D8"/>
    <w:rsid w:val="00224156"/>
    <w:rsid w:val="002243BF"/>
    <w:rsid w:val="002247AB"/>
    <w:rsid w:val="00225C00"/>
    <w:rsid w:val="0022792E"/>
    <w:rsid w:val="00230216"/>
    <w:rsid w:val="002317ED"/>
    <w:rsid w:val="002319AC"/>
    <w:rsid w:val="00231A0A"/>
    <w:rsid w:val="00231C6B"/>
    <w:rsid w:val="0023251A"/>
    <w:rsid w:val="002326C3"/>
    <w:rsid w:val="002351CD"/>
    <w:rsid w:val="00236ED3"/>
    <w:rsid w:val="00241146"/>
    <w:rsid w:val="00241C7D"/>
    <w:rsid w:val="0024238A"/>
    <w:rsid w:val="0024278C"/>
    <w:rsid w:val="0024341C"/>
    <w:rsid w:val="00243C0A"/>
    <w:rsid w:val="0024491C"/>
    <w:rsid w:val="00246197"/>
    <w:rsid w:val="00251451"/>
    <w:rsid w:val="00254F5E"/>
    <w:rsid w:val="00255FCE"/>
    <w:rsid w:val="0025664F"/>
    <w:rsid w:val="002570E0"/>
    <w:rsid w:val="00260A2E"/>
    <w:rsid w:val="00260AFF"/>
    <w:rsid w:val="00261A9A"/>
    <w:rsid w:val="00262227"/>
    <w:rsid w:val="00264489"/>
    <w:rsid w:val="002665E8"/>
    <w:rsid w:val="00270A27"/>
    <w:rsid w:val="0027175E"/>
    <w:rsid w:val="00271E0F"/>
    <w:rsid w:val="00272E64"/>
    <w:rsid w:val="002736A6"/>
    <w:rsid w:val="002741F5"/>
    <w:rsid w:val="0027454D"/>
    <w:rsid w:val="00282414"/>
    <w:rsid w:val="00284DB7"/>
    <w:rsid w:val="0028547C"/>
    <w:rsid w:val="00286A85"/>
    <w:rsid w:val="00286BB0"/>
    <w:rsid w:val="002912CE"/>
    <w:rsid w:val="002968E5"/>
    <w:rsid w:val="00297C37"/>
    <w:rsid w:val="002A09F3"/>
    <w:rsid w:val="002A26C3"/>
    <w:rsid w:val="002A46D0"/>
    <w:rsid w:val="002A4F11"/>
    <w:rsid w:val="002A5D09"/>
    <w:rsid w:val="002A76C5"/>
    <w:rsid w:val="002A7D29"/>
    <w:rsid w:val="002A7E8B"/>
    <w:rsid w:val="002B0386"/>
    <w:rsid w:val="002B045E"/>
    <w:rsid w:val="002B1825"/>
    <w:rsid w:val="002B2656"/>
    <w:rsid w:val="002B363D"/>
    <w:rsid w:val="002B389C"/>
    <w:rsid w:val="002B64E3"/>
    <w:rsid w:val="002C019D"/>
    <w:rsid w:val="002C01E3"/>
    <w:rsid w:val="002C02E3"/>
    <w:rsid w:val="002C1598"/>
    <w:rsid w:val="002C26D0"/>
    <w:rsid w:val="002C2C13"/>
    <w:rsid w:val="002C4065"/>
    <w:rsid w:val="002C53BF"/>
    <w:rsid w:val="002C587D"/>
    <w:rsid w:val="002C6DFB"/>
    <w:rsid w:val="002C7091"/>
    <w:rsid w:val="002D072E"/>
    <w:rsid w:val="002D7D55"/>
    <w:rsid w:val="002E39CB"/>
    <w:rsid w:val="002E5D48"/>
    <w:rsid w:val="002E7480"/>
    <w:rsid w:val="002F06C8"/>
    <w:rsid w:val="002F3897"/>
    <w:rsid w:val="002F3898"/>
    <w:rsid w:val="002F4473"/>
    <w:rsid w:val="00302E62"/>
    <w:rsid w:val="003052F7"/>
    <w:rsid w:val="003053C1"/>
    <w:rsid w:val="00307B4B"/>
    <w:rsid w:val="00307E73"/>
    <w:rsid w:val="00311A90"/>
    <w:rsid w:val="003130BE"/>
    <w:rsid w:val="003131E6"/>
    <w:rsid w:val="00320788"/>
    <w:rsid w:val="003211FF"/>
    <w:rsid w:val="00321914"/>
    <w:rsid w:val="003227A1"/>
    <w:rsid w:val="0032387A"/>
    <w:rsid w:val="00323DAF"/>
    <w:rsid w:val="00324F39"/>
    <w:rsid w:val="003257B5"/>
    <w:rsid w:val="00325DFA"/>
    <w:rsid w:val="0032640C"/>
    <w:rsid w:val="003308F4"/>
    <w:rsid w:val="003313CD"/>
    <w:rsid w:val="003329C5"/>
    <w:rsid w:val="00332D61"/>
    <w:rsid w:val="00333BD6"/>
    <w:rsid w:val="00333DCA"/>
    <w:rsid w:val="00334131"/>
    <w:rsid w:val="00335347"/>
    <w:rsid w:val="00335475"/>
    <w:rsid w:val="00335B09"/>
    <w:rsid w:val="00341025"/>
    <w:rsid w:val="003414AC"/>
    <w:rsid w:val="003419D7"/>
    <w:rsid w:val="00342EE4"/>
    <w:rsid w:val="0034439B"/>
    <w:rsid w:val="003470CE"/>
    <w:rsid w:val="00347976"/>
    <w:rsid w:val="00347B1F"/>
    <w:rsid w:val="00347B8E"/>
    <w:rsid w:val="00347FC4"/>
    <w:rsid w:val="00352872"/>
    <w:rsid w:val="00352D55"/>
    <w:rsid w:val="00356B54"/>
    <w:rsid w:val="00356D7D"/>
    <w:rsid w:val="0036064A"/>
    <w:rsid w:val="00360967"/>
    <w:rsid w:val="0036297E"/>
    <w:rsid w:val="003638A6"/>
    <w:rsid w:val="00365064"/>
    <w:rsid w:val="003674BA"/>
    <w:rsid w:val="0037185C"/>
    <w:rsid w:val="003739D9"/>
    <w:rsid w:val="00374355"/>
    <w:rsid w:val="00375B95"/>
    <w:rsid w:val="00376D7D"/>
    <w:rsid w:val="003773BD"/>
    <w:rsid w:val="003778AC"/>
    <w:rsid w:val="003779B8"/>
    <w:rsid w:val="0038508E"/>
    <w:rsid w:val="00385697"/>
    <w:rsid w:val="00387C33"/>
    <w:rsid w:val="00391C91"/>
    <w:rsid w:val="003935B5"/>
    <w:rsid w:val="003963D6"/>
    <w:rsid w:val="00396482"/>
    <w:rsid w:val="0039763D"/>
    <w:rsid w:val="003A2711"/>
    <w:rsid w:val="003A4B33"/>
    <w:rsid w:val="003A4B46"/>
    <w:rsid w:val="003A57CE"/>
    <w:rsid w:val="003A60E9"/>
    <w:rsid w:val="003A7A98"/>
    <w:rsid w:val="003B08EF"/>
    <w:rsid w:val="003B165A"/>
    <w:rsid w:val="003B1F25"/>
    <w:rsid w:val="003B23E5"/>
    <w:rsid w:val="003B2488"/>
    <w:rsid w:val="003B2C26"/>
    <w:rsid w:val="003B3292"/>
    <w:rsid w:val="003B365C"/>
    <w:rsid w:val="003B36E7"/>
    <w:rsid w:val="003C03A9"/>
    <w:rsid w:val="003C0991"/>
    <w:rsid w:val="003C52FF"/>
    <w:rsid w:val="003C5605"/>
    <w:rsid w:val="003C72CB"/>
    <w:rsid w:val="003C7710"/>
    <w:rsid w:val="003C7BE0"/>
    <w:rsid w:val="003D00BE"/>
    <w:rsid w:val="003D1563"/>
    <w:rsid w:val="003D191A"/>
    <w:rsid w:val="003D1AC9"/>
    <w:rsid w:val="003D34CE"/>
    <w:rsid w:val="003D37C7"/>
    <w:rsid w:val="003D3840"/>
    <w:rsid w:val="003D4D0D"/>
    <w:rsid w:val="003D5BA3"/>
    <w:rsid w:val="003E1A26"/>
    <w:rsid w:val="003E1D9F"/>
    <w:rsid w:val="003E367D"/>
    <w:rsid w:val="003F2542"/>
    <w:rsid w:val="003F3AD4"/>
    <w:rsid w:val="003F454E"/>
    <w:rsid w:val="003F4C4B"/>
    <w:rsid w:val="0040000E"/>
    <w:rsid w:val="00400806"/>
    <w:rsid w:val="00403242"/>
    <w:rsid w:val="00410891"/>
    <w:rsid w:val="00412128"/>
    <w:rsid w:val="00414C84"/>
    <w:rsid w:val="004162D0"/>
    <w:rsid w:val="00422580"/>
    <w:rsid w:val="00425069"/>
    <w:rsid w:val="00425F9F"/>
    <w:rsid w:val="00427196"/>
    <w:rsid w:val="00430253"/>
    <w:rsid w:val="00431F78"/>
    <w:rsid w:val="00433F49"/>
    <w:rsid w:val="0043527D"/>
    <w:rsid w:val="00435B0F"/>
    <w:rsid w:val="004361FC"/>
    <w:rsid w:val="0043705C"/>
    <w:rsid w:val="004444AA"/>
    <w:rsid w:val="00445FB6"/>
    <w:rsid w:val="00446596"/>
    <w:rsid w:val="0045015E"/>
    <w:rsid w:val="00451031"/>
    <w:rsid w:val="00451D4F"/>
    <w:rsid w:val="00452D91"/>
    <w:rsid w:val="00453722"/>
    <w:rsid w:val="00456C66"/>
    <w:rsid w:val="00460017"/>
    <w:rsid w:val="004635E9"/>
    <w:rsid w:val="0046393F"/>
    <w:rsid w:val="00465680"/>
    <w:rsid w:val="00465F7D"/>
    <w:rsid w:val="00466D82"/>
    <w:rsid w:val="00472540"/>
    <w:rsid w:val="0047375B"/>
    <w:rsid w:val="00473DDB"/>
    <w:rsid w:val="00473E84"/>
    <w:rsid w:val="00475244"/>
    <w:rsid w:val="0047635F"/>
    <w:rsid w:val="004765EC"/>
    <w:rsid w:val="00476699"/>
    <w:rsid w:val="004766EF"/>
    <w:rsid w:val="004774CE"/>
    <w:rsid w:val="00477C0E"/>
    <w:rsid w:val="00477D9C"/>
    <w:rsid w:val="0048024F"/>
    <w:rsid w:val="00480A1E"/>
    <w:rsid w:val="004831DA"/>
    <w:rsid w:val="00483C1A"/>
    <w:rsid w:val="00484026"/>
    <w:rsid w:val="00485860"/>
    <w:rsid w:val="004859E9"/>
    <w:rsid w:val="00486E9F"/>
    <w:rsid w:val="004872FB"/>
    <w:rsid w:val="00487B04"/>
    <w:rsid w:val="004908E6"/>
    <w:rsid w:val="00490E1A"/>
    <w:rsid w:val="00491FDC"/>
    <w:rsid w:val="00493F3B"/>
    <w:rsid w:val="004957FC"/>
    <w:rsid w:val="00495838"/>
    <w:rsid w:val="004965AD"/>
    <w:rsid w:val="00496A1E"/>
    <w:rsid w:val="004A09DC"/>
    <w:rsid w:val="004A3064"/>
    <w:rsid w:val="004A3B8A"/>
    <w:rsid w:val="004A4D3F"/>
    <w:rsid w:val="004A4F76"/>
    <w:rsid w:val="004A70F2"/>
    <w:rsid w:val="004B154E"/>
    <w:rsid w:val="004B5377"/>
    <w:rsid w:val="004B59C2"/>
    <w:rsid w:val="004B5D72"/>
    <w:rsid w:val="004B6751"/>
    <w:rsid w:val="004B7533"/>
    <w:rsid w:val="004C0366"/>
    <w:rsid w:val="004C0F7E"/>
    <w:rsid w:val="004C1465"/>
    <w:rsid w:val="004C38F1"/>
    <w:rsid w:val="004C5C05"/>
    <w:rsid w:val="004D0B13"/>
    <w:rsid w:val="004D0F9F"/>
    <w:rsid w:val="004D1594"/>
    <w:rsid w:val="004D16C3"/>
    <w:rsid w:val="004D32D7"/>
    <w:rsid w:val="004D4355"/>
    <w:rsid w:val="004D52F7"/>
    <w:rsid w:val="004D5F6A"/>
    <w:rsid w:val="004D6331"/>
    <w:rsid w:val="004D7A2E"/>
    <w:rsid w:val="004E0121"/>
    <w:rsid w:val="004E3A0F"/>
    <w:rsid w:val="004E5191"/>
    <w:rsid w:val="004E5E93"/>
    <w:rsid w:val="004E636B"/>
    <w:rsid w:val="004E7669"/>
    <w:rsid w:val="004F13DD"/>
    <w:rsid w:val="004F1684"/>
    <w:rsid w:val="004F21F9"/>
    <w:rsid w:val="004F2826"/>
    <w:rsid w:val="004F2A01"/>
    <w:rsid w:val="004F3814"/>
    <w:rsid w:val="004F4816"/>
    <w:rsid w:val="004F4C9A"/>
    <w:rsid w:val="004F5235"/>
    <w:rsid w:val="004F5381"/>
    <w:rsid w:val="004F58A2"/>
    <w:rsid w:val="004F6351"/>
    <w:rsid w:val="004F769C"/>
    <w:rsid w:val="00500ACF"/>
    <w:rsid w:val="00501782"/>
    <w:rsid w:val="00503E93"/>
    <w:rsid w:val="005107CA"/>
    <w:rsid w:val="00513B00"/>
    <w:rsid w:val="00514032"/>
    <w:rsid w:val="005141E5"/>
    <w:rsid w:val="005146FD"/>
    <w:rsid w:val="00515351"/>
    <w:rsid w:val="00515627"/>
    <w:rsid w:val="00516BB7"/>
    <w:rsid w:val="00516CD3"/>
    <w:rsid w:val="00516FD0"/>
    <w:rsid w:val="005170B8"/>
    <w:rsid w:val="00517215"/>
    <w:rsid w:val="00521C06"/>
    <w:rsid w:val="00523612"/>
    <w:rsid w:val="00523D23"/>
    <w:rsid w:val="00524569"/>
    <w:rsid w:val="00526369"/>
    <w:rsid w:val="005323CD"/>
    <w:rsid w:val="0053391E"/>
    <w:rsid w:val="005343B3"/>
    <w:rsid w:val="00534760"/>
    <w:rsid w:val="00534915"/>
    <w:rsid w:val="0053511B"/>
    <w:rsid w:val="00541524"/>
    <w:rsid w:val="0054247C"/>
    <w:rsid w:val="005426F5"/>
    <w:rsid w:val="00542F21"/>
    <w:rsid w:val="005462DE"/>
    <w:rsid w:val="00547A17"/>
    <w:rsid w:val="00550095"/>
    <w:rsid w:val="00550A8B"/>
    <w:rsid w:val="00551F91"/>
    <w:rsid w:val="005529DB"/>
    <w:rsid w:val="0055786B"/>
    <w:rsid w:val="005635CC"/>
    <w:rsid w:val="005655BD"/>
    <w:rsid w:val="00566161"/>
    <w:rsid w:val="00567693"/>
    <w:rsid w:val="00567C6B"/>
    <w:rsid w:val="0057025D"/>
    <w:rsid w:val="005707AD"/>
    <w:rsid w:val="005746A5"/>
    <w:rsid w:val="00575E7A"/>
    <w:rsid w:val="00580C4A"/>
    <w:rsid w:val="005811D8"/>
    <w:rsid w:val="00581616"/>
    <w:rsid w:val="00582CCD"/>
    <w:rsid w:val="0058472A"/>
    <w:rsid w:val="005849DB"/>
    <w:rsid w:val="00585FD3"/>
    <w:rsid w:val="00587C54"/>
    <w:rsid w:val="00594053"/>
    <w:rsid w:val="005A038B"/>
    <w:rsid w:val="005A2360"/>
    <w:rsid w:val="005A3412"/>
    <w:rsid w:val="005A427D"/>
    <w:rsid w:val="005A4899"/>
    <w:rsid w:val="005A7A71"/>
    <w:rsid w:val="005B2831"/>
    <w:rsid w:val="005B408E"/>
    <w:rsid w:val="005B6907"/>
    <w:rsid w:val="005C1409"/>
    <w:rsid w:val="005C1601"/>
    <w:rsid w:val="005C301B"/>
    <w:rsid w:val="005C3C80"/>
    <w:rsid w:val="005C4F93"/>
    <w:rsid w:val="005C508F"/>
    <w:rsid w:val="005C6034"/>
    <w:rsid w:val="005C6CBD"/>
    <w:rsid w:val="005C70BC"/>
    <w:rsid w:val="005D1CAD"/>
    <w:rsid w:val="005D3605"/>
    <w:rsid w:val="005D368E"/>
    <w:rsid w:val="005D5F48"/>
    <w:rsid w:val="005D703A"/>
    <w:rsid w:val="005D75F1"/>
    <w:rsid w:val="005E1779"/>
    <w:rsid w:val="005E1D4F"/>
    <w:rsid w:val="005E24A5"/>
    <w:rsid w:val="005E36CF"/>
    <w:rsid w:val="005E4145"/>
    <w:rsid w:val="005E4981"/>
    <w:rsid w:val="005E5E40"/>
    <w:rsid w:val="005E69B7"/>
    <w:rsid w:val="005E71ED"/>
    <w:rsid w:val="005E7F68"/>
    <w:rsid w:val="005F2618"/>
    <w:rsid w:val="005F2C99"/>
    <w:rsid w:val="005F3D0B"/>
    <w:rsid w:val="005F3D3E"/>
    <w:rsid w:val="005F4A0F"/>
    <w:rsid w:val="005F5621"/>
    <w:rsid w:val="005F5791"/>
    <w:rsid w:val="005F6252"/>
    <w:rsid w:val="005F7C22"/>
    <w:rsid w:val="00600293"/>
    <w:rsid w:val="00601238"/>
    <w:rsid w:val="00602296"/>
    <w:rsid w:val="00602F06"/>
    <w:rsid w:val="006077E2"/>
    <w:rsid w:val="006107A9"/>
    <w:rsid w:val="006128DE"/>
    <w:rsid w:val="00613054"/>
    <w:rsid w:val="00613F82"/>
    <w:rsid w:val="00614BBC"/>
    <w:rsid w:val="0061723C"/>
    <w:rsid w:val="006206DC"/>
    <w:rsid w:val="006212F8"/>
    <w:rsid w:val="006217D5"/>
    <w:rsid w:val="00625A36"/>
    <w:rsid w:val="00627F18"/>
    <w:rsid w:val="0063082B"/>
    <w:rsid w:val="006318ED"/>
    <w:rsid w:val="006357F9"/>
    <w:rsid w:val="006363AC"/>
    <w:rsid w:val="00641BA8"/>
    <w:rsid w:val="00642BB3"/>
    <w:rsid w:val="00647EED"/>
    <w:rsid w:val="006508F0"/>
    <w:rsid w:val="006532D6"/>
    <w:rsid w:val="006555F4"/>
    <w:rsid w:val="006575A7"/>
    <w:rsid w:val="0066014E"/>
    <w:rsid w:val="006641C2"/>
    <w:rsid w:val="0066589B"/>
    <w:rsid w:val="00666C72"/>
    <w:rsid w:val="00667720"/>
    <w:rsid w:val="00670977"/>
    <w:rsid w:val="006721B3"/>
    <w:rsid w:val="006723F2"/>
    <w:rsid w:val="00673B8A"/>
    <w:rsid w:val="00673FE1"/>
    <w:rsid w:val="00674271"/>
    <w:rsid w:val="00680F36"/>
    <w:rsid w:val="006928D1"/>
    <w:rsid w:val="00692BAD"/>
    <w:rsid w:val="00693821"/>
    <w:rsid w:val="00695C85"/>
    <w:rsid w:val="0069601D"/>
    <w:rsid w:val="006A036F"/>
    <w:rsid w:val="006A2283"/>
    <w:rsid w:val="006A32F0"/>
    <w:rsid w:val="006A4112"/>
    <w:rsid w:val="006A640F"/>
    <w:rsid w:val="006A6480"/>
    <w:rsid w:val="006B1FCB"/>
    <w:rsid w:val="006B2373"/>
    <w:rsid w:val="006B27D6"/>
    <w:rsid w:val="006B47F3"/>
    <w:rsid w:val="006B71BF"/>
    <w:rsid w:val="006C418E"/>
    <w:rsid w:val="006C4EF6"/>
    <w:rsid w:val="006C62D4"/>
    <w:rsid w:val="006C7608"/>
    <w:rsid w:val="006D2764"/>
    <w:rsid w:val="006D6BB3"/>
    <w:rsid w:val="006D72AF"/>
    <w:rsid w:val="006D775F"/>
    <w:rsid w:val="006E04B8"/>
    <w:rsid w:val="006E289F"/>
    <w:rsid w:val="006E4C86"/>
    <w:rsid w:val="006E5A55"/>
    <w:rsid w:val="006F0F24"/>
    <w:rsid w:val="006F4E42"/>
    <w:rsid w:val="006F5726"/>
    <w:rsid w:val="006F68B8"/>
    <w:rsid w:val="006F7679"/>
    <w:rsid w:val="006F7EC1"/>
    <w:rsid w:val="007005E9"/>
    <w:rsid w:val="00701E36"/>
    <w:rsid w:val="00702042"/>
    <w:rsid w:val="00702D3D"/>
    <w:rsid w:val="00707953"/>
    <w:rsid w:val="00707E24"/>
    <w:rsid w:val="0071185B"/>
    <w:rsid w:val="00712358"/>
    <w:rsid w:val="00712DD4"/>
    <w:rsid w:val="00712DD7"/>
    <w:rsid w:val="00713A3C"/>
    <w:rsid w:val="00715919"/>
    <w:rsid w:val="007176AD"/>
    <w:rsid w:val="0072026D"/>
    <w:rsid w:val="0072054D"/>
    <w:rsid w:val="00723732"/>
    <w:rsid w:val="00726AA3"/>
    <w:rsid w:val="00727A95"/>
    <w:rsid w:val="0073072A"/>
    <w:rsid w:val="00731166"/>
    <w:rsid w:val="00731E32"/>
    <w:rsid w:val="007333E1"/>
    <w:rsid w:val="00737122"/>
    <w:rsid w:val="00742129"/>
    <w:rsid w:val="00746FDC"/>
    <w:rsid w:val="0075042F"/>
    <w:rsid w:val="00750635"/>
    <w:rsid w:val="00751238"/>
    <w:rsid w:val="0075417B"/>
    <w:rsid w:val="00764029"/>
    <w:rsid w:val="00765E1C"/>
    <w:rsid w:val="0076779E"/>
    <w:rsid w:val="00772962"/>
    <w:rsid w:val="0077714E"/>
    <w:rsid w:val="00780164"/>
    <w:rsid w:val="00781B0C"/>
    <w:rsid w:val="007843E6"/>
    <w:rsid w:val="007861A8"/>
    <w:rsid w:val="0078779B"/>
    <w:rsid w:val="00787AD5"/>
    <w:rsid w:val="00790472"/>
    <w:rsid w:val="007910BD"/>
    <w:rsid w:val="007934BD"/>
    <w:rsid w:val="007953C3"/>
    <w:rsid w:val="007957E5"/>
    <w:rsid w:val="007A22F0"/>
    <w:rsid w:val="007A2BD7"/>
    <w:rsid w:val="007A2D56"/>
    <w:rsid w:val="007A4415"/>
    <w:rsid w:val="007A4FF5"/>
    <w:rsid w:val="007A5322"/>
    <w:rsid w:val="007A6462"/>
    <w:rsid w:val="007B06F3"/>
    <w:rsid w:val="007B0770"/>
    <w:rsid w:val="007B2140"/>
    <w:rsid w:val="007B29CB"/>
    <w:rsid w:val="007B316A"/>
    <w:rsid w:val="007B32CC"/>
    <w:rsid w:val="007B41EF"/>
    <w:rsid w:val="007B5156"/>
    <w:rsid w:val="007B5C10"/>
    <w:rsid w:val="007B5F6E"/>
    <w:rsid w:val="007C07D0"/>
    <w:rsid w:val="007C2E36"/>
    <w:rsid w:val="007C3850"/>
    <w:rsid w:val="007C55A6"/>
    <w:rsid w:val="007C7569"/>
    <w:rsid w:val="007C7F87"/>
    <w:rsid w:val="007D04C7"/>
    <w:rsid w:val="007D0963"/>
    <w:rsid w:val="007D218B"/>
    <w:rsid w:val="007D4A1D"/>
    <w:rsid w:val="007D5311"/>
    <w:rsid w:val="007D5691"/>
    <w:rsid w:val="007D591A"/>
    <w:rsid w:val="007D605D"/>
    <w:rsid w:val="007E119C"/>
    <w:rsid w:val="007E1360"/>
    <w:rsid w:val="007E32DC"/>
    <w:rsid w:val="007E3390"/>
    <w:rsid w:val="007E3398"/>
    <w:rsid w:val="007E360A"/>
    <w:rsid w:val="007E386D"/>
    <w:rsid w:val="007E3895"/>
    <w:rsid w:val="007E4ED2"/>
    <w:rsid w:val="007E6CCA"/>
    <w:rsid w:val="007F0D26"/>
    <w:rsid w:val="007F1A56"/>
    <w:rsid w:val="007F1CAC"/>
    <w:rsid w:val="007F1FD1"/>
    <w:rsid w:val="007F3FDC"/>
    <w:rsid w:val="007F50A6"/>
    <w:rsid w:val="007F516E"/>
    <w:rsid w:val="007F78CC"/>
    <w:rsid w:val="007F7D71"/>
    <w:rsid w:val="007F7EEF"/>
    <w:rsid w:val="00801647"/>
    <w:rsid w:val="00801AAE"/>
    <w:rsid w:val="00801B2B"/>
    <w:rsid w:val="00804426"/>
    <w:rsid w:val="00804998"/>
    <w:rsid w:val="008053ED"/>
    <w:rsid w:val="008058B8"/>
    <w:rsid w:val="00806DBE"/>
    <w:rsid w:val="00806FAA"/>
    <w:rsid w:val="008079D0"/>
    <w:rsid w:val="00810D96"/>
    <w:rsid w:val="008113B1"/>
    <w:rsid w:val="00813885"/>
    <w:rsid w:val="00816E7E"/>
    <w:rsid w:val="00817E17"/>
    <w:rsid w:val="0082053D"/>
    <w:rsid w:val="00821686"/>
    <w:rsid w:val="00822FE3"/>
    <w:rsid w:val="0082354B"/>
    <w:rsid w:val="00823E4D"/>
    <w:rsid w:val="00824157"/>
    <w:rsid w:val="00825733"/>
    <w:rsid w:val="00826019"/>
    <w:rsid w:val="00830173"/>
    <w:rsid w:val="008301A7"/>
    <w:rsid w:val="00832FE4"/>
    <w:rsid w:val="00834944"/>
    <w:rsid w:val="0083607B"/>
    <w:rsid w:val="008367D9"/>
    <w:rsid w:val="00844F4E"/>
    <w:rsid w:val="00845815"/>
    <w:rsid w:val="008507EB"/>
    <w:rsid w:val="00852C0C"/>
    <w:rsid w:val="0085368C"/>
    <w:rsid w:val="008546B1"/>
    <w:rsid w:val="008558F7"/>
    <w:rsid w:val="00855F84"/>
    <w:rsid w:val="00856349"/>
    <w:rsid w:val="00861DC3"/>
    <w:rsid w:val="00864A3E"/>
    <w:rsid w:val="00865DC9"/>
    <w:rsid w:val="00867F92"/>
    <w:rsid w:val="00870C5C"/>
    <w:rsid w:val="00871410"/>
    <w:rsid w:val="008726C9"/>
    <w:rsid w:val="00873485"/>
    <w:rsid w:val="00875749"/>
    <w:rsid w:val="00875D52"/>
    <w:rsid w:val="008836E2"/>
    <w:rsid w:val="00885CEE"/>
    <w:rsid w:val="008912A9"/>
    <w:rsid w:val="00894AB9"/>
    <w:rsid w:val="00895C94"/>
    <w:rsid w:val="00895D0E"/>
    <w:rsid w:val="00895FE6"/>
    <w:rsid w:val="00896288"/>
    <w:rsid w:val="00897956"/>
    <w:rsid w:val="008A2151"/>
    <w:rsid w:val="008A401A"/>
    <w:rsid w:val="008A44B2"/>
    <w:rsid w:val="008A61FE"/>
    <w:rsid w:val="008A746B"/>
    <w:rsid w:val="008A79E4"/>
    <w:rsid w:val="008B1841"/>
    <w:rsid w:val="008B1D06"/>
    <w:rsid w:val="008B2954"/>
    <w:rsid w:val="008B4E66"/>
    <w:rsid w:val="008B57F6"/>
    <w:rsid w:val="008B6334"/>
    <w:rsid w:val="008B69C2"/>
    <w:rsid w:val="008B7159"/>
    <w:rsid w:val="008C0947"/>
    <w:rsid w:val="008C1CA5"/>
    <w:rsid w:val="008C271C"/>
    <w:rsid w:val="008C286E"/>
    <w:rsid w:val="008C75E6"/>
    <w:rsid w:val="008C7DAF"/>
    <w:rsid w:val="008C7ED3"/>
    <w:rsid w:val="008D0D91"/>
    <w:rsid w:val="008D312F"/>
    <w:rsid w:val="008D6530"/>
    <w:rsid w:val="008D7678"/>
    <w:rsid w:val="008E0A10"/>
    <w:rsid w:val="008E0F22"/>
    <w:rsid w:val="008E23AE"/>
    <w:rsid w:val="008E2ABE"/>
    <w:rsid w:val="008E2B86"/>
    <w:rsid w:val="008E482D"/>
    <w:rsid w:val="008E4A5D"/>
    <w:rsid w:val="008E4CA6"/>
    <w:rsid w:val="008E5965"/>
    <w:rsid w:val="008E69B0"/>
    <w:rsid w:val="008F504E"/>
    <w:rsid w:val="008F510B"/>
    <w:rsid w:val="008F67AA"/>
    <w:rsid w:val="009005B2"/>
    <w:rsid w:val="00900752"/>
    <w:rsid w:val="009017DA"/>
    <w:rsid w:val="00902503"/>
    <w:rsid w:val="0090305C"/>
    <w:rsid w:val="00904292"/>
    <w:rsid w:val="00905AD0"/>
    <w:rsid w:val="00906D2C"/>
    <w:rsid w:val="009110A5"/>
    <w:rsid w:val="00912C76"/>
    <w:rsid w:val="009130B4"/>
    <w:rsid w:val="00913307"/>
    <w:rsid w:val="00915A71"/>
    <w:rsid w:val="0091741A"/>
    <w:rsid w:val="00917423"/>
    <w:rsid w:val="00917CE7"/>
    <w:rsid w:val="00917E5E"/>
    <w:rsid w:val="00921361"/>
    <w:rsid w:val="00924303"/>
    <w:rsid w:val="00924959"/>
    <w:rsid w:val="00926927"/>
    <w:rsid w:val="009271F5"/>
    <w:rsid w:val="00930E90"/>
    <w:rsid w:val="009328AE"/>
    <w:rsid w:val="0093421C"/>
    <w:rsid w:val="00935E1F"/>
    <w:rsid w:val="00941A29"/>
    <w:rsid w:val="00944C0D"/>
    <w:rsid w:val="00944C3D"/>
    <w:rsid w:val="00947C16"/>
    <w:rsid w:val="00952D0F"/>
    <w:rsid w:val="00955CA4"/>
    <w:rsid w:val="0095638A"/>
    <w:rsid w:val="009563B9"/>
    <w:rsid w:val="00957251"/>
    <w:rsid w:val="00957289"/>
    <w:rsid w:val="009575C6"/>
    <w:rsid w:val="00957D47"/>
    <w:rsid w:val="0096093E"/>
    <w:rsid w:val="00963CE6"/>
    <w:rsid w:val="00964E03"/>
    <w:rsid w:val="00965CEB"/>
    <w:rsid w:val="0096733B"/>
    <w:rsid w:val="009704AA"/>
    <w:rsid w:val="00972C01"/>
    <w:rsid w:val="0097362F"/>
    <w:rsid w:val="009738F4"/>
    <w:rsid w:val="00975B99"/>
    <w:rsid w:val="009779CF"/>
    <w:rsid w:val="00977D41"/>
    <w:rsid w:val="00977F42"/>
    <w:rsid w:val="00980151"/>
    <w:rsid w:val="00980A76"/>
    <w:rsid w:val="00980B00"/>
    <w:rsid w:val="009816C5"/>
    <w:rsid w:val="00982CE4"/>
    <w:rsid w:val="00984DA8"/>
    <w:rsid w:val="0098707A"/>
    <w:rsid w:val="009872B6"/>
    <w:rsid w:val="00990C1B"/>
    <w:rsid w:val="00991700"/>
    <w:rsid w:val="0099239A"/>
    <w:rsid w:val="0099340C"/>
    <w:rsid w:val="00996579"/>
    <w:rsid w:val="00996C18"/>
    <w:rsid w:val="009A280E"/>
    <w:rsid w:val="009A57F9"/>
    <w:rsid w:val="009A6006"/>
    <w:rsid w:val="009A668F"/>
    <w:rsid w:val="009A6842"/>
    <w:rsid w:val="009A7555"/>
    <w:rsid w:val="009B0C9A"/>
    <w:rsid w:val="009B1DE3"/>
    <w:rsid w:val="009B29BC"/>
    <w:rsid w:val="009B2EA6"/>
    <w:rsid w:val="009B506B"/>
    <w:rsid w:val="009B55FD"/>
    <w:rsid w:val="009B5B79"/>
    <w:rsid w:val="009B5EE7"/>
    <w:rsid w:val="009B6121"/>
    <w:rsid w:val="009B6A62"/>
    <w:rsid w:val="009B716B"/>
    <w:rsid w:val="009B7BAB"/>
    <w:rsid w:val="009C15CB"/>
    <w:rsid w:val="009C5BF9"/>
    <w:rsid w:val="009C643C"/>
    <w:rsid w:val="009C7420"/>
    <w:rsid w:val="009C7951"/>
    <w:rsid w:val="009D0FFA"/>
    <w:rsid w:val="009D3C96"/>
    <w:rsid w:val="009D7D18"/>
    <w:rsid w:val="009E06A7"/>
    <w:rsid w:val="009E0EBE"/>
    <w:rsid w:val="009E1CE2"/>
    <w:rsid w:val="009E2AB9"/>
    <w:rsid w:val="009E57B8"/>
    <w:rsid w:val="009E6A9C"/>
    <w:rsid w:val="009F03AA"/>
    <w:rsid w:val="009F06C8"/>
    <w:rsid w:val="009F198B"/>
    <w:rsid w:val="009F2978"/>
    <w:rsid w:val="009F59A9"/>
    <w:rsid w:val="009F7794"/>
    <w:rsid w:val="00A004C6"/>
    <w:rsid w:val="00A009CF"/>
    <w:rsid w:val="00A0193C"/>
    <w:rsid w:val="00A10478"/>
    <w:rsid w:val="00A119AB"/>
    <w:rsid w:val="00A12E84"/>
    <w:rsid w:val="00A133AC"/>
    <w:rsid w:val="00A13CE3"/>
    <w:rsid w:val="00A20D99"/>
    <w:rsid w:val="00A22348"/>
    <w:rsid w:val="00A22EF5"/>
    <w:rsid w:val="00A244CF"/>
    <w:rsid w:val="00A24997"/>
    <w:rsid w:val="00A25085"/>
    <w:rsid w:val="00A31A76"/>
    <w:rsid w:val="00A31D7D"/>
    <w:rsid w:val="00A31E3E"/>
    <w:rsid w:val="00A3215C"/>
    <w:rsid w:val="00A33897"/>
    <w:rsid w:val="00A349B1"/>
    <w:rsid w:val="00A35F5E"/>
    <w:rsid w:val="00A403A5"/>
    <w:rsid w:val="00A412BB"/>
    <w:rsid w:val="00A42E90"/>
    <w:rsid w:val="00A431A1"/>
    <w:rsid w:val="00A43D2D"/>
    <w:rsid w:val="00A50A2F"/>
    <w:rsid w:val="00A51522"/>
    <w:rsid w:val="00A522B2"/>
    <w:rsid w:val="00A52769"/>
    <w:rsid w:val="00A53453"/>
    <w:rsid w:val="00A56AEE"/>
    <w:rsid w:val="00A57025"/>
    <w:rsid w:val="00A57D12"/>
    <w:rsid w:val="00A6063A"/>
    <w:rsid w:val="00A64107"/>
    <w:rsid w:val="00A64AB1"/>
    <w:rsid w:val="00A66108"/>
    <w:rsid w:val="00A7050F"/>
    <w:rsid w:val="00A724B6"/>
    <w:rsid w:val="00A74549"/>
    <w:rsid w:val="00A74739"/>
    <w:rsid w:val="00A7651C"/>
    <w:rsid w:val="00A776E0"/>
    <w:rsid w:val="00A778BE"/>
    <w:rsid w:val="00A77E50"/>
    <w:rsid w:val="00A807AB"/>
    <w:rsid w:val="00A865CD"/>
    <w:rsid w:val="00A92C16"/>
    <w:rsid w:val="00A943BB"/>
    <w:rsid w:val="00A94AB4"/>
    <w:rsid w:val="00A95870"/>
    <w:rsid w:val="00A95FB7"/>
    <w:rsid w:val="00A967DF"/>
    <w:rsid w:val="00A96CF3"/>
    <w:rsid w:val="00AA0155"/>
    <w:rsid w:val="00AA18E9"/>
    <w:rsid w:val="00AA3DA5"/>
    <w:rsid w:val="00AA6709"/>
    <w:rsid w:val="00AA6AE8"/>
    <w:rsid w:val="00AA7BD3"/>
    <w:rsid w:val="00AA7D2F"/>
    <w:rsid w:val="00AB244F"/>
    <w:rsid w:val="00AB2567"/>
    <w:rsid w:val="00AB285E"/>
    <w:rsid w:val="00AB2AC6"/>
    <w:rsid w:val="00AB2ECD"/>
    <w:rsid w:val="00AC080D"/>
    <w:rsid w:val="00AC5066"/>
    <w:rsid w:val="00AC6A32"/>
    <w:rsid w:val="00AD14FE"/>
    <w:rsid w:val="00AD22A1"/>
    <w:rsid w:val="00AD3E4D"/>
    <w:rsid w:val="00AD6B6F"/>
    <w:rsid w:val="00AE0EE4"/>
    <w:rsid w:val="00AE153C"/>
    <w:rsid w:val="00AE1615"/>
    <w:rsid w:val="00AE2AF0"/>
    <w:rsid w:val="00AE3209"/>
    <w:rsid w:val="00AE3BCA"/>
    <w:rsid w:val="00AE4ECF"/>
    <w:rsid w:val="00AE5E2E"/>
    <w:rsid w:val="00AF1AD6"/>
    <w:rsid w:val="00AF5A27"/>
    <w:rsid w:val="00AF6384"/>
    <w:rsid w:val="00AF7D98"/>
    <w:rsid w:val="00B011D8"/>
    <w:rsid w:val="00B034A3"/>
    <w:rsid w:val="00B0549C"/>
    <w:rsid w:val="00B057E3"/>
    <w:rsid w:val="00B06185"/>
    <w:rsid w:val="00B06869"/>
    <w:rsid w:val="00B0760E"/>
    <w:rsid w:val="00B07D4F"/>
    <w:rsid w:val="00B10061"/>
    <w:rsid w:val="00B11C61"/>
    <w:rsid w:val="00B123CB"/>
    <w:rsid w:val="00B12ACE"/>
    <w:rsid w:val="00B137EB"/>
    <w:rsid w:val="00B15D0D"/>
    <w:rsid w:val="00B20BF4"/>
    <w:rsid w:val="00B2412E"/>
    <w:rsid w:val="00B24AC5"/>
    <w:rsid w:val="00B2519F"/>
    <w:rsid w:val="00B26296"/>
    <w:rsid w:val="00B31425"/>
    <w:rsid w:val="00B31C15"/>
    <w:rsid w:val="00B32D73"/>
    <w:rsid w:val="00B3560D"/>
    <w:rsid w:val="00B35618"/>
    <w:rsid w:val="00B36CDD"/>
    <w:rsid w:val="00B40F3D"/>
    <w:rsid w:val="00B40FED"/>
    <w:rsid w:val="00B42159"/>
    <w:rsid w:val="00B449B8"/>
    <w:rsid w:val="00B45F2F"/>
    <w:rsid w:val="00B46838"/>
    <w:rsid w:val="00B46B5E"/>
    <w:rsid w:val="00B51F95"/>
    <w:rsid w:val="00B51FD0"/>
    <w:rsid w:val="00B5229F"/>
    <w:rsid w:val="00B54FF2"/>
    <w:rsid w:val="00B55B56"/>
    <w:rsid w:val="00B55C60"/>
    <w:rsid w:val="00B6011A"/>
    <w:rsid w:val="00B60708"/>
    <w:rsid w:val="00B64D0D"/>
    <w:rsid w:val="00B64DAA"/>
    <w:rsid w:val="00B655F8"/>
    <w:rsid w:val="00B65E06"/>
    <w:rsid w:val="00B678B5"/>
    <w:rsid w:val="00B700EE"/>
    <w:rsid w:val="00B70101"/>
    <w:rsid w:val="00B70DB3"/>
    <w:rsid w:val="00B7182F"/>
    <w:rsid w:val="00B719B4"/>
    <w:rsid w:val="00B73F40"/>
    <w:rsid w:val="00B74466"/>
    <w:rsid w:val="00B745D7"/>
    <w:rsid w:val="00B74920"/>
    <w:rsid w:val="00B756C1"/>
    <w:rsid w:val="00B769A8"/>
    <w:rsid w:val="00B76B44"/>
    <w:rsid w:val="00B83882"/>
    <w:rsid w:val="00B83CAB"/>
    <w:rsid w:val="00B92F3C"/>
    <w:rsid w:val="00B932FB"/>
    <w:rsid w:val="00B94647"/>
    <w:rsid w:val="00B956D5"/>
    <w:rsid w:val="00B970B4"/>
    <w:rsid w:val="00B97C9D"/>
    <w:rsid w:val="00BA16AB"/>
    <w:rsid w:val="00BA1BDF"/>
    <w:rsid w:val="00BA392E"/>
    <w:rsid w:val="00BA4852"/>
    <w:rsid w:val="00BA56FA"/>
    <w:rsid w:val="00BA5CD1"/>
    <w:rsid w:val="00BA689F"/>
    <w:rsid w:val="00BA734C"/>
    <w:rsid w:val="00BB0506"/>
    <w:rsid w:val="00BB364F"/>
    <w:rsid w:val="00BB399D"/>
    <w:rsid w:val="00BB401C"/>
    <w:rsid w:val="00BB5A17"/>
    <w:rsid w:val="00BB6237"/>
    <w:rsid w:val="00BB69E7"/>
    <w:rsid w:val="00BC09ED"/>
    <w:rsid w:val="00BC0B05"/>
    <w:rsid w:val="00BC2C2C"/>
    <w:rsid w:val="00BC3988"/>
    <w:rsid w:val="00BC40E6"/>
    <w:rsid w:val="00BC4742"/>
    <w:rsid w:val="00BC4B67"/>
    <w:rsid w:val="00BC63B6"/>
    <w:rsid w:val="00BC7C04"/>
    <w:rsid w:val="00BD19CB"/>
    <w:rsid w:val="00BD244F"/>
    <w:rsid w:val="00BD400A"/>
    <w:rsid w:val="00BD4C6C"/>
    <w:rsid w:val="00BD4FA3"/>
    <w:rsid w:val="00BD5D8C"/>
    <w:rsid w:val="00BD612D"/>
    <w:rsid w:val="00BE1568"/>
    <w:rsid w:val="00BE1A09"/>
    <w:rsid w:val="00BE1EDE"/>
    <w:rsid w:val="00BE25E6"/>
    <w:rsid w:val="00BE2DC8"/>
    <w:rsid w:val="00BF1039"/>
    <w:rsid w:val="00BF3D96"/>
    <w:rsid w:val="00BF4128"/>
    <w:rsid w:val="00BF41AB"/>
    <w:rsid w:val="00BF5FF6"/>
    <w:rsid w:val="00BF607B"/>
    <w:rsid w:val="00C00673"/>
    <w:rsid w:val="00C015E7"/>
    <w:rsid w:val="00C0240D"/>
    <w:rsid w:val="00C02B06"/>
    <w:rsid w:val="00C07973"/>
    <w:rsid w:val="00C10C17"/>
    <w:rsid w:val="00C10DEB"/>
    <w:rsid w:val="00C11254"/>
    <w:rsid w:val="00C11AE6"/>
    <w:rsid w:val="00C122F2"/>
    <w:rsid w:val="00C13243"/>
    <w:rsid w:val="00C1529B"/>
    <w:rsid w:val="00C16A71"/>
    <w:rsid w:val="00C220AF"/>
    <w:rsid w:val="00C22FDA"/>
    <w:rsid w:val="00C24429"/>
    <w:rsid w:val="00C245C8"/>
    <w:rsid w:val="00C2783F"/>
    <w:rsid w:val="00C30A0E"/>
    <w:rsid w:val="00C333FA"/>
    <w:rsid w:val="00C40246"/>
    <w:rsid w:val="00C431CE"/>
    <w:rsid w:val="00C43840"/>
    <w:rsid w:val="00C441C4"/>
    <w:rsid w:val="00C4482B"/>
    <w:rsid w:val="00C461DB"/>
    <w:rsid w:val="00C5048D"/>
    <w:rsid w:val="00C521F2"/>
    <w:rsid w:val="00C54D92"/>
    <w:rsid w:val="00C559D4"/>
    <w:rsid w:val="00C57B4C"/>
    <w:rsid w:val="00C62D4C"/>
    <w:rsid w:val="00C653BF"/>
    <w:rsid w:val="00C71105"/>
    <w:rsid w:val="00C72350"/>
    <w:rsid w:val="00C75F14"/>
    <w:rsid w:val="00C81270"/>
    <w:rsid w:val="00C82BBC"/>
    <w:rsid w:val="00C82BBD"/>
    <w:rsid w:val="00C8390F"/>
    <w:rsid w:val="00C85BBB"/>
    <w:rsid w:val="00C87EA8"/>
    <w:rsid w:val="00C922BD"/>
    <w:rsid w:val="00C93685"/>
    <w:rsid w:val="00C95E92"/>
    <w:rsid w:val="00CA0593"/>
    <w:rsid w:val="00CA1BA5"/>
    <w:rsid w:val="00CA1E37"/>
    <w:rsid w:val="00CA24DF"/>
    <w:rsid w:val="00CB0567"/>
    <w:rsid w:val="00CB1EDE"/>
    <w:rsid w:val="00CB33C4"/>
    <w:rsid w:val="00CB3EDC"/>
    <w:rsid w:val="00CB4658"/>
    <w:rsid w:val="00CB4C2B"/>
    <w:rsid w:val="00CB79CB"/>
    <w:rsid w:val="00CB7E77"/>
    <w:rsid w:val="00CC180D"/>
    <w:rsid w:val="00CC3471"/>
    <w:rsid w:val="00CC37BA"/>
    <w:rsid w:val="00CC43EB"/>
    <w:rsid w:val="00CC4FEF"/>
    <w:rsid w:val="00CC5AF9"/>
    <w:rsid w:val="00CC5F9B"/>
    <w:rsid w:val="00CC69A9"/>
    <w:rsid w:val="00CC7483"/>
    <w:rsid w:val="00CD09B0"/>
    <w:rsid w:val="00CD0F9D"/>
    <w:rsid w:val="00CD22D2"/>
    <w:rsid w:val="00CD6B4A"/>
    <w:rsid w:val="00CD7F76"/>
    <w:rsid w:val="00CE0397"/>
    <w:rsid w:val="00CE12EA"/>
    <w:rsid w:val="00CE1548"/>
    <w:rsid w:val="00CE274E"/>
    <w:rsid w:val="00CE2862"/>
    <w:rsid w:val="00CE3608"/>
    <w:rsid w:val="00CF03A7"/>
    <w:rsid w:val="00CF0DED"/>
    <w:rsid w:val="00CF1902"/>
    <w:rsid w:val="00CF31CC"/>
    <w:rsid w:val="00CF3C8E"/>
    <w:rsid w:val="00CF59B5"/>
    <w:rsid w:val="00CF5C8C"/>
    <w:rsid w:val="00D04149"/>
    <w:rsid w:val="00D05587"/>
    <w:rsid w:val="00D1444A"/>
    <w:rsid w:val="00D15D48"/>
    <w:rsid w:val="00D161C8"/>
    <w:rsid w:val="00D16870"/>
    <w:rsid w:val="00D16A87"/>
    <w:rsid w:val="00D16E0C"/>
    <w:rsid w:val="00D204D2"/>
    <w:rsid w:val="00D2229C"/>
    <w:rsid w:val="00D241F6"/>
    <w:rsid w:val="00D2660F"/>
    <w:rsid w:val="00D30233"/>
    <w:rsid w:val="00D31E24"/>
    <w:rsid w:val="00D33DBD"/>
    <w:rsid w:val="00D3674A"/>
    <w:rsid w:val="00D36C72"/>
    <w:rsid w:val="00D36FFA"/>
    <w:rsid w:val="00D4068E"/>
    <w:rsid w:val="00D407C3"/>
    <w:rsid w:val="00D41592"/>
    <w:rsid w:val="00D41C60"/>
    <w:rsid w:val="00D420C3"/>
    <w:rsid w:val="00D43764"/>
    <w:rsid w:val="00D4440F"/>
    <w:rsid w:val="00D4589B"/>
    <w:rsid w:val="00D45ADF"/>
    <w:rsid w:val="00D47961"/>
    <w:rsid w:val="00D52097"/>
    <w:rsid w:val="00D520AC"/>
    <w:rsid w:val="00D529E7"/>
    <w:rsid w:val="00D52F42"/>
    <w:rsid w:val="00D5306A"/>
    <w:rsid w:val="00D5503F"/>
    <w:rsid w:val="00D602BE"/>
    <w:rsid w:val="00D61B09"/>
    <w:rsid w:val="00D6227E"/>
    <w:rsid w:val="00D63498"/>
    <w:rsid w:val="00D645F7"/>
    <w:rsid w:val="00D6508E"/>
    <w:rsid w:val="00D653D6"/>
    <w:rsid w:val="00D70E58"/>
    <w:rsid w:val="00D720A4"/>
    <w:rsid w:val="00D7448C"/>
    <w:rsid w:val="00D7478F"/>
    <w:rsid w:val="00D803E5"/>
    <w:rsid w:val="00D814DA"/>
    <w:rsid w:val="00D81539"/>
    <w:rsid w:val="00D816F4"/>
    <w:rsid w:val="00D83BA9"/>
    <w:rsid w:val="00D84012"/>
    <w:rsid w:val="00D86667"/>
    <w:rsid w:val="00D8792D"/>
    <w:rsid w:val="00D954D3"/>
    <w:rsid w:val="00D967A6"/>
    <w:rsid w:val="00DA03C7"/>
    <w:rsid w:val="00DA3C87"/>
    <w:rsid w:val="00DA4B3B"/>
    <w:rsid w:val="00DA7438"/>
    <w:rsid w:val="00DA7B3C"/>
    <w:rsid w:val="00DB536A"/>
    <w:rsid w:val="00DB5C3D"/>
    <w:rsid w:val="00DB6238"/>
    <w:rsid w:val="00DB7CA4"/>
    <w:rsid w:val="00DC1DD2"/>
    <w:rsid w:val="00DC2D92"/>
    <w:rsid w:val="00DC3C01"/>
    <w:rsid w:val="00DC6564"/>
    <w:rsid w:val="00DC6B17"/>
    <w:rsid w:val="00DD03B1"/>
    <w:rsid w:val="00DD2446"/>
    <w:rsid w:val="00DD3958"/>
    <w:rsid w:val="00DD4404"/>
    <w:rsid w:val="00DD4CF6"/>
    <w:rsid w:val="00DD5546"/>
    <w:rsid w:val="00DD5666"/>
    <w:rsid w:val="00DD613B"/>
    <w:rsid w:val="00DE178D"/>
    <w:rsid w:val="00DE2D80"/>
    <w:rsid w:val="00DE2E21"/>
    <w:rsid w:val="00DE2FD9"/>
    <w:rsid w:val="00DE3F7E"/>
    <w:rsid w:val="00DF0AC5"/>
    <w:rsid w:val="00DF0F1B"/>
    <w:rsid w:val="00DF2DE8"/>
    <w:rsid w:val="00DF41C0"/>
    <w:rsid w:val="00DF4CDA"/>
    <w:rsid w:val="00DF544E"/>
    <w:rsid w:val="00DF752C"/>
    <w:rsid w:val="00E002DD"/>
    <w:rsid w:val="00E012B0"/>
    <w:rsid w:val="00E01A55"/>
    <w:rsid w:val="00E01E0D"/>
    <w:rsid w:val="00E03CD1"/>
    <w:rsid w:val="00E062E8"/>
    <w:rsid w:val="00E07E28"/>
    <w:rsid w:val="00E07E69"/>
    <w:rsid w:val="00E10AF9"/>
    <w:rsid w:val="00E134C3"/>
    <w:rsid w:val="00E1510D"/>
    <w:rsid w:val="00E15DCB"/>
    <w:rsid w:val="00E1638D"/>
    <w:rsid w:val="00E17B0E"/>
    <w:rsid w:val="00E20193"/>
    <w:rsid w:val="00E20FBA"/>
    <w:rsid w:val="00E21920"/>
    <w:rsid w:val="00E23EB1"/>
    <w:rsid w:val="00E2478C"/>
    <w:rsid w:val="00E24A14"/>
    <w:rsid w:val="00E302DF"/>
    <w:rsid w:val="00E310DF"/>
    <w:rsid w:val="00E33DE4"/>
    <w:rsid w:val="00E34339"/>
    <w:rsid w:val="00E35491"/>
    <w:rsid w:val="00E3647C"/>
    <w:rsid w:val="00E37255"/>
    <w:rsid w:val="00E40F94"/>
    <w:rsid w:val="00E40FAC"/>
    <w:rsid w:val="00E41600"/>
    <w:rsid w:val="00E43EBC"/>
    <w:rsid w:val="00E45535"/>
    <w:rsid w:val="00E470D7"/>
    <w:rsid w:val="00E500BF"/>
    <w:rsid w:val="00E51657"/>
    <w:rsid w:val="00E52C86"/>
    <w:rsid w:val="00E54CD9"/>
    <w:rsid w:val="00E557F3"/>
    <w:rsid w:val="00E57B27"/>
    <w:rsid w:val="00E6040C"/>
    <w:rsid w:val="00E607AC"/>
    <w:rsid w:val="00E60C38"/>
    <w:rsid w:val="00E62500"/>
    <w:rsid w:val="00E625C0"/>
    <w:rsid w:val="00E626C4"/>
    <w:rsid w:val="00E627B5"/>
    <w:rsid w:val="00E63BD1"/>
    <w:rsid w:val="00E658B9"/>
    <w:rsid w:val="00E663F0"/>
    <w:rsid w:val="00E67003"/>
    <w:rsid w:val="00E671E4"/>
    <w:rsid w:val="00E724A9"/>
    <w:rsid w:val="00E725C4"/>
    <w:rsid w:val="00E73022"/>
    <w:rsid w:val="00E76811"/>
    <w:rsid w:val="00E76BE5"/>
    <w:rsid w:val="00E77BF1"/>
    <w:rsid w:val="00E80152"/>
    <w:rsid w:val="00E81D70"/>
    <w:rsid w:val="00E822DB"/>
    <w:rsid w:val="00E8541F"/>
    <w:rsid w:val="00E85517"/>
    <w:rsid w:val="00E85FBD"/>
    <w:rsid w:val="00E8696A"/>
    <w:rsid w:val="00E875EF"/>
    <w:rsid w:val="00E932C0"/>
    <w:rsid w:val="00E9426E"/>
    <w:rsid w:val="00E95C42"/>
    <w:rsid w:val="00E96D6D"/>
    <w:rsid w:val="00EA0F6A"/>
    <w:rsid w:val="00EA17BD"/>
    <w:rsid w:val="00EA2364"/>
    <w:rsid w:val="00EA54A2"/>
    <w:rsid w:val="00EA61A8"/>
    <w:rsid w:val="00EA7C13"/>
    <w:rsid w:val="00EB15C2"/>
    <w:rsid w:val="00EB378C"/>
    <w:rsid w:val="00EB4765"/>
    <w:rsid w:val="00EB4FC1"/>
    <w:rsid w:val="00EB5AD5"/>
    <w:rsid w:val="00EB6096"/>
    <w:rsid w:val="00EC04C7"/>
    <w:rsid w:val="00EC0538"/>
    <w:rsid w:val="00EC4051"/>
    <w:rsid w:val="00ED0C60"/>
    <w:rsid w:val="00ED12CB"/>
    <w:rsid w:val="00ED171F"/>
    <w:rsid w:val="00ED2CFD"/>
    <w:rsid w:val="00ED5869"/>
    <w:rsid w:val="00EE0C34"/>
    <w:rsid w:val="00EE1395"/>
    <w:rsid w:val="00EE36AB"/>
    <w:rsid w:val="00EE5D42"/>
    <w:rsid w:val="00EE6B85"/>
    <w:rsid w:val="00EE7BBC"/>
    <w:rsid w:val="00EE7F32"/>
    <w:rsid w:val="00EF0382"/>
    <w:rsid w:val="00EF0F58"/>
    <w:rsid w:val="00EF2402"/>
    <w:rsid w:val="00EF30CC"/>
    <w:rsid w:val="00EF34EF"/>
    <w:rsid w:val="00EF3B71"/>
    <w:rsid w:val="00EF67C6"/>
    <w:rsid w:val="00EF6A2A"/>
    <w:rsid w:val="00EF7E42"/>
    <w:rsid w:val="00F007F4"/>
    <w:rsid w:val="00F02454"/>
    <w:rsid w:val="00F0289D"/>
    <w:rsid w:val="00F03007"/>
    <w:rsid w:val="00F04BFB"/>
    <w:rsid w:val="00F070AE"/>
    <w:rsid w:val="00F118F7"/>
    <w:rsid w:val="00F11DA5"/>
    <w:rsid w:val="00F14D40"/>
    <w:rsid w:val="00F1614A"/>
    <w:rsid w:val="00F16669"/>
    <w:rsid w:val="00F16EEF"/>
    <w:rsid w:val="00F26392"/>
    <w:rsid w:val="00F265E2"/>
    <w:rsid w:val="00F277B3"/>
    <w:rsid w:val="00F27F57"/>
    <w:rsid w:val="00F32253"/>
    <w:rsid w:val="00F33B51"/>
    <w:rsid w:val="00F34A90"/>
    <w:rsid w:val="00F36F5F"/>
    <w:rsid w:val="00F37357"/>
    <w:rsid w:val="00F412BE"/>
    <w:rsid w:val="00F41CEB"/>
    <w:rsid w:val="00F423C5"/>
    <w:rsid w:val="00F427B4"/>
    <w:rsid w:val="00F43F1A"/>
    <w:rsid w:val="00F446D0"/>
    <w:rsid w:val="00F45120"/>
    <w:rsid w:val="00F45281"/>
    <w:rsid w:val="00F457F3"/>
    <w:rsid w:val="00F4761A"/>
    <w:rsid w:val="00F5069B"/>
    <w:rsid w:val="00F5442B"/>
    <w:rsid w:val="00F579BA"/>
    <w:rsid w:val="00F61B27"/>
    <w:rsid w:val="00F62C20"/>
    <w:rsid w:val="00F63632"/>
    <w:rsid w:val="00F63633"/>
    <w:rsid w:val="00F64565"/>
    <w:rsid w:val="00F70556"/>
    <w:rsid w:val="00F70816"/>
    <w:rsid w:val="00F74C82"/>
    <w:rsid w:val="00F80A33"/>
    <w:rsid w:val="00F824C3"/>
    <w:rsid w:val="00F868E5"/>
    <w:rsid w:val="00F86FE8"/>
    <w:rsid w:val="00F944E1"/>
    <w:rsid w:val="00F94F1C"/>
    <w:rsid w:val="00F95A8C"/>
    <w:rsid w:val="00FA053F"/>
    <w:rsid w:val="00FA0781"/>
    <w:rsid w:val="00FA1FEE"/>
    <w:rsid w:val="00FA23E5"/>
    <w:rsid w:val="00FA46EB"/>
    <w:rsid w:val="00FA5173"/>
    <w:rsid w:val="00FA6281"/>
    <w:rsid w:val="00FB0F1F"/>
    <w:rsid w:val="00FB3569"/>
    <w:rsid w:val="00FB38D6"/>
    <w:rsid w:val="00FB6F1B"/>
    <w:rsid w:val="00FC03E8"/>
    <w:rsid w:val="00FC19AF"/>
    <w:rsid w:val="00FC3091"/>
    <w:rsid w:val="00FC3411"/>
    <w:rsid w:val="00FC4FFE"/>
    <w:rsid w:val="00FC543B"/>
    <w:rsid w:val="00FC7855"/>
    <w:rsid w:val="00FD041C"/>
    <w:rsid w:val="00FD0A38"/>
    <w:rsid w:val="00FD1339"/>
    <w:rsid w:val="00FD531B"/>
    <w:rsid w:val="00FE45B5"/>
    <w:rsid w:val="00FE6041"/>
    <w:rsid w:val="00FE7157"/>
    <w:rsid w:val="00FF207D"/>
    <w:rsid w:val="00FF2122"/>
    <w:rsid w:val="00FF2DFD"/>
    <w:rsid w:val="00FF701D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7E40F5"/>
  <w15:docId w15:val="{F6B44EF5-814B-404C-AF48-2935293D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3BF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6532D6"/>
    <w:pPr>
      <w:keepNext/>
      <w:keepLines/>
      <w:numPr>
        <w:numId w:val="3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2B5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0C7C51"/>
    <w:pPr>
      <w:keepNext/>
      <w:keepLines/>
      <w:numPr>
        <w:ilvl w:val="1"/>
        <w:numId w:val="3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3B7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7C51"/>
    <w:pPr>
      <w:keepNext/>
      <w:keepLines/>
      <w:numPr>
        <w:ilvl w:val="2"/>
        <w:numId w:val="3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3B79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7C51"/>
    <w:pPr>
      <w:keepNext/>
      <w:keepLines/>
      <w:numPr>
        <w:ilvl w:val="3"/>
        <w:numId w:val="3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3B79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7C51"/>
    <w:pPr>
      <w:keepNext/>
      <w:keepLines/>
      <w:numPr>
        <w:ilvl w:val="4"/>
        <w:numId w:val="31"/>
      </w:numPr>
      <w:spacing w:before="200" w:after="0"/>
      <w:outlineLvl w:val="4"/>
    </w:pPr>
    <w:rPr>
      <w:rFonts w:asciiTheme="majorHAnsi" w:eastAsiaTheme="majorEastAsia" w:hAnsiTheme="majorHAnsi" w:cstheme="majorBidi"/>
      <w:color w:val="001D3C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C51"/>
    <w:pPr>
      <w:keepNext/>
      <w:keepLines/>
      <w:numPr>
        <w:ilvl w:val="5"/>
        <w:numId w:val="3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D3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7C51"/>
    <w:pPr>
      <w:keepNext/>
      <w:keepLines/>
      <w:numPr>
        <w:ilvl w:val="6"/>
        <w:numId w:val="3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6ADA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7C51"/>
    <w:pPr>
      <w:keepNext/>
      <w:keepLines/>
      <w:numPr>
        <w:ilvl w:val="7"/>
        <w:numId w:val="31"/>
      </w:numPr>
      <w:spacing w:before="200" w:after="0"/>
      <w:outlineLvl w:val="7"/>
    </w:pPr>
    <w:rPr>
      <w:rFonts w:asciiTheme="majorHAnsi" w:eastAsiaTheme="majorEastAsia" w:hAnsiTheme="majorHAnsi" w:cstheme="majorBidi"/>
      <w:color w:val="006ADA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7C51"/>
    <w:pPr>
      <w:keepNext/>
      <w:keepLines/>
      <w:numPr>
        <w:ilvl w:val="8"/>
        <w:numId w:val="3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6ADA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rsid w:val="002A09F3"/>
    <w:pPr>
      <w:numPr>
        <w:ilvl w:val="1"/>
      </w:numPr>
    </w:pPr>
    <w:rPr>
      <w:color w:val="037DFF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D2CFD"/>
    <w:rPr>
      <w:rFonts w:eastAsiaTheme="minorEastAsia"/>
      <w:color w:val="037DFF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2A09F3"/>
    <w:rPr>
      <w:color w:val="808080"/>
    </w:rPr>
  </w:style>
  <w:style w:type="paragraph" w:styleId="Header">
    <w:name w:val="header"/>
    <w:basedOn w:val="Normal"/>
    <w:link w:val="HeaderChar"/>
    <w:uiPriority w:val="99"/>
    <w:rsid w:val="002C5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CFD"/>
    <w:rPr>
      <w:rFonts w:eastAsiaTheme="minorEastAsia"/>
    </w:rPr>
  </w:style>
  <w:style w:type="paragraph" w:styleId="Footer">
    <w:name w:val="footer"/>
    <w:basedOn w:val="Normal"/>
    <w:link w:val="FooterChar"/>
    <w:uiPriority w:val="99"/>
    <w:rsid w:val="002C5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CFD"/>
    <w:rPr>
      <w:rFonts w:eastAsiaTheme="minorEastAsia"/>
    </w:rPr>
  </w:style>
  <w:style w:type="paragraph" w:styleId="NoSpacing">
    <w:name w:val="No Spacing"/>
    <w:link w:val="NoSpacingChar"/>
    <w:uiPriority w:val="1"/>
    <w:semiHidden/>
    <w:rsid w:val="002A09F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ED2CFD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semiHidden/>
    <w:rsid w:val="002A0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D2CF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aption">
    <w:name w:val="caption"/>
    <w:basedOn w:val="Normal"/>
    <w:next w:val="Normal"/>
    <w:link w:val="CaptionChar"/>
    <w:uiPriority w:val="35"/>
    <w:semiHidden/>
    <w:qFormat/>
    <w:rsid w:val="002C53BF"/>
    <w:pPr>
      <w:spacing w:line="240" w:lineRule="auto"/>
    </w:pPr>
    <w:rPr>
      <w:i/>
      <w:iCs/>
      <w:color w:val="EC7D11" w:themeColor="text2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2A09F3"/>
    <w:pPr>
      <w:pBdr>
        <w:top w:val="single" w:sz="4" w:space="10" w:color="003B79" w:themeColor="accent1"/>
        <w:bottom w:val="single" w:sz="4" w:space="10" w:color="003B79" w:themeColor="accent1"/>
      </w:pBdr>
      <w:spacing w:before="360" w:after="360"/>
      <w:ind w:left="864" w:right="864"/>
      <w:jc w:val="center"/>
    </w:pPr>
    <w:rPr>
      <w:i/>
      <w:iCs/>
      <w:color w:val="003B7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D2CFD"/>
    <w:rPr>
      <w:rFonts w:eastAsiaTheme="minorEastAsia"/>
      <w:i/>
      <w:iCs/>
      <w:color w:val="003B79" w:themeColor="accent1"/>
    </w:rPr>
  </w:style>
  <w:style w:type="character" w:styleId="IntenseReference">
    <w:name w:val="Intense Reference"/>
    <w:basedOn w:val="DefaultParagraphFont"/>
    <w:uiPriority w:val="32"/>
    <w:semiHidden/>
    <w:rsid w:val="002A09F3"/>
    <w:rPr>
      <w:b/>
      <w:bCs/>
      <w:smallCaps/>
      <w:color w:val="003B79" w:themeColor="accent1"/>
      <w:spacing w:val="5"/>
    </w:rPr>
  </w:style>
  <w:style w:type="paragraph" w:styleId="ListParagraph">
    <w:name w:val="List Paragraph"/>
    <w:basedOn w:val="Normal"/>
    <w:uiPriority w:val="34"/>
    <w:qFormat/>
    <w:rsid w:val="002A09F3"/>
    <w:pPr>
      <w:ind w:left="720"/>
      <w:contextualSpacing/>
    </w:pPr>
  </w:style>
  <w:style w:type="paragraph" w:customStyle="1" w:styleId="CRIFMainTitle">
    <w:name w:val="CRIF Main Title"/>
    <w:basedOn w:val="Normal"/>
    <w:link w:val="CRIFMainTitleChar"/>
    <w:qFormat/>
    <w:rsid w:val="008C0947"/>
    <w:rPr>
      <w:rFonts w:asciiTheme="majorHAnsi" w:eastAsiaTheme="majorEastAsia" w:hAnsiTheme="majorHAnsi" w:cstheme="majorBidi"/>
      <w:color w:val="003B79" w:themeColor="accent1"/>
      <w:spacing w:val="-10"/>
      <w:sz w:val="44"/>
      <w:szCs w:val="56"/>
    </w:rPr>
  </w:style>
  <w:style w:type="paragraph" w:customStyle="1" w:styleId="CRIFAbstract">
    <w:name w:val="CRIF Abstract"/>
    <w:basedOn w:val="Subtitle"/>
    <w:link w:val="CRIFAbstractChar"/>
    <w:qFormat/>
    <w:rsid w:val="00A95870"/>
    <w:pPr>
      <w:spacing w:before="120" w:line="360" w:lineRule="auto"/>
      <w:jc w:val="both"/>
    </w:pPr>
    <w:rPr>
      <w:i/>
      <w:color w:val="2668A8" w:themeColor="accent3" w:themeShade="80"/>
      <w:sz w:val="20"/>
    </w:rPr>
  </w:style>
  <w:style w:type="character" w:customStyle="1" w:styleId="CRIFMainTitleChar">
    <w:name w:val="CRIF Main Title Char"/>
    <w:basedOn w:val="DefaultParagraphFont"/>
    <w:link w:val="CRIFMainTitle"/>
    <w:rsid w:val="008C0947"/>
    <w:rPr>
      <w:rFonts w:asciiTheme="majorHAnsi" w:eastAsiaTheme="majorEastAsia" w:hAnsiTheme="majorHAnsi" w:cstheme="majorBidi"/>
      <w:color w:val="003B79" w:themeColor="accent1"/>
      <w:spacing w:val="-10"/>
      <w:sz w:val="44"/>
      <w:szCs w:val="56"/>
    </w:rPr>
  </w:style>
  <w:style w:type="paragraph" w:customStyle="1" w:styleId="CRIFBodyText">
    <w:name w:val="CRIF Body Text"/>
    <w:basedOn w:val="Normal"/>
    <w:link w:val="CRIFBodyTextChar"/>
    <w:qFormat/>
    <w:rsid w:val="008C0947"/>
    <w:pPr>
      <w:spacing w:line="360" w:lineRule="auto"/>
      <w:jc w:val="both"/>
    </w:pPr>
    <w:rPr>
      <w:sz w:val="20"/>
    </w:rPr>
  </w:style>
  <w:style w:type="character" w:customStyle="1" w:styleId="CRIFAbstractChar">
    <w:name w:val="CRIF Abstract Char"/>
    <w:basedOn w:val="SubtitleChar"/>
    <w:link w:val="CRIFAbstract"/>
    <w:rsid w:val="00A95870"/>
    <w:rPr>
      <w:rFonts w:eastAsiaTheme="minorEastAsia"/>
      <w:i/>
      <w:color w:val="2668A8" w:themeColor="accent3" w:themeShade="80"/>
      <w:spacing w:val="15"/>
      <w:sz w:val="20"/>
    </w:rPr>
  </w:style>
  <w:style w:type="paragraph" w:customStyle="1" w:styleId="CRIFTitle">
    <w:name w:val="CRIF Title"/>
    <w:basedOn w:val="Normal"/>
    <w:next w:val="CRIFBodyText"/>
    <w:link w:val="CRIFTitleCarattere"/>
    <w:qFormat/>
    <w:rsid w:val="00C431CE"/>
    <w:pPr>
      <w:spacing w:before="400" w:after="160" w:line="360" w:lineRule="auto"/>
      <w:jc w:val="both"/>
    </w:pPr>
    <w:rPr>
      <w:b/>
      <w:caps/>
      <w:color w:val="003B79" w:themeColor="accent1"/>
      <w:sz w:val="20"/>
    </w:rPr>
  </w:style>
  <w:style w:type="character" w:customStyle="1" w:styleId="CRIFBodyTextChar">
    <w:name w:val="CRIF Body Text Char"/>
    <w:basedOn w:val="DefaultParagraphFont"/>
    <w:link w:val="CRIFBodyText"/>
    <w:rsid w:val="008C0947"/>
    <w:rPr>
      <w:rFonts w:eastAsiaTheme="minorEastAsia"/>
      <w:sz w:val="20"/>
    </w:rPr>
  </w:style>
  <w:style w:type="paragraph" w:customStyle="1" w:styleId="CRIFAbout">
    <w:name w:val="CRIF About"/>
    <w:basedOn w:val="Normal"/>
    <w:link w:val="CRIFAboutChar"/>
    <w:rsid w:val="008C0947"/>
    <w:pPr>
      <w:spacing w:line="360" w:lineRule="auto"/>
      <w:jc w:val="both"/>
    </w:pPr>
    <w:rPr>
      <w:i/>
      <w:color w:val="808080" w:themeColor="background1" w:themeShade="80"/>
      <w:sz w:val="20"/>
    </w:rPr>
  </w:style>
  <w:style w:type="character" w:customStyle="1" w:styleId="CRIFTitleCarattere">
    <w:name w:val="CRIF Title Carattere"/>
    <w:basedOn w:val="DefaultParagraphFont"/>
    <w:link w:val="CRIFTitle"/>
    <w:rsid w:val="00C431CE"/>
    <w:rPr>
      <w:rFonts w:eastAsiaTheme="minorEastAsia"/>
      <w:b/>
      <w:caps/>
      <w:color w:val="003B79" w:themeColor="accent1"/>
      <w:sz w:val="20"/>
    </w:rPr>
  </w:style>
  <w:style w:type="character" w:customStyle="1" w:styleId="CRIFAboutChar">
    <w:name w:val="CRIF About Char"/>
    <w:basedOn w:val="DefaultParagraphFont"/>
    <w:link w:val="CRIFAbout"/>
    <w:rsid w:val="008C0947"/>
    <w:rPr>
      <w:rFonts w:eastAsiaTheme="minorEastAsia"/>
      <w:i/>
      <w:color w:val="808080" w:themeColor="background1" w:themeShade="80"/>
      <w:sz w:val="20"/>
    </w:rPr>
  </w:style>
  <w:style w:type="paragraph" w:customStyle="1" w:styleId="CRIFCaption">
    <w:name w:val="CRIF Caption"/>
    <w:basedOn w:val="Caption"/>
    <w:link w:val="CRIFCaptionChar"/>
    <w:qFormat/>
    <w:rsid w:val="002C53BF"/>
  </w:style>
  <w:style w:type="paragraph" w:customStyle="1" w:styleId="CRIFAboutTitle">
    <w:name w:val="CRIF About Title"/>
    <w:basedOn w:val="Normal"/>
    <w:link w:val="CRIFAboutTitleChar"/>
    <w:rsid w:val="008C0947"/>
    <w:pPr>
      <w:spacing w:line="360" w:lineRule="auto"/>
      <w:jc w:val="both"/>
    </w:pPr>
    <w:rPr>
      <w:b/>
      <w:color w:val="EC7D11" w:themeColor="text2"/>
      <w:sz w:val="20"/>
    </w:rPr>
  </w:style>
  <w:style w:type="character" w:customStyle="1" w:styleId="CaptionChar">
    <w:name w:val="Caption Char"/>
    <w:basedOn w:val="DefaultParagraphFont"/>
    <w:link w:val="Caption"/>
    <w:uiPriority w:val="35"/>
    <w:semiHidden/>
    <w:rsid w:val="00ED2CFD"/>
    <w:rPr>
      <w:rFonts w:eastAsiaTheme="minorEastAsia"/>
      <w:i/>
      <w:iCs/>
      <w:color w:val="EC7D11" w:themeColor="text2"/>
      <w:sz w:val="18"/>
      <w:szCs w:val="18"/>
    </w:rPr>
  </w:style>
  <w:style w:type="character" w:customStyle="1" w:styleId="CRIFCaptionChar">
    <w:name w:val="CRIF Caption Char"/>
    <w:basedOn w:val="DefaultParagraphFont"/>
    <w:link w:val="CRIFCaption"/>
    <w:rsid w:val="008C0947"/>
    <w:rPr>
      <w:rFonts w:eastAsiaTheme="minorEastAsia"/>
      <w:i/>
      <w:iCs/>
      <w:color w:val="EC7D11" w:themeColor="text2"/>
      <w:sz w:val="18"/>
      <w:szCs w:val="18"/>
    </w:rPr>
  </w:style>
  <w:style w:type="paragraph" w:customStyle="1" w:styleId="CRIFQuote">
    <w:name w:val="CRIF Quote"/>
    <w:basedOn w:val="CRIFAboutTitle"/>
    <w:link w:val="CRIFQuoteChar"/>
    <w:qFormat/>
    <w:rsid w:val="00A13CE3"/>
    <w:pPr>
      <w:spacing w:before="120" w:line="480" w:lineRule="auto"/>
      <w:jc w:val="center"/>
    </w:pPr>
    <w:rPr>
      <w:b w:val="0"/>
      <w:i/>
      <w:color w:val="808080" w:themeColor="background1" w:themeShade="80"/>
      <w:sz w:val="18"/>
    </w:rPr>
  </w:style>
  <w:style w:type="character" w:customStyle="1" w:styleId="CRIFAboutTitleChar">
    <w:name w:val="CRIF About Title Char"/>
    <w:basedOn w:val="DefaultParagraphFont"/>
    <w:link w:val="CRIFAboutTitle"/>
    <w:rsid w:val="008C0947"/>
    <w:rPr>
      <w:rFonts w:eastAsiaTheme="minorEastAsia"/>
      <w:b/>
      <w:color w:val="EC7D11" w:themeColor="text2"/>
      <w:sz w:val="20"/>
    </w:rPr>
  </w:style>
  <w:style w:type="character" w:customStyle="1" w:styleId="CRIFQuoteChar">
    <w:name w:val="CRIF Quote Char"/>
    <w:basedOn w:val="CRIFAboutTitleChar"/>
    <w:link w:val="CRIFQuote"/>
    <w:rsid w:val="00A13CE3"/>
    <w:rPr>
      <w:rFonts w:eastAsiaTheme="minorEastAsia"/>
      <w:b w:val="0"/>
      <w:i/>
      <w:color w:val="808080" w:themeColor="background1" w:themeShade="80"/>
      <w:sz w:val="18"/>
    </w:rPr>
  </w:style>
  <w:style w:type="character" w:styleId="Hyperlink">
    <w:name w:val="Hyperlink"/>
    <w:basedOn w:val="DefaultParagraphFont"/>
    <w:uiPriority w:val="99"/>
    <w:rsid w:val="002C53BF"/>
    <w:rPr>
      <w:color w:val="EC7D1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5EC"/>
    <w:rPr>
      <w:rFonts w:ascii="Tahoma" w:eastAsiaTheme="minorEastAs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6532D6"/>
    <w:rPr>
      <w:rFonts w:asciiTheme="majorHAnsi" w:eastAsiaTheme="majorEastAsia" w:hAnsiTheme="majorHAnsi" w:cstheme="majorBidi"/>
      <w:b/>
      <w:bCs/>
      <w:color w:val="002B5A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rsid w:val="006532D6"/>
    <w:pPr>
      <w:outlineLvl w:val="9"/>
    </w:pPr>
    <w:rPr>
      <w:lang w:val="it-IT" w:eastAsia="it-IT"/>
    </w:rPr>
  </w:style>
  <w:style w:type="paragraph" w:styleId="TOC2">
    <w:name w:val="toc 2"/>
    <w:basedOn w:val="Normal"/>
    <w:next w:val="Normal"/>
    <w:autoRedefine/>
    <w:uiPriority w:val="39"/>
    <w:unhideWhenUsed/>
    <w:rsid w:val="006532D6"/>
    <w:pPr>
      <w:spacing w:after="0"/>
      <w:ind w:left="220"/>
    </w:pPr>
    <w:rPr>
      <w:smallCaps/>
      <w:sz w:val="20"/>
      <w:szCs w:val="20"/>
    </w:rPr>
  </w:style>
  <w:style w:type="paragraph" w:styleId="TOC1">
    <w:name w:val="toc 1"/>
    <w:aliases w:val="CRIF Index"/>
    <w:basedOn w:val="Normal"/>
    <w:next w:val="CRIFTitle3"/>
    <w:link w:val="TOC1Char"/>
    <w:autoRedefine/>
    <w:uiPriority w:val="39"/>
    <w:unhideWhenUsed/>
    <w:qFormat/>
    <w:rsid w:val="007B316A"/>
    <w:pPr>
      <w:tabs>
        <w:tab w:val="left" w:pos="440"/>
        <w:tab w:val="right" w:leader="dot" w:pos="9350"/>
      </w:tabs>
      <w:spacing w:before="120" w:after="120"/>
    </w:pPr>
    <w:rPr>
      <w:b/>
      <w:bCs/>
      <w:caps/>
      <w:noProof/>
      <w:color w:val="003B79" w:themeColor="text1"/>
      <w:sz w:val="20"/>
      <w:szCs w:val="20"/>
      <w:lang w:val="it-IT" w:eastAsia="it-IT"/>
    </w:rPr>
  </w:style>
  <w:style w:type="paragraph" w:styleId="TOC3">
    <w:name w:val="toc 3"/>
    <w:aliases w:val="Sommario"/>
    <w:basedOn w:val="Normal"/>
    <w:next w:val="Normal"/>
    <w:autoRedefine/>
    <w:uiPriority w:val="39"/>
    <w:unhideWhenUsed/>
    <w:rsid w:val="002211D8"/>
    <w:pPr>
      <w:spacing w:after="0"/>
      <w:ind w:left="440"/>
    </w:pPr>
    <w:rPr>
      <w:i/>
      <w:iCs/>
      <w:sz w:val="20"/>
      <w:szCs w:val="20"/>
    </w:rPr>
  </w:style>
  <w:style w:type="paragraph" w:customStyle="1" w:styleId="CRIFTitle2">
    <w:name w:val="CRIF Title 2"/>
    <w:basedOn w:val="CRIFBodyText"/>
    <w:link w:val="CRIFTitle2Carattere"/>
    <w:qFormat/>
    <w:rsid w:val="00C431CE"/>
    <w:pPr>
      <w:spacing w:after="120"/>
    </w:pPr>
    <w:rPr>
      <w:b/>
      <w:color w:val="003B79" w:themeColor="accent1"/>
      <w:lang w:val="it-IT"/>
    </w:rPr>
  </w:style>
  <w:style w:type="table" w:customStyle="1" w:styleId="Predefinita1">
    <w:name w:val="Predefinita 1"/>
    <w:basedOn w:val="TableNormal"/>
    <w:uiPriority w:val="50"/>
    <w:rsid w:val="00246197"/>
    <w:pPr>
      <w:spacing w:after="0" w:line="240" w:lineRule="auto"/>
    </w:pPr>
    <w:tblPr>
      <w:tblStyleRowBandSize w:val="1"/>
      <w:tblStyleColBandSize w:val="1"/>
      <w:tblBorders>
        <w:top w:val="single" w:sz="4" w:space="0" w:color="F2F2F2"/>
        <w:left w:val="single" w:sz="4" w:space="0" w:color="F2F2F2"/>
        <w:bottom w:val="single" w:sz="4" w:space="0" w:color="F2F2F2"/>
        <w:right w:val="single" w:sz="4" w:space="0" w:color="F2F2F2"/>
        <w:insideH w:val="single" w:sz="4" w:space="0" w:color="F2F2F2"/>
        <w:insideV w:val="single" w:sz="4" w:space="0" w:color="F2F2F2"/>
      </w:tblBorders>
    </w:tblPr>
    <w:tcPr>
      <w:shd w:val="clear" w:color="auto" w:fill="FBE4CF"/>
    </w:tcPr>
    <w:tblStylePr w:type="firstRow">
      <w:rPr>
        <w:b/>
        <w:bCs/>
        <w:color w:val="F2F2F2"/>
      </w:rPr>
      <w:tblPr/>
      <w:tcPr>
        <w:tcBorders>
          <w:top w:val="single" w:sz="4" w:space="0" w:color="F2F2F2"/>
          <w:left w:val="single" w:sz="4" w:space="0" w:color="F2F2F2"/>
          <w:right w:val="single" w:sz="4" w:space="0" w:color="F2F2F2"/>
          <w:insideH w:val="nil"/>
          <w:insideV w:val="nil"/>
        </w:tcBorders>
        <w:shd w:val="clear" w:color="auto" w:fill="EE7D11"/>
      </w:tcPr>
    </w:tblStylePr>
    <w:tblStylePr w:type="lastRow">
      <w:rPr>
        <w:b/>
        <w:bCs/>
        <w:color w:val="F2F2F2"/>
      </w:rPr>
      <w:tblPr/>
      <w:tcPr>
        <w:tcBorders>
          <w:left w:val="single" w:sz="4" w:space="0" w:color="F2F2F2"/>
          <w:bottom w:val="single" w:sz="4" w:space="0" w:color="F2F2F2"/>
          <w:right w:val="single" w:sz="4" w:space="0" w:color="F2F2F2"/>
          <w:insideH w:val="nil"/>
          <w:insideV w:val="nil"/>
        </w:tcBorders>
        <w:shd w:val="clear" w:color="auto" w:fill="EE7D11"/>
      </w:tcPr>
    </w:tblStylePr>
    <w:tblStylePr w:type="firstCol">
      <w:rPr>
        <w:b/>
        <w:bCs/>
        <w:color w:val="F2F2F2"/>
      </w:rPr>
      <w:tblPr/>
      <w:tcPr>
        <w:tcBorders>
          <w:top w:val="single" w:sz="4" w:space="0" w:color="F2F2F2"/>
          <w:left w:val="single" w:sz="4" w:space="0" w:color="F2F2F2"/>
          <w:bottom w:val="single" w:sz="4" w:space="0" w:color="F2F2F2"/>
          <w:insideV w:val="nil"/>
        </w:tcBorders>
        <w:shd w:val="clear" w:color="auto" w:fill="EE7D11"/>
      </w:tcPr>
    </w:tblStylePr>
    <w:tblStylePr w:type="lastCol">
      <w:rPr>
        <w:b/>
        <w:bCs/>
        <w:color w:val="F2F2F2"/>
      </w:rPr>
      <w:tblPr/>
      <w:tcPr>
        <w:tcBorders>
          <w:top w:val="single" w:sz="4" w:space="0" w:color="F2F2F2"/>
          <w:bottom w:val="single" w:sz="4" w:space="0" w:color="F2F2F2"/>
          <w:right w:val="single" w:sz="4" w:space="0" w:color="F2F2F2"/>
          <w:insideV w:val="nil"/>
        </w:tcBorders>
        <w:shd w:val="clear" w:color="auto" w:fill="EE7D11"/>
      </w:tcPr>
    </w:tblStylePr>
    <w:tblStylePr w:type="band1Vert">
      <w:tblPr/>
      <w:tcPr>
        <w:shd w:val="clear" w:color="auto" w:fill="F8CA9F"/>
      </w:tcPr>
    </w:tblStylePr>
    <w:tblStylePr w:type="band1Horz">
      <w:tblPr/>
      <w:tcPr>
        <w:shd w:val="clear" w:color="auto" w:fill="F8CA9F"/>
      </w:tcPr>
    </w:tblStylePr>
  </w:style>
  <w:style w:type="table" w:styleId="TableGrid">
    <w:name w:val="Table Grid"/>
    <w:basedOn w:val="TableNormal"/>
    <w:uiPriority w:val="59"/>
    <w:rsid w:val="0024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IFTitle3">
    <w:name w:val="CRIF Title 3"/>
    <w:basedOn w:val="CRIFTitle2"/>
    <w:link w:val="CRIFTitle3Carattere"/>
    <w:qFormat/>
    <w:rsid w:val="00CB1EDE"/>
    <w:rPr>
      <w:b w:val="0"/>
    </w:rPr>
  </w:style>
  <w:style w:type="character" w:customStyle="1" w:styleId="CRIFTitle2Carattere">
    <w:name w:val="CRIF Title 2 Carattere"/>
    <w:basedOn w:val="CRIFBodyTextChar"/>
    <w:link w:val="CRIFTitle2"/>
    <w:rsid w:val="00C431CE"/>
    <w:rPr>
      <w:rFonts w:eastAsiaTheme="minorEastAsia"/>
      <w:b/>
      <w:color w:val="003B79" w:themeColor="accent1"/>
      <w:sz w:val="20"/>
      <w:lang w:val="it-IT"/>
    </w:rPr>
  </w:style>
  <w:style w:type="paragraph" w:styleId="TOC4">
    <w:name w:val="toc 4"/>
    <w:basedOn w:val="Normal"/>
    <w:next w:val="Normal"/>
    <w:autoRedefine/>
    <w:uiPriority w:val="39"/>
    <w:unhideWhenUsed/>
    <w:rsid w:val="000B1462"/>
    <w:pPr>
      <w:spacing w:after="0"/>
      <w:ind w:left="660"/>
    </w:pPr>
    <w:rPr>
      <w:sz w:val="18"/>
      <w:szCs w:val="18"/>
    </w:rPr>
  </w:style>
  <w:style w:type="character" w:customStyle="1" w:styleId="CRIFTitle3Carattere">
    <w:name w:val="CRIF Title 3 Carattere"/>
    <w:basedOn w:val="CRIFTitle2Carattere"/>
    <w:link w:val="CRIFTitle3"/>
    <w:rsid w:val="00CB1EDE"/>
    <w:rPr>
      <w:rFonts w:eastAsiaTheme="minorEastAsia"/>
      <w:b w:val="0"/>
      <w:color w:val="003B79" w:themeColor="accent1"/>
      <w:sz w:val="20"/>
      <w:lang w:val="it-IT"/>
    </w:rPr>
  </w:style>
  <w:style w:type="character" w:customStyle="1" w:styleId="TOC1Char">
    <w:name w:val="TOC 1 Char"/>
    <w:aliases w:val="CRIF Index Char"/>
    <w:basedOn w:val="DefaultParagraphFont"/>
    <w:link w:val="TOC1"/>
    <w:uiPriority w:val="39"/>
    <w:rsid w:val="007B316A"/>
    <w:rPr>
      <w:rFonts w:eastAsiaTheme="minorEastAsia"/>
      <w:b/>
      <w:bCs/>
      <w:caps/>
      <w:noProof/>
      <w:color w:val="003B79" w:themeColor="text1"/>
      <w:sz w:val="20"/>
      <w:szCs w:val="20"/>
      <w:lang w:val="it-IT" w:eastAsia="it-IT"/>
    </w:rPr>
  </w:style>
  <w:style w:type="table" w:styleId="TableSimple1">
    <w:name w:val="Table Simple 1"/>
    <w:basedOn w:val="TableNormal"/>
    <w:uiPriority w:val="99"/>
    <w:semiHidden/>
    <w:unhideWhenUsed/>
    <w:rsid w:val="001F01C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OC5">
    <w:name w:val="toc 5"/>
    <w:basedOn w:val="Normal"/>
    <w:next w:val="Normal"/>
    <w:autoRedefine/>
    <w:uiPriority w:val="39"/>
    <w:unhideWhenUsed/>
    <w:rsid w:val="00C13243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C13243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C13243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C13243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C13243"/>
    <w:pPr>
      <w:spacing w:after="0"/>
      <w:ind w:left="1760"/>
    </w:pPr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7C51"/>
    <w:rPr>
      <w:rFonts w:asciiTheme="majorHAnsi" w:eastAsiaTheme="majorEastAsia" w:hAnsiTheme="majorHAnsi" w:cstheme="majorBidi"/>
      <w:b/>
      <w:bCs/>
      <w:color w:val="003B79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7C51"/>
    <w:rPr>
      <w:rFonts w:asciiTheme="majorHAnsi" w:eastAsiaTheme="majorEastAsia" w:hAnsiTheme="majorHAnsi" w:cstheme="majorBidi"/>
      <w:b/>
      <w:bCs/>
      <w:color w:val="003B79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7C51"/>
    <w:rPr>
      <w:rFonts w:asciiTheme="majorHAnsi" w:eastAsiaTheme="majorEastAsia" w:hAnsiTheme="majorHAnsi" w:cstheme="majorBidi"/>
      <w:b/>
      <w:bCs/>
      <w:i/>
      <w:iCs/>
      <w:color w:val="003B7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7C51"/>
    <w:rPr>
      <w:rFonts w:asciiTheme="majorHAnsi" w:eastAsiaTheme="majorEastAsia" w:hAnsiTheme="majorHAnsi" w:cstheme="majorBidi"/>
      <w:color w:val="001D3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C51"/>
    <w:rPr>
      <w:rFonts w:asciiTheme="majorHAnsi" w:eastAsiaTheme="majorEastAsia" w:hAnsiTheme="majorHAnsi" w:cstheme="majorBidi"/>
      <w:i/>
      <w:iCs/>
      <w:color w:val="001D3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7C51"/>
    <w:rPr>
      <w:rFonts w:asciiTheme="majorHAnsi" w:eastAsiaTheme="majorEastAsia" w:hAnsiTheme="majorHAnsi" w:cstheme="majorBidi"/>
      <w:i/>
      <w:iCs/>
      <w:color w:val="006ADA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7C51"/>
    <w:rPr>
      <w:rFonts w:asciiTheme="majorHAnsi" w:eastAsiaTheme="majorEastAsia" w:hAnsiTheme="majorHAnsi" w:cstheme="majorBidi"/>
      <w:color w:val="006ADA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7C51"/>
    <w:rPr>
      <w:rFonts w:asciiTheme="majorHAnsi" w:eastAsiaTheme="majorEastAsia" w:hAnsiTheme="majorHAnsi" w:cstheme="majorBidi"/>
      <w:i/>
      <w:iCs/>
      <w:color w:val="006ADA" w:themeColor="text1" w:themeTint="BF"/>
      <w:sz w:val="20"/>
      <w:szCs w:val="20"/>
    </w:rPr>
  </w:style>
  <w:style w:type="paragraph" w:customStyle="1" w:styleId="CRIF1Title">
    <w:name w:val="CRIF 1.Title"/>
    <w:basedOn w:val="CRIFTitle"/>
    <w:rsid w:val="00587C54"/>
    <w:rPr>
      <w:lang w:val="it-IT"/>
    </w:rPr>
  </w:style>
  <w:style w:type="table" w:styleId="LightList-Accent1">
    <w:name w:val="Light List Accent 1"/>
    <w:basedOn w:val="TableNormal"/>
    <w:uiPriority w:val="61"/>
    <w:rsid w:val="00C11AE6"/>
    <w:pPr>
      <w:spacing w:after="0" w:line="240" w:lineRule="auto"/>
    </w:pPr>
    <w:tblPr>
      <w:tblStyleRowBandSize w:val="1"/>
      <w:tblStyleColBandSize w:val="1"/>
      <w:tblBorders>
        <w:top w:val="single" w:sz="8" w:space="0" w:color="003B79" w:themeColor="accent1"/>
        <w:left w:val="single" w:sz="8" w:space="0" w:color="003B79" w:themeColor="accent1"/>
        <w:bottom w:val="single" w:sz="8" w:space="0" w:color="003B79" w:themeColor="accent1"/>
        <w:right w:val="single" w:sz="8" w:space="0" w:color="003B7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B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B79" w:themeColor="accent1"/>
          <w:left w:val="single" w:sz="8" w:space="0" w:color="003B79" w:themeColor="accent1"/>
          <w:bottom w:val="single" w:sz="8" w:space="0" w:color="003B79" w:themeColor="accent1"/>
          <w:right w:val="single" w:sz="8" w:space="0" w:color="003B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B79" w:themeColor="accent1"/>
          <w:left w:val="single" w:sz="8" w:space="0" w:color="003B79" w:themeColor="accent1"/>
          <w:bottom w:val="single" w:sz="8" w:space="0" w:color="003B79" w:themeColor="accent1"/>
          <w:right w:val="single" w:sz="8" w:space="0" w:color="003B79" w:themeColor="accent1"/>
        </w:tcBorders>
      </w:tcPr>
    </w:tblStylePr>
    <w:tblStylePr w:type="band1Horz">
      <w:tblPr/>
      <w:tcPr>
        <w:tcBorders>
          <w:top w:val="single" w:sz="8" w:space="0" w:color="003B79" w:themeColor="accent1"/>
          <w:left w:val="single" w:sz="8" w:space="0" w:color="003B79" w:themeColor="accent1"/>
          <w:bottom w:val="single" w:sz="8" w:space="0" w:color="003B79" w:themeColor="accent1"/>
          <w:right w:val="single" w:sz="8" w:space="0" w:color="003B79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32D73"/>
    <w:pPr>
      <w:spacing w:after="0" w:line="240" w:lineRule="auto"/>
    </w:pPr>
    <w:tblPr>
      <w:tblStyleRowBandSize w:val="1"/>
      <w:tblStyleColBandSize w:val="1"/>
      <w:tblBorders>
        <w:top w:val="single" w:sz="8" w:space="0" w:color="EE7D11" w:themeColor="accent2"/>
        <w:left w:val="single" w:sz="8" w:space="0" w:color="EE7D11" w:themeColor="accent2"/>
        <w:bottom w:val="single" w:sz="8" w:space="0" w:color="EE7D11" w:themeColor="accent2"/>
        <w:right w:val="single" w:sz="8" w:space="0" w:color="EE7D1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7D1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7D11" w:themeColor="accent2"/>
          <w:left w:val="single" w:sz="8" w:space="0" w:color="EE7D11" w:themeColor="accent2"/>
          <w:bottom w:val="single" w:sz="8" w:space="0" w:color="EE7D11" w:themeColor="accent2"/>
          <w:right w:val="single" w:sz="8" w:space="0" w:color="EE7D1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7D11" w:themeColor="accent2"/>
          <w:left w:val="single" w:sz="8" w:space="0" w:color="EE7D11" w:themeColor="accent2"/>
          <w:bottom w:val="single" w:sz="8" w:space="0" w:color="EE7D11" w:themeColor="accent2"/>
          <w:right w:val="single" w:sz="8" w:space="0" w:color="EE7D11" w:themeColor="accent2"/>
        </w:tcBorders>
      </w:tcPr>
    </w:tblStylePr>
    <w:tblStylePr w:type="band1Horz">
      <w:tblPr/>
      <w:tcPr>
        <w:tcBorders>
          <w:top w:val="single" w:sz="8" w:space="0" w:color="EE7D11" w:themeColor="accent2"/>
          <w:left w:val="single" w:sz="8" w:space="0" w:color="EE7D11" w:themeColor="accent2"/>
          <w:bottom w:val="single" w:sz="8" w:space="0" w:color="EE7D11" w:themeColor="accent2"/>
          <w:right w:val="single" w:sz="8" w:space="0" w:color="EE7D11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rsid w:val="00C75F14"/>
    <w:pPr>
      <w:spacing w:after="0" w:line="240" w:lineRule="auto"/>
    </w:pPr>
    <w:tblPr>
      <w:tblStyleRowBandSize w:val="1"/>
      <w:tblStyleColBandSize w:val="1"/>
      <w:tblBorders>
        <w:top w:val="single" w:sz="8" w:space="0" w:color="F29D4C" w:themeColor="accent2" w:themeTint="BF"/>
        <w:left w:val="single" w:sz="8" w:space="0" w:color="F29D4C" w:themeColor="accent2" w:themeTint="BF"/>
        <w:bottom w:val="single" w:sz="8" w:space="0" w:color="F29D4C" w:themeColor="accent2" w:themeTint="BF"/>
        <w:right w:val="single" w:sz="8" w:space="0" w:color="F29D4C" w:themeColor="accent2" w:themeTint="BF"/>
        <w:insideH w:val="single" w:sz="8" w:space="0" w:color="F29D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9D4C" w:themeColor="accent2" w:themeTint="BF"/>
          <w:left w:val="single" w:sz="8" w:space="0" w:color="F29D4C" w:themeColor="accent2" w:themeTint="BF"/>
          <w:bottom w:val="single" w:sz="8" w:space="0" w:color="F29D4C" w:themeColor="accent2" w:themeTint="BF"/>
          <w:right w:val="single" w:sz="8" w:space="0" w:color="F29D4C" w:themeColor="accent2" w:themeTint="BF"/>
          <w:insideH w:val="nil"/>
          <w:insideV w:val="nil"/>
        </w:tcBorders>
        <w:shd w:val="clear" w:color="auto" w:fill="EE7D1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9D4C" w:themeColor="accent2" w:themeTint="BF"/>
          <w:left w:val="single" w:sz="8" w:space="0" w:color="F29D4C" w:themeColor="accent2" w:themeTint="BF"/>
          <w:bottom w:val="single" w:sz="8" w:space="0" w:color="F29D4C" w:themeColor="accent2" w:themeTint="BF"/>
          <w:right w:val="single" w:sz="8" w:space="0" w:color="F29D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mphasis">
    <w:name w:val="Emphasis"/>
    <w:basedOn w:val="DefaultParagraphFont"/>
    <w:uiPriority w:val="20"/>
    <w:qFormat/>
    <w:rsid w:val="00076251"/>
    <w:rPr>
      <w:i/>
      <w:iCs/>
    </w:rPr>
  </w:style>
  <w:style w:type="paragraph" w:styleId="Revision">
    <w:name w:val="Revision"/>
    <w:hidden/>
    <w:uiPriority w:val="99"/>
    <w:semiHidden/>
    <w:rsid w:val="002C53BF"/>
    <w:pPr>
      <w:spacing w:after="0" w:line="240" w:lineRule="auto"/>
    </w:pPr>
    <w:rPr>
      <w:rFonts w:eastAsiaTheme="minorEastAsia"/>
    </w:rPr>
  </w:style>
  <w:style w:type="paragraph" w:styleId="DocumentMap">
    <w:name w:val="Document Map"/>
    <w:basedOn w:val="Normal"/>
    <w:link w:val="DocumentMapChar"/>
    <w:semiHidden/>
    <w:rsid w:val="002C53BF"/>
    <w:pPr>
      <w:shd w:val="clear" w:color="auto" w:fill="000080"/>
      <w:spacing w:after="40" w:line="240" w:lineRule="auto"/>
      <w:ind w:firstLine="284"/>
      <w:jc w:val="both"/>
    </w:pPr>
    <w:rPr>
      <w:rFonts w:ascii="Tahoma" w:eastAsia="Times New Roman" w:hAnsi="Tahoma" w:cs="Times New Roman"/>
      <w:snapToGrid w:val="0"/>
      <w:sz w:val="20"/>
      <w:szCs w:val="20"/>
      <w:lang w:val="it-IT" w:eastAsia="it-IT"/>
    </w:rPr>
  </w:style>
  <w:style w:type="character" w:customStyle="1" w:styleId="DocumentMapChar">
    <w:name w:val="Document Map Char"/>
    <w:basedOn w:val="DefaultParagraphFont"/>
    <w:link w:val="DocumentMap"/>
    <w:semiHidden/>
    <w:rsid w:val="002C53BF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val="it-IT" w:eastAsia="it-IT"/>
    </w:rPr>
  </w:style>
  <w:style w:type="character" w:styleId="CommentReference">
    <w:name w:val="annotation reference"/>
    <w:uiPriority w:val="99"/>
    <w:semiHidden/>
    <w:unhideWhenUsed/>
    <w:rsid w:val="002C5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53BF"/>
    <w:pPr>
      <w:spacing w:after="40" w:line="240" w:lineRule="auto"/>
      <w:ind w:firstLine="284"/>
      <w:jc w:val="both"/>
    </w:pPr>
    <w:rPr>
      <w:rFonts w:ascii="Verdana" w:eastAsia="Times New Roman" w:hAnsi="Verdana" w:cs="Times New Roman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53BF"/>
    <w:rPr>
      <w:rFonts w:ascii="Verdana" w:eastAsia="Times New Roman" w:hAnsi="Verdana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3BF"/>
    <w:rPr>
      <w:rFonts w:ascii="Verdana" w:eastAsia="Times New Roman" w:hAnsi="Verdana" w:cs="Times New Roman"/>
      <w:b/>
      <w:bCs/>
      <w:snapToGrid w:val="0"/>
      <w:sz w:val="20"/>
      <w:szCs w:val="20"/>
    </w:rPr>
  </w:style>
  <w:style w:type="paragraph" w:customStyle="1" w:styleId="Corpsdetexte1">
    <w:name w:val="Corps de texte1"/>
    <w:basedOn w:val="Normal"/>
    <w:uiPriority w:val="99"/>
    <w:rsid w:val="002C53BF"/>
    <w:pPr>
      <w:autoSpaceDE w:val="0"/>
      <w:autoSpaceDN w:val="0"/>
      <w:spacing w:after="216" w:line="288" w:lineRule="auto"/>
    </w:pPr>
    <w:rPr>
      <w:rFonts w:ascii="HendersonBCGSerif-Regular" w:eastAsia="Calibri" w:hAnsi="HendersonBCGSerif-Regular" w:cs="Times New Roman"/>
      <w:color w:val="000000"/>
      <w:sz w:val="19"/>
      <w:szCs w:val="19"/>
      <w:lang w:val="fr-FR" w:eastAsia="fr-FR"/>
    </w:rPr>
  </w:style>
  <w:style w:type="character" w:customStyle="1" w:styleId="postbody1">
    <w:name w:val="postbody1"/>
    <w:rsid w:val="002C53BF"/>
    <w:rPr>
      <w:vanish w:val="0"/>
      <w:webHidden w:val="0"/>
      <w:specVanish w:val="0"/>
    </w:rPr>
  </w:style>
  <w:style w:type="paragraph" w:customStyle="1" w:styleId="introcapitolo">
    <w:name w:val="intro capitolo"/>
    <w:basedOn w:val="Normal"/>
    <w:qFormat/>
    <w:rsid w:val="002C53BF"/>
    <w:pPr>
      <w:widowControl w:val="0"/>
      <w:adjustRightInd w:val="0"/>
      <w:spacing w:after="160" w:line="280" w:lineRule="exact"/>
      <w:jc w:val="both"/>
      <w:textAlignment w:val="baseline"/>
    </w:pPr>
    <w:rPr>
      <w:rFonts w:ascii="Apex New Book" w:eastAsia="Times New Roman" w:hAnsi="Apex New Book" w:cs="Apex New Book"/>
      <w:color w:val="003882"/>
      <w:sz w:val="20"/>
      <w:szCs w:val="20"/>
      <w:lang w:val="it-IT" w:eastAsia="it-IT"/>
    </w:rPr>
  </w:style>
  <w:style w:type="character" w:styleId="Strong">
    <w:name w:val="Strong"/>
    <w:uiPriority w:val="22"/>
    <w:qFormat/>
    <w:rsid w:val="002C53B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C5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lainText">
    <w:name w:val="Plain Text"/>
    <w:basedOn w:val="Normal"/>
    <w:link w:val="PlainTextChar"/>
    <w:uiPriority w:val="99"/>
    <w:unhideWhenUsed/>
    <w:rsid w:val="002C53BF"/>
    <w:pPr>
      <w:spacing w:after="0" w:line="240" w:lineRule="auto"/>
    </w:pPr>
    <w:rPr>
      <w:rFonts w:ascii="Calibri" w:eastAsia="Calibri" w:hAnsi="Calibri" w:cs="Consolas"/>
      <w:szCs w:val="21"/>
      <w:lang w:val="it-IT"/>
    </w:rPr>
  </w:style>
  <w:style w:type="character" w:customStyle="1" w:styleId="PlainTextChar">
    <w:name w:val="Plain Text Char"/>
    <w:basedOn w:val="DefaultParagraphFont"/>
    <w:link w:val="PlainText"/>
    <w:uiPriority w:val="99"/>
    <w:rsid w:val="002C53BF"/>
    <w:rPr>
      <w:rFonts w:ascii="Calibri" w:eastAsia="Calibri" w:hAnsi="Calibri" w:cs="Consolas"/>
      <w:szCs w:val="21"/>
      <w:lang w:val="it-IT"/>
    </w:rPr>
  </w:style>
  <w:style w:type="character" w:customStyle="1" w:styleId="postbody">
    <w:name w:val="postbody"/>
    <w:rsid w:val="002C53BF"/>
  </w:style>
  <w:style w:type="table" w:styleId="MediumGrid1-Accent2">
    <w:name w:val="Medium Grid 1 Accent 2"/>
    <w:basedOn w:val="TableNormal"/>
    <w:uiPriority w:val="67"/>
    <w:rsid w:val="001D5789"/>
    <w:pPr>
      <w:spacing w:after="0" w:line="240" w:lineRule="auto"/>
    </w:pPr>
    <w:tblPr>
      <w:tblStyleRowBandSize w:val="1"/>
      <w:tblStyleColBandSize w:val="1"/>
      <w:tblBorders>
        <w:top w:val="single" w:sz="8" w:space="0" w:color="F29D4C" w:themeColor="accent2" w:themeTint="BF"/>
        <w:left w:val="single" w:sz="8" w:space="0" w:color="F29D4C" w:themeColor="accent2" w:themeTint="BF"/>
        <w:bottom w:val="single" w:sz="8" w:space="0" w:color="F29D4C" w:themeColor="accent2" w:themeTint="BF"/>
        <w:right w:val="single" w:sz="8" w:space="0" w:color="F29D4C" w:themeColor="accent2" w:themeTint="BF"/>
        <w:insideH w:val="single" w:sz="8" w:space="0" w:color="F29D4C" w:themeColor="accent2" w:themeTint="BF"/>
        <w:insideV w:val="single" w:sz="8" w:space="0" w:color="F29D4C" w:themeColor="accent2" w:themeTint="BF"/>
      </w:tblBorders>
    </w:tblPr>
    <w:tcPr>
      <w:shd w:val="clear" w:color="auto" w:fill="FADE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9D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D88" w:themeFill="accent2" w:themeFillTint="7F"/>
      </w:tcPr>
    </w:tblStylePr>
    <w:tblStylePr w:type="band1Horz">
      <w:tblPr/>
      <w:tcPr>
        <w:shd w:val="clear" w:color="auto" w:fill="F6BD88" w:themeFill="accent2" w:themeFillTint="7F"/>
      </w:tcPr>
    </w:tblStylePr>
  </w:style>
  <w:style w:type="table" w:styleId="MediumGrid3-Accent2">
    <w:name w:val="Medium Grid 3 Accent 2"/>
    <w:basedOn w:val="TableNormal"/>
    <w:uiPriority w:val="69"/>
    <w:rsid w:val="001D57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D1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D1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7D1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7D1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D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D88" w:themeFill="accent2" w:themeFillTint="7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1E12D5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12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12D5"/>
    <w:rPr>
      <w:vertAlign w:val="superscript"/>
    </w:rPr>
  </w:style>
  <w:style w:type="table" w:styleId="GridTable3">
    <w:name w:val="Grid Table 3"/>
    <w:basedOn w:val="TableNormal"/>
    <w:uiPriority w:val="48"/>
    <w:rsid w:val="00BF4128"/>
    <w:pPr>
      <w:spacing w:after="0" w:line="240" w:lineRule="auto"/>
    </w:pPr>
    <w:tblPr>
      <w:tblStyleRowBandSize w:val="1"/>
      <w:tblStyleColBandSize w:val="1"/>
      <w:tblBorders>
        <w:top w:val="single" w:sz="4" w:space="0" w:color="1586FF" w:themeColor="text1" w:themeTint="99"/>
        <w:left w:val="single" w:sz="4" w:space="0" w:color="1586FF" w:themeColor="text1" w:themeTint="99"/>
        <w:bottom w:val="single" w:sz="4" w:space="0" w:color="1586FF" w:themeColor="text1" w:themeTint="99"/>
        <w:right w:val="single" w:sz="4" w:space="0" w:color="1586FF" w:themeColor="text1" w:themeTint="99"/>
        <w:insideH w:val="single" w:sz="4" w:space="0" w:color="1586FF" w:themeColor="text1" w:themeTint="99"/>
        <w:insideV w:val="single" w:sz="4" w:space="0" w:color="1586FF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D6FF" w:themeFill="text1" w:themeFillTint="33"/>
      </w:tcPr>
    </w:tblStylePr>
    <w:tblStylePr w:type="band1Horz">
      <w:tblPr/>
      <w:tcPr>
        <w:shd w:val="clear" w:color="auto" w:fill="B1D6FF" w:themeFill="text1" w:themeFillTint="33"/>
      </w:tcPr>
    </w:tblStylePr>
    <w:tblStylePr w:type="neCell">
      <w:tblPr/>
      <w:tcPr>
        <w:tcBorders>
          <w:bottom w:val="single" w:sz="4" w:space="0" w:color="1586FF" w:themeColor="text1" w:themeTint="99"/>
        </w:tcBorders>
      </w:tcPr>
    </w:tblStylePr>
    <w:tblStylePr w:type="nwCell">
      <w:tblPr/>
      <w:tcPr>
        <w:tcBorders>
          <w:bottom w:val="single" w:sz="4" w:space="0" w:color="1586FF" w:themeColor="text1" w:themeTint="99"/>
        </w:tcBorders>
      </w:tcPr>
    </w:tblStylePr>
    <w:tblStylePr w:type="seCell">
      <w:tblPr/>
      <w:tcPr>
        <w:tcBorders>
          <w:top w:val="single" w:sz="4" w:space="0" w:color="1586FF" w:themeColor="text1" w:themeTint="99"/>
        </w:tcBorders>
      </w:tcPr>
    </w:tblStylePr>
    <w:tblStylePr w:type="swCell">
      <w:tblPr/>
      <w:tcPr>
        <w:tcBorders>
          <w:top w:val="single" w:sz="4" w:space="0" w:color="1586FF" w:themeColor="text1" w:themeTint="99"/>
        </w:tcBorders>
      </w:tcPr>
    </w:tblStylePr>
  </w:style>
  <w:style w:type="table" w:styleId="ListTable2">
    <w:name w:val="List Table 2"/>
    <w:basedOn w:val="TableNormal"/>
    <w:uiPriority w:val="47"/>
    <w:rsid w:val="007A2BD7"/>
    <w:pPr>
      <w:spacing w:after="0" w:line="240" w:lineRule="auto"/>
    </w:pPr>
    <w:tblPr>
      <w:tblStyleRowBandSize w:val="1"/>
      <w:tblStyleColBandSize w:val="1"/>
      <w:tblBorders>
        <w:top w:val="single" w:sz="4" w:space="0" w:color="1586FF" w:themeColor="text1" w:themeTint="99"/>
        <w:bottom w:val="single" w:sz="4" w:space="0" w:color="1586FF" w:themeColor="text1" w:themeTint="99"/>
        <w:insideH w:val="single" w:sz="4" w:space="0" w:color="1586FF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6FF" w:themeFill="text1" w:themeFillTint="33"/>
      </w:tcPr>
    </w:tblStylePr>
    <w:tblStylePr w:type="band1Horz">
      <w:tblPr/>
      <w:tcPr>
        <w:shd w:val="clear" w:color="auto" w:fill="B1D6FF" w:themeFill="text1" w:themeFillTint="33"/>
      </w:tcPr>
    </w:tblStylePr>
  </w:style>
  <w:style w:type="table" w:styleId="PlainTable2">
    <w:name w:val="Plain Table 2"/>
    <w:basedOn w:val="TableNormal"/>
    <w:uiPriority w:val="42"/>
    <w:rsid w:val="008E23AE"/>
    <w:pPr>
      <w:spacing w:after="0" w:line="240" w:lineRule="auto"/>
    </w:pPr>
    <w:tblPr>
      <w:tblStyleRowBandSize w:val="1"/>
      <w:tblStyleColBandSize w:val="1"/>
      <w:tblBorders>
        <w:top w:val="single" w:sz="4" w:space="0" w:color="3B9AFF" w:themeColor="text1" w:themeTint="80"/>
        <w:bottom w:val="single" w:sz="4" w:space="0" w:color="3B9A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3B9A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3B9A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3B9AFF" w:themeColor="text1" w:themeTint="80"/>
          <w:right w:val="single" w:sz="4" w:space="0" w:color="3B9AFF" w:themeColor="text1" w:themeTint="80"/>
        </w:tcBorders>
      </w:tcPr>
    </w:tblStylePr>
    <w:tblStylePr w:type="band2Vert">
      <w:tblPr/>
      <w:tcPr>
        <w:tcBorders>
          <w:left w:val="single" w:sz="4" w:space="0" w:color="3B9AFF" w:themeColor="text1" w:themeTint="80"/>
          <w:right w:val="single" w:sz="4" w:space="0" w:color="3B9AFF" w:themeColor="text1" w:themeTint="80"/>
        </w:tcBorders>
      </w:tcPr>
    </w:tblStylePr>
    <w:tblStylePr w:type="band1Horz">
      <w:tblPr/>
      <w:tcPr>
        <w:tcBorders>
          <w:top w:val="single" w:sz="4" w:space="0" w:color="3B9AFF" w:themeColor="text1" w:themeTint="80"/>
          <w:bottom w:val="single" w:sz="4" w:space="0" w:color="3B9AFF" w:themeColor="text1" w:themeTint="80"/>
        </w:tcBorders>
      </w:tcPr>
    </w:tblStylePr>
  </w:style>
  <w:style w:type="table" w:styleId="GridTable4-Accent2">
    <w:name w:val="Grid Table 4 Accent 2"/>
    <w:basedOn w:val="TableNormal"/>
    <w:uiPriority w:val="49"/>
    <w:rsid w:val="002351CD"/>
    <w:pPr>
      <w:spacing w:after="0" w:line="240" w:lineRule="auto"/>
    </w:pPr>
    <w:tblPr>
      <w:tblStyleRowBandSize w:val="1"/>
      <w:tblStyleColBandSize w:val="1"/>
      <w:tblBorders>
        <w:top w:val="single" w:sz="4" w:space="0" w:color="F4B070" w:themeColor="accent2" w:themeTint="99"/>
        <w:left w:val="single" w:sz="4" w:space="0" w:color="F4B070" w:themeColor="accent2" w:themeTint="99"/>
        <w:bottom w:val="single" w:sz="4" w:space="0" w:color="F4B070" w:themeColor="accent2" w:themeTint="99"/>
        <w:right w:val="single" w:sz="4" w:space="0" w:color="F4B070" w:themeColor="accent2" w:themeTint="99"/>
        <w:insideH w:val="single" w:sz="4" w:space="0" w:color="F4B070" w:themeColor="accent2" w:themeTint="99"/>
        <w:insideV w:val="single" w:sz="4" w:space="0" w:color="F4B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7D11" w:themeColor="accent2"/>
          <w:left w:val="single" w:sz="4" w:space="0" w:color="EE7D11" w:themeColor="accent2"/>
          <w:bottom w:val="single" w:sz="4" w:space="0" w:color="EE7D11" w:themeColor="accent2"/>
          <w:right w:val="single" w:sz="4" w:space="0" w:color="EE7D11" w:themeColor="accent2"/>
          <w:insideH w:val="nil"/>
          <w:insideV w:val="nil"/>
        </w:tcBorders>
        <w:shd w:val="clear" w:color="auto" w:fill="EE7D11" w:themeFill="accent2"/>
      </w:tcPr>
    </w:tblStylePr>
    <w:tblStylePr w:type="lastRow">
      <w:rPr>
        <w:b/>
        <w:bCs/>
      </w:rPr>
      <w:tblPr/>
      <w:tcPr>
        <w:tcBorders>
          <w:top w:val="double" w:sz="4" w:space="0" w:color="EE7D1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CF" w:themeFill="accent2" w:themeFillTint="33"/>
      </w:tcPr>
    </w:tblStylePr>
    <w:tblStylePr w:type="band1Horz">
      <w:tblPr/>
      <w:tcPr>
        <w:shd w:val="clear" w:color="auto" w:fill="FBE4CF" w:themeFill="accent2" w:themeFillTint="33"/>
      </w:tcPr>
    </w:tblStylePr>
  </w:style>
  <w:style w:type="table" w:customStyle="1" w:styleId="Style1">
    <w:name w:val="Style1"/>
    <w:basedOn w:val="TableNormal"/>
    <w:uiPriority w:val="99"/>
    <w:rsid w:val="002351CD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104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7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074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09195">
                              <w:marLeft w:val="0"/>
                              <w:marRight w:val="48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175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CCCCC"/>
                                    <w:right w:val="none" w:sz="0" w:space="0" w:color="auto"/>
                                  </w:divBdr>
                                  <w:divsChild>
                                    <w:div w:id="202972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942">
      <w:bodyDiv w:val="1"/>
      <w:marLeft w:val="0"/>
      <w:marRight w:val="0"/>
      <w:marTop w:val="2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5147">
                      <w:marLeft w:val="1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95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1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8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78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00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982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423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897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283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mailto:luca.fumagalli@bcw-global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77marcorona\Desktop\Comunicato%20stampa.dotx" TargetMode="External"/></Relationships>
</file>

<file path=word/theme/theme1.xml><?xml version="1.0" encoding="utf-8"?>
<a:theme xmlns:a="http://schemas.openxmlformats.org/drawingml/2006/main" name="Crif Credit Solutions Theme">
  <a:themeElements>
    <a:clrScheme name="Personalizzato 1">
      <a:dk1>
        <a:srgbClr val="003B79"/>
      </a:dk1>
      <a:lt1>
        <a:sysClr val="window" lastClr="FFFFFF"/>
      </a:lt1>
      <a:dk2>
        <a:srgbClr val="EC7D11"/>
      </a:dk2>
      <a:lt2>
        <a:srgbClr val="EEECE1"/>
      </a:lt2>
      <a:accent1>
        <a:srgbClr val="003B79"/>
      </a:accent1>
      <a:accent2>
        <a:srgbClr val="EE7D11"/>
      </a:accent2>
      <a:accent3>
        <a:srgbClr val="B0CFED"/>
      </a:accent3>
      <a:accent4>
        <a:srgbClr val="D9E021"/>
      </a:accent4>
      <a:accent5>
        <a:srgbClr val="DDDDDD"/>
      </a:accent5>
      <a:accent6>
        <a:srgbClr val="FFFFFF"/>
      </a:accent6>
      <a:hlink>
        <a:srgbClr val="EC7D11"/>
      </a:hlink>
      <a:folHlink>
        <a:srgbClr val="800080"/>
      </a:folHlink>
    </a:clrScheme>
    <a:fontScheme name="Crif Credit Solution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E57D8962EBAA4A8723B20BBE9A0FD5" ma:contentTypeVersion="0" ma:contentTypeDescription="Create a new document." ma:contentTypeScope="" ma:versionID="82f49abf75a8a765a021f84aacd72f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CB005C-59E0-4E40-AA5B-D83FE44B1A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0B100-83EF-47AD-AC38-18ACC3278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7ACE2D-507F-4321-BD28-AFC3B5B0CF20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1373165-87E4-4706-81E2-7300899BAD15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65C817FA-01B7-40EC-80B9-9A7A4ABB3122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AA467C00-2B76-470A-B5DF-D928873ED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7</Pages>
  <Words>1558</Words>
  <Characters>8884</Characters>
  <Application>Microsoft Office Word</Application>
  <DocSecurity>0</DocSecurity>
  <Lines>74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FFERTA COMMERCIALE/MANUALE PRODOTTO (SE POSSIBILE TITOLO NON PIÙ LUNGO DI TRE RIGHE)</vt:lpstr>
      <vt:lpstr>FFERTA COMMERCIALE/MANUALE PRODOTTO (SE POSSIBILE TITOLO NON PIÙ LUNGO DI TRE RIGHE)</vt:lpstr>
    </vt:vector>
  </TitlesOfParts>
  <Company>77Agency</Company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FFERTA COMMERCIALE/MANUALE PRODOTTO (SE POSSIBILE TITOLO NON PIÙ LUNGO DI TRE RIGHE)</dc:title>
  <dc:subject>Luogo, giorno/mese/anno o Versione xy</dc:subject>
  <dc:creator>Coronas Maria Grazia</dc:creator>
  <cp:lastModifiedBy>Fumagalli, Luca</cp:lastModifiedBy>
  <cp:revision>3</cp:revision>
  <cp:lastPrinted>2019-11-15T15:33:00Z</cp:lastPrinted>
  <dcterms:created xsi:type="dcterms:W3CDTF">2019-12-02T08:34:00Z</dcterms:created>
  <dcterms:modified xsi:type="dcterms:W3CDTF">2019-12-02T09:30:00Z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0x010100EDE57D8962EBAA4A8723B20BBE9A0FD5</vt:lpwstr>
  </property>
  <property fmtid="{D5CDD505-2E9C-101B-9397-08002B2CF9AE}" pid="3" name="CRIFAdditionalDepartment">
    <vt:lpwstr/>
  </property>
  <property fmtid="{D5CDD505-2E9C-101B-9397-08002B2CF9AE}" pid="4" name="CRIFM1Line">
    <vt:lpwstr/>
  </property>
  <property fmtid="{D5CDD505-2E9C-101B-9397-08002B2CF9AE}" pid="5" name="CRIFM1Client">
    <vt:lpwstr/>
  </property>
  <property fmtid="{D5CDD505-2E9C-101B-9397-08002B2CF9AE}" pid="6" name="CRIFDPTDepartment">
    <vt:lpwstr>1;#Finance Italy|8ac120e4-5478-4208-851b-bc26a01850a1</vt:lpwstr>
  </property>
  <property fmtid="{D5CDD505-2E9C-101B-9397-08002B2CF9AE}" pid="7" name="CRIFM1Service">
    <vt:lpwstr/>
  </property>
  <property fmtid="{D5CDD505-2E9C-101B-9397-08002B2CF9AE}" pid="8" name="CRIFM1DocumentType">
    <vt:lpwstr/>
  </property>
  <property fmtid="{D5CDD505-2E9C-101B-9397-08002B2CF9AE}" pid="9" name="CRIFM1FrameworkPhase">
    <vt:lpwstr/>
  </property>
  <property fmtid="{D5CDD505-2E9C-101B-9397-08002B2CF9AE}" pid="10" name="CRIFDPTArea">
    <vt:lpwstr/>
  </property>
</Properties>
</file>