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19FC" w:rsidRPr="00002873" w:rsidRDefault="00AC19FC" w:rsidP="00AC19FC">
      <w:pPr>
        <w:jc w:val="center"/>
        <w:rPr>
          <w:rFonts w:ascii="Calibri" w:hAnsi="Calibri"/>
          <w:b/>
          <w:bCs/>
          <w:color w:val="385623"/>
          <w:sz w:val="28"/>
          <w:szCs w:val="28"/>
        </w:rPr>
      </w:pPr>
      <w:r w:rsidRPr="00002873">
        <w:rPr>
          <w:rFonts w:ascii="Calibri" w:hAnsi="Calibri"/>
          <w:b/>
          <w:bCs/>
          <w:color w:val="385623"/>
          <w:sz w:val="28"/>
          <w:szCs w:val="28"/>
        </w:rPr>
        <w:t>COMUNICATO STAMPA</w:t>
      </w:r>
    </w:p>
    <w:p w:rsidR="00AC19FC" w:rsidRDefault="00AC19FC" w:rsidP="00AC19FC">
      <w:pPr>
        <w:jc w:val="center"/>
        <w:rPr>
          <w:rFonts w:ascii="Calibri" w:hAnsi="Calibri"/>
          <w:b/>
          <w:bCs/>
          <w:sz w:val="6"/>
          <w:szCs w:val="6"/>
        </w:rPr>
      </w:pPr>
    </w:p>
    <w:p w:rsidR="00C27D27" w:rsidRPr="00C27D27" w:rsidRDefault="00C27D27" w:rsidP="00C27D27">
      <w:pPr>
        <w:jc w:val="center"/>
        <w:rPr>
          <w:rFonts w:asciiTheme="minorHAnsi" w:hAnsiTheme="minorHAnsi" w:cstheme="minorHAnsi"/>
          <w:b/>
          <w:sz w:val="32"/>
          <w:shd w:val="clear" w:color="auto" w:fill="FFFFFF"/>
        </w:rPr>
      </w:pPr>
      <w:r w:rsidRPr="00C27D27">
        <w:rPr>
          <w:rFonts w:asciiTheme="minorHAnsi" w:hAnsiTheme="minorHAnsi" w:cstheme="minorHAnsi"/>
          <w:b/>
          <w:sz w:val="32"/>
          <w:shd w:val="clear" w:color="auto" w:fill="FFFFFF"/>
        </w:rPr>
        <w:t>Indagine Fimaa-Confcommercio:</w:t>
      </w:r>
    </w:p>
    <w:p w:rsidR="00C27D27" w:rsidRPr="00110AE4" w:rsidRDefault="00C27D27" w:rsidP="00C27D27">
      <w:pPr>
        <w:jc w:val="center"/>
        <w:rPr>
          <w:rFonts w:asciiTheme="minorHAnsi" w:hAnsiTheme="minorHAnsi" w:cstheme="minorHAnsi"/>
          <w:b/>
          <w:sz w:val="28"/>
          <w:shd w:val="clear" w:color="auto" w:fill="FFFFFF"/>
        </w:rPr>
      </w:pPr>
      <w:r w:rsidRPr="00110AE4">
        <w:rPr>
          <w:rFonts w:asciiTheme="minorHAnsi" w:hAnsiTheme="minorHAnsi" w:cstheme="minorHAnsi"/>
          <w:b/>
          <w:sz w:val="28"/>
          <w:shd w:val="clear" w:color="auto" w:fill="FFFFFF"/>
        </w:rPr>
        <w:t>“Compravendi</w:t>
      </w:r>
      <w:r w:rsidR="00376F09">
        <w:rPr>
          <w:rFonts w:asciiTheme="minorHAnsi" w:hAnsiTheme="minorHAnsi" w:cstheme="minorHAnsi"/>
          <w:b/>
          <w:sz w:val="28"/>
          <w:shd w:val="clear" w:color="auto" w:fill="FFFFFF"/>
        </w:rPr>
        <w:t>te residenziali in aumento del</w:t>
      </w:r>
      <w:r w:rsidR="00DF4D4D">
        <w:rPr>
          <w:rFonts w:asciiTheme="minorHAnsi" w:hAnsiTheme="minorHAnsi" w:cstheme="minorHAnsi"/>
          <w:b/>
          <w:sz w:val="28"/>
          <w:shd w:val="clear" w:color="auto" w:fill="FFFFFF"/>
        </w:rPr>
        <w:t xml:space="preserve"> 4</w:t>
      </w:r>
      <w:r w:rsidRPr="00110AE4">
        <w:rPr>
          <w:rFonts w:asciiTheme="minorHAnsi" w:hAnsiTheme="minorHAnsi" w:cstheme="minorHAnsi"/>
          <w:b/>
          <w:sz w:val="28"/>
          <w:shd w:val="clear" w:color="auto" w:fill="FFFFFF"/>
        </w:rPr>
        <w:t>,</w:t>
      </w:r>
      <w:r w:rsidR="00DF4D4D">
        <w:rPr>
          <w:rFonts w:asciiTheme="minorHAnsi" w:hAnsiTheme="minorHAnsi" w:cstheme="minorHAnsi"/>
          <w:b/>
          <w:sz w:val="28"/>
          <w:shd w:val="clear" w:color="auto" w:fill="FFFFFF"/>
        </w:rPr>
        <w:t>3</w:t>
      </w:r>
      <w:r w:rsidRPr="00110AE4">
        <w:rPr>
          <w:rFonts w:asciiTheme="minorHAnsi" w:hAnsiTheme="minorHAnsi" w:cstheme="minorHAnsi"/>
          <w:b/>
          <w:sz w:val="28"/>
          <w:shd w:val="clear" w:color="auto" w:fill="FFFFFF"/>
        </w:rPr>
        <w:t>% nel 201</w:t>
      </w:r>
      <w:r w:rsidR="00376F09">
        <w:rPr>
          <w:rFonts w:asciiTheme="minorHAnsi" w:hAnsiTheme="minorHAnsi" w:cstheme="minorHAnsi"/>
          <w:b/>
          <w:sz w:val="28"/>
          <w:shd w:val="clear" w:color="auto" w:fill="FFFFFF"/>
        </w:rPr>
        <w:t>9</w:t>
      </w:r>
      <w:r w:rsidRPr="00110AE4">
        <w:rPr>
          <w:rFonts w:asciiTheme="minorHAnsi" w:hAnsiTheme="minorHAnsi" w:cstheme="minorHAnsi"/>
          <w:b/>
          <w:sz w:val="28"/>
          <w:shd w:val="clear" w:color="auto" w:fill="FFFFFF"/>
        </w:rPr>
        <w:t>”</w:t>
      </w:r>
    </w:p>
    <w:p w:rsidR="00C27D27" w:rsidRDefault="00C27D27" w:rsidP="00C27D27">
      <w:pPr>
        <w:jc w:val="center"/>
        <w:rPr>
          <w:rFonts w:asciiTheme="minorHAnsi" w:hAnsiTheme="minorHAnsi" w:cstheme="minorHAnsi"/>
          <w:b/>
          <w:i/>
          <w:sz w:val="26"/>
          <w:szCs w:val="26"/>
          <w:shd w:val="clear" w:color="auto" w:fill="FFFFFF"/>
        </w:rPr>
      </w:pPr>
      <w:r w:rsidRPr="00347A3F">
        <w:rPr>
          <w:rFonts w:asciiTheme="minorHAnsi" w:hAnsiTheme="minorHAnsi" w:cstheme="minorHAnsi"/>
          <w:b/>
          <w:i/>
          <w:sz w:val="26"/>
          <w:szCs w:val="26"/>
          <w:shd w:val="clear" w:color="auto" w:fill="FFFFFF"/>
        </w:rPr>
        <w:t xml:space="preserve">Prezzi </w:t>
      </w:r>
      <w:r w:rsidR="00C56F9A">
        <w:rPr>
          <w:rFonts w:asciiTheme="minorHAnsi" w:hAnsiTheme="minorHAnsi" w:cstheme="minorHAnsi"/>
          <w:b/>
          <w:i/>
          <w:sz w:val="26"/>
          <w:szCs w:val="26"/>
          <w:shd w:val="clear" w:color="auto" w:fill="FFFFFF"/>
        </w:rPr>
        <w:t xml:space="preserve">ancora </w:t>
      </w:r>
      <w:r w:rsidR="00D179B2">
        <w:rPr>
          <w:rFonts w:asciiTheme="minorHAnsi" w:hAnsiTheme="minorHAnsi" w:cstheme="minorHAnsi"/>
          <w:b/>
          <w:i/>
          <w:sz w:val="26"/>
          <w:szCs w:val="26"/>
          <w:shd w:val="clear" w:color="auto" w:fill="FFFFFF"/>
        </w:rPr>
        <w:t>in leggero</w:t>
      </w:r>
      <w:r w:rsidR="00376F09">
        <w:rPr>
          <w:rFonts w:asciiTheme="minorHAnsi" w:hAnsiTheme="minorHAnsi" w:cstheme="minorHAnsi"/>
          <w:b/>
          <w:i/>
          <w:sz w:val="26"/>
          <w:szCs w:val="26"/>
          <w:shd w:val="clear" w:color="auto" w:fill="FFFFFF"/>
        </w:rPr>
        <w:t xml:space="preserve"> calo</w:t>
      </w:r>
      <w:r w:rsidRPr="00347A3F">
        <w:rPr>
          <w:rFonts w:asciiTheme="minorHAnsi" w:hAnsiTheme="minorHAnsi" w:cstheme="minorHAnsi"/>
          <w:b/>
          <w:i/>
          <w:sz w:val="26"/>
          <w:szCs w:val="26"/>
          <w:shd w:val="clear" w:color="auto" w:fill="FFFFFF"/>
        </w:rPr>
        <w:t xml:space="preserve"> (-</w:t>
      </w:r>
      <w:r w:rsidR="00376F09">
        <w:rPr>
          <w:rFonts w:asciiTheme="minorHAnsi" w:hAnsiTheme="minorHAnsi" w:cstheme="minorHAnsi"/>
          <w:b/>
          <w:i/>
          <w:sz w:val="26"/>
          <w:szCs w:val="26"/>
          <w:shd w:val="clear" w:color="auto" w:fill="FFFFFF"/>
        </w:rPr>
        <w:t>0</w:t>
      </w:r>
      <w:r w:rsidRPr="00347A3F">
        <w:rPr>
          <w:rFonts w:asciiTheme="minorHAnsi" w:hAnsiTheme="minorHAnsi" w:cstheme="minorHAnsi"/>
          <w:b/>
          <w:i/>
          <w:sz w:val="26"/>
          <w:szCs w:val="26"/>
          <w:shd w:val="clear" w:color="auto" w:fill="FFFFFF"/>
        </w:rPr>
        <w:t>,</w:t>
      </w:r>
      <w:r w:rsidR="00D179B2">
        <w:rPr>
          <w:rFonts w:asciiTheme="minorHAnsi" w:hAnsiTheme="minorHAnsi" w:cstheme="minorHAnsi"/>
          <w:b/>
          <w:i/>
          <w:sz w:val="26"/>
          <w:szCs w:val="26"/>
          <w:shd w:val="clear" w:color="auto" w:fill="FFFFFF"/>
        </w:rPr>
        <w:t>4</w:t>
      </w:r>
      <w:r w:rsidRPr="00347A3F">
        <w:rPr>
          <w:rFonts w:asciiTheme="minorHAnsi" w:hAnsiTheme="minorHAnsi" w:cstheme="minorHAnsi"/>
          <w:b/>
          <w:i/>
          <w:sz w:val="26"/>
          <w:szCs w:val="26"/>
          <w:shd w:val="clear" w:color="auto" w:fill="FFFFFF"/>
        </w:rPr>
        <w:t xml:space="preserve">%), </w:t>
      </w:r>
      <w:r w:rsidR="00E91181">
        <w:rPr>
          <w:rFonts w:asciiTheme="minorHAnsi" w:hAnsiTheme="minorHAnsi" w:cstheme="minorHAnsi"/>
          <w:b/>
          <w:i/>
          <w:sz w:val="26"/>
          <w:szCs w:val="26"/>
          <w:shd w:val="clear" w:color="auto" w:fill="FFFFFF"/>
        </w:rPr>
        <w:t xml:space="preserve">ma </w:t>
      </w:r>
      <w:r w:rsidR="00C56F9A">
        <w:rPr>
          <w:rFonts w:asciiTheme="minorHAnsi" w:hAnsiTheme="minorHAnsi" w:cstheme="minorHAnsi"/>
          <w:b/>
          <w:i/>
          <w:sz w:val="26"/>
          <w:szCs w:val="26"/>
          <w:shd w:val="clear" w:color="auto" w:fill="FFFFFF"/>
        </w:rPr>
        <w:t xml:space="preserve">dal 2020 non </w:t>
      </w:r>
      <w:r w:rsidR="00310654">
        <w:rPr>
          <w:rFonts w:asciiTheme="minorHAnsi" w:hAnsiTheme="minorHAnsi" w:cstheme="minorHAnsi"/>
          <w:b/>
          <w:i/>
          <w:sz w:val="26"/>
          <w:szCs w:val="26"/>
          <w:shd w:val="clear" w:color="auto" w:fill="FFFFFF"/>
        </w:rPr>
        <w:t>si ridurranno</w:t>
      </w:r>
      <w:r w:rsidR="00C56F9A">
        <w:rPr>
          <w:rFonts w:asciiTheme="minorHAnsi" w:hAnsiTheme="minorHAnsi" w:cstheme="minorHAnsi"/>
          <w:b/>
          <w:i/>
          <w:sz w:val="26"/>
          <w:szCs w:val="26"/>
          <w:shd w:val="clear" w:color="auto" w:fill="FFFFFF"/>
        </w:rPr>
        <w:t xml:space="preserve"> più</w:t>
      </w:r>
    </w:p>
    <w:p w:rsidR="00E91181" w:rsidRPr="00861902" w:rsidRDefault="00E91181" w:rsidP="00C27D27">
      <w:pPr>
        <w:jc w:val="center"/>
        <w:rPr>
          <w:rFonts w:asciiTheme="minorHAnsi" w:hAnsiTheme="minorHAnsi" w:cstheme="minorHAnsi"/>
          <w:b/>
          <w:i/>
          <w:sz w:val="14"/>
          <w:szCs w:val="26"/>
          <w:shd w:val="clear" w:color="auto" w:fill="FFFFFF"/>
        </w:rPr>
      </w:pPr>
    </w:p>
    <w:p w:rsidR="00282E4F" w:rsidRDefault="005D353E" w:rsidP="00C27D27">
      <w:pPr>
        <w:jc w:val="center"/>
        <w:rPr>
          <w:rFonts w:asciiTheme="minorHAnsi" w:hAnsiTheme="minorHAnsi" w:cstheme="minorHAnsi"/>
          <w:b/>
          <w:i/>
          <w:shd w:val="clear" w:color="auto" w:fill="FFFFFF"/>
        </w:rPr>
      </w:pPr>
      <w:r>
        <w:rPr>
          <w:rFonts w:asciiTheme="minorHAnsi" w:hAnsiTheme="minorHAnsi" w:cstheme="minorHAnsi"/>
          <w:b/>
          <w:i/>
          <w:shd w:val="clear" w:color="auto" w:fill="FFFFFF"/>
        </w:rPr>
        <w:t xml:space="preserve">Bene </w:t>
      </w:r>
      <w:r w:rsidR="00BD24DC">
        <w:rPr>
          <w:rFonts w:asciiTheme="minorHAnsi" w:hAnsiTheme="minorHAnsi" w:cstheme="minorHAnsi"/>
          <w:b/>
          <w:i/>
          <w:shd w:val="clear" w:color="auto" w:fill="FFFFFF"/>
        </w:rPr>
        <w:t xml:space="preserve">il numero di contratti di </w:t>
      </w:r>
      <w:r w:rsidR="00282E4F">
        <w:rPr>
          <w:rFonts w:asciiTheme="minorHAnsi" w:hAnsiTheme="minorHAnsi" w:cstheme="minorHAnsi"/>
          <w:b/>
          <w:i/>
          <w:shd w:val="clear" w:color="auto" w:fill="FFFFFF"/>
        </w:rPr>
        <w:t>locazioni brevi (+2,</w:t>
      </w:r>
      <w:r w:rsidR="004C5463">
        <w:rPr>
          <w:rFonts w:asciiTheme="minorHAnsi" w:hAnsiTheme="minorHAnsi" w:cstheme="minorHAnsi"/>
          <w:b/>
          <w:i/>
          <w:shd w:val="clear" w:color="auto" w:fill="FFFFFF"/>
        </w:rPr>
        <w:t>6</w:t>
      </w:r>
      <w:r w:rsidR="00282E4F">
        <w:rPr>
          <w:rFonts w:asciiTheme="minorHAnsi" w:hAnsiTheme="minorHAnsi" w:cstheme="minorHAnsi"/>
          <w:b/>
          <w:i/>
          <w:shd w:val="clear" w:color="auto" w:fill="FFFFFF"/>
        </w:rPr>
        <w:t xml:space="preserve">%), seguite da quelle </w:t>
      </w:r>
      <w:r w:rsidR="0040433A">
        <w:rPr>
          <w:rFonts w:asciiTheme="minorHAnsi" w:hAnsiTheme="minorHAnsi" w:cstheme="minorHAnsi"/>
          <w:b/>
          <w:i/>
          <w:shd w:val="clear" w:color="auto" w:fill="FFFFFF"/>
        </w:rPr>
        <w:t>ordinarie (</w:t>
      </w:r>
      <w:r>
        <w:rPr>
          <w:rFonts w:asciiTheme="minorHAnsi" w:hAnsiTheme="minorHAnsi" w:cstheme="minorHAnsi"/>
          <w:b/>
          <w:i/>
          <w:shd w:val="clear" w:color="auto" w:fill="FFFFFF"/>
        </w:rPr>
        <w:t>+</w:t>
      </w:r>
      <w:r w:rsidR="004C5463">
        <w:rPr>
          <w:rFonts w:asciiTheme="minorHAnsi" w:hAnsiTheme="minorHAnsi" w:cstheme="minorHAnsi"/>
          <w:b/>
          <w:i/>
          <w:shd w:val="clear" w:color="auto" w:fill="FFFFFF"/>
        </w:rPr>
        <w:t>1</w:t>
      </w:r>
      <w:r>
        <w:rPr>
          <w:rFonts w:asciiTheme="minorHAnsi" w:hAnsiTheme="minorHAnsi" w:cstheme="minorHAnsi"/>
          <w:b/>
          <w:i/>
          <w:shd w:val="clear" w:color="auto" w:fill="FFFFFF"/>
        </w:rPr>
        <w:t>,</w:t>
      </w:r>
      <w:r w:rsidR="004C5463">
        <w:rPr>
          <w:rFonts w:asciiTheme="minorHAnsi" w:hAnsiTheme="minorHAnsi" w:cstheme="minorHAnsi"/>
          <w:b/>
          <w:i/>
          <w:shd w:val="clear" w:color="auto" w:fill="FFFFFF"/>
        </w:rPr>
        <w:t>8</w:t>
      </w:r>
      <w:r>
        <w:rPr>
          <w:rFonts w:asciiTheme="minorHAnsi" w:hAnsiTheme="minorHAnsi" w:cstheme="minorHAnsi"/>
          <w:b/>
          <w:i/>
          <w:shd w:val="clear" w:color="auto" w:fill="FFFFFF"/>
        </w:rPr>
        <w:t>%)</w:t>
      </w:r>
    </w:p>
    <w:p w:rsidR="00E91181" w:rsidRDefault="00BF6F9E" w:rsidP="00C27D27">
      <w:pPr>
        <w:jc w:val="center"/>
        <w:rPr>
          <w:rFonts w:asciiTheme="minorHAnsi" w:hAnsiTheme="minorHAnsi" w:cstheme="minorHAnsi"/>
          <w:b/>
          <w:i/>
          <w:shd w:val="clear" w:color="auto" w:fill="FFFFFF"/>
        </w:rPr>
      </w:pPr>
      <w:proofErr w:type="gramStart"/>
      <w:r>
        <w:rPr>
          <w:rFonts w:asciiTheme="minorHAnsi" w:hAnsiTheme="minorHAnsi" w:cstheme="minorHAnsi"/>
          <w:b/>
          <w:i/>
          <w:shd w:val="clear" w:color="auto" w:fill="FFFFFF"/>
        </w:rPr>
        <w:t>con</w:t>
      </w:r>
      <w:proofErr w:type="gramEnd"/>
      <w:r>
        <w:rPr>
          <w:rFonts w:asciiTheme="minorHAnsi" w:hAnsiTheme="minorHAnsi" w:cstheme="minorHAnsi"/>
          <w:b/>
          <w:i/>
          <w:shd w:val="clear" w:color="auto" w:fill="FFFFFF"/>
        </w:rPr>
        <w:t xml:space="preserve"> canoni in rialzo </w:t>
      </w:r>
      <w:r w:rsidR="004C5463">
        <w:rPr>
          <w:rFonts w:asciiTheme="minorHAnsi" w:hAnsiTheme="minorHAnsi" w:cstheme="minorHAnsi"/>
          <w:b/>
          <w:i/>
          <w:shd w:val="clear" w:color="auto" w:fill="FFFFFF"/>
        </w:rPr>
        <w:t>per entrambe le tipologie</w:t>
      </w:r>
      <w:r>
        <w:rPr>
          <w:rFonts w:asciiTheme="minorHAnsi" w:hAnsiTheme="minorHAnsi" w:cstheme="minorHAnsi"/>
          <w:b/>
          <w:i/>
          <w:shd w:val="clear" w:color="auto" w:fill="FFFFFF"/>
        </w:rPr>
        <w:t>(+1,</w:t>
      </w:r>
      <w:r w:rsidR="004C5463">
        <w:rPr>
          <w:rFonts w:asciiTheme="minorHAnsi" w:hAnsiTheme="minorHAnsi" w:cstheme="minorHAnsi"/>
          <w:b/>
          <w:i/>
          <w:shd w:val="clear" w:color="auto" w:fill="FFFFFF"/>
        </w:rPr>
        <w:t>2</w:t>
      </w:r>
      <w:r>
        <w:rPr>
          <w:rFonts w:asciiTheme="minorHAnsi" w:hAnsiTheme="minorHAnsi" w:cstheme="minorHAnsi"/>
          <w:b/>
          <w:i/>
          <w:shd w:val="clear" w:color="auto" w:fill="FFFFFF"/>
        </w:rPr>
        <w:t xml:space="preserve">% </w:t>
      </w:r>
      <w:r w:rsidR="00A87B4F">
        <w:rPr>
          <w:rFonts w:asciiTheme="minorHAnsi" w:hAnsiTheme="minorHAnsi" w:cstheme="minorHAnsi"/>
          <w:b/>
          <w:i/>
          <w:shd w:val="clear" w:color="auto" w:fill="FFFFFF"/>
        </w:rPr>
        <w:t xml:space="preserve">e </w:t>
      </w:r>
      <w:r w:rsidR="004C5463">
        <w:rPr>
          <w:rFonts w:asciiTheme="minorHAnsi" w:hAnsiTheme="minorHAnsi" w:cstheme="minorHAnsi"/>
          <w:b/>
          <w:i/>
          <w:shd w:val="clear" w:color="auto" w:fill="FFFFFF"/>
        </w:rPr>
        <w:t>+1</w:t>
      </w:r>
      <w:r w:rsidR="00282E4F">
        <w:rPr>
          <w:rFonts w:asciiTheme="minorHAnsi" w:hAnsiTheme="minorHAnsi" w:cstheme="minorHAnsi"/>
          <w:b/>
          <w:i/>
          <w:shd w:val="clear" w:color="auto" w:fill="FFFFFF"/>
        </w:rPr>
        <w:t>,</w:t>
      </w:r>
      <w:r w:rsidR="004C5463">
        <w:rPr>
          <w:rFonts w:asciiTheme="minorHAnsi" w:hAnsiTheme="minorHAnsi" w:cstheme="minorHAnsi"/>
          <w:b/>
          <w:i/>
          <w:shd w:val="clear" w:color="auto" w:fill="FFFFFF"/>
        </w:rPr>
        <w:t>4</w:t>
      </w:r>
      <w:r w:rsidR="00282E4F">
        <w:rPr>
          <w:rFonts w:asciiTheme="minorHAnsi" w:hAnsiTheme="minorHAnsi" w:cstheme="minorHAnsi"/>
          <w:b/>
          <w:i/>
          <w:shd w:val="clear" w:color="auto" w:fill="FFFFFF"/>
        </w:rPr>
        <w:t>%</w:t>
      </w:r>
      <w:r w:rsidR="00A87B4F">
        <w:rPr>
          <w:rFonts w:asciiTheme="minorHAnsi" w:hAnsiTheme="minorHAnsi" w:cstheme="minorHAnsi"/>
          <w:b/>
          <w:i/>
          <w:shd w:val="clear" w:color="auto" w:fill="FFFFFF"/>
        </w:rPr>
        <w:t>)</w:t>
      </w:r>
    </w:p>
    <w:p w:rsidR="009D3878" w:rsidRPr="009D3878" w:rsidRDefault="009D3878" w:rsidP="00C27D27">
      <w:pPr>
        <w:jc w:val="center"/>
        <w:rPr>
          <w:rFonts w:asciiTheme="minorHAnsi" w:hAnsiTheme="minorHAnsi" w:cstheme="minorHAnsi"/>
          <w:b/>
          <w:i/>
          <w:sz w:val="12"/>
          <w:shd w:val="clear" w:color="auto" w:fill="FFFFFF"/>
        </w:rPr>
      </w:pPr>
    </w:p>
    <w:p w:rsidR="009D3878" w:rsidRDefault="009D3878" w:rsidP="009D3878">
      <w:pPr>
        <w:jc w:val="center"/>
        <w:rPr>
          <w:rFonts w:asciiTheme="minorHAnsi" w:hAnsiTheme="minorHAnsi" w:cstheme="minorHAnsi"/>
          <w:b/>
          <w:i/>
          <w:shd w:val="clear" w:color="auto" w:fill="FFFFFF"/>
        </w:rPr>
      </w:pPr>
      <w:r>
        <w:rPr>
          <w:rFonts w:asciiTheme="minorHAnsi" w:hAnsiTheme="minorHAnsi" w:cstheme="minorHAnsi"/>
          <w:b/>
          <w:i/>
          <w:shd w:val="clear" w:color="auto" w:fill="FFFFFF"/>
        </w:rPr>
        <w:t>Il 2020 sarà improntato sulla stabilità sia sul numero degli scambi sia sui valori</w:t>
      </w:r>
    </w:p>
    <w:p w:rsidR="00C27D27" w:rsidRPr="00E4131D" w:rsidRDefault="00C27D27" w:rsidP="00C27D27">
      <w:pPr>
        <w:jc w:val="center"/>
        <w:rPr>
          <w:rFonts w:asciiTheme="minorHAnsi" w:hAnsiTheme="minorHAnsi" w:cstheme="minorHAnsi"/>
          <w:b/>
          <w:i/>
          <w:sz w:val="16"/>
          <w:shd w:val="clear" w:color="auto" w:fill="FFFFFF"/>
        </w:rPr>
      </w:pPr>
    </w:p>
    <w:p w:rsidR="00C27D27" w:rsidRPr="00D706D0" w:rsidRDefault="00C27D27" w:rsidP="008E54B5">
      <w:pPr>
        <w:jc w:val="center"/>
        <w:rPr>
          <w:rFonts w:asciiTheme="minorHAnsi" w:hAnsiTheme="minorHAnsi" w:cstheme="minorHAnsi"/>
          <w:b/>
          <w:i/>
          <w:shd w:val="clear" w:color="auto" w:fill="FFFFFF"/>
        </w:rPr>
      </w:pPr>
      <w:r w:rsidRPr="00D706D0">
        <w:rPr>
          <w:rFonts w:asciiTheme="minorHAnsi" w:hAnsiTheme="minorHAnsi" w:cstheme="minorHAnsi"/>
          <w:b/>
          <w:i/>
          <w:shd w:val="clear" w:color="auto" w:fill="FFFFFF"/>
        </w:rPr>
        <w:t>Il Presidente Taverna: “</w:t>
      </w:r>
      <w:r w:rsidR="00F14F51" w:rsidRPr="00D706D0">
        <w:rPr>
          <w:rFonts w:asciiTheme="minorHAnsi" w:hAnsiTheme="minorHAnsi" w:cstheme="minorHAnsi"/>
          <w:b/>
          <w:i/>
          <w:shd w:val="clear" w:color="auto" w:fill="FFFFFF"/>
        </w:rPr>
        <w:t>Il momento è propizio per i</w:t>
      </w:r>
      <w:r w:rsidR="00EA3600">
        <w:rPr>
          <w:rFonts w:asciiTheme="minorHAnsi" w:hAnsiTheme="minorHAnsi" w:cstheme="minorHAnsi"/>
          <w:b/>
          <w:i/>
          <w:shd w:val="clear" w:color="auto" w:fill="FFFFFF"/>
        </w:rPr>
        <w:t xml:space="preserve">nvestire nel mattone, grazie alle quotazioni </w:t>
      </w:r>
      <w:r w:rsidR="00F14F51" w:rsidRPr="00D706D0">
        <w:rPr>
          <w:rFonts w:asciiTheme="minorHAnsi" w:hAnsiTheme="minorHAnsi" w:cstheme="minorHAnsi"/>
          <w:b/>
          <w:i/>
          <w:shd w:val="clear" w:color="auto" w:fill="FFFFFF"/>
        </w:rPr>
        <w:t>al minimo storico e ai tassi, sia fissi che variabili, ancora vantaggiosi</w:t>
      </w:r>
      <w:r w:rsidRPr="00D706D0">
        <w:rPr>
          <w:rFonts w:asciiTheme="minorHAnsi" w:hAnsiTheme="minorHAnsi" w:cstheme="minorHAnsi"/>
          <w:b/>
          <w:i/>
          <w:shd w:val="clear" w:color="auto" w:fill="FFFFFF"/>
        </w:rPr>
        <w:t>”</w:t>
      </w:r>
      <w:r w:rsidR="008E54B5" w:rsidRPr="00D706D0">
        <w:rPr>
          <w:rFonts w:asciiTheme="minorHAnsi" w:hAnsiTheme="minorHAnsi" w:cstheme="minorHAnsi"/>
          <w:b/>
          <w:i/>
          <w:shd w:val="clear" w:color="auto" w:fill="FFFFFF"/>
        </w:rPr>
        <w:t>.</w:t>
      </w:r>
    </w:p>
    <w:p w:rsidR="00C27D27" w:rsidRPr="00D706D0" w:rsidRDefault="00C27D27" w:rsidP="008E54B5">
      <w:pPr>
        <w:jc w:val="center"/>
        <w:rPr>
          <w:rFonts w:asciiTheme="minorHAnsi" w:hAnsiTheme="minorHAnsi" w:cstheme="minorHAnsi"/>
          <w:b/>
          <w:i/>
          <w:sz w:val="12"/>
          <w:shd w:val="clear" w:color="auto" w:fill="FFFFFF"/>
        </w:rPr>
      </w:pPr>
    </w:p>
    <w:p w:rsidR="00D55FE6" w:rsidRDefault="00C27D27" w:rsidP="008E54B5">
      <w:pPr>
        <w:jc w:val="center"/>
        <w:rPr>
          <w:rFonts w:asciiTheme="minorHAnsi" w:hAnsiTheme="minorHAnsi" w:cstheme="minorHAnsi"/>
          <w:b/>
          <w:i/>
          <w:shd w:val="clear" w:color="auto" w:fill="FFFFFF"/>
        </w:rPr>
      </w:pPr>
      <w:r w:rsidRPr="00D706D0">
        <w:rPr>
          <w:rFonts w:asciiTheme="minorHAnsi" w:hAnsiTheme="minorHAnsi" w:cstheme="minorHAnsi"/>
          <w:b/>
          <w:i/>
          <w:shd w:val="clear" w:color="auto" w:fill="FFFFFF"/>
        </w:rPr>
        <w:t>Oliva (Ufficio Studi): “</w:t>
      </w:r>
      <w:r w:rsidR="00D55FE6" w:rsidRPr="00D706D0">
        <w:rPr>
          <w:rFonts w:asciiTheme="minorHAnsi" w:hAnsiTheme="minorHAnsi" w:cstheme="minorHAnsi"/>
          <w:b/>
          <w:i/>
          <w:shd w:val="clear" w:color="auto" w:fill="FFFFFF"/>
        </w:rPr>
        <w:t>Servono politiche ad hoc per fa ripartire il mercato del nuovo, frenato dalla crisi delle costruzioni”</w:t>
      </w:r>
      <w:r w:rsidR="008E54B5" w:rsidRPr="00D706D0">
        <w:rPr>
          <w:rFonts w:asciiTheme="minorHAnsi" w:hAnsiTheme="minorHAnsi" w:cstheme="minorHAnsi"/>
          <w:b/>
          <w:i/>
          <w:shd w:val="clear" w:color="auto" w:fill="FFFFFF"/>
        </w:rPr>
        <w:t>.</w:t>
      </w:r>
    </w:p>
    <w:p w:rsidR="00C27D27" w:rsidRPr="00C27D27" w:rsidRDefault="00C27D27" w:rsidP="00C27D27">
      <w:pPr>
        <w:jc w:val="center"/>
        <w:rPr>
          <w:rFonts w:asciiTheme="minorHAnsi" w:hAnsiTheme="minorHAnsi" w:cstheme="minorHAnsi"/>
          <w:b/>
          <w:sz w:val="18"/>
          <w:shd w:val="clear" w:color="auto" w:fill="FFFFFF"/>
        </w:rPr>
      </w:pPr>
    </w:p>
    <w:p w:rsidR="00376F09" w:rsidRDefault="00C27D27" w:rsidP="00C27D27">
      <w:pPr>
        <w:jc w:val="both"/>
        <w:rPr>
          <w:rFonts w:asciiTheme="minorHAnsi" w:hAnsiTheme="minorHAnsi" w:cstheme="minorHAnsi"/>
          <w:shd w:val="clear" w:color="auto" w:fill="FFFFFF"/>
        </w:rPr>
      </w:pPr>
      <w:r w:rsidRPr="00C27D27">
        <w:rPr>
          <w:rFonts w:asciiTheme="minorHAnsi" w:hAnsiTheme="minorHAnsi" w:cstheme="minorHAnsi"/>
          <w:shd w:val="clear" w:color="auto" w:fill="FFFFFF"/>
        </w:rPr>
        <w:t xml:space="preserve">Roma, </w:t>
      </w:r>
      <w:r w:rsidR="00B153E6">
        <w:rPr>
          <w:rFonts w:asciiTheme="minorHAnsi" w:hAnsiTheme="minorHAnsi" w:cstheme="minorHAnsi"/>
          <w:shd w:val="clear" w:color="auto" w:fill="FFFFFF"/>
        </w:rPr>
        <w:t xml:space="preserve">13 </w:t>
      </w:r>
      <w:r w:rsidR="00D179B2">
        <w:rPr>
          <w:rFonts w:asciiTheme="minorHAnsi" w:hAnsiTheme="minorHAnsi" w:cstheme="minorHAnsi"/>
          <w:shd w:val="clear" w:color="auto" w:fill="FFFFFF"/>
        </w:rPr>
        <w:t xml:space="preserve">gennaio </w:t>
      </w:r>
      <w:r w:rsidRPr="00C27D27">
        <w:rPr>
          <w:rFonts w:asciiTheme="minorHAnsi" w:hAnsiTheme="minorHAnsi" w:cstheme="minorHAnsi"/>
          <w:shd w:val="clear" w:color="auto" w:fill="FFFFFF"/>
        </w:rPr>
        <w:t>20</w:t>
      </w:r>
      <w:r w:rsidR="00D179B2">
        <w:rPr>
          <w:rFonts w:asciiTheme="minorHAnsi" w:hAnsiTheme="minorHAnsi" w:cstheme="minorHAnsi"/>
          <w:shd w:val="clear" w:color="auto" w:fill="FFFFFF"/>
        </w:rPr>
        <w:t>20</w:t>
      </w:r>
      <w:r w:rsidRPr="00C27D27">
        <w:rPr>
          <w:rFonts w:asciiTheme="minorHAnsi" w:hAnsiTheme="minorHAnsi" w:cstheme="minorHAnsi"/>
          <w:shd w:val="clear" w:color="auto" w:fill="FFFFFF"/>
        </w:rPr>
        <w:t xml:space="preserve"> – </w:t>
      </w:r>
      <w:r w:rsidRPr="009E7878">
        <w:rPr>
          <w:rFonts w:asciiTheme="minorHAnsi" w:hAnsiTheme="minorHAnsi" w:cstheme="minorHAnsi"/>
          <w:shd w:val="clear" w:color="auto" w:fill="FFFFFF"/>
        </w:rPr>
        <w:t>Crescono</w:t>
      </w:r>
      <w:r w:rsidRPr="00C27D27">
        <w:rPr>
          <w:rFonts w:asciiTheme="minorHAnsi" w:hAnsiTheme="minorHAnsi" w:cstheme="minorHAnsi"/>
          <w:shd w:val="clear" w:color="auto" w:fill="FFFFFF"/>
        </w:rPr>
        <w:t xml:space="preserve"> in media del </w:t>
      </w:r>
      <w:r w:rsidR="00D179B2">
        <w:rPr>
          <w:rFonts w:asciiTheme="minorHAnsi" w:hAnsiTheme="minorHAnsi" w:cstheme="minorHAnsi"/>
          <w:b/>
          <w:shd w:val="clear" w:color="auto" w:fill="FFFFFF"/>
        </w:rPr>
        <w:t>4</w:t>
      </w:r>
      <w:r w:rsidRPr="00F2662A">
        <w:rPr>
          <w:rFonts w:asciiTheme="minorHAnsi" w:hAnsiTheme="minorHAnsi" w:cstheme="minorHAnsi"/>
          <w:b/>
          <w:shd w:val="clear" w:color="auto" w:fill="FFFFFF"/>
        </w:rPr>
        <w:t>,</w:t>
      </w:r>
      <w:r w:rsidR="00D179B2">
        <w:rPr>
          <w:rFonts w:asciiTheme="minorHAnsi" w:hAnsiTheme="minorHAnsi" w:cstheme="minorHAnsi"/>
          <w:b/>
          <w:shd w:val="clear" w:color="auto" w:fill="FFFFFF"/>
        </w:rPr>
        <w:t>3</w:t>
      </w:r>
      <w:r w:rsidRPr="00F2662A">
        <w:rPr>
          <w:rFonts w:asciiTheme="minorHAnsi" w:hAnsiTheme="minorHAnsi" w:cstheme="minorHAnsi"/>
          <w:b/>
          <w:shd w:val="clear" w:color="auto" w:fill="FFFFFF"/>
        </w:rPr>
        <w:t>%</w:t>
      </w:r>
      <w:r w:rsidRPr="00C27D27">
        <w:rPr>
          <w:rFonts w:asciiTheme="minorHAnsi" w:hAnsiTheme="minorHAnsi" w:cstheme="minorHAnsi"/>
          <w:shd w:val="clear" w:color="auto" w:fill="FFFFFF"/>
        </w:rPr>
        <w:t xml:space="preserve"> nel </w:t>
      </w:r>
      <w:r w:rsidRPr="009E7878">
        <w:rPr>
          <w:rFonts w:asciiTheme="minorHAnsi" w:hAnsiTheme="minorHAnsi" w:cstheme="minorHAnsi"/>
          <w:shd w:val="clear" w:color="auto" w:fill="FFFFFF"/>
        </w:rPr>
        <w:t>201</w:t>
      </w:r>
      <w:r w:rsidR="00376F09">
        <w:rPr>
          <w:rFonts w:asciiTheme="minorHAnsi" w:hAnsiTheme="minorHAnsi" w:cstheme="minorHAnsi"/>
          <w:shd w:val="clear" w:color="auto" w:fill="FFFFFF"/>
        </w:rPr>
        <w:t>9</w:t>
      </w:r>
      <w:r w:rsidR="00C56F9A">
        <w:rPr>
          <w:rFonts w:asciiTheme="minorHAnsi" w:hAnsiTheme="minorHAnsi" w:cstheme="minorHAnsi"/>
          <w:shd w:val="clear" w:color="auto" w:fill="FFFFFF"/>
        </w:rPr>
        <w:t xml:space="preserve"> </w:t>
      </w:r>
      <w:r w:rsidRPr="00C27D27">
        <w:rPr>
          <w:rFonts w:asciiTheme="minorHAnsi" w:hAnsiTheme="minorHAnsi" w:cstheme="minorHAnsi"/>
          <w:shd w:val="clear" w:color="auto" w:fill="FFFFFF"/>
        </w:rPr>
        <w:t xml:space="preserve">le </w:t>
      </w:r>
      <w:r w:rsidRPr="00F2662A">
        <w:rPr>
          <w:rFonts w:asciiTheme="minorHAnsi" w:hAnsiTheme="minorHAnsi" w:cstheme="minorHAnsi"/>
          <w:b/>
          <w:shd w:val="clear" w:color="auto" w:fill="FFFFFF"/>
        </w:rPr>
        <w:t>compravendite</w:t>
      </w:r>
      <w:r w:rsidR="00C56F9A">
        <w:rPr>
          <w:rFonts w:asciiTheme="minorHAnsi" w:hAnsiTheme="minorHAnsi" w:cstheme="minorHAnsi"/>
          <w:b/>
          <w:shd w:val="clear" w:color="auto" w:fill="FFFFFF"/>
        </w:rPr>
        <w:t xml:space="preserve"> </w:t>
      </w:r>
      <w:r w:rsidRPr="009E7878">
        <w:rPr>
          <w:rFonts w:asciiTheme="minorHAnsi" w:hAnsiTheme="minorHAnsi" w:cstheme="minorHAnsi"/>
          <w:b/>
          <w:shd w:val="clear" w:color="auto" w:fill="FFFFFF"/>
        </w:rPr>
        <w:t>immobiliari residenziali</w:t>
      </w:r>
      <w:r w:rsidRPr="00C27D27">
        <w:rPr>
          <w:rFonts w:asciiTheme="minorHAnsi" w:hAnsiTheme="minorHAnsi" w:cstheme="minorHAnsi"/>
          <w:shd w:val="clear" w:color="auto" w:fill="FFFFFF"/>
        </w:rPr>
        <w:t xml:space="preserve"> nelle città</w:t>
      </w:r>
      <w:r w:rsidR="009E53A1">
        <w:rPr>
          <w:rFonts w:asciiTheme="minorHAnsi" w:hAnsiTheme="minorHAnsi" w:cstheme="minorHAnsi"/>
          <w:shd w:val="clear" w:color="auto" w:fill="FFFFFF"/>
        </w:rPr>
        <w:t xml:space="preserve"> italiane</w:t>
      </w:r>
      <w:r w:rsidR="00C56F9A">
        <w:rPr>
          <w:rFonts w:asciiTheme="minorHAnsi" w:hAnsiTheme="minorHAnsi" w:cstheme="minorHAnsi"/>
          <w:shd w:val="clear" w:color="auto" w:fill="FFFFFF"/>
        </w:rPr>
        <w:t xml:space="preserve"> </w:t>
      </w:r>
      <w:r w:rsidR="00031B92" w:rsidRPr="001517CF">
        <w:rPr>
          <w:rFonts w:asciiTheme="minorHAnsi" w:hAnsiTheme="minorHAnsi" w:cstheme="minorHAnsi"/>
          <w:shd w:val="clear" w:color="auto" w:fill="FFFFFF"/>
        </w:rPr>
        <w:t>capoluogo di provincia</w:t>
      </w:r>
      <w:r w:rsidR="00C56F9A">
        <w:rPr>
          <w:rFonts w:asciiTheme="minorHAnsi" w:hAnsiTheme="minorHAnsi" w:cstheme="minorHAnsi"/>
          <w:shd w:val="clear" w:color="auto" w:fill="FFFFFF"/>
        </w:rPr>
        <w:t xml:space="preserve"> </w:t>
      </w:r>
      <w:r w:rsidR="001517CF" w:rsidRPr="00E80AAA">
        <w:rPr>
          <w:rFonts w:asciiTheme="minorHAnsi" w:hAnsiTheme="minorHAnsi" w:cstheme="minorHAnsi"/>
          <w:shd w:val="clear" w:color="auto" w:fill="FFFFFF"/>
        </w:rPr>
        <w:t>e relativi comuni minori</w:t>
      </w:r>
      <w:r w:rsidRPr="00E80AAA">
        <w:rPr>
          <w:rFonts w:asciiTheme="minorHAnsi" w:hAnsiTheme="minorHAnsi" w:cstheme="minorHAnsi"/>
          <w:shd w:val="clear" w:color="auto" w:fill="FFFFFF"/>
        </w:rPr>
        <w:t>,</w:t>
      </w:r>
      <w:r w:rsidRPr="00C27D27">
        <w:rPr>
          <w:rFonts w:asciiTheme="minorHAnsi" w:hAnsiTheme="minorHAnsi" w:cstheme="minorHAnsi"/>
          <w:shd w:val="clear" w:color="auto" w:fill="FFFFFF"/>
        </w:rPr>
        <w:t xml:space="preserve"> rispetto al 201</w:t>
      </w:r>
      <w:r w:rsidR="00376F09">
        <w:rPr>
          <w:rFonts w:asciiTheme="minorHAnsi" w:hAnsiTheme="minorHAnsi" w:cstheme="minorHAnsi"/>
          <w:shd w:val="clear" w:color="auto" w:fill="FFFFFF"/>
        </w:rPr>
        <w:t>8</w:t>
      </w:r>
      <w:r w:rsidR="005D353E">
        <w:rPr>
          <w:rFonts w:asciiTheme="minorHAnsi" w:hAnsiTheme="minorHAnsi" w:cstheme="minorHAnsi"/>
          <w:shd w:val="clear" w:color="auto" w:fill="FFFFFF"/>
        </w:rPr>
        <w:t xml:space="preserve">. </w:t>
      </w:r>
      <w:r w:rsidRPr="00C27D27">
        <w:rPr>
          <w:rFonts w:asciiTheme="minorHAnsi" w:hAnsiTheme="minorHAnsi" w:cstheme="minorHAnsi"/>
          <w:shd w:val="clear" w:color="auto" w:fill="FFFFFF"/>
        </w:rPr>
        <w:t xml:space="preserve">Ma </w:t>
      </w:r>
      <w:r w:rsidRPr="009E7878">
        <w:rPr>
          <w:rFonts w:asciiTheme="minorHAnsi" w:hAnsiTheme="minorHAnsi" w:cstheme="minorHAnsi"/>
          <w:shd w:val="clear" w:color="auto" w:fill="FFFFFF"/>
        </w:rPr>
        <w:t xml:space="preserve">l’andamento di compravendite e </w:t>
      </w:r>
      <w:r w:rsidRPr="009E7878">
        <w:rPr>
          <w:rFonts w:asciiTheme="minorHAnsi" w:hAnsiTheme="minorHAnsi" w:cstheme="minorHAnsi"/>
          <w:b/>
          <w:shd w:val="clear" w:color="auto" w:fill="FFFFFF"/>
        </w:rPr>
        <w:t>prezzi</w:t>
      </w:r>
      <w:r w:rsidRPr="009E7878">
        <w:rPr>
          <w:rFonts w:asciiTheme="minorHAnsi" w:hAnsiTheme="minorHAnsi" w:cstheme="minorHAnsi"/>
          <w:shd w:val="clear" w:color="auto" w:fill="FFFFFF"/>
        </w:rPr>
        <w:t xml:space="preserve"> degli immobili </w:t>
      </w:r>
      <w:r w:rsidR="00031B92">
        <w:rPr>
          <w:rFonts w:asciiTheme="minorHAnsi" w:hAnsiTheme="minorHAnsi" w:cstheme="minorHAnsi"/>
          <w:shd w:val="clear" w:color="auto" w:fill="FFFFFF"/>
        </w:rPr>
        <w:t xml:space="preserve">non va </w:t>
      </w:r>
      <w:r w:rsidR="00D65562">
        <w:rPr>
          <w:rFonts w:asciiTheme="minorHAnsi" w:hAnsiTheme="minorHAnsi" w:cstheme="minorHAnsi"/>
          <w:shd w:val="clear" w:color="auto" w:fill="FFFFFF"/>
        </w:rPr>
        <w:t xml:space="preserve">ancora </w:t>
      </w:r>
      <w:r w:rsidR="00031B92">
        <w:rPr>
          <w:rFonts w:asciiTheme="minorHAnsi" w:hAnsiTheme="minorHAnsi" w:cstheme="minorHAnsi"/>
          <w:shd w:val="clear" w:color="auto" w:fill="FFFFFF"/>
        </w:rPr>
        <w:t>di pari passo</w:t>
      </w:r>
      <w:r w:rsidRPr="009E7878">
        <w:rPr>
          <w:rFonts w:asciiTheme="minorHAnsi" w:hAnsiTheme="minorHAnsi" w:cstheme="minorHAnsi"/>
          <w:shd w:val="clear" w:color="auto" w:fill="FFFFFF"/>
        </w:rPr>
        <w:t xml:space="preserve">: </w:t>
      </w:r>
      <w:r w:rsidRPr="00C27D27">
        <w:rPr>
          <w:rFonts w:asciiTheme="minorHAnsi" w:hAnsiTheme="minorHAnsi" w:cstheme="minorHAnsi"/>
          <w:shd w:val="clear" w:color="auto" w:fill="FFFFFF"/>
        </w:rPr>
        <w:t xml:space="preserve">il dato medio nazionale segna un </w:t>
      </w:r>
      <w:r w:rsidR="00D74885">
        <w:rPr>
          <w:rFonts w:asciiTheme="minorHAnsi" w:hAnsiTheme="minorHAnsi" w:cstheme="minorHAnsi"/>
          <w:shd w:val="clear" w:color="auto" w:fill="FFFFFF"/>
        </w:rPr>
        <w:t xml:space="preserve">leggero </w:t>
      </w:r>
      <w:r w:rsidRPr="00F2662A">
        <w:rPr>
          <w:rFonts w:asciiTheme="minorHAnsi" w:hAnsiTheme="minorHAnsi" w:cstheme="minorHAnsi"/>
          <w:b/>
          <w:shd w:val="clear" w:color="auto" w:fill="FFFFFF"/>
        </w:rPr>
        <w:t>calo</w:t>
      </w:r>
      <w:r w:rsidR="00C56F9A">
        <w:rPr>
          <w:rFonts w:asciiTheme="minorHAnsi" w:hAnsiTheme="minorHAnsi" w:cstheme="minorHAnsi"/>
          <w:b/>
          <w:shd w:val="clear" w:color="auto" w:fill="FFFFFF"/>
        </w:rPr>
        <w:t xml:space="preserve"> </w:t>
      </w:r>
      <w:r w:rsidR="00D74885">
        <w:rPr>
          <w:rFonts w:asciiTheme="minorHAnsi" w:hAnsiTheme="minorHAnsi" w:cstheme="minorHAnsi"/>
          <w:shd w:val="clear" w:color="auto" w:fill="FFFFFF"/>
        </w:rPr>
        <w:t xml:space="preserve">dello </w:t>
      </w:r>
      <w:r w:rsidR="00376F09">
        <w:rPr>
          <w:rFonts w:asciiTheme="minorHAnsi" w:hAnsiTheme="minorHAnsi" w:cstheme="minorHAnsi"/>
          <w:b/>
          <w:shd w:val="clear" w:color="auto" w:fill="FFFFFF"/>
        </w:rPr>
        <w:t>0,</w:t>
      </w:r>
      <w:r w:rsidR="00031B92">
        <w:rPr>
          <w:rFonts w:asciiTheme="minorHAnsi" w:hAnsiTheme="minorHAnsi" w:cstheme="minorHAnsi"/>
          <w:b/>
          <w:shd w:val="clear" w:color="auto" w:fill="FFFFFF"/>
        </w:rPr>
        <w:t>4</w:t>
      </w:r>
      <w:r w:rsidR="00376F09">
        <w:rPr>
          <w:rFonts w:asciiTheme="minorHAnsi" w:hAnsiTheme="minorHAnsi" w:cstheme="minorHAnsi"/>
          <w:b/>
          <w:shd w:val="clear" w:color="auto" w:fill="FFFFFF"/>
        </w:rPr>
        <w:t>%</w:t>
      </w:r>
      <w:r w:rsidR="00C56F9A">
        <w:rPr>
          <w:rFonts w:asciiTheme="minorHAnsi" w:hAnsiTheme="minorHAnsi" w:cstheme="minorHAnsi"/>
          <w:b/>
          <w:shd w:val="clear" w:color="auto" w:fill="FFFFFF"/>
        </w:rPr>
        <w:t xml:space="preserve"> </w:t>
      </w:r>
      <w:r w:rsidR="009E53A1">
        <w:rPr>
          <w:rFonts w:asciiTheme="minorHAnsi" w:hAnsiTheme="minorHAnsi" w:cstheme="minorHAnsi"/>
          <w:shd w:val="clear" w:color="auto" w:fill="FFFFFF"/>
        </w:rPr>
        <w:t xml:space="preserve">con valori </w:t>
      </w:r>
      <w:r w:rsidR="00D65562">
        <w:rPr>
          <w:rFonts w:asciiTheme="minorHAnsi" w:hAnsiTheme="minorHAnsi" w:cstheme="minorHAnsi"/>
          <w:shd w:val="clear" w:color="auto" w:fill="FFFFFF"/>
        </w:rPr>
        <w:t>comunque</w:t>
      </w:r>
      <w:r w:rsidR="00C56F9A">
        <w:rPr>
          <w:rFonts w:asciiTheme="minorHAnsi" w:hAnsiTheme="minorHAnsi" w:cstheme="minorHAnsi"/>
          <w:shd w:val="clear" w:color="auto" w:fill="FFFFFF"/>
        </w:rPr>
        <w:t xml:space="preserve"> </w:t>
      </w:r>
      <w:r w:rsidR="00D74885">
        <w:rPr>
          <w:rFonts w:asciiTheme="minorHAnsi" w:hAnsiTheme="minorHAnsi" w:cstheme="minorHAnsi"/>
          <w:shd w:val="clear" w:color="auto" w:fill="FFFFFF"/>
        </w:rPr>
        <w:t>orientat</w:t>
      </w:r>
      <w:r w:rsidR="009E53A1">
        <w:rPr>
          <w:rFonts w:asciiTheme="minorHAnsi" w:hAnsiTheme="minorHAnsi" w:cstheme="minorHAnsi"/>
          <w:shd w:val="clear" w:color="auto" w:fill="FFFFFF"/>
        </w:rPr>
        <w:t>i</w:t>
      </w:r>
      <w:r w:rsidR="00D74885">
        <w:rPr>
          <w:rFonts w:asciiTheme="minorHAnsi" w:hAnsiTheme="minorHAnsi" w:cstheme="minorHAnsi"/>
          <w:shd w:val="clear" w:color="auto" w:fill="FFFFFF"/>
        </w:rPr>
        <w:t xml:space="preserve"> verso la stabilità</w:t>
      </w:r>
      <w:r w:rsidR="00D74885" w:rsidRPr="00C22BBA">
        <w:rPr>
          <w:rFonts w:asciiTheme="minorHAnsi" w:hAnsiTheme="minorHAnsi" w:cstheme="minorHAnsi"/>
          <w:shd w:val="clear" w:color="auto" w:fill="FFFFFF"/>
        </w:rPr>
        <w:t xml:space="preserve">. </w:t>
      </w:r>
    </w:p>
    <w:p w:rsidR="007B2DAD" w:rsidRDefault="007B2DAD" w:rsidP="00C27D27">
      <w:pPr>
        <w:jc w:val="both"/>
        <w:rPr>
          <w:rFonts w:asciiTheme="minorHAnsi" w:hAnsiTheme="minorHAnsi" w:cstheme="minorHAnsi"/>
          <w:sz w:val="18"/>
          <w:shd w:val="clear" w:color="auto" w:fill="FFFFFF"/>
        </w:rPr>
      </w:pPr>
    </w:p>
    <w:p w:rsidR="007B2DAD" w:rsidRDefault="007B2DAD" w:rsidP="007B2DAD">
      <w:pPr>
        <w:jc w:val="both"/>
        <w:rPr>
          <w:rFonts w:asciiTheme="minorHAnsi" w:hAnsiTheme="minorHAnsi" w:cstheme="minorHAnsi"/>
          <w:shd w:val="clear" w:color="auto" w:fill="FFFFFF"/>
        </w:rPr>
      </w:pPr>
      <w:r>
        <w:rPr>
          <w:rFonts w:asciiTheme="minorHAnsi" w:hAnsiTheme="minorHAnsi" w:cstheme="minorHAnsi"/>
          <w:shd w:val="clear" w:color="auto" w:fill="FFFFFF"/>
        </w:rPr>
        <w:t>Nello specifico, i capoluoghi di provincia medi (</w:t>
      </w:r>
      <w:r w:rsidRPr="00C27D27">
        <w:rPr>
          <w:rFonts w:asciiTheme="minorHAnsi" w:hAnsiTheme="minorHAnsi" w:cstheme="minorHAnsi"/>
          <w:shd w:val="clear" w:color="auto" w:fill="FFFFFF"/>
        </w:rPr>
        <w:t>popolazione tra i 100</w:t>
      </w:r>
      <w:r>
        <w:rPr>
          <w:rFonts w:asciiTheme="minorHAnsi" w:hAnsiTheme="minorHAnsi" w:cstheme="minorHAnsi"/>
          <w:shd w:val="clear" w:color="auto" w:fill="FFFFFF"/>
        </w:rPr>
        <w:t>mila</w:t>
      </w:r>
      <w:r w:rsidRPr="00C27D27">
        <w:rPr>
          <w:rFonts w:asciiTheme="minorHAnsi" w:hAnsiTheme="minorHAnsi" w:cstheme="minorHAnsi"/>
          <w:shd w:val="clear" w:color="auto" w:fill="FFFFFF"/>
        </w:rPr>
        <w:t xml:space="preserve"> e 300</w:t>
      </w:r>
      <w:r>
        <w:rPr>
          <w:rFonts w:asciiTheme="minorHAnsi" w:hAnsiTheme="minorHAnsi" w:cstheme="minorHAnsi"/>
          <w:shd w:val="clear" w:color="auto" w:fill="FFFFFF"/>
        </w:rPr>
        <w:t>mila</w:t>
      </w:r>
      <w:r w:rsidRPr="00C27D27">
        <w:rPr>
          <w:rFonts w:asciiTheme="minorHAnsi" w:hAnsiTheme="minorHAnsi" w:cstheme="minorHAnsi"/>
          <w:shd w:val="clear" w:color="auto" w:fill="FFFFFF"/>
        </w:rPr>
        <w:t xml:space="preserve"> abitanti</w:t>
      </w:r>
      <w:r>
        <w:rPr>
          <w:rFonts w:asciiTheme="minorHAnsi" w:hAnsiTheme="minorHAnsi" w:cstheme="minorHAnsi"/>
          <w:shd w:val="clear" w:color="auto" w:fill="FFFFFF"/>
        </w:rPr>
        <w:t xml:space="preserve">) segnano la migliore performance per quanto riguarda gli scambi (+4,8%), seguiti dai capoluoghi grandi (popolazione </w:t>
      </w:r>
      <w:r w:rsidRPr="00E10297">
        <w:rPr>
          <w:rFonts w:asciiTheme="minorHAnsi" w:hAnsiTheme="minorHAnsi" w:cstheme="minorHAnsi"/>
          <w:shd w:val="clear" w:color="auto" w:fill="FFFFFF"/>
        </w:rPr>
        <w:t>più di 300mila abitanti</w:t>
      </w:r>
      <w:r>
        <w:rPr>
          <w:rFonts w:asciiTheme="minorHAnsi" w:hAnsiTheme="minorHAnsi" w:cstheme="minorHAnsi"/>
          <w:shd w:val="clear" w:color="auto" w:fill="FFFFFF"/>
        </w:rPr>
        <w:t>) e da quelli piccoli (popolazione inferiore ai</w:t>
      </w:r>
      <w:r w:rsidRPr="00C27D27">
        <w:rPr>
          <w:rFonts w:asciiTheme="minorHAnsi" w:hAnsiTheme="minorHAnsi" w:cstheme="minorHAnsi"/>
          <w:shd w:val="clear" w:color="auto" w:fill="FFFFFF"/>
        </w:rPr>
        <w:t xml:space="preserve"> 100</w:t>
      </w:r>
      <w:r>
        <w:rPr>
          <w:rFonts w:asciiTheme="minorHAnsi" w:hAnsiTheme="minorHAnsi" w:cstheme="minorHAnsi"/>
          <w:shd w:val="clear" w:color="auto" w:fill="FFFFFF"/>
        </w:rPr>
        <w:t>mila</w:t>
      </w:r>
      <w:r w:rsidRPr="00C27D27">
        <w:rPr>
          <w:rFonts w:asciiTheme="minorHAnsi" w:hAnsiTheme="minorHAnsi" w:cstheme="minorHAnsi"/>
          <w:shd w:val="clear" w:color="auto" w:fill="FFFFFF"/>
        </w:rPr>
        <w:t xml:space="preserve"> abitanti</w:t>
      </w:r>
      <w:r>
        <w:rPr>
          <w:rFonts w:asciiTheme="minorHAnsi" w:hAnsiTheme="minorHAnsi" w:cstheme="minorHAnsi"/>
          <w:shd w:val="clear" w:color="auto" w:fill="FFFFFF"/>
        </w:rPr>
        <w:t>) rispettivamente con il +4,1%. Nel Nord Italia, il numero medio delle compravendite registra quasi un +5% rispetto al 2018.</w:t>
      </w:r>
    </w:p>
    <w:p w:rsidR="007B2DAD" w:rsidRPr="004A2126" w:rsidRDefault="007B2DAD" w:rsidP="00C27D27">
      <w:pPr>
        <w:jc w:val="both"/>
        <w:rPr>
          <w:rFonts w:asciiTheme="minorHAnsi" w:hAnsiTheme="minorHAnsi" w:cstheme="minorHAnsi"/>
          <w:sz w:val="18"/>
          <w:shd w:val="clear" w:color="auto" w:fill="FFFFFF"/>
        </w:rPr>
      </w:pPr>
    </w:p>
    <w:p w:rsidR="008B6E66" w:rsidRDefault="008B6E66" w:rsidP="00C27D27">
      <w:pPr>
        <w:jc w:val="both"/>
        <w:rPr>
          <w:rFonts w:asciiTheme="minorHAnsi" w:hAnsiTheme="minorHAnsi" w:cstheme="minorHAnsi"/>
          <w:shd w:val="clear" w:color="auto" w:fill="FFFFFF"/>
        </w:rPr>
      </w:pPr>
      <w:r>
        <w:rPr>
          <w:rFonts w:asciiTheme="minorHAnsi" w:hAnsiTheme="minorHAnsi" w:cstheme="minorHAnsi"/>
          <w:shd w:val="clear" w:color="auto" w:fill="FFFFFF"/>
        </w:rPr>
        <w:t xml:space="preserve">La quota media di </w:t>
      </w:r>
      <w:r w:rsidRPr="004C5463">
        <w:rPr>
          <w:rFonts w:asciiTheme="minorHAnsi" w:hAnsiTheme="minorHAnsi" w:cstheme="minorHAnsi"/>
          <w:b/>
          <w:shd w:val="clear" w:color="auto" w:fill="FFFFFF"/>
        </w:rPr>
        <w:t>scambi di appartamenti nuovi</w:t>
      </w:r>
      <w:r>
        <w:rPr>
          <w:rFonts w:asciiTheme="minorHAnsi" w:hAnsiTheme="minorHAnsi" w:cstheme="minorHAnsi"/>
          <w:shd w:val="clear" w:color="auto" w:fill="FFFFFF"/>
        </w:rPr>
        <w:t xml:space="preserve"> sul totale è pari </w:t>
      </w:r>
      <w:r w:rsidR="00BD43B9">
        <w:rPr>
          <w:rFonts w:asciiTheme="minorHAnsi" w:hAnsiTheme="minorHAnsi" w:cstheme="minorHAnsi"/>
          <w:shd w:val="clear" w:color="auto" w:fill="FFFFFF"/>
        </w:rPr>
        <w:t xml:space="preserve">ad appena il </w:t>
      </w:r>
      <w:r w:rsidR="005468C2" w:rsidRPr="004C5463">
        <w:rPr>
          <w:rFonts w:asciiTheme="minorHAnsi" w:hAnsiTheme="minorHAnsi" w:cstheme="minorHAnsi"/>
          <w:b/>
          <w:shd w:val="clear" w:color="auto" w:fill="FFFFFF"/>
        </w:rPr>
        <w:t>6</w:t>
      </w:r>
      <w:r w:rsidRPr="004C5463">
        <w:rPr>
          <w:rFonts w:asciiTheme="minorHAnsi" w:hAnsiTheme="minorHAnsi" w:cstheme="minorHAnsi"/>
          <w:b/>
          <w:shd w:val="clear" w:color="auto" w:fill="FFFFFF"/>
        </w:rPr>
        <w:t>%</w:t>
      </w:r>
      <w:r w:rsidR="00D65562">
        <w:rPr>
          <w:rFonts w:asciiTheme="minorHAnsi" w:hAnsiTheme="minorHAnsi" w:cstheme="minorHAnsi"/>
          <w:shd w:val="clear" w:color="auto" w:fill="FFFFFF"/>
        </w:rPr>
        <w:t xml:space="preserve"> del totale delle vendite.</w:t>
      </w:r>
      <w:r w:rsidR="00BD43B9">
        <w:rPr>
          <w:rFonts w:asciiTheme="minorHAnsi" w:hAnsiTheme="minorHAnsi" w:cstheme="minorHAnsi"/>
          <w:shd w:val="clear" w:color="auto" w:fill="FFFFFF"/>
        </w:rPr>
        <w:t xml:space="preserve"> </w:t>
      </w:r>
      <w:r w:rsidR="00606FE1">
        <w:rPr>
          <w:rFonts w:asciiTheme="minorHAnsi" w:hAnsiTheme="minorHAnsi" w:cstheme="minorHAnsi"/>
          <w:shd w:val="clear" w:color="auto" w:fill="FFFFFF"/>
        </w:rPr>
        <w:t>Nel 2019, i</w:t>
      </w:r>
      <w:r w:rsidR="0002149E">
        <w:rPr>
          <w:rFonts w:asciiTheme="minorHAnsi" w:hAnsiTheme="minorHAnsi" w:cstheme="minorHAnsi"/>
          <w:shd w:val="clear" w:color="auto" w:fill="FFFFFF"/>
        </w:rPr>
        <w:t xml:space="preserve">n </w:t>
      </w:r>
      <w:r w:rsidR="002717AF">
        <w:rPr>
          <w:rFonts w:asciiTheme="minorHAnsi" w:hAnsiTheme="minorHAnsi" w:cstheme="minorHAnsi"/>
          <w:shd w:val="clear" w:color="auto" w:fill="FFFFFF"/>
        </w:rPr>
        <w:t xml:space="preserve">termini </w:t>
      </w:r>
      <w:r w:rsidR="0002149E">
        <w:rPr>
          <w:rFonts w:asciiTheme="minorHAnsi" w:hAnsiTheme="minorHAnsi" w:cstheme="minorHAnsi"/>
          <w:shd w:val="clear" w:color="auto" w:fill="FFFFFF"/>
        </w:rPr>
        <w:t>medi, la quota maggiore di appartamenti nuovi compravenduti sul totale delle vendite si realizza nel Centro Italia (6,9%)</w:t>
      </w:r>
      <w:r w:rsidR="00606FE1">
        <w:rPr>
          <w:rFonts w:asciiTheme="minorHAnsi" w:hAnsiTheme="minorHAnsi" w:cstheme="minorHAnsi"/>
          <w:shd w:val="clear" w:color="auto" w:fill="FFFFFF"/>
        </w:rPr>
        <w:t xml:space="preserve"> e riguarda i capoluoghi di provincia medi</w:t>
      </w:r>
      <w:r w:rsidR="00BD43B9">
        <w:rPr>
          <w:rFonts w:asciiTheme="minorHAnsi" w:hAnsiTheme="minorHAnsi" w:cstheme="minorHAnsi"/>
          <w:shd w:val="clear" w:color="auto" w:fill="FFFFFF"/>
        </w:rPr>
        <w:t xml:space="preserve"> </w:t>
      </w:r>
      <w:r w:rsidR="00C7611C" w:rsidRPr="009E53A1">
        <w:rPr>
          <w:rFonts w:asciiTheme="minorHAnsi" w:hAnsiTheme="minorHAnsi" w:cstheme="minorHAnsi"/>
          <w:shd w:val="clear" w:color="auto" w:fill="FFFFFF"/>
        </w:rPr>
        <w:t>(</w:t>
      </w:r>
      <w:r w:rsidR="00C7611C" w:rsidRPr="00C27D27">
        <w:rPr>
          <w:rFonts w:asciiTheme="minorHAnsi" w:hAnsiTheme="minorHAnsi" w:cstheme="minorHAnsi"/>
          <w:shd w:val="clear" w:color="auto" w:fill="FFFFFF"/>
        </w:rPr>
        <w:t>con popolazione tra i 100</w:t>
      </w:r>
      <w:r w:rsidR="00C7611C">
        <w:rPr>
          <w:rFonts w:asciiTheme="minorHAnsi" w:hAnsiTheme="minorHAnsi" w:cstheme="minorHAnsi"/>
          <w:shd w:val="clear" w:color="auto" w:fill="FFFFFF"/>
        </w:rPr>
        <w:t>mila</w:t>
      </w:r>
      <w:r w:rsidR="00C7611C" w:rsidRPr="00C27D27">
        <w:rPr>
          <w:rFonts w:asciiTheme="minorHAnsi" w:hAnsiTheme="minorHAnsi" w:cstheme="minorHAnsi"/>
          <w:shd w:val="clear" w:color="auto" w:fill="FFFFFF"/>
        </w:rPr>
        <w:t xml:space="preserve"> e 300</w:t>
      </w:r>
      <w:r w:rsidR="00C7611C">
        <w:rPr>
          <w:rFonts w:asciiTheme="minorHAnsi" w:hAnsiTheme="minorHAnsi" w:cstheme="minorHAnsi"/>
          <w:shd w:val="clear" w:color="auto" w:fill="FFFFFF"/>
        </w:rPr>
        <w:t>mila</w:t>
      </w:r>
      <w:r w:rsidR="00C7611C" w:rsidRPr="00C27D27">
        <w:rPr>
          <w:rFonts w:asciiTheme="minorHAnsi" w:hAnsiTheme="minorHAnsi" w:cstheme="minorHAnsi"/>
          <w:shd w:val="clear" w:color="auto" w:fill="FFFFFF"/>
        </w:rPr>
        <w:t xml:space="preserve"> abitanti)</w:t>
      </w:r>
      <w:r w:rsidR="00606FE1">
        <w:rPr>
          <w:rFonts w:asciiTheme="minorHAnsi" w:hAnsiTheme="minorHAnsi" w:cstheme="minorHAnsi"/>
          <w:shd w:val="clear" w:color="auto" w:fill="FFFFFF"/>
        </w:rPr>
        <w:t>.</w:t>
      </w:r>
      <w:r w:rsidR="0084518B">
        <w:rPr>
          <w:rFonts w:asciiTheme="minorHAnsi" w:hAnsiTheme="minorHAnsi" w:cstheme="minorHAnsi"/>
          <w:shd w:val="clear" w:color="auto" w:fill="FFFFFF"/>
        </w:rPr>
        <w:t xml:space="preserve"> [Figura </w:t>
      </w:r>
      <w:r w:rsidR="003A3A5F">
        <w:rPr>
          <w:rFonts w:asciiTheme="minorHAnsi" w:hAnsiTheme="minorHAnsi" w:cstheme="minorHAnsi"/>
          <w:shd w:val="clear" w:color="auto" w:fill="FFFFFF"/>
        </w:rPr>
        <w:t>A.</w:t>
      </w:r>
      <w:r w:rsidR="0084518B">
        <w:rPr>
          <w:rFonts w:asciiTheme="minorHAnsi" w:hAnsiTheme="minorHAnsi" w:cstheme="minorHAnsi"/>
          <w:shd w:val="clear" w:color="auto" w:fill="FFFFFF"/>
        </w:rPr>
        <w:t>1]</w:t>
      </w:r>
    </w:p>
    <w:p w:rsidR="00376F09" w:rsidRPr="009E53A1" w:rsidRDefault="00376F09" w:rsidP="00C27D27">
      <w:pPr>
        <w:jc w:val="both"/>
        <w:rPr>
          <w:rFonts w:asciiTheme="minorHAnsi" w:hAnsiTheme="minorHAnsi" w:cstheme="minorHAnsi"/>
          <w:sz w:val="14"/>
          <w:shd w:val="clear" w:color="auto" w:fill="FFFFFF"/>
        </w:rPr>
      </w:pPr>
    </w:p>
    <w:p w:rsidR="00D74885" w:rsidRDefault="009D69A4" w:rsidP="00C27D27">
      <w:pPr>
        <w:jc w:val="both"/>
        <w:rPr>
          <w:rFonts w:asciiTheme="minorHAnsi" w:hAnsiTheme="minorHAnsi" w:cstheme="minorHAnsi"/>
          <w:shd w:val="clear" w:color="auto" w:fill="FFFFFF"/>
        </w:rPr>
      </w:pPr>
      <w:r>
        <w:rPr>
          <w:rFonts w:asciiTheme="minorHAnsi" w:hAnsiTheme="minorHAnsi" w:cstheme="minorHAnsi"/>
          <w:shd w:val="clear" w:color="auto" w:fill="FFFFFF"/>
        </w:rPr>
        <w:t>Servono</w:t>
      </w:r>
      <w:r w:rsidR="00BD43B9">
        <w:rPr>
          <w:rFonts w:asciiTheme="minorHAnsi" w:hAnsiTheme="minorHAnsi" w:cstheme="minorHAnsi"/>
          <w:shd w:val="clear" w:color="auto" w:fill="FFFFFF"/>
        </w:rPr>
        <w:t xml:space="preserve"> </w:t>
      </w:r>
      <w:r w:rsidR="005468C2">
        <w:rPr>
          <w:rFonts w:asciiTheme="minorHAnsi" w:hAnsiTheme="minorHAnsi" w:cstheme="minorHAnsi"/>
          <w:shd w:val="clear" w:color="auto" w:fill="FFFFFF"/>
        </w:rPr>
        <w:t>sei</w:t>
      </w:r>
      <w:r w:rsidR="00D74885">
        <w:rPr>
          <w:rFonts w:asciiTheme="minorHAnsi" w:hAnsiTheme="minorHAnsi" w:cstheme="minorHAnsi"/>
          <w:shd w:val="clear" w:color="auto" w:fill="FFFFFF"/>
        </w:rPr>
        <w:t xml:space="preserve"> mesi </w:t>
      </w:r>
      <w:r w:rsidR="005468C2">
        <w:rPr>
          <w:rFonts w:asciiTheme="minorHAnsi" w:hAnsiTheme="minorHAnsi" w:cstheme="minorHAnsi"/>
          <w:shd w:val="clear" w:color="auto" w:fill="FFFFFF"/>
        </w:rPr>
        <w:t xml:space="preserve">e mezzo </w:t>
      </w:r>
      <w:r w:rsidR="00D74885">
        <w:rPr>
          <w:rFonts w:asciiTheme="minorHAnsi" w:hAnsiTheme="minorHAnsi" w:cstheme="minorHAnsi"/>
          <w:shd w:val="clear" w:color="auto" w:fill="FFFFFF"/>
        </w:rPr>
        <w:t xml:space="preserve">per trovare la casa ideale, con uno </w:t>
      </w:r>
      <w:r w:rsidR="00D74885" w:rsidRPr="004C5463">
        <w:rPr>
          <w:rFonts w:asciiTheme="minorHAnsi" w:hAnsiTheme="minorHAnsi" w:cstheme="minorHAnsi"/>
          <w:b/>
          <w:shd w:val="clear" w:color="auto" w:fill="FFFFFF"/>
        </w:rPr>
        <w:t>sconto medio</w:t>
      </w:r>
      <w:r w:rsidR="00D74885">
        <w:rPr>
          <w:rFonts w:asciiTheme="minorHAnsi" w:hAnsiTheme="minorHAnsi" w:cstheme="minorHAnsi"/>
          <w:shd w:val="clear" w:color="auto" w:fill="FFFFFF"/>
        </w:rPr>
        <w:t xml:space="preserve"> sul prezzo di vendita pari al </w:t>
      </w:r>
      <w:r w:rsidR="005468C2">
        <w:rPr>
          <w:rFonts w:asciiTheme="minorHAnsi" w:hAnsiTheme="minorHAnsi" w:cstheme="minorHAnsi"/>
          <w:shd w:val="clear" w:color="auto" w:fill="FFFFFF"/>
        </w:rPr>
        <w:t>10</w:t>
      </w:r>
      <w:r w:rsidR="00D74885">
        <w:rPr>
          <w:rFonts w:asciiTheme="minorHAnsi" w:hAnsiTheme="minorHAnsi" w:cstheme="minorHAnsi"/>
          <w:shd w:val="clear" w:color="auto" w:fill="FFFFFF"/>
        </w:rPr>
        <w:t>,</w:t>
      </w:r>
      <w:r w:rsidR="005468C2">
        <w:rPr>
          <w:rFonts w:asciiTheme="minorHAnsi" w:hAnsiTheme="minorHAnsi" w:cstheme="minorHAnsi"/>
          <w:shd w:val="clear" w:color="auto" w:fill="FFFFFF"/>
        </w:rPr>
        <w:t>5</w:t>
      </w:r>
      <w:r w:rsidR="00D74885">
        <w:rPr>
          <w:rFonts w:asciiTheme="minorHAnsi" w:hAnsiTheme="minorHAnsi" w:cstheme="minorHAnsi"/>
          <w:shd w:val="clear" w:color="auto" w:fill="FFFFFF"/>
        </w:rPr>
        <w:t>%</w:t>
      </w:r>
      <w:r w:rsidR="005468C2">
        <w:rPr>
          <w:rFonts w:asciiTheme="minorHAnsi" w:hAnsiTheme="minorHAnsi" w:cstheme="minorHAnsi"/>
          <w:shd w:val="clear" w:color="auto" w:fill="FFFFFF"/>
        </w:rPr>
        <w:t xml:space="preserve"> (in riduzione rispetto al I semestre 2019</w:t>
      </w:r>
      <w:r w:rsidR="00D012A3">
        <w:rPr>
          <w:rFonts w:asciiTheme="minorHAnsi" w:hAnsiTheme="minorHAnsi" w:cstheme="minorHAnsi"/>
          <w:shd w:val="clear" w:color="auto" w:fill="FFFFFF"/>
        </w:rPr>
        <w:t>: 12,9%)</w:t>
      </w:r>
      <w:r w:rsidR="00D74885">
        <w:rPr>
          <w:rFonts w:asciiTheme="minorHAnsi" w:hAnsiTheme="minorHAnsi" w:cstheme="minorHAnsi"/>
          <w:shd w:val="clear" w:color="auto" w:fill="FFFFFF"/>
        </w:rPr>
        <w:t>.</w:t>
      </w:r>
      <w:r w:rsidR="00B153E6">
        <w:rPr>
          <w:rFonts w:asciiTheme="minorHAnsi" w:hAnsiTheme="minorHAnsi" w:cstheme="minorHAnsi"/>
          <w:shd w:val="clear" w:color="auto" w:fill="FFFFFF"/>
        </w:rPr>
        <w:t xml:space="preserve"> </w:t>
      </w:r>
      <w:r w:rsidR="00454F37">
        <w:rPr>
          <w:rFonts w:asciiTheme="minorHAnsi" w:hAnsiTheme="minorHAnsi" w:cstheme="minorHAnsi"/>
          <w:shd w:val="clear" w:color="auto" w:fill="FFFFFF"/>
        </w:rPr>
        <w:t>[Tavola A. 1].</w:t>
      </w:r>
    </w:p>
    <w:p w:rsidR="009E53A1" w:rsidRPr="00583395" w:rsidRDefault="009E53A1" w:rsidP="00C27D27">
      <w:pPr>
        <w:jc w:val="both"/>
        <w:rPr>
          <w:rFonts w:asciiTheme="minorHAnsi" w:hAnsiTheme="minorHAnsi" w:cstheme="minorHAnsi"/>
          <w:sz w:val="16"/>
          <w:shd w:val="clear" w:color="auto" w:fill="FFFFFF"/>
        </w:rPr>
      </w:pPr>
    </w:p>
    <w:p w:rsidR="00C27D27" w:rsidRDefault="009E53A1" w:rsidP="00C27D27">
      <w:pPr>
        <w:jc w:val="both"/>
        <w:rPr>
          <w:rFonts w:asciiTheme="minorHAnsi" w:hAnsiTheme="minorHAnsi" w:cstheme="minorHAnsi"/>
          <w:shd w:val="clear" w:color="auto" w:fill="FFFFFF"/>
        </w:rPr>
      </w:pPr>
      <w:r>
        <w:rPr>
          <w:rFonts w:asciiTheme="minorHAnsi" w:hAnsiTheme="minorHAnsi" w:cstheme="minorHAnsi"/>
          <w:shd w:val="clear" w:color="auto" w:fill="FFFFFF"/>
        </w:rPr>
        <w:t xml:space="preserve">Per quanto riguarda il mercato delle </w:t>
      </w:r>
      <w:r w:rsidRPr="004C5463">
        <w:rPr>
          <w:rFonts w:asciiTheme="minorHAnsi" w:hAnsiTheme="minorHAnsi" w:cstheme="minorHAnsi"/>
          <w:b/>
          <w:shd w:val="clear" w:color="auto" w:fill="FFFFFF"/>
        </w:rPr>
        <w:t>locazioni</w:t>
      </w:r>
      <w:r>
        <w:rPr>
          <w:rFonts w:asciiTheme="minorHAnsi" w:hAnsiTheme="minorHAnsi" w:cstheme="minorHAnsi"/>
          <w:shd w:val="clear" w:color="auto" w:fill="FFFFFF"/>
        </w:rPr>
        <w:t xml:space="preserve">, i nuovi contratti </w:t>
      </w:r>
      <w:r w:rsidR="00003AD3">
        <w:rPr>
          <w:rFonts w:asciiTheme="minorHAnsi" w:hAnsiTheme="minorHAnsi" w:cstheme="minorHAnsi"/>
          <w:shd w:val="clear" w:color="auto" w:fill="FFFFFF"/>
        </w:rPr>
        <w:t xml:space="preserve">ordinari </w:t>
      </w:r>
      <w:r>
        <w:rPr>
          <w:rFonts w:asciiTheme="minorHAnsi" w:hAnsiTheme="minorHAnsi" w:cstheme="minorHAnsi"/>
          <w:shd w:val="clear" w:color="auto" w:fill="FFFFFF"/>
        </w:rPr>
        <w:t xml:space="preserve">sono cresciuti del </w:t>
      </w:r>
      <w:r w:rsidR="00031B92">
        <w:rPr>
          <w:rFonts w:asciiTheme="minorHAnsi" w:hAnsiTheme="minorHAnsi" w:cstheme="minorHAnsi"/>
          <w:shd w:val="clear" w:color="auto" w:fill="FFFFFF"/>
        </w:rPr>
        <w:t>1</w:t>
      </w:r>
      <w:r>
        <w:rPr>
          <w:rFonts w:asciiTheme="minorHAnsi" w:hAnsiTheme="minorHAnsi" w:cstheme="minorHAnsi"/>
          <w:shd w:val="clear" w:color="auto" w:fill="FFFFFF"/>
        </w:rPr>
        <w:t>,</w:t>
      </w:r>
      <w:r w:rsidR="00031B92">
        <w:rPr>
          <w:rFonts w:asciiTheme="minorHAnsi" w:hAnsiTheme="minorHAnsi" w:cstheme="minorHAnsi"/>
          <w:shd w:val="clear" w:color="auto" w:fill="FFFFFF"/>
        </w:rPr>
        <w:t>8</w:t>
      </w:r>
      <w:r>
        <w:rPr>
          <w:rFonts w:asciiTheme="minorHAnsi" w:hAnsiTheme="minorHAnsi" w:cstheme="minorHAnsi"/>
          <w:shd w:val="clear" w:color="auto" w:fill="FFFFFF"/>
        </w:rPr>
        <w:t>% mentre le locazioni brevi (inferiori a 30 giorni) sono cresciute del 2,</w:t>
      </w:r>
      <w:r w:rsidR="00031B92">
        <w:rPr>
          <w:rFonts w:asciiTheme="minorHAnsi" w:hAnsiTheme="minorHAnsi" w:cstheme="minorHAnsi"/>
          <w:shd w:val="clear" w:color="auto" w:fill="FFFFFF"/>
        </w:rPr>
        <w:t>6</w:t>
      </w:r>
      <w:r>
        <w:rPr>
          <w:rFonts w:asciiTheme="minorHAnsi" w:hAnsiTheme="minorHAnsi" w:cstheme="minorHAnsi"/>
          <w:shd w:val="clear" w:color="auto" w:fill="FFFFFF"/>
        </w:rPr>
        <w:t xml:space="preserve">%. </w:t>
      </w:r>
      <w:r w:rsidR="00031B92">
        <w:rPr>
          <w:rFonts w:asciiTheme="minorHAnsi" w:hAnsiTheme="minorHAnsi" w:cstheme="minorHAnsi"/>
          <w:shd w:val="clear" w:color="auto" w:fill="FFFFFF"/>
        </w:rPr>
        <w:t>I</w:t>
      </w:r>
      <w:r>
        <w:rPr>
          <w:rFonts w:asciiTheme="minorHAnsi" w:hAnsiTheme="minorHAnsi" w:cstheme="minorHAnsi"/>
          <w:shd w:val="clear" w:color="auto" w:fill="FFFFFF"/>
        </w:rPr>
        <w:t xml:space="preserve"> canoni segnano un </w:t>
      </w:r>
      <w:r w:rsidR="00031B92">
        <w:rPr>
          <w:rFonts w:asciiTheme="minorHAnsi" w:hAnsiTheme="minorHAnsi" w:cstheme="minorHAnsi"/>
          <w:shd w:val="clear" w:color="auto" w:fill="FFFFFF"/>
        </w:rPr>
        <w:t>aumento sia quelli ordinari (+1</w:t>
      </w:r>
      <w:r>
        <w:rPr>
          <w:rFonts w:asciiTheme="minorHAnsi" w:hAnsiTheme="minorHAnsi" w:cstheme="minorHAnsi"/>
          <w:shd w:val="clear" w:color="auto" w:fill="FFFFFF"/>
        </w:rPr>
        <w:t>,</w:t>
      </w:r>
      <w:r w:rsidR="00031B92">
        <w:rPr>
          <w:rFonts w:asciiTheme="minorHAnsi" w:hAnsiTheme="minorHAnsi" w:cstheme="minorHAnsi"/>
          <w:shd w:val="clear" w:color="auto" w:fill="FFFFFF"/>
        </w:rPr>
        <w:t>4</w:t>
      </w:r>
      <w:r>
        <w:rPr>
          <w:rFonts w:asciiTheme="minorHAnsi" w:hAnsiTheme="minorHAnsi" w:cstheme="minorHAnsi"/>
          <w:shd w:val="clear" w:color="auto" w:fill="FFFFFF"/>
        </w:rPr>
        <w:t>%</w:t>
      </w:r>
      <w:r w:rsidR="00031B92">
        <w:rPr>
          <w:rFonts w:asciiTheme="minorHAnsi" w:hAnsiTheme="minorHAnsi" w:cstheme="minorHAnsi"/>
          <w:shd w:val="clear" w:color="auto" w:fill="FFFFFF"/>
        </w:rPr>
        <w:t xml:space="preserve">) sia </w:t>
      </w:r>
      <w:r w:rsidR="0092420A">
        <w:rPr>
          <w:rFonts w:asciiTheme="minorHAnsi" w:hAnsiTheme="minorHAnsi" w:cstheme="minorHAnsi"/>
          <w:shd w:val="clear" w:color="auto" w:fill="FFFFFF"/>
        </w:rPr>
        <w:t>quelli riferiti all</w:t>
      </w:r>
      <w:r>
        <w:rPr>
          <w:rFonts w:asciiTheme="minorHAnsi" w:hAnsiTheme="minorHAnsi" w:cstheme="minorHAnsi"/>
          <w:shd w:val="clear" w:color="auto" w:fill="FFFFFF"/>
        </w:rPr>
        <w:t xml:space="preserve">e locazioni </w:t>
      </w:r>
      <w:r w:rsidR="009F1231">
        <w:rPr>
          <w:rFonts w:asciiTheme="minorHAnsi" w:hAnsiTheme="minorHAnsi" w:cstheme="minorHAnsi"/>
          <w:shd w:val="clear" w:color="auto" w:fill="FFFFFF"/>
        </w:rPr>
        <w:t>brevi</w:t>
      </w:r>
      <w:r w:rsidR="00031B92">
        <w:rPr>
          <w:rFonts w:asciiTheme="minorHAnsi" w:hAnsiTheme="minorHAnsi" w:cstheme="minorHAnsi"/>
          <w:shd w:val="clear" w:color="auto" w:fill="FFFFFF"/>
        </w:rPr>
        <w:t xml:space="preserve"> (+1,2%).</w:t>
      </w:r>
      <w:r w:rsidR="00B153E6">
        <w:rPr>
          <w:rFonts w:asciiTheme="minorHAnsi" w:hAnsiTheme="minorHAnsi" w:cstheme="minorHAnsi"/>
          <w:shd w:val="clear" w:color="auto" w:fill="FFFFFF"/>
        </w:rPr>
        <w:t xml:space="preserve"> </w:t>
      </w:r>
      <w:r w:rsidR="00A97BFC">
        <w:rPr>
          <w:rFonts w:asciiTheme="minorHAnsi" w:hAnsiTheme="minorHAnsi" w:cstheme="minorHAnsi"/>
          <w:shd w:val="clear" w:color="auto" w:fill="FFFFFF"/>
        </w:rPr>
        <w:t>[Tavola A. 2].</w:t>
      </w:r>
    </w:p>
    <w:p w:rsidR="009E53A1" w:rsidRPr="00583395" w:rsidRDefault="009E53A1" w:rsidP="00C27D27">
      <w:pPr>
        <w:jc w:val="both"/>
        <w:rPr>
          <w:rFonts w:asciiTheme="minorHAnsi" w:hAnsiTheme="minorHAnsi" w:cstheme="minorHAnsi"/>
          <w:sz w:val="12"/>
          <w:szCs w:val="18"/>
          <w:shd w:val="clear" w:color="auto" w:fill="FFFFFF"/>
        </w:rPr>
      </w:pPr>
    </w:p>
    <w:p w:rsidR="00C27D27" w:rsidRDefault="00C27D27" w:rsidP="00C27D27">
      <w:pPr>
        <w:jc w:val="both"/>
        <w:rPr>
          <w:rFonts w:asciiTheme="minorHAnsi" w:hAnsiTheme="minorHAnsi" w:cstheme="minorHAnsi"/>
          <w:shd w:val="clear" w:color="auto" w:fill="FFFFFF"/>
        </w:rPr>
      </w:pPr>
      <w:r w:rsidRPr="00C27D27">
        <w:rPr>
          <w:rFonts w:asciiTheme="minorHAnsi" w:hAnsiTheme="minorHAnsi" w:cstheme="minorHAnsi"/>
          <w:shd w:val="clear" w:color="auto" w:fill="FFFFFF"/>
        </w:rPr>
        <w:lastRenderedPageBreak/>
        <w:t xml:space="preserve">È il quadro tracciato dal sentiment del mercato immobiliare residenziale, relativo </w:t>
      </w:r>
      <w:r w:rsidR="00031B92">
        <w:rPr>
          <w:rFonts w:asciiTheme="minorHAnsi" w:hAnsiTheme="minorHAnsi" w:cstheme="minorHAnsi"/>
          <w:shd w:val="clear" w:color="auto" w:fill="FFFFFF"/>
        </w:rPr>
        <w:t xml:space="preserve">al </w:t>
      </w:r>
      <w:r w:rsidRPr="00C27D27">
        <w:rPr>
          <w:rFonts w:asciiTheme="minorHAnsi" w:hAnsiTheme="minorHAnsi" w:cstheme="minorHAnsi"/>
          <w:shd w:val="clear" w:color="auto" w:fill="FFFFFF"/>
        </w:rPr>
        <w:t>201</w:t>
      </w:r>
      <w:r w:rsidR="009E53A1">
        <w:rPr>
          <w:rFonts w:asciiTheme="minorHAnsi" w:hAnsiTheme="minorHAnsi" w:cstheme="minorHAnsi"/>
          <w:shd w:val="clear" w:color="auto" w:fill="FFFFFF"/>
        </w:rPr>
        <w:t>9</w:t>
      </w:r>
      <w:r w:rsidRPr="00C27D27">
        <w:rPr>
          <w:rFonts w:asciiTheme="minorHAnsi" w:hAnsiTheme="minorHAnsi" w:cstheme="minorHAnsi"/>
          <w:shd w:val="clear" w:color="auto" w:fill="FFFFFF"/>
        </w:rPr>
        <w:t>, realizzato dall’</w:t>
      </w:r>
      <w:r w:rsidRPr="00C27D27">
        <w:rPr>
          <w:rFonts w:asciiTheme="minorHAnsi" w:hAnsiTheme="minorHAnsi" w:cstheme="minorHAnsi"/>
          <w:b/>
          <w:shd w:val="clear" w:color="auto" w:fill="FFFFFF"/>
        </w:rPr>
        <w:t xml:space="preserve">Ufficio </w:t>
      </w:r>
      <w:r w:rsidR="00D87056">
        <w:rPr>
          <w:rFonts w:asciiTheme="minorHAnsi" w:hAnsiTheme="minorHAnsi" w:cstheme="minorHAnsi"/>
          <w:b/>
          <w:shd w:val="clear" w:color="auto" w:fill="FFFFFF"/>
        </w:rPr>
        <w:t>s</w:t>
      </w:r>
      <w:r w:rsidRPr="00C27D27">
        <w:rPr>
          <w:rFonts w:asciiTheme="minorHAnsi" w:hAnsiTheme="minorHAnsi" w:cstheme="minorHAnsi"/>
          <w:b/>
          <w:shd w:val="clear" w:color="auto" w:fill="FFFFFF"/>
        </w:rPr>
        <w:t xml:space="preserve">tudi </w:t>
      </w:r>
      <w:r w:rsidR="00D87056">
        <w:rPr>
          <w:rFonts w:asciiTheme="minorHAnsi" w:hAnsiTheme="minorHAnsi" w:cstheme="minorHAnsi"/>
          <w:b/>
          <w:shd w:val="clear" w:color="auto" w:fill="FFFFFF"/>
        </w:rPr>
        <w:t>n</w:t>
      </w:r>
      <w:r w:rsidRPr="00C27D27">
        <w:rPr>
          <w:rFonts w:asciiTheme="minorHAnsi" w:hAnsiTheme="minorHAnsi" w:cstheme="minorHAnsi"/>
          <w:b/>
          <w:shd w:val="clear" w:color="auto" w:fill="FFFFFF"/>
        </w:rPr>
        <w:t xml:space="preserve">azionale </w:t>
      </w:r>
      <w:r w:rsidR="00F82898">
        <w:rPr>
          <w:rFonts w:asciiTheme="minorHAnsi" w:hAnsiTheme="minorHAnsi" w:cstheme="minorHAnsi"/>
          <w:b/>
          <w:shd w:val="clear" w:color="auto" w:fill="FFFFFF"/>
        </w:rPr>
        <w:t>Fimaa</w:t>
      </w:r>
      <w:r w:rsidRPr="00C27D27">
        <w:rPr>
          <w:rFonts w:asciiTheme="minorHAnsi" w:hAnsiTheme="minorHAnsi" w:cstheme="minorHAnsi"/>
          <w:shd w:val="clear" w:color="auto" w:fill="FFFFFF"/>
        </w:rPr>
        <w:t xml:space="preserve">- </w:t>
      </w:r>
      <w:r w:rsidRPr="00C27D27">
        <w:rPr>
          <w:rFonts w:asciiTheme="minorHAnsi" w:hAnsiTheme="minorHAnsi" w:cstheme="minorHAnsi"/>
          <w:b/>
          <w:shd w:val="clear" w:color="auto" w:fill="FFFFFF"/>
        </w:rPr>
        <w:t xml:space="preserve">Federazione </w:t>
      </w:r>
      <w:r w:rsidR="00D87056">
        <w:rPr>
          <w:rFonts w:asciiTheme="minorHAnsi" w:hAnsiTheme="minorHAnsi" w:cstheme="minorHAnsi"/>
          <w:b/>
          <w:shd w:val="clear" w:color="auto" w:fill="FFFFFF"/>
        </w:rPr>
        <w:t>i</w:t>
      </w:r>
      <w:r w:rsidRPr="00C27D27">
        <w:rPr>
          <w:rFonts w:asciiTheme="minorHAnsi" w:hAnsiTheme="minorHAnsi" w:cstheme="minorHAnsi"/>
          <w:b/>
          <w:shd w:val="clear" w:color="auto" w:fill="FFFFFF"/>
        </w:rPr>
        <w:t xml:space="preserve">taliana </w:t>
      </w:r>
      <w:r w:rsidR="00D87056">
        <w:rPr>
          <w:rFonts w:asciiTheme="minorHAnsi" w:hAnsiTheme="minorHAnsi" w:cstheme="minorHAnsi"/>
          <w:b/>
          <w:shd w:val="clear" w:color="auto" w:fill="FFFFFF"/>
        </w:rPr>
        <w:t>m</w:t>
      </w:r>
      <w:r w:rsidRPr="00C27D27">
        <w:rPr>
          <w:rFonts w:asciiTheme="minorHAnsi" w:hAnsiTheme="minorHAnsi" w:cstheme="minorHAnsi"/>
          <w:b/>
          <w:shd w:val="clear" w:color="auto" w:fill="FFFFFF"/>
        </w:rPr>
        <w:t xml:space="preserve">ediatori </w:t>
      </w:r>
      <w:r w:rsidR="00D87056">
        <w:rPr>
          <w:rFonts w:asciiTheme="minorHAnsi" w:hAnsiTheme="minorHAnsi" w:cstheme="minorHAnsi"/>
          <w:b/>
          <w:shd w:val="clear" w:color="auto" w:fill="FFFFFF"/>
        </w:rPr>
        <w:t>a</w:t>
      </w:r>
      <w:r w:rsidRPr="00C27D27">
        <w:rPr>
          <w:rFonts w:asciiTheme="minorHAnsi" w:hAnsiTheme="minorHAnsi" w:cstheme="minorHAnsi"/>
          <w:b/>
          <w:shd w:val="clear" w:color="auto" w:fill="FFFFFF"/>
        </w:rPr>
        <w:t>genti d’</w:t>
      </w:r>
      <w:r w:rsidR="00D87056">
        <w:rPr>
          <w:rFonts w:asciiTheme="minorHAnsi" w:hAnsiTheme="minorHAnsi" w:cstheme="minorHAnsi"/>
          <w:b/>
          <w:shd w:val="clear" w:color="auto" w:fill="FFFFFF"/>
        </w:rPr>
        <w:t>a</w:t>
      </w:r>
      <w:r w:rsidRPr="00C27D27">
        <w:rPr>
          <w:rFonts w:asciiTheme="minorHAnsi" w:hAnsiTheme="minorHAnsi" w:cstheme="minorHAnsi"/>
          <w:b/>
          <w:shd w:val="clear" w:color="auto" w:fill="FFFFFF"/>
        </w:rPr>
        <w:t>ffari (1</w:t>
      </w:r>
      <w:r w:rsidR="009E53A1">
        <w:rPr>
          <w:rFonts w:asciiTheme="minorHAnsi" w:hAnsiTheme="minorHAnsi" w:cstheme="minorHAnsi"/>
          <w:b/>
          <w:shd w:val="clear" w:color="auto" w:fill="FFFFFF"/>
        </w:rPr>
        <w:t>2</w:t>
      </w:r>
      <w:r w:rsidRPr="00C27D27">
        <w:rPr>
          <w:rFonts w:asciiTheme="minorHAnsi" w:hAnsiTheme="minorHAnsi" w:cstheme="minorHAnsi"/>
          <w:b/>
          <w:shd w:val="clear" w:color="auto" w:fill="FFFFFF"/>
        </w:rPr>
        <w:t xml:space="preserve">mila agenzie immobiliari associate per </w:t>
      </w:r>
      <w:r w:rsidR="00617980">
        <w:rPr>
          <w:rFonts w:asciiTheme="minorHAnsi" w:hAnsiTheme="minorHAnsi" w:cstheme="minorHAnsi"/>
          <w:b/>
          <w:shd w:val="clear" w:color="auto" w:fill="FFFFFF"/>
        </w:rPr>
        <w:t>oltre</w:t>
      </w:r>
      <w:r w:rsidRPr="00C27D27">
        <w:rPr>
          <w:rFonts w:asciiTheme="minorHAnsi" w:hAnsiTheme="minorHAnsi" w:cstheme="minorHAnsi"/>
          <w:b/>
          <w:shd w:val="clear" w:color="auto" w:fill="FFFFFF"/>
        </w:rPr>
        <w:t xml:space="preserve"> 4</w:t>
      </w:r>
      <w:r w:rsidR="009E53A1">
        <w:rPr>
          <w:rFonts w:asciiTheme="minorHAnsi" w:hAnsiTheme="minorHAnsi" w:cstheme="minorHAnsi"/>
          <w:b/>
          <w:shd w:val="clear" w:color="auto" w:fill="FFFFFF"/>
        </w:rPr>
        <w:t>5</w:t>
      </w:r>
      <w:r w:rsidRPr="00C27D27">
        <w:rPr>
          <w:rFonts w:asciiTheme="minorHAnsi" w:hAnsiTheme="minorHAnsi" w:cstheme="minorHAnsi"/>
          <w:b/>
          <w:shd w:val="clear" w:color="auto" w:fill="FFFFFF"/>
        </w:rPr>
        <w:t>mila operatori)</w:t>
      </w:r>
      <w:r w:rsidRPr="00C27D27">
        <w:rPr>
          <w:rFonts w:asciiTheme="minorHAnsi" w:hAnsiTheme="minorHAnsi" w:cstheme="minorHAnsi"/>
          <w:shd w:val="clear" w:color="auto" w:fill="FFFFFF"/>
        </w:rPr>
        <w:t xml:space="preserve">, aderente a </w:t>
      </w:r>
      <w:r w:rsidR="00917152">
        <w:rPr>
          <w:rFonts w:asciiTheme="minorHAnsi" w:hAnsiTheme="minorHAnsi" w:cstheme="minorHAnsi"/>
          <w:b/>
          <w:shd w:val="clear" w:color="auto" w:fill="FFFFFF"/>
        </w:rPr>
        <w:t>Confcommercio-I</w:t>
      </w:r>
      <w:r w:rsidRPr="00C27D27">
        <w:rPr>
          <w:rFonts w:asciiTheme="minorHAnsi" w:hAnsiTheme="minorHAnsi" w:cstheme="minorHAnsi"/>
          <w:b/>
          <w:shd w:val="clear" w:color="auto" w:fill="FFFFFF"/>
        </w:rPr>
        <w:t>mprese per l’Italia</w:t>
      </w:r>
      <w:r w:rsidRPr="00C27D27">
        <w:rPr>
          <w:rFonts w:asciiTheme="minorHAnsi" w:hAnsiTheme="minorHAnsi" w:cstheme="minorHAnsi"/>
          <w:shd w:val="clear" w:color="auto" w:fill="FFFFFF"/>
        </w:rPr>
        <w:t xml:space="preserve">, coordinato da </w:t>
      </w:r>
      <w:r w:rsidRPr="00C27D27">
        <w:rPr>
          <w:rFonts w:asciiTheme="minorHAnsi" w:hAnsiTheme="minorHAnsi" w:cstheme="minorHAnsi"/>
          <w:b/>
          <w:shd w:val="clear" w:color="auto" w:fill="FFFFFF"/>
        </w:rPr>
        <w:t>Andrea Oliva</w:t>
      </w:r>
      <w:r w:rsidRPr="00C27D27">
        <w:rPr>
          <w:rFonts w:asciiTheme="minorHAnsi" w:hAnsiTheme="minorHAnsi" w:cstheme="minorHAnsi"/>
          <w:shd w:val="clear" w:color="auto" w:fill="FFFFFF"/>
        </w:rPr>
        <w:t xml:space="preserve"> (Fimaa) con la direzione scientifica di </w:t>
      </w:r>
      <w:r w:rsidRPr="00C27D27">
        <w:rPr>
          <w:rFonts w:asciiTheme="minorHAnsi" w:hAnsiTheme="minorHAnsi" w:cstheme="minorHAnsi"/>
          <w:b/>
          <w:shd w:val="clear" w:color="auto" w:fill="FFFFFF"/>
        </w:rPr>
        <w:t>Stefano Stanzani</w:t>
      </w:r>
      <w:r w:rsidRPr="00C27D27">
        <w:rPr>
          <w:rFonts w:asciiTheme="minorHAnsi" w:hAnsiTheme="minorHAnsi" w:cstheme="minorHAnsi"/>
          <w:shd w:val="clear" w:color="auto" w:fill="FFFFFF"/>
        </w:rPr>
        <w:t xml:space="preserve"> (Università di Bologna). Le risposte fornite dagli </w:t>
      </w:r>
      <w:r w:rsidRPr="009E7878">
        <w:rPr>
          <w:rFonts w:asciiTheme="minorHAnsi" w:hAnsiTheme="minorHAnsi" w:cstheme="minorHAnsi"/>
          <w:b/>
          <w:shd w:val="clear" w:color="auto" w:fill="FFFFFF"/>
        </w:rPr>
        <w:t xml:space="preserve">operatori </w:t>
      </w:r>
      <w:r w:rsidR="00F82898">
        <w:rPr>
          <w:rFonts w:asciiTheme="minorHAnsi" w:hAnsiTheme="minorHAnsi" w:cstheme="minorHAnsi"/>
          <w:b/>
          <w:shd w:val="clear" w:color="auto" w:fill="FFFFFF"/>
        </w:rPr>
        <w:t>Fimaa</w:t>
      </w:r>
      <w:r w:rsidRPr="00C27D27">
        <w:rPr>
          <w:rFonts w:asciiTheme="minorHAnsi" w:hAnsiTheme="minorHAnsi" w:cstheme="minorHAnsi"/>
          <w:shd w:val="clear" w:color="auto" w:fill="FFFFFF"/>
        </w:rPr>
        <w:t xml:space="preserve"> (attraverso un questionario online) hanno permesso di tracciare un quadro dell’attuale momento di mercato</w:t>
      </w:r>
      <w:r w:rsidR="002E5EBA">
        <w:rPr>
          <w:rFonts w:asciiTheme="minorHAnsi" w:hAnsiTheme="minorHAnsi" w:cstheme="minorHAnsi"/>
          <w:shd w:val="clear" w:color="auto" w:fill="FFFFFF"/>
        </w:rPr>
        <w:t xml:space="preserve"> delle </w:t>
      </w:r>
      <w:r w:rsidR="006D3E34">
        <w:rPr>
          <w:rFonts w:asciiTheme="minorHAnsi" w:hAnsiTheme="minorHAnsi" w:cstheme="minorHAnsi"/>
          <w:shd w:val="clear" w:color="auto" w:fill="FFFFFF"/>
        </w:rPr>
        <w:t xml:space="preserve">compravendite e </w:t>
      </w:r>
      <w:r w:rsidR="002E5EBA">
        <w:rPr>
          <w:rFonts w:asciiTheme="minorHAnsi" w:hAnsiTheme="minorHAnsi" w:cstheme="minorHAnsi"/>
          <w:shd w:val="clear" w:color="auto" w:fill="FFFFFF"/>
        </w:rPr>
        <w:t>de</w:t>
      </w:r>
      <w:r w:rsidR="008B6E66">
        <w:rPr>
          <w:rFonts w:asciiTheme="minorHAnsi" w:hAnsiTheme="minorHAnsi" w:cstheme="minorHAnsi"/>
          <w:shd w:val="clear" w:color="auto" w:fill="FFFFFF"/>
        </w:rPr>
        <w:t xml:space="preserve">lle </w:t>
      </w:r>
      <w:r w:rsidR="006D3E34">
        <w:rPr>
          <w:rFonts w:asciiTheme="minorHAnsi" w:hAnsiTheme="minorHAnsi" w:cstheme="minorHAnsi"/>
          <w:shd w:val="clear" w:color="auto" w:fill="FFFFFF"/>
        </w:rPr>
        <w:t>locazioni,</w:t>
      </w:r>
      <w:r w:rsidRPr="00C27D27">
        <w:rPr>
          <w:rFonts w:asciiTheme="minorHAnsi" w:hAnsiTheme="minorHAnsi" w:cstheme="minorHAnsi"/>
          <w:shd w:val="clear" w:color="auto" w:fill="FFFFFF"/>
        </w:rPr>
        <w:t xml:space="preserve"> suddiviso per </w:t>
      </w:r>
      <w:r w:rsidR="006D3E34" w:rsidRPr="00F84EF8">
        <w:rPr>
          <w:rFonts w:asciiTheme="minorHAnsi" w:hAnsiTheme="minorHAnsi" w:cstheme="minorHAnsi"/>
          <w:b/>
          <w:shd w:val="clear" w:color="auto" w:fill="FFFFFF"/>
        </w:rPr>
        <w:t>capoluoghi di provincia</w:t>
      </w:r>
      <w:r w:rsidR="00BD43B9">
        <w:rPr>
          <w:rFonts w:asciiTheme="minorHAnsi" w:hAnsiTheme="minorHAnsi" w:cstheme="minorHAnsi"/>
          <w:b/>
          <w:shd w:val="clear" w:color="auto" w:fill="FFFFFF"/>
        </w:rPr>
        <w:t xml:space="preserve"> </w:t>
      </w:r>
      <w:r w:rsidRPr="00C27D27">
        <w:rPr>
          <w:rFonts w:asciiTheme="minorHAnsi" w:hAnsiTheme="minorHAnsi" w:cstheme="minorHAnsi"/>
          <w:b/>
          <w:shd w:val="clear" w:color="auto" w:fill="FFFFFF"/>
        </w:rPr>
        <w:t xml:space="preserve">grandi </w:t>
      </w:r>
      <w:r w:rsidRPr="00C27D27">
        <w:rPr>
          <w:rFonts w:asciiTheme="minorHAnsi" w:hAnsiTheme="minorHAnsi" w:cstheme="minorHAnsi"/>
          <w:shd w:val="clear" w:color="auto" w:fill="FFFFFF"/>
        </w:rPr>
        <w:t>(con più</w:t>
      </w:r>
      <w:r w:rsidR="009E53A1">
        <w:rPr>
          <w:rFonts w:asciiTheme="minorHAnsi" w:hAnsiTheme="minorHAnsi" w:cstheme="minorHAnsi"/>
          <w:shd w:val="clear" w:color="auto" w:fill="FFFFFF"/>
        </w:rPr>
        <w:t xml:space="preserve"> di 300mila</w:t>
      </w:r>
      <w:r w:rsidRPr="00C27D27">
        <w:rPr>
          <w:rFonts w:asciiTheme="minorHAnsi" w:hAnsiTheme="minorHAnsi" w:cstheme="minorHAnsi"/>
          <w:shd w:val="clear" w:color="auto" w:fill="FFFFFF"/>
        </w:rPr>
        <w:t xml:space="preserve"> abitanti) </w:t>
      </w:r>
      <w:r w:rsidR="009E53A1">
        <w:rPr>
          <w:rFonts w:asciiTheme="minorHAnsi" w:hAnsiTheme="minorHAnsi" w:cstheme="minorHAnsi"/>
          <w:b/>
          <w:shd w:val="clear" w:color="auto" w:fill="FFFFFF"/>
        </w:rPr>
        <w:t>medi</w:t>
      </w:r>
      <w:r w:rsidR="00BD43B9">
        <w:rPr>
          <w:rFonts w:asciiTheme="minorHAnsi" w:hAnsiTheme="minorHAnsi" w:cstheme="minorHAnsi"/>
          <w:b/>
          <w:shd w:val="clear" w:color="auto" w:fill="FFFFFF"/>
        </w:rPr>
        <w:t xml:space="preserve"> </w:t>
      </w:r>
      <w:r w:rsidRPr="009E53A1">
        <w:rPr>
          <w:rFonts w:asciiTheme="minorHAnsi" w:hAnsiTheme="minorHAnsi" w:cstheme="minorHAnsi"/>
          <w:shd w:val="clear" w:color="auto" w:fill="FFFFFF"/>
        </w:rPr>
        <w:t>(</w:t>
      </w:r>
      <w:r w:rsidRPr="00C27D27">
        <w:rPr>
          <w:rFonts w:asciiTheme="minorHAnsi" w:hAnsiTheme="minorHAnsi" w:cstheme="minorHAnsi"/>
          <w:shd w:val="clear" w:color="auto" w:fill="FFFFFF"/>
        </w:rPr>
        <w:t>con popolazione tra i 100</w:t>
      </w:r>
      <w:r w:rsidR="009E53A1">
        <w:rPr>
          <w:rFonts w:asciiTheme="minorHAnsi" w:hAnsiTheme="minorHAnsi" w:cstheme="minorHAnsi"/>
          <w:shd w:val="clear" w:color="auto" w:fill="FFFFFF"/>
        </w:rPr>
        <w:t>mila</w:t>
      </w:r>
      <w:r w:rsidRPr="00C27D27">
        <w:rPr>
          <w:rFonts w:asciiTheme="minorHAnsi" w:hAnsiTheme="minorHAnsi" w:cstheme="minorHAnsi"/>
          <w:shd w:val="clear" w:color="auto" w:fill="FFFFFF"/>
        </w:rPr>
        <w:t xml:space="preserve"> e 300</w:t>
      </w:r>
      <w:r w:rsidR="009E53A1">
        <w:rPr>
          <w:rFonts w:asciiTheme="minorHAnsi" w:hAnsiTheme="minorHAnsi" w:cstheme="minorHAnsi"/>
          <w:shd w:val="clear" w:color="auto" w:fill="FFFFFF"/>
        </w:rPr>
        <w:t>mila</w:t>
      </w:r>
      <w:r w:rsidRPr="00C27D27">
        <w:rPr>
          <w:rFonts w:asciiTheme="minorHAnsi" w:hAnsiTheme="minorHAnsi" w:cstheme="minorHAnsi"/>
          <w:shd w:val="clear" w:color="auto" w:fill="FFFFFF"/>
        </w:rPr>
        <w:t xml:space="preserve"> abitanti) </w:t>
      </w:r>
      <w:r w:rsidR="006D3E34">
        <w:rPr>
          <w:rFonts w:asciiTheme="minorHAnsi" w:hAnsiTheme="minorHAnsi" w:cstheme="minorHAnsi"/>
          <w:b/>
          <w:shd w:val="clear" w:color="auto" w:fill="FFFFFF"/>
        </w:rPr>
        <w:t>piccoli</w:t>
      </w:r>
      <w:r w:rsidR="00BD43B9">
        <w:rPr>
          <w:rFonts w:asciiTheme="minorHAnsi" w:hAnsiTheme="minorHAnsi" w:cstheme="minorHAnsi"/>
          <w:b/>
          <w:shd w:val="clear" w:color="auto" w:fill="FFFFFF"/>
        </w:rPr>
        <w:t xml:space="preserve"> </w:t>
      </w:r>
      <w:r w:rsidRPr="00C27D27">
        <w:rPr>
          <w:rFonts w:asciiTheme="minorHAnsi" w:hAnsiTheme="minorHAnsi" w:cstheme="minorHAnsi"/>
          <w:shd w:val="clear" w:color="auto" w:fill="FFFFFF"/>
        </w:rPr>
        <w:t>(con popolazione inferiore ai 100</w:t>
      </w:r>
      <w:r w:rsidR="006D3E34">
        <w:rPr>
          <w:rFonts w:asciiTheme="minorHAnsi" w:hAnsiTheme="minorHAnsi" w:cstheme="minorHAnsi"/>
          <w:shd w:val="clear" w:color="auto" w:fill="FFFFFF"/>
        </w:rPr>
        <w:t>mila</w:t>
      </w:r>
      <w:r w:rsidRPr="00C27D27">
        <w:rPr>
          <w:rFonts w:asciiTheme="minorHAnsi" w:hAnsiTheme="minorHAnsi" w:cstheme="minorHAnsi"/>
          <w:shd w:val="clear" w:color="auto" w:fill="FFFFFF"/>
        </w:rPr>
        <w:t xml:space="preserve"> abitanti) e</w:t>
      </w:r>
      <w:r w:rsidR="00DD5F8A">
        <w:rPr>
          <w:rFonts w:asciiTheme="minorHAnsi" w:hAnsiTheme="minorHAnsi" w:cstheme="minorHAnsi"/>
          <w:shd w:val="clear" w:color="auto" w:fill="FFFFFF"/>
        </w:rPr>
        <w:t xml:space="preserve"> relativi </w:t>
      </w:r>
      <w:r w:rsidR="00025BC3">
        <w:rPr>
          <w:rFonts w:asciiTheme="minorHAnsi" w:hAnsiTheme="minorHAnsi" w:cstheme="minorHAnsi"/>
          <w:b/>
          <w:shd w:val="clear" w:color="auto" w:fill="FFFFFF"/>
        </w:rPr>
        <w:t>comuni</w:t>
      </w:r>
      <w:r w:rsidRPr="006D3E34">
        <w:rPr>
          <w:rFonts w:asciiTheme="minorHAnsi" w:hAnsiTheme="minorHAnsi" w:cstheme="minorHAnsi"/>
          <w:b/>
          <w:shd w:val="clear" w:color="auto" w:fill="FFFFFF"/>
        </w:rPr>
        <w:t xml:space="preserve"> non capoluogo di provincia</w:t>
      </w:r>
      <w:r w:rsidRPr="00C27D27">
        <w:rPr>
          <w:rFonts w:asciiTheme="minorHAnsi" w:hAnsiTheme="minorHAnsi" w:cstheme="minorHAnsi"/>
          <w:shd w:val="clear" w:color="auto" w:fill="FFFFFF"/>
        </w:rPr>
        <w:t xml:space="preserve">. L’indagine ha riguardato </w:t>
      </w:r>
      <w:r w:rsidR="005275E0">
        <w:rPr>
          <w:rFonts w:asciiTheme="minorHAnsi" w:hAnsiTheme="minorHAnsi" w:cstheme="minorHAnsi"/>
          <w:b/>
          <w:shd w:val="clear" w:color="auto" w:fill="FFFFFF"/>
        </w:rPr>
        <w:t>71</w:t>
      </w:r>
      <w:r w:rsidRPr="009E7878">
        <w:rPr>
          <w:rFonts w:asciiTheme="minorHAnsi" w:hAnsiTheme="minorHAnsi" w:cstheme="minorHAnsi"/>
          <w:b/>
          <w:shd w:val="clear" w:color="auto" w:fill="FFFFFF"/>
        </w:rPr>
        <w:t xml:space="preserve"> città</w:t>
      </w:r>
      <w:r w:rsidR="001F3F48">
        <w:rPr>
          <w:rFonts w:asciiTheme="minorHAnsi" w:hAnsiTheme="minorHAnsi" w:cstheme="minorHAnsi"/>
          <w:b/>
          <w:shd w:val="clear" w:color="auto" w:fill="FFFFFF"/>
        </w:rPr>
        <w:t xml:space="preserve"> </w:t>
      </w:r>
      <w:r w:rsidR="00B472C3">
        <w:rPr>
          <w:rFonts w:asciiTheme="minorHAnsi" w:hAnsiTheme="minorHAnsi" w:cstheme="minorHAnsi"/>
          <w:shd w:val="clear" w:color="auto" w:fill="FFFFFF"/>
        </w:rPr>
        <w:t>(</w:t>
      </w:r>
      <w:r w:rsidRPr="00C27D27">
        <w:rPr>
          <w:rFonts w:asciiTheme="minorHAnsi" w:hAnsiTheme="minorHAnsi" w:cstheme="minorHAnsi"/>
          <w:shd w:val="clear" w:color="auto" w:fill="FFFFFF"/>
        </w:rPr>
        <w:t>e relativi comuni minori</w:t>
      </w:r>
      <w:r w:rsidR="00B472C3">
        <w:rPr>
          <w:rFonts w:asciiTheme="minorHAnsi" w:hAnsiTheme="minorHAnsi" w:cstheme="minorHAnsi"/>
          <w:shd w:val="clear" w:color="auto" w:fill="FFFFFF"/>
        </w:rPr>
        <w:t>)</w:t>
      </w:r>
      <w:r w:rsidRPr="00C27D27">
        <w:rPr>
          <w:rFonts w:asciiTheme="minorHAnsi" w:hAnsiTheme="minorHAnsi" w:cstheme="minorHAnsi"/>
          <w:shd w:val="clear" w:color="auto" w:fill="FFFFFF"/>
        </w:rPr>
        <w:t>, evidenziando una fase di ripresa del settore</w:t>
      </w:r>
      <w:r w:rsidR="00AC1546">
        <w:rPr>
          <w:rFonts w:asciiTheme="minorHAnsi" w:hAnsiTheme="minorHAnsi" w:cstheme="minorHAnsi"/>
          <w:shd w:val="clear" w:color="auto" w:fill="FFFFFF"/>
        </w:rPr>
        <w:t>,</w:t>
      </w:r>
      <w:r w:rsidRPr="00C27D27">
        <w:rPr>
          <w:rFonts w:asciiTheme="minorHAnsi" w:hAnsiTheme="minorHAnsi" w:cstheme="minorHAnsi"/>
          <w:shd w:val="clear" w:color="auto" w:fill="FFFFFF"/>
        </w:rPr>
        <w:t xml:space="preserve"> con prezzi in fase di stabilizzazione</w:t>
      </w:r>
      <w:r w:rsidR="006D3E34">
        <w:rPr>
          <w:rFonts w:asciiTheme="minorHAnsi" w:hAnsiTheme="minorHAnsi" w:cstheme="minorHAnsi"/>
          <w:shd w:val="clear" w:color="auto" w:fill="FFFFFF"/>
        </w:rPr>
        <w:t xml:space="preserve"> per quanto riguarda le compravendite e in aumento </w:t>
      </w:r>
      <w:r w:rsidR="00562A06">
        <w:rPr>
          <w:rFonts w:asciiTheme="minorHAnsi" w:hAnsiTheme="minorHAnsi" w:cstheme="minorHAnsi"/>
          <w:shd w:val="clear" w:color="auto" w:fill="FFFFFF"/>
        </w:rPr>
        <w:t>per l</w:t>
      </w:r>
      <w:r w:rsidR="006D3E34">
        <w:rPr>
          <w:rFonts w:asciiTheme="minorHAnsi" w:hAnsiTheme="minorHAnsi" w:cstheme="minorHAnsi"/>
          <w:shd w:val="clear" w:color="auto" w:fill="FFFFFF"/>
        </w:rPr>
        <w:t>e locazioni</w:t>
      </w:r>
      <w:r w:rsidRPr="00C27D27">
        <w:rPr>
          <w:rFonts w:asciiTheme="minorHAnsi" w:hAnsiTheme="minorHAnsi" w:cstheme="minorHAnsi"/>
          <w:shd w:val="clear" w:color="auto" w:fill="FFFFFF"/>
        </w:rPr>
        <w:t>.</w:t>
      </w:r>
    </w:p>
    <w:p w:rsidR="006D3E34" w:rsidRPr="00FE17DC" w:rsidRDefault="006D3E34" w:rsidP="00C27D27">
      <w:pPr>
        <w:jc w:val="both"/>
        <w:rPr>
          <w:rFonts w:asciiTheme="minorHAnsi" w:hAnsiTheme="minorHAnsi" w:cstheme="minorHAnsi"/>
          <w:sz w:val="18"/>
          <w:shd w:val="clear" w:color="auto" w:fill="FFFFFF"/>
        </w:rPr>
      </w:pPr>
    </w:p>
    <w:p w:rsidR="00562A06" w:rsidRPr="00C22BBA" w:rsidRDefault="00701001" w:rsidP="00562A06">
      <w:pPr>
        <w:jc w:val="both"/>
        <w:rPr>
          <w:rFonts w:asciiTheme="minorHAnsi" w:hAnsiTheme="minorHAnsi" w:cstheme="minorHAnsi"/>
          <w:shd w:val="clear" w:color="auto" w:fill="FFFFFF"/>
        </w:rPr>
      </w:pPr>
      <w:r>
        <w:rPr>
          <w:rFonts w:asciiTheme="minorHAnsi" w:hAnsiTheme="minorHAnsi" w:cstheme="minorHAnsi"/>
          <w:shd w:val="clear" w:color="auto" w:fill="FFFFFF"/>
        </w:rPr>
        <w:t xml:space="preserve">Il rapporto traccia anche le </w:t>
      </w:r>
      <w:r w:rsidRPr="00CF66C4">
        <w:rPr>
          <w:rFonts w:asciiTheme="minorHAnsi" w:hAnsiTheme="minorHAnsi" w:cstheme="minorHAnsi"/>
          <w:b/>
          <w:shd w:val="clear" w:color="auto" w:fill="FFFFFF"/>
        </w:rPr>
        <w:t xml:space="preserve">previsioni </w:t>
      </w:r>
      <w:r w:rsidR="00FF15E3" w:rsidRPr="00CF66C4">
        <w:rPr>
          <w:rFonts w:asciiTheme="minorHAnsi" w:hAnsiTheme="minorHAnsi" w:cstheme="minorHAnsi"/>
          <w:b/>
          <w:shd w:val="clear" w:color="auto" w:fill="FFFFFF"/>
        </w:rPr>
        <w:t>sul</w:t>
      </w:r>
      <w:r w:rsidRPr="00CF66C4">
        <w:rPr>
          <w:rFonts w:asciiTheme="minorHAnsi" w:hAnsiTheme="minorHAnsi" w:cstheme="minorHAnsi"/>
          <w:b/>
          <w:shd w:val="clear" w:color="auto" w:fill="FFFFFF"/>
        </w:rPr>
        <w:t xml:space="preserve"> mercato</w:t>
      </w:r>
      <w:r w:rsidR="00C455DD">
        <w:rPr>
          <w:rFonts w:asciiTheme="minorHAnsi" w:hAnsiTheme="minorHAnsi" w:cstheme="minorHAnsi"/>
          <w:b/>
          <w:shd w:val="clear" w:color="auto" w:fill="FFFFFF"/>
        </w:rPr>
        <w:t xml:space="preserve"> </w:t>
      </w:r>
      <w:r w:rsidR="005275E0" w:rsidRPr="005275E0">
        <w:rPr>
          <w:rFonts w:asciiTheme="minorHAnsi" w:hAnsiTheme="minorHAnsi" w:cstheme="minorHAnsi"/>
          <w:b/>
          <w:shd w:val="clear" w:color="auto" w:fill="FFFFFF"/>
        </w:rPr>
        <w:t>2020</w:t>
      </w:r>
      <w:r>
        <w:rPr>
          <w:rFonts w:asciiTheme="minorHAnsi" w:hAnsiTheme="minorHAnsi" w:cstheme="minorHAnsi"/>
          <w:shd w:val="clear" w:color="auto" w:fill="FFFFFF"/>
        </w:rPr>
        <w:t xml:space="preserve">. </w:t>
      </w:r>
      <w:r w:rsidR="00F81409" w:rsidRPr="00F81409">
        <w:rPr>
          <w:rFonts w:asciiTheme="minorHAnsi" w:hAnsiTheme="minorHAnsi" w:cstheme="minorHAnsi"/>
          <w:shd w:val="clear" w:color="auto" w:fill="FFFFFF"/>
        </w:rPr>
        <w:t>Secondo gli agenti immobiliari Fimaa interpellati</w:t>
      </w:r>
      <w:r w:rsidR="00FF15E3">
        <w:rPr>
          <w:rFonts w:asciiTheme="minorHAnsi" w:hAnsiTheme="minorHAnsi" w:cstheme="minorHAnsi"/>
          <w:shd w:val="clear" w:color="auto" w:fill="FFFFFF"/>
        </w:rPr>
        <w:t>,</w:t>
      </w:r>
      <w:r w:rsidR="00C455DD">
        <w:rPr>
          <w:rFonts w:asciiTheme="minorHAnsi" w:hAnsiTheme="minorHAnsi" w:cstheme="minorHAnsi"/>
          <w:shd w:val="clear" w:color="auto" w:fill="FFFFFF"/>
        </w:rPr>
        <w:t xml:space="preserve"> </w:t>
      </w:r>
      <w:r w:rsidR="00EB0AF4">
        <w:rPr>
          <w:rFonts w:asciiTheme="minorHAnsi" w:hAnsiTheme="minorHAnsi" w:cstheme="minorHAnsi"/>
          <w:shd w:val="clear" w:color="auto" w:fill="FFFFFF"/>
        </w:rPr>
        <w:t xml:space="preserve">infatti, </w:t>
      </w:r>
      <w:r w:rsidR="001F2C87">
        <w:rPr>
          <w:rFonts w:asciiTheme="minorHAnsi" w:hAnsiTheme="minorHAnsi" w:cstheme="minorHAnsi"/>
          <w:shd w:val="clear" w:color="auto" w:fill="FFFFFF"/>
        </w:rPr>
        <w:t xml:space="preserve">le </w:t>
      </w:r>
      <w:r w:rsidR="00B153E6" w:rsidRPr="00F81409">
        <w:rPr>
          <w:rFonts w:asciiTheme="minorHAnsi" w:hAnsiTheme="minorHAnsi" w:cstheme="minorHAnsi"/>
          <w:b/>
          <w:shd w:val="clear" w:color="auto" w:fill="FFFFFF"/>
        </w:rPr>
        <w:t>compravendite</w:t>
      </w:r>
      <w:r w:rsidR="00B153E6">
        <w:rPr>
          <w:rFonts w:asciiTheme="minorHAnsi" w:hAnsiTheme="minorHAnsi" w:cstheme="minorHAnsi"/>
          <w:b/>
          <w:shd w:val="clear" w:color="auto" w:fill="FFFFFF"/>
        </w:rPr>
        <w:t xml:space="preserve"> </w:t>
      </w:r>
      <w:r w:rsidR="00B153E6">
        <w:rPr>
          <w:rFonts w:asciiTheme="minorHAnsi" w:hAnsiTheme="minorHAnsi" w:cstheme="minorHAnsi"/>
          <w:shd w:val="clear" w:color="auto" w:fill="FFFFFF"/>
        </w:rPr>
        <w:t>continueranno</w:t>
      </w:r>
      <w:r w:rsidR="00C455DD">
        <w:rPr>
          <w:rFonts w:asciiTheme="minorHAnsi" w:hAnsiTheme="minorHAnsi" w:cstheme="minorHAnsi"/>
          <w:shd w:val="clear" w:color="auto" w:fill="FFFFFF"/>
        </w:rPr>
        <w:t xml:space="preserve"> la crescita manifestata nel 2019; Mentre </w:t>
      </w:r>
      <w:r w:rsidR="00C455DD">
        <w:rPr>
          <w:rFonts w:asciiTheme="minorHAnsi" w:hAnsiTheme="minorHAnsi" w:cstheme="minorHAnsi"/>
          <w:b/>
          <w:shd w:val="clear" w:color="auto" w:fill="FFFFFF"/>
        </w:rPr>
        <w:t>prezzi di vendita</w:t>
      </w:r>
      <w:r w:rsidR="001F2C87" w:rsidRPr="00C22BBA">
        <w:rPr>
          <w:rFonts w:asciiTheme="minorHAnsi" w:hAnsiTheme="minorHAnsi" w:cstheme="minorHAnsi"/>
          <w:shd w:val="clear" w:color="auto" w:fill="FFFFFF"/>
        </w:rPr>
        <w:t>,</w:t>
      </w:r>
      <w:r w:rsidR="001F2C87" w:rsidRPr="00C22BBA">
        <w:rPr>
          <w:rFonts w:asciiTheme="minorHAnsi" w:hAnsiTheme="minorHAnsi" w:cstheme="minorHAnsi"/>
          <w:b/>
          <w:shd w:val="clear" w:color="auto" w:fill="FFFFFF"/>
        </w:rPr>
        <w:t xml:space="preserve"> tempi medi di vendita </w:t>
      </w:r>
      <w:r w:rsidR="001F2C87" w:rsidRPr="00C22BBA">
        <w:rPr>
          <w:rFonts w:asciiTheme="minorHAnsi" w:hAnsiTheme="minorHAnsi" w:cstheme="minorHAnsi"/>
          <w:shd w:val="clear" w:color="auto" w:fill="FFFFFF"/>
        </w:rPr>
        <w:t>e</w:t>
      </w:r>
      <w:r w:rsidR="001F2C87" w:rsidRPr="00C22BBA">
        <w:rPr>
          <w:rFonts w:asciiTheme="minorHAnsi" w:hAnsiTheme="minorHAnsi" w:cstheme="minorHAnsi"/>
          <w:b/>
          <w:shd w:val="clear" w:color="auto" w:fill="FFFFFF"/>
        </w:rPr>
        <w:t xml:space="preserve"> sconto sul prezzo </w:t>
      </w:r>
      <w:r w:rsidR="001F2C87" w:rsidRPr="00C22BBA">
        <w:rPr>
          <w:rFonts w:asciiTheme="minorHAnsi" w:hAnsiTheme="minorHAnsi" w:cstheme="minorHAnsi"/>
          <w:shd w:val="clear" w:color="auto" w:fill="FFFFFF"/>
        </w:rPr>
        <w:t xml:space="preserve">saranno </w:t>
      </w:r>
      <w:r w:rsidR="00C455DD">
        <w:rPr>
          <w:rFonts w:asciiTheme="minorHAnsi" w:hAnsiTheme="minorHAnsi" w:cstheme="minorHAnsi"/>
          <w:shd w:val="clear" w:color="auto" w:fill="FFFFFF"/>
        </w:rPr>
        <w:t>stabili</w:t>
      </w:r>
      <w:r w:rsidR="00A97BFC">
        <w:rPr>
          <w:rFonts w:asciiTheme="minorHAnsi" w:hAnsiTheme="minorHAnsi" w:cstheme="minorHAnsi"/>
          <w:shd w:val="clear" w:color="auto" w:fill="FFFFFF"/>
        </w:rPr>
        <w:t>.</w:t>
      </w:r>
      <w:r w:rsidR="00B153E6">
        <w:rPr>
          <w:rFonts w:asciiTheme="minorHAnsi" w:hAnsiTheme="minorHAnsi" w:cstheme="minorHAnsi"/>
          <w:shd w:val="clear" w:color="auto" w:fill="FFFFFF"/>
        </w:rPr>
        <w:t xml:space="preserve"> </w:t>
      </w:r>
      <w:r w:rsidR="009A201E" w:rsidRPr="00C22BBA">
        <w:rPr>
          <w:rFonts w:asciiTheme="minorHAnsi" w:hAnsiTheme="minorHAnsi" w:cstheme="minorHAnsi"/>
          <w:shd w:val="clear" w:color="auto" w:fill="FFFFFF"/>
        </w:rPr>
        <w:t>[</w:t>
      </w:r>
      <w:proofErr w:type="spellStart"/>
      <w:r w:rsidR="009A201E" w:rsidRPr="00C22BBA">
        <w:rPr>
          <w:rFonts w:asciiTheme="minorHAnsi" w:hAnsiTheme="minorHAnsi" w:cstheme="minorHAnsi"/>
          <w:shd w:val="clear" w:color="auto" w:fill="FFFFFF"/>
        </w:rPr>
        <w:t>Tavv</w:t>
      </w:r>
      <w:proofErr w:type="spellEnd"/>
      <w:r w:rsidR="009A201E" w:rsidRPr="00C22BBA">
        <w:rPr>
          <w:rFonts w:asciiTheme="minorHAnsi" w:hAnsiTheme="minorHAnsi" w:cstheme="minorHAnsi"/>
          <w:shd w:val="clear" w:color="auto" w:fill="FFFFFF"/>
        </w:rPr>
        <w:t>. A.6, A.7].</w:t>
      </w:r>
    </w:p>
    <w:p w:rsidR="00562A06" w:rsidRPr="00C22BBA" w:rsidRDefault="00562A06" w:rsidP="00562A06">
      <w:pPr>
        <w:jc w:val="both"/>
        <w:rPr>
          <w:rFonts w:asciiTheme="minorHAnsi" w:hAnsiTheme="minorHAnsi" w:cstheme="minorHAnsi"/>
          <w:sz w:val="16"/>
          <w:shd w:val="clear" w:color="auto" w:fill="FFFFFF"/>
        </w:rPr>
      </w:pPr>
    </w:p>
    <w:p w:rsidR="00562A06" w:rsidRPr="00C22BBA" w:rsidRDefault="00562A06" w:rsidP="00562A06">
      <w:pPr>
        <w:jc w:val="both"/>
        <w:rPr>
          <w:rFonts w:asciiTheme="minorHAnsi" w:hAnsiTheme="minorHAnsi" w:cstheme="minorHAnsi"/>
          <w:shd w:val="clear" w:color="auto" w:fill="FFFFFF"/>
        </w:rPr>
      </w:pPr>
      <w:r w:rsidRPr="00C22BBA">
        <w:rPr>
          <w:rFonts w:asciiTheme="minorHAnsi" w:hAnsiTheme="minorHAnsi" w:cstheme="minorHAnsi"/>
          <w:shd w:val="clear" w:color="auto" w:fill="FFFFFF"/>
        </w:rPr>
        <w:t xml:space="preserve">Per quanto </w:t>
      </w:r>
      <w:r w:rsidR="00B51CB6" w:rsidRPr="00C22BBA">
        <w:rPr>
          <w:rFonts w:asciiTheme="minorHAnsi" w:hAnsiTheme="minorHAnsi" w:cstheme="minorHAnsi"/>
          <w:shd w:val="clear" w:color="auto" w:fill="FFFFFF"/>
        </w:rPr>
        <w:t>concerne</w:t>
      </w:r>
      <w:r w:rsidRPr="00C22BBA">
        <w:rPr>
          <w:rFonts w:asciiTheme="minorHAnsi" w:hAnsiTheme="minorHAnsi" w:cstheme="minorHAnsi"/>
          <w:shd w:val="clear" w:color="auto" w:fill="FFFFFF"/>
        </w:rPr>
        <w:t xml:space="preserve"> le </w:t>
      </w:r>
      <w:r w:rsidRPr="00C22BBA">
        <w:rPr>
          <w:rFonts w:asciiTheme="minorHAnsi" w:hAnsiTheme="minorHAnsi" w:cstheme="minorHAnsi"/>
          <w:b/>
          <w:shd w:val="clear" w:color="auto" w:fill="FFFFFF"/>
        </w:rPr>
        <w:t>locazioni</w:t>
      </w:r>
      <w:r w:rsidR="00FF15E3" w:rsidRPr="00C22BBA">
        <w:rPr>
          <w:rFonts w:asciiTheme="minorHAnsi" w:hAnsiTheme="minorHAnsi" w:cstheme="minorHAnsi"/>
          <w:shd w:val="clear" w:color="auto" w:fill="FFFFFF"/>
        </w:rPr>
        <w:t>, i contratti ordinari saranno in aumento con canoni tendenzialmente stabili. Le locazioni brevi saranno improntate sulla stabilità sia per il numero di contratti sia per i canoni</w:t>
      </w:r>
      <w:r w:rsidR="00A97BFC">
        <w:rPr>
          <w:rFonts w:asciiTheme="minorHAnsi" w:hAnsiTheme="minorHAnsi" w:cstheme="minorHAnsi"/>
          <w:shd w:val="clear" w:color="auto" w:fill="FFFFFF"/>
        </w:rPr>
        <w:t>.</w:t>
      </w:r>
      <w:r w:rsidR="00B153E6">
        <w:rPr>
          <w:rFonts w:asciiTheme="minorHAnsi" w:hAnsiTheme="minorHAnsi" w:cstheme="minorHAnsi"/>
          <w:shd w:val="clear" w:color="auto" w:fill="FFFFFF"/>
        </w:rPr>
        <w:t xml:space="preserve"> </w:t>
      </w:r>
      <w:r w:rsidR="009A201E" w:rsidRPr="00C22BBA">
        <w:rPr>
          <w:rFonts w:asciiTheme="minorHAnsi" w:hAnsiTheme="minorHAnsi" w:cstheme="minorHAnsi"/>
          <w:shd w:val="clear" w:color="auto" w:fill="FFFFFF"/>
        </w:rPr>
        <w:t>[</w:t>
      </w:r>
      <w:proofErr w:type="spellStart"/>
      <w:r w:rsidR="009A201E" w:rsidRPr="00C22BBA">
        <w:rPr>
          <w:rFonts w:asciiTheme="minorHAnsi" w:hAnsiTheme="minorHAnsi" w:cstheme="minorHAnsi"/>
          <w:shd w:val="clear" w:color="auto" w:fill="FFFFFF"/>
        </w:rPr>
        <w:t>Tavv</w:t>
      </w:r>
      <w:proofErr w:type="spellEnd"/>
      <w:r w:rsidR="009A201E" w:rsidRPr="00C22BBA">
        <w:rPr>
          <w:rFonts w:asciiTheme="minorHAnsi" w:hAnsiTheme="minorHAnsi" w:cstheme="minorHAnsi"/>
          <w:shd w:val="clear" w:color="auto" w:fill="FFFFFF"/>
        </w:rPr>
        <w:t>. A.22, A.23].</w:t>
      </w:r>
    </w:p>
    <w:p w:rsidR="00777274" w:rsidRPr="00C22BBA" w:rsidRDefault="00777274" w:rsidP="00562A06">
      <w:pPr>
        <w:jc w:val="both"/>
        <w:rPr>
          <w:rFonts w:asciiTheme="minorHAnsi" w:hAnsiTheme="minorHAnsi" w:cstheme="minorHAnsi"/>
          <w:sz w:val="14"/>
          <w:shd w:val="clear" w:color="auto" w:fill="FFFFFF"/>
        </w:rPr>
      </w:pPr>
    </w:p>
    <w:p w:rsidR="00C65ECD" w:rsidRPr="00C22BBA" w:rsidRDefault="00C65ECD" w:rsidP="00C65ECD">
      <w:pPr>
        <w:jc w:val="both"/>
        <w:rPr>
          <w:rFonts w:asciiTheme="minorHAnsi" w:hAnsiTheme="minorHAnsi" w:cstheme="minorHAnsi"/>
          <w:shd w:val="clear" w:color="auto" w:fill="FFFFFF"/>
        </w:rPr>
      </w:pPr>
      <w:r w:rsidRPr="00C22BBA">
        <w:rPr>
          <w:rFonts w:asciiTheme="minorHAnsi" w:hAnsiTheme="minorHAnsi" w:cstheme="minorHAnsi"/>
          <w:b/>
          <w:shd w:val="clear" w:color="auto" w:fill="FFFFFF"/>
        </w:rPr>
        <w:t xml:space="preserve">Classe energetica. </w:t>
      </w:r>
      <w:r w:rsidR="007B2DAD" w:rsidRPr="00C22BBA">
        <w:rPr>
          <w:rFonts w:asciiTheme="minorHAnsi" w:hAnsiTheme="minorHAnsi" w:cstheme="minorHAnsi"/>
          <w:shd w:val="clear" w:color="auto" w:fill="FFFFFF"/>
        </w:rPr>
        <w:t>Dall</w:t>
      </w:r>
      <w:r w:rsidR="0025775B" w:rsidRPr="00C22BBA">
        <w:rPr>
          <w:rFonts w:asciiTheme="minorHAnsi" w:hAnsiTheme="minorHAnsi" w:cstheme="minorHAnsi"/>
          <w:shd w:val="clear" w:color="auto" w:fill="FFFFFF"/>
        </w:rPr>
        <w:t>e risposte fornite dagli agenti immobiliari</w:t>
      </w:r>
      <w:r w:rsidR="001D52A4" w:rsidRPr="00C22BBA">
        <w:rPr>
          <w:rFonts w:asciiTheme="minorHAnsi" w:hAnsiTheme="minorHAnsi" w:cstheme="minorHAnsi"/>
          <w:shd w:val="clear" w:color="auto" w:fill="FFFFFF"/>
        </w:rPr>
        <w:t xml:space="preserve"> intervistati</w:t>
      </w:r>
      <w:r w:rsidR="00743A58">
        <w:rPr>
          <w:rFonts w:asciiTheme="minorHAnsi" w:hAnsiTheme="minorHAnsi" w:cstheme="minorHAnsi"/>
          <w:shd w:val="clear" w:color="auto" w:fill="FFFFFF"/>
        </w:rPr>
        <w:t xml:space="preserve"> </w:t>
      </w:r>
      <w:r w:rsidR="007B2DAD" w:rsidRPr="00C22BBA">
        <w:rPr>
          <w:rFonts w:asciiTheme="minorHAnsi" w:hAnsiTheme="minorHAnsi" w:cstheme="minorHAnsi"/>
          <w:shd w:val="clear" w:color="auto" w:fill="FFFFFF"/>
        </w:rPr>
        <w:t>emerge che</w:t>
      </w:r>
      <w:r w:rsidRPr="00C22BBA">
        <w:rPr>
          <w:rFonts w:asciiTheme="minorHAnsi" w:hAnsiTheme="minorHAnsi" w:cstheme="minorHAnsi"/>
          <w:shd w:val="clear" w:color="auto" w:fill="FFFFFF"/>
        </w:rPr>
        <w:t xml:space="preserve"> la classe energetica A non sarà determinante nella scelta della casa ideale. Mentre </w:t>
      </w:r>
      <w:r w:rsidR="0025775B" w:rsidRPr="00C22BBA">
        <w:rPr>
          <w:rFonts w:asciiTheme="minorHAnsi" w:hAnsiTheme="minorHAnsi" w:cstheme="minorHAnsi"/>
          <w:shd w:val="clear" w:color="auto" w:fill="FFFFFF"/>
        </w:rPr>
        <w:t>quella</w:t>
      </w:r>
      <w:r w:rsidRPr="00C22BBA">
        <w:rPr>
          <w:rFonts w:asciiTheme="minorHAnsi" w:hAnsiTheme="minorHAnsi" w:cstheme="minorHAnsi"/>
          <w:shd w:val="clear" w:color="auto" w:fill="FFFFFF"/>
        </w:rPr>
        <w:t xml:space="preserve"> superiore a B sarà maggiormente ricercata nelle città del Centro e del Nord Italia (53,1%), seguite da quelle del Sud Italia e Isole (25%)</w:t>
      </w:r>
      <w:r w:rsidR="00A97BFC">
        <w:rPr>
          <w:rFonts w:asciiTheme="minorHAnsi" w:hAnsiTheme="minorHAnsi" w:cstheme="minorHAnsi"/>
          <w:shd w:val="clear" w:color="auto" w:fill="FFFFFF"/>
        </w:rPr>
        <w:t>.</w:t>
      </w:r>
      <w:r w:rsidRPr="00C22BBA">
        <w:rPr>
          <w:rFonts w:asciiTheme="minorHAnsi" w:hAnsiTheme="minorHAnsi" w:cstheme="minorHAnsi"/>
          <w:shd w:val="clear" w:color="auto" w:fill="FFFFFF"/>
        </w:rPr>
        <w:t xml:space="preserve"> [</w:t>
      </w:r>
      <w:r w:rsidR="00C817ED" w:rsidRPr="00C22BBA">
        <w:rPr>
          <w:rFonts w:asciiTheme="minorHAnsi" w:hAnsiTheme="minorHAnsi" w:cstheme="minorHAnsi"/>
          <w:shd w:val="clear" w:color="auto" w:fill="FFFFFF"/>
        </w:rPr>
        <w:t>Tavola</w:t>
      </w:r>
      <w:r w:rsidRPr="00C22BBA">
        <w:rPr>
          <w:rFonts w:asciiTheme="minorHAnsi" w:hAnsiTheme="minorHAnsi" w:cstheme="minorHAnsi"/>
          <w:shd w:val="clear" w:color="auto" w:fill="FFFFFF"/>
        </w:rPr>
        <w:t xml:space="preserve"> A.20].</w:t>
      </w:r>
    </w:p>
    <w:p w:rsidR="00C65ECD" w:rsidRPr="00C22BBA" w:rsidRDefault="00C65ECD" w:rsidP="00C65ECD">
      <w:pPr>
        <w:jc w:val="both"/>
        <w:rPr>
          <w:rFonts w:asciiTheme="minorHAnsi" w:hAnsiTheme="minorHAnsi" w:cstheme="minorHAnsi"/>
          <w:sz w:val="16"/>
          <w:shd w:val="clear" w:color="auto" w:fill="FFFFFF"/>
        </w:rPr>
      </w:pPr>
    </w:p>
    <w:p w:rsidR="00A84333" w:rsidRDefault="00777274" w:rsidP="00777274">
      <w:pPr>
        <w:jc w:val="both"/>
        <w:rPr>
          <w:rFonts w:asciiTheme="minorHAnsi" w:hAnsiTheme="minorHAnsi" w:cstheme="minorHAnsi"/>
          <w:shd w:val="clear" w:color="auto" w:fill="FFFFFF"/>
        </w:rPr>
      </w:pPr>
      <w:r w:rsidRPr="00C22BBA">
        <w:rPr>
          <w:rFonts w:asciiTheme="minorHAnsi" w:hAnsiTheme="minorHAnsi" w:cstheme="minorHAnsi"/>
          <w:b/>
          <w:shd w:val="clear" w:color="auto" w:fill="FFFFFF"/>
        </w:rPr>
        <w:t xml:space="preserve">La casa ideale per il 2020: </w:t>
      </w:r>
      <w:r w:rsidRPr="00C22BBA">
        <w:rPr>
          <w:rFonts w:asciiTheme="minorHAnsi" w:hAnsiTheme="minorHAnsi" w:cstheme="minorHAnsi"/>
          <w:shd w:val="clear" w:color="auto" w:fill="FFFFFF"/>
        </w:rPr>
        <w:t xml:space="preserve">è un appartamento usato abitabile in condominio, ad eccezione del Centro Italia dove è </w:t>
      </w:r>
      <w:r w:rsidR="00D706D0" w:rsidRPr="00C22BBA">
        <w:rPr>
          <w:rFonts w:asciiTheme="minorHAnsi" w:hAnsiTheme="minorHAnsi" w:cstheme="minorHAnsi"/>
          <w:shd w:val="clear" w:color="auto" w:fill="FFFFFF"/>
        </w:rPr>
        <w:t>preferita la casa indipendente [</w:t>
      </w:r>
      <w:proofErr w:type="spellStart"/>
      <w:r w:rsidR="00D706D0" w:rsidRPr="00C22BBA">
        <w:rPr>
          <w:rFonts w:asciiTheme="minorHAnsi" w:hAnsiTheme="minorHAnsi" w:cstheme="minorHAnsi"/>
          <w:shd w:val="clear" w:color="auto" w:fill="FFFFFF"/>
        </w:rPr>
        <w:t>T</w:t>
      </w:r>
      <w:r w:rsidRPr="00C22BBA">
        <w:rPr>
          <w:rFonts w:asciiTheme="minorHAnsi" w:hAnsiTheme="minorHAnsi" w:cstheme="minorHAnsi"/>
          <w:shd w:val="clear" w:color="auto" w:fill="FFFFFF"/>
        </w:rPr>
        <w:t>avv</w:t>
      </w:r>
      <w:proofErr w:type="spellEnd"/>
      <w:r w:rsidRPr="00C22BBA">
        <w:rPr>
          <w:rFonts w:asciiTheme="minorHAnsi" w:hAnsiTheme="minorHAnsi" w:cstheme="minorHAnsi"/>
          <w:shd w:val="clear" w:color="auto" w:fill="FFFFFF"/>
        </w:rPr>
        <w:t>. A.9, A.21</w:t>
      </w:r>
      <w:r w:rsidR="00D706D0" w:rsidRPr="00C22BBA">
        <w:rPr>
          <w:rFonts w:asciiTheme="minorHAnsi" w:hAnsiTheme="minorHAnsi" w:cstheme="minorHAnsi"/>
          <w:shd w:val="clear" w:color="auto" w:fill="FFFFFF"/>
        </w:rPr>
        <w:t>]</w:t>
      </w:r>
      <w:r w:rsidRPr="00C22BBA">
        <w:rPr>
          <w:rFonts w:asciiTheme="minorHAnsi" w:hAnsiTheme="minorHAnsi" w:cstheme="minorHAnsi"/>
          <w:shd w:val="clear" w:color="auto" w:fill="FFFFFF"/>
        </w:rPr>
        <w:t>; è localizzata in centro città (prima scelta tranne nel Centro Italia dove gli sono preferite le zon</w:t>
      </w:r>
      <w:r w:rsidR="00EB0AF4">
        <w:rPr>
          <w:rFonts w:asciiTheme="minorHAnsi" w:hAnsiTheme="minorHAnsi" w:cstheme="minorHAnsi"/>
          <w:shd w:val="clear" w:color="auto" w:fill="FFFFFF"/>
        </w:rPr>
        <w:t>e</w:t>
      </w:r>
      <w:r w:rsidRPr="00C22BBA">
        <w:rPr>
          <w:rFonts w:asciiTheme="minorHAnsi" w:hAnsiTheme="minorHAnsi" w:cstheme="minorHAnsi"/>
          <w:shd w:val="clear" w:color="auto" w:fill="FFFFFF"/>
        </w:rPr>
        <w:t xml:space="preserve"> di pregio) o come seconda scelta in zona di particolare pregio (zona semicentrale nelle città piccole, nel Centro e Sud Italia</w:t>
      </w:r>
      <w:r w:rsidR="00023039" w:rsidRPr="00C22BBA">
        <w:rPr>
          <w:rFonts w:asciiTheme="minorHAnsi" w:hAnsiTheme="minorHAnsi" w:cstheme="minorHAnsi"/>
          <w:shd w:val="clear" w:color="auto" w:fill="FFFFFF"/>
        </w:rPr>
        <w:t xml:space="preserve"> e Isole</w:t>
      </w:r>
      <w:r w:rsidR="00A84333" w:rsidRPr="00C22BBA">
        <w:rPr>
          <w:rFonts w:asciiTheme="minorHAnsi" w:hAnsiTheme="minorHAnsi" w:cstheme="minorHAnsi"/>
          <w:shd w:val="clear" w:color="auto" w:fill="FFFFFF"/>
        </w:rPr>
        <w:t>)</w:t>
      </w:r>
      <w:r w:rsidR="008D7D42">
        <w:rPr>
          <w:rFonts w:asciiTheme="minorHAnsi" w:hAnsiTheme="minorHAnsi" w:cstheme="minorHAnsi"/>
          <w:shd w:val="clear" w:color="auto" w:fill="FFFFFF"/>
        </w:rPr>
        <w:t xml:space="preserve"> </w:t>
      </w:r>
      <w:r w:rsidR="00A84333" w:rsidRPr="00C22BBA">
        <w:rPr>
          <w:rFonts w:asciiTheme="minorHAnsi" w:hAnsiTheme="minorHAnsi" w:cstheme="minorHAnsi"/>
          <w:shd w:val="clear" w:color="auto" w:fill="FFFFFF"/>
        </w:rPr>
        <w:t>[T</w:t>
      </w:r>
      <w:r w:rsidRPr="00C22BBA">
        <w:rPr>
          <w:rFonts w:asciiTheme="minorHAnsi" w:hAnsiTheme="minorHAnsi" w:cstheme="minorHAnsi"/>
          <w:shd w:val="clear" w:color="auto" w:fill="FFFFFF"/>
        </w:rPr>
        <w:t>av. A.8</w:t>
      </w:r>
      <w:r w:rsidR="00A84333" w:rsidRPr="00C22BBA">
        <w:rPr>
          <w:rFonts w:asciiTheme="minorHAnsi" w:hAnsiTheme="minorHAnsi" w:cstheme="minorHAnsi"/>
          <w:shd w:val="clear" w:color="auto" w:fill="FFFFFF"/>
        </w:rPr>
        <w:t>]</w:t>
      </w:r>
      <w:r w:rsidRPr="00C22BBA">
        <w:rPr>
          <w:rFonts w:asciiTheme="minorHAnsi" w:hAnsiTheme="minorHAnsi" w:cstheme="minorHAnsi"/>
          <w:shd w:val="clear" w:color="auto" w:fill="FFFFFF"/>
        </w:rPr>
        <w:t xml:space="preserve">; è al secondo piano o superiore, con ascensore </w:t>
      </w:r>
      <w:r w:rsidR="00D706D0" w:rsidRPr="00C22BBA">
        <w:rPr>
          <w:rFonts w:asciiTheme="minorHAnsi" w:hAnsiTheme="minorHAnsi" w:cstheme="minorHAnsi"/>
          <w:shd w:val="clear" w:color="auto" w:fill="FFFFFF"/>
        </w:rPr>
        <w:t>[</w:t>
      </w:r>
      <w:proofErr w:type="spellStart"/>
      <w:r w:rsidR="00D706D0" w:rsidRPr="00C22BBA">
        <w:rPr>
          <w:rFonts w:asciiTheme="minorHAnsi" w:hAnsiTheme="minorHAnsi" w:cstheme="minorHAnsi"/>
          <w:shd w:val="clear" w:color="auto" w:fill="FFFFFF"/>
        </w:rPr>
        <w:t>T</w:t>
      </w:r>
      <w:r w:rsidRPr="00C22BBA">
        <w:rPr>
          <w:rFonts w:asciiTheme="minorHAnsi" w:hAnsiTheme="minorHAnsi" w:cstheme="minorHAnsi"/>
          <w:shd w:val="clear" w:color="auto" w:fill="FFFFFF"/>
        </w:rPr>
        <w:t>avv</w:t>
      </w:r>
      <w:proofErr w:type="spellEnd"/>
      <w:r w:rsidRPr="00C22BBA">
        <w:rPr>
          <w:rFonts w:asciiTheme="minorHAnsi" w:hAnsiTheme="minorHAnsi" w:cstheme="minorHAnsi"/>
          <w:shd w:val="clear" w:color="auto" w:fill="FFFFFF"/>
        </w:rPr>
        <w:t>. A.15, A.16</w:t>
      </w:r>
      <w:r w:rsidR="00D706D0" w:rsidRPr="00C22BBA">
        <w:rPr>
          <w:rFonts w:asciiTheme="minorHAnsi" w:hAnsiTheme="minorHAnsi" w:cstheme="minorHAnsi"/>
          <w:shd w:val="clear" w:color="auto" w:fill="FFFFFF"/>
        </w:rPr>
        <w:t>]</w:t>
      </w:r>
      <w:r w:rsidRPr="00C22BBA">
        <w:rPr>
          <w:rFonts w:asciiTheme="minorHAnsi" w:hAnsiTheme="minorHAnsi" w:cstheme="minorHAnsi"/>
          <w:shd w:val="clear" w:color="auto" w:fill="FFFFFF"/>
        </w:rPr>
        <w:t xml:space="preserve">; è dotata di riscaldamento autonomo </w:t>
      </w:r>
      <w:r w:rsidR="00A84333" w:rsidRPr="00C22BBA">
        <w:rPr>
          <w:rFonts w:asciiTheme="minorHAnsi" w:hAnsiTheme="minorHAnsi" w:cstheme="minorHAnsi"/>
          <w:shd w:val="clear" w:color="auto" w:fill="FFFFFF"/>
        </w:rPr>
        <w:t>[T</w:t>
      </w:r>
      <w:r w:rsidRPr="00C22BBA">
        <w:rPr>
          <w:rFonts w:asciiTheme="minorHAnsi" w:hAnsiTheme="minorHAnsi" w:cstheme="minorHAnsi"/>
          <w:shd w:val="clear" w:color="auto" w:fill="FFFFFF"/>
        </w:rPr>
        <w:t>av. A.17</w:t>
      </w:r>
      <w:r w:rsidR="00A84333" w:rsidRPr="00C22BBA">
        <w:rPr>
          <w:rFonts w:asciiTheme="minorHAnsi" w:hAnsiTheme="minorHAnsi" w:cstheme="minorHAnsi"/>
          <w:shd w:val="clear" w:color="auto" w:fill="FFFFFF"/>
        </w:rPr>
        <w:t>]</w:t>
      </w:r>
      <w:r w:rsidRPr="00C22BBA">
        <w:rPr>
          <w:rFonts w:asciiTheme="minorHAnsi" w:hAnsiTheme="minorHAnsi" w:cstheme="minorHAnsi"/>
          <w:shd w:val="clear" w:color="auto" w:fill="FFFFFF"/>
        </w:rPr>
        <w:t>; è composta da 3 o 4 locali, 2 bagni e 1 te</w:t>
      </w:r>
      <w:r w:rsidR="00D706D0" w:rsidRPr="00C22BBA">
        <w:rPr>
          <w:rFonts w:asciiTheme="minorHAnsi" w:hAnsiTheme="minorHAnsi" w:cstheme="minorHAnsi"/>
          <w:shd w:val="clear" w:color="auto" w:fill="FFFFFF"/>
        </w:rPr>
        <w:t>rrazzo [</w:t>
      </w:r>
      <w:proofErr w:type="spellStart"/>
      <w:r w:rsidR="00D706D0" w:rsidRPr="00C22BBA">
        <w:rPr>
          <w:rFonts w:asciiTheme="minorHAnsi" w:hAnsiTheme="minorHAnsi" w:cstheme="minorHAnsi"/>
          <w:shd w:val="clear" w:color="auto" w:fill="FFFFFF"/>
        </w:rPr>
        <w:t>T</w:t>
      </w:r>
      <w:r w:rsidRPr="00C22BBA">
        <w:rPr>
          <w:rFonts w:asciiTheme="minorHAnsi" w:hAnsiTheme="minorHAnsi" w:cstheme="minorHAnsi"/>
          <w:shd w:val="clear" w:color="auto" w:fill="FFFFFF"/>
        </w:rPr>
        <w:t>avv</w:t>
      </w:r>
      <w:proofErr w:type="spellEnd"/>
      <w:r w:rsidRPr="00C22BBA">
        <w:rPr>
          <w:rFonts w:asciiTheme="minorHAnsi" w:hAnsiTheme="minorHAnsi" w:cstheme="minorHAnsi"/>
          <w:shd w:val="clear" w:color="auto" w:fill="FFFFFF"/>
        </w:rPr>
        <w:t>. A.11, A.12, A.19</w:t>
      </w:r>
      <w:r w:rsidR="00D706D0" w:rsidRPr="00C22BBA">
        <w:rPr>
          <w:rFonts w:asciiTheme="minorHAnsi" w:hAnsiTheme="minorHAnsi" w:cstheme="minorHAnsi"/>
          <w:shd w:val="clear" w:color="auto" w:fill="FFFFFF"/>
        </w:rPr>
        <w:t>]</w:t>
      </w:r>
      <w:r w:rsidRPr="00C22BBA">
        <w:rPr>
          <w:rFonts w:asciiTheme="minorHAnsi" w:hAnsiTheme="minorHAnsi" w:cstheme="minorHAnsi"/>
          <w:shd w:val="clear" w:color="auto" w:fill="FFFFFF"/>
        </w:rPr>
        <w:t>; è dotata di box auto (garag</w:t>
      </w:r>
      <w:r w:rsidR="00D706D0" w:rsidRPr="00C22BBA">
        <w:rPr>
          <w:rFonts w:asciiTheme="minorHAnsi" w:hAnsiTheme="minorHAnsi" w:cstheme="minorHAnsi"/>
          <w:shd w:val="clear" w:color="auto" w:fill="FFFFFF"/>
        </w:rPr>
        <w:t>e) e di posto auto all’aperto [</w:t>
      </w:r>
      <w:proofErr w:type="spellStart"/>
      <w:r w:rsidR="00D706D0" w:rsidRPr="00C22BBA">
        <w:rPr>
          <w:rFonts w:asciiTheme="minorHAnsi" w:hAnsiTheme="minorHAnsi" w:cstheme="minorHAnsi"/>
          <w:shd w:val="clear" w:color="auto" w:fill="FFFFFF"/>
        </w:rPr>
        <w:t>T</w:t>
      </w:r>
      <w:r w:rsidRPr="00C22BBA">
        <w:rPr>
          <w:rFonts w:asciiTheme="minorHAnsi" w:hAnsiTheme="minorHAnsi" w:cstheme="minorHAnsi"/>
          <w:shd w:val="clear" w:color="auto" w:fill="FFFFFF"/>
        </w:rPr>
        <w:t>avv</w:t>
      </w:r>
      <w:proofErr w:type="spellEnd"/>
      <w:r w:rsidRPr="00C22BBA">
        <w:rPr>
          <w:rFonts w:asciiTheme="minorHAnsi" w:hAnsiTheme="minorHAnsi" w:cstheme="minorHAnsi"/>
          <w:shd w:val="clear" w:color="auto" w:fill="FFFFFF"/>
        </w:rPr>
        <w:t>. A.13, A.14</w:t>
      </w:r>
      <w:r w:rsidR="00D706D0" w:rsidRPr="00C22BBA">
        <w:rPr>
          <w:rFonts w:asciiTheme="minorHAnsi" w:hAnsiTheme="minorHAnsi" w:cstheme="minorHAnsi"/>
          <w:shd w:val="clear" w:color="auto" w:fill="FFFFFF"/>
        </w:rPr>
        <w:t>]</w:t>
      </w:r>
      <w:r w:rsidRPr="00C22BBA">
        <w:rPr>
          <w:rFonts w:asciiTheme="minorHAnsi" w:hAnsiTheme="minorHAnsi" w:cstheme="minorHAnsi"/>
          <w:shd w:val="clear" w:color="auto" w:fill="FFFFFF"/>
        </w:rPr>
        <w:t>; costa tra i 100 e i 200m</w:t>
      </w:r>
      <w:r w:rsidR="00C65ECD" w:rsidRPr="00C22BBA">
        <w:rPr>
          <w:rFonts w:asciiTheme="minorHAnsi" w:hAnsiTheme="minorHAnsi" w:cstheme="minorHAnsi"/>
          <w:shd w:val="clear" w:color="auto" w:fill="FFFFFF"/>
        </w:rPr>
        <w:t xml:space="preserve">ila </w:t>
      </w:r>
      <w:r w:rsidR="00CF66C4" w:rsidRPr="00C22BBA">
        <w:rPr>
          <w:rFonts w:asciiTheme="minorHAnsi" w:hAnsiTheme="minorHAnsi" w:cstheme="minorHAnsi"/>
          <w:shd w:val="clear" w:color="auto" w:fill="FFFFFF"/>
        </w:rPr>
        <w:t>e</w:t>
      </w:r>
      <w:r w:rsidR="00C65ECD" w:rsidRPr="00C22BBA">
        <w:rPr>
          <w:rFonts w:asciiTheme="minorHAnsi" w:hAnsiTheme="minorHAnsi" w:cstheme="minorHAnsi"/>
          <w:shd w:val="clear" w:color="auto" w:fill="FFFFFF"/>
        </w:rPr>
        <w:t xml:space="preserve">uro (tra </w:t>
      </w:r>
      <w:r w:rsidR="00CF66C4" w:rsidRPr="00C22BBA">
        <w:rPr>
          <w:rFonts w:asciiTheme="minorHAnsi" w:hAnsiTheme="minorHAnsi" w:cstheme="minorHAnsi"/>
          <w:shd w:val="clear" w:color="auto" w:fill="FFFFFF"/>
        </w:rPr>
        <w:t xml:space="preserve">i </w:t>
      </w:r>
      <w:r w:rsidR="00C65ECD" w:rsidRPr="00C22BBA">
        <w:rPr>
          <w:rFonts w:asciiTheme="minorHAnsi" w:hAnsiTheme="minorHAnsi" w:cstheme="minorHAnsi"/>
          <w:shd w:val="clear" w:color="auto" w:fill="FFFFFF"/>
        </w:rPr>
        <w:t xml:space="preserve">200 e </w:t>
      </w:r>
      <w:r w:rsidR="00CF66C4" w:rsidRPr="00C22BBA">
        <w:rPr>
          <w:rFonts w:asciiTheme="minorHAnsi" w:hAnsiTheme="minorHAnsi" w:cstheme="minorHAnsi"/>
          <w:shd w:val="clear" w:color="auto" w:fill="FFFFFF"/>
        </w:rPr>
        <w:t xml:space="preserve">i </w:t>
      </w:r>
      <w:r w:rsidR="00C65ECD" w:rsidRPr="00C22BBA">
        <w:rPr>
          <w:rFonts w:asciiTheme="minorHAnsi" w:hAnsiTheme="minorHAnsi" w:cstheme="minorHAnsi"/>
          <w:shd w:val="clear" w:color="auto" w:fill="FFFFFF"/>
        </w:rPr>
        <w:t>400mila e</w:t>
      </w:r>
      <w:r w:rsidRPr="00C22BBA">
        <w:rPr>
          <w:rFonts w:asciiTheme="minorHAnsi" w:hAnsiTheme="minorHAnsi" w:cstheme="minorHAnsi"/>
          <w:shd w:val="clear" w:color="auto" w:fill="FFFFFF"/>
        </w:rPr>
        <w:t>uro nelle grandi città e nel Centro Italia</w:t>
      </w:r>
      <w:r w:rsidR="00A84333" w:rsidRPr="00C22BBA">
        <w:rPr>
          <w:rFonts w:asciiTheme="minorHAnsi" w:hAnsiTheme="minorHAnsi" w:cstheme="minorHAnsi"/>
          <w:shd w:val="clear" w:color="auto" w:fill="FFFFFF"/>
        </w:rPr>
        <w:t xml:space="preserve"> [</w:t>
      </w:r>
      <w:r w:rsidR="00D706D0" w:rsidRPr="00C22BBA">
        <w:rPr>
          <w:rFonts w:asciiTheme="minorHAnsi" w:hAnsiTheme="minorHAnsi" w:cstheme="minorHAnsi"/>
          <w:shd w:val="clear" w:color="auto" w:fill="FFFFFF"/>
        </w:rPr>
        <w:t>T</w:t>
      </w:r>
      <w:r w:rsidRPr="00C22BBA">
        <w:rPr>
          <w:rFonts w:asciiTheme="minorHAnsi" w:hAnsiTheme="minorHAnsi" w:cstheme="minorHAnsi"/>
          <w:shd w:val="clear" w:color="auto" w:fill="FFFFFF"/>
        </w:rPr>
        <w:t>av. A.10</w:t>
      </w:r>
      <w:r w:rsidR="00A84333" w:rsidRPr="00C22BBA">
        <w:rPr>
          <w:rFonts w:asciiTheme="minorHAnsi" w:hAnsiTheme="minorHAnsi" w:cstheme="minorHAnsi"/>
          <w:shd w:val="clear" w:color="auto" w:fill="FFFFFF"/>
        </w:rPr>
        <w:t>]</w:t>
      </w:r>
      <w:r w:rsidRPr="00C22BBA">
        <w:rPr>
          <w:rFonts w:asciiTheme="minorHAnsi" w:hAnsiTheme="minorHAnsi" w:cstheme="minorHAnsi"/>
          <w:shd w:val="clear" w:color="auto" w:fill="FFFFFF"/>
        </w:rPr>
        <w:t>.</w:t>
      </w:r>
    </w:p>
    <w:p w:rsidR="0030682D" w:rsidRPr="00562A06" w:rsidRDefault="0030682D" w:rsidP="0030682D">
      <w:pPr>
        <w:jc w:val="center"/>
        <w:rPr>
          <w:rFonts w:asciiTheme="minorHAnsi" w:hAnsiTheme="minorHAnsi" w:cstheme="minorHAnsi"/>
          <w:shd w:val="clear" w:color="auto" w:fill="FFFFFF"/>
        </w:rPr>
      </w:pPr>
      <w:r>
        <w:rPr>
          <w:rFonts w:asciiTheme="minorHAnsi" w:hAnsiTheme="minorHAnsi" w:cstheme="minorHAnsi"/>
          <w:shd w:val="clear" w:color="auto" w:fill="FFFFFF"/>
        </w:rPr>
        <w:t>***</w:t>
      </w:r>
    </w:p>
    <w:p w:rsidR="00562A06" w:rsidRPr="00206FC8" w:rsidRDefault="00562A06" w:rsidP="00C27D27">
      <w:pPr>
        <w:jc w:val="both"/>
        <w:rPr>
          <w:rFonts w:asciiTheme="minorHAnsi" w:hAnsiTheme="minorHAnsi" w:cstheme="minorHAnsi"/>
          <w:sz w:val="14"/>
          <w:shd w:val="clear" w:color="auto" w:fill="FFFFFF"/>
        </w:rPr>
      </w:pPr>
    </w:p>
    <w:p w:rsidR="00562A06" w:rsidRDefault="00A87B4F" w:rsidP="00C13B6A">
      <w:pPr>
        <w:jc w:val="both"/>
        <w:rPr>
          <w:rFonts w:asciiTheme="minorHAnsi" w:hAnsiTheme="minorHAnsi" w:cstheme="minorHAnsi"/>
          <w:shd w:val="clear" w:color="auto" w:fill="FFFFFF"/>
        </w:rPr>
      </w:pPr>
      <w:r w:rsidRPr="00A87B4F">
        <w:rPr>
          <w:rFonts w:asciiTheme="minorHAnsi" w:hAnsiTheme="minorHAnsi" w:cstheme="minorHAnsi"/>
          <w:b/>
          <w:shd w:val="clear" w:color="auto" w:fill="FFFFFF"/>
        </w:rPr>
        <w:t>Capoluoghi di provincia</w:t>
      </w:r>
      <w:r w:rsidR="00C56959">
        <w:rPr>
          <w:rFonts w:asciiTheme="minorHAnsi" w:hAnsiTheme="minorHAnsi" w:cstheme="minorHAnsi"/>
          <w:b/>
          <w:shd w:val="clear" w:color="auto" w:fill="FFFFFF"/>
        </w:rPr>
        <w:t xml:space="preserve"> grandi</w:t>
      </w:r>
      <w:r w:rsidRPr="00A87B4F">
        <w:rPr>
          <w:rFonts w:asciiTheme="minorHAnsi" w:hAnsiTheme="minorHAnsi" w:cstheme="minorHAnsi"/>
          <w:b/>
          <w:shd w:val="clear" w:color="auto" w:fill="FFFFFF"/>
        </w:rPr>
        <w:t xml:space="preserve">. </w:t>
      </w:r>
      <w:r w:rsidR="00C56959">
        <w:rPr>
          <w:rFonts w:asciiTheme="minorHAnsi" w:hAnsiTheme="minorHAnsi" w:cstheme="minorHAnsi"/>
          <w:shd w:val="clear" w:color="auto" w:fill="FFFFFF"/>
        </w:rPr>
        <w:t>Nel</w:t>
      </w:r>
      <w:r w:rsidR="00E156BA">
        <w:rPr>
          <w:rFonts w:asciiTheme="minorHAnsi" w:hAnsiTheme="minorHAnsi" w:cstheme="minorHAnsi"/>
          <w:shd w:val="clear" w:color="auto" w:fill="FFFFFF"/>
        </w:rPr>
        <w:t xml:space="preserve"> 2019 </w:t>
      </w:r>
      <w:r w:rsidR="00E156BA" w:rsidRPr="00E156BA">
        <w:rPr>
          <w:rFonts w:asciiTheme="minorHAnsi" w:hAnsiTheme="minorHAnsi" w:cstheme="minorHAnsi"/>
          <w:shd w:val="clear" w:color="auto" w:fill="FFFFFF"/>
        </w:rPr>
        <w:t>la crescita</w:t>
      </w:r>
      <w:r w:rsidR="008B143C">
        <w:rPr>
          <w:rFonts w:asciiTheme="minorHAnsi" w:hAnsiTheme="minorHAnsi" w:cstheme="minorHAnsi"/>
          <w:shd w:val="clear" w:color="auto" w:fill="FFFFFF"/>
        </w:rPr>
        <w:t xml:space="preserve"> media</w:t>
      </w:r>
      <w:r w:rsidR="00E156BA" w:rsidRPr="00E156BA">
        <w:rPr>
          <w:rFonts w:asciiTheme="minorHAnsi" w:hAnsiTheme="minorHAnsi" w:cstheme="minorHAnsi"/>
          <w:shd w:val="clear" w:color="auto" w:fill="FFFFFF"/>
        </w:rPr>
        <w:t xml:space="preserve"> delle </w:t>
      </w:r>
      <w:r w:rsidR="00E156BA" w:rsidRPr="00E4000E">
        <w:rPr>
          <w:rFonts w:asciiTheme="minorHAnsi" w:hAnsiTheme="minorHAnsi" w:cstheme="minorHAnsi"/>
          <w:b/>
          <w:shd w:val="clear" w:color="auto" w:fill="FFFFFF"/>
        </w:rPr>
        <w:t>compravendite</w:t>
      </w:r>
      <w:r w:rsidR="00E156BA" w:rsidRPr="00E156BA">
        <w:rPr>
          <w:rFonts w:asciiTheme="minorHAnsi" w:hAnsiTheme="minorHAnsi" w:cstheme="minorHAnsi"/>
          <w:shd w:val="clear" w:color="auto" w:fill="FFFFFF"/>
        </w:rPr>
        <w:t xml:space="preserve"> nelle </w:t>
      </w:r>
      <w:r w:rsidR="00971E1F">
        <w:rPr>
          <w:rFonts w:asciiTheme="minorHAnsi" w:hAnsiTheme="minorHAnsi" w:cstheme="minorHAnsi"/>
          <w:shd w:val="clear" w:color="auto" w:fill="FFFFFF"/>
        </w:rPr>
        <w:t>10</w:t>
      </w:r>
      <w:r w:rsidR="00FA0974">
        <w:rPr>
          <w:rFonts w:asciiTheme="minorHAnsi" w:hAnsiTheme="minorHAnsi" w:cstheme="minorHAnsi"/>
          <w:shd w:val="clear" w:color="auto" w:fill="FFFFFF"/>
        </w:rPr>
        <w:t xml:space="preserve"> </w:t>
      </w:r>
      <w:r w:rsidR="00E156BA" w:rsidRPr="00E156BA">
        <w:rPr>
          <w:rFonts w:asciiTheme="minorHAnsi" w:hAnsiTheme="minorHAnsi" w:cstheme="minorHAnsi"/>
          <w:shd w:val="clear" w:color="auto" w:fill="FFFFFF"/>
        </w:rPr>
        <w:t xml:space="preserve">città </w:t>
      </w:r>
      <w:r w:rsidR="00E4000E">
        <w:rPr>
          <w:rFonts w:asciiTheme="minorHAnsi" w:hAnsiTheme="minorHAnsi" w:cstheme="minorHAnsi"/>
          <w:shd w:val="clear" w:color="auto" w:fill="FFFFFF"/>
        </w:rPr>
        <w:t>capoluog</w:t>
      </w:r>
      <w:r w:rsidR="00EB0AF4">
        <w:rPr>
          <w:rFonts w:asciiTheme="minorHAnsi" w:hAnsiTheme="minorHAnsi" w:cstheme="minorHAnsi"/>
          <w:shd w:val="clear" w:color="auto" w:fill="FFFFFF"/>
        </w:rPr>
        <w:t>o</w:t>
      </w:r>
      <w:r w:rsidR="00E4000E">
        <w:rPr>
          <w:rFonts w:asciiTheme="minorHAnsi" w:hAnsiTheme="minorHAnsi" w:cstheme="minorHAnsi"/>
          <w:shd w:val="clear" w:color="auto" w:fill="FFFFFF"/>
        </w:rPr>
        <w:t xml:space="preserve"> di provincia </w:t>
      </w:r>
      <w:r w:rsidR="00971E1F">
        <w:rPr>
          <w:rFonts w:asciiTheme="minorHAnsi" w:hAnsiTheme="minorHAnsi" w:cstheme="minorHAnsi"/>
          <w:shd w:val="clear" w:color="auto" w:fill="FFFFFF"/>
        </w:rPr>
        <w:t xml:space="preserve">(sopra i 300mila abitanti) </w:t>
      </w:r>
      <w:r w:rsidR="00E156BA" w:rsidRPr="00E156BA">
        <w:rPr>
          <w:rFonts w:asciiTheme="minorHAnsi" w:hAnsiTheme="minorHAnsi" w:cstheme="minorHAnsi"/>
          <w:shd w:val="clear" w:color="auto" w:fill="FFFFFF"/>
        </w:rPr>
        <w:t>monitorate</w:t>
      </w:r>
      <w:r w:rsidR="00E156BA">
        <w:rPr>
          <w:rFonts w:asciiTheme="minorHAnsi" w:hAnsiTheme="minorHAnsi" w:cstheme="minorHAnsi"/>
          <w:shd w:val="clear" w:color="auto" w:fill="FFFFFF"/>
        </w:rPr>
        <w:t xml:space="preserve"> di </w:t>
      </w:r>
      <w:r w:rsidR="00C13B6A" w:rsidRPr="00C13B6A">
        <w:rPr>
          <w:rFonts w:asciiTheme="minorHAnsi" w:hAnsiTheme="minorHAnsi" w:cstheme="minorHAnsi"/>
          <w:b/>
          <w:shd w:val="clear" w:color="auto" w:fill="FFFFFF"/>
        </w:rPr>
        <w:t>Bari</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t>Bologna</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t>Catania</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lastRenderedPageBreak/>
        <w:t>Firenze</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t>Genova</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t>Milano</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t>Napoli</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t>Palermo</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t>Roma</w:t>
      </w:r>
      <w:r w:rsidR="00C13B6A">
        <w:rPr>
          <w:rFonts w:asciiTheme="minorHAnsi" w:hAnsiTheme="minorHAnsi" w:cstheme="minorHAnsi"/>
          <w:b/>
          <w:shd w:val="clear" w:color="auto" w:fill="FFFFFF"/>
        </w:rPr>
        <w:t xml:space="preserve"> - </w:t>
      </w:r>
      <w:r w:rsidR="00C13B6A" w:rsidRPr="00C13B6A">
        <w:rPr>
          <w:rFonts w:asciiTheme="minorHAnsi" w:hAnsiTheme="minorHAnsi" w:cstheme="minorHAnsi"/>
          <w:b/>
          <w:shd w:val="clear" w:color="auto" w:fill="FFFFFF"/>
        </w:rPr>
        <w:t>Torino</w:t>
      </w:r>
      <w:r w:rsidR="00E156BA">
        <w:rPr>
          <w:rFonts w:asciiTheme="minorHAnsi" w:hAnsiTheme="minorHAnsi" w:cstheme="minorHAnsi"/>
          <w:shd w:val="clear" w:color="auto" w:fill="FFFFFF"/>
        </w:rPr>
        <w:t xml:space="preserve"> è pari al </w:t>
      </w:r>
      <w:r w:rsidR="00E156BA" w:rsidRPr="00E156BA">
        <w:rPr>
          <w:rFonts w:asciiTheme="minorHAnsi" w:hAnsiTheme="minorHAnsi" w:cstheme="minorHAnsi"/>
          <w:b/>
          <w:shd w:val="clear" w:color="auto" w:fill="FFFFFF"/>
        </w:rPr>
        <w:t>4,</w:t>
      </w:r>
      <w:r w:rsidR="00C13B6A">
        <w:rPr>
          <w:rFonts w:asciiTheme="minorHAnsi" w:hAnsiTheme="minorHAnsi" w:cstheme="minorHAnsi"/>
          <w:b/>
          <w:shd w:val="clear" w:color="auto" w:fill="FFFFFF"/>
        </w:rPr>
        <w:t>1</w:t>
      </w:r>
      <w:r w:rsidR="00E156BA" w:rsidRPr="00E156BA">
        <w:rPr>
          <w:rFonts w:asciiTheme="minorHAnsi" w:hAnsiTheme="minorHAnsi" w:cstheme="minorHAnsi"/>
          <w:b/>
          <w:shd w:val="clear" w:color="auto" w:fill="FFFFFF"/>
        </w:rPr>
        <w:t>%</w:t>
      </w:r>
      <w:r w:rsidR="00E156BA">
        <w:rPr>
          <w:rFonts w:asciiTheme="minorHAnsi" w:hAnsiTheme="minorHAnsi" w:cstheme="minorHAnsi"/>
          <w:shd w:val="clear" w:color="auto" w:fill="FFFFFF"/>
        </w:rPr>
        <w:t xml:space="preserve"> rispetto al 2018, con prezzi medi che </w:t>
      </w:r>
      <w:r w:rsidR="00E4000E">
        <w:rPr>
          <w:rFonts w:asciiTheme="minorHAnsi" w:hAnsiTheme="minorHAnsi" w:cstheme="minorHAnsi"/>
          <w:shd w:val="clear" w:color="auto" w:fill="FFFFFF"/>
        </w:rPr>
        <w:t xml:space="preserve">segnano ancora un </w:t>
      </w:r>
      <w:r w:rsidR="00E156BA">
        <w:rPr>
          <w:rFonts w:asciiTheme="minorHAnsi" w:hAnsiTheme="minorHAnsi" w:cstheme="minorHAnsi"/>
          <w:shd w:val="clear" w:color="auto" w:fill="FFFFFF"/>
        </w:rPr>
        <w:t>calo (</w:t>
      </w:r>
      <w:r w:rsidR="00E156BA" w:rsidRPr="00E156BA">
        <w:rPr>
          <w:rFonts w:asciiTheme="minorHAnsi" w:hAnsiTheme="minorHAnsi" w:cstheme="minorHAnsi"/>
          <w:b/>
          <w:shd w:val="clear" w:color="auto" w:fill="FFFFFF"/>
        </w:rPr>
        <w:t>-0,</w:t>
      </w:r>
      <w:r w:rsidR="00C13B6A">
        <w:rPr>
          <w:rFonts w:asciiTheme="minorHAnsi" w:hAnsiTheme="minorHAnsi" w:cstheme="minorHAnsi"/>
          <w:b/>
          <w:shd w:val="clear" w:color="auto" w:fill="FFFFFF"/>
        </w:rPr>
        <w:t>2</w:t>
      </w:r>
      <w:r w:rsidR="00E156BA" w:rsidRPr="00E156BA">
        <w:rPr>
          <w:rFonts w:asciiTheme="minorHAnsi" w:hAnsiTheme="minorHAnsi" w:cstheme="minorHAnsi"/>
          <w:b/>
          <w:shd w:val="clear" w:color="auto" w:fill="FFFFFF"/>
        </w:rPr>
        <w:t>%</w:t>
      </w:r>
      <w:r w:rsidR="00E156BA">
        <w:rPr>
          <w:rFonts w:asciiTheme="minorHAnsi" w:hAnsiTheme="minorHAnsi" w:cstheme="minorHAnsi"/>
          <w:shd w:val="clear" w:color="auto" w:fill="FFFFFF"/>
        </w:rPr>
        <w:t>), anche se leggero.</w:t>
      </w:r>
      <w:r w:rsidR="00FF1BD6">
        <w:rPr>
          <w:rFonts w:asciiTheme="minorHAnsi" w:hAnsiTheme="minorHAnsi" w:cstheme="minorHAnsi"/>
          <w:shd w:val="clear" w:color="auto" w:fill="FFFFFF"/>
        </w:rPr>
        <w:t xml:space="preserve"> </w:t>
      </w:r>
      <w:r w:rsidR="001C41B2">
        <w:rPr>
          <w:rFonts w:asciiTheme="minorHAnsi" w:hAnsiTheme="minorHAnsi" w:cstheme="minorHAnsi"/>
          <w:shd w:val="clear" w:color="auto" w:fill="FFFFFF"/>
        </w:rPr>
        <w:t xml:space="preserve">[Tavola </w:t>
      </w:r>
      <w:r w:rsidR="00C13B6A">
        <w:rPr>
          <w:rFonts w:asciiTheme="minorHAnsi" w:hAnsiTheme="minorHAnsi" w:cstheme="minorHAnsi"/>
          <w:shd w:val="clear" w:color="auto" w:fill="FFFFFF"/>
        </w:rPr>
        <w:t>A.</w:t>
      </w:r>
      <w:r w:rsidR="001C41B2">
        <w:rPr>
          <w:rFonts w:asciiTheme="minorHAnsi" w:hAnsiTheme="minorHAnsi" w:cstheme="minorHAnsi"/>
          <w:shd w:val="clear" w:color="auto" w:fill="FFFFFF"/>
        </w:rPr>
        <w:t>1]</w:t>
      </w:r>
      <w:r w:rsidR="00AD1D5E">
        <w:rPr>
          <w:rFonts w:asciiTheme="minorHAnsi" w:hAnsiTheme="minorHAnsi" w:cstheme="minorHAnsi"/>
          <w:shd w:val="clear" w:color="auto" w:fill="FFFFFF"/>
        </w:rPr>
        <w:t>.</w:t>
      </w:r>
    </w:p>
    <w:p w:rsidR="00E80AAA" w:rsidRPr="00517ABC" w:rsidRDefault="00E80AAA" w:rsidP="00C13B6A">
      <w:pPr>
        <w:jc w:val="both"/>
        <w:rPr>
          <w:rFonts w:asciiTheme="minorHAnsi" w:hAnsiTheme="minorHAnsi" w:cstheme="minorHAnsi"/>
          <w:sz w:val="16"/>
          <w:shd w:val="clear" w:color="auto" w:fill="FFFFFF"/>
        </w:rPr>
      </w:pPr>
    </w:p>
    <w:p w:rsidR="00E80AAA" w:rsidRDefault="00E80AAA" w:rsidP="00E80AAA">
      <w:pPr>
        <w:jc w:val="both"/>
        <w:rPr>
          <w:rFonts w:asciiTheme="minorHAnsi" w:hAnsiTheme="minorHAnsi" w:cstheme="minorHAnsi"/>
          <w:shd w:val="clear" w:color="auto" w:fill="FFFFFF"/>
        </w:rPr>
      </w:pPr>
      <w:r>
        <w:rPr>
          <w:rFonts w:asciiTheme="minorHAnsi" w:hAnsiTheme="minorHAnsi" w:cstheme="minorHAnsi"/>
          <w:shd w:val="clear" w:color="auto" w:fill="FFFFFF"/>
        </w:rPr>
        <w:t xml:space="preserve">La quota media di scambi di appartamenti nuovi sul totale è pari al 6,1% del totale delle vendite. </w:t>
      </w:r>
      <w:r w:rsidR="003A3A5F">
        <w:rPr>
          <w:rFonts w:asciiTheme="minorHAnsi" w:hAnsiTheme="minorHAnsi" w:cstheme="minorHAnsi"/>
          <w:shd w:val="clear" w:color="auto" w:fill="FFFFFF"/>
        </w:rPr>
        <w:t>[Figura A.1].</w:t>
      </w:r>
    </w:p>
    <w:p w:rsidR="00163B57" w:rsidRPr="00517ABC" w:rsidRDefault="00163B57" w:rsidP="00C27D27">
      <w:pPr>
        <w:jc w:val="both"/>
        <w:rPr>
          <w:rFonts w:asciiTheme="minorHAnsi" w:hAnsiTheme="minorHAnsi" w:cstheme="minorHAnsi"/>
          <w:sz w:val="12"/>
          <w:shd w:val="clear" w:color="auto" w:fill="FFFFFF"/>
        </w:rPr>
      </w:pPr>
    </w:p>
    <w:p w:rsidR="00163B57" w:rsidRPr="00664D55" w:rsidRDefault="00EE243C" w:rsidP="00163B57">
      <w:pPr>
        <w:jc w:val="both"/>
        <w:rPr>
          <w:rFonts w:asciiTheme="minorHAnsi" w:hAnsiTheme="minorHAnsi" w:cstheme="minorHAnsi"/>
          <w:shd w:val="clear" w:color="auto" w:fill="FFFFFF"/>
        </w:rPr>
      </w:pPr>
      <w:r>
        <w:rPr>
          <w:rFonts w:asciiTheme="minorHAnsi" w:hAnsiTheme="minorHAnsi" w:cstheme="minorHAnsi"/>
          <w:shd w:val="clear" w:color="auto" w:fill="FFFFFF"/>
        </w:rPr>
        <w:t>O</w:t>
      </w:r>
      <w:r w:rsidR="000F7EFD">
        <w:rPr>
          <w:rFonts w:asciiTheme="minorHAnsi" w:hAnsiTheme="minorHAnsi" w:cstheme="minorHAnsi"/>
          <w:shd w:val="clear" w:color="auto" w:fill="FFFFFF"/>
        </w:rPr>
        <w:t xml:space="preserve">ccorrono quasi sei mesi per </w:t>
      </w:r>
      <w:r w:rsidR="00664D55">
        <w:rPr>
          <w:rFonts w:asciiTheme="minorHAnsi" w:hAnsiTheme="minorHAnsi" w:cstheme="minorHAnsi"/>
          <w:shd w:val="clear" w:color="auto" w:fill="FFFFFF"/>
        </w:rPr>
        <w:t>trovare la casa ideale</w:t>
      </w:r>
      <w:r>
        <w:rPr>
          <w:rFonts w:asciiTheme="minorHAnsi" w:hAnsiTheme="minorHAnsi" w:cstheme="minorHAnsi"/>
          <w:shd w:val="clear" w:color="auto" w:fill="FFFFFF"/>
        </w:rPr>
        <w:t xml:space="preserve">, con uno </w:t>
      </w:r>
      <w:r>
        <w:rPr>
          <w:rFonts w:asciiTheme="minorHAnsi" w:hAnsiTheme="minorHAnsi" w:cstheme="minorHAnsi"/>
          <w:b/>
          <w:shd w:val="clear" w:color="auto" w:fill="FFFFFF"/>
        </w:rPr>
        <w:t>sconto</w:t>
      </w:r>
      <w:r w:rsidRPr="00E4000E">
        <w:rPr>
          <w:rFonts w:asciiTheme="minorHAnsi" w:hAnsiTheme="minorHAnsi" w:cstheme="minorHAnsi"/>
          <w:shd w:val="clear" w:color="auto" w:fill="FFFFFF"/>
        </w:rPr>
        <w:t xml:space="preserve"> medi</w:t>
      </w:r>
      <w:r>
        <w:rPr>
          <w:rFonts w:asciiTheme="minorHAnsi" w:hAnsiTheme="minorHAnsi" w:cstheme="minorHAnsi"/>
          <w:shd w:val="clear" w:color="auto" w:fill="FFFFFF"/>
        </w:rPr>
        <w:t xml:space="preserve">o sul </w:t>
      </w:r>
      <w:r w:rsidRPr="00E4000E">
        <w:rPr>
          <w:rFonts w:asciiTheme="minorHAnsi" w:hAnsiTheme="minorHAnsi" w:cstheme="minorHAnsi"/>
          <w:shd w:val="clear" w:color="auto" w:fill="FFFFFF"/>
        </w:rPr>
        <w:t>prezz</w:t>
      </w:r>
      <w:r>
        <w:rPr>
          <w:rFonts w:asciiTheme="minorHAnsi" w:hAnsiTheme="minorHAnsi" w:cstheme="minorHAnsi"/>
          <w:shd w:val="clear" w:color="auto" w:fill="FFFFFF"/>
        </w:rPr>
        <w:t>o di vendita pari al 9,6%</w:t>
      </w:r>
      <w:r w:rsidR="00664D55">
        <w:rPr>
          <w:rFonts w:asciiTheme="minorHAnsi" w:hAnsiTheme="minorHAnsi" w:cstheme="minorHAnsi"/>
          <w:shd w:val="clear" w:color="auto" w:fill="FFFFFF"/>
        </w:rPr>
        <w:t>. [Tavola A. 1].</w:t>
      </w:r>
    </w:p>
    <w:p w:rsidR="00163B57" w:rsidRPr="006502FB" w:rsidRDefault="00163B57" w:rsidP="00C27D27">
      <w:pPr>
        <w:jc w:val="both"/>
        <w:rPr>
          <w:rFonts w:asciiTheme="minorHAnsi" w:hAnsiTheme="minorHAnsi" w:cstheme="minorHAnsi"/>
          <w:sz w:val="16"/>
          <w:shd w:val="clear" w:color="auto" w:fill="FFFFFF"/>
        </w:rPr>
      </w:pPr>
    </w:p>
    <w:p w:rsidR="00CF66C4" w:rsidRDefault="00664D55" w:rsidP="00CF66C4">
      <w:pPr>
        <w:jc w:val="both"/>
        <w:rPr>
          <w:rFonts w:asciiTheme="minorHAnsi" w:hAnsiTheme="minorHAnsi" w:cstheme="minorHAnsi"/>
          <w:shd w:val="clear" w:color="auto" w:fill="FFFFFF"/>
        </w:rPr>
      </w:pPr>
      <w:r w:rsidRPr="00CF66C4">
        <w:rPr>
          <w:rFonts w:asciiTheme="minorHAnsi" w:hAnsiTheme="minorHAnsi" w:cstheme="minorHAnsi"/>
          <w:b/>
          <w:shd w:val="clear" w:color="auto" w:fill="FFFFFF"/>
        </w:rPr>
        <w:t>Locazioni.</w:t>
      </w:r>
      <w:r w:rsidR="00FA0974">
        <w:rPr>
          <w:rFonts w:asciiTheme="minorHAnsi" w:hAnsiTheme="minorHAnsi" w:cstheme="minorHAnsi"/>
          <w:b/>
          <w:shd w:val="clear" w:color="auto" w:fill="FFFFFF"/>
        </w:rPr>
        <w:t xml:space="preserve"> </w:t>
      </w:r>
      <w:r w:rsidR="00CF66C4">
        <w:rPr>
          <w:rFonts w:asciiTheme="minorHAnsi" w:hAnsiTheme="minorHAnsi" w:cstheme="minorHAnsi"/>
          <w:shd w:val="clear" w:color="auto" w:fill="FFFFFF"/>
        </w:rPr>
        <w:t xml:space="preserve">Nelle 10 grandi città monitorate, i nuovi contratti ordinari sono cresciuti del 2% mentre le locazioni brevi (inferiori a 30 giorni) sono cresciute del 3,3%. I canoni </w:t>
      </w:r>
      <w:r w:rsidR="009149F0">
        <w:rPr>
          <w:rFonts w:asciiTheme="minorHAnsi" w:hAnsiTheme="minorHAnsi" w:cstheme="minorHAnsi"/>
          <w:shd w:val="clear" w:color="auto" w:fill="FFFFFF"/>
        </w:rPr>
        <w:t xml:space="preserve">medi </w:t>
      </w:r>
      <w:r w:rsidR="00CF66C4">
        <w:rPr>
          <w:rFonts w:asciiTheme="minorHAnsi" w:hAnsiTheme="minorHAnsi" w:cstheme="minorHAnsi"/>
          <w:shd w:val="clear" w:color="auto" w:fill="FFFFFF"/>
        </w:rPr>
        <w:t xml:space="preserve">ordinari </w:t>
      </w:r>
      <w:r w:rsidR="00DC1093">
        <w:rPr>
          <w:rFonts w:asciiTheme="minorHAnsi" w:hAnsiTheme="minorHAnsi" w:cstheme="minorHAnsi"/>
          <w:shd w:val="clear" w:color="auto" w:fill="FFFFFF"/>
        </w:rPr>
        <w:t xml:space="preserve">sono aumentati dell’1,6%, mentre </w:t>
      </w:r>
      <w:r w:rsidR="00CF66C4">
        <w:rPr>
          <w:rFonts w:asciiTheme="minorHAnsi" w:hAnsiTheme="minorHAnsi" w:cstheme="minorHAnsi"/>
          <w:shd w:val="clear" w:color="auto" w:fill="FFFFFF"/>
        </w:rPr>
        <w:t xml:space="preserve">le locazioni brevi segnano un </w:t>
      </w:r>
      <w:r w:rsidR="00DC1093">
        <w:rPr>
          <w:rFonts w:asciiTheme="minorHAnsi" w:hAnsiTheme="minorHAnsi" w:cstheme="minorHAnsi"/>
          <w:shd w:val="clear" w:color="auto" w:fill="FFFFFF"/>
        </w:rPr>
        <w:t>+</w:t>
      </w:r>
      <w:r w:rsidR="00CF66C4">
        <w:rPr>
          <w:rFonts w:asciiTheme="minorHAnsi" w:hAnsiTheme="minorHAnsi" w:cstheme="minorHAnsi"/>
          <w:shd w:val="clear" w:color="auto" w:fill="FFFFFF"/>
        </w:rPr>
        <w:t>1,3%</w:t>
      </w:r>
      <w:r w:rsidR="009149F0">
        <w:rPr>
          <w:rFonts w:asciiTheme="minorHAnsi" w:hAnsiTheme="minorHAnsi" w:cstheme="minorHAnsi"/>
          <w:shd w:val="clear" w:color="auto" w:fill="FFFFFF"/>
        </w:rPr>
        <w:t xml:space="preserve"> rispetto al 2018, con le città del Nord che raggiungono aumenti del</w:t>
      </w:r>
      <w:r w:rsidR="008F07D7">
        <w:rPr>
          <w:rFonts w:asciiTheme="minorHAnsi" w:hAnsiTheme="minorHAnsi" w:cstheme="minorHAnsi"/>
          <w:shd w:val="clear" w:color="auto" w:fill="FFFFFF"/>
        </w:rPr>
        <w:t>l’</w:t>
      </w:r>
      <w:r w:rsidR="009149F0">
        <w:rPr>
          <w:rFonts w:asciiTheme="minorHAnsi" w:hAnsiTheme="minorHAnsi" w:cstheme="minorHAnsi"/>
          <w:shd w:val="clear" w:color="auto" w:fill="FFFFFF"/>
        </w:rPr>
        <w:t>1,5% per i canoni ordinari, mentre quelle del Sud Italia e Isole del</w:t>
      </w:r>
      <w:r w:rsidR="00991E7C">
        <w:rPr>
          <w:rFonts w:asciiTheme="minorHAnsi" w:hAnsiTheme="minorHAnsi" w:cstheme="minorHAnsi"/>
          <w:shd w:val="clear" w:color="auto" w:fill="FFFFFF"/>
        </w:rPr>
        <w:t>l’</w:t>
      </w:r>
      <w:r w:rsidR="009149F0">
        <w:rPr>
          <w:rFonts w:asciiTheme="minorHAnsi" w:hAnsiTheme="minorHAnsi" w:cstheme="minorHAnsi"/>
          <w:shd w:val="clear" w:color="auto" w:fill="FFFFFF"/>
        </w:rPr>
        <w:t xml:space="preserve">1,6% per le </w:t>
      </w:r>
      <w:r w:rsidR="009149F0" w:rsidRPr="00C22BBA">
        <w:rPr>
          <w:rFonts w:asciiTheme="minorHAnsi" w:hAnsiTheme="minorHAnsi" w:cstheme="minorHAnsi"/>
          <w:shd w:val="clear" w:color="auto" w:fill="FFFFFF"/>
        </w:rPr>
        <w:t>locazioni brevi.</w:t>
      </w:r>
      <w:r w:rsidR="00B152F1" w:rsidRPr="00C22BBA">
        <w:rPr>
          <w:rFonts w:asciiTheme="minorHAnsi" w:hAnsiTheme="minorHAnsi" w:cstheme="minorHAnsi"/>
          <w:shd w:val="clear" w:color="auto" w:fill="FFFFFF"/>
        </w:rPr>
        <w:t xml:space="preserve"> [Tavola A. 2].</w:t>
      </w:r>
    </w:p>
    <w:p w:rsidR="009D69A4" w:rsidRDefault="009D69A4" w:rsidP="00CF66C4">
      <w:pPr>
        <w:jc w:val="both"/>
        <w:rPr>
          <w:rFonts w:asciiTheme="minorHAnsi" w:hAnsiTheme="minorHAnsi" w:cstheme="minorHAnsi"/>
          <w:shd w:val="clear" w:color="auto" w:fill="FFFFFF"/>
        </w:rPr>
      </w:pPr>
    </w:p>
    <w:p w:rsidR="009D69A4" w:rsidRPr="00562A06" w:rsidRDefault="009D69A4" w:rsidP="009D69A4">
      <w:pPr>
        <w:jc w:val="center"/>
        <w:rPr>
          <w:rFonts w:asciiTheme="minorHAnsi" w:hAnsiTheme="minorHAnsi" w:cstheme="minorHAnsi"/>
          <w:shd w:val="clear" w:color="auto" w:fill="FFFFFF"/>
        </w:rPr>
      </w:pPr>
      <w:r>
        <w:rPr>
          <w:rFonts w:asciiTheme="minorHAnsi" w:hAnsiTheme="minorHAnsi" w:cstheme="minorHAnsi"/>
          <w:shd w:val="clear" w:color="auto" w:fill="FFFFFF"/>
        </w:rPr>
        <w:t>***</w:t>
      </w:r>
    </w:p>
    <w:p w:rsidR="009D69A4" w:rsidRPr="00B25AF9" w:rsidRDefault="009D69A4" w:rsidP="00CF66C4">
      <w:pPr>
        <w:jc w:val="both"/>
        <w:rPr>
          <w:rFonts w:asciiTheme="minorHAnsi" w:hAnsiTheme="minorHAnsi" w:cstheme="minorHAnsi"/>
          <w:sz w:val="14"/>
          <w:shd w:val="clear" w:color="auto" w:fill="FFFFFF"/>
        </w:rPr>
      </w:pPr>
    </w:p>
    <w:p w:rsidR="00664D55" w:rsidRDefault="009149F0" w:rsidP="00A03C7B">
      <w:pPr>
        <w:jc w:val="both"/>
        <w:rPr>
          <w:rFonts w:asciiTheme="minorHAnsi" w:hAnsiTheme="minorHAnsi" w:cstheme="minorHAnsi"/>
          <w:shd w:val="clear" w:color="auto" w:fill="FFFFFF"/>
        </w:rPr>
      </w:pPr>
      <w:r w:rsidRPr="00A87B4F">
        <w:rPr>
          <w:rFonts w:asciiTheme="minorHAnsi" w:hAnsiTheme="minorHAnsi" w:cstheme="minorHAnsi"/>
          <w:b/>
          <w:shd w:val="clear" w:color="auto" w:fill="FFFFFF"/>
        </w:rPr>
        <w:t>Capoluoghi di provincia</w:t>
      </w:r>
      <w:r w:rsidR="00FA0974">
        <w:rPr>
          <w:rFonts w:asciiTheme="minorHAnsi" w:hAnsiTheme="minorHAnsi" w:cstheme="minorHAnsi"/>
          <w:b/>
          <w:shd w:val="clear" w:color="auto" w:fill="FFFFFF"/>
        </w:rPr>
        <w:t xml:space="preserve"> </w:t>
      </w:r>
      <w:r w:rsidR="00A03C7B">
        <w:rPr>
          <w:rFonts w:asciiTheme="minorHAnsi" w:hAnsiTheme="minorHAnsi" w:cstheme="minorHAnsi"/>
          <w:b/>
          <w:shd w:val="clear" w:color="auto" w:fill="FFFFFF"/>
        </w:rPr>
        <w:t>medi</w:t>
      </w:r>
      <w:r w:rsidRPr="00A87B4F">
        <w:rPr>
          <w:rFonts w:asciiTheme="minorHAnsi" w:hAnsiTheme="minorHAnsi" w:cstheme="minorHAnsi"/>
          <w:b/>
          <w:shd w:val="clear" w:color="auto" w:fill="FFFFFF"/>
        </w:rPr>
        <w:t>.</w:t>
      </w:r>
      <w:r w:rsidR="008822C9">
        <w:rPr>
          <w:rFonts w:asciiTheme="minorHAnsi" w:hAnsiTheme="minorHAnsi" w:cstheme="minorHAnsi"/>
          <w:b/>
          <w:shd w:val="clear" w:color="auto" w:fill="FFFFFF"/>
        </w:rPr>
        <w:t xml:space="preserve"> </w:t>
      </w:r>
      <w:r w:rsidR="00A03C7B">
        <w:rPr>
          <w:rFonts w:asciiTheme="minorHAnsi" w:hAnsiTheme="minorHAnsi" w:cstheme="minorHAnsi"/>
          <w:shd w:val="clear" w:color="auto" w:fill="FFFFFF"/>
        </w:rPr>
        <w:t xml:space="preserve">Nel 2019 </w:t>
      </w:r>
      <w:r w:rsidR="00A03C7B" w:rsidRPr="00E156BA">
        <w:rPr>
          <w:rFonts w:asciiTheme="minorHAnsi" w:hAnsiTheme="minorHAnsi" w:cstheme="minorHAnsi"/>
          <w:shd w:val="clear" w:color="auto" w:fill="FFFFFF"/>
        </w:rPr>
        <w:t>la crescita</w:t>
      </w:r>
      <w:r w:rsidR="00A03C7B">
        <w:rPr>
          <w:rFonts w:asciiTheme="minorHAnsi" w:hAnsiTheme="minorHAnsi" w:cstheme="minorHAnsi"/>
          <w:shd w:val="clear" w:color="auto" w:fill="FFFFFF"/>
        </w:rPr>
        <w:t xml:space="preserve"> media</w:t>
      </w:r>
      <w:r w:rsidR="00A03C7B" w:rsidRPr="00E156BA">
        <w:rPr>
          <w:rFonts w:asciiTheme="minorHAnsi" w:hAnsiTheme="minorHAnsi" w:cstheme="minorHAnsi"/>
          <w:shd w:val="clear" w:color="auto" w:fill="FFFFFF"/>
        </w:rPr>
        <w:t xml:space="preserve"> delle </w:t>
      </w:r>
      <w:r w:rsidR="00A03C7B" w:rsidRPr="00E4000E">
        <w:rPr>
          <w:rFonts w:asciiTheme="minorHAnsi" w:hAnsiTheme="minorHAnsi" w:cstheme="minorHAnsi"/>
          <w:b/>
          <w:shd w:val="clear" w:color="auto" w:fill="FFFFFF"/>
        </w:rPr>
        <w:t>compravendite</w:t>
      </w:r>
      <w:r w:rsidR="00A03C7B" w:rsidRPr="00E156BA">
        <w:rPr>
          <w:rFonts w:asciiTheme="minorHAnsi" w:hAnsiTheme="minorHAnsi" w:cstheme="minorHAnsi"/>
          <w:shd w:val="clear" w:color="auto" w:fill="FFFFFF"/>
        </w:rPr>
        <w:t xml:space="preserve"> nelle</w:t>
      </w:r>
      <w:r w:rsidR="00A03C7B">
        <w:rPr>
          <w:rFonts w:asciiTheme="minorHAnsi" w:hAnsiTheme="minorHAnsi" w:cstheme="minorHAnsi"/>
          <w:shd w:val="clear" w:color="auto" w:fill="FFFFFF"/>
        </w:rPr>
        <w:t xml:space="preserve"> 27 città capoluog</w:t>
      </w:r>
      <w:r w:rsidR="008F07D7">
        <w:rPr>
          <w:rFonts w:asciiTheme="minorHAnsi" w:hAnsiTheme="minorHAnsi" w:cstheme="minorHAnsi"/>
          <w:shd w:val="clear" w:color="auto" w:fill="FFFFFF"/>
        </w:rPr>
        <w:t>o</w:t>
      </w:r>
      <w:r w:rsidR="00A03C7B">
        <w:rPr>
          <w:rFonts w:asciiTheme="minorHAnsi" w:hAnsiTheme="minorHAnsi" w:cstheme="minorHAnsi"/>
          <w:shd w:val="clear" w:color="auto" w:fill="FFFFFF"/>
        </w:rPr>
        <w:t xml:space="preserve"> di provincia </w:t>
      </w:r>
      <w:r w:rsidR="00A03C7B" w:rsidRPr="009E53A1">
        <w:rPr>
          <w:rFonts w:asciiTheme="minorHAnsi" w:hAnsiTheme="minorHAnsi" w:cstheme="minorHAnsi"/>
          <w:shd w:val="clear" w:color="auto" w:fill="FFFFFF"/>
        </w:rPr>
        <w:t>(</w:t>
      </w:r>
      <w:r w:rsidR="00A03C7B" w:rsidRPr="00C27D27">
        <w:rPr>
          <w:rFonts w:asciiTheme="minorHAnsi" w:hAnsiTheme="minorHAnsi" w:cstheme="minorHAnsi"/>
          <w:shd w:val="clear" w:color="auto" w:fill="FFFFFF"/>
        </w:rPr>
        <w:t>con popolazione tra i 100</w:t>
      </w:r>
      <w:r w:rsidR="00A03C7B">
        <w:rPr>
          <w:rFonts w:asciiTheme="minorHAnsi" w:hAnsiTheme="minorHAnsi" w:cstheme="minorHAnsi"/>
          <w:shd w:val="clear" w:color="auto" w:fill="FFFFFF"/>
        </w:rPr>
        <w:t>mila</w:t>
      </w:r>
      <w:r w:rsidR="00A03C7B" w:rsidRPr="00C27D27">
        <w:rPr>
          <w:rFonts w:asciiTheme="minorHAnsi" w:hAnsiTheme="minorHAnsi" w:cstheme="minorHAnsi"/>
          <w:shd w:val="clear" w:color="auto" w:fill="FFFFFF"/>
        </w:rPr>
        <w:t xml:space="preserve"> e 300</w:t>
      </w:r>
      <w:r w:rsidR="00A03C7B">
        <w:rPr>
          <w:rFonts w:asciiTheme="minorHAnsi" w:hAnsiTheme="minorHAnsi" w:cstheme="minorHAnsi"/>
          <w:shd w:val="clear" w:color="auto" w:fill="FFFFFF"/>
        </w:rPr>
        <w:t>mila</w:t>
      </w:r>
      <w:r w:rsidR="00A03C7B" w:rsidRPr="00C27D27">
        <w:rPr>
          <w:rFonts w:asciiTheme="minorHAnsi" w:hAnsiTheme="minorHAnsi" w:cstheme="minorHAnsi"/>
          <w:shd w:val="clear" w:color="auto" w:fill="FFFFFF"/>
        </w:rPr>
        <w:t xml:space="preserve"> abitanti)</w:t>
      </w:r>
      <w:r w:rsidR="00C37A5D">
        <w:rPr>
          <w:rFonts w:asciiTheme="minorHAnsi" w:hAnsiTheme="minorHAnsi" w:cstheme="minorHAnsi"/>
          <w:shd w:val="clear" w:color="auto" w:fill="FFFFFF"/>
        </w:rPr>
        <w:t xml:space="preserve"> </w:t>
      </w:r>
      <w:r w:rsidR="00A03C7B" w:rsidRPr="00E156BA">
        <w:rPr>
          <w:rFonts w:asciiTheme="minorHAnsi" w:hAnsiTheme="minorHAnsi" w:cstheme="minorHAnsi"/>
          <w:shd w:val="clear" w:color="auto" w:fill="FFFFFF"/>
        </w:rPr>
        <w:t>monitorate</w:t>
      </w:r>
      <w:r w:rsidR="00A03C7B">
        <w:rPr>
          <w:rFonts w:asciiTheme="minorHAnsi" w:hAnsiTheme="minorHAnsi" w:cstheme="minorHAnsi"/>
          <w:shd w:val="clear" w:color="auto" w:fill="FFFFFF"/>
        </w:rPr>
        <w:t xml:space="preserve"> di </w:t>
      </w:r>
      <w:r w:rsidR="00A03C7B" w:rsidRPr="00A03C7B">
        <w:rPr>
          <w:rFonts w:asciiTheme="minorHAnsi" w:hAnsiTheme="minorHAnsi" w:cstheme="minorHAnsi"/>
          <w:b/>
          <w:shd w:val="clear" w:color="auto" w:fill="FFFFFF"/>
        </w:rPr>
        <w:t>Ancona</w:t>
      </w:r>
      <w:r w:rsidR="00A03C7B">
        <w:rPr>
          <w:rFonts w:asciiTheme="minorHAnsi" w:hAnsiTheme="minorHAnsi" w:cstheme="minorHAnsi"/>
          <w:b/>
          <w:shd w:val="clear" w:color="auto" w:fill="FFFFFF"/>
        </w:rPr>
        <w:t xml:space="preserve"> – </w:t>
      </w:r>
      <w:r w:rsidR="00A03C7B" w:rsidRPr="00A03C7B">
        <w:rPr>
          <w:rFonts w:asciiTheme="minorHAnsi" w:hAnsiTheme="minorHAnsi" w:cstheme="minorHAnsi"/>
          <w:b/>
          <w:shd w:val="clear" w:color="auto" w:fill="FFFFFF"/>
        </w:rPr>
        <w:t xml:space="preserve">Bergamo – Brescia – Cagliari – Ferrara – Foggia – Messina –Modena – Novara – Padova – Parma – Perugia – Pescara – Piacenza – Prato – Ravenna -Reggio di Calabria – Rimini – Salerno – Sassari – Siracusa – Taranto – Trento – Trieste – Venezia – Verona </w:t>
      </w:r>
      <w:r w:rsidR="00A03C7B">
        <w:rPr>
          <w:rFonts w:asciiTheme="minorHAnsi" w:hAnsiTheme="minorHAnsi" w:cstheme="minorHAnsi"/>
          <w:b/>
          <w:shd w:val="clear" w:color="auto" w:fill="FFFFFF"/>
        </w:rPr>
        <w:t>–</w:t>
      </w:r>
      <w:r w:rsidR="00A03C7B" w:rsidRPr="00A03C7B">
        <w:rPr>
          <w:rFonts w:asciiTheme="minorHAnsi" w:hAnsiTheme="minorHAnsi" w:cstheme="minorHAnsi"/>
          <w:b/>
          <w:shd w:val="clear" w:color="auto" w:fill="FFFFFF"/>
        </w:rPr>
        <w:t xml:space="preserve"> Vicenza</w:t>
      </w:r>
      <w:r w:rsidR="008822C9">
        <w:rPr>
          <w:rFonts w:asciiTheme="minorHAnsi" w:hAnsiTheme="minorHAnsi" w:cstheme="minorHAnsi"/>
          <w:b/>
          <w:shd w:val="clear" w:color="auto" w:fill="FFFFFF"/>
        </w:rPr>
        <w:t xml:space="preserve"> </w:t>
      </w:r>
      <w:r w:rsidR="00A03C7B" w:rsidRPr="00A03C7B">
        <w:rPr>
          <w:rFonts w:asciiTheme="minorHAnsi" w:hAnsiTheme="minorHAnsi" w:cstheme="minorHAnsi"/>
          <w:shd w:val="clear" w:color="auto" w:fill="FFFFFF"/>
        </w:rPr>
        <w:t>è</w:t>
      </w:r>
      <w:r w:rsidR="008822C9">
        <w:rPr>
          <w:rFonts w:asciiTheme="minorHAnsi" w:hAnsiTheme="minorHAnsi" w:cstheme="minorHAnsi"/>
          <w:shd w:val="clear" w:color="auto" w:fill="FFFFFF"/>
        </w:rPr>
        <w:t xml:space="preserve"> </w:t>
      </w:r>
      <w:r w:rsidR="00A03C7B">
        <w:rPr>
          <w:rFonts w:asciiTheme="minorHAnsi" w:hAnsiTheme="minorHAnsi" w:cstheme="minorHAnsi"/>
          <w:shd w:val="clear" w:color="auto" w:fill="FFFFFF"/>
        </w:rPr>
        <w:t xml:space="preserve">pari al </w:t>
      </w:r>
      <w:r w:rsidR="00A03C7B" w:rsidRPr="00A03C7B">
        <w:rPr>
          <w:rFonts w:asciiTheme="minorHAnsi" w:hAnsiTheme="minorHAnsi" w:cstheme="minorHAnsi"/>
          <w:b/>
          <w:shd w:val="clear" w:color="auto" w:fill="FFFFFF"/>
        </w:rPr>
        <w:t>4,8%</w:t>
      </w:r>
      <w:r w:rsidR="00A03C7B">
        <w:rPr>
          <w:rFonts w:asciiTheme="minorHAnsi" w:hAnsiTheme="minorHAnsi" w:cstheme="minorHAnsi"/>
          <w:shd w:val="clear" w:color="auto" w:fill="FFFFFF"/>
        </w:rPr>
        <w:t xml:space="preserve"> rispetto al 2018, con prezzi medi che </w:t>
      </w:r>
      <w:r w:rsidR="00E80AAA">
        <w:rPr>
          <w:rFonts w:asciiTheme="minorHAnsi" w:hAnsiTheme="minorHAnsi" w:cstheme="minorHAnsi"/>
          <w:shd w:val="clear" w:color="auto" w:fill="FFFFFF"/>
        </w:rPr>
        <w:t xml:space="preserve">segnano </w:t>
      </w:r>
      <w:r w:rsidR="00A03C7B">
        <w:rPr>
          <w:rFonts w:asciiTheme="minorHAnsi" w:hAnsiTheme="minorHAnsi" w:cstheme="minorHAnsi"/>
          <w:shd w:val="clear" w:color="auto" w:fill="FFFFFF"/>
        </w:rPr>
        <w:t xml:space="preserve">un calo dello </w:t>
      </w:r>
      <w:r w:rsidR="00A03C7B" w:rsidRPr="00A03C7B">
        <w:rPr>
          <w:rFonts w:asciiTheme="minorHAnsi" w:hAnsiTheme="minorHAnsi" w:cstheme="minorHAnsi"/>
          <w:b/>
          <w:shd w:val="clear" w:color="auto" w:fill="FFFFFF"/>
        </w:rPr>
        <w:t>0,4%</w:t>
      </w:r>
      <w:r w:rsidR="00A03C7B">
        <w:rPr>
          <w:rFonts w:asciiTheme="minorHAnsi" w:hAnsiTheme="minorHAnsi" w:cstheme="minorHAnsi"/>
          <w:shd w:val="clear" w:color="auto" w:fill="FFFFFF"/>
        </w:rPr>
        <w:t xml:space="preserve"> [Tavola A. 1].</w:t>
      </w:r>
    </w:p>
    <w:p w:rsidR="00664D55" w:rsidRDefault="00664D55" w:rsidP="00C27D27">
      <w:pPr>
        <w:jc w:val="both"/>
        <w:rPr>
          <w:rFonts w:asciiTheme="minorHAnsi" w:hAnsiTheme="minorHAnsi" w:cstheme="minorHAnsi"/>
          <w:sz w:val="14"/>
          <w:shd w:val="clear" w:color="auto" w:fill="FFFFFF"/>
        </w:rPr>
      </w:pPr>
    </w:p>
    <w:p w:rsidR="00E80AAA" w:rsidRDefault="00E80AAA" w:rsidP="00E80AAA">
      <w:pPr>
        <w:jc w:val="both"/>
        <w:rPr>
          <w:rFonts w:asciiTheme="minorHAnsi" w:hAnsiTheme="minorHAnsi" w:cstheme="minorHAnsi"/>
          <w:shd w:val="clear" w:color="auto" w:fill="FFFFFF"/>
        </w:rPr>
      </w:pPr>
      <w:r>
        <w:rPr>
          <w:rFonts w:asciiTheme="minorHAnsi" w:hAnsiTheme="minorHAnsi" w:cstheme="minorHAnsi"/>
          <w:shd w:val="clear" w:color="auto" w:fill="FFFFFF"/>
        </w:rPr>
        <w:t xml:space="preserve">La quota media di scambi di appartamenti nuovi sul totale è pari al 6,7% del totale delle vendite. </w:t>
      </w:r>
      <w:r w:rsidR="007F5EB4">
        <w:rPr>
          <w:rFonts w:asciiTheme="minorHAnsi" w:hAnsiTheme="minorHAnsi" w:cstheme="minorHAnsi"/>
          <w:shd w:val="clear" w:color="auto" w:fill="FFFFFF"/>
        </w:rPr>
        <w:t>[</w:t>
      </w:r>
      <w:r w:rsidR="007F5EB4" w:rsidRPr="007F5EB4">
        <w:rPr>
          <w:rFonts w:asciiTheme="minorHAnsi" w:hAnsiTheme="minorHAnsi" w:cstheme="minorHAnsi"/>
          <w:shd w:val="clear" w:color="auto" w:fill="FFFFFF"/>
        </w:rPr>
        <w:t>Figura A.1</w:t>
      </w:r>
      <w:r w:rsidR="007F5EB4">
        <w:rPr>
          <w:rFonts w:asciiTheme="minorHAnsi" w:hAnsiTheme="minorHAnsi" w:cstheme="minorHAnsi"/>
          <w:shd w:val="clear" w:color="auto" w:fill="FFFFFF"/>
        </w:rPr>
        <w:t>]</w:t>
      </w:r>
    </w:p>
    <w:p w:rsidR="00E80AAA" w:rsidRPr="00E80AAA" w:rsidRDefault="00E80AAA" w:rsidP="00C27D27">
      <w:pPr>
        <w:jc w:val="both"/>
        <w:rPr>
          <w:rFonts w:asciiTheme="minorHAnsi" w:hAnsiTheme="minorHAnsi" w:cstheme="minorHAnsi"/>
          <w:sz w:val="14"/>
          <w:shd w:val="clear" w:color="auto" w:fill="FFFFFF"/>
        </w:rPr>
      </w:pPr>
    </w:p>
    <w:p w:rsidR="00E80AAA" w:rsidRDefault="00E80AAA" w:rsidP="00C27D27">
      <w:pPr>
        <w:jc w:val="both"/>
        <w:rPr>
          <w:rFonts w:asciiTheme="minorHAnsi" w:hAnsiTheme="minorHAnsi" w:cstheme="minorHAnsi"/>
          <w:shd w:val="clear" w:color="auto" w:fill="FFFFFF"/>
        </w:rPr>
      </w:pPr>
      <w:r>
        <w:rPr>
          <w:rFonts w:asciiTheme="minorHAnsi" w:hAnsiTheme="minorHAnsi" w:cstheme="minorHAnsi"/>
          <w:shd w:val="clear" w:color="auto" w:fill="FFFFFF"/>
        </w:rPr>
        <w:t>Sono 7 i mesi che occorrono, in media, per trovare la casa ideale, con uno sconto medio sul prezzo di vendita pari all’11,1% [Tavola A. 1].</w:t>
      </w:r>
    </w:p>
    <w:p w:rsidR="00E80AAA" w:rsidRPr="002435AE" w:rsidRDefault="00E80AAA" w:rsidP="00C27D27">
      <w:pPr>
        <w:jc w:val="both"/>
        <w:rPr>
          <w:rFonts w:asciiTheme="minorHAnsi" w:hAnsiTheme="minorHAnsi" w:cstheme="minorHAnsi"/>
          <w:sz w:val="14"/>
          <w:shd w:val="clear" w:color="auto" w:fill="FFFFFF"/>
        </w:rPr>
      </w:pPr>
    </w:p>
    <w:p w:rsidR="009D69A4" w:rsidRDefault="00E80AAA" w:rsidP="009D69A4">
      <w:pPr>
        <w:jc w:val="both"/>
        <w:rPr>
          <w:rFonts w:asciiTheme="minorHAnsi" w:hAnsiTheme="minorHAnsi" w:cstheme="minorHAnsi"/>
          <w:shd w:val="clear" w:color="auto" w:fill="FFFFFF"/>
        </w:rPr>
      </w:pPr>
      <w:r>
        <w:rPr>
          <w:rFonts w:asciiTheme="minorHAnsi" w:hAnsiTheme="minorHAnsi" w:cstheme="minorHAnsi"/>
          <w:b/>
          <w:shd w:val="clear" w:color="auto" w:fill="FFFFFF"/>
        </w:rPr>
        <w:t xml:space="preserve">Locazioni. </w:t>
      </w:r>
      <w:r>
        <w:rPr>
          <w:rFonts w:asciiTheme="minorHAnsi" w:hAnsiTheme="minorHAnsi" w:cstheme="minorHAnsi"/>
          <w:shd w:val="clear" w:color="auto" w:fill="FFFFFF"/>
        </w:rPr>
        <w:t xml:space="preserve">Nelle 27 città </w:t>
      </w:r>
      <w:r w:rsidR="009D69A4">
        <w:rPr>
          <w:rFonts w:asciiTheme="minorHAnsi" w:hAnsiTheme="minorHAnsi" w:cstheme="minorHAnsi"/>
          <w:shd w:val="clear" w:color="auto" w:fill="FFFFFF"/>
        </w:rPr>
        <w:t xml:space="preserve">medie </w:t>
      </w:r>
      <w:r>
        <w:rPr>
          <w:rFonts w:asciiTheme="minorHAnsi" w:hAnsiTheme="minorHAnsi" w:cstheme="minorHAnsi"/>
          <w:shd w:val="clear" w:color="auto" w:fill="FFFFFF"/>
        </w:rPr>
        <w:t>monitorate,</w:t>
      </w:r>
      <w:r w:rsidR="009D69A4">
        <w:rPr>
          <w:rFonts w:asciiTheme="minorHAnsi" w:hAnsiTheme="minorHAnsi" w:cstheme="minorHAnsi"/>
          <w:shd w:val="clear" w:color="auto" w:fill="FFFFFF"/>
        </w:rPr>
        <w:t xml:space="preserve"> i nuovi contratti ordinari sono cresciuti </w:t>
      </w:r>
      <w:r w:rsidR="00DC1093">
        <w:rPr>
          <w:rFonts w:asciiTheme="minorHAnsi" w:hAnsiTheme="minorHAnsi" w:cstheme="minorHAnsi"/>
          <w:shd w:val="clear" w:color="auto" w:fill="FFFFFF"/>
        </w:rPr>
        <w:t xml:space="preserve">appena dell’1%. Meglio le </w:t>
      </w:r>
      <w:r w:rsidR="009D69A4">
        <w:rPr>
          <w:rFonts w:asciiTheme="minorHAnsi" w:hAnsiTheme="minorHAnsi" w:cstheme="minorHAnsi"/>
          <w:shd w:val="clear" w:color="auto" w:fill="FFFFFF"/>
        </w:rPr>
        <w:t>locazioni brevi (inferiori a 30 giorni)</w:t>
      </w:r>
      <w:r w:rsidR="00B34575">
        <w:rPr>
          <w:rFonts w:asciiTheme="minorHAnsi" w:hAnsiTheme="minorHAnsi" w:cstheme="minorHAnsi"/>
          <w:shd w:val="clear" w:color="auto" w:fill="FFFFFF"/>
        </w:rPr>
        <w:t xml:space="preserve">, cresciute del </w:t>
      </w:r>
      <w:r w:rsidR="00DC1093">
        <w:rPr>
          <w:rFonts w:asciiTheme="minorHAnsi" w:hAnsiTheme="minorHAnsi" w:cstheme="minorHAnsi"/>
          <w:shd w:val="clear" w:color="auto" w:fill="FFFFFF"/>
        </w:rPr>
        <w:t xml:space="preserve">2,2% rispetto al 2018. </w:t>
      </w:r>
      <w:r w:rsidR="009D69A4">
        <w:rPr>
          <w:rFonts w:asciiTheme="minorHAnsi" w:hAnsiTheme="minorHAnsi" w:cstheme="minorHAnsi"/>
          <w:shd w:val="clear" w:color="auto" w:fill="FFFFFF"/>
        </w:rPr>
        <w:t>I canoni medi sia ordinari sia riferiti alle locazioni brevi segnano un aumento pari all’1,3% [Tavola A. 2].</w:t>
      </w:r>
    </w:p>
    <w:p w:rsidR="00E80AAA" w:rsidRPr="00694A06" w:rsidRDefault="00E80AAA" w:rsidP="00C27D27">
      <w:pPr>
        <w:jc w:val="both"/>
        <w:rPr>
          <w:rFonts w:asciiTheme="minorHAnsi" w:hAnsiTheme="minorHAnsi" w:cstheme="minorHAnsi"/>
          <w:sz w:val="14"/>
          <w:shd w:val="clear" w:color="auto" w:fill="FFFFFF"/>
        </w:rPr>
      </w:pPr>
    </w:p>
    <w:p w:rsidR="00F87936" w:rsidRDefault="00F87936" w:rsidP="00F87936">
      <w:pPr>
        <w:jc w:val="center"/>
        <w:rPr>
          <w:rFonts w:asciiTheme="minorHAnsi" w:hAnsiTheme="minorHAnsi" w:cstheme="minorHAnsi"/>
          <w:shd w:val="clear" w:color="auto" w:fill="FFFFFF"/>
        </w:rPr>
      </w:pPr>
      <w:r>
        <w:rPr>
          <w:rFonts w:asciiTheme="minorHAnsi" w:hAnsiTheme="minorHAnsi" w:cstheme="minorHAnsi"/>
          <w:shd w:val="clear" w:color="auto" w:fill="FFFFFF"/>
        </w:rPr>
        <w:t>***</w:t>
      </w:r>
    </w:p>
    <w:p w:rsidR="00D255B6" w:rsidRPr="00D255B6" w:rsidRDefault="00D255B6" w:rsidP="00F87936">
      <w:pPr>
        <w:jc w:val="center"/>
        <w:rPr>
          <w:rFonts w:asciiTheme="minorHAnsi" w:hAnsiTheme="minorHAnsi" w:cstheme="minorHAnsi"/>
          <w:sz w:val="12"/>
          <w:shd w:val="clear" w:color="auto" w:fill="FFFFFF"/>
        </w:rPr>
      </w:pPr>
    </w:p>
    <w:p w:rsidR="002435AE" w:rsidRDefault="00F87936" w:rsidP="002435AE">
      <w:pPr>
        <w:jc w:val="both"/>
        <w:rPr>
          <w:rFonts w:asciiTheme="minorHAnsi" w:hAnsiTheme="minorHAnsi" w:cstheme="minorHAnsi"/>
          <w:shd w:val="clear" w:color="auto" w:fill="FFFFFF"/>
        </w:rPr>
      </w:pPr>
      <w:r w:rsidRPr="00A87B4F">
        <w:rPr>
          <w:rFonts w:asciiTheme="minorHAnsi" w:hAnsiTheme="minorHAnsi" w:cstheme="minorHAnsi"/>
          <w:b/>
          <w:shd w:val="clear" w:color="auto" w:fill="FFFFFF"/>
        </w:rPr>
        <w:t>Capoluoghi di provincia</w:t>
      </w:r>
      <w:r w:rsidR="008822C9">
        <w:rPr>
          <w:rFonts w:asciiTheme="minorHAnsi" w:hAnsiTheme="minorHAnsi" w:cstheme="minorHAnsi"/>
          <w:b/>
          <w:shd w:val="clear" w:color="auto" w:fill="FFFFFF"/>
        </w:rPr>
        <w:t xml:space="preserve"> </w:t>
      </w:r>
      <w:r w:rsidR="00D255B6">
        <w:rPr>
          <w:rFonts w:asciiTheme="minorHAnsi" w:hAnsiTheme="minorHAnsi" w:cstheme="minorHAnsi"/>
          <w:b/>
          <w:shd w:val="clear" w:color="auto" w:fill="FFFFFF"/>
        </w:rPr>
        <w:t>piccoli</w:t>
      </w:r>
      <w:r w:rsidRPr="00A87B4F">
        <w:rPr>
          <w:rFonts w:asciiTheme="minorHAnsi" w:hAnsiTheme="minorHAnsi" w:cstheme="minorHAnsi"/>
          <w:b/>
          <w:shd w:val="clear" w:color="auto" w:fill="FFFFFF"/>
        </w:rPr>
        <w:t>.</w:t>
      </w:r>
      <w:r w:rsidR="008822C9">
        <w:rPr>
          <w:rFonts w:asciiTheme="minorHAnsi" w:hAnsiTheme="minorHAnsi" w:cstheme="minorHAnsi"/>
          <w:b/>
          <w:shd w:val="clear" w:color="auto" w:fill="FFFFFF"/>
        </w:rPr>
        <w:t xml:space="preserve"> </w:t>
      </w:r>
      <w:r w:rsidR="00D255B6">
        <w:rPr>
          <w:rFonts w:asciiTheme="minorHAnsi" w:hAnsiTheme="minorHAnsi" w:cstheme="minorHAnsi"/>
          <w:shd w:val="clear" w:color="auto" w:fill="FFFFFF"/>
        </w:rPr>
        <w:t xml:space="preserve">Nel 2019 </w:t>
      </w:r>
      <w:r w:rsidR="00D255B6" w:rsidRPr="00E156BA">
        <w:rPr>
          <w:rFonts w:asciiTheme="minorHAnsi" w:hAnsiTheme="minorHAnsi" w:cstheme="minorHAnsi"/>
          <w:shd w:val="clear" w:color="auto" w:fill="FFFFFF"/>
        </w:rPr>
        <w:t>la crescita</w:t>
      </w:r>
      <w:r w:rsidR="00D255B6">
        <w:rPr>
          <w:rFonts w:asciiTheme="minorHAnsi" w:hAnsiTheme="minorHAnsi" w:cstheme="minorHAnsi"/>
          <w:shd w:val="clear" w:color="auto" w:fill="FFFFFF"/>
        </w:rPr>
        <w:t xml:space="preserve"> media</w:t>
      </w:r>
      <w:r w:rsidR="00D255B6" w:rsidRPr="00E156BA">
        <w:rPr>
          <w:rFonts w:asciiTheme="minorHAnsi" w:hAnsiTheme="minorHAnsi" w:cstheme="minorHAnsi"/>
          <w:shd w:val="clear" w:color="auto" w:fill="FFFFFF"/>
        </w:rPr>
        <w:t xml:space="preserve"> delle </w:t>
      </w:r>
      <w:r w:rsidR="00D255B6" w:rsidRPr="00E4000E">
        <w:rPr>
          <w:rFonts w:asciiTheme="minorHAnsi" w:hAnsiTheme="minorHAnsi" w:cstheme="minorHAnsi"/>
          <w:b/>
          <w:shd w:val="clear" w:color="auto" w:fill="FFFFFF"/>
        </w:rPr>
        <w:t>compravendite</w:t>
      </w:r>
      <w:r w:rsidR="00D255B6" w:rsidRPr="00E156BA">
        <w:rPr>
          <w:rFonts w:asciiTheme="minorHAnsi" w:hAnsiTheme="minorHAnsi" w:cstheme="minorHAnsi"/>
          <w:shd w:val="clear" w:color="auto" w:fill="FFFFFF"/>
        </w:rPr>
        <w:t xml:space="preserve"> nelle</w:t>
      </w:r>
      <w:r w:rsidR="005F0CCE">
        <w:rPr>
          <w:rFonts w:asciiTheme="minorHAnsi" w:hAnsiTheme="minorHAnsi" w:cstheme="minorHAnsi"/>
          <w:shd w:val="clear" w:color="auto" w:fill="FFFFFF"/>
        </w:rPr>
        <w:t xml:space="preserve"> 34 città capoluoghi di provincia </w:t>
      </w:r>
      <w:r w:rsidR="005F0CCE" w:rsidRPr="009E53A1">
        <w:rPr>
          <w:rFonts w:asciiTheme="minorHAnsi" w:hAnsiTheme="minorHAnsi" w:cstheme="minorHAnsi"/>
          <w:shd w:val="clear" w:color="auto" w:fill="FFFFFF"/>
        </w:rPr>
        <w:t>(</w:t>
      </w:r>
      <w:r w:rsidR="005F0CCE" w:rsidRPr="00C27D27">
        <w:rPr>
          <w:rFonts w:asciiTheme="minorHAnsi" w:hAnsiTheme="minorHAnsi" w:cstheme="minorHAnsi"/>
          <w:shd w:val="clear" w:color="auto" w:fill="FFFFFF"/>
        </w:rPr>
        <w:t xml:space="preserve">con popolazione </w:t>
      </w:r>
      <w:r w:rsidR="005F0CCE">
        <w:rPr>
          <w:rFonts w:asciiTheme="minorHAnsi" w:hAnsiTheme="minorHAnsi" w:cstheme="minorHAnsi"/>
          <w:shd w:val="clear" w:color="auto" w:fill="FFFFFF"/>
        </w:rPr>
        <w:t>sotto</w:t>
      </w:r>
      <w:r w:rsidR="005F0CCE" w:rsidRPr="00C27D27">
        <w:rPr>
          <w:rFonts w:asciiTheme="minorHAnsi" w:hAnsiTheme="minorHAnsi" w:cstheme="minorHAnsi"/>
          <w:shd w:val="clear" w:color="auto" w:fill="FFFFFF"/>
        </w:rPr>
        <w:t xml:space="preserve"> i 100</w:t>
      </w:r>
      <w:r w:rsidR="005F0CCE">
        <w:rPr>
          <w:rFonts w:asciiTheme="minorHAnsi" w:hAnsiTheme="minorHAnsi" w:cstheme="minorHAnsi"/>
          <w:shd w:val="clear" w:color="auto" w:fill="FFFFFF"/>
        </w:rPr>
        <w:t>mila</w:t>
      </w:r>
      <w:r w:rsidR="005F0CCE" w:rsidRPr="00C27D27">
        <w:rPr>
          <w:rFonts w:asciiTheme="minorHAnsi" w:hAnsiTheme="minorHAnsi" w:cstheme="minorHAnsi"/>
          <w:shd w:val="clear" w:color="auto" w:fill="FFFFFF"/>
        </w:rPr>
        <w:t xml:space="preserve"> abitanti)</w:t>
      </w:r>
      <w:r w:rsidR="00341805">
        <w:rPr>
          <w:rFonts w:asciiTheme="minorHAnsi" w:hAnsiTheme="minorHAnsi" w:cstheme="minorHAnsi"/>
          <w:shd w:val="clear" w:color="auto" w:fill="FFFFFF"/>
        </w:rPr>
        <w:t xml:space="preserve"> monitorate di </w:t>
      </w:r>
      <w:r w:rsidR="007A5547" w:rsidRPr="007A5547">
        <w:rPr>
          <w:rFonts w:asciiTheme="minorHAnsi" w:hAnsiTheme="minorHAnsi" w:cstheme="minorHAnsi"/>
          <w:b/>
          <w:shd w:val="clear" w:color="auto" w:fill="FFFFFF"/>
        </w:rPr>
        <w:t xml:space="preserve">Agrigento – Arezzo - Ascoli Piceno – Asti – Belluno – Brindisi – Caltanissetta – Campobasso – Chieti – Como – Cremona – Cuneo – Enna – Gorizia – Grosseto – Imperia -La Spezia - L'Aquila – </w:t>
      </w:r>
      <w:r w:rsidR="007A5547" w:rsidRPr="007A5547">
        <w:rPr>
          <w:rFonts w:asciiTheme="minorHAnsi" w:hAnsiTheme="minorHAnsi" w:cstheme="minorHAnsi"/>
          <w:b/>
          <w:shd w:val="clear" w:color="auto" w:fill="FFFFFF"/>
        </w:rPr>
        <w:lastRenderedPageBreak/>
        <w:t xml:space="preserve">Macerata –Mantova – Nuoro – Oristano – Pavia – Pesaro – Pisa – Pistoia – Pordenone – Ragusa – Savona – Siena – Sondrio – Teramo – Udine </w:t>
      </w:r>
      <w:r w:rsidR="00CF5E35">
        <w:rPr>
          <w:rFonts w:asciiTheme="minorHAnsi" w:hAnsiTheme="minorHAnsi" w:cstheme="minorHAnsi"/>
          <w:b/>
          <w:shd w:val="clear" w:color="auto" w:fill="FFFFFF"/>
        </w:rPr>
        <w:t>–</w:t>
      </w:r>
      <w:r w:rsidR="007A5547" w:rsidRPr="007A5547">
        <w:rPr>
          <w:rFonts w:asciiTheme="minorHAnsi" w:hAnsiTheme="minorHAnsi" w:cstheme="minorHAnsi"/>
          <w:b/>
          <w:shd w:val="clear" w:color="auto" w:fill="FFFFFF"/>
        </w:rPr>
        <w:t xml:space="preserve"> Varese</w:t>
      </w:r>
      <w:r w:rsidR="008822C9">
        <w:rPr>
          <w:rFonts w:asciiTheme="minorHAnsi" w:hAnsiTheme="minorHAnsi" w:cstheme="minorHAnsi"/>
          <w:b/>
          <w:shd w:val="clear" w:color="auto" w:fill="FFFFFF"/>
        </w:rPr>
        <w:t xml:space="preserve"> </w:t>
      </w:r>
      <w:r w:rsidR="00CF5E35" w:rsidRPr="00CF5E35">
        <w:rPr>
          <w:rFonts w:asciiTheme="minorHAnsi" w:hAnsiTheme="minorHAnsi" w:cstheme="minorHAnsi"/>
          <w:shd w:val="clear" w:color="auto" w:fill="FFFFFF"/>
        </w:rPr>
        <w:t>è</w:t>
      </w:r>
      <w:r w:rsidR="00CF5E35">
        <w:rPr>
          <w:rFonts w:asciiTheme="minorHAnsi" w:hAnsiTheme="minorHAnsi" w:cstheme="minorHAnsi"/>
          <w:shd w:val="clear" w:color="auto" w:fill="FFFFFF"/>
        </w:rPr>
        <w:t xml:space="preserve"> pari al </w:t>
      </w:r>
      <w:r w:rsidR="00CF5E35" w:rsidRPr="00CF5E35">
        <w:rPr>
          <w:rFonts w:asciiTheme="minorHAnsi" w:hAnsiTheme="minorHAnsi" w:cstheme="minorHAnsi"/>
          <w:b/>
          <w:shd w:val="clear" w:color="auto" w:fill="FFFFFF"/>
        </w:rPr>
        <w:t>4,1%</w:t>
      </w:r>
      <w:r w:rsidR="00CF5E35">
        <w:rPr>
          <w:rFonts w:asciiTheme="minorHAnsi" w:hAnsiTheme="minorHAnsi" w:cstheme="minorHAnsi"/>
          <w:shd w:val="clear" w:color="auto" w:fill="FFFFFF"/>
        </w:rPr>
        <w:t>, con prezzi che segnano il calo maggiore rispetto alle medie e grandi</w:t>
      </w:r>
      <w:r w:rsidR="002435AE">
        <w:rPr>
          <w:rFonts w:asciiTheme="minorHAnsi" w:hAnsiTheme="minorHAnsi" w:cstheme="minorHAnsi"/>
          <w:shd w:val="clear" w:color="auto" w:fill="FFFFFF"/>
        </w:rPr>
        <w:t xml:space="preserve"> città</w:t>
      </w:r>
      <w:r w:rsidR="00CF5E35">
        <w:rPr>
          <w:rFonts w:asciiTheme="minorHAnsi" w:hAnsiTheme="minorHAnsi" w:cstheme="minorHAnsi"/>
          <w:shd w:val="clear" w:color="auto" w:fill="FFFFFF"/>
        </w:rPr>
        <w:t xml:space="preserve">: </w:t>
      </w:r>
      <w:r w:rsidR="00CF5E35">
        <w:rPr>
          <w:rFonts w:asciiTheme="minorHAnsi" w:hAnsiTheme="minorHAnsi" w:cstheme="minorHAnsi"/>
          <w:b/>
          <w:shd w:val="clear" w:color="auto" w:fill="FFFFFF"/>
        </w:rPr>
        <w:t>-1,1</w:t>
      </w:r>
      <w:r w:rsidR="00CF5E35" w:rsidRPr="00A03C7B">
        <w:rPr>
          <w:rFonts w:asciiTheme="minorHAnsi" w:hAnsiTheme="minorHAnsi" w:cstheme="minorHAnsi"/>
          <w:b/>
          <w:shd w:val="clear" w:color="auto" w:fill="FFFFFF"/>
        </w:rPr>
        <w:t>%</w:t>
      </w:r>
      <w:r w:rsidR="002435AE">
        <w:rPr>
          <w:rFonts w:asciiTheme="minorHAnsi" w:hAnsiTheme="minorHAnsi" w:cstheme="minorHAnsi"/>
          <w:shd w:val="clear" w:color="auto" w:fill="FFFFFF"/>
        </w:rPr>
        <w:t xml:space="preserve">[Tavola A. 1].  </w:t>
      </w:r>
    </w:p>
    <w:p w:rsidR="00DC1093" w:rsidRPr="00902582" w:rsidRDefault="00DC1093" w:rsidP="007A5547">
      <w:pPr>
        <w:jc w:val="both"/>
        <w:rPr>
          <w:rFonts w:asciiTheme="minorHAnsi" w:hAnsiTheme="minorHAnsi" w:cstheme="minorHAnsi"/>
          <w:sz w:val="14"/>
          <w:shd w:val="clear" w:color="auto" w:fill="FFFFFF"/>
        </w:rPr>
      </w:pPr>
    </w:p>
    <w:p w:rsidR="00110AAE" w:rsidRDefault="002435AE" w:rsidP="002435AE">
      <w:pPr>
        <w:jc w:val="both"/>
        <w:rPr>
          <w:rFonts w:asciiTheme="minorHAnsi" w:hAnsiTheme="minorHAnsi" w:cstheme="minorHAnsi"/>
          <w:shd w:val="clear" w:color="auto" w:fill="FFFFFF"/>
        </w:rPr>
      </w:pPr>
      <w:r>
        <w:rPr>
          <w:rFonts w:asciiTheme="minorHAnsi" w:hAnsiTheme="minorHAnsi" w:cstheme="minorHAnsi"/>
          <w:shd w:val="clear" w:color="auto" w:fill="FFFFFF"/>
        </w:rPr>
        <w:t xml:space="preserve">La quota media di scambi di appartamenti nuovi sul totale registra la performance peggiore fra le macro-aree </w:t>
      </w:r>
      <w:r w:rsidR="00110AAE">
        <w:rPr>
          <w:rFonts w:asciiTheme="minorHAnsi" w:hAnsiTheme="minorHAnsi" w:cstheme="minorHAnsi"/>
          <w:shd w:val="clear" w:color="auto" w:fill="FFFFFF"/>
        </w:rPr>
        <w:t>analizzate</w:t>
      </w:r>
      <w:r>
        <w:rPr>
          <w:rFonts w:asciiTheme="minorHAnsi" w:hAnsiTheme="minorHAnsi" w:cstheme="minorHAnsi"/>
          <w:shd w:val="clear" w:color="auto" w:fill="FFFFFF"/>
        </w:rPr>
        <w:t xml:space="preserve">: 4% del totale delle vendite. </w:t>
      </w:r>
      <w:r w:rsidR="00A97BFC">
        <w:rPr>
          <w:rFonts w:asciiTheme="minorHAnsi" w:hAnsiTheme="minorHAnsi" w:cstheme="minorHAnsi"/>
          <w:shd w:val="clear" w:color="auto" w:fill="FFFFFF"/>
        </w:rPr>
        <w:t>[</w:t>
      </w:r>
      <w:r w:rsidR="00A97BFC" w:rsidRPr="007F5EB4">
        <w:rPr>
          <w:rFonts w:asciiTheme="minorHAnsi" w:hAnsiTheme="minorHAnsi" w:cstheme="minorHAnsi"/>
          <w:shd w:val="clear" w:color="auto" w:fill="FFFFFF"/>
        </w:rPr>
        <w:t>Figura A.1</w:t>
      </w:r>
      <w:r w:rsidR="00A97BFC">
        <w:rPr>
          <w:rFonts w:asciiTheme="minorHAnsi" w:hAnsiTheme="minorHAnsi" w:cstheme="minorHAnsi"/>
          <w:shd w:val="clear" w:color="auto" w:fill="FFFFFF"/>
        </w:rPr>
        <w:t>].</w:t>
      </w:r>
    </w:p>
    <w:p w:rsidR="00110AAE" w:rsidRPr="001C1B9D" w:rsidRDefault="00110AAE" w:rsidP="002435AE">
      <w:pPr>
        <w:jc w:val="both"/>
        <w:rPr>
          <w:rFonts w:asciiTheme="minorHAnsi" w:hAnsiTheme="minorHAnsi" w:cstheme="minorHAnsi"/>
          <w:sz w:val="14"/>
          <w:shd w:val="clear" w:color="auto" w:fill="FFFFFF"/>
        </w:rPr>
      </w:pPr>
    </w:p>
    <w:p w:rsidR="00110AAE" w:rsidRDefault="005528AC" w:rsidP="002435AE">
      <w:pPr>
        <w:jc w:val="both"/>
        <w:rPr>
          <w:rFonts w:asciiTheme="minorHAnsi" w:hAnsiTheme="minorHAnsi" w:cstheme="minorHAnsi"/>
          <w:shd w:val="clear" w:color="auto" w:fill="FFFFFF"/>
        </w:rPr>
      </w:pPr>
      <w:r>
        <w:rPr>
          <w:rFonts w:asciiTheme="minorHAnsi" w:hAnsiTheme="minorHAnsi" w:cstheme="minorHAnsi"/>
          <w:shd w:val="clear" w:color="auto" w:fill="FFFFFF"/>
        </w:rPr>
        <w:t>Ne</w:t>
      </w:r>
      <w:r w:rsidR="00B34575">
        <w:rPr>
          <w:rFonts w:asciiTheme="minorHAnsi" w:hAnsiTheme="minorHAnsi" w:cstheme="minorHAnsi"/>
          <w:shd w:val="clear" w:color="auto" w:fill="FFFFFF"/>
        </w:rPr>
        <w:t>i</w:t>
      </w:r>
      <w:r>
        <w:rPr>
          <w:rFonts w:asciiTheme="minorHAnsi" w:hAnsiTheme="minorHAnsi" w:cstheme="minorHAnsi"/>
          <w:shd w:val="clear" w:color="auto" w:fill="FFFFFF"/>
        </w:rPr>
        <w:t xml:space="preserve"> piccoli capoluoghi di provincia, s</w:t>
      </w:r>
      <w:r w:rsidR="00110AAE">
        <w:rPr>
          <w:rFonts w:asciiTheme="minorHAnsi" w:hAnsiTheme="minorHAnsi" w:cstheme="minorHAnsi"/>
          <w:shd w:val="clear" w:color="auto" w:fill="FFFFFF"/>
        </w:rPr>
        <w:t>ervono quasi sette mesi e mezzo per trovare la casa ideale, con uno sconto medio sul prezzo di vendita pari all’11,8% [Tavola A. 1].</w:t>
      </w:r>
    </w:p>
    <w:p w:rsidR="00E80AAA" w:rsidRPr="003D15DD" w:rsidRDefault="00E80AAA" w:rsidP="00C27D27">
      <w:pPr>
        <w:jc w:val="both"/>
        <w:rPr>
          <w:rFonts w:asciiTheme="minorHAnsi" w:hAnsiTheme="minorHAnsi" w:cstheme="minorHAnsi"/>
          <w:sz w:val="14"/>
          <w:shd w:val="clear" w:color="auto" w:fill="FFFFFF"/>
        </w:rPr>
      </w:pPr>
    </w:p>
    <w:p w:rsidR="0057466C" w:rsidRDefault="00110AAE" w:rsidP="0057466C">
      <w:pPr>
        <w:jc w:val="both"/>
        <w:rPr>
          <w:rFonts w:asciiTheme="minorHAnsi" w:hAnsiTheme="minorHAnsi" w:cstheme="minorHAnsi"/>
          <w:shd w:val="clear" w:color="auto" w:fill="FFFFFF"/>
        </w:rPr>
      </w:pPr>
      <w:r>
        <w:rPr>
          <w:rFonts w:asciiTheme="minorHAnsi" w:hAnsiTheme="minorHAnsi" w:cstheme="minorHAnsi"/>
          <w:b/>
          <w:shd w:val="clear" w:color="auto" w:fill="FFFFFF"/>
        </w:rPr>
        <w:t>Locazioni.</w:t>
      </w:r>
      <w:r w:rsidR="008822C9">
        <w:rPr>
          <w:rFonts w:asciiTheme="minorHAnsi" w:hAnsiTheme="minorHAnsi" w:cstheme="minorHAnsi"/>
          <w:b/>
          <w:shd w:val="clear" w:color="auto" w:fill="FFFFFF"/>
        </w:rPr>
        <w:t xml:space="preserve"> </w:t>
      </w:r>
      <w:r w:rsidR="0057466C">
        <w:rPr>
          <w:rFonts w:asciiTheme="minorHAnsi" w:hAnsiTheme="minorHAnsi" w:cstheme="minorHAnsi"/>
          <w:shd w:val="clear" w:color="auto" w:fill="FFFFFF"/>
        </w:rPr>
        <w:t xml:space="preserve">Nelle 34 città piccole monitorate, i nuovi contratti ordinari hanno registrato la migliore performance, crescendo di quasi il 3% rispetto al 2018. Mentre quelli relativi alle locazioni brevi (inferiori ai 30 giorni) segnano il minore rialzo fra le macro-aree analizzate: </w:t>
      </w:r>
      <w:r w:rsidR="00C02553">
        <w:rPr>
          <w:rFonts w:asciiTheme="minorHAnsi" w:hAnsiTheme="minorHAnsi" w:cstheme="minorHAnsi"/>
          <w:shd w:val="clear" w:color="auto" w:fill="FFFFFF"/>
        </w:rPr>
        <w:t>+</w:t>
      </w:r>
      <w:r w:rsidR="0057466C">
        <w:rPr>
          <w:rFonts w:asciiTheme="minorHAnsi" w:hAnsiTheme="minorHAnsi" w:cstheme="minorHAnsi"/>
          <w:shd w:val="clear" w:color="auto" w:fill="FFFFFF"/>
        </w:rPr>
        <w:t>1,8%. I canoni medi ordinari segnano un +1,2% mentre quelli riferiti alle locazioni brevi registrano un rialzo di appena lo 0,7% [Tavola A. 2].</w:t>
      </w:r>
    </w:p>
    <w:p w:rsidR="00E80AAA" w:rsidRPr="003E3C91" w:rsidRDefault="00E80AAA" w:rsidP="00C27D27">
      <w:pPr>
        <w:jc w:val="both"/>
        <w:rPr>
          <w:rFonts w:asciiTheme="minorHAnsi" w:hAnsiTheme="minorHAnsi" w:cstheme="minorHAnsi"/>
          <w:sz w:val="16"/>
          <w:shd w:val="clear" w:color="auto" w:fill="FFFFFF"/>
        </w:rPr>
      </w:pPr>
    </w:p>
    <w:p w:rsidR="00E80AAA" w:rsidRDefault="003D15DD" w:rsidP="003D15DD">
      <w:pPr>
        <w:jc w:val="center"/>
        <w:rPr>
          <w:rFonts w:asciiTheme="minorHAnsi" w:hAnsiTheme="minorHAnsi" w:cstheme="minorHAnsi"/>
          <w:shd w:val="clear" w:color="auto" w:fill="FFFFFF"/>
        </w:rPr>
      </w:pPr>
      <w:r>
        <w:rPr>
          <w:rFonts w:asciiTheme="minorHAnsi" w:hAnsiTheme="minorHAnsi" w:cstheme="minorHAnsi"/>
          <w:shd w:val="clear" w:color="auto" w:fill="FFFFFF"/>
        </w:rPr>
        <w:t>***</w:t>
      </w:r>
    </w:p>
    <w:p w:rsidR="0062395A" w:rsidRPr="003E3C91" w:rsidRDefault="0062395A" w:rsidP="003D15DD">
      <w:pPr>
        <w:jc w:val="both"/>
        <w:rPr>
          <w:rFonts w:asciiTheme="minorHAnsi" w:hAnsiTheme="minorHAnsi" w:cstheme="minorHAnsi"/>
          <w:b/>
          <w:sz w:val="14"/>
          <w:shd w:val="clear" w:color="auto" w:fill="FFFFFF"/>
        </w:rPr>
      </w:pPr>
    </w:p>
    <w:p w:rsidR="0062395A" w:rsidRDefault="003D15DD" w:rsidP="003D15DD">
      <w:pPr>
        <w:jc w:val="both"/>
        <w:rPr>
          <w:rFonts w:asciiTheme="minorHAnsi" w:hAnsiTheme="minorHAnsi" w:cstheme="minorHAnsi"/>
          <w:shd w:val="clear" w:color="auto" w:fill="FFFFFF"/>
        </w:rPr>
      </w:pPr>
      <w:r>
        <w:rPr>
          <w:rFonts w:asciiTheme="minorHAnsi" w:hAnsiTheme="minorHAnsi" w:cstheme="minorHAnsi"/>
          <w:b/>
          <w:shd w:val="clear" w:color="auto" w:fill="FFFFFF"/>
        </w:rPr>
        <w:t>Comuni</w:t>
      </w:r>
      <w:r w:rsidRPr="006D3E34">
        <w:rPr>
          <w:rFonts w:asciiTheme="minorHAnsi" w:hAnsiTheme="minorHAnsi" w:cstheme="minorHAnsi"/>
          <w:b/>
          <w:shd w:val="clear" w:color="auto" w:fill="FFFFFF"/>
        </w:rPr>
        <w:t xml:space="preserve"> non capoluogo di provincia</w:t>
      </w:r>
      <w:r>
        <w:rPr>
          <w:rFonts w:asciiTheme="minorHAnsi" w:hAnsiTheme="minorHAnsi" w:cstheme="minorHAnsi"/>
          <w:b/>
          <w:shd w:val="clear" w:color="auto" w:fill="FFFFFF"/>
        </w:rPr>
        <w:t xml:space="preserve">. </w:t>
      </w:r>
      <w:r w:rsidR="00414EEA">
        <w:rPr>
          <w:rFonts w:asciiTheme="minorHAnsi" w:hAnsiTheme="minorHAnsi" w:cstheme="minorHAnsi"/>
          <w:shd w:val="clear" w:color="auto" w:fill="FFFFFF"/>
        </w:rPr>
        <w:t>Nel</w:t>
      </w:r>
      <w:r w:rsidR="008822C9">
        <w:rPr>
          <w:rFonts w:asciiTheme="minorHAnsi" w:hAnsiTheme="minorHAnsi" w:cstheme="minorHAnsi"/>
          <w:shd w:val="clear" w:color="auto" w:fill="FFFFFF"/>
        </w:rPr>
        <w:t xml:space="preserve"> </w:t>
      </w:r>
      <w:r w:rsidRPr="00AC2896">
        <w:rPr>
          <w:rFonts w:asciiTheme="minorHAnsi" w:hAnsiTheme="minorHAnsi" w:cstheme="minorHAnsi"/>
          <w:shd w:val="clear" w:color="auto" w:fill="FFFFFF"/>
        </w:rPr>
        <w:t>2019</w:t>
      </w:r>
      <w:r w:rsidR="004E3452">
        <w:rPr>
          <w:rFonts w:asciiTheme="minorHAnsi" w:hAnsiTheme="minorHAnsi" w:cstheme="minorHAnsi"/>
          <w:shd w:val="clear" w:color="auto" w:fill="FFFFFF"/>
        </w:rPr>
        <w:t>, ne</w:t>
      </w:r>
      <w:r w:rsidR="00AD36FB">
        <w:rPr>
          <w:rFonts w:asciiTheme="minorHAnsi" w:hAnsiTheme="minorHAnsi" w:cstheme="minorHAnsi"/>
          <w:shd w:val="clear" w:color="auto" w:fill="FFFFFF"/>
        </w:rPr>
        <w:t>l 58,5% di</w:t>
      </w:r>
      <w:r w:rsidR="004E3452">
        <w:rPr>
          <w:rFonts w:asciiTheme="minorHAnsi" w:hAnsiTheme="minorHAnsi" w:cstheme="minorHAnsi"/>
          <w:shd w:val="clear" w:color="auto" w:fill="FFFFFF"/>
        </w:rPr>
        <w:t xml:space="preserve"> comuni minori delle province monitorate</w:t>
      </w:r>
      <w:r w:rsidR="00653757">
        <w:rPr>
          <w:rFonts w:asciiTheme="minorHAnsi" w:hAnsiTheme="minorHAnsi" w:cstheme="minorHAnsi"/>
          <w:shd w:val="clear" w:color="auto" w:fill="FFFFFF"/>
        </w:rPr>
        <w:t xml:space="preserve"> </w:t>
      </w:r>
      <w:r w:rsidR="00AD36FB">
        <w:rPr>
          <w:rFonts w:asciiTheme="minorHAnsi" w:hAnsiTheme="minorHAnsi" w:cstheme="minorHAnsi"/>
          <w:shd w:val="clear" w:color="auto" w:fill="FFFFFF"/>
        </w:rPr>
        <w:t>si è</w:t>
      </w:r>
      <w:r w:rsidR="003E3C91">
        <w:rPr>
          <w:rFonts w:asciiTheme="minorHAnsi" w:hAnsiTheme="minorHAnsi" w:cstheme="minorHAnsi"/>
          <w:shd w:val="clear" w:color="auto" w:fill="FFFFFF"/>
        </w:rPr>
        <w:t xml:space="preserve"> registrato un aumento de</w:t>
      </w:r>
      <w:r w:rsidR="0062395A">
        <w:rPr>
          <w:rFonts w:asciiTheme="minorHAnsi" w:hAnsiTheme="minorHAnsi" w:cstheme="minorHAnsi"/>
          <w:shd w:val="clear" w:color="auto" w:fill="FFFFFF"/>
        </w:rPr>
        <w:t xml:space="preserve">l numero medio di </w:t>
      </w:r>
      <w:r w:rsidR="0062395A" w:rsidRPr="003C7D54">
        <w:rPr>
          <w:rFonts w:asciiTheme="minorHAnsi" w:hAnsiTheme="minorHAnsi" w:cstheme="minorHAnsi"/>
          <w:b/>
          <w:shd w:val="clear" w:color="auto" w:fill="FFFFFF"/>
        </w:rPr>
        <w:t>compravendite</w:t>
      </w:r>
      <w:r w:rsidR="0062395A">
        <w:rPr>
          <w:rFonts w:asciiTheme="minorHAnsi" w:hAnsiTheme="minorHAnsi" w:cstheme="minorHAnsi"/>
          <w:shd w:val="clear" w:color="auto" w:fill="FFFFFF"/>
        </w:rPr>
        <w:t xml:space="preserve"> di abitazioni</w:t>
      </w:r>
      <w:r w:rsidR="009867E0">
        <w:rPr>
          <w:rFonts w:asciiTheme="minorHAnsi" w:hAnsiTheme="minorHAnsi" w:cstheme="minorHAnsi"/>
          <w:shd w:val="clear" w:color="auto" w:fill="FFFFFF"/>
        </w:rPr>
        <w:t>,</w:t>
      </w:r>
      <w:r w:rsidR="008822C9">
        <w:rPr>
          <w:rFonts w:asciiTheme="minorHAnsi" w:hAnsiTheme="minorHAnsi" w:cstheme="minorHAnsi"/>
          <w:shd w:val="clear" w:color="auto" w:fill="FFFFFF"/>
        </w:rPr>
        <w:t xml:space="preserve"> </w:t>
      </w:r>
      <w:r w:rsidR="009867E0">
        <w:rPr>
          <w:rFonts w:asciiTheme="minorHAnsi" w:hAnsiTheme="minorHAnsi" w:cstheme="minorHAnsi"/>
          <w:shd w:val="clear" w:color="auto" w:fill="FFFFFF"/>
        </w:rPr>
        <w:t>rispetto al 2018</w:t>
      </w:r>
      <w:r w:rsidR="003E3C91">
        <w:rPr>
          <w:rFonts w:asciiTheme="minorHAnsi" w:hAnsiTheme="minorHAnsi" w:cstheme="minorHAnsi"/>
          <w:shd w:val="clear" w:color="auto" w:fill="FFFFFF"/>
        </w:rPr>
        <w:t>. M</w:t>
      </w:r>
      <w:r w:rsidR="0062395A">
        <w:rPr>
          <w:rFonts w:asciiTheme="minorHAnsi" w:hAnsiTheme="minorHAnsi" w:cstheme="minorHAnsi"/>
          <w:shd w:val="clear" w:color="auto" w:fill="FFFFFF"/>
        </w:rPr>
        <w:t xml:space="preserve">entre </w:t>
      </w:r>
      <w:r w:rsidR="00AD36FB">
        <w:rPr>
          <w:rFonts w:asciiTheme="minorHAnsi" w:hAnsiTheme="minorHAnsi" w:cstheme="minorHAnsi"/>
          <w:shd w:val="clear" w:color="auto" w:fill="FFFFFF"/>
        </w:rPr>
        <w:t>nel</w:t>
      </w:r>
      <w:r w:rsidR="0062395A">
        <w:rPr>
          <w:rFonts w:asciiTheme="minorHAnsi" w:hAnsiTheme="minorHAnsi" w:cstheme="minorHAnsi"/>
          <w:shd w:val="clear" w:color="auto" w:fill="FFFFFF"/>
        </w:rPr>
        <w:t xml:space="preserve"> 25,7% </w:t>
      </w:r>
      <w:r w:rsidR="00AD36FB">
        <w:rPr>
          <w:rFonts w:asciiTheme="minorHAnsi" w:hAnsiTheme="minorHAnsi" w:cstheme="minorHAnsi"/>
          <w:shd w:val="clear" w:color="auto" w:fill="FFFFFF"/>
        </w:rPr>
        <w:t xml:space="preserve">dei casi </w:t>
      </w:r>
      <w:r w:rsidR="009867E0">
        <w:rPr>
          <w:rFonts w:asciiTheme="minorHAnsi" w:hAnsiTheme="minorHAnsi" w:cstheme="minorHAnsi"/>
          <w:shd w:val="clear" w:color="auto" w:fill="FFFFFF"/>
        </w:rPr>
        <w:t xml:space="preserve">il numero delle compravendite </w:t>
      </w:r>
      <w:r w:rsidR="0062395A">
        <w:rPr>
          <w:rFonts w:asciiTheme="minorHAnsi" w:hAnsiTheme="minorHAnsi" w:cstheme="minorHAnsi"/>
          <w:shd w:val="clear" w:color="auto" w:fill="FFFFFF"/>
        </w:rPr>
        <w:t xml:space="preserve">è rimasto stabile. </w:t>
      </w:r>
      <w:r w:rsidR="00AD36FB">
        <w:rPr>
          <w:rFonts w:asciiTheme="minorHAnsi" w:hAnsiTheme="minorHAnsi" w:cstheme="minorHAnsi"/>
          <w:shd w:val="clear" w:color="auto" w:fill="FFFFFF"/>
        </w:rPr>
        <w:t>Nel 93,2% dell’insieme di comuni minori monitorati</w:t>
      </w:r>
      <w:r w:rsidR="003E3C91">
        <w:rPr>
          <w:rFonts w:asciiTheme="minorHAnsi" w:hAnsiTheme="minorHAnsi" w:cstheme="minorHAnsi"/>
          <w:shd w:val="clear" w:color="auto" w:fill="FFFFFF"/>
        </w:rPr>
        <w:t xml:space="preserve"> i </w:t>
      </w:r>
      <w:r w:rsidR="003E3C91" w:rsidRPr="009867E0">
        <w:rPr>
          <w:rFonts w:asciiTheme="minorHAnsi" w:hAnsiTheme="minorHAnsi" w:cstheme="minorHAnsi"/>
          <w:b/>
          <w:shd w:val="clear" w:color="auto" w:fill="FFFFFF"/>
        </w:rPr>
        <w:t xml:space="preserve">prezzi </w:t>
      </w:r>
      <w:r w:rsidR="003E3C91">
        <w:rPr>
          <w:rFonts w:asciiTheme="minorHAnsi" w:hAnsiTheme="minorHAnsi" w:cstheme="minorHAnsi"/>
          <w:shd w:val="clear" w:color="auto" w:fill="FFFFFF"/>
        </w:rPr>
        <w:t>medi sono leggermente diminuiti o sono rimasti stabili.</w:t>
      </w:r>
      <w:r w:rsidR="00F327EB">
        <w:rPr>
          <w:rFonts w:asciiTheme="minorHAnsi" w:hAnsiTheme="minorHAnsi" w:cstheme="minorHAnsi"/>
          <w:shd w:val="clear" w:color="auto" w:fill="FFFFFF"/>
        </w:rPr>
        <w:t xml:space="preserve"> </w:t>
      </w:r>
      <w:r w:rsidR="00890822">
        <w:rPr>
          <w:rFonts w:asciiTheme="minorHAnsi" w:hAnsiTheme="minorHAnsi" w:cstheme="minorHAnsi"/>
          <w:shd w:val="clear" w:color="auto" w:fill="FFFFFF"/>
        </w:rPr>
        <w:t>[Tavola A. 3].</w:t>
      </w:r>
    </w:p>
    <w:p w:rsidR="0062395A" w:rsidRPr="003E3C91" w:rsidRDefault="0062395A" w:rsidP="003D15DD">
      <w:pPr>
        <w:jc w:val="both"/>
        <w:rPr>
          <w:rFonts w:asciiTheme="minorHAnsi" w:hAnsiTheme="minorHAnsi" w:cstheme="minorHAnsi"/>
          <w:sz w:val="14"/>
          <w:shd w:val="clear" w:color="auto" w:fill="FFFFFF"/>
        </w:rPr>
      </w:pPr>
    </w:p>
    <w:p w:rsidR="00807B05" w:rsidRDefault="003E3C91" w:rsidP="00807B05">
      <w:pPr>
        <w:jc w:val="both"/>
        <w:rPr>
          <w:rFonts w:asciiTheme="minorHAnsi" w:hAnsiTheme="minorHAnsi" w:cstheme="minorHAnsi"/>
          <w:shd w:val="clear" w:color="auto" w:fill="FFFFFF"/>
        </w:rPr>
      </w:pPr>
      <w:r>
        <w:rPr>
          <w:rFonts w:asciiTheme="minorHAnsi" w:hAnsiTheme="minorHAnsi" w:cstheme="minorHAnsi"/>
          <w:b/>
          <w:shd w:val="clear" w:color="auto" w:fill="FFFFFF"/>
        </w:rPr>
        <w:t>Locazioni.</w:t>
      </w:r>
      <w:r w:rsidR="00AD36FB">
        <w:rPr>
          <w:rFonts w:asciiTheme="minorHAnsi" w:hAnsiTheme="minorHAnsi" w:cstheme="minorHAnsi"/>
          <w:b/>
          <w:shd w:val="clear" w:color="auto" w:fill="FFFFFF"/>
        </w:rPr>
        <w:t xml:space="preserve"> </w:t>
      </w:r>
      <w:r w:rsidR="00807B05" w:rsidRPr="007B2356">
        <w:rPr>
          <w:rFonts w:asciiTheme="minorHAnsi" w:hAnsiTheme="minorHAnsi" w:cstheme="minorHAnsi"/>
          <w:shd w:val="clear" w:color="auto" w:fill="FFFFFF"/>
        </w:rPr>
        <w:t xml:space="preserve">La situazione del mercato della locazione </w:t>
      </w:r>
      <w:r w:rsidR="00807B05">
        <w:rPr>
          <w:rFonts w:asciiTheme="minorHAnsi" w:hAnsiTheme="minorHAnsi" w:cstheme="minorHAnsi"/>
          <w:shd w:val="clear" w:color="auto" w:fill="FFFFFF"/>
        </w:rPr>
        <w:t xml:space="preserve">ordinaria </w:t>
      </w:r>
      <w:r w:rsidR="00807B05" w:rsidRPr="007B2356">
        <w:rPr>
          <w:rFonts w:asciiTheme="minorHAnsi" w:hAnsiTheme="minorHAnsi" w:cstheme="minorHAnsi"/>
          <w:shd w:val="clear" w:color="auto" w:fill="FFFFFF"/>
        </w:rPr>
        <w:t>nei comuni non capoluogo riflette, in termini medi</w:t>
      </w:r>
      <w:r w:rsidR="00807B05">
        <w:rPr>
          <w:rFonts w:asciiTheme="minorHAnsi" w:hAnsiTheme="minorHAnsi" w:cstheme="minorHAnsi"/>
          <w:shd w:val="clear" w:color="auto" w:fill="FFFFFF"/>
        </w:rPr>
        <w:t>,</w:t>
      </w:r>
      <w:r w:rsidR="00807B05" w:rsidRPr="007B2356">
        <w:rPr>
          <w:rFonts w:asciiTheme="minorHAnsi" w:hAnsiTheme="minorHAnsi" w:cstheme="minorHAnsi"/>
          <w:shd w:val="clear" w:color="auto" w:fill="FFFFFF"/>
        </w:rPr>
        <w:t xml:space="preserve"> quella evidenziata per i comuni capoluogo, con </w:t>
      </w:r>
      <w:r w:rsidR="00807B05">
        <w:rPr>
          <w:rFonts w:asciiTheme="minorHAnsi" w:hAnsiTheme="minorHAnsi" w:cstheme="minorHAnsi"/>
          <w:shd w:val="clear" w:color="auto" w:fill="FFFFFF"/>
        </w:rPr>
        <w:t xml:space="preserve">il </w:t>
      </w:r>
      <w:r w:rsidR="00807B05" w:rsidRPr="007B2356">
        <w:rPr>
          <w:rFonts w:asciiTheme="minorHAnsi" w:hAnsiTheme="minorHAnsi" w:cstheme="minorHAnsi"/>
          <w:shd w:val="clear" w:color="auto" w:fill="FFFFFF"/>
        </w:rPr>
        <w:t>nu</w:t>
      </w:r>
      <w:r w:rsidR="00807B05">
        <w:rPr>
          <w:rFonts w:asciiTheme="minorHAnsi" w:hAnsiTheme="minorHAnsi" w:cstheme="minorHAnsi"/>
          <w:shd w:val="clear" w:color="auto" w:fill="FFFFFF"/>
        </w:rPr>
        <w:t xml:space="preserve">mero di contratti in crescita </w:t>
      </w:r>
      <w:r w:rsidR="00AD36FB">
        <w:rPr>
          <w:rFonts w:asciiTheme="minorHAnsi" w:hAnsiTheme="minorHAnsi" w:cstheme="minorHAnsi"/>
          <w:shd w:val="clear" w:color="auto" w:fill="FFFFFF"/>
        </w:rPr>
        <w:t>nel</w:t>
      </w:r>
      <w:r w:rsidR="00807B05">
        <w:rPr>
          <w:rFonts w:asciiTheme="minorHAnsi" w:hAnsiTheme="minorHAnsi" w:cstheme="minorHAnsi"/>
          <w:shd w:val="clear" w:color="auto" w:fill="FFFFFF"/>
        </w:rPr>
        <w:t xml:space="preserve"> 47% </w:t>
      </w:r>
      <w:r w:rsidR="00AD36FB">
        <w:rPr>
          <w:rFonts w:asciiTheme="minorHAnsi" w:hAnsiTheme="minorHAnsi" w:cstheme="minorHAnsi"/>
          <w:shd w:val="clear" w:color="auto" w:fill="FFFFFF"/>
        </w:rPr>
        <w:t>delle città monitorate</w:t>
      </w:r>
      <w:r w:rsidR="00807B05">
        <w:rPr>
          <w:rFonts w:asciiTheme="minorHAnsi" w:hAnsiTheme="minorHAnsi" w:cstheme="minorHAnsi"/>
          <w:shd w:val="clear" w:color="auto" w:fill="FFFFFF"/>
        </w:rPr>
        <w:t xml:space="preserve">. Mentre </w:t>
      </w:r>
      <w:r w:rsidR="00AD36FB">
        <w:rPr>
          <w:rFonts w:asciiTheme="minorHAnsi" w:hAnsiTheme="minorHAnsi" w:cstheme="minorHAnsi"/>
          <w:shd w:val="clear" w:color="auto" w:fill="FFFFFF"/>
        </w:rPr>
        <w:t>nel</w:t>
      </w:r>
      <w:r w:rsidR="00807B05">
        <w:rPr>
          <w:rFonts w:asciiTheme="minorHAnsi" w:hAnsiTheme="minorHAnsi" w:cstheme="minorHAnsi"/>
          <w:shd w:val="clear" w:color="auto" w:fill="FFFFFF"/>
        </w:rPr>
        <w:t xml:space="preserve"> 40,3% </w:t>
      </w:r>
      <w:r w:rsidR="00AD36FB">
        <w:rPr>
          <w:rFonts w:asciiTheme="minorHAnsi" w:hAnsiTheme="minorHAnsi" w:cstheme="minorHAnsi"/>
          <w:shd w:val="clear" w:color="auto" w:fill="FFFFFF"/>
        </w:rPr>
        <w:t>dell’</w:t>
      </w:r>
      <w:r w:rsidR="0039045A">
        <w:rPr>
          <w:rFonts w:asciiTheme="minorHAnsi" w:hAnsiTheme="minorHAnsi" w:cstheme="minorHAnsi"/>
          <w:shd w:val="clear" w:color="auto" w:fill="FFFFFF"/>
        </w:rPr>
        <w:t>insieme</w:t>
      </w:r>
      <w:r w:rsidR="00AD36FB">
        <w:rPr>
          <w:rFonts w:asciiTheme="minorHAnsi" w:hAnsiTheme="minorHAnsi" w:cstheme="minorHAnsi"/>
          <w:shd w:val="clear" w:color="auto" w:fill="FFFFFF"/>
        </w:rPr>
        <w:t xml:space="preserve"> dei comuni minori </w:t>
      </w:r>
      <w:r w:rsidR="00807B05">
        <w:rPr>
          <w:rFonts w:asciiTheme="minorHAnsi" w:hAnsiTheme="minorHAnsi" w:cstheme="minorHAnsi"/>
          <w:shd w:val="clear" w:color="auto" w:fill="FFFFFF"/>
        </w:rPr>
        <w:t xml:space="preserve">il numero dei contratti ordinari </w:t>
      </w:r>
      <w:r w:rsidR="00DA4684">
        <w:rPr>
          <w:rFonts w:asciiTheme="minorHAnsi" w:hAnsiTheme="minorHAnsi" w:cstheme="minorHAnsi"/>
          <w:shd w:val="clear" w:color="auto" w:fill="FFFFFF"/>
        </w:rPr>
        <w:t xml:space="preserve">è rimasto stabile, rispetto al 2018. Per quanto riguarda, invece, le locazioni brevi (inferiori ai 30 giorni), </w:t>
      </w:r>
      <w:r w:rsidR="00C817ED">
        <w:rPr>
          <w:rFonts w:asciiTheme="minorHAnsi" w:hAnsiTheme="minorHAnsi" w:cstheme="minorHAnsi"/>
          <w:shd w:val="clear" w:color="auto" w:fill="FFFFFF"/>
        </w:rPr>
        <w:t xml:space="preserve">in termini medi, </w:t>
      </w:r>
      <w:r w:rsidR="00DA4684">
        <w:rPr>
          <w:rFonts w:asciiTheme="minorHAnsi" w:hAnsiTheme="minorHAnsi" w:cstheme="minorHAnsi"/>
          <w:shd w:val="clear" w:color="auto" w:fill="FFFFFF"/>
        </w:rPr>
        <w:t xml:space="preserve">il 54,3% </w:t>
      </w:r>
      <w:r w:rsidR="00AD36FB">
        <w:rPr>
          <w:rFonts w:asciiTheme="minorHAnsi" w:hAnsiTheme="minorHAnsi" w:cstheme="minorHAnsi"/>
          <w:shd w:val="clear" w:color="auto" w:fill="FFFFFF"/>
        </w:rPr>
        <w:t xml:space="preserve">di città non capoluogo ha ricevuto giudizi di </w:t>
      </w:r>
      <w:r w:rsidR="00DA4684">
        <w:rPr>
          <w:rFonts w:asciiTheme="minorHAnsi" w:hAnsiTheme="minorHAnsi" w:cstheme="minorHAnsi"/>
          <w:shd w:val="clear" w:color="auto" w:fill="FFFFFF"/>
        </w:rPr>
        <w:t>stabilità del numero dei nuovi contratti.</w:t>
      </w:r>
    </w:p>
    <w:p w:rsidR="00DA4684" w:rsidRPr="00A97BFC" w:rsidRDefault="00DA4684" w:rsidP="00807B05">
      <w:pPr>
        <w:jc w:val="both"/>
        <w:rPr>
          <w:rFonts w:asciiTheme="minorHAnsi" w:hAnsiTheme="minorHAnsi" w:cstheme="minorHAnsi"/>
          <w:sz w:val="16"/>
          <w:shd w:val="clear" w:color="auto" w:fill="FFFFFF"/>
        </w:rPr>
      </w:pPr>
    </w:p>
    <w:p w:rsidR="00DA4684" w:rsidRDefault="00DA4684" w:rsidP="00807B05">
      <w:pPr>
        <w:jc w:val="both"/>
        <w:rPr>
          <w:rFonts w:asciiTheme="minorHAnsi" w:hAnsiTheme="minorHAnsi" w:cstheme="minorHAnsi"/>
          <w:shd w:val="clear" w:color="auto" w:fill="FFFFFF"/>
        </w:rPr>
      </w:pPr>
      <w:r w:rsidRPr="007B2356">
        <w:rPr>
          <w:rFonts w:asciiTheme="minorHAnsi" w:hAnsiTheme="minorHAnsi" w:cstheme="minorHAnsi"/>
          <w:shd w:val="clear" w:color="auto" w:fill="FFFFFF"/>
        </w:rPr>
        <w:t xml:space="preserve">Sul fronte dei </w:t>
      </w:r>
      <w:r w:rsidRPr="00A551D6">
        <w:rPr>
          <w:rFonts w:asciiTheme="minorHAnsi" w:hAnsiTheme="minorHAnsi" w:cstheme="minorHAnsi"/>
          <w:b/>
          <w:shd w:val="clear" w:color="auto" w:fill="FFFFFF"/>
        </w:rPr>
        <w:t>canoni</w:t>
      </w:r>
      <w:r>
        <w:rPr>
          <w:rFonts w:asciiTheme="minorHAnsi" w:hAnsiTheme="minorHAnsi" w:cstheme="minorHAnsi"/>
          <w:shd w:val="clear" w:color="auto" w:fill="FFFFFF"/>
        </w:rPr>
        <w:t xml:space="preserve">, </w:t>
      </w:r>
      <w:r w:rsidR="009576FE">
        <w:rPr>
          <w:rFonts w:asciiTheme="minorHAnsi" w:hAnsiTheme="minorHAnsi" w:cstheme="minorHAnsi"/>
          <w:shd w:val="clear" w:color="auto" w:fill="FFFFFF"/>
        </w:rPr>
        <w:t xml:space="preserve">in media, </w:t>
      </w:r>
      <w:r w:rsidR="009867E0">
        <w:rPr>
          <w:rFonts w:asciiTheme="minorHAnsi" w:hAnsiTheme="minorHAnsi" w:cstheme="minorHAnsi"/>
          <w:shd w:val="clear" w:color="auto" w:fill="FFFFFF"/>
        </w:rPr>
        <w:t xml:space="preserve">sono rimaste stabili sia le </w:t>
      </w:r>
      <w:r>
        <w:rPr>
          <w:rFonts w:asciiTheme="minorHAnsi" w:hAnsiTheme="minorHAnsi" w:cstheme="minorHAnsi"/>
          <w:shd w:val="clear" w:color="auto" w:fill="FFFFFF"/>
        </w:rPr>
        <w:t>locazioni</w:t>
      </w:r>
      <w:r w:rsidRPr="007B2356">
        <w:rPr>
          <w:rFonts w:asciiTheme="minorHAnsi" w:hAnsiTheme="minorHAnsi" w:cstheme="minorHAnsi"/>
          <w:shd w:val="clear" w:color="auto" w:fill="FFFFFF"/>
        </w:rPr>
        <w:t xml:space="preserve"> ordinari</w:t>
      </w:r>
      <w:r>
        <w:rPr>
          <w:rFonts w:asciiTheme="minorHAnsi" w:hAnsiTheme="minorHAnsi" w:cstheme="minorHAnsi"/>
          <w:shd w:val="clear" w:color="auto" w:fill="FFFFFF"/>
        </w:rPr>
        <w:t>e</w:t>
      </w:r>
      <w:r w:rsidR="00812006">
        <w:rPr>
          <w:rFonts w:asciiTheme="minorHAnsi" w:hAnsiTheme="minorHAnsi" w:cstheme="minorHAnsi"/>
          <w:shd w:val="clear" w:color="auto" w:fill="FFFFFF"/>
        </w:rPr>
        <w:t xml:space="preserve"> </w:t>
      </w:r>
      <w:r w:rsidR="009867E0">
        <w:rPr>
          <w:rFonts w:asciiTheme="minorHAnsi" w:hAnsiTheme="minorHAnsi" w:cstheme="minorHAnsi"/>
          <w:shd w:val="clear" w:color="auto" w:fill="FFFFFF"/>
        </w:rPr>
        <w:t>(</w:t>
      </w:r>
      <w:r w:rsidR="00812006">
        <w:rPr>
          <w:rFonts w:asciiTheme="minorHAnsi" w:hAnsiTheme="minorHAnsi" w:cstheme="minorHAnsi"/>
          <w:shd w:val="clear" w:color="auto" w:fill="FFFFFF"/>
        </w:rPr>
        <w:t>nel</w:t>
      </w:r>
      <w:r>
        <w:rPr>
          <w:rFonts w:asciiTheme="minorHAnsi" w:hAnsiTheme="minorHAnsi" w:cstheme="minorHAnsi"/>
          <w:shd w:val="clear" w:color="auto" w:fill="FFFFFF"/>
        </w:rPr>
        <w:t xml:space="preserve"> 55,7%</w:t>
      </w:r>
      <w:r w:rsidR="009867E0">
        <w:rPr>
          <w:rFonts w:asciiTheme="minorHAnsi" w:hAnsiTheme="minorHAnsi" w:cstheme="minorHAnsi"/>
          <w:shd w:val="clear" w:color="auto" w:fill="FFFFFF"/>
        </w:rPr>
        <w:t xml:space="preserve"> </w:t>
      </w:r>
      <w:r w:rsidR="00812006">
        <w:rPr>
          <w:rFonts w:asciiTheme="minorHAnsi" w:hAnsiTheme="minorHAnsi" w:cstheme="minorHAnsi"/>
          <w:shd w:val="clear" w:color="auto" w:fill="FFFFFF"/>
        </w:rPr>
        <w:t>espressivi città</w:t>
      </w:r>
      <w:r w:rsidR="009867E0">
        <w:rPr>
          <w:rFonts w:asciiTheme="minorHAnsi" w:hAnsiTheme="minorHAnsi" w:cstheme="minorHAnsi"/>
          <w:shd w:val="clear" w:color="auto" w:fill="FFFFFF"/>
        </w:rPr>
        <w:t>) sia</w:t>
      </w:r>
      <w:r w:rsidR="00812006">
        <w:rPr>
          <w:rFonts w:asciiTheme="minorHAnsi" w:hAnsiTheme="minorHAnsi" w:cstheme="minorHAnsi"/>
          <w:shd w:val="clear" w:color="auto" w:fill="FFFFFF"/>
        </w:rPr>
        <w:t xml:space="preserve"> </w:t>
      </w:r>
      <w:r w:rsidR="009867E0">
        <w:rPr>
          <w:rFonts w:asciiTheme="minorHAnsi" w:hAnsiTheme="minorHAnsi" w:cstheme="minorHAnsi"/>
          <w:shd w:val="clear" w:color="auto" w:fill="FFFFFF"/>
        </w:rPr>
        <w:t>l</w:t>
      </w:r>
      <w:r>
        <w:rPr>
          <w:rFonts w:asciiTheme="minorHAnsi" w:hAnsiTheme="minorHAnsi" w:cstheme="minorHAnsi"/>
          <w:shd w:val="clear" w:color="auto" w:fill="FFFFFF"/>
        </w:rPr>
        <w:t>e locazioni brevi</w:t>
      </w:r>
      <w:r w:rsidR="009867E0">
        <w:rPr>
          <w:rFonts w:asciiTheme="minorHAnsi" w:hAnsiTheme="minorHAnsi" w:cstheme="minorHAnsi"/>
          <w:shd w:val="clear" w:color="auto" w:fill="FFFFFF"/>
        </w:rPr>
        <w:t xml:space="preserve"> (per il</w:t>
      </w:r>
      <w:r>
        <w:rPr>
          <w:rFonts w:asciiTheme="minorHAnsi" w:hAnsiTheme="minorHAnsi" w:cstheme="minorHAnsi"/>
          <w:shd w:val="clear" w:color="auto" w:fill="FFFFFF"/>
        </w:rPr>
        <w:t xml:space="preserve"> 72,6% degli agenti immobiliari intervistati</w:t>
      </w:r>
      <w:r w:rsidR="009867E0">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sidR="00890822">
        <w:rPr>
          <w:rFonts w:asciiTheme="minorHAnsi" w:hAnsiTheme="minorHAnsi" w:cstheme="minorHAnsi"/>
          <w:shd w:val="clear" w:color="auto" w:fill="FFFFFF"/>
        </w:rPr>
        <w:t>[</w:t>
      </w:r>
      <w:proofErr w:type="spellStart"/>
      <w:r w:rsidR="00890822">
        <w:rPr>
          <w:rFonts w:asciiTheme="minorHAnsi" w:hAnsiTheme="minorHAnsi" w:cstheme="minorHAnsi"/>
          <w:shd w:val="clear" w:color="auto" w:fill="FFFFFF"/>
        </w:rPr>
        <w:t>Tav</w:t>
      </w:r>
      <w:r w:rsidR="002B55C1">
        <w:rPr>
          <w:rFonts w:asciiTheme="minorHAnsi" w:hAnsiTheme="minorHAnsi" w:cstheme="minorHAnsi"/>
          <w:shd w:val="clear" w:color="auto" w:fill="FFFFFF"/>
        </w:rPr>
        <w:t>v</w:t>
      </w:r>
      <w:proofErr w:type="spellEnd"/>
      <w:r w:rsidR="002B55C1">
        <w:rPr>
          <w:rFonts w:asciiTheme="minorHAnsi" w:hAnsiTheme="minorHAnsi" w:cstheme="minorHAnsi"/>
          <w:shd w:val="clear" w:color="auto" w:fill="FFFFFF"/>
        </w:rPr>
        <w:t>.</w:t>
      </w:r>
      <w:r w:rsidR="00890822">
        <w:rPr>
          <w:rFonts w:asciiTheme="minorHAnsi" w:hAnsiTheme="minorHAnsi" w:cstheme="minorHAnsi"/>
          <w:shd w:val="clear" w:color="auto" w:fill="FFFFFF"/>
        </w:rPr>
        <w:t xml:space="preserve"> A.4</w:t>
      </w:r>
      <w:r w:rsidR="002B55C1">
        <w:rPr>
          <w:rFonts w:asciiTheme="minorHAnsi" w:hAnsiTheme="minorHAnsi" w:cstheme="minorHAnsi"/>
          <w:shd w:val="clear" w:color="auto" w:fill="FFFFFF"/>
        </w:rPr>
        <w:t>, A.5</w:t>
      </w:r>
      <w:r w:rsidR="00890822">
        <w:rPr>
          <w:rFonts w:asciiTheme="minorHAnsi" w:hAnsiTheme="minorHAnsi" w:cstheme="minorHAnsi"/>
          <w:shd w:val="clear" w:color="auto" w:fill="FFFFFF"/>
        </w:rPr>
        <w:t>]</w:t>
      </w:r>
    </w:p>
    <w:p w:rsidR="00E75C50" w:rsidRPr="00A97BFC" w:rsidRDefault="00E75C50" w:rsidP="00807B05">
      <w:pPr>
        <w:jc w:val="both"/>
        <w:rPr>
          <w:rFonts w:asciiTheme="minorHAnsi" w:hAnsiTheme="minorHAnsi" w:cstheme="minorHAnsi"/>
          <w:sz w:val="18"/>
          <w:shd w:val="clear" w:color="auto" w:fill="FFFFFF"/>
        </w:rPr>
      </w:pPr>
    </w:p>
    <w:p w:rsidR="00E75C50" w:rsidRPr="00E75C50" w:rsidRDefault="00E75C50" w:rsidP="00807B05">
      <w:pPr>
        <w:jc w:val="both"/>
        <w:rPr>
          <w:rFonts w:asciiTheme="minorHAnsi" w:hAnsiTheme="minorHAnsi" w:cstheme="minorHAnsi"/>
          <w:shd w:val="clear" w:color="auto" w:fill="FFFFFF"/>
        </w:rPr>
      </w:pPr>
      <w:r w:rsidRPr="00E75C50">
        <w:rPr>
          <w:rFonts w:asciiTheme="minorHAnsi" w:hAnsiTheme="minorHAnsi" w:cstheme="minorHAnsi"/>
          <w:b/>
          <w:shd w:val="clear" w:color="auto" w:fill="FFFFFF"/>
        </w:rPr>
        <w:t xml:space="preserve">Previsioni per il 2020. </w:t>
      </w:r>
      <w:r>
        <w:rPr>
          <w:rFonts w:asciiTheme="minorHAnsi" w:hAnsiTheme="minorHAnsi" w:cstheme="minorHAnsi"/>
          <w:shd w:val="clear" w:color="auto" w:fill="FFFFFF"/>
        </w:rPr>
        <w:t xml:space="preserve">Nei comuni minori delle province monitorate, predominano le ipotesi di stabilità sia sul numero degli scambi sia sui valori immobiliari. Per quanto riguarda le locazioni, saranno stabili sia il numero di contratti sia i canoni. </w:t>
      </w:r>
    </w:p>
    <w:p w:rsidR="00197803" w:rsidRPr="00A97BFC" w:rsidRDefault="00197803" w:rsidP="00E90EC2">
      <w:pPr>
        <w:jc w:val="both"/>
        <w:rPr>
          <w:rFonts w:asciiTheme="minorHAnsi" w:hAnsiTheme="minorHAnsi" w:cstheme="minorHAnsi"/>
          <w:b/>
          <w:sz w:val="16"/>
          <w:shd w:val="clear" w:color="auto" w:fill="FFFFFF"/>
        </w:rPr>
      </w:pPr>
    </w:p>
    <w:p w:rsidR="00E90EC2" w:rsidRPr="00E90EC2" w:rsidRDefault="000136BF" w:rsidP="00E90EC2">
      <w:pPr>
        <w:jc w:val="both"/>
        <w:rPr>
          <w:rFonts w:asciiTheme="minorHAnsi" w:hAnsiTheme="minorHAnsi" w:cstheme="minorHAnsi"/>
          <w:i/>
          <w:shd w:val="clear" w:color="auto" w:fill="FFFFFF"/>
        </w:rPr>
      </w:pPr>
      <w:r>
        <w:rPr>
          <w:rFonts w:asciiTheme="minorHAnsi" w:hAnsiTheme="minorHAnsi" w:cstheme="minorHAnsi"/>
          <w:b/>
          <w:shd w:val="clear" w:color="auto" w:fill="FFFFFF"/>
        </w:rPr>
        <w:t>A</w:t>
      </w:r>
      <w:r w:rsidRPr="00C27D27">
        <w:rPr>
          <w:rFonts w:asciiTheme="minorHAnsi" w:hAnsiTheme="minorHAnsi" w:cstheme="minorHAnsi"/>
          <w:b/>
          <w:shd w:val="clear" w:color="auto" w:fill="FFFFFF"/>
        </w:rPr>
        <w:t xml:space="preserve">ndrea Oliva, </w:t>
      </w:r>
      <w:r w:rsidR="00F25683">
        <w:rPr>
          <w:rFonts w:asciiTheme="minorHAnsi" w:hAnsiTheme="minorHAnsi" w:cstheme="minorHAnsi"/>
          <w:b/>
          <w:shd w:val="clear" w:color="auto" w:fill="FFFFFF"/>
        </w:rPr>
        <w:t>c</w:t>
      </w:r>
      <w:r w:rsidRPr="00C27D27">
        <w:rPr>
          <w:rFonts w:asciiTheme="minorHAnsi" w:hAnsiTheme="minorHAnsi" w:cstheme="minorHAnsi"/>
          <w:b/>
          <w:shd w:val="clear" w:color="auto" w:fill="FFFFFF"/>
        </w:rPr>
        <w:t xml:space="preserve">oordinatore </w:t>
      </w:r>
      <w:r w:rsidR="00F25683">
        <w:rPr>
          <w:rFonts w:asciiTheme="minorHAnsi" w:hAnsiTheme="minorHAnsi" w:cstheme="minorHAnsi"/>
          <w:b/>
          <w:shd w:val="clear" w:color="auto" w:fill="FFFFFF"/>
        </w:rPr>
        <w:t>U</w:t>
      </w:r>
      <w:r w:rsidRPr="00C27D27">
        <w:rPr>
          <w:rFonts w:asciiTheme="minorHAnsi" w:hAnsiTheme="minorHAnsi" w:cstheme="minorHAnsi"/>
          <w:b/>
          <w:shd w:val="clear" w:color="auto" w:fill="FFFFFF"/>
        </w:rPr>
        <w:t xml:space="preserve">fficio </w:t>
      </w:r>
      <w:r w:rsidR="00F25683">
        <w:rPr>
          <w:rFonts w:asciiTheme="minorHAnsi" w:hAnsiTheme="minorHAnsi" w:cstheme="minorHAnsi"/>
          <w:b/>
          <w:shd w:val="clear" w:color="auto" w:fill="FFFFFF"/>
        </w:rPr>
        <w:t>s</w:t>
      </w:r>
      <w:r w:rsidRPr="00C27D27">
        <w:rPr>
          <w:rFonts w:asciiTheme="minorHAnsi" w:hAnsiTheme="minorHAnsi" w:cstheme="minorHAnsi"/>
          <w:b/>
          <w:shd w:val="clear" w:color="auto" w:fill="FFFFFF"/>
        </w:rPr>
        <w:t xml:space="preserve">tudi </w:t>
      </w:r>
      <w:r w:rsidR="00F25683">
        <w:rPr>
          <w:rFonts w:asciiTheme="minorHAnsi" w:hAnsiTheme="minorHAnsi" w:cstheme="minorHAnsi"/>
          <w:b/>
          <w:shd w:val="clear" w:color="auto" w:fill="FFFFFF"/>
        </w:rPr>
        <w:t>n</w:t>
      </w:r>
      <w:r w:rsidRPr="00C27D27">
        <w:rPr>
          <w:rFonts w:asciiTheme="minorHAnsi" w:hAnsiTheme="minorHAnsi" w:cstheme="minorHAnsi"/>
          <w:b/>
          <w:shd w:val="clear" w:color="auto" w:fill="FFFFFF"/>
        </w:rPr>
        <w:t xml:space="preserve">azionale </w:t>
      </w:r>
      <w:r>
        <w:rPr>
          <w:rFonts w:asciiTheme="minorHAnsi" w:hAnsiTheme="minorHAnsi" w:cstheme="minorHAnsi"/>
          <w:b/>
          <w:shd w:val="clear" w:color="auto" w:fill="FFFFFF"/>
        </w:rPr>
        <w:t>Fimaa</w:t>
      </w:r>
      <w:r w:rsidRPr="00C27D27">
        <w:rPr>
          <w:rFonts w:asciiTheme="minorHAnsi" w:hAnsiTheme="minorHAnsi" w:cstheme="minorHAnsi"/>
          <w:b/>
          <w:shd w:val="clear" w:color="auto" w:fill="FFFFFF"/>
        </w:rPr>
        <w:t xml:space="preserve">: </w:t>
      </w:r>
      <w:r w:rsidR="00E90EC2" w:rsidRPr="00E90EC2">
        <w:rPr>
          <w:rFonts w:asciiTheme="minorHAnsi" w:hAnsiTheme="minorHAnsi" w:cstheme="minorHAnsi"/>
          <w:i/>
          <w:shd w:val="clear" w:color="auto" w:fill="FFFFFF"/>
        </w:rPr>
        <w:t>“</w:t>
      </w:r>
      <w:r w:rsidR="00812006" w:rsidRPr="00812006">
        <w:rPr>
          <w:rFonts w:asciiTheme="minorHAnsi" w:hAnsiTheme="minorHAnsi" w:cstheme="minorHAnsi"/>
          <w:i/>
          <w:shd w:val="clear" w:color="auto" w:fill="FFFFFF"/>
        </w:rPr>
        <w:t>Anche nel 2019 si conferma la tendenza espansiva dei volumi delle compravendite nel settore residenziale, in atto, sostanzialmente, dal 2014</w:t>
      </w:r>
      <w:r w:rsidR="00812006">
        <w:rPr>
          <w:rFonts w:asciiTheme="minorHAnsi" w:hAnsiTheme="minorHAnsi" w:cstheme="minorHAnsi"/>
          <w:i/>
          <w:shd w:val="clear" w:color="auto" w:fill="FFFFFF"/>
        </w:rPr>
        <w:t>, ma nonostante questo i</w:t>
      </w:r>
      <w:r w:rsidR="00E90EC2" w:rsidRPr="00E90EC2">
        <w:rPr>
          <w:rFonts w:asciiTheme="minorHAnsi" w:hAnsiTheme="minorHAnsi" w:cstheme="minorHAnsi"/>
          <w:i/>
          <w:shd w:val="clear" w:color="auto" w:fill="FFFFFF"/>
        </w:rPr>
        <w:t xml:space="preserve">l mercato immobiliare italiano si presenta </w:t>
      </w:r>
      <w:r w:rsidR="00E90EC2" w:rsidRPr="00E90EC2">
        <w:rPr>
          <w:rFonts w:asciiTheme="minorHAnsi" w:hAnsiTheme="minorHAnsi" w:cstheme="minorHAnsi"/>
          <w:i/>
          <w:shd w:val="clear" w:color="auto" w:fill="FFFFFF"/>
        </w:rPr>
        <w:lastRenderedPageBreak/>
        <w:t xml:space="preserve">in una fase di assestamento, più che di ripresa effettiva. </w:t>
      </w:r>
      <w:r w:rsidR="0040433A" w:rsidRPr="00E90EC2">
        <w:rPr>
          <w:rFonts w:asciiTheme="minorHAnsi" w:hAnsiTheme="minorHAnsi" w:cstheme="minorHAnsi"/>
          <w:i/>
          <w:shd w:val="clear" w:color="auto" w:fill="FFFFFF"/>
        </w:rPr>
        <w:t xml:space="preserve">I </w:t>
      </w:r>
      <w:r w:rsidR="0040433A">
        <w:rPr>
          <w:rFonts w:asciiTheme="minorHAnsi" w:hAnsiTheme="minorHAnsi" w:cstheme="minorHAnsi"/>
          <w:i/>
          <w:shd w:val="clear" w:color="auto" w:fill="FFFFFF"/>
        </w:rPr>
        <w:t>prezzi</w:t>
      </w:r>
      <w:r w:rsidR="00E90EC2" w:rsidRPr="00E90EC2">
        <w:rPr>
          <w:rFonts w:asciiTheme="minorHAnsi" w:hAnsiTheme="minorHAnsi" w:cstheme="minorHAnsi"/>
          <w:i/>
          <w:shd w:val="clear" w:color="auto" w:fill="FFFFFF"/>
        </w:rPr>
        <w:t xml:space="preserve">, nel complesso, sono orientati verso la stabilità, con l’unica eccezione delle locazioni che segnalano prezzi in aumento. Il mercato del nuovo ancora arranca e riflette lo stato di salute di un settore poco vivo e che solo in parte allinea la domanda ad un’offerta non in grado di soddisfarla pienamente. </w:t>
      </w:r>
      <w:r w:rsidR="00325E41" w:rsidRPr="00325E41">
        <w:rPr>
          <w:rFonts w:asciiTheme="minorHAnsi" w:hAnsiTheme="minorHAnsi" w:cstheme="minorHAnsi"/>
          <w:i/>
          <w:shd w:val="clear" w:color="auto" w:fill="FFFFFF"/>
        </w:rPr>
        <w:t>L’ulteriore riduzione nello scambio di abitazioni nuove denota una crisi ancora sistemica del mercato delle costruzioni su cui, insieme alle politiche immobiliari, dovrebbero venire indirizzati gli sforzi di politica economica volti ad abbassare le imposte sul mattone, fornendo magari ulteriori incentivi</w:t>
      </w:r>
      <w:r w:rsidR="00325E41">
        <w:rPr>
          <w:rFonts w:asciiTheme="minorHAnsi" w:hAnsiTheme="minorHAnsi" w:cstheme="minorHAnsi"/>
          <w:i/>
          <w:shd w:val="clear" w:color="auto" w:fill="FFFFFF"/>
        </w:rPr>
        <w:t>”.</w:t>
      </w:r>
    </w:p>
    <w:p w:rsidR="006C22ED" w:rsidRPr="00A63C7A" w:rsidRDefault="006C22ED" w:rsidP="000136BF">
      <w:pPr>
        <w:jc w:val="both"/>
        <w:rPr>
          <w:rFonts w:asciiTheme="minorHAnsi" w:hAnsiTheme="minorHAnsi" w:cstheme="minorHAnsi"/>
          <w:b/>
          <w:sz w:val="18"/>
          <w:shd w:val="clear" w:color="auto" w:fill="FFFFFF"/>
        </w:rPr>
      </w:pPr>
    </w:p>
    <w:p w:rsidR="00812006" w:rsidRDefault="00F25683" w:rsidP="00B2522A">
      <w:pPr>
        <w:jc w:val="both"/>
        <w:rPr>
          <w:rFonts w:asciiTheme="minorHAnsi" w:hAnsiTheme="minorHAnsi" w:cstheme="minorHAnsi"/>
          <w:i/>
          <w:shd w:val="clear" w:color="auto" w:fill="FFFFFF"/>
        </w:rPr>
      </w:pPr>
      <w:r>
        <w:rPr>
          <w:rFonts w:asciiTheme="minorHAnsi" w:hAnsiTheme="minorHAnsi" w:cstheme="minorHAnsi"/>
          <w:b/>
          <w:shd w:val="clear" w:color="auto" w:fill="FFFFFF"/>
        </w:rPr>
        <w:t>Santino Taverna, p</w:t>
      </w:r>
      <w:r w:rsidR="000136BF" w:rsidRPr="00C27D27">
        <w:rPr>
          <w:rFonts w:asciiTheme="minorHAnsi" w:hAnsiTheme="minorHAnsi" w:cstheme="minorHAnsi"/>
          <w:b/>
          <w:shd w:val="clear" w:color="auto" w:fill="FFFFFF"/>
        </w:rPr>
        <w:t xml:space="preserve">residente </w:t>
      </w:r>
      <w:r>
        <w:rPr>
          <w:rFonts w:asciiTheme="minorHAnsi" w:hAnsiTheme="minorHAnsi" w:cstheme="minorHAnsi"/>
          <w:b/>
          <w:shd w:val="clear" w:color="auto" w:fill="FFFFFF"/>
        </w:rPr>
        <w:t>n</w:t>
      </w:r>
      <w:r w:rsidR="000136BF" w:rsidRPr="00C27D27">
        <w:rPr>
          <w:rFonts w:asciiTheme="minorHAnsi" w:hAnsiTheme="minorHAnsi" w:cstheme="minorHAnsi"/>
          <w:b/>
          <w:shd w:val="clear" w:color="auto" w:fill="FFFFFF"/>
        </w:rPr>
        <w:t xml:space="preserve">azionale </w:t>
      </w:r>
      <w:r w:rsidR="000136BF">
        <w:rPr>
          <w:rFonts w:asciiTheme="minorHAnsi" w:hAnsiTheme="minorHAnsi" w:cstheme="minorHAnsi"/>
          <w:b/>
          <w:shd w:val="clear" w:color="auto" w:fill="FFFFFF"/>
        </w:rPr>
        <w:t>Fimaa</w:t>
      </w:r>
      <w:r w:rsidR="000136BF" w:rsidRPr="00C27D27">
        <w:rPr>
          <w:rFonts w:asciiTheme="minorHAnsi" w:hAnsiTheme="minorHAnsi" w:cstheme="minorHAnsi"/>
          <w:shd w:val="clear" w:color="auto" w:fill="FFFFFF"/>
        </w:rPr>
        <w:t>:</w:t>
      </w:r>
      <w:r w:rsidR="00812006">
        <w:rPr>
          <w:rFonts w:asciiTheme="minorHAnsi" w:hAnsiTheme="minorHAnsi" w:cstheme="minorHAnsi"/>
          <w:shd w:val="clear" w:color="auto" w:fill="FFFFFF"/>
        </w:rPr>
        <w:t xml:space="preserve"> </w:t>
      </w:r>
      <w:r w:rsidR="00B2522A" w:rsidRPr="00B2522A">
        <w:rPr>
          <w:rFonts w:asciiTheme="minorHAnsi" w:hAnsiTheme="minorHAnsi" w:cstheme="minorHAnsi"/>
          <w:i/>
          <w:shd w:val="clear" w:color="auto" w:fill="FFFFFF"/>
        </w:rPr>
        <w:t xml:space="preserve">“L’analisi dell’ufficio studi Fimaa-Confcommercio evidenzia come la casa sia sempre l’investimento più amato dagli Italiani. A sostenere il mercato immobiliare, in questo particolare momento storico, sono diversi fattori. In primo luogo i valori degli immobili ancora tendenzialmente in leggero calo, fatta eccezione per Milano e le zone di pregio della Capitale e di altre primarie città. I tassi di interesse sono ai minimi storici, per effetto del secondo quantitative easing avviato dalla Banca centrale europea lo scorso novembre: il che vuol dire mutui a tassi, sia fissi sia variabili, davvero vantaggiosi. Una mano arriva anche dal fermento alimentato nelle principali piazze europee dalla </w:t>
      </w:r>
      <w:proofErr w:type="spellStart"/>
      <w:r w:rsidR="00B2522A" w:rsidRPr="00B2522A">
        <w:rPr>
          <w:rFonts w:asciiTheme="minorHAnsi" w:hAnsiTheme="minorHAnsi" w:cstheme="minorHAnsi"/>
          <w:i/>
          <w:shd w:val="clear" w:color="auto" w:fill="FFFFFF"/>
        </w:rPr>
        <w:t>Brexit</w:t>
      </w:r>
      <w:proofErr w:type="spellEnd"/>
      <w:r w:rsidR="00B2522A" w:rsidRPr="00B2522A">
        <w:rPr>
          <w:rFonts w:asciiTheme="minorHAnsi" w:hAnsiTheme="minorHAnsi" w:cstheme="minorHAnsi"/>
          <w:i/>
          <w:shd w:val="clear" w:color="auto" w:fill="FFFFFF"/>
        </w:rPr>
        <w:t>, che sta convogliando investimenti stranieri nel mattone del nostro Paese. Il mercato registra, dunque, il ritorno all’investimento immobiliare da parte dei risparmiatori, anche per la mancanza di valide alternative redditizie. Diversi privati sono infatti invogliati a cambiare casa per il basso costo del denaro e ad investire anche in seconde case da mettere a reddito</w:t>
      </w:r>
      <w:r w:rsidR="006E15C4">
        <w:rPr>
          <w:rFonts w:asciiTheme="minorHAnsi" w:hAnsiTheme="minorHAnsi" w:cstheme="minorHAnsi"/>
          <w:i/>
          <w:shd w:val="clear" w:color="auto" w:fill="FFFFFF"/>
        </w:rPr>
        <w:t>,</w:t>
      </w:r>
      <w:r w:rsidR="00B2522A" w:rsidRPr="00B2522A">
        <w:rPr>
          <w:rFonts w:asciiTheme="minorHAnsi" w:hAnsiTheme="minorHAnsi" w:cstheme="minorHAnsi"/>
          <w:i/>
          <w:shd w:val="clear" w:color="auto" w:fill="FFFFFF"/>
        </w:rPr>
        <w:t xml:space="preserve"> in locazioni brevi o ordinarie</w:t>
      </w:r>
      <w:r w:rsidR="00F037A3">
        <w:rPr>
          <w:rFonts w:asciiTheme="minorHAnsi" w:hAnsiTheme="minorHAnsi" w:cstheme="minorHAnsi"/>
          <w:i/>
          <w:shd w:val="clear" w:color="auto" w:fill="FFFFFF"/>
        </w:rPr>
        <w:t>,</w:t>
      </w:r>
      <w:r w:rsidR="00B2522A" w:rsidRPr="00B2522A">
        <w:rPr>
          <w:rFonts w:asciiTheme="minorHAnsi" w:hAnsiTheme="minorHAnsi" w:cstheme="minorHAnsi"/>
          <w:i/>
          <w:shd w:val="clear" w:color="auto" w:fill="FFFFFF"/>
        </w:rPr>
        <w:t xml:space="preserve"> grazie alla cedolare secca che permette rese più convenienti, </w:t>
      </w:r>
      <w:r w:rsidR="00F037A3">
        <w:rPr>
          <w:rFonts w:asciiTheme="minorHAnsi" w:hAnsiTheme="minorHAnsi" w:cstheme="minorHAnsi"/>
          <w:i/>
          <w:shd w:val="clear" w:color="auto" w:fill="FFFFFF"/>
        </w:rPr>
        <w:t>rispondendo</w:t>
      </w:r>
      <w:r w:rsidR="00B2522A" w:rsidRPr="00B2522A">
        <w:rPr>
          <w:rFonts w:asciiTheme="minorHAnsi" w:hAnsiTheme="minorHAnsi" w:cstheme="minorHAnsi"/>
          <w:i/>
          <w:shd w:val="clear" w:color="auto" w:fill="FFFFFF"/>
        </w:rPr>
        <w:t xml:space="preserve"> alla necessità</w:t>
      </w:r>
      <w:r w:rsidR="00B2522A">
        <w:rPr>
          <w:rFonts w:asciiTheme="minorHAnsi" w:hAnsiTheme="minorHAnsi" w:cstheme="minorHAnsi"/>
          <w:i/>
          <w:shd w:val="clear" w:color="auto" w:fill="FFFFFF"/>
        </w:rPr>
        <w:t xml:space="preserve"> di studenti o lavoratori part-</w:t>
      </w:r>
      <w:r w:rsidR="00B2522A" w:rsidRPr="00B2522A">
        <w:rPr>
          <w:rFonts w:asciiTheme="minorHAnsi" w:hAnsiTheme="minorHAnsi" w:cstheme="minorHAnsi"/>
          <w:i/>
          <w:shd w:val="clear" w:color="auto" w:fill="FFFFFF"/>
        </w:rPr>
        <w:t xml:space="preserve">time. </w:t>
      </w:r>
      <w:r w:rsidR="00F037A3">
        <w:rPr>
          <w:rFonts w:asciiTheme="minorHAnsi" w:hAnsiTheme="minorHAnsi" w:cstheme="minorHAnsi"/>
          <w:i/>
          <w:shd w:val="clear" w:color="auto" w:fill="FFFFFF"/>
        </w:rPr>
        <w:t>Sulla cedolare secca occorre evidenziare che la sua abolizione per quanto riguarda</w:t>
      </w:r>
      <w:r w:rsidR="00B2522A" w:rsidRPr="00B2522A">
        <w:rPr>
          <w:rFonts w:asciiTheme="minorHAnsi" w:hAnsiTheme="minorHAnsi" w:cstheme="minorHAnsi"/>
          <w:i/>
          <w:shd w:val="clear" w:color="auto" w:fill="FFFFFF"/>
        </w:rPr>
        <w:t xml:space="preserve"> gli immobili commerciali è stat</w:t>
      </w:r>
      <w:r w:rsidR="00F037A3">
        <w:rPr>
          <w:rFonts w:asciiTheme="minorHAnsi" w:hAnsiTheme="minorHAnsi" w:cstheme="minorHAnsi"/>
          <w:i/>
          <w:shd w:val="clear" w:color="auto" w:fill="FFFFFF"/>
        </w:rPr>
        <w:t>a</w:t>
      </w:r>
      <w:r w:rsidR="00B2522A" w:rsidRPr="00B2522A">
        <w:rPr>
          <w:rFonts w:asciiTheme="minorHAnsi" w:hAnsiTheme="minorHAnsi" w:cstheme="minorHAnsi"/>
          <w:i/>
          <w:shd w:val="clear" w:color="auto" w:fill="FFFFFF"/>
        </w:rPr>
        <w:t xml:space="preserve"> un clamoroso errore</w:t>
      </w:r>
      <w:r w:rsidR="00F037A3">
        <w:rPr>
          <w:rFonts w:asciiTheme="minorHAnsi" w:hAnsiTheme="minorHAnsi" w:cstheme="minorHAnsi"/>
          <w:i/>
          <w:shd w:val="clear" w:color="auto" w:fill="FFFFFF"/>
        </w:rPr>
        <w:t>:</w:t>
      </w:r>
      <w:r w:rsidR="00B2522A" w:rsidRPr="00B2522A">
        <w:rPr>
          <w:rFonts w:asciiTheme="minorHAnsi" w:hAnsiTheme="minorHAnsi" w:cstheme="minorHAnsi"/>
          <w:i/>
          <w:shd w:val="clear" w:color="auto" w:fill="FFFFFF"/>
        </w:rPr>
        <w:t xml:space="preserve"> si è </w:t>
      </w:r>
      <w:r w:rsidR="00F037A3">
        <w:rPr>
          <w:rFonts w:asciiTheme="minorHAnsi" w:hAnsiTheme="minorHAnsi" w:cstheme="minorHAnsi"/>
          <w:i/>
          <w:shd w:val="clear" w:color="auto" w:fill="FFFFFF"/>
        </w:rPr>
        <w:t>inceppato</w:t>
      </w:r>
      <w:r w:rsidR="00B2522A" w:rsidRPr="00B2522A">
        <w:rPr>
          <w:rFonts w:asciiTheme="minorHAnsi" w:hAnsiTheme="minorHAnsi" w:cstheme="minorHAnsi"/>
          <w:i/>
          <w:shd w:val="clear" w:color="auto" w:fill="FFFFFF"/>
        </w:rPr>
        <w:t xml:space="preserve"> un meccanismo che oltre alla riqualifica dei tanti immobili sfitti nei centri urbani, avrebbe contribuito anche alla maggiore sicurezza dei cittadini. Le difficoltà per la stabilizzazione dei prezzi sono ancora riconducibili principalmente al considerevole numero di immobili tuttora all’asta per i crediti non onorati a causa della crisi. Le aste immobiliari non concorrono certo alla stabilizzazione dei prezzi, o alla ripresa delle quotazioni, e per smaltire lo stock tuttora disponibile servirà ancora del tempo. Oggi si avverte anche una carenza di immobili di qualità, sempre più richiesti dall’attuale mercato. Per soddisfare tale richiesta servirebbero incentivi appropriati per una riqualifica organica degli edifici esistenti. Rimane altresì indispensabile incentivare maggiormente le assunzioni dei disoccupati</w:t>
      </w:r>
      <w:r w:rsidR="007B34B6">
        <w:rPr>
          <w:rFonts w:asciiTheme="minorHAnsi" w:hAnsiTheme="minorHAnsi" w:cstheme="minorHAnsi"/>
          <w:i/>
          <w:shd w:val="clear" w:color="auto" w:fill="FFFFFF"/>
        </w:rPr>
        <w:t>,</w:t>
      </w:r>
      <w:bookmarkStart w:id="0" w:name="_GoBack"/>
      <w:bookmarkEnd w:id="0"/>
      <w:r w:rsidR="00B2522A" w:rsidRPr="00B2522A">
        <w:rPr>
          <w:rFonts w:asciiTheme="minorHAnsi" w:hAnsiTheme="minorHAnsi" w:cstheme="minorHAnsi"/>
          <w:i/>
          <w:shd w:val="clear" w:color="auto" w:fill="FFFFFF"/>
        </w:rPr>
        <w:t xml:space="preserve"> per la ripresa dei consumi. In questo ambito servirebbero misure finalizzate alla riduzione del costo del lavoro a carico delle imprese. Soprattutto per permettere al </w:t>
      </w:r>
      <w:r w:rsidR="00F037A3">
        <w:rPr>
          <w:rFonts w:asciiTheme="minorHAnsi" w:hAnsiTheme="minorHAnsi" w:cstheme="minorHAnsi"/>
          <w:i/>
          <w:shd w:val="clear" w:color="auto" w:fill="FFFFFF"/>
        </w:rPr>
        <w:t>settore</w:t>
      </w:r>
      <w:r w:rsidR="00B2522A" w:rsidRPr="00B2522A">
        <w:rPr>
          <w:rFonts w:asciiTheme="minorHAnsi" w:hAnsiTheme="minorHAnsi" w:cstheme="minorHAnsi"/>
          <w:i/>
          <w:shd w:val="clear" w:color="auto" w:fill="FFFFFF"/>
        </w:rPr>
        <w:t xml:space="preserve"> immobiliare di ritornare ad essere la locomotiva del Paese”.</w:t>
      </w:r>
    </w:p>
    <w:p w:rsidR="00C27D27" w:rsidRPr="00D706D0" w:rsidRDefault="00812006" w:rsidP="0087573A">
      <w:pPr>
        <w:suppressAutoHyphens w:val="0"/>
        <w:jc w:val="center"/>
        <w:rPr>
          <w:rFonts w:asciiTheme="minorHAnsi" w:hAnsiTheme="minorHAnsi" w:cstheme="minorHAnsi"/>
          <w:b/>
          <w:sz w:val="28"/>
        </w:rPr>
      </w:pPr>
      <w:r>
        <w:rPr>
          <w:rFonts w:asciiTheme="minorHAnsi" w:hAnsiTheme="minorHAnsi" w:cstheme="minorHAnsi"/>
          <w:i/>
          <w:shd w:val="clear" w:color="auto" w:fill="FFFFFF"/>
        </w:rPr>
        <w:br w:type="column"/>
      </w:r>
      <w:r w:rsidR="008444E7" w:rsidRPr="00D706D0">
        <w:rPr>
          <w:rFonts w:asciiTheme="minorHAnsi" w:hAnsiTheme="minorHAnsi" w:cstheme="minorHAnsi"/>
          <w:b/>
          <w:sz w:val="36"/>
        </w:rPr>
        <w:lastRenderedPageBreak/>
        <w:t>Tavole &amp; Figure</w:t>
      </w:r>
    </w:p>
    <w:p w:rsidR="00D706D0" w:rsidRPr="00BC34F9" w:rsidRDefault="00D706D0" w:rsidP="00D706D0">
      <w:pPr>
        <w:spacing w:before="120"/>
        <w:jc w:val="right"/>
        <w:rPr>
          <w:rFonts w:ascii="Arial" w:hAnsi="Arial" w:cs="Arial"/>
          <w:sz w:val="20"/>
          <w:szCs w:val="20"/>
        </w:rPr>
      </w:pPr>
      <w:r w:rsidRPr="00BC34F9">
        <w:rPr>
          <w:rFonts w:ascii="Arial" w:hAnsi="Arial" w:cs="Arial"/>
          <w:sz w:val="20"/>
          <w:szCs w:val="20"/>
        </w:rPr>
        <w:t>Tavola A.1</w:t>
      </w:r>
    </w:p>
    <w:p w:rsidR="00D706D0" w:rsidRPr="007F5EB4" w:rsidRDefault="00D706D0" w:rsidP="00D706D0">
      <w:pPr>
        <w:jc w:val="center"/>
        <w:rPr>
          <w:rFonts w:ascii="Arial" w:hAnsi="Arial" w:cs="Arial"/>
          <w:b/>
          <w:sz w:val="12"/>
          <w:szCs w:val="20"/>
        </w:rPr>
      </w:pPr>
    </w:p>
    <w:p w:rsidR="00D706D0" w:rsidRDefault="00D706D0" w:rsidP="00310654">
      <w:pPr>
        <w:jc w:val="center"/>
        <w:rPr>
          <w:rFonts w:ascii="Arial" w:hAnsi="Arial" w:cs="Arial"/>
          <w:i/>
          <w:sz w:val="20"/>
          <w:szCs w:val="20"/>
        </w:rPr>
      </w:pPr>
      <w:r>
        <w:rPr>
          <w:rFonts w:ascii="Arial" w:hAnsi="Arial" w:cs="Arial"/>
          <w:b/>
          <w:sz w:val="20"/>
          <w:szCs w:val="20"/>
        </w:rPr>
        <w:t>C</w:t>
      </w:r>
      <w:r w:rsidRPr="00BC34F9">
        <w:rPr>
          <w:rFonts w:ascii="Arial" w:hAnsi="Arial" w:cs="Arial"/>
          <w:b/>
          <w:sz w:val="20"/>
          <w:szCs w:val="20"/>
        </w:rPr>
        <w:t xml:space="preserve">ittà capoluogo di Provincia – </w:t>
      </w:r>
      <w:r>
        <w:rPr>
          <w:rFonts w:ascii="Arial" w:hAnsi="Arial" w:cs="Arial"/>
          <w:b/>
          <w:sz w:val="20"/>
          <w:szCs w:val="20"/>
        </w:rPr>
        <w:t>Preconsuntivi per l’anno 2019 delle variabili caratteristiche della compravendita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Pr="00BC34F9">
        <w:rPr>
          <w:rFonts w:ascii="Arial" w:hAnsi="Arial" w:cs="Arial"/>
          <w:i/>
          <w:sz w:val="20"/>
          <w:szCs w:val="20"/>
        </w:rPr>
        <w:t>(</w:t>
      </w:r>
      <w:r>
        <w:rPr>
          <w:rFonts w:ascii="Arial" w:hAnsi="Arial" w:cs="Arial"/>
          <w:i/>
          <w:sz w:val="20"/>
          <w:szCs w:val="20"/>
        </w:rPr>
        <w:t>variazioni</w:t>
      </w:r>
      <w:r w:rsidRPr="00BC34F9">
        <w:rPr>
          <w:rFonts w:ascii="Arial" w:hAnsi="Arial" w:cs="Arial"/>
          <w:i/>
          <w:sz w:val="20"/>
          <w:szCs w:val="20"/>
        </w:rPr>
        <w:t xml:space="preserve"> %</w:t>
      </w:r>
      <w:r>
        <w:rPr>
          <w:rFonts w:ascii="Arial" w:hAnsi="Arial" w:cs="Arial"/>
          <w:i/>
          <w:sz w:val="20"/>
          <w:szCs w:val="20"/>
        </w:rPr>
        <w:t xml:space="preserve"> tendenziali, salvo dove diversamente specificato</w:t>
      </w:r>
      <w:r w:rsidRPr="00BC34F9">
        <w:rPr>
          <w:rFonts w:ascii="Arial" w:hAnsi="Arial" w:cs="Arial"/>
          <w:i/>
          <w:sz w:val="20"/>
          <w:szCs w:val="20"/>
        </w:rPr>
        <w:t>)</w:t>
      </w:r>
    </w:p>
    <w:tbl>
      <w:tblPr>
        <w:tblStyle w:val="Sfondochiaro-Colore3"/>
        <w:tblW w:w="8755" w:type="dxa"/>
        <w:tblLayout w:type="fixed"/>
        <w:tblLook w:val="04A0" w:firstRow="1" w:lastRow="0" w:firstColumn="1" w:lastColumn="0" w:noHBand="0" w:noVBand="1"/>
      </w:tblPr>
      <w:tblGrid>
        <w:gridCol w:w="1497"/>
        <w:gridCol w:w="1814"/>
        <w:gridCol w:w="1815"/>
        <w:gridCol w:w="1814"/>
        <w:gridCol w:w="1815"/>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814" w:type="dxa"/>
            <w:noWrap/>
            <w:hideMark/>
          </w:tcPr>
          <w:p w:rsidR="00D706D0" w:rsidRPr="00E573A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573A5">
              <w:rPr>
                <w:rFonts w:ascii="Arial" w:hAnsi="Arial" w:cs="Arial"/>
                <w:color w:val="000000"/>
                <w:sz w:val="20"/>
                <w:szCs w:val="20"/>
              </w:rPr>
              <w:t>Numero di contratti</w:t>
            </w:r>
          </w:p>
        </w:tc>
        <w:tc>
          <w:tcPr>
            <w:tcW w:w="1815" w:type="dxa"/>
          </w:tcPr>
          <w:p w:rsidR="00D706D0" w:rsidRPr="00E573A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E573A5">
              <w:rPr>
                <w:rFonts w:ascii="Arial" w:hAnsi="Arial" w:cs="Arial"/>
                <w:bCs w:val="0"/>
                <w:color w:val="000000"/>
                <w:sz w:val="20"/>
                <w:szCs w:val="20"/>
              </w:rPr>
              <w:t>Prezzi medi di vendita</w:t>
            </w:r>
          </w:p>
        </w:tc>
        <w:tc>
          <w:tcPr>
            <w:tcW w:w="1814" w:type="dxa"/>
          </w:tcPr>
          <w:p w:rsidR="00D706D0" w:rsidRPr="00E573A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E573A5">
              <w:rPr>
                <w:rFonts w:ascii="Arial" w:hAnsi="Arial" w:cs="Arial"/>
                <w:bCs w:val="0"/>
                <w:color w:val="000000"/>
                <w:sz w:val="20"/>
                <w:szCs w:val="20"/>
              </w:rPr>
              <w:t>Tempi medi di vendita (mesi)</w:t>
            </w:r>
          </w:p>
        </w:tc>
        <w:tc>
          <w:tcPr>
            <w:tcW w:w="1815" w:type="dxa"/>
            <w:noWrap/>
            <w:hideMark/>
          </w:tcPr>
          <w:p w:rsidR="00D706D0"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573A5">
              <w:rPr>
                <w:rFonts w:ascii="Arial" w:hAnsi="Arial" w:cs="Arial"/>
                <w:color w:val="000000"/>
                <w:sz w:val="20"/>
                <w:szCs w:val="20"/>
              </w:rPr>
              <w:t>Sconti sul prezzo di offerta</w:t>
            </w:r>
          </w:p>
          <w:p w:rsidR="00D706D0" w:rsidRPr="00E573A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20"/>
                <w:szCs w:val="20"/>
              </w:rPr>
              <w:t>valori</w:t>
            </w:r>
            <w:proofErr w:type="gramEnd"/>
            <w:r>
              <w:rPr>
                <w:rFonts w:ascii="Arial" w:hAnsi="Arial" w:cs="Arial"/>
                <w:color w:val="000000"/>
                <w:sz w:val="20"/>
                <w:szCs w:val="20"/>
              </w:rPr>
              <w:t xml:space="preserve"> %)</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814"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815"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814"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815"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815"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814"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815"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4,1</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-0,2</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5,7</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9,6</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4,8</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-0,4</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7,0</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11,1</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4,1</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-1,1</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7,4</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11,8</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15"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14"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15"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55" w:type="dxa"/>
            <w:gridSpan w:val="5"/>
            <w:noWrap/>
            <w:hideMark/>
          </w:tcPr>
          <w:p w:rsidR="00D706D0" w:rsidRPr="00E04C1B" w:rsidRDefault="00D706D0" w:rsidP="00D706D0">
            <w:pPr>
              <w:rPr>
                <w:rFonts w:ascii="Arial" w:hAnsi="Arial" w:cs="Arial"/>
                <w:b w:val="0"/>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815" w:type="dxa"/>
            <w:noWrap/>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814" w:type="dxa"/>
            <w:noWrap/>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815" w:type="dxa"/>
            <w:noWrap/>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4,8</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-0,2</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6,3</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9,3</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4,1</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6,6</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11,5</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3,7</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6,7</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11,8</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4,3</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-0,4</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6,5</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10,5</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spacing w:before="120"/>
        <w:jc w:val="right"/>
        <w:rPr>
          <w:rFonts w:ascii="Arial" w:hAnsi="Arial" w:cs="Arial"/>
          <w:sz w:val="20"/>
          <w:szCs w:val="20"/>
        </w:rPr>
      </w:pPr>
      <w:r>
        <w:rPr>
          <w:rFonts w:ascii="Arial" w:hAnsi="Arial" w:cs="Arial"/>
          <w:sz w:val="20"/>
          <w:szCs w:val="20"/>
        </w:rPr>
        <w:t>Figura</w:t>
      </w:r>
      <w:r w:rsidRPr="00BC34F9">
        <w:rPr>
          <w:rFonts w:ascii="Arial" w:hAnsi="Arial" w:cs="Arial"/>
          <w:sz w:val="20"/>
          <w:szCs w:val="20"/>
        </w:rPr>
        <w:t xml:space="preserve"> A.1</w:t>
      </w:r>
    </w:p>
    <w:p w:rsidR="00D706D0" w:rsidRDefault="00D706D0" w:rsidP="00D706D0">
      <w:pPr>
        <w:spacing w:after="120"/>
        <w:jc w:val="center"/>
      </w:pPr>
      <w:r>
        <w:rPr>
          <w:rFonts w:ascii="Arial" w:hAnsi="Arial" w:cs="Arial"/>
          <w:b/>
          <w:sz w:val="20"/>
          <w:szCs w:val="20"/>
        </w:rPr>
        <w:t>C</w:t>
      </w:r>
      <w:r w:rsidRPr="00BC34F9">
        <w:rPr>
          <w:rFonts w:ascii="Arial" w:hAnsi="Arial" w:cs="Arial"/>
          <w:b/>
          <w:sz w:val="20"/>
          <w:szCs w:val="20"/>
        </w:rPr>
        <w:t xml:space="preserve">ittà capoluogo di Provincia – </w:t>
      </w:r>
      <w:r w:rsidRPr="000F5EC7">
        <w:rPr>
          <w:rFonts w:ascii="Arial" w:hAnsi="Arial" w:cs="Arial"/>
          <w:b/>
          <w:sz w:val="20"/>
          <w:szCs w:val="20"/>
        </w:rPr>
        <w:t>Quota percentuale di vendite di appartamenti nuovi sul totale complessivo</w:t>
      </w:r>
      <w:r w:rsidR="00310654">
        <w:rPr>
          <w:rFonts w:ascii="Arial" w:hAnsi="Arial" w:cs="Arial"/>
          <w:b/>
          <w:sz w:val="20"/>
          <w:szCs w:val="20"/>
        </w:rPr>
        <w:t xml:space="preserve"> </w:t>
      </w:r>
      <w:r w:rsidRPr="000F5EC7">
        <w:rPr>
          <w:rFonts w:ascii="Arial" w:hAnsi="Arial" w:cs="Arial"/>
          <w:i/>
          <w:sz w:val="20"/>
          <w:szCs w:val="20"/>
        </w:rPr>
        <w:t>(valori % a preconsuntivo del 2019)</w:t>
      </w:r>
      <w:r>
        <w:rPr>
          <w:noProof/>
          <w:lang w:eastAsia="it-IT"/>
        </w:rPr>
        <w:drawing>
          <wp:inline distT="0" distB="0" distL="0" distR="0">
            <wp:extent cx="5400675" cy="2657475"/>
            <wp:effectExtent l="19050" t="0" r="9525" b="0"/>
            <wp:docPr id="3"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06D0"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spacing w:before="120"/>
        <w:jc w:val="right"/>
        <w:rPr>
          <w:rFonts w:ascii="Arial" w:hAnsi="Arial" w:cs="Arial"/>
          <w:sz w:val="20"/>
          <w:szCs w:val="20"/>
        </w:rPr>
      </w:pPr>
      <w:r>
        <w:rPr>
          <w:rFonts w:ascii="Arial" w:hAnsi="Arial" w:cs="Arial"/>
          <w:sz w:val="20"/>
          <w:szCs w:val="20"/>
        </w:rPr>
        <w:t>Tavola A.2</w:t>
      </w:r>
    </w:p>
    <w:p w:rsidR="00D706D0" w:rsidRDefault="00D706D0" w:rsidP="00D706D0">
      <w:pPr>
        <w:jc w:val="center"/>
        <w:rPr>
          <w:rFonts w:ascii="Arial" w:hAnsi="Arial" w:cs="Arial"/>
          <w:i/>
          <w:sz w:val="20"/>
          <w:szCs w:val="20"/>
        </w:rPr>
      </w:pPr>
      <w:r>
        <w:rPr>
          <w:rFonts w:ascii="Arial" w:hAnsi="Arial" w:cs="Arial"/>
          <w:b/>
          <w:sz w:val="20"/>
          <w:szCs w:val="20"/>
        </w:rPr>
        <w:t>C</w:t>
      </w:r>
      <w:r w:rsidRPr="00BC34F9">
        <w:rPr>
          <w:rFonts w:ascii="Arial" w:hAnsi="Arial" w:cs="Arial"/>
          <w:b/>
          <w:sz w:val="20"/>
          <w:szCs w:val="20"/>
        </w:rPr>
        <w:t xml:space="preserve">ittà capoluogo di Provincia – </w:t>
      </w:r>
      <w:r>
        <w:rPr>
          <w:rFonts w:ascii="Arial" w:hAnsi="Arial" w:cs="Arial"/>
          <w:b/>
          <w:sz w:val="20"/>
          <w:szCs w:val="20"/>
        </w:rPr>
        <w:t>Preconsuntivi per l’anno 2019 delle variabili caratteristiche della locazione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Pr="00BC34F9">
        <w:rPr>
          <w:rFonts w:ascii="Arial" w:hAnsi="Arial" w:cs="Arial"/>
          <w:i/>
          <w:sz w:val="20"/>
          <w:szCs w:val="20"/>
        </w:rPr>
        <w:t>(</w:t>
      </w:r>
      <w:r>
        <w:rPr>
          <w:rFonts w:ascii="Arial" w:hAnsi="Arial" w:cs="Arial"/>
          <w:i/>
          <w:sz w:val="20"/>
          <w:szCs w:val="20"/>
        </w:rPr>
        <w:t>variazioni</w:t>
      </w:r>
      <w:r w:rsidRPr="00BC34F9">
        <w:rPr>
          <w:rFonts w:ascii="Arial" w:hAnsi="Arial" w:cs="Arial"/>
          <w:i/>
          <w:sz w:val="20"/>
          <w:szCs w:val="20"/>
        </w:rPr>
        <w:t xml:space="preserve"> %</w:t>
      </w:r>
      <w:r>
        <w:rPr>
          <w:rFonts w:ascii="Arial" w:hAnsi="Arial" w:cs="Arial"/>
          <w:i/>
          <w:sz w:val="20"/>
          <w:szCs w:val="20"/>
        </w:rPr>
        <w:t xml:space="preserve"> tendenziali</w:t>
      </w:r>
      <w:r w:rsidRPr="00BC34F9">
        <w:rPr>
          <w:rFonts w:ascii="Arial" w:hAnsi="Arial" w:cs="Arial"/>
          <w:i/>
          <w:sz w:val="20"/>
          <w:szCs w:val="20"/>
        </w:rPr>
        <w:t>)</w:t>
      </w:r>
    </w:p>
    <w:p w:rsidR="00D706D0" w:rsidRPr="00BC34F9" w:rsidRDefault="00D706D0" w:rsidP="00D706D0">
      <w:pPr>
        <w:jc w:val="center"/>
        <w:rPr>
          <w:rFonts w:ascii="Arial" w:hAnsi="Arial" w:cs="Arial"/>
          <w:i/>
          <w:sz w:val="20"/>
          <w:szCs w:val="20"/>
        </w:rPr>
      </w:pPr>
    </w:p>
    <w:tbl>
      <w:tblPr>
        <w:tblStyle w:val="Sfondochiaro-Colore3"/>
        <w:tblW w:w="8755" w:type="dxa"/>
        <w:tblLayout w:type="fixed"/>
        <w:tblLook w:val="04A0" w:firstRow="1" w:lastRow="0" w:firstColumn="1" w:lastColumn="0" w:noHBand="0" w:noVBand="1"/>
      </w:tblPr>
      <w:tblGrid>
        <w:gridCol w:w="1497"/>
        <w:gridCol w:w="1814"/>
        <w:gridCol w:w="1815"/>
        <w:gridCol w:w="1814"/>
        <w:gridCol w:w="1815"/>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3629" w:type="dxa"/>
            <w:gridSpan w:val="2"/>
            <w:noWrap/>
            <w:hideMark/>
          </w:tcPr>
          <w:p w:rsidR="00D706D0" w:rsidRPr="00E573A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Pr>
                <w:rFonts w:ascii="Arial" w:hAnsi="Arial" w:cs="Arial"/>
                <w:color w:val="000000"/>
                <w:sz w:val="20"/>
                <w:szCs w:val="20"/>
              </w:rPr>
              <w:t>Locazioni ordinarie</w:t>
            </w:r>
          </w:p>
        </w:tc>
        <w:tc>
          <w:tcPr>
            <w:tcW w:w="3629" w:type="dxa"/>
            <w:gridSpan w:val="2"/>
          </w:tcPr>
          <w:p w:rsidR="00D706D0" w:rsidRPr="00E573A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bCs w:val="0"/>
                <w:color w:val="000000"/>
                <w:sz w:val="20"/>
                <w:szCs w:val="20"/>
              </w:rPr>
              <w:t>Locazioni brevi</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hideMark/>
          </w:tcPr>
          <w:p w:rsidR="00D706D0" w:rsidRPr="00E573A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573A5">
              <w:rPr>
                <w:rFonts w:ascii="Arial" w:hAnsi="Arial" w:cs="Arial"/>
                <w:color w:val="000000"/>
                <w:sz w:val="20"/>
                <w:szCs w:val="20"/>
              </w:rPr>
              <w:t>Numero di contratti</w:t>
            </w:r>
          </w:p>
        </w:tc>
        <w:tc>
          <w:tcPr>
            <w:tcW w:w="1815" w:type="dxa"/>
          </w:tcPr>
          <w:p w:rsidR="00D706D0" w:rsidRPr="00E573A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Pr>
                <w:rFonts w:ascii="Arial" w:hAnsi="Arial" w:cs="Arial"/>
                <w:bCs/>
                <w:color w:val="000000"/>
                <w:sz w:val="20"/>
                <w:szCs w:val="20"/>
              </w:rPr>
              <w:t xml:space="preserve">Canoni </w:t>
            </w:r>
            <w:r w:rsidRPr="00E573A5">
              <w:rPr>
                <w:rFonts w:ascii="Arial" w:hAnsi="Arial" w:cs="Arial"/>
                <w:bCs/>
                <w:color w:val="000000"/>
                <w:sz w:val="20"/>
                <w:szCs w:val="20"/>
              </w:rPr>
              <w:t xml:space="preserve">medi di </w:t>
            </w:r>
            <w:r>
              <w:rPr>
                <w:rFonts w:ascii="Arial" w:hAnsi="Arial" w:cs="Arial"/>
                <w:bCs/>
                <w:color w:val="000000"/>
                <w:sz w:val="20"/>
                <w:szCs w:val="20"/>
              </w:rPr>
              <w:t>locazione</w:t>
            </w:r>
          </w:p>
        </w:tc>
        <w:tc>
          <w:tcPr>
            <w:tcW w:w="1814" w:type="dxa"/>
          </w:tcPr>
          <w:p w:rsidR="00D706D0" w:rsidRPr="00E573A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573A5">
              <w:rPr>
                <w:rFonts w:ascii="Arial" w:hAnsi="Arial" w:cs="Arial"/>
                <w:color w:val="000000"/>
                <w:sz w:val="20"/>
                <w:szCs w:val="20"/>
              </w:rPr>
              <w:t>Numero di contratti</w:t>
            </w:r>
          </w:p>
        </w:tc>
        <w:tc>
          <w:tcPr>
            <w:tcW w:w="1815" w:type="dxa"/>
            <w:noWrap/>
            <w:hideMark/>
          </w:tcPr>
          <w:p w:rsidR="00D706D0" w:rsidRPr="00E573A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Pr>
                <w:rFonts w:ascii="Arial" w:hAnsi="Arial" w:cs="Arial"/>
                <w:bCs/>
                <w:color w:val="000000"/>
                <w:sz w:val="20"/>
                <w:szCs w:val="20"/>
              </w:rPr>
              <w:t xml:space="preserve">Canoni </w:t>
            </w:r>
            <w:r w:rsidRPr="00E573A5">
              <w:rPr>
                <w:rFonts w:ascii="Arial" w:hAnsi="Arial" w:cs="Arial"/>
                <w:bCs/>
                <w:color w:val="000000"/>
                <w:sz w:val="20"/>
                <w:szCs w:val="20"/>
              </w:rPr>
              <w:t xml:space="preserve">medi di </w:t>
            </w:r>
            <w:r>
              <w:rPr>
                <w:rFonts w:ascii="Arial" w:hAnsi="Arial" w:cs="Arial"/>
                <w:bCs/>
                <w:color w:val="000000"/>
                <w:sz w:val="20"/>
                <w:szCs w:val="20"/>
              </w:rPr>
              <w:t>locazione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814"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815"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814"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815"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it-IT"/>
              </w:rPr>
            </w:pPr>
          </w:p>
        </w:tc>
        <w:tc>
          <w:tcPr>
            <w:tcW w:w="1815"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it-IT"/>
              </w:rPr>
            </w:pPr>
          </w:p>
        </w:tc>
        <w:tc>
          <w:tcPr>
            <w:tcW w:w="1814"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it-IT"/>
              </w:rPr>
            </w:pPr>
          </w:p>
        </w:tc>
        <w:tc>
          <w:tcPr>
            <w:tcW w:w="1815"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2,0</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1,6</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3,3</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2,2</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2,8</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1,2</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1,8</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0,7</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vAlign w:val="bottom"/>
            <w:hideMark/>
          </w:tcPr>
          <w:p w:rsidR="00D706D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15" w:type="dxa"/>
            <w:noWrap/>
            <w:vAlign w:val="bottom"/>
            <w:hideMark/>
          </w:tcPr>
          <w:p w:rsidR="00D706D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14" w:type="dxa"/>
            <w:noWrap/>
            <w:vAlign w:val="bottom"/>
            <w:hideMark/>
          </w:tcPr>
          <w:p w:rsidR="00D706D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15" w:type="dxa"/>
            <w:noWrap/>
            <w:vAlign w:val="bottom"/>
            <w:hideMark/>
          </w:tcPr>
          <w:p w:rsidR="00D706D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8755" w:type="dxa"/>
            <w:gridSpan w:val="5"/>
            <w:noWrap/>
            <w:hideMark/>
          </w:tcPr>
          <w:p w:rsidR="00D706D0" w:rsidRPr="00E04C1B" w:rsidRDefault="00D706D0" w:rsidP="00D706D0">
            <w:pPr>
              <w:rPr>
                <w:rFonts w:ascii="Arial" w:hAnsi="Arial" w:cs="Arial"/>
                <w:b w:val="0"/>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lang w:eastAsia="it-IT"/>
              </w:rPr>
            </w:pPr>
          </w:p>
        </w:tc>
        <w:tc>
          <w:tcPr>
            <w:tcW w:w="1815" w:type="dxa"/>
            <w:noWrap/>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lang w:eastAsia="it-IT"/>
              </w:rPr>
            </w:pPr>
          </w:p>
        </w:tc>
        <w:tc>
          <w:tcPr>
            <w:tcW w:w="1814" w:type="dxa"/>
            <w:noWrap/>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lang w:eastAsia="it-IT"/>
              </w:rPr>
            </w:pPr>
          </w:p>
        </w:tc>
        <w:tc>
          <w:tcPr>
            <w:tcW w:w="1815" w:type="dxa"/>
            <w:noWrap/>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1,5</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2,5</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0,9</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2,3</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1,2</w:t>
            </w: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2,3</w:t>
            </w: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2,6</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3,1</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1,6</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p>
        </w:tc>
        <w:tc>
          <w:tcPr>
            <w:tcW w:w="1814"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p>
        </w:tc>
        <w:tc>
          <w:tcPr>
            <w:tcW w:w="1815"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1,8</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1,4</w:t>
            </w:r>
          </w:p>
        </w:tc>
        <w:tc>
          <w:tcPr>
            <w:tcW w:w="1814"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2,6</w:t>
            </w:r>
          </w:p>
        </w:tc>
        <w:tc>
          <w:tcPr>
            <w:tcW w:w="1815"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1,2</w:t>
            </w:r>
          </w:p>
        </w:tc>
      </w:tr>
    </w:tbl>
    <w:p w:rsidR="00D706D0"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7F5EB4" w:rsidRPr="007F5EB4" w:rsidRDefault="007F5EB4" w:rsidP="00D706D0">
      <w:pPr>
        <w:spacing w:before="120"/>
        <w:jc w:val="right"/>
        <w:rPr>
          <w:rFonts w:ascii="Arial" w:hAnsi="Arial" w:cs="Arial"/>
          <w:sz w:val="14"/>
          <w:szCs w:val="20"/>
        </w:rPr>
      </w:pPr>
    </w:p>
    <w:p w:rsidR="00D706D0" w:rsidRPr="00BC34F9" w:rsidRDefault="00D706D0" w:rsidP="00D706D0">
      <w:pPr>
        <w:spacing w:before="120"/>
        <w:jc w:val="right"/>
        <w:rPr>
          <w:rFonts w:ascii="Arial" w:hAnsi="Arial" w:cs="Arial"/>
          <w:sz w:val="20"/>
          <w:szCs w:val="20"/>
        </w:rPr>
      </w:pPr>
      <w:r>
        <w:rPr>
          <w:rFonts w:ascii="Arial" w:hAnsi="Arial" w:cs="Arial"/>
          <w:sz w:val="20"/>
          <w:szCs w:val="20"/>
        </w:rPr>
        <w:t>Tavola A.3</w:t>
      </w:r>
    </w:p>
    <w:p w:rsidR="00D706D0" w:rsidRPr="00D706D0" w:rsidRDefault="00D706D0" w:rsidP="00D706D0">
      <w:pPr>
        <w:jc w:val="center"/>
        <w:rPr>
          <w:rFonts w:ascii="Arial" w:hAnsi="Arial" w:cs="Arial"/>
          <w:i/>
          <w:sz w:val="14"/>
          <w:szCs w:val="20"/>
        </w:rPr>
      </w:pPr>
      <w:r>
        <w:rPr>
          <w:rFonts w:ascii="Arial" w:hAnsi="Arial" w:cs="Arial"/>
          <w:b/>
          <w:sz w:val="20"/>
          <w:szCs w:val="20"/>
        </w:rPr>
        <w:t>Quota % dei Comuni minori delle Province</w:t>
      </w:r>
      <w:r w:rsidR="00310654">
        <w:rPr>
          <w:rFonts w:ascii="Arial" w:hAnsi="Arial" w:cs="Arial"/>
          <w:b/>
          <w:sz w:val="20"/>
          <w:szCs w:val="20"/>
        </w:rPr>
        <w:t xml:space="preserve"> </w:t>
      </w:r>
      <w:r>
        <w:rPr>
          <w:rFonts w:ascii="Arial" w:hAnsi="Arial" w:cs="Arial"/>
          <w:b/>
          <w:sz w:val="20"/>
          <w:szCs w:val="20"/>
        </w:rPr>
        <w:t xml:space="preserve">monitorate </w:t>
      </w:r>
      <w:r w:rsidRPr="00BC34F9">
        <w:rPr>
          <w:rFonts w:ascii="Arial" w:hAnsi="Arial" w:cs="Arial"/>
          <w:b/>
          <w:sz w:val="20"/>
          <w:szCs w:val="20"/>
        </w:rPr>
        <w:t xml:space="preserve">– </w:t>
      </w:r>
      <w:r>
        <w:rPr>
          <w:rFonts w:ascii="Arial" w:hAnsi="Arial" w:cs="Arial"/>
          <w:b/>
          <w:sz w:val="20"/>
          <w:szCs w:val="20"/>
        </w:rPr>
        <w:t>Giudizi a preconsuntivo per l’anno 2019 delle variabili caratteristiche della compravendita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00AF0481" w:rsidRPr="00B153E6">
        <w:rPr>
          <w:rFonts w:ascii="Arial" w:hAnsi="Arial" w:cs="Arial"/>
          <w:i/>
          <w:sz w:val="20"/>
          <w:szCs w:val="20"/>
        </w:rPr>
        <w:t>(valori %)</w:t>
      </w: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Numero di contratti</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Prezzi</w:t>
            </w:r>
            <w:r w:rsidRPr="00BC34F9">
              <w:rPr>
                <w:rFonts w:ascii="Arial" w:hAnsi="Arial" w:cs="Arial"/>
                <w:color w:val="000000"/>
                <w:sz w:val="20"/>
                <w:szCs w:val="20"/>
              </w:rPr>
              <w:t xml:space="preserve"> di </w:t>
            </w:r>
            <w:r>
              <w:rPr>
                <w:rFonts w:ascii="Arial" w:hAnsi="Arial" w:cs="Arial"/>
                <w:color w:val="000000"/>
                <w:sz w:val="20"/>
                <w:szCs w:val="20"/>
              </w:rPr>
              <w:t>compravendita</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Rimasti</w:t>
            </w:r>
            <w:r w:rsidRPr="00BC34F9">
              <w:rPr>
                <w:rFonts w:ascii="Arial" w:hAnsi="Arial" w:cs="Arial"/>
                <w:color w:val="000000"/>
                <w:sz w:val="20"/>
                <w:szCs w:val="20"/>
              </w:rPr>
              <w:t xml:space="preserve">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Rimasti</w:t>
            </w:r>
            <w:r w:rsidRPr="00BC34F9">
              <w:rPr>
                <w:rFonts w:ascii="Arial" w:hAnsi="Arial" w:cs="Arial"/>
                <w:color w:val="000000"/>
                <w:sz w:val="20"/>
                <w:szCs w:val="20"/>
              </w:rPr>
              <w:t xml:space="preserve">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w:t>
            </w:r>
            <w:r>
              <w:rPr>
                <w:rFonts w:ascii="Arial" w:hAnsi="Arial" w:cs="Arial"/>
                <w:color w:val="000000"/>
                <w:sz w:val="20"/>
                <w:szCs w:val="20"/>
              </w:rPr>
              <w:t>ati</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12,5%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77,5%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27,5%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62,5%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16,0%</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33,6%</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50,3%</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59,9%</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35,5%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4,6%</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17,2%</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23,4%</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59,4%</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49,6%</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42,7%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7,6%</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12,7%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19,7%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67,6%</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31,9%</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61,8%</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6,3%</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42,5%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57,5%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42,5%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57,5%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27,1%</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28,1%</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44,8%</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82,3%</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7,3%</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10,4%</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15,8%</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25,7%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58,5%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50,4%</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42,8%</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6,8%</w:t>
            </w:r>
          </w:p>
        </w:tc>
      </w:tr>
    </w:tbl>
    <w:p w:rsidR="007F5EB4" w:rsidRDefault="00D706D0" w:rsidP="007F5EB4">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7F5EB4">
      <w:pPr>
        <w:spacing w:before="120"/>
        <w:jc w:val="right"/>
        <w:rPr>
          <w:rFonts w:ascii="Arial" w:hAnsi="Arial" w:cs="Arial"/>
          <w:sz w:val="20"/>
          <w:szCs w:val="20"/>
        </w:rPr>
      </w:pPr>
      <w:r>
        <w:rPr>
          <w:rFonts w:ascii="Arial" w:hAnsi="Arial" w:cs="Arial"/>
          <w:sz w:val="20"/>
          <w:szCs w:val="20"/>
        </w:rPr>
        <w:t>Tavola A.4</w:t>
      </w:r>
    </w:p>
    <w:p w:rsidR="00D706D0" w:rsidRPr="00BC34F9" w:rsidRDefault="00D706D0" w:rsidP="00D706D0">
      <w:pPr>
        <w:jc w:val="center"/>
        <w:rPr>
          <w:rFonts w:ascii="Arial" w:hAnsi="Arial" w:cs="Arial"/>
          <w:i/>
          <w:sz w:val="20"/>
          <w:szCs w:val="20"/>
        </w:rPr>
      </w:pPr>
      <w:r>
        <w:rPr>
          <w:rFonts w:ascii="Arial" w:hAnsi="Arial" w:cs="Arial"/>
          <w:b/>
          <w:sz w:val="20"/>
          <w:szCs w:val="20"/>
        </w:rPr>
        <w:t>Quota % dei Comuni minori delle Province</w:t>
      </w:r>
      <w:r w:rsidR="00310654">
        <w:rPr>
          <w:rFonts w:ascii="Arial" w:hAnsi="Arial" w:cs="Arial"/>
          <w:b/>
          <w:sz w:val="20"/>
          <w:szCs w:val="20"/>
        </w:rPr>
        <w:t xml:space="preserve"> </w:t>
      </w:r>
      <w:r>
        <w:rPr>
          <w:rFonts w:ascii="Arial" w:hAnsi="Arial" w:cs="Arial"/>
          <w:b/>
          <w:sz w:val="20"/>
          <w:szCs w:val="20"/>
        </w:rPr>
        <w:t xml:space="preserve">monitorate </w:t>
      </w:r>
      <w:r w:rsidRPr="00BC34F9">
        <w:rPr>
          <w:rFonts w:ascii="Arial" w:hAnsi="Arial" w:cs="Arial"/>
          <w:b/>
          <w:sz w:val="20"/>
          <w:szCs w:val="20"/>
        </w:rPr>
        <w:t xml:space="preserve">– </w:t>
      </w:r>
      <w:r>
        <w:rPr>
          <w:rFonts w:ascii="Arial" w:hAnsi="Arial" w:cs="Arial"/>
          <w:b/>
          <w:sz w:val="20"/>
          <w:szCs w:val="20"/>
        </w:rPr>
        <w:t>Giudizi a preconsuntivo per l’anno 2019 delle variabili caratteristiche della locazione ordinaria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00AF0481" w:rsidRPr="00B153E6">
        <w:rPr>
          <w:rFonts w:ascii="Arial" w:hAnsi="Arial" w:cs="Arial"/>
          <w:i/>
          <w:sz w:val="20"/>
          <w:szCs w:val="20"/>
        </w:rPr>
        <w:t>(valori %)</w:t>
      </w: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Numero di contratti</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Canoni</w:t>
            </w:r>
            <w:r w:rsidRPr="00BC34F9">
              <w:rPr>
                <w:rFonts w:ascii="Arial" w:hAnsi="Arial" w:cs="Arial"/>
                <w:color w:val="000000"/>
                <w:sz w:val="20"/>
                <w:szCs w:val="20"/>
              </w:rPr>
              <w:t xml:space="preserve"> di </w:t>
            </w:r>
            <w:r>
              <w:rPr>
                <w:rFonts w:ascii="Arial" w:hAnsi="Arial" w:cs="Arial"/>
                <w:color w:val="000000"/>
                <w:sz w:val="20"/>
                <w:szCs w:val="20"/>
              </w:rPr>
              <w:t>locazione</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Rimasti</w:t>
            </w:r>
            <w:r w:rsidRPr="00BC34F9">
              <w:rPr>
                <w:rFonts w:ascii="Arial" w:hAnsi="Arial" w:cs="Arial"/>
                <w:color w:val="000000"/>
                <w:sz w:val="20"/>
                <w:szCs w:val="20"/>
              </w:rPr>
              <w:t xml:space="preserve">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Rimasti</w:t>
            </w:r>
            <w:r w:rsidRPr="00BC34F9">
              <w:rPr>
                <w:rFonts w:ascii="Arial" w:hAnsi="Arial" w:cs="Arial"/>
                <w:color w:val="000000"/>
                <w:sz w:val="20"/>
                <w:szCs w:val="20"/>
              </w:rPr>
              <w:t xml:space="preserve">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w:t>
            </w:r>
            <w:r>
              <w:rPr>
                <w:rFonts w:ascii="Arial" w:hAnsi="Arial" w:cs="Arial"/>
                <w:color w:val="000000"/>
                <w:sz w:val="20"/>
                <w:szCs w:val="20"/>
              </w:rPr>
              <w:t>ati</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45,0%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52,5%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70,0%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15,1%</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41,0%</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43,8%</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15,1%</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48,8%</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36,1%</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14,0%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38,3%</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47,6%</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15,2%</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57,0%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27,8%</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8,4%</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42,2%</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49,4%</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61,6%</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35,6%</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27,5%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10,0%</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62,5%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17,5%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52,5%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50,0%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36,5%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27,1%</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47,9%</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25,0%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12,8%</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40,3%</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46,9%</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55,7%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31,3%</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spacing w:before="120"/>
        <w:jc w:val="right"/>
        <w:rPr>
          <w:rFonts w:ascii="Arial" w:hAnsi="Arial" w:cs="Arial"/>
          <w:sz w:val="20"/>
          <w:szCs w:val="20"/>
        </w:rPr>
      </w:pPr>
      <w:r>
        <w:rPr>
          <w:rFonts w:ascii="Arial" w:hAnsi="Arial" w:cs="Arial"/>
          <w:sz w:val="20"/>
          <w:szCs w:val="20"/>
        </w:rPr>
        <w:t>Tavola A.5</w:t>
      </w:r>
    </w:p>
    <w:p w:rsidR="00D706D0" w:rsidRPr="00BC34F9" w:rsidRDefault="00D706D0" w:rsidP="00D706D0">
      <w:pPr>
        <w:jc w:val="center"/>
        <w:rPr>
          <w:rFonts w:ascii="Arial" w:hAnsi="Arial" w:cs="Arial"/>
          <w:i/>
          <w:sz w:val="20"/>
          <w:szCs w:val="20"/>
        </w:rPr>
      </w:pPr>
      <w:r>
        <w:rPr>
          <w:rFonts w:ascii="Arial" w:hAnsi="Arial" w:cs="Arial"/>
          <w:b/>
          <w:sz w:val="20"/>
          <w:szCs w:val="20"/>
        </w:rPr>
        <w:t>Quota % dei Comuni minori delle Province</w:t>
      </w:r>
      <w:r w:rsidR="00310654">
        <w:rPr>
          <w:rFonts w:ascii="Arial" w:hAnsi="Arial" w:cs="Arial"/>
          <w:b/>
          <w:sz w:val="20"/>
          <w:szCs w:val="20"/>
        </w:rPr>
        <w:t xml:space="preserve"> </w:t>
      </w:r>
      <w:r>
        <w:rPr>
          <w:rFonts w:ascii="Arial" w:hAnsi="Arial" w:cs="Arial"/>
          <w:b/>
          <w:sz w:val="20"/>
          <w:szCs w:val="20"/>
        </w:rPr>
        <w:t xml:space="preserve">monitorate </w:t>
      </w:r>
      <w:r w:rsidRPr="00BC34F9">
        <w:rPr>
          <w:rFonts w:ascii="Arial" w:hAnsi="Arial" w:cs="Arial"/>
          <w:b/>
          <w:sz w:val="20"/>
          <w:szCs w:val="20"/>
        </w:rPr>
        <w:t xml:space="preserve">– </w:t>
      </w:r>
      <w:r>
        <w:rPr>
          <w:rFonts w:ascii="Arial" w:hAnsi="Arial" w:cs="Arial"/>
          <w:b/>
          <w:sz w:val="20"/>
          <w:szCs w:val="20"/>
        </w:rPr>
        <w:t>Giudizi a preconsuntivo per l’anno 2019 delle variabili caratteristiche della locazione breve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00AF0481" w:rsidRPr="00B153E6">
        <w:rPr>
          <w:rFonts w:ascii="Arial" w:hAnsi="Arial" w:cs="Arial"/>
          <w:i/>
          <w:sz w:val="20"/>
          <w:szCs w:val="20"/>
        </w:rPr>
        <w:t>(valori %)</w:t>
      </w: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Numero di contratti</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Canoni</w:t>
            </w:r>
            <w:r w:rsidRPr="00BC34F9">
              <w:rPr>
                <w:rFonts w:ascii="Arial" w:hAnsi="Arial" w:cs="Arial"/>
                <w:color w:val="000000"/>
                <w:sz w:val="20"/>
                <w:szCs w:val="20"/>
              </w:rPr>
              <w:t xml:space="preserve"> di </w:t>
            </w:r>
            <w:r>
              <w:rPr>
                <w:rFonts w:ascii="Arial" w:hAnsi="Arial" w:cs="Arial"/>
                <w:color w:val="000000"/>
                <w:sz w:val="20"/>
                <w:szCs w:val="20"/>
              </w:rPr>
              <w:t>locazione</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Rimasti</w:t>
            </w:r>
            <w:r w:rsidRPr="00BC34F9">
              <w:rPr>
                <w:rFonts w:ascii="Arial" w:hAnsi="Arial" w:cs="Arial"/>
                <w:color w:val="000000"/>
                <w:sz w:val="20"/>
                <w:szCs w:val="20"/>
              </w:rPr>
              <w:t xml:space="preserve">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w:t>
            </w:r>
            <w:r>
              <w:rPr>
                <w:rFonts w:ascii="Arial" w:hAnsi="Arial" w:cs="Arial"/>
                <w:color w:val="000000"/>
                <w:sz w:val="20"/>
                <w:szCs w:val="20"/>
              </w:rPr>
              <w:t>ati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Rimasti</w:t>
            </w:r>
            <w:r w:rsidRPr="00BC34F9">
              <w:rPr>
                <w:rFonts w:ascii="Arial" w:hAnsi="Arial" w:cs="Arial"/>
                <w:color w:val="000000"/>
                <w:sz w:val="20"/>
                <w:szCs w:val="20"/>
              </w:rPr>
              <w:t xml:space="preserve">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w:t>
            </w:r>
            <w:r>
              <w:rPr>
                <w:rFonts w:ascii="Arial" w:hAnsi="Arial" w:cs="Arial"/>
                <w:color w:val="000000"/>
                <w:sz w:val="20"/>
                <w:szCs w:val="20"/>
              </w:rPr>
              <w:t>ati</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vAlign w:val="center"/>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32,5%</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67,5%</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97,5%</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2,5%</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vAlign w:val="center"/>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11,1%</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47,8%</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41,0%</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7,4%</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59,9%</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32,7%</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vAlign w:val="center"/>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5,4%</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65,9%</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28,7%</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14,0%</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75,4%</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10,6%</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168" w:type="dxa"/>
            <w:noWrap/>
            <w:vAlign w:val="bottom"/>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vAlign w:val="center"/>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5,0%</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59,6%</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35,4%</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6,1%</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73,2%</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20,7%</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vAlign w:val="center"/>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62,5%</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37,5%</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5,0%</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82,5%</w:t>
            </w: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12,5%</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vAlign w:val="center"/>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12,5%</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42,7%</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44,8%</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16,7%</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67,7%</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15,6%</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vAlign w:val="center"/>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center"/>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vAlign w:val="center"/>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6,8%</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54,3%</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38,9%</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9,5%</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72,6%</w:t>
            </w:r>
          </w:p>
        </w:tc>
        <w:tc>
          <w:tcPr>
            <w:tcW w:w="1168" w:type="dxa"/>
            <w:noWrap/>
            <w:vAlign w:val="center"/>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17,9%</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Pr="00BC34F9" w:rsidRDefault="00D706D0" w:rsidP="00D706D0">
      <w:pPr>
        <w:widowControl w:val="0"/>
        <w:autoSpaceDE w:val="0"/>
        <w:autoSpaceDN w:val="0"/>
        <w:adjustRightInd w:val="0"/>
        <w:rPr>
          <w:rFonts w:ascii="Arial" w:hAnsi="Arial" w:cs="Arial"/>
          <w:bCs/>
          <w:sz w:val="20"/>
          <w:szCs w:val="20"/>
        </w:rPr>
      </w:pPr>
    </w:p>
    <w:p w:rsidR="00D706D0" w:rsidRPr="00BC34F9" w:rsidRDefault="00D706D0" w:rsidP="00D706D0">
      <w:pPr>
        <w:rPr>
          <w:rFonts w:ascii="Arial" w:hAnsi="Arial" w:cs="Arial"/>
          <w:sz w:val="20"/>
          <w:szCs w:val="20"/>
        </w:rPr>
      </w:pPr>
    </w:p>
    <w:p w:rsidR="00D706D0" w:rsidRPr="00BC34F9" w:rsidRDefault="00D706D0" w:rsidP="00D706D0">
      <w:pPr>
        <w:spacing w:before="120"/>
        <w:jc w:val="right"/>
        <w:rPr>
          <w:rFonts w:ascii="Arial" w:hAnsi="Arial" w:cs="Arial"/>
          <w:sz w:val="20"/>
          <w:szCs w:val="20"/>
        </w:rPr>
      </w:pPr>
      <w:r>
        <w:rPr>
          <w:rFonts w:ascii="Arial" w:hAnsi="Arial" w:cs="Arial"/>
          <w:bCs/>
          <w:sz w:val="20"/>
          <w:szCs w:val="20"/>
        </w:rPr>
        <w:br w:type="column"/>
      </w:r>
      <w:r>
        <w:rPr>
          <w:rFonts w:ascii="Arial" w:hAnsi="Arial" w:cs="Arial"/>
          <w:sz w:val="20"/>
          <w:szCs w:val="20"/>
        </w:rPr>
        <w:t>Tavola A.6</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Previsioni per l’anno 2020 </w:t>
      </w:r>
      <w:r>
        <w:rPr>
          <w:rFonts w:ascii="Arial" w:hAnsi="Arial" w:cs="Arial"/>
          <w:b/>
          <w:sz w:val="20"/>
          <w:szCs w:val="20"/>
        </w:rPr>
        <w:t>delle variabili caratteristiche della compravendita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Numero di contratti</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Prezzi</w:t>
            </w:r>
            <w:r w:rsidRPr="00BC34F9">
              <w:rPr>
                <w:rFonts w:ascii="Arial" w:hAnsi="Arial" w:cs="Arial"/>
                <w:color w:val="000000"/>
                <w:sz w:val="20"/>
                <w:szCs w:val="20"/>
              </w:rPr>
              <w:t xml:space="preserve"> di </w:t>
            </w:r>
            <w:r>
              <w:rPr>
                <w:rFonts w:ascii="Arial" w:hAnsi="Arial" w:cs="Arial"/>
                <w:color w:val="000000"/>
                <w:sz w:val="20"/>
                <w:szCs w:val="20"/>
              </w:rPr>
              <w:t>compravendita</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Peggiore</w:t>
            </w:r>
            <w:r>
              <w:rPr>
                <w:rFonts w:ascii="Arial" w:hAnsi="Arial" w:cs="Arial"/>
                <w:color w:val="000000"/>
                <w:sz w:val="20"/>
                <w:szCs w:val="20"/>
              </w:rPr>
              <w:t>-</w:t>
            </w:r>
            <w:r w:rsidRPr="00BC34F9">
              <w:rPr>
                <w:rFonts w:ascii="Arial" w:hAnsi="Arial" w:cs="Arial"/>
                <w:color w:val="000000"/>
                <w:sz w:val="20"/>
                <w:szCs w:val="20"/>
              </w:rPr>
              <w:t>r</w:t>
            </w:r>
            <w:r>
              <w:rPr>
                <w:rFonts w:ascii="Arial" w:hAnsi="Arial" w:cs="Arial"/>
                <w:color w:val="000000"/>
                <w:sz w:val="20"/>
                <w:szCs w:val="20"/>
              </w:rPr>
              <w:t>an</w:t>
            </w:r>
            <w:r w:rsidRPr="00BC34F9">
              <w:rPr>
                <w:rFonts w:ascii="Arial" w:hAnsi="Arial" w:cs="Arial"/>
                <w:color w:val="000000"/>
                <w:sz w:val="20"/>
                <w:szCs w:val="20"/>
              </w:rPr>
              <w:t>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BC34F9">
              <w:rPr>
                <w:rFonts w:ascii="Arial" w:hAnsi="Arial" w:cs="Arial"/>
                <w:color w:val="000000"/>
                <w:sz w:val="20"/>
                <w:szCs w:val="20"/>
              </w:rPr>
              <w:t>Resteran</w:t>
            </w:r>
            <w:proofErr w:type="spellEnd"/>
            <w:r>
              <w:rPr>
                <w:rFonts w:ascii="Arial" w:hAnsi="Arial" w:cs="Arial"/>
                <w:color w:val="000000"/>
                <w:sz w:val="20"/>
                <w:szCs w:val="20"/>
              </w:rPr>
              <w:t>-</w:t>
            </w:r>
            <w:r w:rsidRPr="00BC34F9">
              <w:rPr>
                <w:rFonts w:ascii="Arial" w:hAnsi="Arial" w:cs="Arial"/>
                <w:color w:val="000000"/>
                <w:sz w:val="20"/>
                <w:szCs w:val="20"/>
              </w:rPr>
              <w:t>no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Migliore</w:t>
            </w:r>
            <w:r>
              <w:rPr>
                <w:rFonts w:ascii="Arial" w:hAnsi="Arial" w:cs="Arial"/>
                <w:color w:val="000000"/>
                <w:sz w:val="20"/>
                <w:szCs w:val="20"/>
              </w:rPr>
              <w:t>-</w:t>
            </w:r>
            <w:r w:rsidRPr="00BC34F9">
              <w:rPr>
                <w:rFonts w:ascii="Arial" w:hAnsi="Arial" w:cs="Arial"/>
                <w:color w:val="000000"/>
                <w:sz w:val="20"/>
                <w:szCs w:val="20"/>
              </w:rPr>
              <w:t>ranno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Peggiore</w:t>
            </w:r>
            <w:r>
              <w:rPr>
                <w:rFonts w:ascii="Arial" w:hAnsi="Arial" w:cs="Arial"/>
                <w:color w:val="000000"/>
                <w:sz w:val="20"/>
                <w:szCs w:val="20"/>
              </w:rPr>
              <w:t>-</w:t>
            </w:r>
            <w:r w:rsidRPr="00BC34F9">
              <w:rPr>
                <w:rFonts w:ascii="Arial" w:hAnsi="Arial" w:cs="Arial"/>
                <w:color w:val="000000"/>
                <w:sz w:val="20"/>
                <w:szCs w:val="20"/>
              </w:rPr>
              <w:t>r</w:t>
            </w:r>
            <w:r>
              <w:rPr>
                <w:rFonts w:ascii="Arial" w:hAnsi="Arial" w:cs="Arial"/>
                <w:color w:val="000000"/>
                <w:sz w:val="20"/>
                <w:szCs w:val="20"/>
              </w:rPr>
              <w:t>an</w:t>
            </w:r>
            <w:r w:rsidRPr="00BC34F9">
              <w:rPr>
                <w:rFonts w:ascii="Arial" w:hAnsi="Arial" w:cs="Arial"/>
                <w:color w:val="000000"/>
                <w:sz w:val="20"/>
                <w:szCs w:val="20"/>
              </w:rPr>
              <w:t>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BC34F9">
              <w:rPr>
                <w:rFonts w:ascii="Arial" w:hAnsi="Arial" w:cs="Arial"/>
                <w:color w:val="000000"/>
                <w:sz w:val="20"/>
                <w:szCs w:val="20"/>
              </w:rPr>
              <w:t>Resteran</w:t>
            </w:r>
            <w:proofErr w:type="spellEnd"/>
            <w:r>
              <w:rPr>
                <w:rFonts w:ascii="Arial" w:hAnsi="Arial" w:cs="Arial"/>
                <w:color w:val="000000"/>
                <w:sz w:val="20"/>
                <w:szCs w:val="20"/>
              </w:rPr>
              <w:t>-</w:t>
            </w:r>
            <w:r w:rsidRPr="00BC34F9">
              <w:rPr>
                <w:rFonts w:ascii="Arial" w:hAnsi="Arial" w:cs="Arial"/>
                <w:color w:val="000000"/>
                <w:sz w:val="20"/>
                <w:szCs w:val="20"/>
              </w:rPr>
              <w:t>no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Migliore</w:t>
            </w:r>
            <w:r>
              <w:rPr>
                <w:rFonts w:ascii="Arial" w:hAnsi="Arial" w:cs="Arial"/>
                <w:color w:val="000000"/>
                <w:sz w:val="20"/>
                <w:szCs w:val="20"/>
              </w:rPr>
              <w:t>-</w:t>
            </w:r>
            <w:r w:rsidRPr="00BC34F9">
              <w:rPr>
                <w:rFonts w:ascii="Arial" w:hAnsi="Arial" w:cs="Arial"/>
                <w:color w:val="000000"/>
                <w:sz w:val="20"/>
                <w:szCs w:val="20"/>
              </w:rPr>
              <w:t>ranno</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10,0%</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45,0%</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45,0%</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22,5%</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77,5%</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7,4%</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58,0%</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34,6%</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21,6%</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71,9%</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6,5%</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0,3%</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52,3%</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47,4%</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28,3%</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57,0%</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14,7%</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2,9%</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52,6%</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44,5%</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18,8%</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73,1%</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8,1%</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0,0%</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55,0%</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45,0%</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10,0%</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72,5%</w:t>
            </w:r>
          </w:p>
        </w:tc>
        <w:tc>
          <w:tcPr>
            <w:tcW w:w="1168" w:type="dxa"/>
            <w:noWrap/>
            <w:vAlign w:val="bottom"/>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17,5%</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8,3%</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54,2%</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37,5%</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40,6%</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51,0%</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8,3%</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4,4%</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53,5%</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42,2%</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24,9%</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65,6%</w:t>
            </w:r>
          </w:p>
        </w:tc>
        <w:tc>
          <w:tcPr>
            <w:tcW w:w="1168" w:type="dxa"/>
            <w:noWrap/>
            <w:vAlign w:val="bottom"/>
            <w:hideMark/>
          </w:tcPr>
          <w:p w:rsidR="00D706D0" w:rsidRPr="00E04C1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E04C1B">
              <w:rPr>
                <w:rFonts w:ascii="Calibri" w:hAnsi="Calibri" w:cs="Calibri"/>
                <w:b/>
                <w:bCs/>
                <w:color w:val="000000"/>
                <w:sz w:val="20"/>
                <w:szCs w:val="20"/>
              </w:rPr>
              <w:t>9,5%</w:t>
            </w:r>
          </w:p>
        </w:tc>
      </w:tr>
    </w:tbl>
    <w:p w:rsidR="00E35F59" w:rsidRDefault="00D706D0" w:rsidP="00E35F59">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E35F59">
      <w:pPr>
        <w:spacing w:before="120"/>
        <w:jc w:val="right"/>
        <w:rPr>
          <w:rFonts w:ascii="Arial" w:hAnsi="Arial" w:cs="Arial"/>
          <w:sz w:val="20"/>
          <w:szCs w:val="20"/>
        </w:rPr>
      </w:pPr>
      <w:r>
        <w:rPr>
          <w:rFonts w:ascii="Arial" w:hAnsi="Arial" w:cs="Arial"/>
          <w:sz w:val="20"/>
          <w:szCs w:val="20"/>
        </w:rPr>
        <w:t>Tavola A.7</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Previsioni per l’anno 2020 </w:t>
      </w:r>
      <w:r>
        <w:rPr>
          <w:rFonts w:ascii="Arial" w:hAnsi="Arial" w:cs="Arial"/>
          <w:b/>
          <w:sz w:val="20"/>
          <w:szCs w:val="20"/>
        </w:rPr>
        <w:t>delle variabili caratteristiche della compravendita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Pr="00BC34F9">
        <w:rPr>
          <w:rFonts w:ascii="Arial" w:hAnsi="Arial" w:cs="Arial"/>
          <w:i/>
          <w:sz w:val="20"/>
          <w:szCs w:val="20"/>
        </w:rPr>
        <w:t>(valori %)</w:t>
      </w: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Tempi medi di vendita</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Divario % prezzo richiesto-effettivo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Peggiore</w:t>
            </w:r>
            <w:r>
              <w:rPr>
                <w:rFonts w:ascii="Arial" w:hAnsi="Arial" w:cs="Arial"/>
                <w:color w:val="000000"/>
                <w:sz w:val="20"/>
                <w:szCs w:val="20"/>
              </w:rPr>
              <w:t>-</w:t>
            </w:r>
            <w:r w:rsidRPr="00BC34F9">
              <w:rPr>
                <w:rFonts w:ascii="Arial" w:hAnsi="Arial" w:cs="Arial"/>
                <w:color w:val="000000"/>
                <w:sz w:val="20"/>
                <w:szCs w:val="20"/>
              </w:rPr>
              <w:t>r</w:t>
            </w:r>
            <w:r>
              <w:rPr>
                <w:rFonts w:ascii="Arial" w:hAnsi="Arial" w:cs="Arial"/>
                <w:color w:val="000000"/>
                <w:sz w:val="20"/>
                <w:szCs w:val="20"/>
              </w:rPr>
              <w:t>an</w:t>
            </w:r>
            <w:r w:rsidRPr="00BC34F9">
              <w:rPr>
                <w:rFonts w:ascii="Arial" w:hAnsi="Arial" w:cs="Arial"/>
                <w:color w:val="000000"/>
                <w:sz w:val="20"/>
                <w:szCs w:val="20"/>
              </w:rPr>
              <w:t>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BC34F9">
              <w:rPr>
                <w:rFonts w:ascii="Arial" w:hAnsi="Arial" w:cs="Arial"/>
                <w:color w:val="000000"/>
                <w:sz w:val="20"/>
                <w:szCs w:val="20"/>
              </w:rPr>
              <w:t>Resteran</w:t>
            </w:r>
            <w:proofErr w:type="spellEnd"/>
            <w:r>
              <w:rPr>
                <w:rFonts w:ascii="Arial" w:hAnsi="Arial" w:cs="Arial"/>
                <w:color w:val="000000"/>
                <w:sz w:val="20"/>
                <w:szCs w:val="20"/>
              </w:rPr>
              <w:t>-</w:t>
            </w:r>
            <w:r w:rsidRPr="00BC34F9">
              <w:rPr>
                <w:rFonts w:ascii="Arial" w:hAnsi="Arial" w:cs="Arial"/>
                <w:color w:val="000000"/>
                <w:sz w:val="20"/>
                <w:szCs w:val="20"/>
              </w:rPr>
              <w:t>no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Migliore</w:t>
            </w:r>
            <w:r>
              <w:rPr>
                <w:rFonts w:ascii="Arial" w:hAnsi="Arial" w:cs="Arial"/>
                <w:color w:val="000000"/>
                <w:sz w:val="20"/>
                <w:szCs w:val="20"/>
              </w:rPr>
              <w:t>-</w:t>
            </w:r>
            <w:r w:rsidRPr="00BC34F9">
              <w:rPr>
                <w:rFonts w:ascii="Arial" w:hAnsi="Arial" w:cs="Arial"/>
                <w:color w:val="000000"/>
                <w:sz w:val="20"/>
                <w:szCs w:val="20"/>
              </w:rPr>
              <w:t>ranno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Peggiore</w:t>
            </w:r>
            <w:r>
              <w:rPr>
                <w:rFonts w:ascii="Arial" w:hAnsi="Arial" w:cs="Arial"/>
                <w:color w:val="000000"/>
                <w:sz w:val="20"/>
                <w:szCs w:val="20"/>
              </w:rPr>
              <w:t>-</w:t>
            </w:r>
            <w:r w:rsidRPr="00BC34F9">
              <w:rPr>
                <w:rFonts w:ascii="Arial" w:hAnsi="Arial" w:cs="Arial"/>
                <w:color w:val="000000"/>
                <w:sz w:val="20"/>
                <w:szCs w:val="20"/>
              </w:rPr>
              <w:t>r</w:t>
            </w:r>
            <w:r>
              <w:rPr>
                <w:rFonts w:ascii="Arial" w:hAnsi="Arial" w:cs="Arial"/>
                <w:color w:val="000000"/>
                <w:sz w:val="20"/>
                <w:szCs w:val="20"/>
              </w:rPr>
              <w:t>an</w:t>
            </w:r>
            <w:r w:rsidRPr="00BC34F9">
              <w:rPr>
                <w:rFonts w:ascii="Arial" w:hAnsi="Arial" w:cs="Arial"/>
                <w:color w:val="000000"/>
                <w:sz w:val="20"/>
                <w:szCs w:val="20"/>
              </w:rPr>
              <w:t>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BC34F9">
              <w:rPr>
                <w:rFonts w:ascii="Arial" w:hAnsi="Arial" w:cs="Arial"/>
                <w:color w:val="000000"/>
                <w:sz w:val="20"/>
                <w:szCs w:val="20"/>
              </w:rPr>
              <w:t>Resteran</w:t>
            </w:r>
            <w:proofErr w:type="spellEnd"/>
            <w:r>
              <w:rPr>
                <w:rFonts w:ascii="Arial" w:hAnsi="Arial" w:cs="Arial"/>
                <w:color w:val="000000"/>
                <w:sz w:val="20"/>
                <w:szCs w:val="20"/>
              </w:rPr>
              <w:t>-</w:t>
            </w:r>
            <w:r w:rsidRPr="00BC34F9">
              <w:rPr>
                <w:rFonts w:ascii="Arial" w:hAnsi="Arial" w:cs="Arial"/>
                <w:color w:val="000000"/>
                <w:sz w:val="20"/>
                <w:szCs w:val="20"/>
              </w:rPr>
              <w:t>no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Migliore</w:t>
            </w:r>
            <w:r>
              <w:rPr>
                <w:rFonts w:ascii="Arial" w:hAnsi="Arial" w:cs="Arial"/>
                <w:color w:val="000000"/>
                <w:sz w:val="20"/>
                <w:szCs w:val="20"/>
              </w:rPr>
              <w:t>-</w:t>
            </w:r>
            <w:r w:rsidRPr="00BC34F9">
              <w:rPr>
                <w:rFonts w:ascii="Arial" w:hAnsi="Arial" w:cs="Arial"/>
                <w:color w:val="000000"/>
                <w:sz w:val="20"/>
                <w:szCs w:val="20"/>
              </w:rPr>
              <w:t>ranno</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20,0%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60,0%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20,0%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0,0%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100,0%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8,3%</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75,0%</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16,7%</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6,5%</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63,6%</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29,9%</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16,7%</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72,0%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11,3%</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16,7%</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64,2%</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19,2%</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19,4%</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73,6%</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7,0%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9,9%</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72,3%</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17,8%</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17,5%</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80,0%</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2,5%</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22,5%</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62,5%</w:t>
            </w: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15,0%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4,2%</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64,6%</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31,3%</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6,3%</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66,7%</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27,1%</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D61D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14,0%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71,4%</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14,6%</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10,4%</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69,0%</w:t>
            </w:r>
          </w:p>
        </w:tc>
        <w:tc>
          <w:tcPr>
            <w:tcW w:w="1168" w:type="dxa"/>
            <w:noWrap/>
            <w:vAlign w:val="bottom"/>
            <w:hideMark/>
          </w:tcPr>
          <w:p w:rsidR="00D706D0" w:rsidRPr="008D61D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1DB">
              <w:rPr>
                <w:rFonts w:ascii="Calibri" w:hAnsi="Calibri" w:cs="Calibri"/>
                <w:b/>
                <w:bCs/>
                <w:color w:val="000000"/>
                <w:sz w:val="20"/>
              </w:rPr>
              <w:t>20,6%</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widowControl w:val="0"/>
        <w:autoSpaceDE w:val="0"/>
        <w:autoSpaceDN w:val="0"/>
        <w:adjustRightInd w:val="0"/>
        <w:rPr>
          <w:rFonts w:ascii="Arial" w:hAnsi="Arial" w:cs="Arial"/>
          <w:bCs/>
          <w:sz w:val="20"/>
          <w:szCs w:val="20"/>
        </w:rPr>
      </w:pPr>
    </w:p>
    <w:p w:rsidR="00D706D0" w:rsidRPr="00BC34F9" w:rsidRDefault="00D706D0" w:rsidP="00D706D0">
      <w:pPr>
        <w:spacing w:before="120"/>
        <w:jc w:val="right"/>
        <w:rPr>
          <w:rFonts w:ascii="Arial" w:hAnsi="Arial" w:cs="Arial"/>
          <w:sz w:val="20"/>
          <w:szCs w:val="20"/>
        </w:rPr>
      </w:pPr>
      <w:r>
        <w:rPr>
          <w:rFonts w:ascii="Arial" w:hAnsi="Arial" w:cs="Arial"/>
          <w:bCs/>
          <w:sz w:val="20"/>
          <w:szCs w:val="20"/>
        </w:rPr>
        <w:br w:type="column"/>
      </w:r>
      <w:r>
        <w:rPr>
          <w:rFonts w:ascii="Arial" w:hAnsi="Arial" w:cs="Arial"/>
          <w:sz w:val="20"/>
          <w:szCs w:val="20"/>
        </w:rPr>
        <w:t>Tavola A.8</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zona urbana più richiesta nella compravendita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Pr="00BC34F9">
        <w:rPr>
          <w:rFonts w:ascii="Arial" w:hAnsi="Arial" w:cs="Arial"/>
          <w:i/>
          <w:sz w:val="20"/>
          <w:szCs w:val="20"/>
        </w:rPr>
        <w:t>(valori %)</w:t>
      </w: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168" w:type="dxa"/>
            <w:noWrap/>
            <w:hideMark/>
          </w:tcPr>
          <w:p w:rsidR="00D706D0" w:rsidRPr="00F4458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4458C">
              <w:rPr>
                <w:rFonts w:ascii="Arial" w:hAnsi="Arial" w:cs="Arial"/>
                <w:color w:val="000000"/>
                <w:sz w:val="20"/>
                <w:szCs w:val="20"/>
              </w:rPr>
              <w:t>Zone di pregio</w:t>
            </w:r>
          </w:p>
        </w:tc>
        <w:tc>
          <w:tcPr>
            <w:tcW w:w="1168" w:type="dxa"/>
          </w:tcPr>
          <w:p w:rsidR="00D706D0" w:rsidRPr="00F4458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4458C">
              <w:rPr>
                <w:rFonts w:ascii="Arial" w:hAnsi="Arial" w:cs="Arial"/>
                <w:color w:val="000000"/>
                <w:sz w:val="20"/>
                <w:szCs w:val="20"/>
              </w:rPr>
              <w:t>Centro</w:t>
            </w:r>
          </w:p>
        </w:tc>
        <w:tc>
          <w:tcPr>
            <w:tcW w:w="1168" w:type="dxa"/>
          </w:tcPr>
          <w:p w:rsidR="00D706D0" w:rsidRPr="00F4458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F4458C">
              <w:rPr>
                <w:rFonts w:ascii="Arial" w:hAnsi="Arial" w:cs="Arial"/>
                <w:color w:val="000000"/>
                <w:sz w:val="20"/>
                <w:szCs w:val="20"/>
              </w:rPr>
              <w:t>Semicen</w:t>
            </w:r>
            <w:r>
              <w:rPr>
                <w:rFonts w:ascii="Arial" w:hAnsi="Arial" w:cs="Arial"/>
                <w:color w:val="000000"/>
                <w:sz w:val="20"/>
                <w:szCs w:val="20"/>
              </w:rPr>
              <w:t>-</w:t>
            </w:r>
            <w:r w:rsidRPr="00F4458C">
              <w:rPr>
                <w:rFonts w:ascii="Arial" w:hAnsi="Arial" w:cs="Arial"/>
                <w:color w:val="000000"/>
                <w:sz w:val="20"/>
                <w:szCs w:val="20"/>
              </w:rPr>
              <w:t>tro</w:t>
            </w:r>
            <w:proofErr w:type="spellEnd"/>
          </w:p>
        </w:tc>
        <w:tc>
          <w:tcPr>
            <w:tcW w:w="1168" w:type="dxa"/>
          </w:tcPr>
          <w:p w:rsidR="00D706D0" w:rsidRPr="00F4458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4458C">
              <w:rPr>
                <w:rFonts w:ascii="Arial" w:hAnsi="Arial" w:cs="Arial"/>
                <w:color w:val="000000"/>
                <w:sz w:val="20"/>
                <w:szCs w:val="20"/>
              </w:rPr>
              <w:t>Periferia</w:t>
            </w:r>
          </w:p>
        </w:tc>
        <w:tc>
          <w:tcPr>
            <w:tcW w:w="1168" w:type="dxa"/>
          </w:tcPr>
          <w:p w:rsidR="00D706D0" w:rsidRPr="00F4458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4458C">
              <w:rPr>
                <w:rFonts w:ascii="Arial" w:hAnsi="Arial" w:cs="Arial"/>
                <w:color w:val="000000"/>
                <w:sz w:val="20"/>
                <w:szCs w:val="20"/>
              </w:rPr>
              <w:t>Hinterland</w:t>
            </w:r>
          </w:p>
        </w:tc>
        <w:tc>
          <w:tcPr>
            <w:tcW w:w="1168" w:type="dxa"/>
          </w:tcPr>
          <w:p w:rsidR="00D706D0" w:rsidRPr="00F4458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4458C">
              <w:rPr>
                <w:rFonts w:ascii="Arial" w:hAnsi="Arial" w:cs="Arial"/>
                <w:color w:val="000000"/>
                <w:sz w:val="20"/>
                <w:szCs w:val="20"/>
              </w:rPr>
              <w:t>Altri comuni</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26,1%</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43,5%</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21,7%</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0,0%</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8,7%</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31,0%</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34,5%</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20,2%</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4,8%</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4,8%</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4,8%</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22,6%</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32,1%</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27,4%</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11,3%</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0,0%</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6,6%</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29,4%</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37,3%</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20,6%</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4,8%</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2,4%</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5,6%</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34,5%</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17,2%</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31,0%</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13,8%</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3,4%</w:t>
            </w: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15,5%</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36,2%</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27,6%</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10,3%</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3,4%</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6,9%</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F4458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26,3%</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34,3%</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23,9%</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7,5%</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2,8%</w:t>
            </w:r>
          </w:p>
        </w:tc>
        <w:tc>
          <w:tcPr>
            <w:tcW w:w="1168" w:type="dxa"/>
            <w:noWrap/>
            <w:vAlign w:val="bottom"/>
            <w:hideMark/>
          </w:tcPr>
          <w:p w:rsidR="00D706D0" w:rsidRPr="00F4458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F4458C">
              <w:rPr>
                <w:rFonts w:ascii="Calibri" w:hAnsi="Calibri" w:cs="Calibri"/>
                <w:b/>
                <w:bCs/>
                <w:color w:val="000000"/>
                <w:sz w:val="20"/>
                <w:szCs w:val="18"/>
              </w:rPr>
              <w:t>5,2%</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Default="00D706D0" w:rsidP="00D706D0">
      <w:pPr>
        <w:spacing w:before="120"/>
        <w:jc w:val="right"/>
        <w:rPr>
          <w:rFonts w:ascii="Arial" w:hAnsi="Arial" w:cs="Arial"/>
          <w:sz w:val="20"/>
          <w:szCs w:val="20"/>
        </w:rPr>
      </w:pPr>
      <w:r>
        <w:rPr>
          <w:rFonts w:ascii="Arial" w:hAnsi="Arial" w:cs="Arial"/>
          <w:sz w:val="20"/>
          <w:szCs w:val="20"/>
        </w:rPr>
        <w:t>Tavola A.9</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tipologia più richiesta nella compravendita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p w:rsidR="00D706D0" w:rsidRPr="00BC34F9" w:rsidRDefault="00D706D0" w:rsidP="00D706D0">
      <w:pPr>
        <w:jc w:val="center"/>
        <w:rPr>
          <w:rFonts w:ascii="Arial" w:hAnsi="Arial" w:cs="Arial"/>
          <w:i/>
          <w:sz w:val="20"/>
          <w:szCs w:val="20"/>
        </w:rPr>
      </w:pP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168" w:type="dxa"/>
            <w:noWrap/>
            <w:hideMark/>
          </w:tcPr>
          <w:p w:rsidR="00D706D0" w:rsidRPr="007A519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6"/>
              </w:rPr>
            </w:pPr>
            <w:r w:rsidRPr="007A519D">
              <w:rPr>
                <w:rFonts w:ascii="Calibri" w:hAnsi="Calibri" w:cs="Calibri"/>
                <w:bCs w:val="0"/>
                <w:color w:val="000000"/>
                <w:sz w:val="20"/>
                <w:szCs w:val="16"/>
              </w:rPr>
              <w:t>Attico</w:t>
            </w:r>
          </w:p>
        </w:tc>
        <w:tc>
          <w:tcPr>
            <w:tcW w:w="1168" w:type="dxa"/>
          </w:tcPr>
          <w:p w:rsidR="00D706D0" w:rsidRPr="007A519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6"/>
              </w:rPr>
            </w:pPr>
            <w:proofErr w:type="spellStart"/>
            <w:r w:rsidRPr="007A519D">
              <w:rPr>
                <w:rFonts w:ascii="Calibri" w:hAnsi="Calibri" w:cs="Calibri"/>
                <w:bCs w:val="0"/>
                <w:color w:val="000000"/>
                <w:sz w:val="20"/>
                <w:szCs w:val="16"/>
              </w:rPr>
              <w:t>App</w:t>
            </w:r>
            <w:proofErr w:type="spellEnd"/>
            <w:r w:rsidRPr="007A519D">
              <w:rPr>
                <w:rFonts w:ascii="Calibri" w:hAnsi="Calibri" w:cs="Calibri"/>
                <w:bCs w:val="0"/>
                <w:color w:val="000000"/>
                <w:sz w:val="20"/>
                <w:szCs w:val="16"/>
              </w:rPr>
              <w:t xml:space="preserve">. in </w:t>
            </w:r>
            <w:proofErr w:type="spellStart"/>
            <w:r w:rsidRPr="007A519D">
              <w:rPr>
                <w:rFonts w:ascii="Calibri" w:hAnsi="Calibri" w:cs="Calibri"/>
                <w:bCs w:val="0"/>
                <w:color w:val="000000"/>
                <w:sz w:val="20"/>
                <w:szCs w:val="16"/>
              </w:rPr>
              <w:t>cond</w:t>
            </w:r>
            <w:proofErr w:type="spellEnd"/>
            <w:r w:rsidRPr="007A519D">
              <w:rPr>
                <w:rFonts w:ascii="Calibri" w:hAnsi="Calibri" w:cs="Calibri"/>
                <w:bCs w:val="0"/>
                <w:color w:val="000000"/>
                <w:sz w:val="20"/>
                <w:szCs w:val="16"/>
              </w:rPr>
              <w:t>.</w:t>
            </w:r>
          </w:p>
        </w:tc>
        <w:tc>
          <w:tcPr>
            <w:tcW w:w="1168" w:type="dxa"/>
          </w:tcPr>
          <w:p w:rsidR="00D706D0" w:rsidRPr="007A519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6"/>
              </w:rPr>
            </w:pPr>
            <w:r w:rsidRPr="007A519D">
              <w:rPr>
                <w:rFonts w:ascii="Calibri" w:hAnsi="Calibri" w:cs="Calibri"/>
                <w:bCs w:val="0"/>
                <w:color w:val="000000"/>
                <w:sz w:val="20"/>
                <w:szCs w:val="16"/>
              </w:rPr>
              <w:t>Porzione di casa</w:t>
            </w:r>
          </w:p>
        </w:tc>
        <w:tc>
          <w:tcPr>
            <w:tcW w:w="1168" w:type="dxa"/>
          </w:tcPr>
          <w:p w:rsidR="00D706D0" w:rsidRPr="007A519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6"/>
              </w:rPr>
            </w:pPr>
            <w:r w:rsidRPr="007A519D">
              <w:rPr>
                <w:rFonts w:ascii="Calibri" w:hAnsi="Calibri" w:cs="Calibri"/>
                <w:bCs w:val="0"/>
                <w:color w:val="000000"/>
                <w:sz w:val="20"/>
                <w:szCs w:val="16"/>
              </w:rPr>
              <w:t xml:space="preserve">Casa </w:t>
            </w:r>
            <w:proofErr w:type="spellStart"/>
            <w:r w:rsidRPr="007A519D">
              <w:rPr>
                <w:rFonts w:ascii="Calibri" w:hAnsi="Calibri" w:cs="Calibri"/>
                <w:bCs w:val="0"/>
                <w:color w:val="000000"/>
                <w:sz w:val="20"/>
                <w:szCs w:val="16"/>
              </w:rPr>
              <w:t>indip</w:t>
            </w:r>
            <w:proofErr w:type="spellEnd"/>
            <w:r>
              <w:rPr>
                <w:rFonts w:ascii="Calibri" w:hAnsi="Calibri" w:cs="Calibri"/>
                <w:bCs w:val="0"/>
                <w:color w:val="000000"/>
                <w:sz w:val="20"/>
                <w:szCs w:val="16"/>
              </w:rPr>
              <w:t>.</w:t>
            </w:r>
          </w:p>
        </w:tc>
        <w:tc>
          <w:tcPr>
            <w:tcW w:w="1168" w:type="dxa"/>
          </w:tcPr>
          <w:p w:rsidR="00D706D0" w:rsidRPr="007A519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6"/>
              </w:rPr>
            </w:pPr>
            <w:r w:rsidRPr="007A519D">
              <w:rPr>
                <w:rFonts w:ascii="Calibri" w:hAnsi="Calibri" w:cs="Calibri"/>
                <w:bCs w:val="0"/>
                <w:color w:val="000000"/>
                <w:sz w:val="20"/>
                <w:szCs w:val="16"/>
              </w:rPr>
              <w:t>Rustico, Casale</w:t>
            </w:r>
          </w:p>
        </w:tc>
        <w:tc>
          <w:tcPr>
            <w:tcW w:w="1168" w:type="dxa"/>
          </w:tcPr>
          <w:p w:rsidR="00D706D0" w:rsidRPr="007A519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6"/>
              </w:rPr>
            </w:pPr>
            <w:r w:rsidRPr="007A519D">
              <w:rPr>
                <w:rFonts w:ascii="Calibri" w:hAnsi="Calibri" w:cs="Calibri"/>
                <w:bCs w:val="0"/>
                <w:color w:val="000000"/>
                <w:sz w:val="20"/>
                <w:szCs w:val="16"/>
              </w:rPr>
              <w:t xml:space="preserve">Villa o Villino </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26,1%</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43,5%</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0,0%</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21,7%</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0,0%</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8,7%</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11,6%</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40,7%</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10,5%</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20,9%</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3,5%</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12,8%</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9,3%</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36,1%</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9,3%</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26,9%</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0,9%</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17,6%</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11,6%</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41,9%</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10,9%</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20,2%</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1,6%</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14,0%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19,4%</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25,8%</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12,9%</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29,0%</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3,2%</w:t>
            </w: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9,7%</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8,8%</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38,6%</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1,8%</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29,8%</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1,8%</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19,3%</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c>
          <w:tcPr>
            <w:tcW w:w="1168" w:type="dxa"/>
            <w:noWrap/>
            <w:vAlign w:val="bottom"/>
            <w:hideMark/>
          </w:tcPr>
          <w:p w:rsidR="00D706D0" w:rsidRPr="007A519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18"/>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12,0%</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38,7%</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8,8%</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24,0%</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1,8%</w:t>
            </w:r>
          </w:p>
        </w:tc>
        <w:tc>
          <w:tcPr>
            <w:tcW w:w="1168" w:type="dxa"/>
            <w:noWrap/>
            <w:vAlign w:val="bottom"/>
            <w:hideMark/>
          </w:tcPr>
          <w:p w:rsidR="00D706D0" w:rsidRPr="007A519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18"/>
              </w:rPr>
            </w:pPr>
            <w:r w:rsidRPr="007A519D">
              <w:rPr>
                <w:rFonts w:ascii="Calibri" w:hAnsi="Calibri" w:cs="Calibri"/>
                <w:b/>
                <w:bCs/>
                <w:color w:val="000000"/>
                <w:sz w:val="20"/>
                <w:szCs w:val="18"/>
              </w:rPr>
              <w:t>14,7%</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Pr="00BC34F9" w:rsidRDefault="00D706D0" w:rsidP="00D706D0">
      <w:pPr>
        <w:spacing w:before="120"/>
        <w:jc w:val="right"/>
        <w:rPr>
          <w:rFonts w:ascii="Arial" w:hAnsi="Arial" w:cs="Arial"/>
          <w:sz w:val="20"/>
          <w:szCs w:val="20"/>
        </w:rPr>
      </w:pPr>
      <w:r>
        <w:rPr>
          <w:rFonts w:ascii="Arial" w:hAnsi="Arial" w:cs="Arial"/>
          <w:bCs/>
          <w:sz w:val="20"/>
          <w:szCs w:val="20"/>
        </w:rPr>
        <w:br w:type="column"/>
      </w:r>
      <w:r>
        <w:rPr>
          <w:rFonts w:ascii="Arial" w:hAnsi="Arial" w:cs="Arial"/>
          <w:sz w:val="20"/>
          <w:szCs w:val="20"/>
        </w:rPr>
        <w:t>Tavola A.10</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disponibilità a pagare nella compravendita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Pr="00BC34F9">
        <w:rPr>
          <w:rFonts w:ascii="Arial" w:hAnsi="Arial" w:cs="Arial"/>
          <w:i/>
          <w:sz w:val="20"/>
          <w:szCs w:val="20"/>
        </w:rPr>
        <w:t>(valori %)</w:t>
      </w: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168" w:type="dxa"/>
            <w:noWrap/>
            <w:hideMark/>
          </w:tcPr>
          <w:p w:rsidR="00D706D0"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 w:val="20"/>
                <w:szCs w:val="18"/>
              </w:rPr>
            </w:pPr>
            <w:r w:rsidRPr="00B846D6">
              <w:rPr>
                <w:rFonts w:ascii="Calibri" w:hAnsi="Calibri" w:cs="Calibri"/>
                <w:bCs w:val="0"/>
                <w:color w:val="000000"/>
                <w:sz w:val="20"/>
                <w:szCs w:val="18"/>
              </w:rPr>
              <w:t xml:space="preserve">0 </w:t>
            </w:r>
            <w:r>
              <w:rPr>
                <w:rFonts w:ascii="Calibri" w:hAnsi="Calibri" w:cs="Calibri"/>
                <w:bCs w:val="0"/>
                <w:color w:val="000000"/>
                <w:sz w:val="20"/>
                <w:szCs w:val="18"/>
              </w:rPr>
              <w:t>–</w:t>
            </w:r>
            <w:r w:rsidRPr="00B846D6">
              <w:rPr>
                <w:rFonts w:ascii="Calibri" w:hAnsi="Calibri" w:cs="Calibri"/>
                <w:bCs w:val="0"/>
                <w:color w:val="000000"/>
                <w:sz w:val="20"/>
                <w:szCs w:val="18"/>
              </w:rPr>
              <w:t xml:space="preserve"> 50</w:t>
            </w:r>
          </w:p>
          <w:p w:rsidR="00D706D0" w:rsidRPr="00B846D6"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proofErr w:type="gramStart"/>
            <w:r>
              <w:rPr>
                <w:rFonts w:ascii="Calibri" w:hAnsi="Calibri" w:cs="Calibri"/>
                <w:bCs w:val="0"/>
                <w:color w:val="000000"/>
                <w:sz w:val="20"/>
                <w:szCs w:val="18"/>
              </w:rPr>
              <w:t>mila</w:t>
            </w:r>
            <w:proofErr w:type="gramEnd"/>
            <w:r>
              <w:rPr>
                <w:rFonts w:ascii="Calibri" w:hAnsi="Calibri" w:cs="Calibri"/>
                <w:bCs w:val="0"/>
                <w:color w:val="000000"/>
                <w:sz w:val="20"/>
                <w:szCs w:val="18"/>
              </w:rPr>
              <w:t xml:space="preserve"> euro</w:t>
            </w:r>
          </w:p>
        </w:tc>
        <w:tc>
          <w:tcPr>
            <w:tcW w:w="1168" w:type="dxa"/>
          </w:tcPr>
          <w:p w:rsidR="00D706D0" w:rsidRPr="00B846D6"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B846D6">
              <w:rPr>
                <w:rFonts w:ascii="Calibri" w:hAnsi="Calibri" w:cs="Calibri"/>
                <w:bCs w:val="0"/>
                <w:color w:val="000000"/>
                <w:sz w:val="20"/>
                <w:szCs w:val="18"/>
              </w:rPr>
              <w:t xml:space="preserve">50 </w:t>
            </w:r>
            <w:r>
              <w:rPr>
                <w:rFonts w:ascii="Calibri" w:hAnsi="Calibri" w:cs="Calibri"/>
                <w:bCs w:val="0"/>
                <w:color w:val="000000"/>
                <w:sz w:val="20"/>
                <w:szCs w:val="18"/>
              </w:rPr>
              <w:t>–</w:t>
            </w:r>
            <w:r w:rsidRPr="00B846D6">
              <w:rPr>
                <w:rFonts w:ascii="Calibri" w:hAnsi="Calibri" w:cs="Calibri"/>
                <w:bCs w:val="0"/>
                <w:color w:val="000000"/>
                <w:sz w:val="20"/>
                <w:szCs w:val="18"/>
              </w:rPr>
              <w:t xml:space="preserve"> 100</w:t>
            </w:r>
            <w:r>
              <w:rPr>
                <w:rFonts w:ascii="Calibri" w:hAnsi="Calibri" w:cs="Calibri"/>
                <w:bCs w:val="0"/>
                <w:color w:val="000000"/>
                <w:sz w:val="20"/>
                <w:szCs w:val="18"/>
              </w:rPr>
              <w:t xml:space="preserve"> mila euro</w:t>
            </w:r>
          </w:p>
        </w:tc>
        <w:tc>
          <w:tcPr>
            <w:tcW w:w="1168" w:type="dxa"/>
          </w:tcPr>
          <w:p w:rsidR="00D706D0" w:rsidRPr="00B846D6"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B846D6">
              <w:rPr>
                <w:rFonts w:ascii="Calibri" w:hAnsi="Calibri" w:cs="Calibri"/>
                <w:bCs w:val="0"/>
                <w:color w:val="000000"/>
                <w:sz w:val="20"/>
                <w:szCs w:val="18"/>
              </w:rPr>
              <w:t>100 - 200</w:t>
            </w:r>
            <w:r>
              <w:rPr>
                <w:rFonts w:ascii="Calibri" w:hAnsi="Calibri" w:cs="Calibri"/>
                <w:bCs w:val="0"/>
                <w:color w:val="000000"/>
                <w:sz w:val="20"/>
                <w:szCs w:val="18"/>
              </w:rPr>
              <w:t xml:space="preserve"> mila euro</w:t>
            </w:r>
          </w:p>
        </w:tc>
        <w:tc>
          <w:tcPr>
            <w:tcW w:w="1168" w:type="dxa"/>
          </w:tcPr>
          <w:p w:rsidR="00D706D0" w:rsidRPr="00B846D6"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B846D6">
              <w:rPr>
                <w:rFonts w:ascii="Calibri" w:hAnsi="Calibri" w:cs="Calibri"/>
                <w:bCs w:val="0"/>
                <w:color w:val="000000"/>
                <w:sz w:val="20"/>
                <w:szCs w:val="18"/>
              </w:rPr>
              <w:t>200 - 400</w:t>
            </w:r>
            <w:r>
              <w:rPr>
                <w:rFonts w:ascii="Calibri" w:hAnsi="Calibri" w:cs="Calibri"/>
                <w:bCs w:val="0"/>
                <w:color w:val="000000"/>
                <w:sz w:val="20"/>
                <w:szCs w:val="18"/>
              </w:rPr>
              <w:t xml:space="preserve"> mila euro</w:t>
            </w:r>
          </w:p>
        </w:tc>
        <w:tc>
          <w:tcPr>
            <w:tcW w:w="1168" w:type="dxa"/>
          </w:tcPr>
          <w:p w:rsidR="00D706D0" w:rsidRPr="00B846D6"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proofErr w:type="gramStart"/>
            <w:r w:rsidRPr="00B846D6">
              <w:rPr>
                <w:rFonts w:ascii="Calibri" w:hAnsi="Calibri" w:cs="Calibri"/>
                <w:bCs w:val="0"/>
                <w:color w:val="000000"/>
                <w:sz w:val="20"/>
                <w:szCs w:val="18"/>
              </w:rPr>
              <w:t>oltre</w:t>
            </w:r>
            <w:proofErr w:type="gramEnd"/>
            <w:r w:rsidRPr="00B846D6">
              <w:rPr>
                <w:rFonts w:ascii="Calibri" w:hAnsi="Calibri" w:cs="Calibri"/>
                <w:bCs w:val="0"/>
                <w:color w:val="000000"/>
                <w:sz w:val="20"/>
                <w:szCs w:val="18"/>
              </w:rPr>
              <w:t xml:space="preserve"> 400</w:t>
            </w:r>
            <w:r>
              <w:rPr>
                <w:rFonts w:ascii="Calibri" w:hAnsi="Calibri" w:cs="Calibri"/>
                <w:bCs w:val="0"/>
                <w:color w:val="000000"/>
                <w:sz w:val="20"/>
                <w:szCs w:val="18"/>
              </w:rPr>
              <w:t xml:space="preserve"> mila euro</w:t>
            </w:r>
          </w:p>
        </w:tc>
        <w:tc>
          <w:tcPr>
            <w:tcW w:w="1168" w:type="dxa"/>
          </w:tcPr>
          <w:p w:rsidR="00D706D0" w:rsidRPr="00B846D6"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proofErr w:type="spellStart"/>
            <w:r w:rsidRPr="00B846D6">
              <w:rPr>
                <w:rFonts w:ascii="Calibri" w:hAnsi="Calibri" w:cs="Calibri"/>
                <w:bCs w:val="0"/>
                <w:color w:val="000000"/>
                <w:sz w:val="20"/>
                <w:szCs w:val="18"/>
              </w:rPr>
              <w:t>Indifferen</w:t>
            </w:r>
            <w:proofErr w:type="spellEnd"/>
            <w:r>
              <w:rPr>
                <w:rFonts w:ascii="Calibri" w:hAnsi="Calibri" w:cs="Calibri"/>
                <w:bCs w:val="0"/>
                <w:color w:val="000000"/>
                <w:sz w:val="20"/>
                <w:szCs w:val="18"/>
              </w:rPr>
              <w:t>-</w:t>
            </w:r>
            <w:r w:rsidRPr="00B846D6">
              <w:rPr>
                <w:rFonts w:ascii="Calibri" w:hAnsi="Calibri" w:cs="Calibri"/>
                <w:bCs w:val="0"/>
                <w:color w:val="000000"/>
                <w:sz w:val="20"/>
                <w:szCs w:val="18"/>
              </w:rPr>
              <w:t>te</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47,5%</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52,5%</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5,6%</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50,6%</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33,6%</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10,2%</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1,5%</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20,9%</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54,5%</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11,1%</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2,9%</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9,1%</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1,4%</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11,1%</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51,9%</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28,0%</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7,7%</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35,0%</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45,0%</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10,0%</w:t>
            </w: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18,8%</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59,4%</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13,5%</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0,0%</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8,3%</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B846D6"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0,7%</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12,1%</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52,0%</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25,5%</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1,4%</w:t>
            </w:r>
          </w:p>
        </w:tc>
        <w:tc>
          <w:tcPr>
            <w:tcW w:w="1168" w:type="dxa"/>
            <w:noWrap/>
            <w:vAlign w:val="bottom"/>
            <w:hideMark/>
          </w:tcPr>
          <w:p w:rsidR="00D706D0" w:rsidRPr="00B846D6"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846D6">
              <w:rPr>
                <w:rFonts w:ascii="Calibri" w:hAnsi="Calibri" w:cs="Calibri"/>
                <w:b/>
                <w:bCs/>
                <w:color w:val="000000"/>
                <w:sz w:val="20"/>
              </w:rPr>
              <w:t>8,2%</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spacing w:before="120"/>
        <w:jc w:val="right"/>
        <w:rPr>
          <w:rFonts w:ascii="Arial" w:hAnsi="Arial" w:cs="Arial"/>
          <w:sz w:val="20"/>
          <w:szCs w:val="20"/>
        </w:rPr>
      </w:pPr>
      <w:r>
        <w:rPr>
          <w:rFonts w:ascii="Arial" w:hAnsi="Arial" w:cs="Arial"/>
          <w:sz w:val="20"/>
          <w:szCs w:val="20"/>
        </w:rPr>
        <w:t>Tavola A.11</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numero di locali richiesti nella compravendita di abitazioni</w:t>
      </w:r>
      <w:r w:rsidRPr="00BC34F9">
        <w:rPr>
          <w:rFonts w:ascii="Arial" w:hAnsi="Arial" w:cs="Arial"/>
          <w:b/>
          <w:sz w:val="20"/>
          <w:szCs w:val="20"/>
        </w:rPr>
        <w:t>, per tipologia di città</w:t>
      </w:r>
      <w:r w:rsidR="00310654">
        <w:rPr>
          <w:rFonts w:ascii="Arial" w:hAnsi="Arial" w:cs="Arial"/>
          <w:b/>
          <w:sz w:val="20"/>
          <w:szCs w:val="20"/>
        </w:rPr>
        <w:t xml:space="preserve"> </w:t>
      </w:r>
      <w:r w:rsidRPr="00BC34F9">
        <w:rPr>
          <w:rFonts w:ascii="Arial" w:hAnsi="Arial" w:cs="Arial"/>
          <w:i/>
          <w:sz w:val="20"/>
          <w:szCs w:val="20"/>
        </w:rPr>
        <w:t>(valori %)</w:t>
      </w: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168" w:type="dxa"/>
            <w:noWrap/>
            <w:hideMark/>
          </w:tcPr>
          <w:p w:rsidR="00D706D0" w:rsidRPr="00017D6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017D65">
              <w:rPr>
                <w:rFonts w:ascii="Calibri" w:hAnsi="Calibri" w:cs="Calibri"/>
                <w:bCs w:val="0"/>
                <w:color w:val="000000"/>
                <w:sz w:val="20"/>
                <w:szCs w:val="18"/>
              </w:rPr>
              <w:t>2</w:t>
            </w:r>
          </w:p>
        </w:tc>
        <w:tc>
          <w:tcPr>
            <w:tcW w:w="1168" w:type="dxa"/>
          </w:tcPr>
          <w:p w:rsidR="00D706D0" w:rsidRPr="00017D6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017D65">
              <w:rPr>
                <w:rFonts w:ascii="Calibri" w:hAnsi="Calibri" w:cs="Calibri"/>
                <w:bCs w:val="0"/>
                <w:color w:val="000000"/>
                <w:sz w:val="20"/>
                <w:szCs w:val="18"/>
              </w:rPr>
              <w:t>3</w:t>
            </w:r>
          </w:p>
        </w:tc>
        <w:tc>
          <w:tcPr>
            <w:tcW w:w="1168" w:type="dxa"/>
          </w:tcPr>
          <w:p w:rsidR="00D706D0" w:rsidRPr="00017D6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017D65">
              <w:rPr>
                <w:rFonts w:ascii="Calibri" w:hAnsi="Calibri" w:cs="Calibri"/>
                <w:bCs w:val="0"/>
                <w:color w:val="000000"/>
                <w:sz w:val="20"/>
                <w:szCs w:val="18"/>
              </w:rPr>
              <w:t>4</w:t>
            </w:r>
          </w:p>
        </w:tc>
        <w:tc>
          <w:tcPr>
            <w:tcW w:w="1168" w:type="dxa"/>
          </w:tcPr>
          <w:p w:rsidR="00D706D0" w:rsidRPr="00017D6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017D65">
              <w:rPr>
                <w:rFonts w:ascii="Calibri" w:hAnsi="Calibri" w:cs="Calibri"/>
                <w:bCs w:val="0"/>
                <w:color w:val="000000"/>
                <w:sz w:val="20"/>
                <w:szCs w:val="18"/>
              </w:rPr>
              <w:t>5 o +</w:t>
            </w:r>
          </w:p>
        </w:tc>
        <w:tc>
          <w:tcPr>
            <w:tcW w:w="1168" w:type="dxa"/>
          </w:tcPr>
          <w:p w:rsidR="00D706D0" w:rsidRPr="00017D65"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proofErr w:type="spellStart"/>
            <w:r w:rsidRPr="00017D65">
              <w:rPr>
                <w:rFonts w:ascii="Calibri" w:hAnsi="Calibri" w:cs="Calibri"/>
                <w:bCs w:val="0"/>
                <w:color w:val="000000"/>
                <w:sz w:val="20"/>
                <w:szCs w:val="18"/>
              </w:rPr>
              <w:t>Indifferen</w:t>
            </w:r>
            <w:proofErr w:type="spellEnd"/>
            <w:r>
              <w:rPr>
                <w:rFonts w:ascii="Calibri" w:hAnsi="Calibri" w:cs="Calibri"/>
                <w:bCs w:val="0"/>
                <w:color w:val="000000"/>
                <w:sz w:val="20"/>
                <w:szCs w:val="18"/>
              </w:rPr>
              <w:t>-</w:t>
            </w:r>
            <w:r w:rsidRPr="00017D65">
              <w:rPr>
                <w:rFonts w:ascii="Calibri" w:hAnsi="Calibri" w:cs="Calibri"/>
                <w:bCs w:val="0"/>
                <w:color w:val="000000"/>
                <w:sz w:val="20"/>
                <w:szCs w:val="18"/>
              </w:rPr>
              <w:t>te</w:t>
            </w:r>
          </w:p>
        </w:tc>
        <w:tc>
          <w:tcPr>
            <w:tcW w:w="1168" w:type="dxa"/>
          </w:tcPr>
          <w:p w:rsidR="00D706D0" w:rsidRPr="00B846D6"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Pr>
                <w:rFonts w:ascii="Calibri" w:hAnsi="Calibri" w:cs="Calibri"/>
                <w:bCs w:val="0"/>
                <w:color w:val="000000"/>
                <w:sz w:val="20"/>
                <w:szCs w:val="18"/>
              </w:rPr>
              <w:t>Totale</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10,0%</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45,0%</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45,0%</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0,0%</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0,0%</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3,7%</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36,1%</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45,4%</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7,4%</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7,4%</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4,4%</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43,2%</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41,5%</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3,5%</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7,4%</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6,8%</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51,9%</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36,8%</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3,2%</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1,4%</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0,0%</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22,5%</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72,5%</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0,0%</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5,0%</w:t>
            </w: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4,2%</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31,3%</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41,7%</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8,3%</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14,6%</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017D65"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4,9%</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40,8%</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43,5%</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4,5%</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6,3%</w:t>
            </w:r>
          </w:p>
        </w:tc>
        <w:tc>
          <w:tcPr>
            <w:tcW w:w="1168" w:type="dxa"/>
            <w:noWrap/>
            <w:vAlign w:val="bottom"/>
            <w:hideMark/>
          </w:tcPr>
          <w:p w:rsidR="00D706D0" w:rsidRPr="00017D65"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017D65">
              <w:rPr>
                <w:rFonts w:ascii="Calibri" w:hAnsi="Calibri" w:cs="Calibri"/>
                <w:b/>
                <w:bCs/>
                <w:color w:val="000000"/>
                <w:sz w:val="20"/>
              </w:rPr>
              <w:t>100,0%</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Pr="00BC34F9" w:rsidRDefault="00D706D0" w:rsidP="00D706D0">
      <w:pPr>
        <w:spacing w:before="120"/>
        <w:jc w:val="right"/>
        <w:rPr>
          <w:rFonts w:ascii="Arial" w:hAnsi="Arial" w:cs="Arial"/>
          <w:sz w:val="20"/>
          <w:szCs w:val="20"/>
        </w:rPr>
      </w:pPr>
      <w:r>
        <w:rPr>
          <w:rFonts w:ascii="Arial" w:hAnsi="Arial" w:cs="Arial"/>
          <w:bCs/>
          <w:sz w:val="20"/>
          <w:szCs w:val="20"/>
        </w:rPr>
        <w:br w:type="column"/>
      </w:r>
      <w:r>
        <w:rPr>
          <w:rFonts w:ascii="Arial" w:hAnsi="Arial" w:cs="Arial"/>
          <w:sz w:val="20"/>
          <w:szCs w:val="20"/>
        </w:rPr>
        <w:t>Tavola A.12</w:t>
      </w:r>
    </w:p>
    <w:p w:rsidR="00D706D0"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numero di bagni richiesti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tbl>
      <w:tblPr>
        <w:tblStyle w:val="Sfondochiaro-Colore3"/>
        <w:tblW w:w="8613" w:type="dxa"/>
        <w:tblLayout w:type="fixed"/>
        <w:tblLook w:val="04A0" w:firstRow="1" w:lastRow="0" w:firstColumn="1" w:lastColumn="0" w:noHBand="0" w:noVBand="1"/>
      </w:tblPr>
      <w:tblGrid>
        <w:gridCol w:w="1497"/>
        <w:gridCol w:w="1423"/>
        <w:gridCol w:w="1423"/>
        <w:gridCol w:w="1423"/>
        <w:gridCol w:w="1423"/>
        <w:gridCol w:w="1424"/>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423" w:type="dxa"/>
            <w:noWrap/>
            <w:hideMark/>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1</w:t>
            </w:r>
          </w:p>
        </w:tc>
        <w:tc>
          <w:tcPr>
            <w:tcW w:w="1423"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2</w:t>
            </w:r>
          </w:p>
        </w:tc>
        <w:tc>
          <w:tcPr>
            <w:tcW w:w="1423"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3 o +</w:t>
            </w:r>
          </w:p>
        </w:tc>
        <w:tc>
          <w:tcPr>
            <w:tcW w:w="1423"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Indifferente, qualsiasi</w:t>
            </w:r>
          </w:p>
        </w:tc>
        <w:tc>
          <w:tcPr>
            <w:tcW w:w="1424"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Totale complessivo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423"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423"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423"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423"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424"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423"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423"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423"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423"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424"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20,0%</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80,0%</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0,0%</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0,0%</w:t>
            </w:r>
          </w:p>
        </w:tc>
        <w:tc>
          <w:tcPr>
            <w:tcW w:w="1424"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6,5%</w:t>
            </w: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86,1%</w:t>
            </w: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3,7%</w:t>
            </w: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3,7%</w:t>
            </w:r>
          </w:p>
        </w:tc>
        <w:tc>
          <w:tcPr>
            <w:tcW w:w="1424"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16,5%</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77,1%</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0,0%</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6,4%</w:t>
            </w:r>
          </w:p>
        </w:tc>
        <w:tc>
          <w:tcPr>
            <w:tcW w:w="1424"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424"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613" w:type="dxa"/>
            <w:gridSpan w:val="6"/>
            <w:noWrap/>
            <w:hideMark/>
          </w:tcPr>
          <w:p w:rsidR="00D706D0" w:rsidRPr="00017D65" w:rsidRDefault="00D706D0" w:rsidP="00D706D0">
            <w:pPr>
              <w:rPr>
                <w:rFonts w:ascii="Calibri" w:hAnsi="Calibri" w:cs="Calibri"/>
                <w:b w:val="0"/>
                <w:bCs w:val="0"/>
                <w:color w:val="000000"/>
                <w:sz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423"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423"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423"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423"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424"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20,6%</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73,5%</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0,0%</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5,9%</w:t>
            </w:r>
          </w:p>
        </w:tc>
        <w:tc>
          <w:tcPr>
            <w:tcW w:w="1424"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7,5%</w:t>
            </w: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87,5%</w:t>
            </w: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0,0%</w:t>
            </w: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5,0%</w:t>
            </w:r>
          </w:p>
        </w:tc>
        <w:tc>
          <w:tcPr>
            <w:tcW w:w="1424"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4,2%</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89,6%</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4,2%</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2,1%</w:t>
            </w:r>
          </w:p>
        </w:tc>
        <w:tc>
          <w:tcPr>
            <w:tcW w:w="1424"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423"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424" w:type="dxa"/>
            <w:noWrap/>
            <w:vAlign w:val="bottom"/>
            <w:hideMark/>
          </w:tcPr>
          <w:p w:rsidR="00D706D0" w:rsidRPr="001215BE"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13,2%</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80,9%</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1,4%</w:t>
            </w:r>
          </w:p>
        </w:tc>
        <w:tc>
          <w:tcPr>
            <w:tcW w:w="1423"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4,5%</w:t>
            </w:r>
          </w:p>
        </w:tc>
        <w:tc>
          <w:tcPr>
            <w:tcW w:w="1424" w:type="dxa"/>
            <w:noWrap/>
            <w:vAlign w:val="bottom"/>
            <w:hideMark/>
          </w:tcPr>
          <w:p w:rsidR="00D706D0" w:rsidRPr="001215BE"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1215BE">
              <w:rPr>
                <w:rFonts w:ascii="Calibri" w:hAnsi="Calibri" w:cs="Calibri"/>
                <w:b/>
                <w:bCs/>
                <w:color w:val="000000"/>
                <w:sz w:val="20"/>
              </w:rPr>
              <w:t>100,0%</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spacing w:before="120"/>
        <w:jc w:val="right"/>
        <w:rPr>
          <w:rFonts w:ascii="Arial" w:hAnsi="Arial" w:cs="Arial"/>
          <w:sz w:val="20"/>
          <w:szCs w:val="20"/>
        </w:rPr>
      </w:pPr>
      <w:r>
        <w:rPr>
          <w:rFonts w:ascii="Arial" w:hAnsi="Arial" w:cs="Arial"/>
          <w:sz w:val="20"/>
          <w:szCs w:val="20"/>
        </w:rPr>
        <w:t>Tavola A.13</w:t>
      </w:r>
    </w:p>
    <w:p w:rsidR="00D706D0"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numero di box auto richiesti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tbl>
      <w:tblPr>
        <w:tblStyle w:val="Sfondochiaro-Colore3"/>
        <w:tblW w:w="8613" w:type="dxa"/>
        <w:tblLayout w:type="fixed"/>
        <w:tblLook w:val="04A0" w:firstRow="1" w:lastRow="0" w:firstColumn="1" w:lastColumn="0" w:noHBand="0" w:noVBand="1"/>
      </w:tblPr>
      <w:tblGrid>
        <w:gridCol w:w="1497"/>
        <w:gridCol w:w="1779"/>
        <w:gridCol w:w="1779"/>
        <w:gridCol w:w="1779"/>
        <w:gridCol w:w="1779"/>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779" w:type="dxa"/>
            <w:noWrap/>
            <w:hideMark/>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1</w:t>
            </w:r>
          </w:p>
        </w:tc>
        <w:tc>
          <w:tcPr>
            <w:tcW w:w="1779"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2</w:t>
            </w:r>
          </w:p>
        </w:tc>
        <w:tc>
          <w:tcPr>
            <w:tcW w:w="1779"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Indifferente, qualsiasi</w:t>
            </w:r>
          </w:p>
        </w:tc>
        <w:tc>
          <w:tcPr>
            <w:tcW w:w="1779"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Totale complessivo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90,0%</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0,0%</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88,0%</w:t>
            </w: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4,6%</w:t>
            </w: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7,4%</w:t>
            </w: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78,9%</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0,3%</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20,9%</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613" w:type="dxa"/>
            <w:gridSpan w:val="5"/>
            <w:noWrap/>
            <w:hideMark/>
          </w:tcPr>
          <w:p w:rsidR="00D706D0" w:rsidRPr="00E04C1B" w:rsidRDefault="00D706D0" w:rsidP="00D706D0">
            <w:pPr>
              <w:rPr>
                <w:rFonts w:ascii="Arial" w:hAnsi="Arial" w:cs="Arial"/>
                <w:b w:val="0"/>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86,7%</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3,6%</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9,7%</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90,0%</w:t>
            </w: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0,0%</w:t>
            </w: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w:t>
            </w: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77,1%</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0,0%</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22,9%</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356A1C"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83,9%</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1,9%</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14,2%</w:t>
            </w:r>
          </w:p>
        </w:tc>
        <w:tc>
          <w:tcPr>
            <w:tcW w:w="1779" w:type="dxa"/>
            <w:noWrap/>
            <w:vAlign w:val="bottom"/>
            <w:hideMark/>
          </w:tcPr>
          <w:p w:rsidR="00D706D0" w:rsidRPr="00356A1C"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356A1C">
              <w:rPr>
                <w:rFonts w:ascii="Calibri" w:hAnsi="Calibri" w:cs="Calibri"/>
                <w:b/>
                <w:bCs/>
                <w:color w:val="000000"/>
                <w:sz w:val="20"/>
              </w:rPr>
              <w:t>100,0%</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Pr="00BC34F9" w:rsidRDefault="00D706D0" w:rsidP="00D706D0">
      <w:pPr>
        <w:widowControl w:val="0"/>
        <w:autoSpaceDE w:val="0"/>
        <w:autoSpaceDN w:val="0"/>
        <w:adjustRightInd w:val="0"/>
        <w:rPr>
          <w:rFonts w:ascii="Arial" w:hAnsi="Arial" w:cs="Arial"/>
          <w:bCs/>
          <w:sz w:val="20"/>
          <w:szCs w:val="20"/>
        </w:rPr>
      </w:pPr>
    </w:p>
    <w:p w:rsidR="00D706D0" w:rsidRPr="00BC34F9" w:rsidRDefault="00D706D0" w:rsidP="00D706D0">
      <w:pPr>
        <w:spacing w:before="120"/>
        <w:jc w:val="right"/>
        <w:rPr>
          <w:rFonts w:ascii="Arial" w:hAnsi="Arial" w:cs="Arial"/>
          <w:sz w:val="20"/>
          <w:szCs w:val="20"/>
        </w:rPr>
      </w:pPr>
      <w:r>
        <w:rPr>
          <w:rFonts w:ascii="Arial" w:hAnsi="Arial" w:cs="Arial"/>
          <w:bCs/>
          <w:sz w:val="20"/>
          <w:szCs w:val="20"/>
        </w:rPr>
        <w:br w:type="column"/>
      </w:r>
      <w:r>
        <w:rPr>
          <w:rFonts w:ascii="Arial" w:hAnsi="Arial" w:cs="Arial"/>
          <w:sz w:val="20"/>
          <w:szCs w:val="20"/>
        </w:rPr>
        <w:t>Tavola A.14</w:t>
      </w:r>
    </w:p>
    <w:p w:rsidR="00D706D0"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numero di posti auto richiesti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tbl>
      <w:tblPr>
        <w:tblStyle w:val="Sfondochiaro-Colore3"/>
        <w:tblW w:w="8613" w:type="dxa"/>
        <w:tblLayout w:type="fixed"/>
        <w:tblLook w:val="04A0" w:firstRow="1" w:lastRow="0" w:firstColumn="1" w:lastColumn="0" w:noHBand="0" w:noVBand="1"/>
      </w:tblPr>
      <w:tblGrid>
        <w:gridCol w:w="1497"/>
        <w:gridCol w:w="1779"/>
        <w:gridCol w:w="1779"/>
        <w:gridCol w:w="1779"/>
        <w:gridCol w:w="1779"/>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779" w:type="dxa"/>
            <w:noWrap/>
            <w:hideMark/>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1</w:t>
            </w:r>
          </w:p>
        </w:tc>
        <w:tc>
          <w:tcPr>
            <w:tcW w:w="1779"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2</w:t>
            </w:r>
          </w:p>
        </w:tc>
        <w:tc>
          <w:tcPr>
            <w:tcW w:w="1779"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Indifferente, qualsiasi</w:t>
            </w:r>
          </w:p>
        </w:tc>
        <w:tc>
          <w:tcPr>
            <w:tcW w:w="1779" w:type="dxa"/>
          </w:tcPr>
          <w:p w:rsidR="00D706D0" w:rsidRPr="001215BE"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1215BE">
              <w:rPr>
                <w:rFonts w:ascii="Calibri" w:hAnsi="Calibri" w:cs="Calibri"/>
                <w:bCs w:val="0"/>
                <w:color w:val="000000"/>
                <w:sz w:val="20"/>
                <w:szCs w:val="18"/>
              </w:rPr>
              <w:t>Totale complessivo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75,0%</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12,5%</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12,5%</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64,5%</w:t>
            </w: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2,8%</w:t>
            </w: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32,7%</w:t>
            </w: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66,0%</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5,2%</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28,8%</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613" w:type="dxa"/>
            <w:gridSpan w:val="5"/>
            <w:noWrap/>
            <w:hideMark/>
          </w:tcPr>
          <w:p w:rsidR="00D706D0" w:rsidRPr="00E04C1B" w:rsidRDefault="00D706D0" w:rsidP="00D706D0">
            <w:pPr>
              <w:rPr>
                <w:rFonts w:ascii="Arial" w:hAnsi="Arial" w:cs="Arial"/>
                <w:b w:val="0"/>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65,8%</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4,1%</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30,1%</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70,0%</w:t>
            </w: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10,0%</w:t>
            </w: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20,0%</w:t>
            </w: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66,7%</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5,2%</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28,1%</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E61450"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66,7%</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5,3%</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28,0%</w:t>
            </w:r>
          </w:p>
        </w:tc>
        <w:tc>
          <w:tcPr>
            <w:tcW w:w="1779" w:type="dxa"/>
            <w:noWrap/>
            <w:vAlign w:val="bottom"/>
            <w:hideMark/>
          </w:tcPr>
          <w:p w:rsidR="00D706D0" w:rsidRPr="00E61450"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E61450">
              <w:rPr>
                <w:rFonts w:ascii="Calibri" w:hAnsi="Calibri" w:cs="Calibri"/>
                <w:b/>
                <w:bCs/>
                <w:color w:val="000000"/>
                <w:sz w:val="20"/>
              </w:rPr>
              <w:t>100,0%</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spacing w:before="120"/>
        <w:jc w:val="right"/>
        <w:rPr>
          <w:rFonts w:ascii="Arial" w:hAnsi="Arial" w:cs="Arial"/>
          <w:sz w:val="20"/>
          <w:szCs w:val="20"/>
        </w:rPr>
      </w:pPr>
      <w:r>
        <w:rPr>
          <w:rFonts w:ascii="Arial" w:hAnsi="Arial" w:cs="Arial"/>
          <w:sz w:val="20"/>
          <w:szCs w:val="20"/>
        </w:rPr>
        <w:t>Tavola A.15</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piano richiesto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168" w:type="dxa"/>
            <w:noWrap/>
            <w:hideMark/>
          </w:tcPr>
          <w:p w:rsidR="00D706D0" w:rsidRPr="00842D7B"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42D7B">
              <w:rPr>
                <w:rFonts w:ascii="Calibri" w:hAnsi="Calibri" w:cs="Calibri"/>
                <w:bCs w:val="0"/>
                <w:color w:val="000000"/>
                <w:sz w:val="20"/>
                <w:szCs w:val="18"/>
              </w:rPr>
              <w:t>Terra</w:t>
            </w:r>
          </w:p>
        </w:tc>
        <w:tc>
          <w:tcPr>
            <w:tcW w:w="1168" w:type="dxa"/>
          </w:tcPr>
          <w:p w:rsidR="00D706D0" w:rsidRPr="00842D7B"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42D7B">
              <w:rPr>
                <w:rFonts w:ascii="Calibri" w:hAnsi="Calibri" w:cs="Calibri"/>
                <w:bCs w:val="0"/>
                <w:color w:val="000000"/>
                <w:sz w:val="20"/>
                <w:szCs w:val="18"/>
              </w:rPr>
              <w:t>1</w:t>
            </w:r>
          </w:p>
        </w:tc>
        <w:tc>
          <w:tcPr>
            <w:tcW w:w="1168" w:type="dxa"/>
          </w:tcPr>
          <w:p w:rsidR="00D706D0" w:rsidRPr="00842D7B"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42D7B">
              <w:rPr>
                <w:rFonts w:ascii="Calibri" w:hAnsi="Calibri" w:cs="Calibri"/>
                <w:bCs w:val="0"/>
                <w:color w:val="000000"/>
                <w:sz w:val="20"/>
                <w:szCs w:val="18"/>
              </w:rPr>
              <w:t>2</w:t>
            </w:r>
          </w:p>
        </w:tc>
        <w:tc>
          <w:tcPr>
            <w:tcW w:w="1168" w:type="dxa"/>
          </w:tcPr>
          <w:p w:rsidR="00D706D0" w:rsidRPr="00842D7B"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42D7B">
              <w:rPr>
                <w:rFonts w:ascii="Calibri" w:hAnsi="Calibri" w:cs="Calibri"/>
                <w:bCs w:val="0"/>
                <w:color w:val="000000"/>
                <w:sz w:val="20"/>
                <w:szCs w:val="18"/>
              </w:rPr>
              <w:t>Superiore a 2</w:t>
            </w:r>
          </w:p>
        </w:tc>
        <w:tc>
          <w:tcPr>
            <w:tcW w:w="1168" w:type="dxa"/>
          </w:tcPr>
          <w:p w:rsidR="00D706D0" w:rsidRPr="00842D7B"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42D7B">
              <w:rPr>
                <w:rFonts w:ascii="Calibri" w:hAnsi="Calibri" w:cs="Calibri"/>
                <w:bCs w:val="0"/>
                <w:color w:val="000000"/>
                <w:sz w:val="20"/>
                <w:szCs w:val="18"/>
              </w:rPr>
              <w:t>Ultimo</w:t>
            </w:r>
          </w:p>
        </w:tc>
        <w:tc>
          <w:tcPr>
            <w:tcW w:w="1168" w:type="dxa"/>
          </w:tcPr>
          <w:p w:rsidR="00D706D0" w:rsidRPr="00842D7B"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proofErr w:type="spellStart"/>
            <w:r w:rsidRPr="00842D7B">
              <w:rPr>
                <w:rFonts w:ascii="Calibri" w:hAnsi="Calibri" w:cs="Calibri"/>
                <w:bCs w:val="0"/>
                <w:color w:val="000000"/>
                <w:sz w:val="20"/>
                <w:szCs w:val="18"/>
              </w:rPr>
              <w:t>Indifferen</w:t>
            </w:r>
            <w:proofErr w:type="spellEnd"/>
            <w:r>
              <w:rPr>
                <w:rFonts w:ascii="Calibri" w:hAnsi="Calibri" w:cs="Calibri"/>
                <w:bCs w:val="0"/>
                <w:color w:val="000000"/>
                <w:sz w:val="20"/>
                <w:szCs w:val="18"/>
              </w:rPr>
              <w:t>-</w:t>
            </w:r>
            <w:r w:rsidRPr="00842D7B">
              <w:rPr>
                <w:rFonts w:ascii="Calibri" w:hAnsi="Calibri" w:cs="Calibri"/>
                <w:bCs w:val="0"/>
                <w:color w:val="000000"/>
                <w:sz w:val="20"/>
                <w:szCs w:val="18"/>
              </w:rPr>
              <w:t>te</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0,0%</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2,5%</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0,0%</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97,5%</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0,0%</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7,7%</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11,1%</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0,9%</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46,9%</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14,8%</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18,5%</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8,2%</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10,8%</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6,4%</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35,4%</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6,4%</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32,9%</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10,4%</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8,6%</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3,2%</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47,2%</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9,9%</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20,8%</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5,0%</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10,0%</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2,5%</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42,5%</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10,0%</w:t>
            </w: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30,0%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2,1%</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11,5%</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4,2%</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53,1%</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6,3%</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22,9%</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42D7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6,8%</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9,7%</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3,4%</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48,5%</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8,7%</w:t>
            </w:r>
          </w:p>
        </w:tc>
        <w:tc>
          <w:tcPr>
            <w:tcW w:w="1168" w:type="dxa"/>
            <w:noWrap/>
            <w:vAlign w:val="bottom"/>
            <w:hideMark/>
          </w:tcPr>
          <w:p w:rsidR="00D706D0" w:rsidRPr="00842D7B"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42D7B">
              <w:rPr>
                <w:rFonts w:ascii="Calibri" w:hAnsi="Calibri" w:cs="Calibri"/>
                <w:b/>
                <w:bCs/>
                <w:color w:val="000000"/>
                <w:sz w:val="20"/>
              </w:rPr>
              <w:t>22,8%</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Pr="00BC34F9" w:rsidRDefault="00D706D0" w:rsidP="00D706D0">
      <w:pPr>
        <w:spacing w:before="120"/>
        <w:jc w:val="right"/>
        <w:rPr>
          <w:rFonts w:ascii="Arial" w:hAnsi="Arial" w:cs="Arial"/>
          <w:sz w:val="20"/>
          <w:szCs w:val="20"/>
        </w:rPr>
      </w:pPr>
      <w:r>
        <w:rPr>
          <w:rFonts w:ascii="Arial" w:hAnsi="Arial" w:cs="Arial"/>
          <w:bCs/>
          <w:sz w:val="20"/>
          <w:szCs w:val="20"/>
        </w:rPr>
        <w:br w:type="column"/>
      </w:r>
      <w:r>
        <w:rPr>
          <w:rFonts w:ascii="Arial" w:hAnsi="Arial" w:cs="Arial"/>
          <w:sz w:val="20"/>
          <w:szCs w:val="20"/>
        </w:rPr>
        <w:t>Tavola A.16</w:t>
      </w:r>
    </w:p>
    <w:p w:rsidR="00D706D0"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presenza di ascensore richiesto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tbl>
      <w:tblPr>
        <w:tblStyle w:val="Sfondochiaro-Colore3"/>
        <w:tblW w:w="8613" w:type="dxa"/>
        <w:tblLayout w:type="fixed"/>
        <w:tblLook w:val="04A0" w:firstRow="1" w:lastRow="0" w:firstColumn="1" w:lastColumn="0" w:noHBand="0" w:noVBand="1"/>
      </w:tblPr>
      <w:tblGrid>
        <w:gridCol w:w="1497"/>
        <w:gridCol w:w="1779"/>
        <w:gridCol w:w="1779"/>
        <w:gridCol w:w="1779"/>
        <w:gridCol w:w="1779"/>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779" w:type="dxa"/>
            <w:noWrap/>
            <w:hideMark/>
          </w:tcPr>
          <w:p w:rsidR="00D706D0" w:rsidRPr="0069769A"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69769A">
              <w:rPr>
                <w:rFonts w:ascii="Calibri" w:hAnsi="Calibri" w:cs="Calibri"/>
                <w:bCs w:val="0"/>
                <w:color w:val="000000"/>
                <w:sz w:val="20"/>
                <w:szCs w:val="18"/>
              </w:rPr>
              <w:t>SI</w:t>
            </w:r>
          </w:p>
        </w:tc>
        <w:tc>
          <w:tcPr>
            <w:tcW w:w="1779" w:type="dxa"/>
          </w:tcPr>
          <w:p w:rsidR="00D706D0" w:rsidRPr="0069769A"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69769A">
              <w:rPr>
                <w:rFonts w:ascii="Calibri" w:hAnsi="Calibri" w:cs="Calibri"/>
                <w:bCs w:val="0"/>
                <w:color w:val="000000"/>
                <w:sz w:val="20"/>
                <w:szCs w:val="18"/>
              </w:rPr>
              <w:t>NO</w:t>
            </w:r>
          </w:p>
        </w:tc>
        <w:tc>
          <w:tcPr>
            <w:tcW w:w="1779" w:type="dxa"/>
          </w:tcPr>
          <w:p w:rsidR="00D706D0" w:rsidRPr="0069769A"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69769A">
              <w:rPr>
                <w:rFonts w:ascii="Calibri" w:hAnsi="Calibri" w:cs="Calibri"/>
                <w:bCs w:val="0"/>
                <w:color w:val="000000"/>
                <w:sz w:val="20"/>
                <w:szCs w:val="18"/>
              </w:rPr>
              <w:t>Indifferente, qualsiasi</w:t>
            </w:r>
          </w:p>
        </w:tc>
        <w:tc>
          <w:tcPr>
            <w:tcW w:w="1779" w:type="dxa"/>
          </w:tcPr>
          <w:p w:rsidR="00D706D0" w:rsidRPr="0069769A"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69769A">
              <w:rPr>
                <w:rFonts w:ascii="Calibri" w:hAnsi="Calibri" w:cs="Calibri"/>
                <w:bCs w:val="0"/>
                <w:color w:val="000000"/>
                <w:sz w:val="20"/>
                <w:szCs w:val="18"/>
              </w:rPr>
              <w:t>Totale complessivo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0,0%</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0,0%</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89,8%</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2,8%</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7,4%</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86,3%</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4,9%</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8,8%</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613" w:type="dxa"/>
            <w:gridSpan w:val="5"/>
            <w:noWrap/>
            <w:hideMark/>
          </w:tcPr>
          <w:p w:rsidR="00D706D0" w:rsidRPr="00E04C1B" w:rsidRDefault="00D706D0" w:rsidP="00D706D0">
            <w:pPr>
              <w:rPr>
                <w:rFonts w:ascii="Arial" w:hAnsi="Arial" w:cs="Arial"/>
                <w:b w:val="0"/>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86,0%</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6,5%</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7,4%</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87,5%</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0,0%</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12,5%</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95,8%</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0,0%</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4,2%</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89,6%</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3,4%</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7,0%</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bl>
    <w:p w:rsidR="00E96F5F" w:rsidRDefault="00D706D0" w:rsidP="00E35F59">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E96F5F">
      <w:pPr>
        <w:spacing w:before="120"/>
        <w:jc w:val="right"/>
        <w:rPr>
          <w:rFonts w:ascii="Arial" w:hAnsi="Arial" w:cs="Arial"/>
          <w:sz w:val="20"/>
          <w:szCs w:val="20"/>
        </w:rPr>
      </w:pPr>
      <w:r>
        <w:rPr>
          <w:rFonts w:ascii="Arial" w:hAnsi="Arial" w:cs="Arial"/>
          <w:sz w:val="20"/>
          <w:szCs w:val="20"/>
        </w:rPr>
        <w:t>Tavola A.17</w:t>
      </w:r>
    </w:p>
    <w:p w:rsidR="00D706D0"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tipo di riscaldamento richiesto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tbl>
      <w:tblPr>
        <w:tblStyle w:val="Sfondochiaro-Colore3"/>
        <w:tblW w:w="8613" w:type="dxa"/>
        <w:tblLayout w:type="fixed"/>
        <w:tblLook w:val="04A0" w:firstRow="1" w:lastRow="0" w:firstColumn="1" w:lastColumn="0" w:noHBand="0" w:noVBand="1"/>
      </w:tblPr>
      <w:tblGrid>
        <w:gridCol w:w="1497"/>
        <w:gridCol w:w="2372"/>
        <w:gridCol w:w="2372"/>
        <w:gridCol w:w="2372"/>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2372" w:type="dxa"/>
            <w:noWrap/>
            <w:hideMark/>
          </w:tcPr>
          <w:p w:rsidR="00D706D0" w:rsidRPr="004F643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4F643F">
              <w:rPr>
                <w:rFonts w:ascii="Calibri" w:hAnsi="Calibri" w:cs="Calibri"/>
                <w:bCs w:val="0"/>
                <w:color w:val="000000"/>
                <w:sz w:val="20"/>
                <w:szCs w:val="18"/>
              </w:rPr>
              <w:t>Autonomo</w:t>
            </w:r>
          </w:p>
        </w:tc>
        <w:tc>
          <w:tcPr>
            <w:tcW w:w="2372" w:type="dxa"/>
          </w:tcPr>
          <w:p w:rsidR="00D706D0" w:rsidRPr="004F643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4F643F">
              <w:rPr>
                <w:rFonts w:ascii="Calibri" w:hAnsi="Calibri" w:cs="Calibri"/>
                <w:bCs w:val="0"/>
                <w:color w:val="000000"/>
                <w:sz w:val="20"/>
                <w:szCs w:val="18"/>
              </w:rPr>
              <w:t>Indifferente, qualsiasi</w:t>
            </w:r>
          </w:p>
        </w:tc>
        <w:tc>
          <w:tcPr>
            <w:tcW w:w="2372" w:type="dxa"/>
          </w:tcPr>
          <w:p w:rsidR="00D706D0" w:rsidRPr="004F643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4F643F">
              <w:rPr>
                <w:rFonts w:ascii="Calibri" w:hAnsi="Calibri" w:cs="Calibri"/>
                <w:bCs w:val="0"/>
                <w:color w:val="000000"/>
                <w:sz w:val="20"/>
                <w:szCs w:val="18"/>
              </w:rPr>
              <w:t>Totale complessivo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2372"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372"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372"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2372"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2372"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2372"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90,0%</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10,0%</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86,1%</w:t>
            </w: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13,9%</w:t>
            </w: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89,7%</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10,3%</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613" w:type="dxa"/>
            <w:gridSpan w:val="4"/>
            <w:noWrap/>
            <w:hideMark/>
          </w:tcPr>
          <w:p w:rsidR="00D706D0" w:rsidRPr="00E04C1B" w:rsidRDefault="00D706D0" w:rsidP="00D706D0">
            <w:pPr>
              <w:rPr>
                <w:rFonts w:ascii="Arial" w:hAnsi="Arial" w:cs="Arial"/>
                <w:b w:val="0"/>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2372"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2372"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2372"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81,8%</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18,2%</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95,0%</w:t>
            </w: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5,0%</w:t>
            </w: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95,8%</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4,2%</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2372" w:type="dxa"/>
            <w:noWrap/>
            <w:vAlign w:val="bottom"/>
            <w:hideMark/>
          </w:tcPr>
          <w:p w:rsidR="00D706D0" w:rsidRPr="004F643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88,4%</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11,6%</w:t>
            </w:r>
          </w:p>
        </w:tc>
        <w:tc>
          <w:tcPr>
            <w:tcW w:w="2372" w:type="dxa"/>
            <w:noWrap/>
            <w:vAlign w:val="bottom"/>
            <w:hideMark/>
          </w:tcPr>
          <w:p w:rsidR="00D706D0" w:rsidRPr="004F643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4F643F">
              <w:rPr>
                <w:rFonts w:ascii="Calibri" w:hAnsi="Calibri" w:cs="Calibri"/>
                <w:b/>
                <w:bCs/>
                <w:color w:val="000000"/>
                <w:sz w:val="20"/>
              </w:rPr>
              <w:t>100,0%</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spacing w:before="120"/>
        <w:jc w:val="right"/>
        <w:rPr>
          <w:rFonts w:ascii="Arial" w:hAnsi="Arial" w:cs="Arial"/>
          <w:sz w:val="20"/>
          <w:szCs w:val="20"/>
        </w:rPr>
      </w:pPr>
      <w:r>
        <w:rPr>
          <w:rFonts w:ascii="Arial" w:hAnsi="Arial" w:cs="Arial"/>
          <w:sz w:val="20"/>
          <w:szCs w:val="20"/>
        </w:rPr>
        <w:br w:type="column"/>
        <w:t>Tavola A.18</w:t>
      </w:r>
    </w:p>
    <w:p w:rsidR="00D706D0"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tipologia di giardino richiesto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tbl>
      <w:tblPr>
        <w:tblStyle w:val="Sfondochiaro-Colore3"/>
        <w:tblW w:w="8613" w:type="dxa"/>
        <w:tblLayout w:type="fixed"/>
        <w:tblLook w:val="04A0" w:firstRow="1" w:lastRow="0" w:firstColumn="1" w:lastColumn="0" w:noHBand="0" w:noVBand="1"/>
      </w:tblPr>
      <w:tblGrid>
        <w:gridCol w:w="1497"/>
        <w:gridCol w:w="1779"/>
        <w:gridCol w:w="1779"/>
        <w:gridCol w:w="1779"/>
        <w:gridCol w:w="1779"/>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779" w:type="dxa"/>
            <w:noWrap/>
            <w:hideMark/>
          </w:tcPr>
          <w:p w:rsidR="00D706D0" w:rsidRPr="008D65C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D65CF">
              <w:rPr>
                <w:rFonts w:ascii="Calibri" w:hAnsi="Calibri" w:cs="Calibri"/>
                <w:bCs w:val="0"/>
                <w:color w:val="000000"/>
                <w:sz w:val="20"/>
                <w:szCs w:val="18"/>
              </w:rPr>
              <w:t>Privato</w:t>
            </w:r>
          </w:p>
        </w:tc>
        <w:tc>
          <w:tcPr>
            <w:tcW w:w="1779" w:type="dxa"/>
          </w:tcPr>
          <w:p w:rsidR="00D706D0" w:rsidRPr="008D65C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D65CF">
              <w:rPr>
                <w:rFonts w:ascii="Calibri" w:hAnsi="Calibri" w:cs="Calibri"/>
                <w:bCs w:val="0"/>
                <w:color w:val="000000"/>
                <w:sz w:val="20"/>
                <w:szCs w:val="18"/>
              </w:rPr>
              <w:t>Condominiale</w:t>
            </w:r>
          </w:p>
        </w:tc>
        <w:tc>
          <w:tcPr>
            <w:tcW w:w="1779" w:type="dxa"/>
          </w:tcPr>
          <w:p w:rsidR="00D706D0" w:rsidRPr="008D65C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D65CF">
              <w:rPr>
                <w:rFonts w:ascii="Calibri" w:hAnsi="Calibri" w:cs="Calibri"/>
                <w:bCs w:val="0"/>
                <w:color w:val="000000"/>
                <w:sz w:val="20"/>
                <w:szCs w:val="18"/>
              </w:rPr>
              <w:t>Indifferente, qualsiasi</w:t>
            </w:r>
          </w:p>
        </w:tc>
        <w:tc>
          <w:tcPr>
            <w:tcW w:w="1779" w:type="dxa"/>
          </w:tcPr>
          <w:p w:rsidR="00D706D0" w:rsidRPr="0069769A"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69769A">
              <w:rPr>
                <w:rFonts w:ascii="Calibri" w:hAnsi="Calibri" w:cs="Calibri"/>
                <w:bCs w:val="0"/>
                <w:color w:val="000000"/>
                <w:sz w:val="20"/>
                <w:szCs w:val="18"/>
              </w:rPr>
              <w:t>Totale complessivo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67,5%</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0,0%</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32,5%</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50,6%</w:t>
            </w: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10,2%</w:t>
            </w: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39,2%</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59,9%</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0,5%</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39,6%</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613" w:type="dxa"/>
            <w:gridSpan w:val="5"/>
            <w:noWrap/>
            <w:hideMark/>
          </w:tcPr>
          <w:p w:rsidR="00D706D0" w:rsidRPr="00E04C1B" w:rsidRDefault="00D706D0" w:rsidP="00D706D0">
            <w:pPr>
              <w:rPr>
                <w:rFonts w:ascii="Arial" w:hAnsi="Arial" w:cs="Arial"/>
                <w:b w:val="0"/>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63,0%</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0,5%</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36,6%</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62,5%</w:t>
            </w: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2,5%</w:t>
            </w: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35,0%</w:t>
            </w: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46,9%</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10,4%</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42,7%</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8D65C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69769A"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57,5%</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4,1%</w:t>
            </w:r>
          </w:p>
        </w:tc>
        <w:tc>
          <w:tcPr>
            <w:tcW w:w="1779" w:type="dxa"/>
            <w:noWrap/>
            <w:vAlign w:val="bottom"/>
            <w:hideMark/>
          </w:tcPr>
          <w:p w:rsidR="00D706D0" w:rsidRPr="008D65C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D65CF">
              <w:rPr>
                <w:rFonts w:ascii="Calibri" w:hAnsi="Calibri" w:cs="Calibri"/>
                <w:b/>
                <w:bCs/>
                <w:color w:val="000000"/>
                <w:sz w:val="20"/>
              </w:rPr>
              <w:t>38,4%</w:t>
            </w:r>
          </w:p>
        </w:tc>
        <w:tc>
          <w:tcPr>
            <w:tcW w:w="1779" w:type="dxa"/>
            <w:noWrap/>
            <w:vAlign w:val="bottom"/>
            <w:hideMark/>
          </w:tcPr>
          <w:p w:rsidR="00D706D0" w:rsidRPr="0069769A"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69769A">
              <w:rPr>
                <w:rFonts w:ascii="Calibri" w:hAnsi="Calibri" w:cs="Calibri"/>
                <w:b/>
                <w:bCs/>
                <w:color w:val="000000"/>
                <w:sz w:val="20"/>
              </w:rPr>
              <w:t>100,0%</w:t>
            </w:r>
          </w:p>
        </w:tc>
      </w:tr>
    </w:tbl>
    <w:p w:rsidR="00E35F59" w:rsidRDefault="00D706D0" w:rsidP="00E35F59">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E35F59">
      <w:pPr>
        <w:spacing w:before="120"/>
        <w:jc w:val="right"/>
        <w:rPr>
          <w:rFonts w:ascii="Arial" w:hAnsi="Arial" w:cs="Arial"/>
          <w:sz w:val="20"/>
          <w:szCs w:val="20"/>
        </w:rPr>
      </w:pPr>
      <w:r>
        <w:rPr>
          <w:rFonts w:ascii="Arial" w:hAnsi="Arial" w:cs="Arial"/>
          <w:sz w:val="20"/>
          <w:szCs w:val="20"/>
        </w:rPr>
        <w:t>Tavola A.19</w:t>
      </w:r>
    </w:p>
    <w:p w:rsidR="00D706D0"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terrazzo-balcone richiesto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tbl>
      <w:tblPr>
        <w:tblStyle w:val="Sfondochiaro-Colore3"/>
        <w:tblW w:w="8613" w:type="dxa"/>
        <w:tblLayout w:type="fixed"/>
        <w:tblLook w:val="04A0" w:firstRow="1" w:lastRow="0" w:firstColumn="1" w:lastColumn="0" w:noHBand="0" w:noVBand="1"/>
      </w:tblPr>
      <w:tblGrid>
        <w:gridCol w:w="1497"/>
        <w:gridCol w:w="1779"/>
        <w:gridCol w:w="1779"/>
        <w:gridCol w:w="1779"/>
        <w:gridCol w:w="1779"/>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779" w:type="dxa"/>
            <w:noWrap/>
            <w:hideMark/>
          </w:tcPr>
          <w:p w:rsidR="00D706D0" w:rsidRPr="00D5305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D5305D">
              <w:rPr>
                <w:rFonts w:ascii="Calibri" w:hAnsi="Calibri" w:cs="Calibri"/>
                <w:bCs w:val="0"/>
                <w:color w:val="000000"/>
                <w:sz w:val="20"/>
                <w:szCs w:val="18"/>
              </w:rPr>
              <w:t>Terrazzo</w:t>
            </w:r>
          </w:p>
        </w:tc>
        <w:tc>
          <w:tcPr>
            <w:tcW w:w="1779" w:type="dxa"/>
          </w:tcPr>
          <w:p w:rsidR="00D706D0" w:rsidRPr="00D5305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D5305D">
              <w:rPr>
                <w:rFonts w:ascii="Calibri" w:hAnsi="Calibri" w:cs="Calibri"/>
                <w:bCs w:val="0"/>
                <w:color w:val="000000"/>
                <w:sz w:val="20"/>
                <w:szCs w:val="18"/>
              </w:rPr>
              <w:t>Balcone</w:t>
            </w:r>
          </w:p>
        </w:tc>
        <w:tc>
          <w:tcPr>
            <w:tcW w:w="1779" w:type="dxa"/>
          </w:tcPr>
          <w:p w:rsidR="00D706D0" w:rsidRPr="00D5305D"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D5305D">
              <w:rPr>
                <w:rFonts w:ascii="Calibri" w:hAnsi="Calibri" w:cs="Calibri"/>
                <w:bCs w:val="0"/>
                <w:color w:val="000000"/>
                <w:sz w:val="20"/>
                <w:szCs w:val="18"/>
              </w:rPr>
              <w:t>Indifferente, qualsiasi</w:t>
            </w:r>
          </w:p>
        </w:tc>
        <w:tc>
          <w:tcPr>
            <w:tcW w:w="1779" w:type="dxa"/>
          </w:tcPr>
          <w:p w:rsidR="00D706D0" w:rsidRPr="0069769A"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69769A">
              <w:rPr>
                <w:rFonts w:ascii="Calibri" w:hAnsi="Calibri" w:cs="Calibri"/>
                <w:bCs w:val="0"/>
                <w:color w:val="000000"/>
                <w:sz w:val="20"/>
                <w:szCs w:val="18"/>
              </w:rPr>
              <w:t>Totale complessivo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79"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779"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57,5%</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40,0%</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2,5%</w:t>
            </w:r>
          </w:p>
        </w:tc>
        <w:tc>
          <w:tcPr>
            <w:tcW w:w="1779" w:type="dxa"/>
            <w:noWrap/>
            <w:hideMark/>
          </w:tcPr>
          <w:p w:rsidR="00D706D0" w:rsidRDefault="00D706D0" w:rsidP="00D706D0">
            <w:pPr>
              <w:jc w:val="center"/>
              <w:cnfStyle w:val="000000100000" w:firstRow="0" w:lastRow="0" w:firstColumn="0" w:lastColumn="0" w:oddVBand="0" w:evenVBand="0" w:oddHBand="1" w:evenHBand="0" w:firstRowFirstColumn="0" w:firstRowLastColumn="0" w:lastRowFirstColumn="0" w:lastRowLastColumn="0"/>
            </w:pPr>
            <w:r w:rsidRPr="00A50DE5">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65,1%</w:t>
            </w: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23,5%</w:t>
            </w: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11,4%</w:t>
            </w:r>
          </w:p>
        </w:tc>
        <w:tc>
          <w:tcPr>
            <w:tcW w:w="1779" w:type="dxa"/>
            <w:noWrap/>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pPr>
            <w:r w:rsidRPr="00A50DE5">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57,0%</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22,3%</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20,6%</w:t>
            </w:r>
          </w:p>
        </w:tc>
        <w:tc>
          <w:tcPr>
            <w:tcW w:w="1779" w:type="dxa"/>
            <w:noWrap/>
            <w:hideMark/>
          </w:tcPr>
          <w:p w:rsidR="00D706D0" w:rsidRDefault="00D706D0" w:rsidP="00D706D0">
            <w:pPr>
              <w:jc w:val="center"/>
              <w:cnfStyle w:val="000000100000" w:firstRow="0" w:lastRow="0" w:firstColumn="0" w:lastColumn="0" w:oddVBand="0" w:evenVBand="0" w:oddHBand="1" w:evenHBand="0" w:firstRowFirstColumn="0" w:firstRowLastColumn="0" w:lastRowFirstColumn="0" w:lastRowLastColumn="0"/>
            </w:pPr>
            <w:r w:rsidRPr="00A50DE5">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613" w:type="dxa"/>
            <w:gridSpan w:val="5"/>
            <w:noWrap/>
            <w:hideMark/>
          </w:tcPr>
          <w:p w:rsidR="00D706D0" w:rsidRPr="00E04C1B" w:rsidRDefault="00D706D0" w:rsidP="00D706D0">
            <w:pPr>
              <w:rPr>
                <w:rFonts w:ascii="Arial" w:hAnsi="Arial" w:cs="Arial"/>
                <w:b w:val="0"/>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779"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64,8%</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23,4%</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11,8%</w:t>
            </w:r>
          </w:p>
        </w:tc>
        <w:tc>
          <w:tcPr>
            <w:tcW w:w="1779" w:type="dxa"/>
            <w:noWrap/>
            <w:hideMark/>
          </w:tcPr>
          <w:p w:rsidR="00D706D0" w:rsidRDefault="00D706D0" w:rsidP="00D706D0">
            <w:pPr>
              <w:jc w:val="center"/>
              <w:cnfStyle w:val="000000100000" w:firstRow="0" w:lastRow="0" w:firstColumn="0" w:lastColumn="0" w:oddVBand="0" w:evenVBand="0" w:oddHBand="1" w:evenHBand="0" w:firstRowFirstColumn="0" w:firstRowLastColumn="0" w:lastRowFirstColumn="0" w:lastRowLastColumn="0"/>
            </w:pPr>
            <w:r w:rsidRPr="00715FAE">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80,0%</w:t>
            </w: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2,5%</w:t>
            </w: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17,5%</w:t>
            </w:r>
          </w:p>
        </w:tc>
        <w:tc>
          <w:tcPr>
            <w:tcW w:w="1779" w:type="dxa"/>
            <w:noWrap/>
            <w:hideMark/>
          </w:tcPr>
          <w:p w:rsidR="00D706D0" w:rsidRDefault="00D706D0" w:rsidP="00D706D0">
            <w:pPr>
              <w:jc w:val="center"/>
              <w:cnfStyle w:val="000000000000" w:firstRow="0" w:lastRow="0" w:firstColumn="0" w:lastColumn="0" w:oddVBand="0" w:evenVBand="0" w:oddHBand="0" w:evenHBand="0" w:firstRowFirstColumn="0" w:firstRowLastColumn="0" w:lastRowFirstColumn="0" w:lastRowLastColumn="0"/>
            </w:pPr>
            <w:r w:rsidRPr="00715FAE">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44,8%</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37,5%</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17,7%</w:t>
            </w:r>
          </w:p>
        </w:tc>
        <w:tc>
          <w:tcPr>
            <w:tcW w:w="1779" w:type="dxa"/>
            <w:noWrap/>
            <w:hideMark/>
          </w:tcPr>
          <w:p w:rsidR="00D706D0" w:rsidRDefault="00D706D0" w:rsidP="00D706D0">
            <w:pPr>
              <w:jc w:val="center"/>
              <w:cnfStyle w:val="000000100000" w:firstRow="0" w:lastRow="0" w:firstColumn="0" w:lastColumn="0" w:oddVBand="0" w:evenVBand="0" w:oddHBand="1" w:evenHBand="0" w:firstRowFirstColumn="0" w:firstRowLastColumn="0" w:lastRowFirstColumn="0" w:lastRowLastColumn="0"/>
            </w:pPr>
            <w:r w:rsidRPr="00715FAE">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779" w:type="dxa"/>
            <w:noWrap/>
            <w:vAlign w:val="bottom"/>
            <w:hideMark/>
          </w:tcPr>
          <w:p w:rsidR="00D706D0" w:rsidRPr="00D5305D"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60,2%</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25,2%</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D5305D">
              <w:rPr>
                <w:rFonts w:ascii="Calibri" w:hAnsi="Calibri" w:cs="Calibri"/>
                <w:b/>
                <w:bCs/>
                <w:color w:val="000000"/>
                <w:sz w:val="20"/>
              </w:rPr>
              <w:t>14,6%</w:t>
            </w:r>
          </w:p>
        </w:tc>
        <w:tc>
          <w:tcPr>
            <w:tcW w:w="1779" w:type="dxa"/>
            <w:noWrap/>
            <w:vAlign w:val="bottom"/>
            <w:hideMark/>
          </w:tcPr>
          <w:p w:rsidR="00D706D0" w:rsidRPr="00D5305D"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Pr>
                <w:rFonts w:ascii="Calibri" w:hAnsi="Calibri" w:cs="Calibri"/>
                <w:b/>
                <w:bCs/>
                <w:color w:val="000000"/>
                <w:sz w:val="20"/>
              </w:rPr>
              <w:t>100,0</w:t>
            </w:r>
            <w:r w:rsidRPr="00D5305D">
              <w:rPr>
                <w:rFonts w:ascii="Calibri" w:hAnsi="Calibri" w:cs="Calibri"/>
                <w:b/>
                <w:bCs/>
                <w:color w:val="000000"/>
                <w:sz w:val="20"/>
              </w:rPr>
              <w:t>%</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Default="00D706D0" w:rsidP="00D706D0">
      <w:pPr>
        <w:rPr>
          <w:rFonts w:ascii="Arial" w:hAnsi="Arial" w:cs="Arial"/>
          <w:sz w:val="20"/>
          <w:szCs w:val="20"/>
        </w:rPr>
      </w:pPr>
    </w:p>
    <w:p w:rsidR="00D706D0" w:rsidRDefault="00D706D0" w:rsidP="00D706D0">
      <w:pPr>
        <w:rPr>
          <w:rFonts w:ascii="Arial" w:hAnsi="Arial" w:cs="Arial"/>
          <w:sz w:val="20"/>
          <w:szCs w:val="20"/>
        </w:rPr>
      </w:pPr>
    </w:p>
    <w:p w:rsidR="00D706D0" w:rsidRPr="00BC34F9" w:rsidRDefault="00D706D0" w:rsidP="00D706D0">
      <w:pPr>
        <w:spacing w:before="120"/>
        <w:jc w:val="right"/>
        <w:rPr>
          <w:rFonts w:ascii="Arial" w:hAnsi="Arial" w:cs="Arial"/>
          <w:sz w:val="20"/>
          <w:szCs w:val="20"/>
        </w:rPr>
      </w:pPr>
      <w:r>
        <w:rPr>
          <w:rFonts w:ascii="Arial" w:hAnsi="Arial" w:cs="Arial"/>
          <w:sz w:val="20"/>
          <w:szCs w:val="20"/>
        </w:rPr>
        <w:br w:type="column"/>
        <w:t>Tavola A.20</w:t>
      </w:r>
    </w:p>
    <w:p w:rsidR="00D706D0"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classe energetica richiesta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rPr>
          <w:rFonts w:ascii="Arial" w:hAnsi="Arial" w:cs="Arial"/>
          <w:sz w:val="20"/>
          <w:szCs w:val="20"/>
        </w:rPr>
      </w:pPr>
    </w:p>
    <w:tbl>
      <w:tblPr>
        <w:tblStyle w:val="Sfondochiaro-Colore3"/>
        <w:tblW w:w="8714" w:type="dxa"/>
        <w:tblLayout w:type="fixed"/>
        <w:tblLook w:val="04A0" w:firstRow="1" w:lastRow="0" w:firstColumn="1" w:lastColumn="0" w:noHBand="0" w:noVBand="1"/>
      </w:tblPr>
      <w:tblGrid>
        <w:gridCol w:w="848"/>
        <w:gridCol w:w="983"/>
        <w:gridCol w:w="983"/>
        <w:gridCol w:w="983"/>
        <w:gridCol w:w="984"/>
        <w:gridCol w:w="983"/>
        <w:gridCol w:w="983"/>
        <w:gridCol w:w="983"/>
        <w:gridCol w:w="984"/>
      </w:tblGrid>
      <w:tr w:rsidR="00D706D0" w:rsidRPr="004F1028"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Città per dimensione</w:t>
            </w:r>
          </w:p>
        </w:tc>
        <w:tc>
          <w:tcPr>
            <w:tcW w:w="983" w:type="dxa"/>
            <w:noWrap/>
            <w:vAlign w:val="center"/>
            <w:hideMark/>
          </w:tcPr>
          <w:p w:rsidR="00D706D0" w:rsidRPr="0028443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28443C">
              <w:rPr>
                <w:rFonts w:ascii="Calibri" w:hAnsi="Calibri" w:cs="Calibri"/>
                <w:bCs w:val="0"/>
                <w:color w:val="000000"/>
                <w:sz w:val="20"/>
                <w:szCs w:val="18"/>
              </w:rPr>
              <w:t>A e +</w:t>
            </w:r>
          </w:p>
        </w:tc>
        <w:tc>
          <w:tcPr>
            <w:tcW w:w="983" w:type="dxa"/>
            <w:vAlign w:val="center"/>
          </w:tcPr>
          <w:p w:rsidR="00D706D0" w:rsidRPr="0028443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28443C">
              <w:rPr>
                <w:rFonts w:ascii="Calibri" w:hAnsi="Calibri" w:cs="Calibri"/>
                <w:bCs w:val="0"/>
                <w:color w:val="000000"/>
                <w:sz w:val="20"/>
                <w:szCs w:val="18"/>
              </w:rPr>
              <w:t>B</w:t>
            </w:r>
          </w:p>
        </w:tc>
        <w:tc>
          <w:tcPr>
            <w:tcW w:w="983" w:type="dxa"/>
            <w:vAlign w:val="center"/>
          </w:tcPr>
          <w:p w:rsidR="00D706D0" w:rsidRPr="0028443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28443C">
              <w:rPr>
                <w:rFonts w:ascii="Calibri" w:hAnsi="Calibri" w:cs="Calibri"/>
                <w:bCs w:val="0"/>
                <w:color w:val="000000"/>
                <w:sz w:val="20"/>
                <w:szCs w:val="18"/>
              </w:rPr>
              <w:t>C</w:t>
            </w:r>
          </w:p>
        </w:tc>
        <w:tc>
          <w:tcPr>
            <w:tcW w:w="984" w:type="dxa"/>
            <w:vAlign w:val="center"/>
          </w:tcPr>
          <w:p w:rsidR="00D706D0" w:rsidRPr="0028443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28443C">
              <w:rPr>
                <w:rFonts w:ascii="Calibri" w:hAnsi="Calibri" w:cs="Calibri"/>
                <w:bCs w:val="0"/>
                <w:color w:val="000000"/>
                <w:sz w:val="20"/>
                <w:szCs w:val="18"/>
              </w:rPr>
              <w:t>D</w:t>
            </w:r>
          </w:p>
        </w:tc>
        <w:tc>
          <w:tcPr>
            <w:tcW w:w="983" w:type="dxa"/>
            <w:vAlign w:val="center"/>
          </w:tcPr>
          <w:p w:rsidR="00D706D0" w:rsidRPr="0028443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28443C">
              <w:rPr>
                <w:rFonts w:ascii="Calibri" w:hAnsi="Calibri" w:cs="Calibri"/>
                <w:bCs w:val="0"/>
                <w:color w:val="000000"/>
                <w:sz w:val="20"/>
                <w:szCs w:val="18"/>
              </w:rPr>
              <w:t>E</w:t>
            </w:r>
          </w:p>
        </w:tc>
        <w:tc>
          <w:tcPr>
            <w:tcW w:w="983" w:type="dxa"/>
            <w:vAlign w:val="center"/>
          </w:tcPr>
          <w:p w:rsidR="00D706D0" w:rsidRPr="0028443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28443C">
              <w:rPr>
                <w:rFonts w:ascii="Calibri" w:hAnsi="Calibri" w:cs="Calibri"/>
                <w:bCs w:val="0"/>
                <w:color w:val="000000"/>
                <w:sz w:val="20"/>
                <w:szCs w:val="18"/>
              </w:rPr>
              <w:t>F</w:t>
            </w:r>
          </w:p>
        </w:tc>
        <w:tc>
          <w:tcPr>
            <w:tcW w:w="983" w:type="dxa"/>
            <w:vAlign w:val="center"/>
          </w:tcPr>
          <w:p w:rsidR="00D706D0" w:rsidRPr="0028443C"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28443C">
              <w:rPr>
                <w:rFonts w:ascii="Calibri" w:hAnsi="Calibri" w:cs="Calibri"/>
                <w:bCs w:val="0"/>
                <w:color w:val="000000"/>
                <w:sz w:val="20"/>
                <w:szCs w:val="18"/>
              </w:rPr>
              <w:t>G</w:t>
            </w:r>
          </w:p>
        </w:tc>
        <w:tc>
          <w:tcPr>
            <w:tcW w:w="984" w:type="dxa"/>
            <w:vAlign w:val="center"/>
          </w:tcPr>
          <w:p w:rsidR="00D706D0" w:rsidRPr="004F1028"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6"/>
                <w:szCs w:val="18"/>
              </w:rPr>
            </w:pPr>
            <w:proofErr w:type="spellStart"/>
            <w:r w:rsidRPr="0028443C">
              <w:rPr>
                <w:rFonts w:ascii="Calibri" w:hAnsi="Calibri" w:cs="Calibri"/>
                <w:bCs w:val="0"/>
                <w:color w:val="000000"/>
                <w:sz w:val="20"/>
                <w:szCs w:val="18"/>
              </w:rPr>
              <w:t>Indif</w:t>
            </w:r>
            <w:proofErr w:type="spellEnd"/>
            <w:r>
              <w:rPr>
                <w:rFonts w:ascii="Calibri" w:hAnsi="Calibri" w:cs="Calibri"/>
                <w:bCs w:val="0"/>
                <w:color w:val="000000"/>
                <w:sz w:val="20"/>
                <w:szCs w:val="18"/>
              </w:rPr>
              <w:t>-</w:t>
            </w:r>
            <w:r w:rsidRPr="0028443C">
              <w:rPr>
                <w:rFonts w:ascii="Calibri" w:hAnsi="Calibri" w:cs="Calibri"/>
                <w:bCs w:val="0"/>
                <w:color w:val="000000"/>
                <w:sz w:val="20"/>
                <w:szCs w:val="18"/>
              </w:rPr>
              <w:t>ferente</w:t>
            </w:r>
          </w:p>
        </w:tc>
      </w:tr>
      <w:tr w:rsidR="00D706D0" w:rsidRPr="004F1028"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lang w:eastAsia="it-IT"/>
              </w:rPr>
            </w:pP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984"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984"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D706D0" w:rsidRPr="004F1028" w:rsidTr="00D706D0">
        <w:trPr>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t-IT"/>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t-IT"/>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it-IT"/>
              </w:rPr>
            </w:pPr>
          </w:p>
        </w:tc>
        <w:tc>
          <w:tcPr>
            <w:tcW w:w="984"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c>
          <w:tcPr>
            <w:tcW w:w="984"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D706D0" w:rsidRPr="004F1028"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Grandi</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20,0%</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0,0%</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0,0%</w:t>
            </w:r>
          </w:p>
        </w:tc>
        <w:tc>
          <w:tcPr>
            <w:tcW w:w="984"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10,0%</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2,5%</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0,0%</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30,0%</w:t>
            </w:r>
          </w:p>
        </w:tc>
        <w:tc>
          <w:tcPr>
            <w:tcW w:w="984"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37,5%</w:t>
            </w:r>
          </w:p>
        </w:tc>
      </w:tr>
      <w:tr w:rsidR="00D706D0" w:rsidRPr="004F1028" w:rsidTr="00D706D0">
        <w:trPr>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Medie</w:t>
            </w: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22,2%</w:t>
            </w: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28,1%</w:t>
            </w: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7,7%</w:t>
            </w:r>
          </w:p>
        </w:tc>
        <w:tc>
          <w:tcPr>
            <w:tcW w:w="984"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5,6%</w:t>
            </w: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0,0%</w:t>
            </w: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2,8%</w:t>
            </w: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0,9%</w:t>
            </w:r>
          </w:p>
        </w:tc>
        <w:tc>
          <w:tcPr>
            <w:tcW w:w="984"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32,7%</w:t>
            </w:r>
          </w:p>
        </w:tc>
      </w:tr>
      <w:tr w:rsidR="00D706D0" w:rsidRPr="004F1028"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Piccole</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11,3%</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10,3%</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1,6%</w:t>
            </w:r>
          </w:p>
        </w:tc>
        <w:tc>
          <w:tcPr>
            <w:tcW w:w="984"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6,4%</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4,9%</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1,5%</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2,9%</w:t>
            </w:r>
          </w:p>
        </w:tc>
        <w:tc>
          <w:tcPr>
            <w:tcW w:w="984"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61,1%</w:t>
            </w:r>
          </w:p>
        </w:tc>
      </w:tr>
      <w:tr w:rsidR="00D706D0" w:rsidRPr="004F1028" w:rsidTr="00D706D0">
        <w:trPr>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4"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4"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r>
      <w:tr w:rsidR="00D706D0" w:rsidRPr="004F1028"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14" w:type="dxa"/>
            <w:gridSpan w:val="9"/>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Città per circoscrizione territoriale</w:t>
            </w:r>
          </w:p>
        </w:tc>
      </w:tr>
      <w:tr w:rsidR="00D706D0" w:rsidRPr="004F1028" w:rsidTr="00D706D0">
        <w:trPr>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c>
          <w:tcPr>
            <w:tcW w:w="984"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c>
          <w:tcPr>
            <w:tcW w:w="984"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p>
        </w:tc>
      </w:tr>
      <w:tr w:rsidR="00D706D0" w:rsidRPr="004F1028"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Nord</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22,6%</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20,5%</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3,0%</w:t>
            </w:r>
          </w:p>
        </w:tc>
        <w:tc>
          <w:tcPr>
            <w:tcW w:w="984"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3,2%</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3,2%</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2,7%</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1,4%</w:t>
            </w:r>
          </w:p>
        </w:tc>
        <w:tc>
          <w:tcPr>
            <w:tcW w:w="984"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43,6%</w:t>
            </w:r>
          </w:p>
        </w:tc>
      </w:tr>
      <w:tr w:rsidR="00D706D0" w:rsidRPr="004F1028" w:rsidTr="00D706D0">
        <w:trPr>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Centro</w:t>
            </w: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5,0%</w:t>
            </w: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5,0%</w:t>
            </w: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0,0%</w:t>
            </w:r>
          </w:p>
        </w:tc>
        <w:tc>
          <w:tcPr>
            <w:tcW w:w="984"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10,0%</w:t>
            </w: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5,0%</w:t>
            </w: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2,5%</w:t>
            </w: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17,5%</w:t>
            </w:r>
          </w:p>
        </w:tc>
        <w:tc>
          <w:tcPr>
            <w:tcW w:w="984"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55,0%</w:t>
            </w:r>
          </w:p>
        </w:tc>
      </w:tr>
      <w:tr w:rsidR="00D706D0" w:rsidRPr="004F1028"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Sud e isole</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12,5%</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12,5%</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6,3%</w:t>
            </w:r>
          </w:p>
        </w:tc>
        <w:tc>
          <w:tcPr>
            <w:tcW w:w="984"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10,4%</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1,0%</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0,0%</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8,3%</w:t>
            </w:r>
          </w:p>
        </w:tc>
        <w:tc>
          <w:tcPr>
            <w:tcW w:w="984"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49,0%</w:t>
            </w:r>
          </w:p>
        </w:tc>
      </w:tr>
      <w:tr w:rsidR="00D706D0" w:rsidRPr="004F1028" w:rsidTr="00D706D0">
        <w:trPr>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4" w:type="dxa"/>
            <w:noWrap/>
            <w:vAlign w:val="center"/>
            <w:hideMark/>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3"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c>
          <w:tcPr>
            <w:tcW w:w="984" w:type="dxa"/>
            <w:vAlign w:val="center"/>
          </w:tcPr>
          <w:p w:rsidR="00D706D0" w:rsidRPr="004F1028"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rPr>
            </w:pPr>
          </w:p>
        </w:tc>
      </w:tr>
      <w:tr w:rsidR="00D706D0" w:rsidRPr="004F1028"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rsidR="00D706D0" w:rsidRPr="004F1028" w:rsidRDefault="00D706D0" w:rsidP="00D706D0">
            <w:pPr>
              <w:rPr>
                <w:rFonts w:ascii="Arial" w:hAnsi="Arial" w:cs="Arial"/>
                <w:color w:val="000000"/>
                <w:sz w:val="16"/>
                <w:szCs w:val="16"/>
              </w:rPr>
            </w:pPr>
            <w:r w:rsidRPr="004F1028">
              <w:rPr>
                <w:rFonts w:ascii="Arial" w:hAnsi="Arial" w:cs="Arial"/>
                <w:color w:val="000000"/>
                <w:sz w:val="16"/>
                <w:szCs w:val="16"/>
              </w:rPr>
              <w:t>MEDIA</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16,7%</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15,6%</w:t>
            </w:r>
          </w:p>
        </w:tc>
        <w:tc>
          <w:tcPr>
            <w:tcW w:w="983"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3,7%</w:t>
            </w:r>
          </w:p>
        </w:tc>
        <w:tc>
          <w:tcPr>
            <w:tcW w:w="984" w:type="dxa"/>
            <w:noWrap/>
            <w:vAlign w:val="center"/>
            <w:hideMark/>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6,6%</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2,7%</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1,8%</w:t>
            </w:r>
          </w:p>
        </w:tc>
        <w:tc>
          <w:tcPr>
            <w:tcW w:w="983"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6,0%</w:t>
            </w:r>
          </w:p>
        </w:tc>
        <w:tc>
          <w:tcPr>
            <w:tcW w:w="984" w:type="dxa"/>
            <w:vAlign w:val="center"/>
          </w:tcPr>
          <w:p w:rsidR="00D706D0" w:rsidRPr="004F1028"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rPr>
            </w:pPr>
            <w:r w:rsidRPr="004F1028">
              <w:rPr>
                <w:rFonts w:ascii="Calibri" w:hAnsi="Calibri" w:cs="Calibri"/>
                <w:b/>
                <w:bCs/>
                <w:color w:val="000000"/>
                <w:sz w:val="18"/>
              </w:rPr>
              <w:t>47,0%</w:t>
            </w:r>
          </w:p>
        </w:tc>
      </w:tr>
    </w:tbl>
    <w:p w:rsidR="00E35F59" w:rsidRDefault="00D706D0" w:rsidP="00E35F59">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E35F59">
      <w:pPr>
        <w:spacing w:before="120"/>
        <w:jc w:val="right"/>
        <w:rPr>
          <w:rFonts w:ascii="Arial" w:hAnsi="Arial" w:cs="Arial"/>
          <w:sz w:val="20"/>
          <w:szCs w:val="20"/>
        </w:rPr>
      </w:pPr>
      <w:r>
        <w:rPr>
          <w:rFonts w:ascii="Arial" w:hAnsi="Arial" w:cs="Arial"/>
          <w:sz w:val="20"/>
          <w:szCs w:val="20"/>
        </w:rPr>
        <w:t>Tavola A.21</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w:t>
      </w:r>
      <w:r>
        <w:rPr>
          <w:rFonts w:ascii="Arial" w:hAnsi="Arial" w:cs="Arial"/>
          <w:b/>
          <w:sz w:val="20"/>
          <w:szCs w:val="20"/>
        </w:rPr>
        <w:t>Aspettative sulla domanda per l’anno 2020: stato di conservazione richiesto nella compravendita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Default="00D706D0" w:rsidP="00D706D0">
      <w:pPr>
        <w:jc w:val="center"/>
        <w:rPr>
          <w:rFonts w:ascii="Arial" w:hAnsi="Arial" w:cs="Arial"/>
          <w:i/>
          <w:sz w:val="20"/>
          <w:szCs w:val="20"/>
        </w:rPr>
      </w:pP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1168" w:type="dxa"/>
            <w:noWrap/>
            <w:hideMark/>
          </w:tcPr>
          <w:p w:rsidR="00D706D0" w:rsidRPr="008A160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A160F">
              <w:rPr>
                <w:rFonts w:ascii="Calibri" w:hAnsi="Calibri" w:cs="Calibri"/>
                <w:bCs w:val="0"/>
                <w:color w:val="000000"/>
                <w:sz w:val="20"/>
                <w:szCs w:val="18"/>
              </w:rPr>
              <w:t>Nuovo da impresa</w:t>
            </w:r>
          </w:p>
        </w:tc>
        <w:tc>
          <w:tcPr>
            <w:tcW w:w="1168" w:type="dxa"/>
          </w:tcPr>
          <w:p w:rsidR="00D706D0" w:rsidRPr="008A160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proofErr w:type="spellStart"/>
            <w:r w:rsidRPr="008A160F">
              <w:rPr>
                <w:rFonts w:ascii="Calibri" w:hAnsi="Calibri" w:cs="Calibri"/>
                <w:bCs w:val="0"/>
                <w:color w:val="000000"/>
                <w:sz w:val="20"/>
                <w:szCs w:val="18"/>
              </w:rPr>
              <w:t>Rist</w:t>
            </w:r>
            <w:r>
              <w:rPr>
                <w:rFonts w:ascii="Calibri" w:hAnsi="Calibri" w:cs="Calibri"/>
                <w:bCs w:val="0"/>
                <w:color w:val="000000"/>
                <w:sz w:val="20"/>
                <w:szCs w:val="18"/>
              </w:rPr>
              <w:t>r</w:t>
            </w:r>
            <w:r w:rsidRPr="008A160F">
              <w:rPr>
                <w:rFonts w:ascii="Calibri" w:hAnsi="Calibri" w:cs="Calibri"/>
                <w:bCs w:val="0"/>
                <w:color w:val="000000"/>
                <w:sz w:val="20"/>
                <w:szCs w:val="18"/>
              </w:rPr>
              <w:t>uttu</w:t>
            </w:r>
            <w:proofErr w:type="spellEnd"/>
            <w:r>
              <w:rPr>
                <w:rFonts w:ascii="Calibri" w:hAnsi="Calibri" w:cs="Calibri"/>
                <w:bCs w:val="0"/>
                <w:color w:val="000000"/>
                <w:sz w:val="20"/>
                <w:szCs w:val="18"/>
              </w:rPr>
              <w:t xml:space="preserve">-rato su </w:t>
            </w:r>
            <w:proofErr w:type="spellStart"/>
            <w:r>
              <w:rPr>
                <w:rFonts w:ascii="Calibri" w:hAnsi="Calibri" w:cs="Calibri"/>
                <w:bCs w:val="0"/>
                <w:color w:val="000000"/>
                <w:sz w:val="20"/>
                <w:szCs w:val="18"/>
              </w:rPr>
              <w:t>u.i.</w:t>
            </w:r>
            <w:proofErr w:type="spellEnd"/>
            <w:r w:rsidRPr="008A160F">
              <w:rPr>
                <w:rFonts w:ascii="Calibri" w:hAnsi="Calibri" w:cs="Calibri"/>
                <w:bCs w:val="0"/>
                <w:color w:val="000000"/>
                <w:sz w:val="20"/>
                <w:szCs w:val="18"/>
              </w:rPr>
              <w:t xml:space="preserve"> usata</w:t>
            </w:r>
          </w:p>
        </w:tc>
        <w:tc>
          <w:tcPr>
            <w:tcW w:w="1168" w:type="dxa"/>
          </w:tcPr>
          <w:p w:rsidR="00D706D0" w:rsidRPr="008A160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A160F">
              <w:rPr>
                <w:rFonts w:ascii="Calibri" w:hAnsi="Calibri" w:cs="Calibri"/>
                <w:bCs w:val="0"/>
                <w:color w:val="000000"/>
                <w:sz w:val="20"/>
                <w:szCs w:val="18"/>
              </w:rPr>
              <w:t>Usato abitabile</w:t>
            </w:r>
          </w:p>
        </w:tc>
        <w:tc>
          <w:tcPr>
            <w:tcW w:w="1168" w:type="dxa"/>
          </w:tcPr>
          <w:p w:rsidR="00D706D0" w:rsidRPr="008A160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A160F">
              <w:rPr>
                <w:rFonts w:ascii="Calibri" w:hAnsi="Calibri" w:cs="Calibri"/>
                <w:bCs w:val="0"/>
                <w:color w:val="000000"/>
                <w:sz w:val="20"/>
                <w:szCs w:val="18"/>
              </w:rPr>
              <w:t>Da ristrutturare</w:t>
            </w:r>
          </w:p>
        </w:tc>
        <w:tc>
          <w:tcPr>
            <w:tcW w:w="1168" w:type="dxa"/>
          </w:tcPr>
          <w:p w:rsidR="00D706D0" w:rsidRPr="008A160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proofErr w:type="spellStart"/>
            <w:r w:rsidRPr="008A160F">
              <w:rPr>
                <w:rFonts w:ascii="Calibri" w:hAnsi="Calibri" w:cs="Calibri"/>
                <w:bCs w:val="0"/>
                <w:color w:val="000000"/>
                <w:sz w:val="20"/>
                <w:szCs w:val="18"/>
              </w:rPr>
              <w:t>Indifferen</w:t>
            </w:r>
            <w:proofErr w:type="spellEnd"/>
            <w:r>
              <w:rPr>
                <w:rFonts w:ascii="Calibri" w:hAnsi="Calibri" w:cs="Calibri"/>
                <w:bCs w:val="0"/>
                <w:color w:val="000000"/>
                <w:sz w:val="20"/>
                <w:szCs w:val="18"/>
              </w:rPr>
              <w:t>-</w:t>
            </w:r>
            <w:r w:rsidRPr="008A160F">
              <w:rPr>
                <w:rFonts w:ascii="Calibri" w:hAnsi="Calibri" w:cs="Calibri"/>
                <w:bCs w:val="0"/>
                <w:color w:val="000000"/>
                <w:sz w:val="20"/>
                <w:szCs w:val="18"/>
              </w:rPr>
              <w:t>te</w:t>
            </w:r>
          </w:p>
        </w:tc>
        <w:tc>
          <w:tcPr>
            <w:tcW w:w="1168" w:type="dxa"/>
          </w:tcPr>
          <w:p w:rsidR="00D706D0" w:rsidRPr="008A160F"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18"/>
              </w:rPr>
            </w:pPr>
            <w:r w:rsidRPr="008A160F">
              <w:rPr>
                <w:rFonts w:ascii="Calibri" w:hAnsi="Calibri" w:cs="Calibri"/>
                <w:bCs w:val="0"/>
                <w:color w:val="000000"/>
                <w:sz w:val="20"/>
                <w:szCs w:val="18"/>
              </w:rPr>
              <w:t>Totale complessivo</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0,0%</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10,0%</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67,5%</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0,0%</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22,5%</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12,0%</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9,3%</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52,8%</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7,4%</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18,5%</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3,2%</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28,3%</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46,2%</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4,4%</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17,9%</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3,6%</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24,7%</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49,9%</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2,7%</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19,2%</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0,0%</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25,0%</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40,0%</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5,0%</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30,0%</w:t>
            </w: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100,0%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12,5%</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6,3%</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59,4%</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8,3%</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13,5%</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100,0%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8A160F"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6,1%</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18,5%</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51,7%</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4,9%</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18,8%</w:t>
            </w:r>
          </w:p>
        </w:tc>
        <w:tc>
          <w:tcPr>
            <w:tcW w:w="1168" w:type="dxa"/>
            <w:noWrap/>
            <w:vAlign w:val="bottom"/>
            <w:hideMark/>
          </w:tcPr>
          <w:p w:rsidR="00D706D0" w:rsidRPr="008A160F"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8A160F">
              <w:rPr>
                <w:rFonts w:ascii="Calibri" w:hAnsi="Calibri" w:cs="Calibri"/>
                <w:b/>
                <w:bCs/>
                <w:color w:val="000000"/>
                <w:sz w:val="20"/>
              </w:rPr>
              <w:t>100,0%</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Pr="00BC34F9" w:rsidRDefault="00D706D0" w:rsidP="00D706D0">
      <w:pPr>
        <w:rPr>
          <w:rFonts w:ascii="Arial" w:hAnsi="Arial" w:cs="Arial"/>
          <w:sz w:val="20"/>
          <w:szCs w:val="20"/>
        </w:rPr>
      </w:pPr>
    </w:p>
    <w:p w:rsidR="00D706D0" w:rsidRPr="00BC34F9" w:rsidRDefault="00D706D0" w:rsidP="00D706D0">
      <w:pPr>
        <w:spacing w:before="120"/>
        <w:jc w:val="right"/>
        <w:rPr>
          <w:rFonts w:ascii="Arial" w:hAnsi="Arial" w:cs="Arial"/>
          <w:sz w:val="20"/>
          <w:szCs w:val="20"/>
        </w:rPr>
      </w:pPr>
      <w:r>
        <w:rPr>
          <w:rFonts w:ascii="Arial" w:hAnsi="Arial" w:cs="Arial"/>
          <w:bCs/>
          <w:sz w:val="20"/>
          <w:szCs w:val="20"/>
        </w:rPr>
        <w:br w:type="column"/>
      </w:r>
      <w:r>
        <w:rPr>
          <w:rFonts w:ascii="Arial" w:hAnsi="Arial" w:cs="Arial"/>
          <w:sz w:val="20"/>
          <w:szCs w:val="20"/>
        </w:rPr>
        <w:t>Tavola A.22</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Previsioni per l’anno 2020 </w:t>
      </w:r>
      <w:r>
        <w:rPr>
          <w:rFonts w:ascii="Arial" w:hAnsi="Arial" w:cs="Arial"/>
          <w:b/>
          <w:sz w:val="20"/>
          <w:szCs w:val="20"/>
        </w:rPr>
        <w:t>delle variabili caratteristiche della locazione ordinaria di abitazioni</w:t>
      </w:r>
      <w:r w:rsidRPr="00BC34F9">
        <w:rPr>
          <w:rFonts w:ascii="Arial" w:hAnsi="Arial" w:cs="Arial"/>
          <w:b/>
          <w:sz w:val="20"/>
          <w:szCs w:val="20"/>
        </w:rPr>
        <w:t xml:space="preserve">, per tipologia di </w:t>
      </w:r>
      <w:proofErr w:type="gramStart"/>
      <w:r w:rsidRPr="00BC34F9">
        <w:rPr>
          <w:rFonts w:ascii="Arial" w:hAnsi="Arial" w:cs="Arial"/>
          <w:b/>
          <w:sz w:val="20"/>
          <w:szCs w:val="20"/>
        </w:rPr>
        <w:t>città</w:t>
      </w:r>
      <w:r w:rsidRPr="00BC34F9">
        <w:rPr>
          <w:rFonts w:ascii="Arial" w:hAnsi="Arial" w:cs="Arial"/>
          <w:i/>
          <w:sz w:val="20"/>
          <w:szCs w:val="20"/>
        </w:rPr>
        <w:t>(</w:t>
      </w:r>
      <w:proofErr w:type="gramEnd"/>
      <w:r w:rsidRPr="00BC34F9">
        <w:rPr>
          <w:rFonts w:ascii="Arial" w:hAnsi="Arial" w:cs="Arial"/>
          <w:i/>
          <w:sz w:val="20"/>
          <w:szCs w:val="20"/>
        </w:rPr>
        <w:t>valori %)</w:t>
      </w:r>
    </w:p>
    <w:p w:rsidR="00D706D0" w:rsidRPr="00BC34F9" w:rsidRDefault="00D706D0" w:rsidP="00D706D0">
      <w:pPr>
        <w:jc w:val="center"/>
        <w:rPr>
          <w:rFonts w:ascii="Arial" w:hAnsi="Arial" w:cs="Arial"/>
          <w:i/>
          <w:sz w:val="20"/>
          <w:szCs w:val="20"/>
        </w:rPr>
      </w:pP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Numero di contratti</w:t>
            </w:r>
          </w:p>
        </w:tc>
        <w:tc>
          <w:tcPr>
            <w:tcW w:w="3504" w:type="dxa"/>
            <w:gridSpan w:val="3"/>
            <w:noWrap/>
            <w:hideMark/>
          </w:tcPr>
          <w:p w:rsidR="00D706D0" w:rsidRPr="00BC34F9" w:rsidRDefault="00E84BA4"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rPr>
              <w:t>compravendita</w:t>
            </w:r>
            <w:proofErr w:type="gramEnd"/>
            <w:r>
              <w:rPr>
                <w:rFonts w:ascii="Arial" w:hAnsi="Arial" w:cs="Arial"/>
                <w:color w:val="000000"/>
                <w:sz w:val="20"/>
                <w:szCs w:val="20"/>
              </w:rPr>
              <w:t xml:space="preserve"> Canoni di locazione</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Peggiore</w:t>
            </w:r>
            <w:r>
              <w:rPr>
                <w:rFonts w:ascii="Arial" w:hAnsi="Arial" w:cs="Arial"/>
                <w:color w:val="000000"/>
                <w:sz w:val="20"/>
                <w:szCs w:val="20"/>
              </w:rPr>
              <w:t>-</w:t>
            </w:r>
            <w:r w:rsidRPr="00BC34F9">
              <w:rPr>
                <w:rFonts w:ascii="Arial" w:hAnsi="Arial" w:cs="Arial"/>
                <w:color w:val="000000"/>
                <w:sz w:val="20"/>
                <w:szCs w:val="20"/>
              </w:rPr>
              <w:t>r</w:t>
            </w:r>
            <w:r>
              <w:rPr>
                <w:rFonts w:ascii="Arial" w:hAnsi="Arial" w:cs="Arial"/>
                <w:color w:val="000000"/>
                <w:sz w:val="20"/>
                <w:szCs w:val="20"/>
              </w:rPr>
              <w:t>an</w:t>
            </w:r>
            <w:r w:rsidRPr="00BC34F9">
              <w:rPr>
                <w:rFonts w:ascii="Arial" w:hAnsi="Arial" w:cs="Arial"/>
                <w:color w:val="000000"/>
                <w:sz w:val="20"/>
                <w:szCs w:val="20"/>
              </w:rPr>
              <w:t>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BC34F9">
              <w:rPr>
                <w:rFonts w:ascii="Arial" w:hAnsi="Arial" w:cs="Arial"/>
                <w:color w:val="000000"/>
                <w:sz w:val="20"/>
                <w:szCs w:val="20"/>
              </w:rPr>
              <w:t>Resteran</w:t>
            </w:r>
            <w:proofErr w:type="spellEnd"/>
            <w:r>
              <w:rPr>
                <w:rFonts w:ascii="Arial" w:hAnsi="Arial" w:cs="Arial"/>
                <w:color w:val="000000"/>
                <w:sz w:val="20"/>
                <w:szCs w:val="20"/>
              </w:rPr>
              <w:t>-</w:t>
            </w:r>
            <w:r w:rsidRPr="00BC34F9">
              <w:rPr>
                <w:rFonts w:ascii="Arial" w:hAnsi="Arial" w:cs="Arial"/>
                <w:color w:val="000000"/>
                <w:sz w:val="20"/>
                <w:szCs w:val="20"/>
              </w:rPr>
              <w:t>no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Migliore</w:t>
            </w:r>
            <w:r>
              <w:rPr>
                <w:rFonts w:ascii="Arial" w:hAnsi="Arial" w:cs="Arial"/>
                <w:color w:val="000000"/>
                <w:sz w:val="20"/>
                <w:szCs w:val="20"/>
              </w:rPr>
              <w:t>-</w:t>
            </w:r>
            <w:r w:rsidRPr="00BC34F9">
              <w:rPr>
                <w:rFonts w:ascii="Arial" w:hAnsi="Arial" w:cs="Arial"/>
                <w:color w:val="000000"/>
                <w:sz w:val="20"/>
                <w:szCs w:val="20"/>
              </w:rPr>
              <w:t>ranno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Peggiore</w:t>
            </w:r>
            <w:r>
              <w:rPr>
                <w:rFonts w:ascii="Arial" w:hAnsi="Arial" w:cs="Arial"/>
                <w:color w:val="000000"/>
                <w:sz w:val="20"/>
                <w:szCs w:val="20"/>
              </w:rPr>
              <w:t>-</w:t>
            </w:r>
            <w:r w:rsidRPr="00BC34F9">
              <w:rPr>
                <w:rFonts w:ascii="Arial" w:hAnsi="Arial" w:cs="Arial"/>
                <w:color w:val="000000"/>
                <w:sz w:val="20"/>
                <w:szCs w:val="20"/>
              </w:rPr>
              <w:t>r</w:t>
            </w:r>
            <w:r>
              <w:rPr>
                <w:rFonts w:ascii="Arial" w:hAnsi="Arial" w:cs="Arial"/>
                <w:color w:val="000000"/>
                <w:sz w:val="20"/>
                <w:szCs w:val="20"/>
              </w:rPr>
              <w:t>an</w:t>
            </w:r>
            <w:r w:rsidRPr="00BC34F9">
              <w:rPr>
                <w:rFonts w:ascii="Arial" w:hAnsi="Arial" w:cs="Arial"/>
                <w:color w:val="000000"/>
                <w:sz w:val="20"/>
                <w:szCs w:val="20"/>
              </w:rPr>
              <w:t>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BC34F9">
              <w:rPr>
                <w:rFonts w:ascii="Arial" w:hAnsi="Arial" w:cs="Arial"/>
                <w:color w:val="000000"/>
                <w:sz w:val="20"/>
                <w:szCs w:val="20"/>
              </w:rPr>
              <w:t>Resteran</w:t>
            </w:r>
            <w:proofErr w:type="spellEnd"/>
            <w:r>
              <w:rPr>
                <w:rFonts w:ascii="Arial" w:hAnsi="Arial" w:cs="Arial"/>
                <w:color w:val="000000"/>
                <w:sz w:val="20"/>
                <w:szCs w:val="20"/>
              </w:rPr>
              <w:t>-</w:t>
            </w:r>
            <w:r w:rsidRPr="00BC34F9">
              <w:rPr>
                <w:rFonts w:ascii="Arial" w:hAnsi="Arial" w:cs="Arial"/>
                <w:color w:val="000000"/>
                <w:sz w:val="20"/>
                <w:szCs w:val="20"/>
              </w:rPr>
              <w:t>no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Migliore</w:t>
            </w:r>
            <w:r>
              <w:rPr>
                <w:rFonts w:ascii="Arial" w:hAnsi="Arial" w:cs="Arial"/>
                <w:color w:val="000000"/>
                <w:sz w:val="20"/>
                <w:szCs w:val="20"/>
              </w:rPr>
              <w:t>-</w:t>
            </w:r>
            <w:r w:rsidRPr="00BC34F9">
              <w:rPr>
                <w:rFonts w:ascii="Arial" w:hAnsi="Arial" w:cs="Arial"/>
                <w:color w:val="000000"/>
                <w:sz w:val="20"/>
                <w:szCs w:val="20"/>
              </w:rPr>
              <w:t>ranno</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0,0%</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70,0%</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30,0%</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10,0%</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70,0%</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20,0%</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4,9%</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34,3%</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60,8%</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4,6%</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66,7%</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28,7%</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4,7%</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50,6%</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44,7%</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4,4%</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72,7%</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22,9%</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5,2%</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44,5%</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50,3%</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4,1%</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69,5%</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26,4%</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0,0%</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30,0%</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70,0%</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2,5%</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75,0%</w:t>
            </w: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22,5%</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4,2%</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58,3%</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37,5%</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8,3%</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68,8%</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22,9%</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AB3F6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4,1%</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47,1%</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48,8%</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5,3%</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70,0%</w:t>
            </w:r>
          </w:p>
        </w:tc>
        <w:tc>
          <w:tcPr>
            <w:tcW w:w="1168" w:type="dxa"/>
            <w:noWrap/>
            <w:vAlign w:val="bottom"/>
            <w:hideMark/>
          </w:tcPr>
          <w:p w:rsidR="00D706D0" w:rsidRPr="00AB3F6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AB3F67">
              <w:rPr>
                <w:rFonts w:ascii="Calibri" w:hAnsi="Calibri" w:cs="Calibri"/>
                <w:b/>
                <w:bCs/>
                <w:color w:val="000000"/>
                <w:sz w:val="20"/>
              </w:rPr>
              <w:t>24,7%</w:t>
            </w:r>
          </w:p>
        </w:tc>
      </w:tr>
    </w:tbl>
    <w:p w:rsidR="00E35F59" w:rsidRDefault="00D706D0" w:rsidP="00E35F59">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E35F59">
      <w:pPr>
        <w:spacing w:before="120"/>
        <w:jc w:val="right"/>
        <w:rPr>
          <w:rFonts w:ascii="Arial" w:hAnsi="Arial" w:cs="Arial"/>
          <w:sz w:val="20"/>
          <w:szCs w:val="20"/>
        </w:rPr>
      </w:pPr>
      <w:r>
        <w:rPr>
          <w:rFonts w:ascii="Arial" w:hAnsi="Arial" w:cs="Arial"/>
          <w:sz w:val="20"/>
          <w:szCs w:val="20"/>
        </w:rPr>
        <w:t>Tavola A.23</w:t>
      </w:r>
    </w:p>
    <w:p w:rsidR="00D706D0" w:rsidRPr="00BC34F9" w:rsidRDefault="00D706D0" w:rsidP="00D706D0">
      <w:pPr>
        <w:jc w:val="center"/>
        <w:rPr>
          <w:rFonts w:ascii="Arial" w:hAnsi="Arial" w:cs="Arial"/>
          <w:i/>
          <w:sz w:val="20"/>
          <w:szCs w:val="20"/>
        </w:rPr>
      </w:pPr>
      <w:r w:rsidRPr="00BC34F9">
        <w:rPr>
          <w:rFonts w:ascii="Arial" w:hAnsi="Arial" w:cs="Arial"/>
          <w:b/>
          <w:sz w:val="20"/>
          <w:szCs w:val="20"/>
        </w:rPr>
        <w:t xml:space="preserve">Quota % di città capoluogo di Provincia – Previsioni per l’anno 2020 </w:t>
      </w:r>
      <w:r>
        <w:rPr>
          <w:rFonts w:ascii="Arial" w:hAnsi="Arial" w:cs="Arial"/>
          <w:b/>
          <w:sz w:val="20"/>
          <w:szCs w:val="20"/>
        </w:rPr>
        <w:t>delle variabili caratteristiche della locazione breve di abitazioni</w:t>
      </w:r>
      <w:r w:rsidRPr="00BC34F9">
        <w:rPr>
          <w:rFonts w:ascii="Arial" w:hAnsi="Arial" w:cs="Arial"/>
          <w:b/>
          <w:sz w:val="20"/>
          <w:szCs w:val="20"/>
        </w:rPr>
        <w:t>, per tipologia di città</w:t>
      </w:r>
      <w:r w:rsidR="00282E76">
        <w:rPr>
          <w:rFonts w:ascii="Arial" w:hAnsi="Arial" w:cs="Arial"/>
          <w:b/>
          <w:sz w:val="20"/>
          <w:szCs w:val="20"/>
        </w:rPr>
        <w:t xml:space="preserve"> </w:t>
      </w:r>
      <w:r w:rsidRPr="00BC34F9">
        <w:rPr>
          <w:rFonts w:ascii="Arial" w:hAnsi="Arial" w:cs="Arial"/>
          <w:i/>
          <w:sz w:val="20"/>
          <w:szCs w:val="20"/>
        </w:rPr>
        <w:t>(valori %)</w:t>
      </w:r>
    </w:p>
    <w:p w:rsidR="00D706D0" w:rsidRPr="00BC34F9" w:rsidRDefault="00D706D0" w:rsidP="00D706D0">
      <w:pPr>
        <w:jc w:val="center"/>
        <w:rPr>
          <w:rFonts w:ascii="Arial" w:hAnsi="Arial" w:cs="Arial"/>
          <w:i/>
          <w:sz w:val="20"/>
          <w:szCs w:val="20"/>
        </w:rPr>
      </w:pPr>
    </w:p>
    <w:tbl>
      <w:tblPr>
        <w:tblStyle w:val="Sfondochiaro-Colore3"/>
        <w:tblW w:w="8505" w:type="dxa"/>
        <w:tblLayout w:type="fixed"/>
        <w:tblLook w:val="04A0" w:firstRow="1" w:lastRow="0" w:firstColumn="1" w:lastColumn="0" w:noHBand="0" w:noVBand="1"/>
      </w:tblPr>
      <w:tblGrid>
        <w:gridCol w:w="1497"/>
        <w:gridCol w:w="1168"/>
        <w:gridCol w:w="1168"/>
        <w:gridCol w:w="1168"/>
        <w:gridCol w:w="1168"/>
        <w:gridCol w:w="1168"/>
        <w:gridCol w:w="1168"/>
      </w:tblGrid>
      <w:tr w:rsidR="00D706D0" w:rsidRPr="00BC34F9" w:rsidTr="00D706D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Città per dimensione</w:t>
            </w:r>
          </w:p>
        </w:tc>
        <w:tc>
          <w:tcPr>
            <w:tcW w:w="3504" w:type="dxa"/>
            <w:gridSpan w:val="3"/>
            <w:noWrap/>
            <w:hideMark/>
          </w:tcPr>
          <w:p w:rsidR="00D706D0" w:rsidRPr="00BC34F9" w:rsidRDefault="00D706D0"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Numero di contratti</w:t>
            </w:r>
          </w:p>
        </w:tc>
        <w:tc>
          <w:tcPr>
            <w:tcW w:w="3504" w:type="dxa"/>
            <w:gridSpan w:val="3"/>
            <w:noWrap/>
            <w:hideMark/>
          </w:tcPr>
          <w:p w:rsidR="00D706D0" w:rsidRPr="00BC34F9" w:rsidRDefault="00E84BA4" w:rsidP="00D706D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gramStart"/>
            <w:r>
              <w:rPr>
                <w:rFonts w:ascii="Arial" w:hAnsi="Arial" w:cs="Arial"/>
                <w:color w:val="000000"/>
                <w:sz w:val="20"/>
                <w:szCs w:val="20"/>
              </w:rPr>
              <w:t>compravendita</w:t>
            </w:r>
            <w:proofErr w:type="gramEnd"/>
            <w:r>
              <w:rPr>
                <w:rFonts w:ascii="Arial" w:hAnsi="Arial" w:cs="Arial"/>
                <w:color w:val="000000"/>
                <w:sz w:val="20"/>
                <w:szCs w:val="20"/>
              </w:rPr>
              <w:t xml:space="preserve"> Canoni di locazione</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Peggiore</w:t>
            </w:r>
            <w:r>
              <w:rPr>
                <w:rFonts w:ascii="Arial" w:hAnsi="Arial" w:cs="Arial"/>
                <w:color w:val="000000"/>
                <w:sz w:val="20"/>
                <w:szCs w:val="20"/>
              </w:rPr>
              <w:t>-</w:t>
            </w:r>
            <w:r w:rsidRPr="00BC34F9">
              <w:rPr>
                <w:rFonts w:ascii="Arial" w:hAnsi="Arial" w:cs="Arial"/>
                <w:color w:val="000000"/>
                <w:sz w:val="20"/>
                <w:szCs w:val="20"/>
              </w:rPr>
              <w:t>r</w:t>
            </w:r>
            <w:r>
              <w:rPr>
                <w:rFonts w:ascii="Arial" w:hAnsi="Arial" w:cs="Arial"/>
                <w:color w:val="000000"/>
                <w:sz w:val="20"/>
                <w:szCs w:val="20"/>
              </w:rPr>
              <w:t>an</w:t>
            </w:r>
            <w:r w:rsidRPr="00BC34F9">
              <w:rPr>
                <w:rFonts w:ascii="Arial" w:hAnsi="Arial" w:cs="Arial"/>
                <w:color w:val="000000"/>
                <w:sz w:val="20"/>
                <w:szCs w:val="20"/>
              </w:rPr>
              <w:t>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BC34F9">
              <w:rPr>
                <w:rFonts w:ascii="Arial" w:hAnsi="Arial" w:cs="Arial"/>
                <w:color w:val="000000"/>
                <w:sz w:val="20"/>
                <w:szCs w:val="20"/>
              </w:rPr>
              <w:t>Resteran</w:t>
            </w:r>
            <w:proofErr w:type="spellEnd"/>
            <w:r>
              <w:rPr>
                <w:rFonts w:ascii="Arial" w:hAnsi="Arial" w:cs="Arial"/>
                <w:color w:val="000000"/>
                <w:sz w:val="20"/>
                <w:szCs w:val="20"/>
              </w:rPr>
              <w:t>-</w:t>
            </w:r>
            <w:r w:rsidRPr="00BC34F9">
              <w:rPr>
                <w:rFonts w:ascii="Arial" w:hAnsi="Arial" w:cs="Arial"/>
                <w:color w:val="000000"/>
                <w:sz w:val="20"/>
                <w:szCs w:val="20"/>
              </w:rPr>
              <w:t>no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Migliore</w:t>
            </w:r>
            <w:r>
              <w:rPr>
                <w:rFonts w:ascii="Arial" w:hAnsi="Arial" w:cs="Arial"/>
                <w:color w:val="000000"/>
                <w:sz w:val="20"/>
                <w:szCs w:val="20"/>
              </w:rPr>
              <w:t>-</w:t>
            </w:r>
            <w:r w:rsidRPr="00BC34F9">
              <w:rPr>
                <w:rFonts w:ascii="Arial" w:hAnsi="Arial" w:cs="Arial"/>
                <w:color w:val="000000"/>
                <w:sz w:val="20"/>
                <w:szCs w:val="20"/>
              </w:rPr>
              <w:t>ranno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Peggiore</w:t>
            </w:r>
            <w:r>
              <w:rPr>
                <w:rFonts w:ascii="Arial" w:hAnsi="Arial" w:cs="Arial"/>
                <w:color w:val="000000"/>
                <w:sz w:val="20"/>
                <w:szCs w:val="20"/>
              </w:rPr>
              <w:t>-</w:t>
            </w:r>
            <w:r w:rsidRPr="00BC34F9">
              <w:rPr>
                <w:rFonts w:ascii="Arial" w:hAnsi="Arial" w:cs="Arial"/>
                <w:color w:val="000000"/>
                <w:sz w:val="20"/>
                <w:szCs w:val="20"/>
              </w:rPr>
              <w:t>r</w:t>
            </w:r>
            <w:r>
              <w:rPr>
                <w:rFonts w:ascii="Arial" w:hAnsi="Arial" w:cs="Arial"/>
                <w:color w:val="000000"/>
                <w:sz w:val="20"/>
                <w:szCs w:val="20"/>
              </w:rPr>
              <w:t>an</w:t>
            </w:r>
            <w:r w:rsidRPr="00BC34F9">
              <w:rPr>
                <w:rFonts w:ascii="Arial" w:hAnsi="Arial" w:cs="Arial"/>
                <w:color w:val="000000"/>
                <w:sz w:val="20"/>
                <w:szCs w:val="20"/>
              </w:rPr>
              <w:t>no</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BC34F9">
              <w:rPr>
                <w:rFonts w:ascii="Arial" w:hAnsi="Arial" w:cs="Arial"/>
                <w:color w:val="000000"/>
                <w:sz w:val="20"/>
                <w:szCs w:val="20"/>
              </w:rPr>
              <w:t>Resteran</w:t>
            </w:r>
            <w:proofErr w:type="spellEnd"/>
            <w:r>
              <w:rPr>
                <w:rFonts w:ascii="Arial" w:hAnsi="Arial" w:cs="Arial"/>
                <w:color w:val="000000"/>
                <w:sz w:val="20"/>
                <w:szCs w:val="20"/>
              </w:rPr>
              <w:t>-</w:t>
            </w:r>
            <w:r w:rsidRPr="00BC34F9">
              <w:rPr>
                <w:rFonts w:ascii="Arial" w:hAnsi="Arial" w:cs="Arial"/>
                <w:color w:val="000000"/>
                <w:sz w:val="20"/>
                <w:szCs w:val="20"/>
              </w:rPr>
              <w:t>no stabili</w:t>
            </w:r>
          </w:p>
        </w:tc>
        <w:tc>
          <w:tcPr>
            <w:tcW w:w="1168" w:type="dxa"/>
            <w:noWrap/>
            <w:hideMark/>
          </w:tcPr>
          <w:p w:rsidR="00D706D0" w:rsidRPr="00BC34F9"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C34F9">
              <w:rPr>
                <w:rFonts w:ascii="Arial" w:hAnsi="Arial" w:cs="Arial"/>
                <w:color w:val="000000"/>
                <w:sz w:val="20"/>
                <w:szCs w:val="20"/>
              </w:rPr>
              <w:t>Migliore</w:t>
            </w:r>
            <w:r>
              <w:rPr>
                <w:rFonts w:ascii="Arial" w:hAnsi="Arial" w:cs="Arial"/>
                <w:color w:val="000000"/>
                <w:sz w:val="20"/>
                <w:szCs w:val="20"/>
              </w:rPr>
              <w:t>-</w:t>
            </w:r>
            <w:r w:rsidRPr="00BC34F9">
              <w:rPr>
                <w:rFonts w:ascii="Arial" w:hAnsi="Arial" w:cs="Arial"/>
                <w:color w:val="000000"/>
                <w:sz w:val="20"/>
                <w:szCs w:val="20"/>
              </w:rPr>
              <w:t>ranno</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it-IT"/>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68" w:type="dxa"/>
            <w:noWrap/>
            <w:hideMark/>
          </w:tcPr>
          <w:p w:rsidR="00D706D0" w:rsidRPr="00BC34F9"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Grandi</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52,5%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47,5%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10,0%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67,5%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22,5%</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Medie</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0,9%</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59,9%</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39,2%</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1,9%</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68,5%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29,6%</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Piccole</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70,3%</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27,7%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83,1%</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15,2%</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505" w:type="dxa"/>
            <w:gridSpan w:val="7"/>
            <w:noWrap/>
            <w:vAlign w:val="center"/>
            <w:hideMark/>
          </w:tcPr>
          <w:p w:rsidR="00D706D0" w:rsidRPr="00E04C1B" w:rsidRDefault="00D706D0" w:rsidP="00D706D0">
            <w:pPr>
              <w:rPr>
                <w:rFonts w:ascii="Arial" w:hAnsi="Arial" w:cs="Arial"/>
                <w:color w:val="000000"/>
                <w:sz w:val="20"/>
                <w:szCs w:val="20"/>
              </w:rPr>
            </w:pPr>
            <w:r w:rsidRPr="00E04C1B">
              <w:rPr>
                <w:rFonts w:ascii="Arial" w:hAnsi="Arial" w:cs="Arial"/>
                <w:color w:val="000000"/>
                <w:sz w:val="20"/>
                <w:szCs w:val="20"/>
              </w:rPr>
              <w:t>Città per circoscrizione territoriale</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eastAsia="it-IT"/>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c>
          <w:tcPr>
            <w:tcW w:w="1168" w:type="dxa"/>
            <w:noWrap/>
            <w:vAlign w:val="center"/>
            <w:hideMark/>
          </w:tcPr>
          <w:p w:rsidR="00D706D0" w:rsidRPr="00E04C1B"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Nord</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59,6%</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37,9%</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2,3%</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81,1%</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16,7%</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Centro</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80,0%</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20,0%</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72,5%</w:t>
            </w: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25,0%</w:t>
            </w: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Sud e isole</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0,0%</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63,5%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36,5%</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4,2%</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67,7%</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28,1%</w:t>
            </w:r>
          </w:p>
        </w:tc>
      </w:tr>
      <w:tr w:rsidR="00D706D0" w:rsidRPr="00BC34F9" w:rsidTr="00D706D0">
        <w:trPr>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c>
          <w:tcPr>
            <w:tcW w:w="1168" w:type="dxa"/>
            <w:noWrap/>
            <w:vAlign w:val="bottom"/>
            <w:hideMark/>
          </w:tcPr>
          <w:p w:rsidR="00D706D0" w:rsidRPr="00221A47" w:rsidRDefault="00D706D0" w:rsidP="00D706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rPr>
            </w:pPr>
          </w:p>
        </w:tc>
      </w:tr>
      <w:tr w:rsidR="00D706D0" w:rsidRPr="00BC34F9" w:rsidTr="00D706D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97" w:type="dxa"/>
            <w:noWrap/>
            <w:hideMark/>
          </w:tcPr>
          <w:p w:rsidR="00D706D0" w:rsidRPr="00BC34F9" w:rsidRDefault="00D706D0" w:rsidP="00D706D0">
            <w:pPr>
              <w:rPr>
                <w:rFonts w:ascii="Arial" w:hAnsi="Arial" w:cs="Arial"/>
                <w:color w:val="000000"/>
                <w:sz w:val="20"/>
                <w:szCs w:val="20"/>
              </w:rPr>
            </w:pPr>
            <w:r w:rsidRPr="00BC34F9">
              <w:rPr>
                <w:rFonts w:ascii="Arial" w:hAnsi="Arial" w:cs="Arial"/>
                <w:color w:val="000000"/>
                <w:sz w:val="20"/>
                <w:szCs w:val="20"/>
              </w:rPr>
              <w:t>MEDIA</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1,3%</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63,8%</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34,9%</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2,9%</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75,3%</w:t>
            </w:r>
          </w:p>
        </w:tc>
        <w:tc>
          <w:tcPr>
            <w:tcW w:w="1168" w:type="dxa"/>
            <w:noWrap/>
            <w:vAlign w:val="bottom"/>
            <w:hideMark/>
          </w:tcPr>
          <w:p w:rsidR="00D706D0" w:rsidRPr="00221A47" w:rsidRDefault="00D706D0" w:rsidP="00D706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221A47">
              <w:rPr>
                <w:rFonts w:ascii="Calibri" w:hAnsi="Calibri" w:cs="Calibri"/>
                <w:b/>
                <w:bCs/>
                <w:color w:val="000000"/>
                <w:sz w:val="20"/>
              </w:rPr>
              <w:t>21,7%</w:t>
            </w:r>
          </w:p>
        </w:tc>
      </w:tr>
    </w:tbl>
    <w:p w:rsidR="00D706D0" w:rsidRPr="00BC34F9" w:rsidRDefault="00D706D0" w:rsidP="00D706D0">
      <w:pPr>
        <w:spacing w:before="120"/>
        <w:rPr>
          <w:rFonts w:ascii="Arial" w:hAnsi="Arial" w:cs="Arial"/>
          <w:sz w:val="20"/>
          <w:szCs w:val="20"/>
        </w:rPr>
      </w:pPr>
      <w:r w:rsidRPr="00BC34F9">
        <w:rPr>
          <w:rFonts w:ascii="Arial" w:hAnsi="Arial" w:cs="Arial"/>
          <w:sz w:val="20"/>
          <w:szCs w:val="20"/>
        </w:rPr>
        <w:t>Fonte: Ufficio Studi FIMAA – Federazione Italiana Mediatori Agenti d’Affari</w:t>
      </w:r>
    </w:p>
    <w:p w:rsidR="00D706D0" w:rsidRPr="00BC34F9" w:rsidRDefault="00D706D0" w:rsidP="00D706D0">
      <w:pPr>
        <w:rPr>
          <w:rFonts w:ascii="Arial" w:hAnsi="Arial" w:cs="Arial"/>
          <w:sz w:val="20"/>
          <w:szCs w:val="20"/>
        </w:rPr>
      </w:pPr>
    </w:p>
    <w:p w:rsidR="00D706D0" w:rsidRPr="00BC34F9" w:rsidRDefault="00D706D0" w:rsidP="00D706D0">
      <w:pPr>
        <w:rPr>
          <w:rFonts w:ascii="Arial" w:hAnsi="Arial" w:cs="Arial"/>
          <w:sz w:val="20"/>
          <w:szCs w:val="20"/>
        </w:rPr>
      </w:pPr>
    </w:p>
    <w:p w:rsidR="00D706D0" w:rsidRDefault="00D706D0" w:rsidP="00C27D27">
      <w:pPr>
        <w:rPr>
          <w:rFonts w:cstheme="minorHAnsi"/>
          <w:color w:val="474744"/>
          <w:shd w:val="clear" w:color="auto" w:fill="FFFFFF"/>
        </w:rPr>
      </w:pPr>
    </w:p>
    <w:sectPr w:rsidR="00D706D0" w:rsidSect="00D706D0">
      <w:headerReference w:type="default" r:id="rId9"/>
      <w:footerReference w:type="default" r:id="rId10"/>
      <w:pgSz w:w="11905" w:h="16837"/>
      <w:pgMar w:top="2541" w:right="1418" w:bottom="2836"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22A" w:rsidRDefault="00B2522A">
      <w:r>
        <w:separator/>
      </w:r>
    </w:p>
  </w:endnote>
  <w:endnote w:type="continuationSeparator" w:id="0">
    <w:p w:rsidR="00B2522A" w:rsidRDefault="00B2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hiller">
    <w:panose1 w:val="040204040310070206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Sans">
    <w:panose1 w:val="020B06020202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22A" w:rsidRPr="008827EC" w:rsidRDefault="00B2522A" w:rsidP="005D524D">
    <w:pPr>
      <w:pStyle w:val="Pidipagina"/>
      <w:tabs>
        <w:tab w:val="clear" w:pos="4819"/>
        <w:tab w:val="clear" w:pos="9638"/>
        <w:tab w:val="right" w:pos="8220"/>
      </w:tabs>
      <w:ind w:left="-1418"/>
      <w:jc w:val="center"/>
      <w:rPr>
        <w:rFonts w:ascii="Calibri" w:hAnsi="Calibri"/>
        <w:color w:val="002060"/>
        <w:szCs w:val="16"/>
      </w:rPr>
    </w:pPr>
    <w:r>
      <w:rPr>
        <w:szCs w:val="16"/>
      </w:rPr>
      <w:softHyphen/>
    </w:r>
    <w:r w:rsidRPr="008827EC">
      <w:rPr>
        <w:rFonts w:ascii="Calibri" w:hAnsi="Calibri" w:cs="Arial"/>
        <w:color w:val="002060"/>
        <w:sz w:val="20"/>
        <w:u w:val="single"/>
      </w:rPr>
      <w:t>Ufficio Stampa</w:t>
    </w:r>
    <w:r w:rsidRPr="008827EC">
      <w:rPr>
        <w:rFonts w:ascii="Calibri" w:hAnsi="Calibri" w:cs="Arial"/>
        <w:color w:val="002060"/>
        <w:sz w:val="20"/>
      </w:rPr>
      <w:t xml:space="preserve">: Stefano Sabella – </w:t>
    </w:r>
    <w:r>
      <w:rPr>
        <w:rFonts w:ascii="Calibri" w:hAnsi="Calibri" w:cs="Arial"/>
        <w:color w:val="002060"/>
        <w:sz w:val="20"/>
      </w:rPr>
      <w:t>tel</w:t>
    </w:r>
    <w:r w:rsidRPr="008827EC">
      <w:rPr>
        <w:rFonts w:ascii="Calibri" w:hAnsi="Calibri" w:cs="Arial"/>
        <w:color w:val="002060"/>
        <w:sz w:val="20"/>
      </w:rPr>
      <w:t xml:space="preserve">. </w:t>
    </w:r>
    <w:r>
      <w:rPr>
        <w:rFonts w:ascii="Calibri" w:hAnsi="Calibri" w:cs="Arial"/>
        <w:color w:val="002060"/>
        <w:sz w:val="20"/>
      </w:rPr>
      <w:t>(+39) 06 58 66 202</w:t>
    </w:r>
  </w:p>
  <w:p w:rsidR="00B2522A" w:rsidRDefault="00B2522A" w:rsidP="005D524D">
    <w:pPr>
      <w:pStyle w:val="Pidipagina"/>
      <w:tabs>
        <w:tab w:val="clear" w:pos="4819"/>
        <w:tab w:val="clear" w:pos="9638"/>
        <w:tab w:val="right" w:pos="8220"/>
      </w:tabs>
      <w:ind w:left="-1418"/>
      <w:rPr>
        <w:szCs w:val="16"/>
      </w:rPr>
    </w:pPr>
  </w:p>
  <w:p w:rsidR="00B2522A" w:rsidRPr="005D524D" w:rsidRDefault="00B2522A" w:rsidP="005D524D">
    <w:pPr>
      <w:pStyle w:val="Pidipagina"/>
      <w:tabs>
        <w:tab w:val="clear" w:pos="4819"/>
        <w:tab w:val="clear" w:pos="9638"/>
        <w:tab w:val="right" w:pos="8220"/>
      </w:tabs>
      <w:ind w:left="-1418"/>
      <w:rPr>
        <w:szCs w:val="16"/>
      </w:rPr>
    </w:pPr>
    <w:r>
      <w:rPr>
        <w:noProof/>
        <w:szCs w:val="16"/>
        <w:lang w:eastAsia="it-IT"/>
      </w:rPr>
      <w:drawing>
        <wp:inline distT="0" distB="0" distL="0" distR="0">
          <wp:extent cx="7515225" cy="1228725"/>
          <wp:effectExtent l="0" t="0" r="9525" b="9525"/>
          <wp:docPr id="7" name="Immagine 7" descr="IMG_CARTA_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CARTA_INTEST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225" cy="1228725"/>
                  </a:xfrm>
                  <a:prstGeom prst="rect">
                    <a:avLst/>
                  </a:prstGeom>
                  <a:noFill/>
                  <a:ln>
                    <a:noFill/>
                  </a:ln>
                </pic:spPr>
              </pic:pic>
            </a:graphicData>
          </a:graphic>
        </wp:inline>
      </w:drawing>
    </w:r>
  </w:p>
  <w:p w:rsidR="00B2522A" w:rsidRDefault="00B2522A">
    <w:pPr>
      <w:pStyle w:val="Pidipagina"/>
      <w:tabs>
        <w:tab w:val="clear" w:pos="4819"/>
        <w:tab w:val="clear" w:pos="9638"/>
        <w:tab w:val="right" w:pos="8220"/>
      </w:tabs>
      <w:ind w:left="-1418"/>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22A" w:rsidRDefault="00B2522A">
      <w:r>
        <w:separator/>
      </w:r>
    </w:p>
  </w:footnote>
  <w:footnote w:type="continuationSeparator" w:id="0">
    <w:p w:rsidR="00B2522A" w:rsidRDefault="00B25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22A" w:rsidRDefault="007B34B6">
    <w:pPr>
      <w:pStyle w:val="Intestazione"/>
      <w:tabs>
        <w:tab w:val="clear" w:pos="4819"/>
        <w:tab w:val="clear" w:pos="9638"/>
        <w:tab w:val="right" w:pos="8220"/>
      </w:tabs>
      <w:ind w:left="-1418"/>
    </w:pPr>
    <w:sdt>
      <w:sdtPr>
        <w:id w:val="1726028465"/>
        <w:docPartObj>
          <w:docPartGallery w:val="Page Numbers (Margins)"/>
          <w:docPartUnique/>
        </w:docPartObj>
      </w:sdtPr>
      <w:sdtEndPr/>
      <w:sdtContent>
        <w:r w:rsidR="00B2522A">
          <w:rPr>
            <w:noProof/>
            <w:lang w:eastAsia="it-IT"/>
          </w:rPr>
          <mc:AlternateContent>
            <mc:Choice Requires="wps">
              <w:drawing>
                <wp:anchor distT="0" distB="0" distL="114300" distR="114300" simplePos="0" relativeHeight="251659776" behindDoc="0" locked="0" layoutInCell="0" allowOverlap="1">
                  <wp:simplePos x="0" y="0"/>
                  <wp:positionH relativeFrom="rightMargin">
                    <wp:align>right</wp:align>
                  </wp:positionH>
                  <wp:positionV relativeFrom="margin">
                    <wp:align>center</wp:align>
                  </wp:positionV>
                  <wp:extent cx="717550" cy="329565"/>
                  <wp:effectExtent l="0" t="0" r="381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22A" w:rsidRDefault="00B2522A">
                              <w:pPr>
                                <w:pBdr>
                                  <w:bottom w:val="single" w:sz="4" w:space="1" w:color="auto"/>
                                </w:pBdr>
                              </w:pPr>
                              <w:r>
                                <w:rPr>
                                  <w:noProof/>
                                </w:rPr>
                                <w:fldChar w:fldCharType="begin"/>
                              </w:r>
                              <w:r>
                                <w:rPr>
                                  <w:noProof/>
                                </w:rPr>
                                <w:instrText>PAGE   \* MERGEFORMAT</w:instrText>
                              </w:r>
                              <w:r>
                                <w:rPr>
                                  <w:noProof/>
                                </w:rPr>
                                <w:fldChar w:fldCharType="separate"/>
                              </w:r>
                              <w:r w:rsidR="007B34B6">
                                <w:rPr>
                                  <w:noProof/>
                                </w:rPr>
                                <w:t>17</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left:0;text-align:left;margin-left:5.3pt;margin-top:0;width:56.5pt;height:25.95pt;z-index:25165977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94gAIAAAYFAAAOAAAAZHJzL2Uyb0RvYy54bWysVNuO0zAQfUfiHyy/d3MhaZto09VeKEJa&#10;YMXCB7ix01g4nmC7TRfEvzN22m4LPCBEHhyPPT6emXPGl1e7TpGtMFaCrmhyEVMidA1c6nVFP39a&#10;TuaUWMc0Zwq0qOiTsPRq8fLF5dCXIoUWFBeGIIi25dBXtHWuL6PI1q3omL2AXmjcbMB0zKFp1hE3&#10;bED0TkVpHE+jAQzvDdTCWly9GzfpIuA3jajdh6axwhFVUYzNhdGEceXHaHHJyrVhfSvrfRjsH6Lo&#10;mNR46RHqjjlGNkb+BtXJ2oCFxl3U0EXQNLIWIQfMJol/yeaxZb0IuWBxbH8sk/1/sPX77YMhklc0&#10;pUSzDin6KBwStgYFJPX1GXpbottj/2B8hra/h/qLJRpuW3QT18bA0ArGMarE+0dnB7xh8ShZDe+A&#10;IzzbOAil2jWm84BYBLILjDwdGRE7R2pcnCWzPEfeatx6lRb5NA83sPJwuDfWvRHQET+pqEHCAzjb&#10;3lvng2HlwSUED0rypVQqGGa9ulWGbBmKYxm+Pbo9dVPaO2vwx0bEcQVjxDv8no82kP29SNIsvkmL&#10;yXI6n02yZZZPilk8n8RJcVNM46zI7pY/fIBJVraSc6HvpRYH4SXZ3xG7b4FRMkF6ZKhokad5yP0s&#10;enuaZBy+PyXZSYd9qGRX0fnRiZWe19eaY9qsdEyqcR6dhx+qjDU4/ENVggo88aOA3G61QxSvhhXw&#10;J9SDAeQLqcXHAyctmG+UDNiIFbVfN8wIStRbjZoqkizznRuMLJ+laJjTndXpDtM1QlXUUTJOb93Y&#10;7ZveyHWLNyWhRhquUYeNDBp5jmqvXmy2kMz+YfDdfGoHr+fna/ETAAD//wMAUEsDBBQABgAIAAAA&#10;IQDlCNY72gAAAAQBAAAPAAAAZHJzL2Rvd25yZXYueG1sTI9BS8NAEIXvgv9hGcGL2E0URWMmRZRK&#10;QRBaRa/b7JiE7s6G7DRN/71bL3p58HjDe9+U88k7NdIQu8AI+SwDRVwH23GD8PG+uLwDFcWwNS4w&#10;IRwowrw6PSlNYcOeVzSupVGphGNhEFqRvtA61i15E2ehJ07Zdxi8kWSHRtvB7FO5d/oqy261Nx2n&#10;hdb09NRSvV3vPML2y8rbuJTpddkvLvzzp1sdXhzi+dn0+ABKaJK/YzjiJ3SoEtMm7NhG5RDSI/Kr&#10;xyy/TnaDcJPfg65K/R+++gEAAP//AwBQSwECLQAUAAYACAAAACEAtoM4kv4AAADhAQAAEwAAAAAA&#10;AAAAAAAAAAAAAAAAW0NvbnRlbnRfVHlwZXNdLnhtbFBLAQItABQABgAIAAAAIQA4/SH/1gAAAJQB&#10;AAALAAAAAAAAAAAAAAAAAC8BAABfcmVscy8ucmVsc1BLAQItABQABgAIAAAAIQDQi794gAIAAAYF&#10;AAAOAAAAAAAAAAAAAAAAAC4CAABkcnMvZTJvRG9jLnhtbFBLAQItABQABgAIAAAAIQDlCNY72gAA&#10;AAQBAAAPAAAAAAAAAAAAAAAAANoEAABkcnMvZG93bnJldi54bWxQSwUGAAAAAAQABADzAAAA4QUA&#10;AAAA&#10;" o:allowincell="f" stroked="f">
                  <v:textbox>
                    <w:txbxContent>
                      <w:p w:rsidR="00B2522A" w:rsidRDefault="00B2522A">
                        <w:pPr>
                          <w:pBdr>
                            <w:bottom w:val="single" w:sz="4" w:space="1" w:color="auto"/>
                          </w:pBdr>
                        </w:pPr>
                        <w:r>
                          <w:rPr>
                            <w:noProof/>
                          </w:rPr>
                          <w:fldChar w:fldCharType="begin"/>
                        </w:r>
                        <w:r>
                          <w:rPr>
                            <w:noProof/>
                          </w:rPr>
                          <w:instrText>PAGE   \* MERGEFORMAT</w:instrText>
                        </w:r>
                        <w:r>
                          <w:rPr>
                            <w:noProof/>
                          </w:rPr>
                          <w:fldChar w:fldCharType="separate"/>
                        </w:r>
                        <w:r w:rsidR="007B34B6">
                          <w:rPr>
                            <w:noProof/>
                          </w:rPr>
                          <w:t>17</w:t>
                        </w:r>
                        <w:r>
                          <w:rPr>
                            <w:noProof/>
                          </w:rPr>
                          <w:fldChar w:fldCharType="end"/>
                        </w:r>
                      </w:p>
                    </w:txbxContent>
                  </v:textbox>
                  <w10:wrap anchorx="margin" anchory="margin"/>
                </v:rect>
              </w:pict>
            </mc:Fallback>
          </mc:AlternateContent>
        </w:r>
      </w:sdtContent>
    </w:sdt>
    <w:r w:rsidR="00B2522A">
      <w:rPr>
        <w:noProof/>
        <w:lang w:eastAsia="it-IT"/>
      </w:rPr>
      <w:drawing>
        <wp:anchor distT="0" distB="0" distL="0" distR="0" simplePos="0" relativeHeight="251657728" behindDoc="0" locked="0" layoutInCell="1" allowOverlap="1">
          <wp:simplePos x="0" y="0"/>
          <wp:positionH relativeFrom="column">
            <wp:posOffset>-900430</wp:posOffset>
          </wp:positionH>
          <wp:positionV relativeFrom="paragraph">
            <wp:posOffset>-123825</wp:posOffset>
          </wp:positionV>
          <wp:extent cx="7558405" cy="1539240"/>
          <wp:effectExtent l="0" t="0" r="4445" b="3810"/>
          <wp:wrapSquare wrapText="larges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53924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21296_"/>
      </v:shape>
    </w:pict>
  </w:numPicBullet>
  <w:abstractNum w:abstractNumId="0" w15:restartNumberingAfterBreak="0">
    <w:nsid w:val="FFFFFF89"/>
    <w:multiLevelType w:val="singleLevel"/>
    <w:tmpl w:val="858609F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1B703F9"/>
    <w:multiLevelType w:val="hybridMultilevel"/>
    <w:tmpl w:val="8D3CE0DC"/>
    <w:lvl w:ilvl="0" w:tplc="03820FE2">
      <w:start w:val="1"/>
      <w:numFmt w:val="bullet"/>
      <w:lvlText w:val=""/>
      <w:lvlPicBulletId w:val="0"/>
      <w:lvlJc w:val="left"/>
      <w:pPr>
        <w:tabs>
          <w:tab w:val="num" w:pos="360"/>
        </w:tabs>
        <w:ind w:left="360" w:hanging="360"/>
      </w:pPr>
      <w:rPr>
        <w:rFonts w:ascii="Symbol" w:hAnsi="Symbol" w:hint="default"/>
        <w:color w:val="auto"/>
      </w:rPr>
    </w:lvl>
    <w:lvl w:ilvl="1" w:tplc="69BE11B8">
      <w:numFmt w:val="bullet"/>
      <w:lvlText w:val="-"/>
      <w:lvlJc w:val="left"/>
      <w:pPr>
        <w:tabs>
          <w:tab w:val="num" w:pos="1440"/>
        </w:tabs>
        <w:ind w:left="1440" w:hanging="360"/>
      </w:pPr>
      <w:rPr>
        <w:rFonts w:ascii="TimesNewRoman" w:eastAsia="Chiller" w:hAnsi="TimesNewRoman" w:cs="TimesNewRoman" w:hint="default"/>
        <w:color w:val="auto"/>
      </w:rPr>
    </w:lvl>
    <w:lvl w:ilvl="2" w:tplc="20864110">
      <w:start w:val="1"/>
      <w:numFmt w:val="bullet"/>
      <w:lvlText w:val=""/>
      <w:lvlJc w:val="left"/>
      <w:pPr>
        <w:tabs>
          <w:tab w:val="num" w:pos="1080"/>
        </w:tabs>
        <w:ind w:left="1080" w:hanging="360"/>
      </w:pPr>
      <w:rPr>
        <w:rFonts w:ascii="Symbol" w:hAnsi="Symbol" w:hint="default"/>
        <w:color w:val="auto"/>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26A27"/>
    <w:multiLevelType w:val="hybridMultilevel"/>
    <w:tmpl w:val="9F5ABC38"/>
    <w:lvl w:ilvl="0" w:tplc="806666C8">
      <w:numFmt w:val="bullet"/>
      <w:lvlText w:val="-"/>
      <w:lvlJc w:val="left"/>
      <w:pPr>
        <w:tabs>
          <w:tab w:val="num" w:pos="644"/>
        </w:tabs>
        <w:ind w:left="644" w:hanging="360"/>
      </w:pPr>
      <w:rPr>
        <w:rFonts w:ascii="Verdana" w:eastAsia="Times New Roman" w:hAnsi="Verdana" w:cs="Times New Roman" w:hint="default"/>
      </w:rPr>
    </w:lvl>
    <w:lvl w:ilvl="1" w:tplc="04100003">
      <w:start w:val="1"/>
      <w:numFmt w:val="decimal"/>
      <w:lvlText w:val="%2."/>
      <w:lvlJc w:val="left"/>
      <w:pPr>
        <w:tabs>
          <w:tab w:val="num" w:pos="1649"/>
        </w:tabs>
        <w:ind w:left="1649" w:hanging="360"/>
      </w:pPr>
    </w:lvl>
    <w:lvl w:ilvl="2" w:tplc="04100005">
      <w:start w:val="1"/>
      <w:numFmt w:val="decimal"/>
      <w:lvlText w:val="%3."/>
      <w:lvlJc w:val="left"/>
      <w:pPr>
        <w:tabs>
          <w:tab w:val="num" w:pos="2369"/>
        </w:tabs>
        <w:ind w:left="2369" w:hanging="360"/>
      </w:pPr>
    </w:lvl>
    <w:lvl w:ilvl="3" w:tplc="04100001">
      <w:start w:val="1"/>
      <w:numFmt w:val="decimal"/>
      <w:lvlText w:val="%4."/>
      <w:lvlJc w:val="left"/>
      <w:pPr>
        <w:tabs>
          <w:tab w:val="num" w:pos="3089"/>
        </w:tabs>
        <w:ind w:left="3089" w:hanging="360"/>
      </w:pPr>
    </w:lvl>
    <w:lvl w:ilvl="4" w:tplc="04100003">
      <w:start w:val="1"/>
      <w:numFmt w:val="decimal"/>
      <w:lvlText w:val="%5."/>
      <w:lvlJc w:val="left"/>
      <w:pPr>
        <w:tabs>
          <w:tab w:val="num" w:pos="3809"/>
        </w:tabs>
        <w:ind w:left="3809" w:hanging="360"/>
      </w:pPr>
    </w:lvl>
    <w:lvl w:ilvl="5" w:tplc="04100005">
      <w:start w:val="1"/>
      <w:numFmt w:val="decimal"/>
      <w:lvlText w:val="%6."/>
      <w:lvlJc w:val="left"/>
      <w:pPr>
        <w:tabs>
          <w:tab w:val="num" w:pos="4529"/>
        </w:tabs>
        <w:ind w:left="4529" w:hanging="360"/>
      </w:pPr>
    </w:lvl>
    <w:lvl w:ilvl="6" w:tplc="04100001">
      <w:start w:val="1"/>
      <w:numFmt w:val="decimal"/>
      <w:lvlText w:val="%7."/>
      <w:lvlJc w:val="left"/>
      <w:pPr>
        <w:tabs>
          <w:tab w:val="num" w:pos="5249"/>
        </w:tabs>
        <w:ind w:left="5249" w:hanging="360"/>
      </w:pPr>
    </w:lvl>
    <w:lvl w:ilvl="7" w:tplc="04100003">
      <w:start w:val="1"/>
      <w:numFmt w:val="decimal"/>
      <w:lvlText w:val="%8."/>
      <w:lvlJc w:val="left"/>
      <w:pPr>
        <w:tabs>
          <w:tab w:val="num" w:pos="5969"/>
        </w:tabs>
        <w:ind w:left="5969" w:hanging="360"/>
      </w:pPr>
    </w:lvl>
    <w:lvl w:ilvl="8" w:tplc="04100005">
      <w:start w:val="1"/>
      <w:numFmt w:val="decimal"/>
      <w:lvlText w:val="%9."/>
      <w:lvlJc w:val="left"/>
      <w:pPr>
        <w:tabs>
          <w:tab w:val="num" w:pos="6689"/>
        </w:tabs>
        <w:ind w:left="6689" w:hanging="360"/>
      </w:pPr>
    </w:lvl>
  </w:abstractNum>
  <w:abstractNum w:abstractNumId="4" w15:restartNumberingAfterBreak="0">
    <w:nsid w:val="1BCB6DB8"/>
    <w:multiLevelType w:val="hybridMultilevel"/>
    <w:tmpl w:val="9C166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D3CFA"/>
    <w:multiLevelType w:val="multilevel"/>
    <w:tmpl w:val="FF340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1E7CC5"/>
    <w:multiLevelType w:val="hybridMultilevel"/>
    <w:tmpl w:val="495828AA"/>
    <w:lvl w:ilvl="0" w:tplc="F6C6A512">
      <w:start w:val="2"/>
      <w:numFmt w:val="bullet"/>
      <w:lvlText w:val="-"/>
      <w:lvlJc w:val="left"/>
      <w:pPr>
        <w:ind w:left="720" w:hanging="360"/>
      </w:pPr>
      <w:rPr>
        <w:rFonts w:ascii="Calibri" w:eastAsia="Times New Roman" w:hAnsi="Calibri" w:cs="Times New Roman" w:hint="default"/>
        <w:b w:val="0"/>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6C6660"/>
    <w:multiLevelType w:val="multilevel"/>
    <w:tmpl w:val="721E6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094C26"/>
    <w:multiLevelType w:val="hybridMultilevel"/>
    <w:tmpl w:val="DEF63BC4"/>
    <w:lvl w:ilvl="0" w:tplc="3C8E697A">
      <w:numFmt w:val="bullet"/>
      <w:lvlText w:val="-"/>
      <w:lvlJc w:val="left"/>
      <w:pPr>
        <w:tabs>
          <w:tab w:val="num" w:pos="720"/>
        </w:tabs>
        <w:ind w:left="720" w:hanging="360"/>
      </w:pPr>
      <w:rPr>
        <w:rFonts w:ascii="Calibri" w:eastAsia="Times New Roman" w:hAnsi="Calibri"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057E9"/>
    <w:multiLevelType w:val="hybridMultilevel"/>
    <w:tmpl w:val="A69C4B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FD578A"/>
    <w:multiLevelType w:val="hybridMultilevel"/>
    <w:tmpl w:val="3AA2BAFE"/>
    <w:lvl w:ilvl="0" w:tplc="20864110">
      <w:start w:val="1"/>
      <w:numFmt w:val="bullet"/>
      <w:lvlText w:val=""/>
      <w:lvlJc w:val="left"/>
      <w:pPr>
        <w:tabs>
          <w:tab w:val="num" w:pos="1077"/>
        </w:tabs>
        <w:ind w:left="1077"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F95729"/>
    <w:multiLevelType w:val="hybridMultilevel"/>
    <w:tmpl w:val="15AA87D6"/>
    <w:lvl w:ilvl="0" w:tplc="2F845944">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C41F21"/>
    <w:multiLevelType w:val="multilevel"/>
    <w:tmpl w:val="FC7CE3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0235B1D"/>
    <w:multiLevelType w:val="hybridMultilevel"/>
    <w:tmpl w:val="4F7CD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D014E8"/>
    <w:multiLevelType w:val="hybridMultilevel"/>
    <w:tmpl w:val="06229BA8"/>
    <w:lvl w:ilvl="0" w:tplc="0F6A9C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824C05"/>
    <w:multiLevelType w:val="hybridMultilevel"/>
    <w:tmpl w:val="61768A2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8"/>
  </w:num>
  <w:num w:numId="4">
    <w:abstractNumId w:val="2"/>
  </w:num>
  <w:num w:numId="5">
    <w:abstractNumId w:val="10"/>
  </w:num>
  <w:num w:numId="6">
    <w:abstractNumId w:val="9"/>
  </w:num>
  <w:num w:numId="7">
    <w:abstractNumId w:val="11"/>
  </w:num>
  <w:num w:numId="8">
    <w:abstractNumId w:val="13"/>
  </w:num>
  <w:num w:numId="9">
    <w:abstractNumId w:val="6"/>
  </w:num>
  <w:num w:numId="10">
    <w:abstractNumId w:val="15"/>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BC"/>
    <w:rsid w:val="00000642"/>
    <w:rsid w:val="00001495"/>
    <w:rsid w:val="00002873"/>
    <w:rsid w:val="00003AD3"/>
    <w:rsid w:val="00011BFA"/>
    <w:rsid w:val="000136BF"/>
    <w:rsid w:val="0002149E"/>
    <w:rsid w:val="00023039"/>
    <w:rsid w:val="00024A54"/>
    <w:rsid w:val="00024E83"/>
    <w:rsid w:val="00025BC3"/>
    <w:rsid w:val="000274DD"/>
    <w:rsid w:val="00030E6B"/>
    <w:rsid w:val="000313D6"/>
    <w:rsid w:val="00031B92"/>
    <w:rsid w:val="00032E8B"/>
    <w:rsid w:val="00034DF8"/>
    <w:rsid w:val="00055754"/>
    <w:rsid w:val="00062E06"/>
    <w:rsid w:val="00075B8A"/>
    <w:rsid w:val="00080260"/>
    <w:rsid w:val="00085C18"/>
    <w:rsid w:val="00090D69"/>
    <w:rsid w:val="000A0D2F"/>
    <w:rsid w:val="000A2002"/>
    <w:rsid w:val="000A52D5"/>
    <w:rsid w:val="000A7571"/>
    <w:rsid w:val="000B448B"/>
    <w:rsid w:val="000B51F3"/>
    <w:rsid w:val="000C0530"/>
    <w:rsid w:val="000C17A4"/>
    <w:rsid w:val="000C35B2"/>
    <w:rsid w:val="000C51EF"/>
    <w:rsid w:val="000C7472"/>
    <w:rsid w:val="000C77EE"/>
    <w:rsid w:val="000D176C"/>
    <w:rsid w:val="000D40B3"/>
    <w:rsid w:val="000D49A8"/>
    <w:rsid w:val="000D6FA7"/>
    <w:rsid w:val="000E2626"/>
    <w:rsid w:val="000E2AE6"/>
    <w:rsid w:val="000E5597"/>
    <w:rsid w:val="000F0A64"/>
    <w:rsid w:val="000F198C"/>
    <w:rsid w:val="000F6606"/>
    <w:rsid w:val="000F7EFD"/>
    <w:rsid w:val="00103E7A"/>
    <w:rsid w:val="00110AAE"/>
    <w:rsid w:val="00110AE4"/>
    <w:rsid w:val="00110DC2"/>
    <w:rsid w:val="001155D2"/>
    <w:rsid w:val="001173B7"/>
    <w:rsid w:val="00120091"/>
    <w:rsid w:val="00121A33"/>
    <w:rsid w:val="00122D11"/>
    <w:rsid w:val="00126A87"/>
    <w:rsid w:val="00131B57"/>
    <w:rsid w:val="0013676D"/>
    <w:rsid w:val="00140D06"/>
    <w:rsid w:val="001418A3"/>
    <w:rsid w:val="001422B6"/>
    <w:rsid w:val="00144A32"/>
    <w:rsid w:val="001517CF"/>
    <w:rsid w:val="0016102E"/>
    <w:rsid w:val="00162C14"/>
    <w:rsid w:val="00163B57"/>
    <w:rsid w:val="00167A79"/>
    <w:rsid w:val="00170379"/>
    <w:rsid w:val="00170AB9"/>
    <w:rsid w:val="001719A6"/>
    <w:rsid w:val="00172BC8"/>
    <w:rsid w:val="001811BA"/>
    <w:rsid w:val="00182EB7"/>
    <w:rsid w:val="001872D4"/>
    <w:rsid w:val="00187AE2"/>
    <w:rsid w:val="00191761"/>
    <w:rsid w:val="00197803"/>
    <w:rsid w:val="001A14C7"/>
    <w:rsid w:val="001A1A33"/>
    <w:rsid w:val="001A4D0A"/>
    <w:rsid w:val="001B06BF"/>
    <w:rsid w:val="001B4BAC"/>
    <w:rsid w:val="001B644B"/>
    <w:rsid w:val="001B6A58"/>
    <w:rsid w:val="001C1B9D"/>
    <w:rsid w:val="001C41B2"/>
    <w:rsid w:val="001C698E"/>
    <w:rsid w:val="001D52A4"/>
    <w:rsid w:val="001D6BD5"/>
    <w:rsid w:val="001E0F27"/>
    <w:rsid w:val="001E3698"/>
    <w:rsid w:val="001E61FB"/>
    <w:rsid w:val="001E7821"/>
    <w:rsid w:val="001F101F"/>
    <w:rsid w:val="001F2C5A"/>
    <w:rsid w:val="001F2C87"/>
    <w:rsid w:val="001F34BD"/>
    <w:rsid w:val="001F3F48"/>
    <w:rsid w:val="001F50BC"/>
    <w:rsid w:val="00206FC8"/>
    <w:rsid w:val="00207DB4"/>
    <w:rsid w:val="002107C7"/>
    <w:rsid w:val="00210E84"/>
    <w:rsid w:val="00217FB9"/>
    <w:rsid w:val="00224E47"/>
    <w:rsid w:val="00226722"/>
    <w:rsid w:val="0023311E"/>
    <w:rsid w:val="00237F45"/>
    <w:rsid w:val="002435AE"/>
    <w:rsid w:val="00246C9D"/>
    <w:rsid w:val="00254C1F"/>
    <w:rsid w:val="00256690"/>
    <w:rsid w:val="002570B4"/>
    <w:rsid w:val="0025775B"/>
    <w:rsid w:val="00261839"/>
    <w:rsid w:val="0026643C"/>
    <w:rsid w:val="00266F09"/>
    <w:rsid w:val="002717AF"/>
    <w:rsid w:val="00276DA4"/>
    <w:rsid w:val="00281AF7"/>
    <w:rsid w:val="00282E4F"/>
    <w:rsid w:val="00282E76"/>
    <w:rsid w:val="002863EB"/>
    <w:rsid w:val="0029196E"/>
    <w:rsid w:val="002A3C3E"/>
    <w:rsid w:val="002A7BC1"/>
    <w:rsid w:val="002B55C1"/>
    <w:rsid w:val="002B6E88"/>
    <w:rsid w:val="002B7154"/>
    <w:rsid w:val="002C2432"/>
    <w:rsid w:val="002C68EB"/>
    <w:rsid w:val="002C7D42"/>
    <w:rsid w:val="002D04F7"/>
    <w:rsid w:val="002D2A94"/>
    <w:rsid w:val="002D7D89"/>
    <w:rsid w:val="002E07E4"/>
    <w:rsid w:val="002E1857"/>
    <w:rsid w:val="002E1C7C"/>
    <w:rsid w:val="002E3B57"/>
    <w:rsid w:val="002E5EBA"/>
    <w:rsid w:val="002E6F13"/>
    <w:rsid w:val="002F1B10"/>
    <w:rsid w:val="002F2977"/>
    <w:rsid w:val="002F7A38"/>
    <w:rsid w:val="00300E2F"/>
    <w:rsid w:val="00302442"/>
    <w:rsid w:val="00302A77"/>
    <w:rsid w:val="00303662"/>
    <w:rsid w:val="0030682D"/>
    <w:rsid w:val="00310654"/>
    <w:rsid w:val="00313A76"/>
    <w:rsid w:val="00315D71"/>
    <w:rsid w:val="00315FF9"/>
    <w:rsid w:val="00317946"/>
    <w:rsid w:val="00321BF5"/>
    <w:rsid w:val="00325E41"/>
    <w:rsid w:val="00326D35"/>
    <w:rsid w:val="003306FA"/>
    <w:rsid w:val="0033173E"/>
    <w:rsid w:val="00332A34"/>
    <w:rsid w:val="00333514"/>
    <w:rsid w:val="00341805"/>
    <w:rsid w:val="00341DE1"/>
    <w:rsid w:val="00347A3F"/>
    <w:rsid w:val="0035196B"/>
    <w:rsid w:val="003565BE"/>
    <w:rsid w:val="00356861"/>
    <w:rsid w:val="0036365A"/>
    <w:rsid w:val="00365B91"/>
    <w:rsid w:val="00367A81"/>
    <w:rsid w:val="00370D3B"/>
    <w:rsid w:val="00372245"/>
    <w:rsid w:val="003722F8"/>
    <w:rsid w:val="00372560"/>
    <w:rsid w:val="00374E6B"/>
    <w:rsid w:val="00375459"/>
    <w:rsid w:val="003768BD"/>
    <w:rsid w:val="00376F09"/>
    <w:rsid w:val="003772F0"/>
    <w:rsid w:val="003779B8"/>
    <w:rsid w:val="0038042D"/>
    <w:rsid w:val="00380BA9"/>
    <w:rsid w:val="00381C98"/>
    <w:rsid w:val="00385CAE"/>
    <w:rsid w:val="003869DC"/>
    <w:rsid w:val="0039045A"/>
    <w:rsid w:val="003A105E"/>
    <w:rsid w:val="003A3A5F"/>
    <w:rsid w:val="003A5E93"/>
    <w:rsid w:val="003B0648"/>
    <w:rsid w:val="003B1182"/>
    <w:rsid w:val="003B3DD5"/>
    <w:rsid w:val="003B6B91"/>
    <w:rsid w:val="003B7821"/>
    <w:rsid w:val="003C1001"/>
    <w:rsid w:val="003C2AEE"/>
    <w:rsid w:val="003C7D54"/>
    <w:rsid w:val="003D15DD"/>
    <w:rsid w:val="003D447A"/>
    <w:rsid w:val="003D7C81"/>
    <w:rsid w:val="003E3C91"/>
    <w:rsid w:val="003E5110"/>
    <w:rsid w:val="00402146"/>
    <w:rsid w:val="0040433A"/>
    <w:rsid w:val="00405F45"/>
    <w:rsid w:val="0040623C"/>
    <w:rsid w:val="00407EE2"/>
    <w:rsid w:val="00414EEA"/>
    <w:rsid w:val="0042470F"/>
    <w:rsid w:val="0042476B"/>
    <w:rsid w:val="00430BE0"/>
    <w:rsid w:val="00437817"/>
    <w:rsid w:val="00437C64"/>
    <w:rsid w:val="00441F37"/>
    <w:rsid w:val="00443AC6"/>
    <w:rsid w:val="00445D15"/>
    <w:rsid w:val="004501A9"/>
    <w:rsid w:val="00452D4C"/>
    <w:rsid w:val="004548C5"/>
    <w:rsid w:val="00454F37"/>
    <w:rsid w:val="00460FC6"/>
    <w:rsid w:val="00462366"/>
    <w:rsid w:val="0046751E"/>
    <w:rsid w:val="0047271E"/>
    <w:rsid w:val="00475533"/>
    <w:rsid w:val="00480435"/>
    <w:rsid w:val="00482AE4"/>
    <w:rsid w:val="00482BB1"/>
    <w:rsid w:val="00490DAA"/>
    <w:rsid w:val="00496576"/>
    <w:rsid w:val="00496E9B"/>
    <w:rsid w:val="004A2126"/>
    <w:rsid w:val="004A32B0"/>
    <w:rsid w:val="004A4141"/>
    <w:rsid w:val="004B4DE7"/>
    <w:rsid w:val="004C5463"/>
    <w:rsid w:val="004C5590"/>
    <w:rsid w:val="004D1385"/>
    <w:rsid w:val="004D62F8"/>
    <w:rsid w:val="004D7B90"/>
    <w:rsid w:val="004E3452"/>
    <w:rsid w:val="004E3CC9"/>
    <w:rsid w:val="004E54D0"/>
    <w:rsid w:val="004F0DC6"/>
    <w:rsid w:val="004F49ED"/>
    <w:rsid w:val="004F6E3E"/>
    <w:rsid w:val="00501631"/>
    <w:rsid w:val="005017D0"/>
    <w:rsid w:val="00503C04"/>
    <w:rsid w:val="00512C24"/>
    <w:rsid w:val="00517ABC"/>
    <w:rsid w:val="00520FE1"/>
    <w:rsid w:val="00525371"/>
    <w:rsid w:val="005275E0"/>
    <w:rsid w:val="005310BB"/>
    <w:rsid w:val="0053163B"/>
    <w:rsid w:val="00534A0A"/>
    <w:rsid w:val="00534A6B"/>
    <w:rsid w:val="00541F9B"/>
    <w:rsid w:val="005449DF"/>
    <w:rsid w:val="005468C2"/>
    <w:rsid w:val="005528AC"/>
    <w:rsid w:val="0056120A"/>
    <w:rsid w:val="0056281A"/>
    <w:rsid w:val="00562A06"/>
    <w:rsid w:val="00566F8C"/>
    <w:rsid w:val="0057466C"/>
    <w:rsid w:val="00583395"/>
    <w:rsid w:val="00583A74"/>
    <w:rsid w:val="00583C89"/>
    <w:rsid w:val="005849BE"/>
    <w:rsid w:val="00586EC0"/>
    <w:rsid w:val="00593387"/>
    <w:rsid w:val="0059763E"/>
    <w:rsid w:val="005A3D0A"/>
    <w:rsid w:val="005B1239"/>
    <w:rsid w:val="005B28E0"/>
    <w:rsid w:val="005B34BA"/>
    <w:rsid w:val="005B7B01"/>
    <w:rsid w:val="005D04A6"/>
    <w:rsid w:val="005D353E"/>
    <w:rsid w:val="005D3A8E"/>
    <w:rsid w:val="005D4AF3"/>
    <w:rsid w:val="005D524D"/>
    <w:rsid w:val="005D7594"/>
    <w:rsid w:val="005E02C3"/>
    <w:rsid w:val="005F0CCE"/>
    <w:rsid w:val="005F298A"/>
    <w:rsid w:val="005F2B1A"/>
    <w:rsid w:val="005F482C"/>
    <w:rsid w:val="006022AC"/>
    <w:rsid w:val="00604298"/>
    <w:rsid w:val="006055E3"/>
    <w:rsid w:val="00605940"/>
    <w:rsid w:val="00606FE1"/>
    <w:rsid w:val="00610594"/>
    <w:rsid w:val="00612194"/>
    <w:rsid w:val="006125E0"/>
    <w:rsid w:val="006172BA"/>
    <w:rsid w:val="00617980"/>
    <w:rsid w:val="0062270D"/>
    <w:rsid w:val="0062395A"/>
    <w:rsid w:val="006257FF"/>
    <w:rsid w:val="0062580A"/>
    <w:rsid w:val="00626A8A"/>
    <w:rsid w:val="00627F82"/>
    <w:rsid w:val="00630552"/>
    <w:rsid w:val="006347ED"/>
    <w:rsid w:val="0063595A"/>
    <w:rsid w:val="00636670"/>
    <w:rsid w:val="006415D1"/>
    <w:rsid w:val="00642B25"/>
    <w:rsid w:val="00642E45"/>
    <w:rsid w:val="0064395A"/>
    <w:rsid w:val="006502FB"/>
    <w:rsid w:val="00650748"/>
    <w:rsid w:val="00653757"/>
    <w:rsid w:val="00654F9D"/>
    <w:rsid w:val="006557B8"/>
    <w:rsid w:val="006577CE"/>
    <w:rsid w:val="00660CAA"/>
    <w:rsid w:val="00661268"/>
    <w:rsid w:val="006622C8"/>
    <w:rsid w:val="006640A0"/>
    <w:rsid w:val="00664D55"/>
    <w:rsid w:val="00672C27"/>
    <w:rsid w:val="0067527E"/>
    <w:rsid w:val="00676712"/>
    <w:rsid w:val="00681325"/>
    <w:rsid w:val="00681E6E"/>
    <w:rsid w:val="0068644E"/>
    <w:rsid w:val="00691483"/>
    <w:rsid w:val="00692360"/>
    <w:rsid w:val="00694A06"/>
    <w:rsid w:val="00694AE8"/>
    <w:rsid w:val="00696591"/>
    <w:rsid w:val="006A0C03"/>
    <w:rsid w:val="006A6648"/>
    <w:rsid w:val="006B007E"/>
    <w:rsid w:val="006B0F01"/>
    <w:rsid w:val="006B63D5"/>
    <w:rsid w:val="006C1525"/>
    <w:rsid w:val="006C1C45"/>
    <w:rsid w:val="006C22ED"/>
    <w:rsid w:val="006D3E34"/>
    <w:rsid w:val="006D568D"/>
    <w:rsid w:val="006E15C4"/>
    <w:rsid w:val="006E6880"/>
    <w:rsid w:val="006E70D5"/>
    <w:rsid w:val="006F1641"/>
    <w:rsid w:val="006F4086"/>
    <w:rsid w:val="006F4FC4"/>
    <w:rsid w:val="006F58A8"/>
    <w:rsid w:val="00701001"/>
    <w:rsid w:val="00712CAC"/>
    <w:rsid w:val="007142B9"/>
    <w:rsid w:val="00716918"/>
    <w:rsid w:val="0072133C"/>
    <w:rsid w:val="00726F08"/>
    <w:rsid w:val="007318AA"/>
    <w:rsid w:val="00733201"/>
    <w:rsid w:val="00740DF2"/>
    <w:rsid w:val="00742384"/>
    <w:rsid w:val="00743A58"/>
    <w:rsid w:val="007460D0"/>
    <w:rsid w:val="00754494"/>
    <w:rsid w:val="007546EC"/>
    <w:rsid w:val="0076059C"/>
    <w:rsid w:val="007641FA"/>
    <w:rsid w:val="0076477B"/>
    <w:rsid w:val="00766BCD"/>
    <w:rsid w:val="00767BD8"/>
    <w:rsid w:val="00770790"/>
    <w:rsid w:val="007752A2"/>
    <w:rsid w:val="00777274"/>
    <w:rsid w:val="0078142A"/>
    <w:rsid w:val="0078256D"/>
    <w:rsid w:val="00782DD7"/>
    <w:rsid w:val="007863F1"/>
    <w:rsid w:val="007924AB"/>
    <w:rsid w:val="00796FAE"/>
    <w:rsid w:val="007973AB"/>
    <w:rsid w:val="007A0D0E"/>
    <w:rsid w:val="007A5547"/>
    <w:rsid w:val="007B1166"/>
    <w:rsid w:val="007B1B91"/>
    <w:rsid w:val="007B2356"/>
    <w:rsid w:val="007B2DAD"/>
    <w:rsid w:val="007B34B6"/>
    <w:rsid w:val="007B4A2A"/>
    <w:rsid w:val="007C01E2"/>
    <w:rsid w:val="007C47A2"/>
    <w:rsid w:val="007D08C6"/>
    <w:rsid w:val="007D2BAA"/>
    <w:rsid w:val="007D39ED"/>
    <w:rsid w:val="007E2847"/>
    <w:rsid w:val="007E57B9"/>
    <w:rsid w:val="007E663F"/>
    <w:rsid w:val="007F2F49"/>
    <w:rsid w:val="007F58BC"/>
    <w:rsid w:val="007F5EB4"/>
    <w:rsid w:val="00801867"/>
    <w:rsid w:val="008065EE"/>
    <w:rsid w:val="008068CD"/>
    <w:rsid w:val="00807B05"/>
    <w:rsid w:val="00812006"/>
    <w:rsid w:val="008178C0"/>
    <w:rsid w:val="00821989"/>
    <w:rsid w:val="00825A7F"/>
    <w:rsid w:val="0082694E"/>
    <w:rsid w:val="00827EA0"/>
    <w:rsid w:val="00830759"/>
    <w:rsid w:val="00833B4A"/>
    <w:rsid w:val="00833EFD"/>
    <w:rsid w:val="00833FFA"/>
    <w:rsid w:val="00834EF7"/>
    <w:rsid w:val="00842F00"/>
    <w:rsid w:val="00843D4D"/>
    <w:rsid w:val="008444B0"/>
    <w:rsid w:val="008444E7"/>
    <w:rsid w:val="00845090"/>
    <w:rsid w:val="0084518B"/>
    <w:rsid w:val="00851B44"/>
    <w:rsid w:val="00853FA1"/>
    <w:rsid w:val="00861902"/>
    <w:rsid w:val="00863531"/>
    <w:rsid w:val="00867E8D"/>
    <w:rsid w:val="0087573A"/>
    <w:rsid w:val="008772E2"/>
    <w:rsid w:val="008819B9"/>
    <w:rsid w:val="008822C9"/>
    <w:rsid w:val="00886ABA"/>
    <w:rsid w:val="00890822"/>
    <w:rsid w:val="00891451"/>
    <w:rsid w:val="0089433B"/>
    <w:rsid w:val="008944CA"/>
    <w:rsid w:val="00895A25"/>
    <w:rsid w:val="00896FDF"/>
    <w:rsid w:val="00897DEC"/>
    <w:rsid w:val="008A48D1"/>
    <w:rsid w:val="008A5DFC"/>
    <w:rsid w:val="008B0774"/>
    <w:rsid w:val="008B143C"/>
    <w:rsid w:val="008B55F8"/>
    <w:rsid w:val="008B6E66"/>
    <w:rsid w:val="008C66AA"/>
    <w:rsid w:val="008C7C74"/>
    <w:rsid w:val="008D5A06"/>
    <w:rsid w:val="008D5F9D"/>
    <w:rsid w:val="008D63FE"/>
    <w:rsid w:val="008D7D42"/>
    <w:rsid w:val="008E185E"/>
    <w:rsid w:val="008E33E4"/>
    <w:rsid w:val="008E54AC"/>
    <w:rsid w:val="008E54B5"/>
    <w:rsid w:val="008E75FB"/>
    <w:rsid w:val="008F07D7"/>
    <w:rsid w:val="008F0AE4"/>
    <w:rsid w:val="008F0CBF"/>
    <w:rsid w:val="008F11ED"/>
    <w:rsid w:val="008F21E4"/>
    <w:rsid w:val="008F2954"/>
    <w:rsid w:val="008F73A3"/>
    <w:rsid w:val="009006A5"/>
    <w:rsid w:val="00902582"/>
    <w:rsid w:val="00903150"/>
    <w:rsid w:val="009043E6"/>
    <w:rsid w:val="009047AE"/>
    <w:rsid w:val="00904F67"/>
    <w:rsid w:val="009067C4"/>
    <w:rsid w:val="00910D87"/>
    <w:rsid w:val="009149F0"/>
    <w:rsid w:val="00917152"/>
    <w:rsid w:val="0092420A"/>
    <w:rsid w:val="00925381"/>
    <w:rsid w:val="00927681"/>
    <w:rsid w:val="00936D12"/>
    <w:rsid w:val="009406E8"/>
    <w:rsid w:val="0095073A"/>
    <w:rsid w:val="00950E8A"/>
    <w:rsid w:val="009552C6"/>
    <w:rsid w:val="009576FE"/>
    <w:rsid w:val="00961267"/>
    <w:rsid w:val="0096438D"/>
    <w:rsid w:val="00964F10"/>
    <w:rsid w:val="009712C3"/>
    <w:rsid w:val="00971E1F"/>
    <w:rsid w:val="0097385A"/>
    <w:rsid w:val="00984DF3"/>
    <w:rsid w:val="009867E0"/>
    <w:rsid w:val="00986B39"/>
    <w:rsid w:val="00987000"/>
    <w:rsid w:val="00991E7C"/>
    <w:rsid w:val="00996BFE"/>
    <w:rsid w:val="009976E2"/>
    <w:rsid w:val="00997C85"/>
    <w:rsid w:val="009A0603"/>
    <w:rsid w:val="009A201E"/>
    <w:rsid w:val="009A44C9"/>
    <w:rsid w:val="009A6788"/>
    <w:rsid w:val="009A7ADA"/>
    <w:rsid w:val="009B56D7"/>
    <w:rsid w:val="009B6FC7"/>
    <w:rsid w:val="009B7792"/>
    <w:rsid w:val="009C4A1E"/>
    <w:rsid w:val="009C5FA7"/>
    <w:rsid w:val="009C6852"/>
    <w:rsid w:val="009D06C0"/>
    <w:rsid w:val="009D06E4"/>
    <w:rsid w:val="009D3878"/>
    <w:rsid w:val="009D4313"/>
    <w:rsid w:val="009D69A4"/>
    <w:rsid w:val="009E016C"/>
    <w:rsid w:val="009E2C2C"/>
    <w:rsid w:val="009E53A1"/>
    <w:rsid w:val="009E7878"/>
    <w:rsid w:val="009F07B2"/>
    <w:rsid w:val="009F1231"/>
    <w:rsid w:val="009F4CEB"/>
    <w:rsid w:val="009F7AA0"/>
    <w:rsid w:val="00A03C7B"/>
    <w:rsid w:val="00A04EA5"/>
    <w:rsid w:val="00A106A0"/>
    <w:rsid w:val="00A11287"/>
    <w:rsid w:val="00A15830"/>
    <w:rsid w:val="00A209DE"/>
    <w:rsid w:val="00A31AA1"/>
    <w:rsid w:val="00A344E9"/>
    <w:rsid w:val="00A36B59"/>
    <w:rsid w:val="00A36D87"/>
    <w:rsid w:val="00A41486"/>
    <w:rsid w:val="00A418F1"/>
    <w:rsid w:val="00A431D0"/>
    <w:rsid w:val="00A46487"/>
    <w:rsid w:val="00A54FC6"/>
    <w:rsid w:val="00A551D6"/>
    <w:rsid w:val="00A63C7A"/>
    <w:rsid w:val="00A648AC"/>
    <w:rsid w:val="00A6657E"/>
    <w:rsid w:val="00A66FA5"/>
    <w:rsid w:val="00A728B4"/>
    <w:rsid w:val="00A73574"/>
    <w:rsid w:val="00A77890"/>
    <w:rsid w:val="00A80DFC"/>
    <w:rsid w:val="00A84333"/>
    <w:rsid w:val="00A8747F"/>
    <w:rsid w:val="00A87B4F"/>
    <w:rsid w:val="00A933BB"/>
    <w:rsid w:val="00A93DA3"/>
    <w:rsid w:val="00A957C0"/>
    <w:rsid w:val="00A97BFC"/>
    <w:rsid w:val="00AB152F"/>
    <w:rsid w:val="00AB447F"/>
    <w:rsid w:val="00AB560A"/>
    <w:rsid w:val="00AC1546"/>
    <w:rsid w:val="00AC19FC"/>
    <w:rsid w:val="00AC1D56"/>
    <w:rsid w:val="00AC1D9C"/>
    <w:rsid w:val="00AC2896"/>
    <w:rsid w:val="00AD1D5E"/>
    <w:rsid w:val="00AD2A58"/>
    <w:rsid w:val="00AD30EE"/>
    <w:rsid w:val="00AD36FB"/>
    <w:rsid w:val="00AD539C"/>
    <w:rsid w:val="00AD6CA7"/>
    <w:rsid w:val="00AD7FBC"/>
    <w:rsid w:val="00AE05B4"/>
    <w:rsid w:val="00AE198E"/>
    <w:rsid w:val="00AE67EA"/>
    <w:rsid w:val="00AE7853"/>
    <w:rsid w:val="00AF0481"/>
    <w:rsid w:val="00AF4749"/>
    <w:rsid w:val="00AF6916"/>
    <w:rsid w:val="00AF73F8"/>
    <w:rsid w:val="00B01536"/>
    <w:rsid w:val="00B03C23"/>
    <w:rsid w:val="00B113F9"/>
    <w:rsid w:val="00B14D6E"/>
    <w:rsid w:val="00B152F1"/>
    <w:rsid w:val="00B153E6"/>
    <w:rsid w:val="00B15798"/>
    <w:rsid w:val="00B15A24"/>
    <w:rsid w:val="00B178F8"/>
    <w:rsid w:val="00B215BA"/>
    <w:rsid w:val="00B21FEF"/>
    <w:rsid w:val="00B23332"/>
    <w:rsid w:val="00B23D46"/>
    <w:rsid w:val="00B2407D"/>
    <w:rsid w:val="00B2522A"/>
    <w:rsid w:val="00B25AF9"/>
    <w:rsid w:val="00B27DFF"/>
    <w:rsid w:val="00B34575"/>
    <w:rsid w:val="00B36075"/>
    <w:rsid w:val="00B42D42"/>
    <w:rsid w:val="00B472C3"/>
    <w:rsid w:val="00B51CB6"/>
    <w:rsid w:val="00B52E04"/>
    <w:rsid w:val="00B539A7"/>
    <w:rsid w:val="00B624A2"/>
    <w:rsid w:val="00B62AA6"/>
    <w:rsid w:val="00B65640"/>
    <w:rsid w:val="00B74CDC"/>
    <w:rsid w:val="00B76CCF"/>
    <w:rsid w:val="00B77D06"/>
    <w:rsid w:val="00B85ABF"/>
    <w:rsid w:val="00B878C4"/>
    <w:rsid w:val="00B91B03"/>
    <w:rsid w:val="00B92206"/>
    <w:rsid w:val="00B93630"/>
    <w:rsid w:val="00BA2CC7"/>
    <w:rsid w:val="00BA4430"/>
    <w:rsid w:val="00BA4455"/>
    <w:rsid w:val="00BA569D"/>
    <w:rsid w:val="00BA778A"/>
    <w:rsid w:val="00BB3012"/>
    <w:rsid w:val="00BB35A0"/>
    <w:rsid w:val="00BB5D78"/>
    <w:rsid w:val="00BB76B9"/>
    <w:rsid w:val="00BC054D"/>
    <w:rsid w:val="00BC0E07"/>
    <w:rsid w:val="00BC4818"/>
    <w:rsid w:val="00BC5D99"/>
    <w:rsid w:val="00BC6239"/>
    <w:rsid w:val="00BD24DC"/>
    <w:rsid w:val="00BD43B9"/>
    <w:rsid w:val="00BD6815"/>
    <w:rsid w:val="00BE597E"/>
    <w:rsid w:val="00BE7187"/>
    <w:rsid w:val="00BF5267"/>
    <w:rsid w:val="00BF6F9E"/>
    <w:rsid w:val="00C01399"/>
    <w:rsid w:val="00C02553"/>
    <w:rsid w:val="00C039E1"/>
    <w:rsid w:val="00C03AB2"/>
    <w:rsid w:val="00C04F73"/>
    <w:rsid w:val="00C13B6A"/>
    <w:rsid w:val="00C22BBA"/>
    <w:rsid w:val="00C27D27"/>
    <w:rsid w:val="00C318CB"/>
    <w:rsid w:val="00C36D33"/>
    <w:rsid w:val="00C37A5D"/>
    <w:rsid w:val="00C43604"/>
    <w:rsid w:val="00C455DD"/>
    <w:rsid w:val="00C45EED"/>
    <w:rsid w:val="00C4699A"/>
    <w:rsid w:val="00C5082E"/>
    <w:rsid w:val="00C53D43"/>
    <w:rsid w:val="00C56959"/>
    <w:rsid w:val="00C56F9A"/>
    <w:rsid w:val="00C6153A"/>
    <w:rsid w:val="00C6187C"/>
    <w:rsid w:val="00C6240B"/>
    <w:rsid w:val="00C63CEC"/>
    <w:rsid w:val="00C6485C"/>
    <w:rsid w:val="00C65ECD"/>
    <w:rsid w:val="00C6793B"/>
    <w:rsid w:val="00C67EF3"/>
    <w:rsid w:val="00C73D80"/>
    <w:rsid w:val="00C7611C"/>
    <w:rsid w:val="00C803F4"/>
    <w:rsid w:val="00C817ED"/>
    <w:rsid w:val="00C82563"/>
    <w:rsid w:val="00C84A6B"/>
    <w:rsid w:val="00C85D03"/>
    <w:rsid w:val="00C91162"/>
    <w:rsid w:val="00C933A1"/>
    <w:rsid w:val="00C95F68"/>
    <w:rsid w:val="00CA1DF0"/>
    <w:rsid w:val="00CA3CB7"/>
    <w:rsid w:val="00CA6367"/>
    <w:rsid w:val="00CB430A"/>
    <w:rsid w:val="00CB7199"/>
    <w:rsid w:val="00CB754D"/>
    <w:rsid w:val="00CC27D2"/>
    <w:rsid w:val="00CC2C5B"/>
    <w:rsid w:val="00CC744F"/>
    <w:rsid w:val="00CC7E17"/>
    <w:rsid w:val="00CD2638"/>
    <w:rsid w:val="00CD2BDA"/>
    <w:rsid w:val="00CD2E61"/>
    <w:rsid w:val="00CE5488"/>
    <w:rsid w:val="00CF5E35"/>
    <w:rsid w:val="00CF66C4"/>
    <w:rsid w:val="00D006D4"/>
    <w:rsid w:val="00D012A3"/>
    <w:rsid w:val="00D0400B"/>
    <w:rsid w:val="00D05E46"/>
    <w:rsid w:val="00D13AF5"/>
    <w:rsid w:val="00D14701"/>
    <w:rsid w:val="00D179B2"/>
    <w:rsid w:val="00D20E7B"/>
    <w:rsid w:val="00D20E85"/>
    <w:rsid w:val="00D22425"/>
    <w:rsid w:val="00D255B6"/>
    <w:rsid w:val="00D2695A"/>
    <w:rsid w:val="00D26C3C"/>
    <w:rsid w:val="00D3194A"/>
    <w:rsid w:val="00D31F19"/>
    <w:rsid w:val="00D3524D"/>
    <w:rsid w:val="00D40DEF"/>
    <w:rsid w:val="00D52FF5"/>
    <w:rsid w:val="00D55FE6"/>
    <w:rsid w:val="00D56223"/>
    <w:rsid w:val="00D6495D"/>
    <w:rsid w:val="00D65397"/>
    <w:rsid w:val="00D65562"/>
    <w:rsid w:val="00D706D0"/>
    <w:rsid w:val="00D74885"/>
    <w:rsid w:val="00D75D99"/>
    <w:rsid w:val="00D75E9F"/>
    <w:rsid w:val="00D80549"/>
    <w:rsid w:val="00D80797"/>
    <w:rsid w:val="00D82D37"/>
    <w:rsid w:val="00D839D7"/>
    <w:rsid w:val="00D87056"/>
    <w:rsid w:val="00D876E9"/>
    <w:rsid w:val="00D87857"/>
    <w:rsid w:val="00D9167D"/>
    <w:rsid w:val="00D91792"/>
    <w:rsid w:val="00D95C70"/>
    <w:rsid w:val="00D967D4"/>
    <w:rsid w:val="00DA34AD"/>
    <w:rsid w:val="00DA4684"/>
    <w:rsid w:val="00DA6031"/>
    <w:rsid w:val="00DB0C38"/>
    <w:rsid w:val="00DB297F"/>
    <w:rsid w:val="00DB6277"/>
    <w:rsid w:val="00DB6909"/>
    <w:rsid w:val="00DC02EF"/>
    <w:rsid w:val="00DC1093"/>
    <w:rsid w:val="00DC77CD"/>
    <w:rsid w:val="00DD4A95"/>
    <w:rsid w:val="00DD52DB"/>
    <w:rsid w:val="00DD5F8A"/>
    <w:rsid w:val="00DD698D"/>
    <w:rsid w:val="00DE259F"/>
    <w:rsid w:val="00DE2BBF"/>
    <w:rsid w:val="00DE2DC7"/>
    <w:rsid w:val="00DE57A0"/>
    <w:rsid w:val="00DE61F5"/>
    <w:rsid w:val="00DF42E7"/>
    <w:rsid w:val="00DF4D4D"/>
    <w:rsid w:val="00DF7F21"/>
    <w:rsid w:val="00E0097A"/>
    <w:rsid w:val="00E00A50"/>
    <w:rsid w:val="00E10297"/>
    <w:rsid w:val="00E10954"/>
    <w:rsid w:val="00E13EA5"/>
    <w:rsid w:val="00E156BA"/>
    <w:rsid w:val="00E17235"/>
    <w:rsid w:val="00E245BD"/>
    <w:rsid w:val="00E31B68"/>
    <w:rsid w:val="00E35F59"/>
    <w:rsid w:val="00E36817"/>
    <w:rsid w:val="00E4000E"/>
    <w:rsid w:val="00E4131D"/>
    <w:rsid w:val="00E47543"/>
    <w:rsid w:val="00E54E9A"/>
    <w:rsid w:val="00E62C30"/>
    <w:rsid w:val="00E75C50"/>
    <w:rsid w:val="00E76A9B"/>
    <w:rsid w:val="00E80AAA"/>
    <w:rsid w:val="00E84BA4"/>
    <w:rsid w:val="00E9033C"/>
    <w:rsid w:val="00E90EC2"/>
    <w:rsid w:val="00E91181"/>
    <w:rsid w:val="00E93832"/>
    <w:rsid w:val="00E96F5F"/>
    <w:rsid w:val="00EA0484"/>
    <w:rsid w:val="00EA3600"/>
    <w:rsid w:val="00EA77C3"/>
    <w:rsid w:val="00EB0AF4"/>
    <w:rsid w:val="00EB4970"/>
    <w:rsid w:val="00EB6DE0"/>
    <w:rsid w:val="00EB7E6C"/>
    <w:rsid w:val="00EC06D2"/>
    <w:rsid w:val="00EC3CD9"/>
    <w:rsid w:val="00EC569C"/>
    <w:rsid w:val="00EC7857"/>
    <w:rsid w:val="00ED219E"/>
    <w:rsid w:val="00ED3734"/>
    <w:rsid w:val="00ED4304"/>
    <w:rsid w:val="00ED4FF7"/>
    <w:rsid w:val="00ED71E7"/>
    <w:rsid w:val="00EE243C"/>
    <w:rsid w:val="00EE2CCE"/>
    <w:rsid w:val="00EE502C"/>
    <w:rsid w:val="00EE7457"/>
    <w:rsid w:val="00EE7A4A"/>
    <w:rsid w:val="00EF57CD"/>
    <w:rsid w:val="00EF6F43"/>
    <w:rsid w:val="00EF73BE"/>
    <w:rsid w:val="00F01323"/>
    <w:rsid w:val="00F013A8"/>
    <w:rsid w:val="00F037A3"/>
    <w:rsid w:val="00F0532C"/>
    <w:rsid w:val="00F05C69"/>
    <w:rsid w:val="00F06C74"/>
    <w:rsid w:val="00F14F51"/>
    <w:rsid w:val="00F21906"/>
    <w:rsid w:val="00F229C2"/>
    <w:rsid w:val="00F244F4"/>
    <w:rsid w:val="00F25683"/>
    <w:rsid w:val="00F25F2C"/>
    <w:rsid w:val="00F2662A"/>
    <w:rsid w:val="00F303F5"/>
    <w:rsid w:val="00F327EB"/>
    <w:rsid w:val="00F50178"/>
    <w:rsid w:val="00F55D36"/>
    <w:rsid w:val="00F57951"/>
    <w:rsid w:val="00F620DC"/>
    <w:rsid w:val="00F71E02"/>
    <w:rsid w:val="00F71EAD"/>
    <w:rsid w:val="00F731E7"/>
    <w:rsid w:val="00F775AB"/>
    <w:rsid w:val="00F8120B"/>
    <w:rsid w:val="00F81409"/>
    <w:rsid w:val="00F822BD"/>
    <w:rsid w:val="00F82898"/>
    <w:rsid w:val="00F83FF7"/>
    <w:rsid w:val="00F841F6"/>
    <w:rsid w:val="00F84EF8"/>
    <w:rsid w:val="00F87936"/>
    <w:rsid w:val="00F90430"/>
    <w:rsid w:val="00F94B18"/>
    <w:rsid w:val="00F95BD9"/>
    <w:rsid w:val="00F97092"/>
    <w:rsid w:val="00FA0974"/>
    <w:rsid w:val="00FA3776"/>
    <w:rsid w:val="00FA4043"/>
    <w:rsid w:val="00FC50DF"/>
    <w:rsid w:val="00FC5146"/>
    <w:rsid w:val="00FC713F"/>
    <w:rsid w:val="00FC7FDB"/>
    <w:rsid w:val="00FD2EF1"/>
    <w:rsid w:val="00FE010A"/>
    <w:rsid w:val="00FE17DC"/>
    <w:rsid w:val="00FF15E3"/>
    <w:rsid w:val="00FF1BD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92E873A-2F10-4942-B278-47E44747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1C7C"/>
    <w:pPr>
      <w:suppressAutoHyphens/>
    </w:pPr>
    <w:rPr>
      <w:sz w:val="24"/>
      <w:szCs w:val="24"/>
      <w:lang w:eastAsia="ar-SA"/>
    </w:rPr>
  </w:style>
  <w:style w:type="paragraph" w:styleId="Titolo1">
    <w:name w:val="heading 1"/>
    <w:basedOn w:val="Normale"/>
    <w:next w:val="Normale"/>
    <w:link w:val="Titolo1Carattere"/>
    <w:uiPriority w:val="9"/>
    <w:qFormat/>
    <w:rsid w:val="002E1C7C"/>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link w:val="Titolo2Carattere"/>
    <w:uiPriority w:val="9"/>
    <w:unhideWhenUsed/>
    <w:qFormat/>
    <w:rsid w:val="007772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2E1C7C"/>
  </w:style>
  <w:style w:type="character" w:customStyle="1" w:styleId="WW-Absatz-Standardschriftart">
    <w:name w:val="WW-Absatz-Standardschriftart"/>
    <w:rsid w:val="002E1C7C"/>
  </w:style>
  <w:style w:type="character" w:customStyle="1" w:styleId="WW-Absatz-Standardschriftart1">
    <w:name w:val="WW-Absatz-Standardschriftart1"/>
    <w:rsid w:val="002E1C7C"/>
  </w:style>
  <w:style w:type="character" w:customStyle="1" w:styleId="WW-Absatz-Standardschriftart11">
    <w:name w:val="WW-Absatz-Standardschriftart11"/>
    <w:rsid w:val="002E1C7C"/>
  </w:style>
  <w:style w:type="character" w:customStyle="1" w:styleId="WW-Absatz-Standardschriftart111">
    <w:name w:val="WW-Absatz-Standardschriftart111"/>
    <w:rsid w:val="002E1C7C"/>
  </w:style>
  <w:style w:type="character" w:customStyle="1" w:styleId="Carpredefinitoparagrafo1">
    <w:name w:val="Car. predefinito paragrafo1"/>
    <w:rsid w:val="002E1C7C"/>
  </w:style>
  <w:style w:type="paragraph" w:customStyle="1" w:styleId="Heading">
    <w:name w:val="Heading"/>
    <w:basedOn w:val="Normale"/>
    <w:next w:val="Corpotesto"/>
    <w:rsid w:val="002E1C7C"/>
    <w:pPr>
      <w:keepNext/>
      <w:spacing w:before="240" w:after="120"/>
    </w:pPr>
    <w:rPr>
      <w:rFonts w:ascii="Arial" w:eastAsia="MS Mincho" w:hAnsi="Arial" w:cs="Tahoma"/>
      <w:sz w:val="28"/>
      <w:szCs w:val="28"/>
    </w:rPr>
  </w:style>
  <w:style w:type="paragraph" w:styleId="Corpotesto">
    <w:name w:val="Body Text"/>
    <w:basedOn w:val="Normale"/>
    <w:rsid w:val="002E1C7C"/>
    <w:pPr>
      <w:spacing w:after="120"/>
    </w:pPr>
  </w:style>
  <w:style w:type="paragraph" w:styleId="Elenco">
    <w:name w:val="List"/>
    <w:basedOn w:val="Corpotesto"/>
    <w:rsid w:val="002E1C7C"/>
    <w:rPr>
      <w:rFonts w:cs="Tahoma"/>
    </w:rPr>
  </w:style>
  <w:style w:type="paragraph" w:customStyle="1" w:styleId="Didascalia1">
    <w:name w:val="Didascalia1"/>
    <w:basedOn w:val="Normale"/>
    <w:rsid w:val="002E1C7C"/>
    <w:pPr>
      <w:suppressLineNumbers/>
      <w:spacing w:before="120" w:after="120"/>
    </w:pPr>
    <w:rPr>
      <w:rFonts w:cs="Tahoma"/>
      <w:i/>
      <w:iCs/>
    </w:rPr>
  </w:style>
  <w:style w:type="paragraph" w:customStyle="1" w:styleId="Index">
    <w:name w:val="Index"/>
    <w:basedOn w:val="Normale"/>
    <w:rsid w:val="002E1C7C"/>
    <w:pPr>
      <w:suppressLineNumbers/>
    </w:pPr>
    <w:rPr>
      <w:rFonts w:cs="Tahoma"/>
    </w:rPr>
  </w:style>
  <w:style w:type="paragraph" w:styleId="Intestazione">
    <w:name w:val="header"/>
    <w:basedOn w:val="Normale"/>
    <w:link w:val="IntestazioneCarattere"/>
    <w:uiPriority w:val="99"/>
    <w:rsid w:val="002E1C7C"/>
    <w:pPr>
      <w:tabs>
        <w:tab w:val="center" w:pos="4819"/>
        <w:tab w:val="right" w:pos="9638"/>
      </w:tabs>
    </w:pPr>
  </w:style>
  <w:style w:type="character" w:customStyle="1" w:styleId="IntestazioneCarattere">
    <w:name w:val="Intestazione Carattere"/>
    <w:basedOn w:val="Carpredefinitoparagrafo"/>
    <w:link w:val="Intestazione"/>
    <w:uiPriority w:val="99"/>
    <w:rsid w:val="00C27D27"/>
    <w:rPr>
      <w:sz w:val="24"/>
      <w:szCs w:val="24"/>
      <w:lang w:eastAsia="ar-SA"/>
    </w:rPr>
  </w:style>
  <w:style w:type="paragraph" w:styleId="Pidipagina">
    <w:name w:val="footer"/>
    <w:basedOn w:val="Normale"/>
    <w:link w:val="PidipaginaCarattere"/>
    <w:uiPriority w:val="99"/>
    <w:rsid w:val="002E1C7C"/>
    <w:pPr>
      <w:tabs>
        <w:tab w:val="center" w:pos="4819"/>
        <w:tab w:val="right" w:pos="9638"/>
      </w:tabs>
    </w:pPr>
  </w:style>
  <w:style w:type="character" w:customStyle="1" w:styleId="PidipaginaCarattere">
    <w:name w:val="Piè di pagina Carattere"/>
    <w:link w:val="Pidipagina"/>
    <w:uiPriority w:val="99"/>
    <w:rsid w:val="009D4313"/>
    <w:rPr>
      <w:sz w:val="24"/>
      <w:szCs w:val="24"/>
      <w:lang w:eastAsia="ar-SA"/>
    </w:rPr>
  </w:style>
  <w:style w:type="paragraph" w:customStyle="1" w:styleId="Arial">
    <w:name w:val="Arial"/>
    <w:basedOn w:val="Normale"/>
    <w:rsid w:val="002E1C7C"/>
    <w:pPr>
      <w:autoSpaceDE w:val="0"/>
    </w:pPr>
    <w:rPr>
      <w:rFonts w:ascii="GillSans" w:hAnsi="GillSans" w:cs="GillSans"/>
      <w:sz w:val="12"/>
      <w:szCs w:val="12"/>
    </w:rPr>
  </w:style>
  <w:style w:type="paragraph" w:customStyle="1" w:styleId="TESTO">
    <w:name w:val="TESTO"/>
    <w:basedOn w:val="Normale"/>
    <w:rsid w:val="002E1C7C"/>
    <w:pPr>
      <w:spacing w:after="120" w:line="300" w:lineRule="auto"/>
    </w:pPr>
  </w:style>
  <w:style w:type="character" w:styleId="Collegamentoipertestuale">
    <w:name w:val="Hyperlink"/>
    <w:uiPriority w:val="99"/>
    <w:rsid w:val="006E6880"/>
    <w:rPr>
      <w:color w:val="0000FF"/>
      <w:u w:val="single"/>
    </w:rPr>
  </w:style>
  <w:style w:type="paragraph" w:styleId="Puntoelenco">
    <w:name w:val="List Bullet"/>
    <w:basedOn w:val="Normale"/>
    <w:uiPriority w:val="99"/>
    <w:unhideWhenUsed/>
    <w:rsid w:val="0097385A"/>
    <w:pPr>
      <w:numPr>
        <w:numId w:val="2"/>
      </w:numPr>
      <w:contextualSpacing/>
    </w:pPr>
  </w:style>
  <w:style w:type="table" w:styleId="Grigliatabella">
    <w:name w:val="Table Grid"/>
    <w:basedOn w:val="Tabellanormale"/>
    <w:uiPriority w:val="59"/>
    <w:rsid w:val="000B5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4F0D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7D27"/>
    <w:rPr>
      <w:rFonts w:ascii="Tahoma" w:hAnsi="Tahoma" w:cs="Tahoma"/>
      <w:sz w:val="16"/>
      <w:szCs w:val="16"/>
      <w:lang w:eastAsia="ar-SA"/>
    </w:rPr>
  </w:style>
  <w:style w:type="paragraph" w:styleId="Testodelblocco">
    <w:name w:val="Block Text"/>
    <w:basedOn w:val="Normale"/>
    <w:rsid w:val="00D75D99"/>
    <w:pPr>
      <w:suppressAutoHyphens w:val="0"/>
      <w:spacing w:before="120"/>
      <w:ind w:left="567" w:right="567"/>
    </w:pPr>
    <w:rPr>
      <w:lang w:eastAsia="it-IT"/>
    </w:rPr>
  </w:style>
  <w:style w:type="paragraph" w:customStyle="1" w:styleId="Paragrafoelenco1">
    <w:name w:val="Paragrafo elenco1"/>
    <w:basedOn w:val="Normale"/>
    <w:rsid w:val="00D75D99"/>
    <w:pPr>
      <w:suppressAutoHyphens w:val="0"/>
      <w:ind w:left="720"/>
    </w:pPr>
    <w:rPr>
      <w:rFonts w:ascii="Calibri" w:eastAsia="Calibri" w:hAnsi="Calibri"/>
      <w:sz w:val="22"/>
      <w:szCs w:val="22"/>
      <w:lang w:eastAsia="en-US"/>
    </w:rPr>
  </w:style>
  <w:style w:type="paragraph" w:styleId="Paragrafoelenco">
    <w:name w:val="List Paragraph"/>
    <w:basedOn w:val="Normale"/>
    <w:uiPriority w:val="72"/>
    <w:qFormat/>
    <w:rsid w:val="008C7C74"/>
    <w:pPr>
      <w:ind w:left="708"/>
    </w:pPr>
  </w:style>
  <w:style w:type="character" w:customStyle="1" w:styleId="longtext">
    <w:name w:val="long_text"/>
    <w:basedOn w:val="Carpredefinitoparagrafo"/>
    <w:rsid w:val="008F2954"/>
  </w:style>
  <w:style w:type="character" w:customStyle="1" w:styleId="hps">
    <w:name w:val="hps"/>
    <w:basedOn w:val="Carpredefinitoparagrafo"/>
    <w:rsid w:val="008F2954"/>
  </w:style>
  <w:style w:type="character" w:styleId="Enfasicorsivo">
    <w:name w:val="Emphasis"/>
    <w:uiPriority w:val="20"/>
    <w:qFormat/>
    <w:rsid w:val="00AC1D56"/>
    <w:rPr>
      <w:i/>
      <w:iCs/>
    </w:rPr>
  </w:style>
  <w:style w:type="character" w:customStyle="1" w:styleId="apple-tab-span">
    <w:name w:val="apple-tab-span"/>
    <w:basedOn w:val="Carpredefinitoparagrafo"/>
    <w:rsid w:val="000A2002"/>
  </w:style>
  <w:style w:type="table" w:customStyle="1" w:styleId="Compitisettimanali">
    <w:name w:val="Compiti settimanali"/>
    <w:basedOn w:val="Tabellanormale"/>
    <w:uiPriority w:val="99"/>
    <w:rsid w:val="00BE597E"/>
    <w:pPr>
      <w:spacing w:before="40" w:after="40"/>
    </w:pPr>
    <w:rPr>
      <w:rFonts w:ascii="Century Gothic" w:eastAsia="Century Gothic" w:hAnsi="Century Gothic"/>
      <w:color w:val="595959"/>
      <w:sz w:val="17"/>
    </w:rPr>
    <w:tblPr>
      <w:tblStyleColBandSize w:val="1"/>
      <w:tblBorders>
        <w:left w:val="single" w:sz="4" w:space="0" w:color="A6A6A6"/>
        <w:bottom w:val="single" w:sz="4" w:space="0" w:color="A6A6A6"/>
        <w:right w:val="single" w:sz="4" w:space="0" w:color="A6A6A6"/>
        <w:insideH w:val="single" w:sz="2" w:space="0" w:color="D9D9D9"/>
        <w:insideV w:val="single" w:sz="4" w:space="0" w:color="A6A6A6"/>
      </w:tblBorders>
    </w:tblPr>
    <w:tblStylePr w:type="firstRow">
      <w:pPr>
        <w:wordWrap/>
        <w:spacing w:beforeLines="0" w:beforeAutospacing="0" w:afterLines="0" w:afterAutospacing="0"/>
      </w:pPr>
      <w:rPr>
        <w:rFonts w:ascii="MingLiU-ExtB" w:hAnsi="MingLiU-ExtB"/>
        <w:b/>
        <w:caps/>
        <w:smallCaps w:val="0"/>
        <w:color w:val="FFFFFF"/>
        <w:sz w:val="18"/>
      </w:rPr>
      <w:tblPr/>
      <w:tcPr>
        <w:tcBorders>
          <w:top w:val="nil"/>
          <w:left w:val="single" w:sz="4" w:space="0" w:color="1FB1E6"/>
          <w:bottom w:val="nil"/>
          <w:right w:val="single" w:sz="4" w:space="0" w:color="1FB1E6"/>
          <w:insideH w:val="nil"/>
          <w:insideV w:val="nil"/>
          <w:tl2br w:val="nil"/>
          <w:tr2bl w:val="nil"/>
        </w:tcBorders>
        <w:shd w:val="clear" w:color="auto" w:fill="1FB1E6"/>
      </w:tcPr>
    </w:tblStylePr>
    <w:tblStylePr w:type="band2Vert">
      <w:tblPr/>
      <w:tcPr>
        <w:tcBorders>
          <w:top w:val="single" w:sz="2" w:space="0" w:color="D9D9D9"/>
          <w:left w:val="single" w:sz="2" w:space="0" w:color="D9D9D9"/>
          <w:bottom w:val="single" w:sz="4" w:space="0" w:color="A6A6A6"/>
          <w:right w:val="single" w:sz="2" w:space="0" w:color="D9D9D9"/>
          <w:insideH w:val="single" w:sz="2" w:space="0" w:color="D9D9D9"/>
          <w:insideV w:val="nil"/>
          <w:tl2br w:val="nil"/>
          <w:tr2bl w:val="nil"/>
        </w:tcBorders>
        <w:shd w:val="clear" w:color="auto" w:fill="F2F2F2"/>
      </w:tcPr>
    </w:tblStylePr>
  </w:style>
  <w:style w:type="paragraph" w:customStyle="1" w:styleId="Spaziotabelle">
    <w:name w:val="Spazio tabelle"/>
    <w:basedOn w:val="Normale"/>
    <w:uiPriority w:val="10"/>
    <w:qFormat/>
    <w:rsid w:val="00BE597E"/>
    <w:pPr>
      <w:suppressAutoHyphens w:val="0"/>
      <w:spacing w:line="72" w:lineRule="exact"/>
    </w:pPr>
    <w:rPr>
      <w:rFonts w:ascii="Century Gothic" w:eastAsia="Century Gothic" w:hAnsi="Century Gothic"/>
      <w:color w:val="595959"/>
      <w:sz w:val="17"/>
      <w:szCs w:val="20"/>
      <w:lang w:eastAsia="it-IT"/>
    </w:rPr>
  </w:style>
  <w:style w:type="character" w:customStyle="1" w:styleId="apple-converted-space">
    <w:name w:val="apple-converted-space"/>
    <w:rsid w:val="00AC19FC"/>
  </w:style>
  <w:style w:type="character" w:styleId="Enfasigrassetto">
    <w:name w:val="Strong"/>
    <w:uiPriority w:val="22"/>
    <w:qFormat/>
    <w:rsid w:val="00AC19FC"/>
    <w:rPr>
      <w:b/>
      <w:bCs/>
    </w:rPr>
  </w:style>
  <w:style w:type="character" w:styleId="Collegamentovisitato">
    <w:name w:val="FollowedHyperlink"/>
    <w:basedOn w:val="Carpredefinitoparagrafo"/>
    <w:uiPriority w:val="99"/>
    <w:semiHidden/>
    <w:unhideWhenUsed/>
    <w:rsid w:val="00B215BA"/>
    <w:rPr>
      <w:color w:val="954F72" w:themeColor="followedHyperlink"/>
      <w:u w:val="single"/>
    </w:rPr>
  </w:style>
  <w:style w:type="paragraph" w:styleId="Testonotaapidipagina">
    <w:name w:val="footnote text"/>
    <w:basedOn w:val="Normale"/>
    <w:link w:val="TestonotaapidipaginaCarattere"/>
    <w:uiPriority w:val="99"/>
    <w:semiHidden/>
    <w:unhideWhenUsed/>
    <w:rsid w:val="00C43604"/>
    <w:pPr>
      <w:suppressAutoHyphens w:val="0"/>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C43604"/>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C43604"/>
    <w:rPr>
      <w:vertAlign w:val="superscript"/>
    </w:rPr>
  </w:style>
  <w:style w:type="table" w:styleId="Sfondochiaro-Colore3">
    <w:name w:val="Light Shading Accent 3"/>
    <w:basedOn w:val="Tabellanormale"/>
    <w:uiPriority w:val="60"/>
    <w:rsid w:val="00C43604"/>
    <w:rPr>
      <w:rFonts w:asciiTheme="minorHAnsi" w:eastAsiaTheme="minorHAnsi" w:hAnsiTheme="minorHAnsi" w:cstheme="minorBidi"/>
      <w:color w:val="7B7B7B" w:themeColor="accent3" w:themeShade="BF"/>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Revisione">
    <w:name w:val="Revision"/>
    <w:hidden/>
    <w:uiPriority w:val="99"/>
    <w:semiHidden/>
    <w:rsid w:val="00F05C69"/>
    <w:rPr>
      <w:sz w:val="24"/>
      <w:szCs w:val="24"/>
      <w:lang w:eastAsia="ar-SA"/>
    </w:rPr>
  </w:style>
  <w:style w:type="character" w:customStyle="1" w:styleId="Titolo2Carattere">
    <w:name w:val="Titolo 2 Carattere"/>
    <w:basedOn w:val="Carpredefinitoparagrafo"/>
    <w:link w:val="Titolo2"/>
    <w:uiPriority w:val="9"/>
    <w:rsid w:val="00777274"/>
    <w:rPr>
      <w:rFonts w:asciiTheme="majorHAnsi" w:eastAsiaTheme="majorEastAsia" w:hAnsiTheme="majorHAnsi" w:cstheme="majorBidi"/>
      <w:color w:val="2E74B5" w:themeColor="accent1" w:themeShade="BF"/>
      <w:sz w:val="26"/>
      <w:szCs w:val="26"/>
      <w:lang w:eastAsia="ar-SA"/>
    </w:rPr>
  </w:style>
  <w:style w:type="paragraph" w:customStyle="1" w:styleId="Default">
    <w:name w:val="Default"/>
    <w:rsid w:val="00D706D0"/>
    <w:pPr>
      <w:autoSpaceDE w:val="0"/>
      <w:autoSpaceDN w:val="0"/>
      <w:adjustRightInd w:val="0"/>
    </w:pPr>
    <w:rPr>
      <w:rFonts w:ascii="Calibri" w:eastAsia="Cambria" w:hAnsi="Calibri" w:cs="Calibri"/>
      <w:color w:val="000000"/>
      <w:sz w:val="24"/>
      <w:szCs w:val="24"/>
    </w:rPr>
  </w:style>
  <w:style w:type="paragraph" w:customStyle="1" w:styleId="ox-4944c9ccaa-msonormal">
    <w:name w:val="ox-4944c9ccaa-msonormal"/>
    <w:basedOn w:val="Normale"/>
    <w:rsid w:val="00D706D0"/>
    <w:pPr>
      <w:suppressAutoHyphens w:val="0"/>
      <w:spacing w:before="100" w:beforeAutospacing="1" w:after="100" w:afterAutospacing="1"/>
    </w:pPr>
    <w:rPr>
      <w:lang w:eastAsia="it-IT"/>
    </w:rPr>
  </w:style>
  <w:style w:type="character" w:customStyle="1" w:styleId="Titolo1Carattere">
    <w:name w:val="Titolo 1 Carattere"/>
    <w:basedOn w:val="Carpredefinitoparagrafo"/>
    <w:link w:val="Titolo1"/>
    <w:uiPriority w:val="9"/>
    <w:rsid w:val="00D706D0"/>
    <w:rPr>
      <w:rFonts w:ascii="Arial" w:hAnsi="Arial" w:cs="Arial"/>
      <w:b/>
      <w:bCs/>
      <w:kern w:val="1"/>
      <w:sz w:val="32"/>
      <w:szCs w:val="32"/>
      <w:lang w:eastAsia="ar-SA"/>
    </w:rPr>
  </w:style>
  <w:style w:type="paragraph" w:styleId="Sottotitolo">
    <w:name w:val="Subtitle"/>
    <w:basedOn w:val="Normale"/>
    <w:next w:val="Normale"/>
    <w:link w:val="SottotitoloCarattere"/>
    <w:uiPriority w:val="11"/>
    <w:qFormat/>
    <w:rsid w:val="00D706D0"/>
    <w:pPr>
      <w:numPr>
        <w:ilvl w:val="1"/>
      </w:numPr>
      <w:suppressAutoHyphens w:val="0"/>
    </w:pPr>
    <w:rPr>
      <w:rFonts w:asciiTheme="majorHAnsi" w:eastAsiaTheme="majorEastAsia" w:hAnsiTheme="majorHAnsi" w:cstheme="majorBidi"/>
      <w:i/>
      <w:iCs/>
      <w:color w:val="5B9BD5" w:themeColor="accent1"/>
      <w:spacing w:val="15"/>
      <w:lang w:eastAsia="it-IT"/>
    </w:rPr>
  </w:style>
  <w:style w:type="character" w:customStyle="1" w:styleId="SottotitoloCarattere">
    <w:name w:val="Sottotitolo Carattere"/>
    <w:basedOn w:val="Carpredefinitoparagrafo"/>
    <w:link w:val="Sottotitolo"/>
    <w:uiPriority w:val="11"/>
    <w:rsid w:val="00D706D0"/>
    <w:rPr>
      <w:rFonts w:asciiTheme="majorHAnsi" w:eastAsiaTheme="majorEastAsia" w:hAnsiTheme="majorHAnsi" w:cstheme="majorBidi"/>
      <w:i/>
      <w:iCs/>
      <w:color w:val="5B9BD5" w:themeColor="accent1"/>
      <w:spacing w:val="15"/>
      <w:sz w:val="24"/>
      <w:szCs w:val="24"/>
    </w:rPr>
  </w:style>
  <w:style w:type="paragraph" w:styleId="Sommario1">
    <w:name w:val="toc 1"/>
    <w:basedOn w:val="Normale"/>
    <w:next w:val="Normale"/>
    <w:autoRedefine/>
    <w:uiPriority w:val="39"/>
    <w:unhideWhenUsed/>
    <w:rsid w:val="00D706D0"/>
    <w:pPr>
      <w:suppressAutoHyphens w:val="0"/>
      <w:spacing w:after="100"/>
    </w:pPr>
    <w:rPr>
      <w:lang w:eastAsia="it-IT"/>
    </w:rPr>
  </w:style>
  <w:style w:type="paragraph" w:styleId="Sommario8">
    <w:name w:val="toc 8"/>
    <w:basedOn w:val="Normale"/>
    <w:next w:val="Normale"/>
    <w:autoRedefine/>
    <w:uiPriority w:val="39"/>
    <w:unhideWhenUsed/>
    <w:rsid w:val="00D706D0"/>
    <w:pPr>
      <w:suppressAutoHyphens w:val="0"/>
      <w:spacing w:after="100"/>
      <w:ind w:left="1680"/>
    </w:pPr>
    <w:rPr>
      <w:lang w:eastAsia="it-IT"/>
    </w:rPr>
  </w:style>
  <w:style w:type="paragraph" w:styleId="Titolo">
    <w:name w:val="Title"/>
    <w:basedOn w:val="Normale"/>
    <w:next w:val="Normale"/>
    <w:link w:val="TitoloCarattere"/>
    <w:uiPriority w:val="10"/>
    <w:qFormat/>
    <w:rsid w:val="00D706D0"/>
    <w:pPr>
      <w:pBdr>
        <w:bottom w:val="single" w:sz="8" w:space="4" w:color="5B9BD5" w:themeColor="accent1"/>
      </w:pBdr>
      <w:suppressAutoHyphens w:val="0"/>
      <w:spacing w:after="300"/>
      <w:contextualSpacing/>
    </w:pPr>
    <w:rPr>
      <w:rFonts w:asciiTheme="majorHAnsi" w:eastAsiaTheme="majorEastAsia" w:hAnsiTheme="majorHAnsi" w:cstheme="majorBidi"/>
      <w:color w:val="323E4F" w:themeColor="text2" w:themeShade="BF"/>
      <w:spacing w:val="5"/>
      <w:kern w:val="28"/>
      <w:sz w:val="52"/>
      <w:szCs w:val="52"/>
      <w:lang w:eastAsia="it-IT"/>
    </w:rPr>
  </w:style>
  <w:style w:type="character" w:customStyle="1" w:styleId="TitoloCarattere">
    <w:name w:val="Titolo Carattere"/>
    <w:basedOn w:val="Carpredefinitoparagrafo"/>
    <w:link w:val="Titolo"/>
    <w:uiPriority w:val="10"/>
    <w:rsid w:val="00D706D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489">
      <w:bodyDiv w:val="1"/>
      <w:marLeft w:val="0"/>
      <w:marRight w:val="0"/>
      <w:marTop w:val="0"/>
      <w:marBottom w:val="0"/>
      <w:divBdr>
        <w:top w:val="none" w:sz="0" w:space="0" w:color="auto"/>
        <w:left w:val="none" w:sz="0" w:space="0" w:color="auto"/>
        <w:bottom w:val="none" w:sz="0" w:space="0" w:color="auto"/>
        <w:right w:val="none" w:sz="0" w:space="0" w:color="auto"/>
      </w:divBdr>
    </w:div>
    <w:div w:id="182211016">
      <w:bodyDiv w:val="1"/>
      <w:marLeft w:val="0"/>
      <w:marRight w:val="0"/>
      <w:marTop w:val="0"/>
      <w:marBottom w:val="0"/>
      <w:divBdr>
        <w:top w:val="none" w:sz="0" w:space="0" w:color="auto"/>
        <w:left w:val="none" w:sz="0" w:space="0" w:color="auto"/>
        <w:bottom w:val="none" w:sz="0" w:space="0" w:color="auto"/>
        <w:right w:val="none" w:sz="0" w:space="0" w:color="auto"/>
      </w:divBdr>
    </w:div>
    <w:div w:id="243031687">
      <w:bodyDiv w:val="1"/>
      <w:marLeft w:val="0"/>
      <w:marRight w:val="0"/>
      <w:marTop w:val="0"/>
      <w:marBottom w:val="0"/>
      <w:divBdr>
        <w:top w:val="none" w:sz="0" w:space="0" w:color="auto"/>
        <w:left w:val="none" w:sz="0" w:space="0" w:color="auto"/>
        <w:bottom w:val="none" w:sz="0" w:space="0" w:color="auto"/>
        <w:right w:val="none" w:sz="0" w:space="0" w:color="auto"/>
      </w:divBdr>
    </w:div>
    <w:div w:id="309330965">
      <w:bodyDiv w:val="1"/>
      <w:marLeft w:val="0"/>
      <w:marRight w:val="0"/>
      <w:marTop w:val="0"/>
      <w:marBottom w:val="0"/>
      <w:divBdr>
        <w:top w:val="none" w:sz="0" w:space="0" w:color="auto"/>
        <w:left w:val="none" w:sz="0" w:space="0" w:color="auto"/>
        <w:bottom w:val="none" w:sz="0" w:space="0" w:color="auto"/>
        <w:right w:val="none" w:sz="0" w:space="0" w:color="auto"/>
      </w:divBdr>
    </w:div>
    <w:div w:id="340812697">
      <w:bodyDiv w:val="1"/>
      <w:marLeft w:val="0"/>
      <w:marRight w:val="0"/>
      <w:marTop w:val="0"/>
      <w:marBottom w:val="0"/>
      <w:divBdr>
        <w:top w:val="none" w:sz="0" w:space="0" w:color="auto"/>
        <w:left w:val="none" w:sz="0" w:space="0" w:color="auto"/>
        <w:bottom w:val="none" w:sz="0" w:space="0" w:color="auto"/>
        <w:right w:val="none" w:sz="0" w:space="0" w:color="auto"/>
      </w:divBdr>
    </w:div>
    <w:div w:id="444426244">
      <w:bodyDiv w:val="1"/>
      <w:marLeft w:val="0"/>
      <w:marRight w:val="0"/>
      <w:marTop w:val="0"/>
      <w:marBottom w:val="0"/>
      <w:divBdr>
        <w:top w:val="none" w:sz="0" w:space="0" w:color="auto"/>
        <w:left w:val="none" w:sz="0" w:space="0" w:color="auto"/>
        <w:bottom w:val="none" w:sz="0" w:space="0" w:color="auto"/>
        <w:right w:val="none" w:sz="0" w:space="0" w:color="auto"/>
      </w:divBdr>
    </w:div>
    <w:div w:id="468984221">
      <w:bodyDiv w:val="1"/>
      <w:marLeft w:val="0"/>
      <w:marRight w:val="0"/>
      <w:marTop w:val="0"/>
      <w:marBottom w:val="0"/>
      <w:divBdr>
        <w:top w:val="none" w:sz="0" w:space="0" w:color="auto"/>
        <w:left w:val="none" w:sz="0" w:space="0" w:color="auto"/>
        <w:bottom w:val="none" w:sz="0" w:space="0" w:color="auto"/>
        <w:right w:val="none" w:sz="0" w:space="0" w:color="auto"/>
      </w:divBdr>
    </w:div>
    <w:div w:id="535124597">
      <w:bodyDiv w:val="1"/>
      <w:marLeft w:val="0"/>
      <w:marRight w:val="0"/>
      <w:marTop w:val="0"/>
      <w:marBottom w:val="0"/>
      <w:divBdr>
        <w:top w:val="none" w:sz="0" w:space="0" w:color="auto"/>
        <w:left w:val="none" w:sz="0" w:space="0" w:color="auto"/>
        <w:bottom w:val="none" w:sz="0" w:space="0" w:color="auto"/>
        <w:right w:val="none" w:sz="0" w:space="0" w:color="auto"/>
      </w:divBdr>
      <w:divsChild>
        <w:div w:id="1851213526">
          <w:marLeft w:val="0"/>
          <w:marRight w:val="0"/>
          <w:marTop w:val="0"/>
          <w:marBottom w:val="0"/>
          <w:divBdr>
            <w:top w:val="none" w:sz="0" w:space="0" w:color="auto"/>
            <w:left w:val="none" w:sz="0" w:space="0" w:color="auto"/>
            <w:bottom w:val="none" w:sz="0" w:space="0" w:color="auto"/>
            <w:right w:val="none" w:sz="0" w:space="0" w:color="auto"/>
          </w:divBdr>
          <w:divsChild>
            <w:div w:id="1729449278">
              <w:marLeft w:val="0"/>
              <w:marRight w:val="0"/>
              <w:marTop w:val="0"/>
              <w:marBottom w:val="0"/>
              <w:divBdr>
                <w:top w:val="none" w:sz="0" w:space="0" w:color="auto"/>
                <w:left w:val="none" w:sz="0" w:space="0" w:color="auto"/>
                <w:bottom w:val="none" w:sz="0" w:space="0" w:color="auto"/>
                <w:right w:val="none" w:sz="0" w:space="0" w:color="auto"/>
              </w:divBdr>
              <w:divsChild>
                <w:div w:id="996496573">
                  <w:marLeft w:val="0"/>
                  <w:marRight w:val="0"/>
                  <w:marTop w:val="0"/>
                  <w:marBottom w:val="0"/>
                  <w:divBdr>
                    <w:top w:val="none" w:sz="0" w:space="0" w:color="auto"/>
                    <w:left w:val="none" w:sz="0" w:space="0" w:color="auto"/>
                    <w:bottom w:val="none" w:sz="0" w:space="0" w:color="auto"/>
                    <w:right w:val="none" w:sz="0" w:space="0" w:color="auto"/>
                  </w:divBdr>
                  <w:divsChild>
                    <w:div w:id="1044908875">
                      <w:marLeft w:val="0"/>
                      <w:marRight w:val="0"/>
                      <w:marTop w:val="0"/>
                      <w:marBottom w:val="0"/>
                      <w:divBdr>
                        <w:top w:val="none" w:sz="0" w:space="0" w:color="auto"/>
                        <w:left w:val="none" w:sz="0" w:space="0" w:color="auto"/>
                        <w:bottom w:val="none" w:sz="0" w:space="0" w:color="auto"/>
                        <w:right w:val="none" w:sz="0" w:space="0" w:color="auto"/>
                      </w:divBdr>
                      <w:divsChild>
                        <w:div w:id="739671644">
                          <w:marLeft w:val="0"/>
                          <w:marRight w:val="0"/>
                          <w:marTop w:val="0"/>
                          <w:marBottom w:val="0"/>
                          <w:divBdr>
                            <w:top w:val="none" w:sz="0" w:space="0" w:color="auto"/>
                            <w:left w:val="none" w:sz="0" w:space="0" w:color="auto"/>
                            <w:bottom w:val="none" w:sz="0" w:space="0" w:color="auto"/>
                            <w:right w:val="none" w:sz="0" w:space="0" w:color="auto"/>
                          </w:divBdr>
                          <w:divsChild>
                            <w:div w:id="71316882">
                              <w:marLeft w:val="0"/>
                              <w:marRight w:val="0"/>
                              <w:marTop w:val="0"/>
                              <w:marBottom w:val="0"/>
                              <w:divBdr>
                                <w:top w:val="none" w:sz="0" w:space="0" w:color="auto"/>
                                <w:left w:val="none" w:sz="0" w:space="0" w:color="auto"/>
                                <w:bottom w:val="none" w:sz="0" w:space="0" w:color="auto"/>
                                <w:right w:val="none" w:sz="0" w:space="0" w:color="auto"/>
                              </w:divBdr>
                              <w:divsChild>
                                <w:div w:id="1734427136">
                                  <w:marLeft w:val="0"/>
                                  <w:marRight w:val="0"/>
                                  <w:marTop w:val="0"/>
                                  <w:marBottom w:val="0"/>
                                  <w:divBdr>
                                    <w:top w:val="none" w:sz="0" w:space="0" w:color="auto"/>
                                    <w:left w:val="none" w:sz="0" w:space="0" w:color="auto"/>
                                    <w:bottom w:val="none" w:sz="0" w:space="0" w:color="auto"/>
                                    <w:right w:val="none" w:sz="0" w:space="0" w:color="auto"/>
                                  </w:divBdr>
                                  <w:divsChild>
                                    <w:div w:id="33620174">
                                      <w:marLeft w:val="0"/>
                                      <w:marRight w:val="0"/>
                                      <w:marTop w:val="0"/>
                                      <w:marBottom w:val="0"/>
                                      <w:divBdr>
                                        <w:top w:val="single" w:sz="6" w:space="0" w:color="F5F5F5"/>
                                        <w:left w:val="single" w:sz="6" w:space="0" w:color="F5F5F5"/>
                                        <w:bottom w:val="single" w:sz="6" w:space="0" w:color="F5F5F5"/>
                                        <w:right w:val="single" w:sz="6" w:space="0" w:color="F5F5F5"/>
                                      </w:divBdr>
                                      <w:divsChild>
                                        <w:div w:id="381683125">
                                          <w:marLeft w:val="0"/>
                                          <w:marRight w:val="0"/>
                                          <w:marTop w:val="0"/>
                                          <w:marBottom w:val="0"/>
                                          <w:divBdr>
                                            <w:top w:val="none" w:sz="0" w:space="0" w:color="auto"/>
                                            <w:left w:val="none" w:sz="0" w:space="0" w:color="auto"/>
                                            <w:bottom w:val="none" w:sz="0" w:space="0" w:color="auto"/>
                                            <w:right w:val="none" w:sz="0" w:space="0" w:color="auto"/>
                                          </w:divBdr>
                                          <w:divsChild>
                                            <w:div w:id="15232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076604">
      <w:bodyDiv w:val="1"/>
      <w:marLeft w:val="0"/>
      <w:marRight w:val="0"/>
      <w:marTop w:val="0"/>
      <w:marBottom w:val="0"/>
      <w:divBdr>
        <w:top w:val="none" w:sz="0" w:space="0" w:color="auto"/>
        <w:left w:val="none" w:sz="0" w:space="0" w:color="auto"/>
        <w:bottom w:val="none" w:sz="0" w:space="0" w:color="auto"/>
        <w:right w:val="none" w:sz="0" w:space="0" w:color="auto"/>
      </w:divBdr>
    </w:div>
    <w:div w:id="630672644">
      <w:bodyDiv w:val="1"/>
      <w:marLeft w:val="0"/>
      <w:marRight w:val="0"/>
      <w:marTop w:val="0"/>
      <w:marBottom w:val="0"/>
      <w:divBdr>
        <w:top w:val="none" w:sz="0" w:space="0" w:color="auto"/>
        <w:left w:val="none" w:sz="0" w:space="0" w:color="auto"/>
        <w:bottom w:val="none" w:sz="0" w:space="0" w:color="auto"/>
        <w:right w:val="none" w:sz="0" w:space="0" w:color="auto"/>
      </w:divBdr>
    </w:div>
    <w:div w:id="665478176">
      <w:bodyDiv w:val="1"/>
      <w:marLeft w:val="0"/>
      <w:marRight w:val="0"/>
      <w:marTop w:val="0"/>
      <w:marBottom w:val="0"/>
      <w:divBdr>
        <w:top w:val="none" w:sz="0" w:space="0" w:color="auto"/>
        <w:left w:val="none" w:sz="0" w:space="0" w:color="auto"/>
        <w:bottom w:val="none" w:sz="0" w:space="0" w:color="auto"/>
        <w:right w:val="none" w:sz="0" w:space="0" w:color="auto"/>
      </w:divBdr>
      <w:divsChild>
        <w:div w:id="1977685652">
          <w:marLeft w:val="0"/>
          <w:marRight w:val="0"/>
          <w:marTop w:val="0"/>
          <w:marBottom w:val="0"/>
          <w:divBdr>
            <w:top w:val="none" w:sz="0" w:space="0" w:color="auto"/>
            <w:left w:val="none" w:sz="0" w:space="0" w:color="auto"/>
            <w:bottom w:val="none" w:sz="0" w:space="0" w:color="auto"/>
            <w:right w:val="none" w:sz="0" w:space="0" w:color="auto"/>
          </w:divBdr>
          <w:divsChild>
            <w:div w:id="14301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652">
      <w:bodyDiv w:val="1"/>
      <w:marLeft w:val="0"/>
      <w:marRight w:val="0"/>
      <w:marTop w:val="0"/>
      <w:marBottom w:val="0"/>
      <w:divBdr>
        <w:top w:val="none" w:sz="0" w:space="0" w:color="auto"/>
        <w:left w:val="none" w:sz="0" w:space="0" w:color="auto"/>
        <w:bottom w:val="none" w:sz="0" w:space="0" w:color="auto"/>
        <w:right w:val="none" w:sz="0" w:space="0" w:color="auto"/>
      </w:divBdr>
    </w:div>
    <w:div w:id="827285662">
      <w:bodyDiv w:val="1"/>
      <w:marLeft w:val="0"/>
      <w:marRight w:val="0"/>
      <w:marTop w:val="0"/>
      <w:marBottom w:val="0"/>
      <w:divBdr>
        <w:top w:val="none" w:sz="0" w:space="0" w:color="auto"/>
        <w:left w:val="none" w:sz="0" w:space="0" w:color="auto"/>
        <w:bottom w:val="none" w:sz="0" w:space="0" w:color="auto"/>
        <w:right w:val="none" w:sz="0" w:space="0" w:color="auto"/>
      </w:divBdr>
      <w:divsChild>
        <w:div w:id="421419012">
          <w:marLeft w:val="0"/>
          <w:marRight w:val="0"/>
          <w:marTop w:val="0"/>
          <w:marBottom w:val="0"/>
          <w:divBdr>
            <w:top w:val="none" w:sz="0" w:space="0" w:color="auto"/>
            <w:left w:val="none" w:sz="0" w:space="0" w:color="auto"/>
            <w:bottom w:val="none" w:sz="0" w:space="0" w:color="auto"/>
            <w:right w:val="none" w:sz="0" w:space="0" w:color="auto"/>
          </w:divBdr>
          <w:divsChild>
            <w:div w:id="69232684">
              <w:marLeft w:val="0"/>
              <w:marRight w:val="0"/>
              <w:marTop w:val="0"/>
              <w:marBottom w:val="0"/>
              <w:divBdr>
                <w:top w:val="none" w:sz="0" w:space="0" w:color="auto"/>
                <w:left w:val="none" w:sz="0" w:space="0" w:color="auto"/>
                <w:bottom w:val="none" w:sz="0" w:space="0" w:color="auto"/>
                <w:right w:val="none" w:sz="0" w:space="0" w:color="auto"/>
              </w:divBdr>
              <w:divsChild>
                <w:div w:id="1816487596">
                  <w:marLeft w:val="0"/>
                  <w:marRight w:val="0"/>
                  <w:marTop w:val="0"/>
                  <w:marBottom w:val="0"/>
                  <w:divBdr>
                    <w:top w:val="none" w:sz="0" w:space="0" w:color="auto"/>
                    <w:left w:val="none" w:sz="0" w:space="0" w:color="auto"/>
                    <w:bottom w:val="none" w:sz="0" w:space="0" w:color="auto"/>
                    <w:right w:val="none" w:sz="0" w:space="0" w:color="auto"/>
                  </w:divBdr>
                  <w:divsChild>
                    <w:div w:id="1793861284">
                      <w:marLeft w:val="0"/>
                      <w:marRight w:val="0"/>
                      <w:marTop w:val="0"/>
                      <w:marBottom w:val="0"/>
                      <w:divBdr>
                        <w:top w:val="none" w:sz="0" w:space="0" w:color="auto"/>
                        <w:left w:val="none" w:sz="0" w:space="0" w:color="auto"/>
                        <w:bottom w:val="none" w:sz="0" w:space="0" w:color="auto"/>
                        <w:right w:val="none" w:sz="0" w:space="0" w:color="auto"/>
                      </w:divBdr>
                      <w:divsChild>
                        <w:div w:id="1632780655">
                          <w:marLeft w:val="0"/>
                          <w:marRight w:val="0"/>
                          <w:marTop w:val="0"/>
                          <w:marBottom w:val="0"/>
                          <w:divBdr>
                            <w:top w:val="none" w:sz="0" w:space="0" w:color="auto"/>
                            <w:left w:val="none" w:sz="0" w:space="0" w:color="auto"/>
                            <w:bottom w:val="none" w:sz="0" w:space="0" w:color="auto"/>
                            <w:right w:val="none" w:sz="0" w:space="0" w:color="auto"/>
                          </w:divBdr>
                          <w:divsChild>
                            <w:div w:id="2034526271">
                              <w:marLeft w:val="0"/>
                              <w:marRight w:val="0"/>
                              <w:marTop w:val="0"/>
                              <w:marBottom w:val="0"/>
                              <w:divBdr>
                                <w:top w:val="none" w:sz="0" w:space="0" w:color="auto"/>
                                <w:left w:val="none" w:sz="0" w:space="0" w:color="auto"/>
                                <w:bottom w:val="none" w:sz="0" w:space="0" w:color="auto"/>
                                <w:right w:val="none" w:sz="0" w:space="0" w:color="auto"/>
                              </w:divBdr>
                              <w:divsChild>
                                <w:div w:id="1173377596">
                                  <w:marLeft w:val="0"/>
                                  <w:marRight w:val="0"/>
                                  <w:marTop w:val="0"/>
                                  <w:marBottom w:val="0"/>
                                  <w:divBdr>
                                    <w:top w:val="none" w:sz="0" w:space="0" w:color="auto"/>
                                    <w:left w:val="none" w:sz="0" w:space="0" w:color="auto"/>
                                    <w:bottom w:val="none" w:sz="0" w:space="0" w:color="auto"/>
                                    <w:right w:val="none" w:sz="0" w:space="0" w:color="auto"/>
                                  </w:divBdr>
                                  <w:divsChild>
                                    <w:div w:id="1931623797">
                                      <w:marLeft w:val="0"/>
                                      <w:marRight w:val="0"/>
                                      <w:marTop w:val="0"/>
                                      <w:marBottom w:val="0"/>
                                      <w:divBdr>
                                        <w:top w:val="single" w:sz="6" w:space="0" w:color="F5F5F5"/>
                                        <w:left w:val="single" w:sz="6" w:space="0" w:color="F5F5F5"/>
                                        <w:bottom w:val="single" w:sz="6" w:space="0" w:color="F5F5F5"/>
                                        <w:right w:val="single" w:sz="6" w:space="0" w:color="F5F5F5"/>
                                      </w:divBdr>
                                      <w:divsChild>
                                        <w:div w:id="317274789">
                                          <w:marLeft w:val="0"/>
                                          <w:marRight w:val="0"/>
                                          <w:marTop w:val="0"/>
                                          <w:marBottom w:val="0"/>
                                          <w:divBdr>
                                            <w:top w:val="none" w:sz="0" w:space="0" w:color="auto"/>
                                            <w:left w:val="none" w:sz="0" w:space="0" w:color="auto"/>
                                            <w:bottom w:val="none" w:sz="0" w:space="0" w:color="auto"/>
                                            <w:right w:val="none" w:sz="0" w:space="0" w:color="auto"/>
                                          </w:divBdr>
                                          <w:divsChild>
                                            <w:div w:id="8540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846089">
      <w:bodyDiv w:val="1"/>
      <w:marLeft w:val="0"/>
      <w:marRight w:val="0"/>
      <w:marTop w:val="0"/>
      <w:marBottom w:val="0"/>
      <w:divBdr>
        <w:top w:val="none" w:sz="0" w:space="0" w:color="auto"/>
        <w:left w:val="none" w:sz="0" w:space="0" w:color="auto"/>
        <w:bottom w:val="none" w:sz="0" w:space="0" w:color="auto"/>
        <w:right w:val="none" w:sz="0" w:space="0" w:color="auto"/>
      </w:divBdr>
      <w:divsChild>
        <w:div w:id="297732605">
          <w:marLeft w:val="0"/>
          <w:marRight w:val="0"/>
          <w:marTop w:val="0"/>
          <w:marBottom w:val="0"/>
          <w:divBdr>
            <w:top w:val="none" w:sz="0" w:space="0" w:color="auto"/>
            <w:left w:val="none" w:sz="0" w:space="0" w:color="auto"/>
            <w:bottom w:val="none" w:sz="0" w:space="0" w:color="auto"/>
            <w:right w:val="none" w:sz="0" w:space="0" w:color="auto"/>
          </w:divBdr>
          <w:divsChild>
            <w:div w:id="1878740965">
              <w:marLeft w:val="0"/>
              <w:marRight w:val="0"/>
              <w:marTop w:val="0"/>
              <w:marBottom w:val="0"/>
              <w:divBdr>
                <w:top w:val="none" w:sz="0" w:space="0" w:color="auto"/>
                <w:left w:val="none" w:sz="0" w:space="0" w:color="auto"/>
                <w:bottom w:val="none" w:sz="0" w:space="0" w:color="auto"/>
                <w:right w:val="none" w:sz="0" w:space="0" w:color="auto"/>
              </w:divBdr>
              <w:divsChild>
                <w:div w:id="2113502013">
                  <w:marLeft w:val="0"/>
                  <w:marRight w:val="0"/>
                  <w:marTop w:val="0"/>
                  <w:marBottom w:val="0"/>
                  <w:divBdr>
                    <w:top w:val="none" w:sz="0" w:space="0" w:color="auto"/>
                    <w:left w:val="none" w:sz="0" w:space="0" w:color="auto"/>
                    <w:bottom w:val="none" w:sz="0" w:space="0" w:color="auto"/>
                    <w:right w:val="none" w:sz="0" w:space="0" w:color="auto"/>
                  </w:divBdr>
                  <w:divsChild>
                    <w:div w:id="351540919">
                      <w:marLeft w:val="0"/>
                      <w:marRight w:val="0"/>
                      <w:marTop w:val="0"/>
                      <w:marBottom w:val="0"/>
                      <w:divBdr>
                        <w:top w:val="none" w:sz="0" w:space="0" w:color="auto"/>
                        <w:left w:val="none" w:sz="0" w:space="0" w:color="auto"/>
                        <w:bottom w:val="none" w:sz="0" w:space="0" w:color="auto"/>
                        <w:right w:val="none" w:sz="0" w:space="0" w:color="auto"/>
                      </w:divBdr>
                      <w:divsChild>
                        <w:div w:id="1649089298">
                          <w:marLeft w:val="0"/>
                          <w:marRight w:val="0"/>
                          <w:marTop w:val="0"/>
                          <w:marBottom w:val="0"/>
                          <w:divBdr>
                            <w:top w:val="none" w:sz="0" w:space="0" w:color="auto"/>
                            <w:left w:val="none" w:sz="0" w:space="0" w:color="auto"/>
                            <w:bottom w:val="none" w:sz="0" w:space="0" w:color="auto"/>
                            <w:right w:val="none" w:sz="0" w:space="0" w:color="auto"/>
                          </w:divBdr>
                          <w:divsChild>
                            <w:div w:id="927234116">
                              <w:marLeft w:val="0"/>
                              <w:marRight w:val="0"/>
                              <w:marTop w:val="0"/>
                              <w:marBottom w:val="0"/>
                              <w:divBdr>
                                <w:top w:val="none" w:sz="0" w:space="0" w:color="auto"/>
                                <w:left w:val="none" w:sz="0" w:space="0" w:color="auto"/>
                                <w:bottom w:val="none" w:sz="0" w:space="0" w:color="auto"/>
                                <w:right w:val="none" w:sz="0" w:space="0" w:color="auto"/>
                              </w:divBdr>
                              <w:divsChild>
                                <w:div w:id="1944335815">
                                  <w:marLeft w:val="0"/>
                                  <w:marRight w:val="0"/>
                                  <w:marTop w:val="0"/>
                                  <w:marBottom w:val="0"/>
                                  <w:divBdr>
                                    <w:top w:val="none" w:sz="0" w:space="0" w:color="auto"/>
                                    <w:left w:val="none" w:sz="0" w:space="0" w:color="auto"/>
                                    <w:bottom w:val="none" w:sz="0" w:space="0" w:color="auto"/>
                                    <w:right w:val="none" w:sz="0" w:space="0" w:color="auto"/>
                                  </w:divBdr>
                                  <w:divsChild>
                                    <w:div w:id="250164094">
                                      <w:marLeft w:val="0"/>
                                      <w:marRight w:val="0"/>
                                      <w:marTop w:val="0"/>
                                      <w:marBottom w:val="0"/>
                                      <w:divBdr>
                                        <w:top w:val="single" w:sz="6" w:space="0" w:color="F5F5F5"/>
                                        <w:left w:val="single" w:sz="6" w:space="0" w:color="F5F5F5"/>
                                        <w:bottom w:val="single" w:sz="6" w:space="0" w:color="F5F5F5"/>
                                        <w:right w:val="single" w:sz="6" w:space="0" w:color="F5F5F5"/>
                                      </w:divBdr>
                                      <w:divsChild>
                                        <w:div w:id="1494223816">
                                          <w:marLeft w:val="0"/>
                                          <w:marRight w:val="0"/>
                                          <w:marTop w:val="0"/>
                                          <w:marBottom w:val="0"/>
                                          <w:divBdr>
                                            <w:top w:val="none" w:sz="0" w:space="0" w:color="auto"/>
                                            <w:left w:val="none" w:sz="0" w:space="0" w:color="auto"/>
                                            <w:bottom w:val="none" w:sz="0" w:space="0" w:color="auto"/>
                                            <w:right w:val="none" w:sz="0" w:space="0" w:color="auto"/>
                                          </w:divBdr>
                                          <w:divsChild>
                                            <w:div w:id="3940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672347">
      <w:bodyDiv w:val="1"/>
      <w:marLeft w:val="0"/>
      <w:marRight w:val="0"/>
      <w:marTop w:val="0"/>
      <w:marBottom w:val="0"/>
      <w:divBdr>
        <w:top w:val="none" w:sz="0" w:space="0" w:color="auto"/>
        <w:left w:val="none" w:sz="0" w:space="0" w:color="auto"/>
        <w:bottom w:val="none" w:sz="0" w:space="0" w:color="auto"/>
        <w:right w:val="none" w:sz="0" w:space="0" w:color="auto"/>
      </w:divBdr>
    </w:div>
    <w:div w:id="960500239">
      <w:bodyDiv w:val="1"/>
      <w:marLeft w:val="0"/>
      <w:marRight w:val="0"/>
      <w:marTop w:val="0"/>
      <w:marBottom w:val="0"/>
      <w:divBdr>
        <w:top w:val="none" w:sz="0" w:space="0" w:color="auto"/>
        <w:left w:val="none" w:sz="0" w:space="0" w:color="auto"/>
        <w:bottom w:val="none" w:sz="0" w:space="0" w:color="auto"/>
        <w:right w:val="none" w:sz="0" w:space="0" w:color="auto"/>
      </w:divBdr>
      <w:divsChild>
        <w:div w:id="1445537910">
          <w:marLeft w:val="0"/>
          <w:marRight w:val="0"/>
          <w:marTop w:val="0"/>
          <w:marBottom w:val="0"/>
          <w:divBdr>
            <w:top w:val="none" w:sz="0" w:space="0" w:color="auto"/>
            <w:left w:val="none" w:sz="0" w:space="0" w:color="auto"/>
            <w:bottom w:val="none" w:sz="0" w:space="0" w:color="auto"/>
            <w:right w:val="none" w:sz="0" w:space="0" w:color="auto"/>
          </w:divBdr>
          <w:divsChild>
            <w:div w:id="1866598946">
              <w:marLeft w:val="0"/>
              <w:marRight w:val="0"/>
              <w:marTop w:val="0"/>
              <w:marBottom w:val="0"/>
              <w:divBdr>
                <w:top w:val="none" w:sz="0" w:space="0" w:color="auto"/>
                <w:left w:val="none" w:sz="0" w:space="0" w:color="auto"/>
                <w:bottom w:val="none" w:sz="0" w:space="0" w:color="auto"/>
                <w:right w:val="none" w:sz="0" w:space="0" w:color="auto"/>
              </w:divBdr>
              <w:divsChild>
                <w:div w:id="1079860770">
                  <w:marLeft w:val="0"/>
                  <w:marRight w:val="0"/>
                  <w:marTop w:val="0"/>
                  <w:marBottom w:val="0"/>
                  <w:divBdr>
                    <w:top w:val="none" w:sz="0" w:space="0" w:color="auto"/>
                    <w:left w:val="none" w:sz="0" w:space="0" w:color="auto"/>
                    <w:bottom w:val="none" w:sz="0" w:space="0" w:color="auto"/>
                    <w:right w:val="none" w:sz="0" w:space="0" w:color="auto"/>
                  </w:divBdr>
                  <w:divsChild>
                    <w:div w:id="376004756">
                      <w:marLeft w:val="0"/>
                      <w:marRight w:val="0"/>
                      <w:marTop w:val="0"/>
                      <w:marBottom w:val="0"/>
                      <w:divBdr>
                        <w:top w:val="none" w:sz="0" w:space="0" w:color="auto"/>
                        <w:left w:val="none" w:sz="0" w:space="0" w:color="auto"/>
                        <w:bottom w:val="none" w:sz="0" w:space="0" w:color="auto"/>
                        <w:right w:val="none" w:sz="0" w:space="0" w:color="auto"/>
                      </w:divBdr>
                      <w:divsChild>
                        <w:div w:id="795097629">
                          <w:marLeft w:val="0"/>
                          <w:marRight w:val="0"/>
                          <w:marTop w:val="0"/>
                          <w:marBottom w:val="0"/>
                          <w:divBdr>
                            <w:top w:val="none" w:sz="0" w:space="0" w:color="auto"/>
                            <w:left w:val="none" w:sz="0" w:space="0" w:color="auto"/>
                            <w:bottom w:val="none" w:sz="0" w:space="0" w:color="auto"/>
                            <w:right w:val="none" w:sz="0" w:space="0" w:color="auto"/>
                          </w:divBdr>
                          <w:divsChild>
                            <w:div w:id="399669288">
                              <w:marLeft w:val="0"/>
                              <w:marRight w:val="0"/>
                              <w:marTop w:val="0"/>
                              <w:marBottom w:val="0"/>
                              <w:divBdr>
                                <w:top w:val="none" w:sz="0" w:space="0" w:color="auto"/>
                                <w:left w:val="none" w:sz="0" w:space="0" w:color="auto"/>
                                <w:bottom w:val="none" w:sz="0" w:space="0" w:color="auto"/>
                                <w:right w:val="none" w:sz="0" w:space="0" w:color="auto"/>
                              </w:divBdr>
                              <w:divsChild>
                                <w:div w:id="2085953048">
                                  <w:marLeft w:val="0"/>
                                  <w:marRight w:val="0"/>
                                  <w:marTop w:val="0"/>
                                  <w:marBottom w:val="0"/>
                                  <w:divBdr>
                                    <w:top w:val="none" w:sz="0" w:space="0" w:color="auto"/>
                                    <w:left w:val="none" w:sz="0" w:space="0" w:color="auto"/>
                                    <w:bottom w:val="none" w:sz="0" w:space="0" w:color="auto"/>
                                    <w:right w:val="none" w:sz="0" w:space="0" w:color="auto"/>
                                  </w:divBdr>
                                  <w:divsChild>
                                    <w:div w:id="2094474829">
                                      <w:marLeft w:val="0"/>
                                      <w:marRight w:val="0"/>
                                      <w:marTop w:val="0"/>
                                      <w:marBottom w:val="0"/>
                                      <w:divBdr>
                                        <w:top w:val="single" w:sz="6" w:space="0" w:color="F5F5F5"/>
                                        <w:left w:val="single" w:sz="6" w:space="0" w:color="F5F5F5"/>
                                        <w:bottom w:val="single" w:sz="6" w:space="0" w:color="F5F5F5"/>
                                        <w:right w:val="single" w:sz="6" w:space="0" w:color="F5F5F5"/>
                                      </w:divBdr>
                                      <w:divsChild>
                                        <w:div w:id="1096093200">
                                          <w:marLeft w:val="0"/>
                                          <w:marRight w:val="0"/>
                                          <w:marTop w:val="0"/>
                                          <w:marBottom w:val="0"/>
                                          <w:divBdr>
                                            <w:top w:val="none" w:sz="0" w:space="0" w:color="auto"/>
                                            <w:left w:val="none" w:sz="0" w:space="0" w:color="auto"/>
                                            <w:bottom w:val="none" w:sz="0" w:space="0" w:color="auto"/>
                                            <w:right w:val="none" w:sz="0" w:space="0" w:color="auto"/>
                                          </w:divBdr>
                                          <w:divsChild>
                                            <w:div w:id="16620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163658">
      <w:bodyDiv w:val="1"/>
      <w:marLeft w:val="0"/>
      <w:marRight w:val="0"/>
      <w:marTop w:val="0"/>
      <w:marBottom w:val="0"/>
      <w:divBdr>
        <w:top w:val="none" w:sz="0" w:space="0" w:color="auto"/>
        <w:left w:val="none" w:sz="0" w:space="0" w:color="auto"/>
        <w:bottom w:val="none" w:sz="0" w:space="0" w:color="auto"/>
        <w:right w:val="none" w:sz="0" w:space="0" w:color="auto"/>
      </w:divBdr>
    </w:div>
    <w:div w:id="1039206078">
      <w:bodyDiv w:val="1"/>
      <w:marLeft w:val="0"/>
      <w:marRight w:val="0"/>
      <w:marTop w:val="0"/>
      <w:marBottom w:val="0"/>
      <w:divBdr>
        <w:top w:val="none" w:sz="0" w:space="0" w:color="auto"/>
        <w:left w:val="none" w:sz="0" w:space="0" w:color="auto"/>
        <w:bottom w:val="none" w:sz="0" w:space="0" w:color="auto"/>
        <w:right w:val="none" w:sz="0" w:space="0" w:color="auto"/>
      </w:divBdr>
    </w:div>
    <w:div w:id="1098986971">
      <w:bodyDiv w:val="1"/>
      <w:marLeft w:val="0"/>
      <w:marRight w:val="0"/>
      <w:marTop w:val="0"/>
      <w:marBottom w:val="0"/>
      <w:divBdr>
        <w:top w:val="none" w:sz="0" w:space="0" w:color="auto"/>
        <w:left w:val="none" w:sz="0" w:space="0" w:color="auto"/>
        <w:bottom w:val="none" w:sz="0" w:space="0" w:color="auto"/>
        <w:right w:val="none" w:sz="0" w:space="0" w:color="auto"/>
      </w:divBdr>
    </w:div>
    <w:div w:id="1353190128">
      <w:bodyDiv w:val="1"/>
      <w:marLeft w:val="0"/>
      <w:marRight w:val="0"/>
      <w:marTop w:val="0"/>
      <w:marBottom w:val="0"/>
      <w:divBdr>
        <w:top w:val="none" w:sz="0" w:space="0" w:color="auto"/>
        <w:left w:val="none" w:sz="0" w:space="0" w:color="auto"/>
        <w:bottom w:val="none" w:sz="0" w:space="0" w:color="auto"/>
        <w:right w:val="none" w:sz="0" w:space="0" w:color="auto"/>
      </w:divBdr>
    </w:div>
    <w:div w:id="1355419409">
      <w:bodyDiv w:val="1"/>
      <w:marLeft w:val="0"/>
      <w:marRight w:val="0"/>
      <w:marTop w:val="0"/>
      <w:marBottom w:val="0"/>
      <w:divBdr>
        <w:top w:val="none" w:sz="0" w:space="0" w:color="auto"/>
        <w:left w:val="none" w:sz="0" w:space="0" w:color="auto"/>
        <w:bottom w:val="none" w:sz="0" w:space="0" w:color="auto"/>
        <w:right w:val="none" w:sz="0" w:space="0" w:color="auto"/>
      </w:divBdr>
    </w:div>
    <w:div w:id="1378621332">
      <w:bodyDiv w:val="1"/>
      <w:marLeft w:val="0"/>
      <w:marRight w:val="0"/>
      <w:marTop w:val="0"/>
      <w:marBottom w:val="0"/>
      <w:divBdr>
        <w:top w:val="none" w:sz="0" w:space="0" w:color="auto"/>
        <w:left w:val="none" w:sz="0" w:space="0" w:color="auto"/>
        <w:bottom w:val="none" w:sz="0" w:space="0" w:color="auto"/>
        <w:right w:val="none" w:sz="0" w:space="0" w:color="auto"/>
      </w:divBdr>
      <w:divsChild>
        <w:div w:id="1698963400">
          <w:marLeft w:val="0"/>
          <w:marRight w:val="0"/>
          <w:marTop w:val="0"/>
          <w:marBottom w:val="0"/>
          <w:divBdr>
            <w:top w:val="none" w:sz="0" w:space="0" w:color="auto"/>
            <w:left w:val="none" w:sz="0" w:space="0" w:color="auto"/>
            <w:bottom w:val="none" w:sz="0" w:space="0" w:color="auto"/>
            <w:right w:val="none" w:sz="0" w:space="0" w:color="auto"/>
          </w:divBdr>
          <w:divsChild>
            <w:div w:id="198393840">
              <w:marLeft w:val="0"/>
              <w:marRight w:val="0"/>
              <w:marTop w:val="0"/>
              <w:marBottom w:val="0"/>
              <w:divBdr>
                <w:top w:val="none" w:sz="0" w:space="0" w:color="auto"/>
                <w:left w:val="none" w:sz="0" w:space="0" w:color="auto"/>
                <w:bottom w:val="none" w:sz="0" w:space="0" w:color="auto"/>
                <w:right w:val="none" w:sz="0" w:space="0" w:color="auto"/>
              </w:divBdr>
              <w:divsChild>
                <w:div w:id="1826241510">
                  <w:marLeft w:val="0"/>
                  <w:marRight w:val="0"/>
                  <w:marTop w:val="0"/>
                  <w:marBottom w:val="0"/>
                  <w:divBdr>
                    <w:top w:val="none" w:sz="0" w:space="0" w:color="auto"/>
                    <w:left w:val="none" w:sz="0" w:space="0" w:color="auto"/>
                    <w:bottom w:val="none" w:sz="0" w:space="0" w:color="auto"/>
                    <w:right w:val="none" w:sz="0" w:space="0" w:color="auto"/>
                  </w:divBdr>
                  <w:divsChild>
                    <w:div w:id="1354264954">
                      <w:marLeft w:val="0"/>
                      <w:marRight w:val="0"/>
                      <w:marTop w:val="0"/>
                      <w:marBottom w:val="0"/>
                      <w:divBdr>
                        <w:top w:val="none" w:sz="0" w:space="0" w:color="auto"/>
                        <w:left w:val="none" w:sz="0" w:space="0" w:color="auto"/>
                        <w:bottom w:val="none" w:sz="0" w:space="0" w:color="auto"/>
                        <w:right w:val="none" w:sz="0" w:space="0" w:color="auto"/>
                      </w:divBdr>
                      <w:divsChild>
                        <w:div w:id="569342096">
                          <w:marLeft w:val="0"/>
                          <w:marRight w:val="0"/>
                          <w:marTop w:val="0"/>
                          <w:marBottom w:val="0"/>
                          <w:divBdr>
                            <w:top w:val="none" w:sz="0" w:space="0" w:color="auto"/>
                            <w:left w:val="none" w:sz="0" w:space="0" w:color="auto"/>
                            <w:bottom w:val="none" w:sz="0" w:space="0" w:color="auto"/>
                            <w:right w:val="none" w:sz="0" w:space="0" w:color="auto"/>
                          </w:divBdr>
                          <w:divsChild>
                            <w:div w:id="767119213">
                              <w:marLeft w:val="0"/>
                              <w:marRight w:val="0"/>
                              <w:marTop w:val="0"/>
                              <w:marBottom w:val="0"/>
                              <w:divBdr>
                                <w:top w:val="none" w:sz="0" w:space="0" w:color="auto"/>
                                <w:left w:val="none" w:sz="0" w:space="0" w:color="auto"/>
                                <w:bottom w:val="none" w:sz="0" w:space="0" w:color="auto"/>
                                <w:right w:val="none" w:sz="0" w:space="0" w:color="auto"/>
                              </w:divBdr>
                              <w:divsChild>
                                <w:div w:id="1683430893">
                                  <w:marLeft w:val="0"/>
                                  <w:marRight w:val="0"/>
                                  <w:marTop w:val="0"/>
                                  <w:marBottom w:val="0"/>
                                  <w:divBdr>
                                    <w:top w:val="none" w:sz="0" w:space="0" w:color="auto"/>
                                    <w:left w:val="none" w:sz="0" w:space="0" w:color="auto"/>
                                    <w:bottom w:val="none" w:sz="0" w:space="0" w:color="auto"/>
                                    <w:right w:val="none" w:sz="0" w:space="0" w:color="auto"/>
                                  </w:divBdr>
                                  <w:divsChild>
                                    <w:div w:id="1146163057">
                                      <w:marLeft w:val="0"/>
                                      <w:marRight w:val="0"/>
                                      <w:marTop w:val="0"/>
                                      <w:marBottom w:val="0"/>
                                      <w:divBdr>
                                        <w:top w:val="single" w:sz="6" w:space="0" w:color="F5F5F5"/>
                                        <w:left w:val="single" w:sz="6" w:space="0" w:color="F5F5F5"/>
                                        <w:bottom w:val="single" w:sz="6" w:space="0" w:color="F5F5F5"/>
                                        <w:right w:val="single" w:sz="6" w:space="0" w:color="F5F5F5"/>
                                      </w:divBdr>
                                      <w:divsChild>
                                        <w:div w:id="568730995">
                                          <w:marLeft w:val="0"/>
                                          <w:marRight w:val="0"/>
                                          <w:marTop w:val="0"/>
                                          <w:marBottom w:val="0"/>
                                          <w:divBdr>
                                            <w:top w:val="none" w:sz="0" w:space="0" w:color="auto"/>
                                            <w:left w:val="none" w:sz="0" w:space="0" w:color="auto"/>
                                            <w:bottom w:val="none" w:sz="0" w:space="0" w:color="auto"/>
                                            <w:right w:val="none" w:sz="0" w:space="0" w:color="auto"/>
                                          </w:divBdr>
                                          <w:divsChild>
                                            <w:div w:id="13031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392245">
      <w:bodyDiv w:val="1"/>
      <w:marLeft w:val="0"/>
      <w:marRight w:val="0"/>
      <w:marTop w:val="0"/>
      <w:marBottom w:val="0"/>
      <w:divBdr>
        <w:top w:val="none" w:sz="0" w:space="0" w:color="auto"/>
        <w:left w:val="none" w:sz="0" w:space="0" w:color="auto"/>
        <w:bottom w:val="none" w:sz="0" w:space="0" w:color="auto"/>
        <w:right w:val="none" w:sz="0" w:space="0" w:color="auto"/>
      </w:divBdr>
      <w:divsChild>
        <w:div w:id="1461806316">
          <w:marLeft w:val="0"/>
          <w:marRight w:val="0"/>
          <w:marTop w:val="0"/>
          <w:marBottom w:val="0"/>
          <w:divBdr>
            <w:top w:val="none" w:sz="0" w:space="0" w:color="auto"/>
            <w:left w:val="none" w:sz="0" w:space="0" w:color="auto"/>
            <w:bottom w:val="none" w:sz="0" w:space="0" w:color="auto"/>
            <w:right w:val="none" w:sz="0" w:space="0" w:color="auto"/>
          </w:divBdr>
          <w:divsChild>
            <w:div w:id="2560487">
              <w:marLeft w:val="0"/>
              <w:marRight w:val="0"/>
              <w:marTop w:val="0"/>
              <w:marBottom w:val="0"/>
              <w:divBdr>
                <w:top w:val="none" w:sz="0" w:space="0" w:color="auto"/>
                <w:left w:val="none" w:sz="0" w:space="0" w:color="auto"/>
                <w:bottom w:val="none" w:sz="0" w:space="0" w:color="auto"/>
                <w:right w:val="none" w:sz="0" w:space="0" w:color="auto"/>
              </w:divBdr>
              <w:divsChild>
                <w:div w:id="1117290058">
                  <w:marLeft w:val="0"/>
                  <w:marRight w:val="0"/>
                  <w:marTop w:val="0"/>
                  <w:marBottom w:val="0"/>
                  <w:divBdr>
                    <w:top w:val="none" w:sz="0" w:space="0" w:color="auto"/>
                    <w:left w:val="none" w:sz="0" w:space="0" w:color="auto"/>
                    <w:bottom w:val="none" w:sz="0" w:space="0" w:color="auto"/>
                    <w:right w:val="none" w:sz="0" w:space="0" w:color="auto"/>
                  </w:divBdr>
                  <w:divsChild>
                    <w:div w:id="1167212233">
                      <w:marLeft w:val="0"/>
                      <w:marRight w:val="0"/>
                      <w:marTop w:val="0"/>
                      <w:marBottom w:val="0"/>
                      <w:divBdr>
                        <w:top w:val="none" w:sz="0" w:space="0" w:color="auto"/>
                        <w:left w:val="none" w:sz="0" w:space="0" w:color="auto"/>
                        <w:bottom w:val="none" w:sz="0" w:space="0" w:color="auto"/>
                        <w:right w:val="none" w:sz="0" w:space="0" w:color="auto"/>
                      </w:divBdr>
                      <w:divsChild>
                        <w:div w:id="1233153193">
                          <w:marLeft w:val="0"/>
                          <w:marRight w:val="0"/>
                          <w:marTop w:val="0"/>
                          <w:marBottom w:val="0"/>
                          <w:divBdr>
                            <w:top w:val="none" w:sz="0" w:space="0" w:color="auto"/>
                            <w:left w:val="none" w:sz="0" w:space="0" w:color="auto"/>
                            <w:bottom w:val="none" w:sz="0" w:space="0" w:color="auto"/>
                            <w:right w:val="none" w:sz="0" w:space="0" w:color="auto"/>
                          </w:divBdr>
                          <w:divsChild>
                            <w:div w:id="1845512556">
                              <w:marLeft w:val="0"/>
                              <w:marRight w:val="0"/>
                              <w:marTop w:val="0"/>
                              <w:marBottom w:val="0"/>
                              <w:divBdr>
                                <w:top w:val="none" w:sz="0" w:space="0" w:color="auto"/>
                                <w:left w:val="none" w:sz="0" w:space="0" w:color="auto"/>
                                <w:bottom w:val="none" w:sz="0" w:space="0" w:color="auto"/>
                                <w:right w:val="none" w:sz="0" w:space="0" w:color="auto"/>
                              </w:divBdr>
                              <w:divsChild>
                                <w:div w:id="149685638">
                                  <w:marLeft w:val="0"/>
                                  <w:marRight w:val="0"/>
                                  <w:marTop w:val="0"/>
                                  <w:marBottom w:val="0"/>
                                  <w:divBdr>
                                    <w:top w:val="none" w:sz="0" w:space="0" w:color="auto"/>
                                    <w:left w:val="none" w:sz="0" w:space="0" w:color="auto"/>
                                    <w:bottom w:val="none" w:sz="0" w:space="0" w:color="auto"/>
                                    <w:right w:val="none" w:sz="0" w:space="0" w:color="auto"/>
                                  </w:divBdr>
                                  <w:divsChild>
                                    <w:div w:id="977608800">
                                      <w:marLeft w:val="0"/>
                                      <w:marRight w:val="0"/>
                                      <w:marTop w:val="0"/>
                                      <w:marBottom w:val="0"/>
                                      <w:divBdr>
                                        <w:top w:val="single" w:sz="6" w:space="0" w:color="F5F5F5"/>
                                        <w:left w:val="single" w:sz="6" w:space="0" w:color="F5F5F5"/>
                                        <w:bottom w:val="single" w:sz="6" w:space="0" w:color="F5F5F5"/>
                                        <w:right w:val="single" w:sz="6" w:space="0" w:color="F5F5F5"/>
                                      </w:divBdr>
                                      <w:divsChild>
                                        <w:div w:id="1624727026">
                                          <w:marLeft w:val="0"/>
                                          <w:marRight w:val="0"/>
                                          <w:marTop w:val="0"/>
                                          <w:marBottom w:val="0"/>
                                          <w:divBdr>
                                            <w:top w:val="none" w:sz="0" w:space="0" w:color="auto"/>
                                            <w:left w:val="none" w:sz="0" w:space="0" w:color="auto"/>
                                            <w:bottom w:val="none" w:sz="0" w:space="0" w:color="auto"/>
                                            <w:right w:val="none" w:sz="0" w:space="0" w:color="auto"/>
                                          </w:divBdr>
                                          <w:divsChild>
                                            <w:div w:id="11271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334964">
      <w:bodyDiv w:val="1"/>
      <w:marLeft w:val="0"/>
      <w:marRight w:val="0"/>
      <w:marTop w:val="0"/>
      <w:marBottom w:val="0"/>
      <w:divBdr>
        <w:top w:val="none" w:sz="0" w:space="0" w:color="auto"/>
        <w:left w:val="none" w:sz="0" w:space="0" w:color="auto"/>
        <w:bottom w:val="none" w:sz="0" w:space="0" w:color="auto"/>
        <w:right w:val="none" w:sz="0" w:space="0" w:color="auto"/>
      </w:divBdr>
    </w:div>
    <w:div w:id="1967155805">
      <w:bodyDiv w:val="1"/>
      <w:marLeft w:val="0"/>
      <w:marRight w:val="0"/>
      <w:marTop w:val="0"/>
      <w:marBottom w:val="0"/>
      <w:divBdr>
        <w:top w:val="none" w:sz="0" w:space="0" w:color="auto"/>
        <w:left w:val="none" w:sz="0" w:space="0" w:color="auto"/>
        <w:bottom w:val="none" w:sz="0" w:space="0" w:color="auto"/>
        <w:right w:val="none" w:sz="0" w:space="0" w:color="auto"/>
      </w:divBdr>
      <w:divsChild>
        <w:div w:id="51976093">
          <w:marLeft w:val="0"/>
          <w:marRight w:val="0"/>
          <w:marTop w:val="0"/>
          <w:marBottom w:val="0"/>
          <w:divBdr>
            <w:top w:val="none" w:sz="0" w:space="0" w:color="auto"/>
            <w:left w:val="none" w:sz="0" w:space="0" w:color="auto"/>
            <w:bottom w:val="none" w:sz="0" w:space="0" w:color="auto"/>
            <w:right w:val="none" w:sz="0" w:space="0" w:color="auto"/>
          </w:divBdr>
          <w:divsChild>
            <w:div w:id="998533154">
              <w:marLeft w:val="0"/>
              <w:marRight w:val="0"/>
              <w:marTop w:val="0"/>
              <w:marBottom w:val="0"/>
              <w:divBdr>
                <w:top w:val="none" w:sz="0" w:space="0" w:color="auto"/>
                <w:left w:val="none" w:sz="0" w:space="0" w:color="auto"/>
                <w:bottom w:val="none" w:sz="0" w:space="0" w:color="auto"/>
                <w:right w:val="none" w:sz="0" w:space="0" w:color="auto"/>
              </w:divBdr>
              <w:divsChild>
                <w:div w:id="1679691368">
                  <w:marLeft w:val="0"/>
                  <w:marRight w:val="0"/>
                  <w:marTop w:val="0"/>
                  <w:marBottom w:val="0"/>
                  <w:divBdr>
                    <w:top w:val="none" w:sz="0" w:space="0" w:color="auto"/>
                    <w:left w:val="none" w:sz="0" w:space="0" w:color="auto"/>
                    <w:bottom w:val="none" w:sz="0" w:space="0" w:color="auto"/>
                    <w:right w:val="none" w:sz="0" w:space="0" w:color="auto"/>
                  </w:divBdr>
                  <w:divsChild>
                    <w:div w:id="1644238021">
                      <w:marLeft w:val="0"/>
                      <w:marRight w:val="0"/>
                      <w:marTop w:val="0"/>
                      <w:marBottom w:val="0"/>
                      <w:divBdr>
                        <w:top w:val="none" w:sz="0" w:space="0" w:color="auto"/>
                        <w:left w:val="none" w:sz="0" w:space="0" w:color="auto"/>
                        <w:bottom w:val="none" w:sz="0" w:space="0" w:color="auto"/>
                        <w:right w:val="none" w:sz="0" w:space="0" w:color="auto"/>
                      </w:divBdr>
                      <w:divsChild>
                        <w:div w:id="826941371">
                          <w:marLeft w:val="0"/>
                          <w:marRight w:val="0"/>
                          <w:marTop w:val="0"/>
                          <w:marBottom w:val="0"/>
                          <w:divBdr>
                            <w:top w:val="none" w:sz="0" w:space="0" w:color="auto"/>
                            <w:left w:val="none" w:sz="0" w:space="0" w:color="auto"/>
                            <w:bottom w:val="none" w:sz="0" w:space="0" w:color="auto"/>
                            <w:right w:val="none" w:sz="0" w:space="0" w:color="auto"/>
                          </w:divBdr>
                          <w:divsChild>
                            <w:div w:id="1456095858">
                              <w:marLeft w:val="0"/>
                              <w:marRight w:val="0"/>
                              <w:marTop w:val="0"/>
                              <w:marBottom w:val="0"/>
                              <w:divBdr>
                                <w:top w:val="none" w:sz="0" w:space="0" w:color="auto"/>
                                <w:left w:val="none" w:sz="0" w:space="0" w:color="auto"/>
                                <w:bottom w:val="none" w:sz="0" w:space="0" w:color="auto"/>
                                <w:right w:val="none" w:sz="0" w:space="0" w:color="auto"/>
                              </w:divBdr>
                              <w:divsChild>
                                <w:div w:id="1927378918">
                                  <w:marLeft w:val="0"/>
                                  <w:marRight w:val="0"/>
                                  <w:marTop w:val="0"/>
                                  <w:marBottom w:val="0"/>
                                  <w:divBdr>
                                    <w:top w:val="none" w:sz="0" w:space="0" w:color="auto"/>
                                    <w:left w:val="none" w:sz="0" w:space="0" w:color="auto"/>
                                    <w:bottom w:val="none" w:sz="0" w:space="0" w:color="auto"/>
                                    <w:right w:val="none" w:sz="0" w:space="0" w:color="auto"/>
                                  </w:divBdr>
                                  <w:divsChild>
                                    <w:div w:id="690110308">
                                      <w:marLeft w:val="0"/>
                                      <w:marRight w:val="0"/>
                                      <w:marTop w:val="0"/>
                                      <w:marBottom w:val="0"/>
                                      <w:divBdr>
                                        <w:top w:val="single" w:sz="6" w:space="0" w:color="F5F5F5"/>
                                        <w:left w:val="single" w:sz="6" w:space="0" w:color="F5F5F5"/>
                                        <w:bottom w:val="single" w:sz="6" w:space="0" w:color="F5F5F5"/>
                                        <w:right w:val="single" w:sz="6" w:space="0" w:color="F5F5F5"/>
                                      </w:divBdr>
                                      <w:divsChild>
                                        <w:div w:id="1617177657">
                                          <w:marLeft w:val="0"/>
                                          <w:marRight w:val="0"/>
                                          <w:marTop w:val="0"/>
                                          <w:marBottom w:val="0"/>
                                          <w:divBdr>
                                            <w:top w:val="none" w:sz="0" w:space="0" w:color="auto"/>
                                            <w:left w:val="none" w:sz="0" w:space="0" w:color="auto"/>
                                            <w:bottom w:val="none" w:sz="0" w:space="0" w:color="auto"/>
                                            <w:right w:val="none" w:sz="0" w:space="0" w:color="auto"/>
                                          </w:divBdr>
                                          <w:divsChild>
                                            <w:div w:id="1369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523913">
      <w:bodyDiv w:val="1"/>
      <w:marLeft w:val="0"/>
      <w:marRight w:val="0"/>
      <w:marTop w:val="0"/>
      <w:marBottom w:val="0"/>
      <w:divBdr>
        <w:top w:val="none" w:sz="0" w:space="0" w:color="auto"/>
        <w:left w:val="none" w:sz="0" w:space="0" w:color="auto"/>
        <w:bottom w:val="none" w:sz="0" w:space="0" w:color="auto"/>
        <w:right w:val="none" w:sz="0" w:space="0" w:color="auto"/>
      </w:divBdr>
    </w:div>
    <w:div w:id="2047900905">
      <w:bodyDiv w:val="1"/>
      <w:marLeft w:val="0"/>
      <w:marRight w:val="0"/>
      <w:marTop w:val="0"/>
      <w:marBottom w:val="0"/>
      <w:divBdr>
        <w:top w:val="none" w:sz="0" w:space="0" w:color="auto"/>
        <w:left w:val="none" w:sz="0" w:space="0" w:color="auto"/>
        <w:bottom w:val="none" w:sz="0" w:space="0" w:color="auto"/>
        <w:right w:val="none" w:sz="0" w:space="0" w:color="auto"/>
      </w:divBdr>
    </w:div>
    <w:div w:id="20677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Foglio1!$B$1</c:f>
              <c:strCache>
                <c:ptCount val="1"/>
                <c:pt idx="0">
                  <c:v>Serie 1</c:v>
                </c:pt>
              </c:strCache>
            </c:strRef>
          </c:tx>
          <c:invertIfNegative val="0"/>
          <c:dLbls>
            <c:spPr>
              <a:noFill/>
              <a:ln>
                <a:noFill/>
              </a:ln>
              <a:effectLst/>
            </c:spPr>
            <c:txPr>
              <a:bodyPr/>
              <a:lstStyle/>
              <a:p>
                <a:pPr>
                  <a:defRPr sz="900">
                    <a:latin typeface="Arial" pitchFamily="34" charset="0"/>
                    <a:cs typeface="Arial" pitchFamily="34"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Foglio1!$A$2:$A$10</c:f>
              <c:strCache>
                <c:ptCount val="9"/>
                <c:pt idx="0">
                  <c:v>Grandi</c:v>
                </c:pt>
                <c:pt idx="1">
                  <c:v>Medie</c:v>
                </c:pt>
                <c:pt idx="2">
                  <c:v>Piccole</c:v>
                </c:pt>
                <c:pt idx="4">
                  <c:v>Nord</c:v>
                </c:pt>
                <c:pt idx="5">
                  <c:v>Centro</c:v>
                </c:pt>
                <c:pt idx="6">
                  <c:v>Sud e isole</c:v>
                </c:pt>
                <c:pt idx="8">
                  <c:v>MEDIA</c:v>
                </c:pt>
              </c:strCache>
            </c:strRef>
          </c:cat>
          <c:val>
            <c:numRef>
              <c:f>Foglio1!$B$2:$B$10</c:f>
              <c:numCache>
                <c:formatCode>0.0</c:formatCode>
                <c:ptCount val="9"/>
                <c:pt idx="0">
                  <c:v>6.1</c:v>
                </c:pt>
                <c:pt idx="1">
                  <c:v>6.7</c:v>
                </c:pt>
                <c:pt idx="2">
                  <c:v>4</c:v>
                </c:pt>
                <c:pt idx="4">
                  <c:v>6.6</c:v>
                </c:pt>
                <c:pt idx="5">
                  <c:v>6.9</c:v>
                </c:pt>
                <c:pt idx="6">
                  <c:v>4</c:v>
                </c:pt>
                <c:pt idx="8">
                  <c:v>6</c:v>
                </c:pt>
              </c:numCache>
            </c:numRef>
          </c:val>
        </c:ser>
        <c:dLbls>
          <c:showLegendKey val="0"/>
          <c:showVal val="0"/>
          <c:showCatName val="0"/>
          <c:showSerName val="0"/>
          <c:showPercent val="0"/>
          <c:showBubbleSize val="0"/>
        </c:dLbls>
        <c:gapWidth val="150"/>
        <c:axId val="227077192"/>
        <c:axId val="227070920"/>
      </c:barChart>
      <c:catAx>
        <c:axId val="227077192"/>
        <c:scaling>
          <c:orientation val="minMax"/>
        </c:scaling>
        <c:delete val="0"/>
        <c:axPos val="b"/>
        <c:title>
          <c:tx>
            <c:rich>
              <a:bodyPr/>
              <a:lstStyle/>
              <a:p>
                <a:pPr>
                  <a:defRPr>
                    <a:latin typeface="Arial" pitchFamily="34" charset="0"/>
                    <a:cs typeface="Arial" pitchFamily="34" charset="0"/>
                  </a:defRPr>
                </a:pPr>
                <a:r>
                  <a:rPr lang="it-IT">
                    <a:latin typeface="Arial" pitchFamily="34" charset="0"/>
                    <a:cs typeface="Arial" pitchFamily="34" charset="0"/>
                  </a:rPr>
                  <a:t>Città per dimensione e per circoscrizione territoriale</a:t>
                </a:r>
              </a:p>
            </c:rich>
          </c:tx>
          <c:layout/>
          <c:overlay val="0"/>
        </c:title>
        <c:numFmt formatCode="General" sourceLinked="0"/>
        <c:majorTickMark val="out"/>
        <c:minorTickMark val="none"/>
        <c:tickLblPos val="nextTo"/>
        <c:txPr>
          <a:bodyPr/>
          <a:lstStyle/>
          <a:p>
            <a:pPr>
              <a:defRPr>
                <a:latin typeface="Arial" pitchFamily="34" charset="0"/>
                <a:cs typeface="Arial" pitchFamily="34" charset="0"/>
              </a:defRPr>
            </a:pPr>
            <a:endParaRPr lang="it-IT"/>
          </a:p>
        </c:txPr>
        <c:crossAx val="227070920"/>
        <c:crosses val="autoZero"/>
        <c:auto val="1"/>
        <c:lblAlgn val="ctr"/>
        <c:lblOffset val="100"/>
        <c:noMultiLvlLbl val="0"/>
      </c:catAx>
      <c:valAx>
        <c:axId val="227070920"/>
        <c:scaling>
          <c:orientation val="minMax"/>
        </c:scaling>
        <c:delete val="0"/>
        <c:axPos val="l"/>
        <c:majorGridlines/>
        <c:title>
          <c:tx>
            <c:rich>
              <a:bodyPr rot="-5400000" vert="horz"/>
              <a:lstStyle/>
              <a:p>
                <a:pPr>
                  <a:defRPr>
                    <a:latin typeface="Arial" pitchFamily="34" charset="0"/>
                    <a:cs typeface="Arial" pitchFamily="34" charset="0"/>
                  </a:defRPr>
                </a:pPr>
                <a:r>
                  <a:rPr lang="it-IT">
                    <a:latin typeface="Arial" pitchFamily="34" charset="0"/>
                    <a:cs typeface="Arial" pitchFamily="34" charset="0"/>
                  </a:rPr>
                  <a:t>Valori %</a:t>
                </a:r>
              </a:p>
            </c:rich>
          </c:tx>
          <c:layout/>
          <c:overlay val="0"/>
        </c:title>
        <c:numFmt formatCode="0.0" sourceLinked="1"/>
        <c:majorTickMark val="out"/>
        <c:minorTickMark val="none"/>
        <c:tickLblPos val="nextTo"/>
        <c:crossAx val="227077192"/>
        <c:crosses val="autoZero"/>
        <c:crossBetween val="between"/>
      </c:valAx>
    </c:plotArea>
    <c:plotVisOnly val="1"/>
    <c:dispBlanksAs val="gap"/>
    <c:showDLblsOverMax val="0"/>
  </c:chart>
  <c:spPr>
    <a:ln>
      <a:solidFill>
        <a:schemeClr val="accent1"/>
      </a:solidFill>
    </a:ln>
  </c:sp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919E7-ADF6-4E47-B164-11AC4EB6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4534</Words>
  <Characters>25844</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Dgye deyfg fbywer78yb ger9ybhr98ybr9y7gb ery89gb ry890gh er9y7b r9uifbh er97gybn er08guy8h er9gby erghber9gyh ery8 0ger9 gy89</vt:lpstr>
    </vt:vector>
  </TitlesOfParts>
  <Company>Olidata</Company>
  <LinksUpToDate>false</LinksUpToDate>
  <CharactersWithSpaces>30318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Dgye deyfg fbywer78yb ger9ybhr98ybr9y7gb ery89gb ry890gh er9y7b r9uifbh er97gybn er08guy8h er9gby erghber9gyh ery8 0ger9 gy89</dc:title>
  <dc:creator>cesare paris</dc:creator>
  <cp:lastModifiedBy>UfficioStampa</cp:lastModifiedBy>
  <cp:revision>6</cp:revision>
  <cp:lastPrinted>2020-01-13T10:05:00Z</cp:lastPrinted>
  <dcterms:created xsi:type="dcterms:W3CDTF">2020-01-13T11:47:00Z</dcterms:created>
  <dcterms:modified xsi:type="dcterms:W3CDTF">2020-01-13T13:31:00Z</dcterms:modified>
</cp:coreProperties>
</file>