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C8" w:rsidRDefault="004643C8">
      <w:pPr>
        <w:rPr>
          <w:rFonts w:ascii="Arial" w:hAnsi="Arial" w:cs="Arial"/>
          <w:highlight w:val="yellow"/>
        </w:rPr>
      </w:pPr>
    </w:p>
    <w:p w:rsidR="004643C8" w:rsidRDefault="004643C8">
      <w:pPr>
        <w:rPr>
          <w:rFonts w:ascii="Arial" w:hAnsi="Arial" w:cs="Arial"/>
          <w:highlight w:val="yellow"/>
        </w:rPr>
      </w:pPr>
    </w:p>
    <w:p w:rsidR="001F79CB" w:rsidRDefault="008143C0" w:rsidP="008143C0">
      <w:pPr>
        <w:jc w:val="center"/>
        <w:rPr>
          <w:rFonts w:ascii="Arial" w:hAnsi="Arial" w:cs="Arial"/>
          <w:b/>
          <w:sz w:val="32"/>
          <w:szCs w:val="32"/>
        </w:rPr>
      </w:pPr>
      <w:r w:rsidRPr="008143C0">
        <w:rPr>
          <w:rFonts w:ascii="Arial" w:hAnsi="Arial" w:cs="Arial"/>
          <w:b/>
          <w:sz w:val="32"/>
          <w:szCs w:val="32"/>
        </w:rPr>
        <w:t xml:space="preserve">ASTE IMMOBILIARI: SONO </w:t>
      </w:r>
      <w:r w:rsidR="009C0496">
        <w:rPr>
          <w:rFonts w:ascii="Arial" w:hAnsi="Arial" w:cs="Arial"/>
          <w:b/>
          <w:sz w:val="32"/>
          <w:szCs w:val="32"/>
        </w:rPr>
        <w:t>2</w:t>
      </w:r>
      <w:r w:rsidR="00ED06DA">
        <w:rPr>
          <w:rFonts w:ascii="Arial" w:hAnsi="Arial" w:cs="Arial"/>
          <w:b/>
          <w:sz w:val="32"/>
          <w:szCs w:val="32"/>
        </w:rPr>
        <w:t>04</w:t>
      </w:r>
      <w:r w:rsidR="009C0496">
        <w:rPr>
          <w:rFonts w:ascii="Arial" w:hAnsi="Arial" w:cs="Arial"/>
          <w:b/>
          <w:sz w:val="32"/>
          <w:szCs w:val="32"/>
        </w:rPr>
        <w:t>.</w:t>
      </w:r>
      <w:r w:rsidR="00ED06DA">
        <w:rPr>
          <w:rFonts w:ascii="Arial" w:hAnsi="Arial" w:cs="Arial"/>
          <w:b/>
          <w:sz w:val="32"/>
          <w:szCs w:val="32"/>
        </w:rPr>
        <w:t>632</w:t>
      </w:r>
      <w:r w:rsidR="003D5315">
        <w:rPr>
          <w:rFonts w:ascii="Arial" w:hAnsi="Arial" w:cs="Arial"/>
          <w:b/>
          <w:sz w:val="32"/>
          <w:szCs w:val="32"/>
        </w:rPr>
        <w:t xml:space="preserve"> NEL 201</w:t>
      </w:r>
      <w:r w:rsidR="00ED06DA">
        <w:rPr>
          <w:rFonts w:ascii="Arial" w:hAnsi="Arial" w:cs="Arial"/>
          <w:b/>
          <w:sz w:val="32"/>
          <w:szCs w:val="32"/>
        </w:rPr>
        <w:t>9</w:t>
      </w:r>
      <w:r>
        <w:rPr>
          <w:rFonts w:ascii="Arial" w:hAnsi="Arial" w:cs="Arial"/>
          <w:b/>
          <w:sz w:val="32"/>
          <w:szCs w:val="32"/>
        </w:rPr>
        <w:t>,</w:t>
      </w:r>
    </w:p>
    <w:p w:rsidR="00082723" w:rsidRDefault="00ED06DA" w:rsidP="00082723">
      <w:pPr>
        <w:jc w:val="center"/>
        <w:rPr>
          <w:rFonts w:ascii="Arial" w:hAnsi="Arial" w:cs="Arial"/>
          <w:b/>
          <w:sz w:val="32"/>
          <w:szCs w:val="32"/>
        </w:rPr>
      </w:pPr>
      <w:r>
        <w:rPr>
          <w:rFonts w:ascii="Arial" w:hAnsi="Arial" w:cs="Arial"/>
          <w:b/>
          <w:sz w:val="32"/>
          <w:szCs w:val="32"/>
        </w:rPr>
        <w:t>IN CALO DEL 16</w:t>
      </w:r>
      <w:r w:rsidR="00894BF7">
        <w:rPr>
          <w:rFonts w:ascii="Arial" w:hAnsi="Arial" w:cs="Arial"/>
          <w:b/>
          <w:sz w:val="32"/>
          <w:szCs w:val="32"/>
        </w:rPr>
        <w:t>,</w:t>
      </w:r>
      <w:r>
        <w:rPr>
          <w:rFonts w:ascii="Arial" w:hAnsi="Arial" w:cs="Arial"/>
          <w:b/>
          <w:sz w:val="32"/>
          <w:szCs w:val="32"/>
        </w:rPr>
        <w:t>5</w:t>
      </w:r>
      <w:r w:rsidR="00894BF7">
        <w:rPr>
          <w:rFonts w:ascii="Arial" w:hAnsi="Arial" w:cs="Arial"/>
          <w:b/>
          <w:sz w:val="32"/>
          <w:szCs w:val="32"/>
        </w:rPr>
        <w:t>% RISPETTO AL 201</w:t>
      </w:r>
      <w:r>
        <w:rPr>
          <w:rFonts w:ascii="Arial" w:hAnsi="Arial" w:cs="Arial"/>
          <w:b/>
          <w:sz w:val="32"/>
          <w:szCs w:val="32"/>
        </w:rPr>
        <w:t>8</w:t>
      </w:r>
      <w:r w:rsidR="00894BF7">
        <w:rPr>
          <w:rFonts w:ascii="Arial" w:hAnsi="Arial" w:cs="Arial"/>
          <w:b/>
          <w:sz w:val="32"/>
          <w:szCs w:val="32"/>
        </w:rPr>
        <w:t>.</w:t>
      </w:r>
      <w:r w:rsidR="00082723">
        <w:rPr>
          <w:rFonts w:ascii="Arial" w:hAnsi="Arial" w:cs="Arial"/>
          <w:b/>
          <w:sz w:val="32"/>
          <w:szCs w:val="32"/>
        </w:rPr>
        <w:t xml:space="preserve"> </w:t>
      </w:r>
    </w:p>
    <w:p w:rsidR="00082723" w:rsidRPr="00082723" w:rsidRDefault="00082723" w:rsidP="00082723">
      <w:pPr>
        <w:jc w:val="center"/>
        <w:rPr>
          <w:rFonts w:ascii="Arial" w:hAnsi="Arial" w:cs="Arial"/>
          <w:b/>
          <w:sz w:val="32"/>
          <w:szCs w:val="32"/>
        </w:rPr>
      </w:pPr>
    </w:p>
    <w:p w:rsidR="00082723" w:rsidRPr="00F65679" w:rsidRDefault="00082723" w:rsidP="008143C0">
      <w:pPr>
        <w:jc w:val="center"/>
        <w:rPr>
          <w:rFonts w:cs="Arial"/>
          <w:b/>
          <w:bCs/>
        </w:rPr>
      </w:pPr>
    </w:p>
    <w:p w:rsidR="00494E53" w:rsidRPr="00F65679" w:rsidRDefault="008143C0" w:rsidP="007616A1">
      <w:pPr>
        <w:pStyle w:val="Paragrafoelenco"/>
        <w:numPr>
          <w:ilvl w:val="0"/>
          <w:numId w:val="3"/>
        </w:numPr>
        <w:rPr>
          <w:rFonts w:cs="Arial"/>
          <w:b/>
          <w:bCs/>
          <w:color w:val="auto"/>
          <w:sz w:val="24"/>
          <w:szCs w:val="24"/>
          <w:lang w:eastAsia="en-US"/>
        </w:rPr>
      </w:pPr>
      <w:r w:rsidRPr="00F65679">
        <w:rPr>
          <w:rFonts w:cs="Arial"/>
          <w:b/>
          <w:bCs/>
          <w:color w:val="auto"/>
          <w:sz w:val="24"/>
          <w:szCs w:val="24"/>
          <w:lang w:eastAsia="en-US"/>
        </w:rPr>
        <w:t xml:space="preserve">Al primo posto per numero di esecuzioni si conferma </w:t>
      </w:r>
      <w:r w:rsidR="000F128F">
        <w:rPr>
          <w:rFonts w:cs="Arial"/>
          <w:b/>
          <w:bCs/>
          <w:color w:val="auto"/>
          <w:sz w:val="24"/>
          <w:szCs w:val="24"/>
          <w:lang w:eastAsia="en-US"/>
        </w:rPr>
        <w:t xml:space="preserve">ancora </w:t>
      </w:r>
      <w:r w:rsidRPr="00F65679">
        <w:rPr>
          <w:rFonts w:cs="Arial"/>
          <w:b/>
          <w:bCs/>
          <w:color w:val="auto"/>
          <w:sz w:val="24"/>
          <w:szCs w:val="24"/>
          <w:lang w:eastAsia="en-US"/>
        </w:rPr>
        <w:t>la Lombardia con il 1</w:t>
      </w:r>
      <w:r w:rsidR="00ED06DA" w:rsidRPr="00F65679">
        <w:rPr>
          <w:rFonts w:cs="Arial"/>
          <w:b/>
          <w:bCs/>
          <w:color w:val="auto"/>
          <w:sz w:val="24"/>
          <w:szCs w:val="24"/>
          <w:lang w:eastAsia="en-US"/>
        </w:rPr>
        <w:t>8</w:t>
      </w:r>
      <w:r w:rsidR="00494E53" w:rsidRPr="00F65679">
        <w:rPr>
          <w:rFonts w:cs="Arial"/>
          <w:b/>
          <w:bCs/>
          <w:color w:val="auto"/>
          <w:sz w:val="24"/>
          <w:szCs w:val="24"/>
          <w:lang w:eastAsia="en-US"/>
        </w:rPr>
        <w:t>,</w:t>
      </w:r>
      <w:r w:rsidR="00ED06DA" w:rsidRPr="00F65679">
        <w:rPr>
          <w:rFonts w:cs="Arial"/>
          <w:b/>
          <w:bCs/>
          <w:color w:val="auto"/>
          <w:sz w:val="24"/>
          <w:szCs w:val="24"/>
          <w:lang w:eastAsia="en-US"/>
        </w:rPr>
        <w:t>6</w:t>
      </w:r>
      <w:r w:rsidR="00494E53" w:rsidRPr="00F65679">
        <w:rPr>
          <w:rFonts w:cs="Arial"/>
          <w:b/>
          <w:bCs/>
          <w:color w:val="auto"/>
          <w:sz w:val="24"/>
          <w:szCs w:val="24"/>
          <w:lang w:eastAsia="en-US"/>
        </w:rPr>
        <w:t>6</w:t>
      </w:r>
      <w:r w:rsidRPr="00F65679">
        <w:rPr>
          <w:rFonts w:cs="Arial"/>
          <w:b/>
          <w:bCs/>
          <w:color w:val="auto"/>
          <w:sz w:val="24"/>
          <w:szCs w:val="24"/>
          <w:lang w:eastAsia="en-US"/>
        </w:rPr>
        <w:t xml:space="preserve">%, a seguire la </w:t>
      </w:r>
      <w:r w:rsidR="00494E53" w:rsidRPr="00F65679">
        <w:rPr>
          <w:rFonts w:cs="Arial"/>
          <w:b/>
          <w:bCs/>
          <w:color w:val="auto"/>
          <w:sz w:val="24"/>
          <w:szCs w:val="24"/>
          <w:lang w:eastAsia="en-US"/>
        </w:rPr>
        <w:t>Sicilia (9,</w:t>
      </w:r>
      <w:r w:rsidR="00ED06DA" w:rsidRPr="00F65679">
        <w:rPr>
          <w:rFonts w:cs="Arial"/>
          <w:b/>
          <w:bCs/>
          <w:color w:val="auto"/>
          <w:sz w:val="24"/>
          <w:szCs w:val="24"/>
          <w:lang w:eastAsia="en-US"/>
        </w:rPr>
        <w:t>38</w:t>
      </w:r>
      <w:r w:rsidRPr="00F65679">
        <w:rPr>
          <w:rFonts w:cs="Arial"/>
          <w:b/>
          <w:bCs/>
          <w:color w:val="auto"/>
          <w:sz w:val="24"/>
          <w:szCs w:val="24"/>
          <w:lang w:eastAsia="en-US"/>
        </w:rPr>
        <w:t xml:space="preserve">%), </w:t>
      </w:r>
      <w:r w:rsidR="00B9486A" w:rsidRPr="00F65679">
        <w:rPr>
          <w:rFonts w:cs="Arial"/>
          <w:b/>
          <w:bCs/>
          <w:color w:val="auto"/>
          <w:sz w:val="24"/>
          <w:szCs w:val="24"/>
          <w:lang w:eastAsia="en-US"/>
        </w:rPr>
        <w:t>l’Emilia-Romagna</w:t>
      </w:r>
      <w:r w:rsidR="00996E1C" w:rsidRPr="00F65679">
        <w:rPr>
          <w:rFonts w:cs="Arial"/>
          <w:b/>
          <w:bCs/>
          <w:color w:val="auto"/>
          <w:sz w:val="24"/>
          <w:szCs w:val="24"/>
          <w:lang w:eastAsia="en-US"/>
        </w:rPr>
        <w:t xml:space="preserve"> (8,73%), </w:t>
      </w:r>
      <w:r w:rsidR="00ED06DA" w:rsidRPr="00F65679">
        <w:rPr>
          <w:rFonts w:cs="Arial"/>
          <w:b/>
          <w:bCs/>
          <w:color w:val="auto"/>
          <w:sz w:val="24"/>
          <w:szCs w:val="24"/>
          <w:lang w:eastAsia="en-US"/>
        </w:rPr>
        <w:t xml:space="preserve">Toscana e Lazio </w:t>
      </w:r>
      <w:r w:rsidR="00494E53" w:rsidRPr="00F65679">
        <w:rPr>
          <w:rFonts w:cs="Arial"/>
          <w:b/>
          <w:bCs/>
          <w:color w:val="auto"/>
          <w:sz w:val="24"/>
          <w:szCs w:val="24"/>
          <w:lang w:eastAsia="en-US"/>
        </w:rPr>
        <w:t>(7,</w:t>
      </w:r>
      <w:r w:rsidR="00ED06DA" w:rsidRPr="00F65679">
        <w:rPr>
          <w:rFonts w:cs="Arial"/>
          <w:b/>
          <w:bCs/>
          <w:color w:val="auto"/>
          <w:sz w:val="24"/>
          <w:szCs w:val="24"/>
          <w:lang w:eastAsia="en-US"/>
        </w:rPr>
        <w:t>18</w:t>
      </w:r>
      <w:r w:rsidRPr="00F65679">
        <w:rPr>
          <w:rFonts w:cs="Arial"/>
          <w:b/>
          <w:bCs/>
          <w:color w:val="auto"/>
          <w:sz w:val="24"/>
          <w:szCs w:val="24"/>
          <w:lang w:eastAsia="en-US"/>
        </w:rPr>
        <w:t>%)</w:t>
      </w:r>
      <w:r w:rsidR="00996E1C" w:rsidRPr="00F65679">
        <w:rPr>
          <w:rFonts w:cs="Arial"/>
          <w:b/>
          <w:bCs/>
          <w:color w:val="auto"/>
          <w:sz w:val="24"/>
          <w:szCs w:val="24"/>
          <w:lang w:eastAsia="en-US"/>
        </w:rPr>
        <w:t>.</w:t>
      </w:r>
    </w:p>
    <w:p w:rsidR="003A0DAE" w:rsidRPr="00F65679" w:rsidRDefault="003A0DAE" w:rsidP="007616A1">
      <w:pPr>
        <w:pStyle w:val="Paragrafoelenco"/>
        <w:numPr>
          <w:ilvl w:val="0"/>
          <w:numId w:val="3"/>
        </w:numPr>
        <w:rPr>
          <w:rFonts w:cs="Arial"/>
          <w:b/>
          <w:bCs/>
          <w:color w:val="auto"/>
          <w:sz w:val="24"/>
          <w:szCs w:val="24"/>
          <w:lang w:eastAsia="en-US"/>
        </w:rPr>
      </w:pPr>
      <w:r w:rsidRPr="00F65679">
        <w:rPr>
          <w:rFonts w:cs="Arial"/>
          <w:b/>
          <w:bCs/>
          <w:color w:val="auto"/>
          <w:sz w:val="24"/>
          <w:szCs w:val="24"/>
          <w:lang w:eastAsia="en-US"/>
        </w:rPr>
        <w:t xml:space="preserve">Il valore medio </w:t>
      </w:r>
      <w:r w:rsidR="00F65679">
        <w:rPr>
          <w:rFonts w:cs="Arial"/>
          <w:b/>
          <w:bCs/>
          <w:color w:val="auto"/>
          <w:sz w:val="24"/>
          <w:szCs w:val="24"/>
          <w:lang w:eastAsia="en-US"/>
        </w:rPr>
        <w:t xml:space="preserve">di </w:t>
      </w:r>
      <w:r w:rsidRPr="00F65679">
        <w:rPr>
          <w:rFonts w:cs="Arial"/>
          <w:b/>
          <w:bCs/>
          <w:color w:val="auto"/>
          <w:sz w:val="24"/>
          <w:szCs w:val="24"/>
          <w:lang w:eastAsia="en-US"/>
        </w:rPr>
        <w:t>base asta d</w:t>
      </w:r>
      <w:r w:rsidR="000F128F">
        <w:rPr>
          <w:rFonts w:cs="Arial"/>
          <w:b/>
          <w:bCs/>
          <w:color w:val="auto"/>
          <w:sz w:val="24"/>
          <w:szCs w:val="24"/>
          <w:lang w:eastAsia="en-US"/>
        </w:rPr>
        <w:t>i un</w:t>
      </w:r>
      <w:r w:rsidRPr="00F65679">
        <w:rPr>
          <w:rFonts w:cs="Arial"/>
          <w:b/>
          <w:bCs/>
          <w:color w:val="auto"/>
          <w:sz w:val="24"/>
          <w:szCs w:val="24"/>
          <w:lang w:eastAsia="en-US"/>
        </w:rPr>
        <w:t xml:space="preserve"> immobil</w:t>
      </w:r>
      <w:r w:rsidR="000F128F">
        <w:rPr>
          <w:rFonts w:cs="Arial"/>
          <w:b/>
          <w:bCs/>
          <w:color w:val="auto"/>
          <w:sz w:val="24"/>
          <w:szCs w:val="24"/>
          <w:lang w:eastAsia="en-US"/>
        </w:rPr>
        <w:t>e</w:t>
      </w:r>
      <w:r w:rsidRPr="00F65679">
        <w:rPr>
          <w:rFonts w:cs="Arial"/>
          <w:b/>
          <w:bCs/>
          <w:color w:val="auto"/>
          <w:sz w:val="24"/>
          <w:szCs w:val="24"/>
          <w:lang w:eastAsia="en-US"/>
        </w:rPr>
        <w:t xml:space="preserve"> </w:t>
      </w:r>
      <w:r w:rsidR="00866A92" w:rsidRPr="00F65679">
        <w:rPr>
          <w:rFonts w:cs="Arial"/>
          <w:b/>
          <w:bCs/>
          <w:color w:val="auto"/>
          <w:sz w:val="24"/>
          <w:szCs w:val="24"/>
          <w:lang w:eastAsia="en-US"/>
        </w:rPr>
        <w:t xml:space="preserve">è di </w:t>
      </w:r>
      <w:r w:rsidRPr="00F65679">
        <w:rPr>
          <w:rFonts w:cs="Arial"/>
          <w:b/>
          <w:bCs/>
          <w:color w:val="auto"/>
          <w:sz w:val="24"/>
          <w:szCs w:val="24"/>
          <w:lang w:eastAsia="en-US"/>
        </w:rPr>
        <w:t>65.077</w:t>
      </w:r>
      <w:r w:rsidR="00F65679">
        <w:rPr>
          <w:rFonts w:cs="Arial"/>
          <w:b/>
          <w:bCs/>
          <w:color w:val="auto"/>
          <w:sz w:val="24"/>
          <w:szCs w:val="24"/>
          <w:lang w:eastAsia="en-US"/>
        </w:rPr>
        <w:t xml:space="preserve"> euro</w:t>
      </w:r>
    </w:p>
    <w:p w:rsidR="00F65679" w:rsidRDefault="00E97EDD" w:rsidP="007616A1">
      <w:pPr>
        <w:pStyle w:val="Paragrafoelenco"/>
        <w:numPr>
          <w:ilvl w:val="0"/>
          <w:numId w:val="3"/>
        </w:numPr>
        <w:rPr>
          <w:rFonts w:cs="Arial"/>
          <w:b/>
          <w:bCs/>
          <w:color w:val="auto"/>
          <w:sz w:val="24"/>
          <w:szCs w:val="24"/>
          <w:lang w:eastAsia="en-US"/>
        </w:rPr>
      </w:pPr>
      <w:r>
        <w:rPr>
          <w:rFonts w:cs="Arial"/>
          <w:b/>
          <w:bCs/>
          <w:color w:val="auto"/>
          <w:sz w:val="24"/>
          <w:szCs w:val="24"/>
          <w:lang w:eastAsia="en-US"/>
        </w:rPr>
        <w:t>I</w:t>
      </w:r>
      <w:r w:rsidR="00F65679" w:rsidRPr="00F65679">
        <w:rPr>
          <w:rFonts w:cs="Arial"/>
          <w:b/>
          <w:bCs/>
          <w:color w:val="auto"/>
          <w:sz w:val="24"/>
          <w:szCs w:val="24"/>
          <w:lang w:eastAsia="en-US"/>
        </w:rPr>
        <w:t xml:space="preserve">l tempo medio di chiusura di una esecuzione </w:t>
      </w:r>
      <w:r w:rsidR="00D37867">
        <w:rPr>
          <w:rFonts w:cs="Arial"/>
          <w:b/>
          <w:bCs/>
          <w:color w:val="auto"/>
          <w:sz w:val="24"/>
          <w:szCs w:val="24"/>
          <w:lang w:eastAsia="en-US"/>
        </w:rPr>
        <w:t>i</w:t>
      </w:r>
      <w:r w:rsidR="00F65679" w:rsidRPr="00F65679">
        <w:rPr>
          <w:rFonts w:cs="Arial"/>
          <w:b/>
          <w:bCs/>
          <w:color w:val="auto"/>
          <w:sz w:val="24"/>
          <w:szCs w:val="24"/>
          <w:lang w:eastAsia="en-US"/>
        </w:rPr>
        <w:t>mmobiliare</w:t>
      </w:r>
      <w:r w:rsidR="00F65679">
        <w:rPr>
          <w:rFonts w:cs="Arial"/>
          <w:b/>
          <w:bCs/>
          <w:color w:val="auto"/>
          <w:sz w:val="24"/>
          <w:szCs w:val="24"/>
          <w:lang w:eastAsia="en-US"/>
        </w:rPr>
        <w:t xml:space="preserve"> (chiusa nel 2019)</w:t>
      </w:r>
      <w:r w:rsidR="00F65679" w:rsidRPr="00F65679">
        <w:rPr>
          <w:rFonts w:cs="Arial"/>
          <w:b/>
          <w:bCs/>
          <w:color w:val="auto"/>
          <w:sz w:val="24"/>
          <w:szCs w:val="24"/>
          <w:lang w:eastAsia="en-US"/>
        </w:rPr>
        <w:t>, è stat</w:t>
      </w:r>
      <w:r w:rsidR="00F65679">
        <w:rPr>
          <w:rFonts w:cs="Arial"/>
          <w:b/>
          <w:bCs/>
          <w:color w:val="auto"/>
          <w:sz w:val="24"/>
          <w:szCs w:val="24"/>
          <w:lang w:eastAsia="en-US"/>
        </w:rPr>
        <w:t>o</w:t>
      </w:r>
      <w:r w:rsidR="00F65679" w:rsidRPr="00F65679">
        <w:rPr>
          <w:rFonts w:cs="Arial"/>
          <w:b/>
          <w:bCs/>
          <w:color w:val="auto"/>
          <w:sz w:val="24"/>
          <w:szCs w:val="24"/>
          <w:lang w:eastAsia="en-US"/>
        </w:rPr>
        <w:t xml:space="preserve"> di 2.172 giorni (5 anni, 11 mesi e 12 giorni)</w:t>
      </w:r>
    </w:p>
    <w:p w:rsidR="00A47708" w:rsidRDefault="00344281" w:rsidP="007616A1">
      <w:pPr>
        <w:pStyle w:val="Paragrafoelenco"/>
        <w:numPr>
          <w:ilvl w:val="0"/>
          <w:numId w:val="3"/>
        </w:numPr>
        <w:rPr>
          <w:rFonts w:cs="Arial"/>
          <w:b/>
          <w:bCs/>
          <w:color w:val="auto"/>
          <w:sz w:val="24"/>
          <w:szCs w:val="24"/>
          <w:lang w:eastAsia="en-US"/>
        </w:rPr>
      </w:pPr>
      <w:r w:rsidRPr="00344281">
        <w:rPr>
          <w:rFonts w:cs="Arial"/>
          <w:b/>
          <w:bCs/>
          <w:color w:val="auto"/>
          <w:sz w:val="24"/>
          <w:szCs w:val="24"/>
          <w:lang w:eastAsia="en-US"/>
        </w:rPr>
        <w:t xml:space="preserve">1 Immobile in asta ogni 114 </w:t>
      </w:r>
      <w:r w:rsidR="00EF6A0C">
        <w:rPr>
          <w:rFonts w:cs="Arial"/>
          <w:b/>
          <w:bCs/>
          <w:color w:val="auto"/>
          <w:sz w:val="24"/>
          <w:szCs w:val="24"/>
          <w:lang w:eastAsia="en-US"/>
        </w:rPr>
        <w:t>f</w:t>
      </w:r>
      <w:r w:rsidRPr="00344281">
        <w:rPr>
          <w:rFonts w:cs="Arial"/>
          <w:b/>
          <w:bCs/>
          <w:color w:val="auto"/>
          <w:sz w:val="24"/>
          <w:szCs w:val="24"/>
          <w:lang w:eastAsia="en-US"/>
        </w:rPr>
        <w:t>amiglie</w:t>
      </w:r>
      <w:r w:rsidR="00EF6A0C">
        <w:rPr>
          <w:rFonts w:cs="Arial"/>
          <w:b/>
          <w:bCs/>
          <w:color w:val="auto"/>
          <w:sz w:val="24"/>
          <w:szCs w:val="24"/>
          <w:lang w:eastAsia="en-US"/>
        </w:rPr>
        <w:t xml:space="preserve"> italiane </w:t>
      </w:r>
    </w:p>
    <w:p w:rsidR="00344281" w:rsidRPr="00344281" w:rsidRDefault="00344281" w:rsidP="007616A1">
      <w:pPr>
        <w:pStyle w:val="Paragrafoelenco"/>
        <w:numPr>
          <w:ilvl w:val="0"/>
          <w:numId w:val="3"/>
        </w:numPr>
        <w:rPr>
          <w:rFonts w:cs="Arial"/>
          <w:b/>
          <w:bCs/>
          <w:color w:val="auto"/>
          <w:sz w:val="24"/>
          <w:szCs w:val="24"/>
          <w:lang w:eastAsia="en-US"/>
        </w:rPr>
      </w:pPr>
      <w:r>
        <w:rPr>
          <w:rFonts w:cs="Arial"/>
          <w:b/>
          <w:bCs/>
          <w:color w:val="auto"/>
          <w:sz w:val="24"/>
          <w:szCs w:val="24"/>
          <w:lang w:eastAsia="en-US"/>
        </w:rPr>
        <w:t xml:space="preserve">In un comune medio di 50.000 abitanti, che conta circa 20.800 famiglie, vi sono circa 185 </w:t>
      </w:r>
      <w:r w:rsidR="00C47E1E">
        <w:rPr>
          <w:rFonts w:cs="Arial"/>
          <w:b/>
          <w:bCs/>
          <w:color w:val="auto"/>
          <w:sz w:val="24"/>
          <w:szCs w:val="24"/>
          <w:lang w:eastAsia="en-US"/>
        </w:rPr>
        <w:t>i</w:t>
      </w:r>
      <w:r>
        <w:rPr>
          <w:rFonts w:cs="Arial"/>
          <w:b/>
          <w:bCs/>
          <w:color w:val="auto"/>
          <w:sz w:val="24"/>
          <w:szCs w:val="24"/>
          <w:lang w:eastAsia="en-US"/>
        </w:rPr>
        <w:t>mmobili in asta</w:t>
      </w:r>
    </w:p>
    <w:p w:rsidR="003A0DAE" w:rsidRDefault="003A0DAE" w:rsidP="003A0DAE">
      <w:pPr>
        <w:rPr>
          <w:rFonts w:cs="Arial"/>
          <w:b/>
        </w:rPr>
      </w:pPr>
    </w:p>
    <w:p w:rsidR="004643C8" w:rsidRPr="00A72C2B" w:rsidRDefault="00B06E9C" w:rsidP="00725BFA">
      <w:pPr>
        <w:jc w:val="both"/>
        <w:rPr>
          <w:rFonts w:ascii="Arial" w:hAnsi="Arial" w:cs="Arial"/>
          <w:b/>
          <w:bCs/>
          <w:sz w:val="16"/>
          <w:szCs w:val="16"/>
        </w:rPr>
      </w:pPr>
      <w:bookmarkStart w:id="0" w:name="_GoBack"/>
      <w:r w:rsidRPr="00B06E9C">
        <w:rPr>
          <w:rFonts w:cs="Arial"/>
          <w:i/>
          <w:iCs/>
        </w:rPr>
        <w:t>Milano, 16 gennaio</w:t>
      </w:r>
      <w:r>
        <w:rPr>
          <w:rFonts w:cs="Arial"/>
        </w:rPr>
        <w:t xml:space="preserve"> </w:t>
      </w:r>
      <w:bookmarkEnd w:id="0"/>
      <w:r>
        <w:rPr>
          <w:rFonts w:cs="Arial"/>
        </w:rPr>
        <w:t xml:space="preserve">- </w:t>
      </w:r>
      <w:r w:rsidR="006218A4" w:rsidRPr="00B05401">
        <w:rPr>
          <w:rFonts w:cs="Arial"/>
        </w:rPr>
        <w:t>S</w:t>
      </w:r>
      <w:r w:rsidR="004504B7" w:rsidRPr="00B05401">
        <w:rPr>
          <w:rFonts w:cs="Arial"/>
        </w:rPr>
        <w:t xml:space="preserve">ono state </w:t>
      </w:r>
      <w:r w:rsidR="00494E53" w:rsidRPr="00B05401">
        <w:rPr>
          <w:rFonts w:cs="Arial"/>
          <w:b/>
        </w:rPr>
        <w:t>2</w:t>
      </w:r>
      <w:r w:rsidR="00ED06DA">
        <w:rPr>
          <w:rFonts w:cs="Arial"/>
          <w:b/>
        </w:rPr>
        <w:t>0</w:t>
      </w:r>
      <w:r w:rsidR="00494E53" w:rsidRPr="00B05401">
        <w:rPr>
          <w:rFonts w:cs="Arial"/>
          <w:b/>
        </w:rPr>
        <w:t>4.</w:t>
      </w:r>
      <w:r w:rsidR="00ED06DA">
        <w:rPr>
          <w:rFonts w:cs="Arial"/>
          <w:b/>
        </w:rPr>
        <w:t>632</w:t>
      </w:r>
      <w:r w:rsidR="004504B7" w:rsidRPr="00B05401">
        <w:rPr>
          <w:rFonts w:cs="Arial"/>
          <w:b/>
        </w:rPr>
        <w:t xml:space="preserve"> le </w:t>
      </w:r>
      <w:r w:rsidR="00725BFA" w:rsidRPr="00B05401">
        <w:rPr>
          <w:rFonts w:cs="Arial"/>
          <w:b/>
        </w:rPr>
        <w:t xml:space="preserve">aste </w:t>
      </w:r>
      <w:r w:rsidR="004504B7" w:rsidRPr="00B05401">
        <w:rPr>
          <w:rFonts w:cs="Arial"/>
          <w:b/>
        </w:rPr>
        <w:t>immobiliare nel 201</w:t>
      </w:r>
      <w:r w:rsidR="00ED06DA">
        <w:rPr>
          <w:rFonts w:cs="Arial"/>
          <w:b/>
        </w:rPr>
        <w:t>9</w:t>
      </w:r>
      <w:r w:rsidR="004504B7" w:rsidRPr="00B05401">
        <w:rPr>
          <w:rFonts w:cs="Arial"/>
        </w:rPr>
        <w:t xml:space="preserve">. </w:t>
      </w:r>
      <w:r w:rsidR="00671879" w:rsidRPr="00B05401">
        <w:rPr>
          <w:rFonts w:cs="Arial"/>
        </w:rPr>
        <w:t>Questo</w:t>
      </w:r>
      <w:r w:rsidR="004504B7" w:rsidRPr="00B05401">
        <w:rPr>
          <w:rFonts w:cs="Arial"/>
        </w:rPr>
        <w:t xml:space="preserve"> </w:t>
      </w:r>
      <w:r w:rsidR="00725BFA" w:rsidRPr="00B05401">
        <w:rPr>
          <w:rFonts w:cs="Arial"/>
        </w:rPr>
        <w:t>quanto emerge dal</w:t>
      </w:r>
      <w:r w:rsidR="00671879" w:rsidRPr="00B05401">
        <w:rPr>
          <w:rFonts w:cs="Arial"/>
        </w:rPr>
        <w:t xml:space="preserve"> “</w:t>
      </w:r>
      <w:r w:rsidR="006218A4" w:rsidRPr="00B05401">
        <w:rPr>
          <w:rFonts w:cs="Arial"/>
        </w:rPr>
        <w:t>R</w:t>
      </w:r>
      <w:r w:rsidR="00671879" w:rsidRPr="00B05401">
        <w:rPr>
          <w:rFonts w:cs="Arial"/>
        </w:rPr>
        <w:t>eport Aste”</w:t>
      </w:r>
      <w:r w:rsidR="007F449D" w:rsidRPr="00B05401">
        <w:rPr>
          <w:rFonts w:cs="Arial"/>
        </w:rPr>
        <w:t xml:space="preserve"> a cura di </w:t>
      </w:r>
      <w:proofErr w:type="spellStart"/>
      <w:r w:rsidR="007F449D" w:rsidRPr="00B05401">
        <w:rPr>
          <w:rFonts w:cs="Arial"/>
          <w:b/>
        </w:rPr>
        <w:t>A</w:t>
      </w:r>
      <w:r w:rsidR="00D477DD">
        <w:rPr>
          <w:rFonts w:cs="Arial"/>
          <w:b/>
        </w:rPr>
        <w:t>stasy</w:t>
      </w:r>
      <w:proofErr w:type="spellEnd"/>
      <w:r w:rsidR="007F449D" w:rsidRPr="00B05401">
        <w:rPr>
          <w:rFonts w:cs="Arial"/>
          <w:b/>
        </w:rPr>
        <w:t xml:space="preserve"> Srl</w:t>
      </w:r>
      <w:r w:rsidR="00A72C2B">
        <w:rPr>
          <w:rFonts w:cs="Arial"/>
          <w:b/>
        </w:rPr>
        <w:t xml:space="preserve">, </w:t>
      </w:r>
      <w:r w:rsidR="00A72C2B" w:rsidRPr="00A72C2B">
        <w:rPr>
          <w:rFonts w:cs="Arial"/>
        </w:rPr>
        <w:t xml:space="preserve">società controllata da </w:t>
      </w:r>
      <w:r w:rsidR="00A72C2B" w:rsidRPr="00A72C2B">
        <w:rPr>
          <w:rFonts w:cs="Arial"/>
          <w:b/>
          <w:bCs/>
        </w:rPr>
        <w:t>RINA Prime Value Services Sp</w:t>
      </w:r>
      <w:r w:rsidR="00A72C2B">
        <w:rPr>
          <w:rFonts w:cs="Arial"/>
          <w:b/>
          <w:bCs/>
        </w:rPr>
        <w:t>a</w:t>
      </w:r>
      <w:r w:rsidR="00A72C2B" w:rsidRPr="00A72C2B">
        <w:rPr>
          <w:rFonts w:cs="Arial"/>
        </w:rPr>
        <w:t xml:space="preserve"> </w:t>
      </w:r>
      <w:r w:rsidR="00A72C2B">
        <w:rPr>
          <w:rFonts w:cs="Arial"/>
        </w:rPr>
        <w:t xml:space="preserve">e </w:t>
      </w:r>
      <w:r w:rsidR="00A72C2B" w:rsidRPr="006D3CC0">
        <w:rPr>
          <w:rFonts w:cs="Arial"/>
        </w:rPr>
        <w:t>prima</w:t>
      </w:r>
      <w:r w:rsidR="006D3CC0" w:rsidRPr="006D3CC0">
        <w:rPr>
          <w:rFonts w:cs="Arial"/>
        </w:rPr>
        <w:t xml:space="preserve"> e più completa struttura di Auction Real Estate italiana che si occupa dell'intera filiera della consulenza in esecuzioni immobiliari e di assistenza per procedure concorsuali ed esecutive</w:t>
      </w:r>
      <w:r w:rsidR="006D3CC0">
        <w:rPr>
          <w:rFonts w:cs="Arial"/>
        </w:rPr>
        <w:t xml:space="preserve">. </w:t>
      </w:r>
      <w:r w:rsidR="00101587" w:rsidRPr="00B05401">
        <w:rPr>
          <w:rFonts w:cs="Arial"/>
        </w:rPr>
        <w:t xml:space="preserve">I dati, raccolti dal </w:t>
      </w:r>
      <w:r w:rsidR="006218A4" w:rsidRPr="00B05401">
        <w:rPr>
          <w:rFonts w:cs="Arial"/>
        </w:rPr>
        <w:t>Comitato</w:t>
      </w:r>
      <w:r w:rsidR="00101587" w:rsidRPr="00B05401">
        <w:rPr>
          <w:rFonts w:cs="Arial"/>
        </w:rPr>
        <w:t xml:space="preserve"> </w:t>
      </w:r>
      <w:r w:rsidR="006218A4" w:rsidRPr="00B05401">
        <w:rPr>
          <w:rFonts w:cs="Arial"/>
        </w:rPr>
        <w:t>scientifico</w:t>
      </w:r>
      <w:r w:rsidR="00101587" w:rsidRPr="00B05401">
        <w:rPr>
          <w:rFonts w:cs="Arial"/>
        </w:rPr>
        <w:t xml:space="preserve"> </w:t>
      </w:r>
      <w:r w:rsidR="006218A4" w:rsidRPr="00B05401">
        <w:rPr>
          <w:rFonts w:cs="Arial"/>
        </w:rPr>
        <w:t>A</w:t>
      </w:r>
      <w:r w:rsidR="00D477DD">
        <w:rPr>
          <w:rFonts w:cs="Arial"/>
        </w:rPr>
        <w:t>stasy</w:t>
      </w:r>
      <w:r w:rsidR="006218A4" w:rsidRPr="00B05401">
        <w:rPr>
          <w:rFonts w:cs="Arial"/>
        </w:rPr>
        <w:t>,</w:t>
      </w:r>
      <w:r w:rsidR="00101587" w:rsidRPr="00B05401">
        <w:rPr>
          <w:rFonts w:cs="Arial"/>
        </w:rPr>
        <w:t xml:space="preserve"> sono stati </w:t>
      </w:r>
      <w:r w:rsidR="006218A4" w:rsidRPr="00B05401">
        <w:rPr>
          <w:rFonts w:cs="Arial"/>
        </w:rPr>
        <w:t>reperiti</w:t>
      </w:r>
      <w:r w:rsidR="00101587" w:rsidRPr="00B05401">
        <w:rPr>
          <w:rFonts w:cs="Arial"/>
        </w:rPr>
        <w:t xml:space="preserve"> dai siti uffic</w:t>
      </w:r>
      <w:r w:rsidR="006218A4" w:rsidRPr="00B05401">
        <w:rPr>
          <w:rFonts w:cs="Arial"/>
        </w:rPr>
        <w:t>iali autorizzati dal ministero d</w:t>
      </w:r>
      <w:r w:rsidR="00101587" w:rsidRPr="00B05401">
        <w:rPr>
          <w:rFonts w:cs="Arial"/>
        </w:rPr>
        <w:t xml:space="preserve">i Giustizia, dai siti ufficiali dei tribunali, dai siti </w:t>
      </w:r>
      <w:r w:rsidR="006218A4" w:rsidRPr="00B05401">
        <w:rPr>
          <w:rFonts w:cs="Arial"/>
        </w:rPr>
        <w:t>degli</w:t>
      </w:r>
      <w:r w:rsidR="00101587" w:rsidRPr="00B05401">
        <w:rPr>
          <w:rFonts w:cs="Arial"/>
        </w:rPr>
        <w:t xml:space="preserve"> </w:t>
      </w:r>
      <w:r w:rsidR="00725BFA" w:rsidRPr="00B05401">
        <w:rPr>
          <w:rFonts w:cs="Arial"/>
        </w:rPr>
        <w:t>istituti di vendit</w:t>
      </w:r>
      <w:r w:rsidR="006218A4" w:rsidRPr="00B05401">
        <w:rPr>
          <w:rFonts w:cs="Arial"/>
        </w:rPr>
        <w:t>a giudiziaria</w:t>
      </w:r>
      <w:r w:rsidR="00101587" w:rsidRPr="00B05401">
        <w:rPr>
          <w:rFonts w:cs="Arial"/>
        </w:rPr>
        <w:t xml:space="preserve"> e da quelli delle Associazioni </w:t>
      </w:r>
      <w:r w:rsidR="006218A4" w:rsidRPr="00B05401">
        <w:rPr>
          <w:rFonts w:cs="Arial"/>
        </w:rPr>
        <w:t>Notarili</w:t>
      </w:r>
      <w:r w:rsidR="00025C2B" w:rsidRPr="00B05401">
        <w:rPr>
          <w:rFonts w:cs="Arial"/>
        </w:rPr>
        <w:t>.</w:t>
      </w:r>
    </w:p>
    <w:p w:rsidR="006D3CC0" w:rsidRDefault="006D3CC0" w:rsidP="00082723">
      <w:pPr>
        <w:jc w:val="both"/>
        <w:rPr>
          <w:rFonts w:cs="Arial"/>
        </w:rPr>
      </w:pPr>
    </w:p>
    <w:p w:rsidR="000D67D4" w:rsidRDefault="00494E53" w:rsidP="000F128F">
      <w:pPr>
        <w:jc w:val="both"/>
        <w:rPr>
          <w:rFonts w:cs="Arial"/>
          <w:b/>
          <w:bCs/>
        </w:rPr>
      </w:pPr>
      <w:r w:rsidRPr="00B05401">
        <w:rPr>
          <w:rFonts w:cs="Arial"/>
        </w:rPr>
        <w:t>Rispetto al 201</w:t>
      </w:r>
      <w:r w:rsidR="00ED06DA">
        <w:rPr>
          <w:rFonts w:cs="Arial"/>
        </w:rPr>
        <w:t>8</w:t>
      </w:r>
      <w:r w:rsidR="006764E5" w:rsidRPr="00B05401">
        <w:rPr>
          <w:rFonts w:cs="Arial"/>
        </w:rPr>
        <w:t xml:space="preserve"> si nota un</w:t>
      </w:r>
      <w:r w:rsidR="00ED06DA">
        <w:rPr>
          <w:rFonts w:cs="Arial"/>
        </w:rPr>
        <w:t>a diminuzione</w:t>
      </w:r>
      <w:r w:rsidRPr="00B05401">
        <w:rPr>
          <w:rFonts w:cs="Arial"/>
        </w:rPr>
        <w:t xml:space="preserve"> </w:t>
      </w:r>
      <w:r w:rsidR="006764E5" w:rsidRPr="00B05401">
        <w:rPr>
          <w:rFonts w:cs="Arial"/>
        </w:rPr>
        <w:t xml:space="preserve">di esecuzioni pari al </w:t>
      </w:r>
      <w:r w:rsidR="00ED06DA">
        <w:rPr>
          <w:rFonts w:cs="Arial"/>
          <w:b/>
        </w:rPr>
        <w:t>16</w:t>
      </w:r>
      <w:r w:rsidRPr="00B05401">
        <w:rPr>
          <w:rFonts w:cs="Arial"/>
          <w:b/>
        </w:rPr>
        <w:t>,</w:t>
      </w:r>
      <w:r w:rsidR="00ED06DA">
        <w:rPr>
          <w:rFonts w:cs="Arial"/>
          <w:b/>
        </w:rPr>
        <w:t>5</w:t>
      </w:r>
      <w:r w:rsidR="006764E5" w:rsidRPr="00B05401">
        <w:rPr>
          <w:rFonts w:cs="Arial"/>
          <w:b/>
        </w:rPr>
        <w:t>%,</w:t>
      </w:r>
      <w:r w:rsidR="006764E5" w:rsidRPr="00B05401">
        <w:rPr>
          <w:rFonts w:cs="Arial"/>
        </w:rPr>
        <w:t xml:space="preserve"> passa</w:t>
      </w:r>
      <w:r w:rsidR="006218A4" w:rsidRPr="00B05401">
        <w:rPr>
          <w:rFonts w:cs="Arial"/>
        </w:rPr>
        <w:t>ndo infatti da</w:t>
      </w:r>
      <w:r w:rsidR="00ED06DA">
        <w:rPr>
          <w:rFonts w:cs="Arial"/>
        </w:rPr>
        <w:t xml:space="preserve">lle </w:t>
      </w:r>
      <w:r w:rsidRPr="00B05401">
        <w:rPr>
          <w:rFonts w:cs="Arial"/>
        </w:rPr>
        <w:t>245.100 del 2018</w:t>
      </w:r>
      <w:r w:rsidR="00ED06DA">
        <w:rPr>
          <w:rFonts w:cs="Arial"/>
        </w:rPr>
        <w:t xml:space="preserve"> alle </w:t>
      </w:r>
      <w:r w:rsidR="00ED06DA" w:rsidRPr="00ED06DA">
        <w:rPr>
          <w:rFonts w:cs="Arial"/>
          <w:bCs/>
        </w:rPr>
        <w:t>204.632 del 2019</w:t>
      </w:r>
      <w:r w:rsidR="000F128F">
        <w:rPr>
          <w:rFonts w:cs="Arial"/>
          <w:bCs/>
        </w:rPr>
        <w:t>,</w:t>
      </w:r>
      <w:r w:rsidR="000D67D4">
        <w:rPr>
          <w:rFonts w:cs="Arial"/>
          <w:bCs/>
        </w:rPr>
        <w:t xml:space="preserve"> </w:t>
      </w:r>
      <w:r w:rsidR="000F128F">
        <w:rPr>
          <w:rFonts w:cs="Arial"/>
        </w:rPr>
        <w:t>pe</w:t>
      </w:r>
      <w:r w:rsidR="000D67D4" w:rsidRPr="000D67D4">
        <w:rPr>
          <w:rFonts w:cs="Arial"/>
        </w:rPr>
        <w:t>r un controvalore di immobili a base d’asta pari a</w:t>
      </w:r>
      <w:r w:rsidR="000F128F">
        <w:rPr>
          <w:rFonts w:cs="Arial"/>
        </w:rPr>
        <w:t xml:space="preserve"> </w:t>
      </w:r>
      <w:r w:rsidR="000D67D4" w:rsidRPr="000F128F">
        <w:rPr>
          <w:rFonts w:cs="Arial"/>
          <w:b/>
          <w:bCs/>
        </w:rPr>
        <w:t>28.446.933.776</w:t>
      </w:r>
      <w:r w:rsidR="000F128F" w:rsidRPr="000F128F">
        <w:rPr>
          <w:rFonts w:cs="Arial"/>
          <w:b/>
          <w:bCs/>
        </w:rPr>
        <w:t xml:space="preserve"> di euro.</w:t>
      </w:r>
    </w:p>
    <w:p w:rsidR="00C65819" w:rsidRDefault="00C65819" w:rsidP="000F128F">
      <w:pPr>
        <w:jc w:val="both"/>
        <w:rPr>
          <w:rFonts w:cs="Arial"/>
          <w:b/>
          <w:bCs/>
        </w:rPr>
      </w:pPr>
    </w:p>
    <w:p w:rsidR="00C65819" w:rsidRDefault="00C65819" w:rsidP="00C47E1E">
      <w:pPr>
        <w:jc w:val="both"/>
        <w:rPr>
          <w:i/>
          <w:iCs/>
        </w:rPr>
      </w:pPr>
      <w:r>
        <w:t>“</w:t>
      </w:r>
      <w:r w:rsidRPr="00E364D6">
        <w:rPr>
          <w:i/>
          <w:iCs/>
        </w:rPr>
        <w:t xml:space="preserve">Due dei dati più importanti che emergono dall’ultimo report </w:t>
      </w:r>
      <w:r>
        <w:rPr>
          <w:i/>
          <w:iCs/>
        </w:rPr>
        <w:t xml:space="preserve">Astasy </w:t>
      </w:r>
      <w:r w:rsidRPr="00E364D6">
        <w:rPr>
          <w:i/>
          <w:iCs/>
        </w:rPr>
        <w:t>sono quelli che riguardano le aste estinte per rinuncia e le aste sospese</w:t>
      </w:r>
      <w:r>
        <w:t xml:space="preserve">, </w:t>
      </w:r>
      <w:r w:rsidRPr="000D67D4">
        <w:rPr>
          <w:i/>
          <w:iCs/>
        </w:rPr>
        <w:t xml:space="preserve">con una percentuale rispettivamente del 2,81% e 1,61%. </w:t>
      </w:r>
      <w:r w:rsidR="00B57E52">
        <w:rPr>
          <w:i/>
          <w:iCs/>
        </w:rPr>
        <w:t xml:space="preserve">– </w:t>
      </w:r>
      <w:r w:rsidR="00B57E52" w:rsidRPr="00B57E52">
        <w:t xml:space="preserve">dichiara </w:t>
      </w:r>
      <w:r w:rsidR="00B57E52" w:rsidRPr="00B57E52">
        <w:rPr>
          <w:b/>
          <w:bCs/>
        </w:rPr>
        <w:t xml:space="preserve">Mirko Frigerio, </w:t>
      </w:r>
      <w:r w:rsidR="00C47E1E">
        <w:rPr>
          <w:b/>
          <w:bCs/>
        </w:rPr>
        <w:t>V</w:t>
      </w:r>
      <w:r w:rsidR="00C47E1E" w:rsidRPr="00C47E1E">
        <w:rPr>
          <w:b/>
          <w:bCs/>
        </w:rPr>
        <w:t>icepresidente Esecutivo Astasy e Presidente del Comitato Scientifico Asta</w:t>
      </w:r>
      <w:r w:rsidR="00793F84">
        <w:rPr>
          <w:b/>
          <w:bCs/>
        </w:rPr>
        <w:t>s</w:t>
      </w:r>
      <w:r w:rsidR="00C47E1E" w:rsidRPr="00C47E1E">
        <w:rPr>
          <w:b/>
          <w:bCs/>
        </w:rPr>
        <w:t>y Analytics</w:t>
      </w:r>
      <w:r w:rsidR="00C47E1E">
        <w:rPr>
          <w:b/>
          <w:bCs/>
        </w:rPr>
        <w:t xml:space="preserve"> </w:t>
      </w:r>
      <w:r w:rsidR="00C47E1E" w:rsidRPr="00C47E1E">
        <w:rPr>
          <w:b/>
          <w:bCs/>
        </w:rPr>
        <w:t xml:space="preserve">- </w:t>
      </w:r>
      <w:r w:rsidRPr="000D67D4">
        <w:rPr>
          <w:i/>
          <w:iCs/>
        </w:rPr>
        <w:t xml:space="preserve">Trattasi infatti di numeri positivi, perché riguardano tutte quelle aste che vengono chiuse grazie ad accordi extragiudiziali tra creditore (banche) e debitore, cioè procedure come ad esempio il saldo e stralcio o accordi finalizzati grazie all’intervento di un consulente del settore. </w:t>
      </w:r>
      <w:r>
        <w:rPr>
          <w:i/>
          <w:iCs/>
        </w:rPr>
        <w:t xml:space="preserve">In questo caso, tutti i soggetti coinvolti nell’esecuzione immobiliare, ne traggono un beneficio: chi estingue il debito e chi riscuote il credito, senza dover aspettare i tempi della giustizia e senza subire l’eccessiva svalutazione dell’immobile stesso.  </w:t>
      </w:r>
      <w:r w:rsidRPr="000D67D4">
        <w:rPr>
          <w:i/>
          <w:iCs/>
        </w:rPr>
        <w:t>Come Astasy, stimiamo che il prossimo anno le aste estinte per rinuncia saliranno al 4%”.</w:t>
      </w:r>
    </w:p>
    <w:p w:rsidR="00C47E1E" w:rsidRPr="00C47E1E" w:rsidRDefault="00C47E1E" w:rsidP="00C47E1E">
      <w:pPr>
        <w:rPr>
          <w:b/>
          <w:bCs/>
        </w:rPr>
      </w:pPr>
    </w:p>
    <w:p w:rsidR="00EF6A0C" w:rsidRPr="00EF6A0C" w:rsidRDefault="00F65679" w:rsidP="00EF6A0C">
      <w:pPr>
        <w:jc w:val="both"/>
        <w:rPr>
          <w:rFonts w:cs="Arial"/>
          <w:b/>
          <w:bCs/>
        </w:rPr>
      </w:pPr>
      <w:r w:rsidRPr="00EF6A0C">
        <w:rPr>
          <w:rFonts w:cs="Arial"/>
          <w:b/>
          <w:bCs/>
        </w:rPr>
        <w:t>DISTRIBUZIONE GEOGRAFICA</w:t>
      </w:r>
      <w:r w:rsidRPr="00EF6A0C">
        <w:rPr>
          <w:rFonts w:cs="Arial"/>
        </w:rPr>
        <w:t xml:space="preserve">. </w:t>
      </w:r>
      <w:r w:rsidR="00725BFA" w:rsidRPr="00EF6A0C">
        <w:rPr>
          <w:rFonts w:cs="Arial"/>
        </w:rPr>
        <w:t>Il report</w:t>
      </w:r>
      <w:r w:rsidR="00CA17CB" w:rsidRPr="00EF6A0C">
        <w:rPr>
          <w:rFonts w:cs="Arial"/>
        </w:rPr>
        <w:t xml:space="preserve"> </w:t>
      </w:r>
      <w:r w:rsidR="00FE302F" w:rsidRPr="00EF6A0C">
        <w:rPr>
          <w:rFonts w:cs="Arial"/>
        </w:rPr>
        <w:t>mostra come la maggior concentrazione di</w:t>
      </w:r>
      <w:r w:rsidR="0052722F" w:rsidRPr="00EF6A0C">
        <w:rPr>
          <w:rFonts w:cs="Arial"/>
        </w:rPr>
        <w:t xml:space="preserve"> esecuzioni immobiliare sia al </w:t>
      </w:r>
      <w:r w:rsidR="0052722F" w:rsidRPr="00EF6A0C">
        <w:rPr>
          <w:rFonts w:cs="Arial"/>
          <w:b/>
        </w:rPr>
        <w:t>N</w:t>
      </w:r>
      <w:r w:rsidR="00B05401" w:rsidRPr="00EF6A0C">
        <w:rPr>
          <w:rFonts w:cs="Arial"/>
          <w:b/>
        </w:rPr>
        <w:t>ord con il</w:t>
      </w:r>
      <w:r w:rsidR="00494E53" w:rsidRPr="00EF6A0C">
        <w:rPr>
          <w:rFonts w:cs="Arial"/>
          <w:b/>
        </w:rPr>
        <w:t xml:space="preserve"> </w:t>
      </w:r>
      <w:r w:rsidR="00ED06DA" w:rsidRPr="00EF6A0C">
        <w:rPr>
          <w:rFonts w:cs="Arial"/>
          <w:b/>
        </w:rPr>
        <w:t>4</w:t>
      </w:r>
      <w:r w:rsidR="00494E53" w:rsidRPr="00EF6A0C">
        <w:rPr>
          <w:rFonts w:cs="Arial"/>
          <w:b/>
        </w:rPr>
        <w:t>6</w:t>
      </w:r>
      <w:r w:rsidR="00FE302F" w:rsidRPr="00EF6A0C">
        <w:rPr>
          <w:rFonts w:cs="Arial"/>
          <w:b/>
        </w:rPr>
        <w:t>%</w:t>
      </w:r>
      <w:r w:rsidR="00FE302F" w:rsidRPr="00EF6A0C">
        <w:rPr>
          <w:rFonts w:cs="Arial"/>
        </w:rPr>
        <w:t xml:space="preserve">, per poi proseguire </w:t>
      </w:r>
      <w:r w:rsidR="0052722F" w:rsidRPr="00EF6A0C">
        <w:rPr>
          <w:rFonts w:cs="Arial"/>
        </w:rPr>
        <w:t xml:space="preserve">al </w:t>
      </w:r>
      <w:r w:rsidR="0052722F" w:rsidRPr="00EF6A0C">
        <w:rPr>
          <w:rFonts w:cs="Arial"/>
          <w:b/>
        </w:rPr>
        <w:t>C</w:t>
      </w:r>
      <w:r w:rsidR="00494E53" w:rsidRPr="00EF6A0C">
        <w:rPr>
          <w:rFonts w:cs="Arial"/>
          <w:b/>
        </w:rPr>
        <w:t xml:space="preserve">entro con un </w:t>
      </w:r>
      <w:r w:rsidR="00ED06DA" w:rsidRPr="00EF6A0C">
        <w:rPr>
          <w:rFonts w:cs="Arial"/>
          <w:b/>
        </w:rPr>
        <w:t>24</w:t>
      </w:r>
      <w:r w:rsidR="00FE302F" w:rsidRPr="00EF6A0C">
        <w:rPr>
          <w:rFonts w:cs="Arial"/>
          <w:b/>
        </w:rPr>
        <w:t>%</w:t>
      </w:r>
      <w:r w:rsidR="0052722F" w:rsidRPr="00EF6A0C">
        <w:rPr>
          <w:rFonts w:cs="Arial"/>
        </w:rPr>
        <w:t xml:space="preserve"> fino ad arrivare al </w:t>
      </w:r>
      <w:r w:rsidR="0052722F" w:rsidRPr="00EF6A0C">
        <w:rPr>
          <w:rFonts w:cs="Arial"/>
          <w:b/>
        </w:rPr>
        <w:t>S</w:t>
      </w:r>
      <w:r w:rsidR="00FE302F" w:rsidRPr="00EF6A0C">
        <w:rPr>
          <w:rFonts w:cs="Arial"/>
          <w:b/>
        </w:rPr>
        <w:t xml:space="preserve">ud </w:t>
      </w:r>
      <w:r w:rsidR="00494E53" w:rsidRPr="00EF6A0C">
        <w:rPr>
          <w:rFonts w:cs="Arial"/>
          <w:b/>
        </w:rPr>
        <w:t>(1</w:t>
      </w:r>
      <w:r w:rsidR="0014594F" w:rsidRPr="00EF6A0C">
        <w:rPr>
          <w:rFonts w:cs="Arial"/>
          <w:b/>
        </w:rPr>
        <w:t>8</w:t>
      </w:r>
      <w:r w:rsidR="00FE302F" w:rsidRPr="00EF6A0C">
        <w:rPr>
          <w:rFonts w:cs="Arial"/>
          <w:b/>
        </w:rPr>
        <w:t>%)</w:t>
      </w:r>
      <w:r w:rsidR="00FE302F" w:rsidRPr="00EF6A0C">
        <w:rPr>
          <w:rFonts w:cs="Arial"/>
        </w:rPr>
        <w:t xml:space="preserve"> e alle </w:t>
      </w:r>
      <w:r w:rsidR="00FE302F" w:rsidRPr="00EF6A0C">
        <w:rPr>
          <w:rFonts w:cs="Arial"/>
          <w:b/>
        </w:rPr>
        <w:t xml:space="preserve">Isole </w:t>
      </w:r>
      <w:r w:rsidR="00494E53" w:rsidRPr="00EF6A0C">
        <w:rPr>
          <w:rFonts w:cs="Arial"/>
          <w:b/>
        </w:rPr>
        <w:t>(12</w:t>
      </w:r>
      <w:r w:rsidR="00FE302F" w:rsidRPr="00EF6A0C">
        <w:rPr>
          <w:rFonts w:cs="Arial"/>
          <w:b/>
        </w:rPr>
        <w:t>%).</w:t>
      </w:r>
      <w:r w:rsidR="00FE302F" w:rsidRPr="00EF6A0C">
        <w:rPr>
          <w:rFonts w:cs="Arial"/>
        </w:rPr>
        <w:t xml:space="preserve"> </w:t>
      </w:r>
      <w:r w:rsidR="00EF6A0C" w:rsidRPr="00EF6A0C">
        <w:rPr>
          <w:rFonts w:cs="Arial"/>
        </w:rPr>
        <w:t xml:space="preserve"> In un comune medio di 50.000 abitanti, che conta circa 20.800 famiglie, </w:t>
      </w:r>
      <w:r w:rsidR="00EF6A0C" w:rsidRPr="00EF6A0C">
        <w:rPr>
          <w:rFonts w:cs="Arial"/>
        </w:rPr>
        <w:lastRenderedPageBreak/>
        <w:t xml:space="preserve">vi sono circa 185 immobili in asta. La media nazionale è di </w:t>
      </w:r>
      <w:r w:rsidR="00EF6A0C" w:rsidRPr="00EF6A0C">
        <w:rPr>
          <w:rFonts w:cs="Arial"/>
          <w:b/>
          <w:bCs/>
        </w:rPr>
        <w:t>1 Immobile in asta ogni 114 famiglie italiane</w:t>
      </w:r>
      <w:r w:rsidR="00EF6A0C">
        <w:rPr>
          <w:rFonts w:cs="Arial"/>
          <w:b/>
          <w:bCs/>
        </w:rPr>
        <w:t>.</w:t>
      </w:r>
    </w:p>
    <w:p w:rsidR="00EF6A0C" w:rsidRPr="00EF6A0C" w:rsidRDefault="00EF6A0C" w:rsidP="00EF6A0C">
      <w:pPr>
        <w:jc w:val="both"/>
        <w:rPr>
          <w:rFonts w:cs="Arial"/>
        </w:rPr>
      </w:pPr>
    </w:p>
    <w:p w:rsidR="006764E5" w:rsidRPr="00F65679" w:rsidRDefault="006764E5" w:rsidP="00EF6A0C">
      <w:pPr>
        <w:jc w:val="both"/>
        <w:rPr>
          <w:rFonts w:cs="Arial"/>
        </w:rPr>
      </w:pPr>
    </w:p>
    <w:p w:rsidR="002E2BD1" w:rsidRDefault="002E2BD1" w:rsidP="00082723">
      <w:pPr>
        <w:jc w:val="both"/>
        <w:rPr>
          <w:rFonts w:ascii="Arial" w:hAnsi="Arial" w:cs="Arial"/>
        </w:rPr>
      </w:pPr>
    </w:p>
    <w:p w:rsidR="002E2BD1" w:rsidRDefault="00ED06DA" w:rsidP="00494E53">
      <w:pPr>
        <w:jc w:val="center"/>
        <w:rPr>
          <w:rFonts w:ascii="Arial" w:hAnsi="Arial" w:cs="Arial"/>
        </w:rPr>
      </w:pPr>
      <w:r>
        <w:rPr>
          <w:noProof/>
          <w:lang w:eastAsia="it-IT"/>
        </w:rPr>
        <w:drawing>
          <wp:inline distT="0" distB="0" distL="0" distR="0">
            <wp:extent cx="4913194" cy="2315902"/>
            <wp:effectExtent l="0" t="0" r="1905" b="8255"/>
            <wp:docPr id="6" name="Grafico 6" descr="Frammentazione geografic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43C8" w:rsidRDefault="004643C8" w:rsidP="002E2BD1">
      <w:pPr>
        <w:jc w:val="center"/>
        <w:rPr>
          <w:rFonts w:ascii="Arial" w:hAnsi="Arial" w:cs="Arial"/>
        </w:rPr>
      </w:pPr>
    </w:p>
    <w:p w:rsidR="001426B8" w:rsidRPr="00B05401" w:rsidRDefault="00346698" w:rsidP="006D3CC0">
      <w:pPr>
        <w:jc w:val="both"/>
        <w:rPr>
          <w:rFonts w:cs="Arial"/>
        </w:rPr>
      </w:pPr>
      <w:r w:rsidRPr="00C47E1E">
        <w:rPr>
          <w:rFonts w:cs="Arial"/>
        </w:rPr>
        <w:t xml:space="preserve">Sono ai primi </w:t>
      </w:r>
      <w:r w:rsidR="00D477DD" w:rsidRPr="00C47E1E">
        <w:rPr>
          <w:rFonts w:cs="Arial"/>
        </w:rPr>
        <w:t>5 posti per numero di esecuzioni</w:t>
      </w:r>
      <w:r w:rsidRPr="00C47E1E">
        <w:rPr>
          <w:rFonts w:cs="Arial"/>
        </w:rPr>
        <w:t xml:space="preserve">, con oltre il </w:t>
      </w:r>
      <w:r w:rsidR="00996E1C" w:rsidRPr="00C47E1E">
        <w:rPr>
          <w:rFonts w:cs="Arial"/>
        </w:rPr>
        <w:t>51</w:t>
      </w:r>
      <w:r w:rsidRPr="00C47E1E">
        <w:rPr>
          <w:rFonts w:cs="Arial"/>
        </w:rPr>
        <w:t xml:space="preserve">% del totale delle esecuzioni italiane, </w:t>
      </w:r>
      <w:r w:rsidR="00996E1C" w:rsidRPr="00C47E1E">
        <w:rPr>
          <w:rFonts w:cs="Arial"/>
        </w:rPr>
        <w:t xml:space="preserve">la </w:t>
      </w:r>
      <w:r w:rsidR="00996E1C" w:rsidRPr="00C47E1E">
        <w:rPr>
          <w:rFonts w:cs="Arial"/>
          <w:b/>
        </w:rPr>
        <w:t>Lombardia con il 18,66%</w:t>
      </w:r>
      <w:r w:rsidR="00996E1C" w:rsidRPr="00C47E1E">
        <w:rPr>
          <w:rFonts w:cs="Arial"/>
        </w:rPr>
        <w:t xml:space="preserve">, a seguire la </w:t>
      </w:r>
      <w:r w:rsidR="00996E1C" w:rsidRPr="00C47E1E">
        <w:rPr>
          <w:rFonts w:cs="Arial"/>
          <w:b/>
        </w:rPr>
        <w:t>Sicilia (9,38%)</w:t>
      </w:r>
      <w:r w:rsidR="00996E1C" w:rsidRPr="00C47E1E">
        <w:rPr>
          <w:rFonts w:cs="Arial"/>
        </w:rPr>
        <w:t xml:space="preserve">, </w:t>
      </w:r>
      <w:r w:rsidR="00996E1C" w:rsidRPr="00C47E1E">
        <w:rPr>
          <w:rFonts w:cs="Arial"/>
          <w:b/>
          <w:bCs/>
        </w:rPr>
        <w:t>L’Emilia-Romagna</w:t>
      </w:r>
      <w:r w:rsidR="00996E1C" w:rsidRPr="00C47E1E">
        <w:rPr>
          <w:rFonts w:cs="Arial"/>
        </w:rPr>
        <w:t xml:space="preserve"> </w:t>
      </w:r>
      <w:r w:rsidR="00996E1C" w:rsidRPr="00C47E1E">
        <w:rPr>
          <w:rFonts w:cs="Arial"/>
          <w:b/>
          <w:bCs/>
        </w:rPr>
        <w:t>(8,73%)</w:t>
      </w:r>
      <w:r w:rsidR="00996E1C" w:rsidRPr="00C47E1E">
        <w:rPr>
          <w:rFonts w:cs="Arial"/>
        </w:rPr>
        <w:t xml:space="preserve"> </w:t>
      </w:r>
      <w:r w:rsidR="00996E1C" w:rsidRPr="00C47E1E">
        <w:rPr>
          <w:rFonts w:cs="Arial"/>
          <w:b/>
        </w:rPr>
        <w:t>Toscana e Lazio (7,18%)</w:t>
      </w:r>
      <w:r w:rsidR="00C47E1E">
        <w:rPr>
          <w:rFonts w:cs="Arial"/>
          <w:b/>
        </w:rPr>
        <w:t>.</w:t>
      </w:r>
      <w:r w:rsidR="00996E1C" w:rsidRPr="00996E1C">
        <w:rPr>
          <w:rFonts w:cs="Arial"/>
          <w:b/>
        </w:rPr>
        <w:t xml:space="preserve"> </w:t>
      </w:r>
    </w:p>
    <w:p w:rsidR="001426B8" w:rsidRPr="00B05401" w:rsidRDefault="001426B8" w:rsidP="00725BFA">
      <w:pPr>
        <w:rPr>
          <w:rFonts w:cs="Arial"/>
        </w:rPr>
      </w:pPr>
    </w:p>
    <w:p w:rsidR="00346698" w:rsidRDefault="00346698" w:rsidP="000F128F">
      <w:pPr>
        <w:rPr>
          <w:rFonts w:ascii="Arial" w:hAnsi="Arial" w:cs="Arial"/>
        </w:rPr>
      </w:pPr>
    </w:p>
    <w:p w:rsidR="00996E1C" w:rsidRDefault="00996E1C" w:rsidP="00C65819">
      <w:pPr>
        <w:jc w:val="center"/>
      </w:pPr>
      <w:r>
        <w:rPr>
          <w:noProof/>
          <w:lang w:eastAsia="it-IT"/>
        </w:rPr>
        <w:drawing>
          <wp:inline distT="0" distB="0" distL="0" distR="0">
            <wp:extent cx="4885586" cy="2333767"/>
            <wp:effectExtent l="0" t="0" r="17145" b="15875"/>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6E1C" w:rsidRDefault="00996E1C" w:rsidP="00894BF7">
      <w:pPr>
        <w:jc w:val="both"/>
      </w:pPr>
    </w:p>
    <w:p w:rsidR="00894BF7" w:rsidRDefault="00996E1C" w:rsidP="00894BF7">
      <w:pPr>
        <w:jc w:val="both"/>
      </w:pPr>
      <w:r>
        <w:t>Sono</w:t>
      </w:r>
      <w:r w:rsidRPr="00BA162E">
        <w:t xml:space="preserve"> </w:t>
      </w:r>
      <w:r w:rsidRPr="00BA162E">
        <w:rPr>
          <w:b/>
        </w:rPr>
        <w:t>1</w:t>
      </w:r>
      <w:r>
        <w:rPr>
          <w:b/>
        </w:rPr>
        <w:t>7</w:t>
      </w:r>
      <w:r w:rsidRPr="00BA162E">
        <w:rPr>
          <w:b/>
        </w:rPr>
        <w:t xml:space="preserve"> Province</w:t>
      </w:r>
      <w:r w:rsidRPr="00BA162E">
        <w:t xml:space="preserve"> che, da sole, controllano poco </w:t>
      </w:r>
      <w:r>
        <w:t xml:space="preserve">meno </w:t>
      </w:r>
      <w:r w:rsidRPr="00BA162E">
        <w:t xml:space="preserve">del </w:t>
      </w:r>
      <w:r>
        <w:rPr>
          <w:b/>
        </w:rPr>
        <w:t>4</w:t>
      </w:r>
      <w:r w:rsidRPr="00BA162E">
        <w:rPr>
          <w:b/>
        </w:rPr>
        <w:t>0%</w:t>
      </w:r>
      <w:r w:rsidRPr="00BA162E">
        <w:t xml:space="preserve"> su base nazionale</w:t>
      </w:r>
      <w:r w:rsidR="000F128F">
        <w:t>.</w:t>
      </w:r>
    </w:p>
    <w:p w:rsidR="00996E1C" w:rsidRDefault="00996E1C" w:rsidP="00894BF7">
      <w:pPr>
        <w:jc w:val="both"/>
      </w:pPr>
    </w:p>
    <w:p w:rsidR="00996E1C" w:rsidRDefault="00996E1C" w:rsidP="00996E1C">
      <w:pPr>
        <w:jc w:val="both"/>
        <w:rPr>
          <w:b/>
          <w:bCs/>
          <w:color w:val="000000" w:themeColor="text1"/>
        </w:rPr>
      </w:pPr>
      <w:r w:rsidRPr="00684C87">
        <w:t xml:space="preserve">Anche </w:t>
      </w:r>
      <w:r>
        <w:t>nel 2019</w:t>
      </w:r>
      <w:r w:rsidRPr="00684C87">
        <w:t xml:space="preserve"> </w:t>
      </w:r>
      <w:r w:rsidR="00EF6A0C">
        <w:t xml:space="preserve">è </w:t>
      </w:r>
      <w:r w:rsidRPr="00684C87">
        <w:t xml:space="preserve">la </w:t>
      </w:r>
      <w:r w:rsidRPr="000F128F">
        <w:rPr>
          <w:b/>
          <w:bCs/>
        </w:rPr>
        <w:t>provincia di Milano</w:t>
      </w:r>
      <w:r w:rsidRPr="00684C87">
        <w:t xml:space="preserve"> </w:t>
      </w:r>
      <w:r w:rsidR="00EF6A0C">
        <w:t xml:space="preserve">a </w:t>
      </w:r>
      <w:r w:rsidRPr="00684C87">
        <w:t>det</w:t>
      </w:r>
      <w:r w:rsidR="00EF6A0C">
        <w:t>enere</w:t>
      </w:r>
      <w:r w:rsidRPr="00684C87">
        <w:t xml:space="preserve"> il recor</w:t>
      </w:r>
      <w:r>
        <w:t>d</w:t>
      </w:r>
      <w:r w:rsidRPr="00684C87">
        <w:t xml:space="preserve"> </w:t>
      </w:r>
      <w:r w:rsidR="00EF6A0C">
        <w:t xml:space="preserve">di </w:t>
      </w:r>
      <w:r w:rsidRPr="00684C87">
        <w:t xml:space="preserve">provincia con </w:t>
      </w:r>
      <w:r w:rsidR="00EF6A0C">
        <w:t xml:space="preserve">il </w:t>
      </w:r>
      <w:r w:rsidRPr="00684C87">
        <w:t xml:space="preserve">maggior numero di esecuzioni immobiliare </w:t>
      </w:r>
      <w:r w:rsidR="00EF6A0C">
        <w:t xml:space="preserve">in </w:t>
      </w:r>
      <w:r w:rsidRPr="00684C87">
        <w:t>Italia</w:t>
      </w:r>
      <w:r w:rsidR="00A23BBF">
        <w:t xml:space="preserve">: </w:t>
      </w:r>
      <w:r w:rsidR="00EF6A0C">
        <w:t xml:space="preserve">sono </w:t>
      </w:r>
      <w:r w:rsidR="000F128F">
        <w:t>9.505</w:t>
      </w:r>
      <w:r w:rsidRPr="00684C87">
        <w:t xml:space="preserve"> le aste pubblicate </w:t>
      </w:r>
      <w:r w:rsidR="00EF6A0C">
        <w:t xml:space="preserve">nel 2019 </w:t>
      </w:r>
      <w:r w:rsidR="000F128F">
        <w:t>(</w:t>
      </w:r>
      <w:r w:rsidR="00EF6A0C">
        <w:t>pari al</w:t>
      </w:r>
      <w:r w:rsidR="000F128F">
        <w:t xml:space="preserve"> 4,64% del totale</w:t>
      </w:r>
      <w:r w:rsidR="00EF6A0C">
        <w:t xml:space="preserve"> nazionale)</w:t>
      </w:r>
      <w:r w:rsidR="00A23BBF">
        <w:t xml:space="preserve">. Segue </w:t>
      </w:r>
      <w:r w:rsidR="00A23BBF" w:rsidRPr="00A23BBF">
        <w:rPr>
          <w:b/>
          <w:bCs/>
        </w:rPr>
        <w:t>Roma</w:t>
      </w:r>
      <w:r w:rsidR="00A23BBF">
        <w:t xml:space="preserve"> (8.476 - 4,14%), </w:t>
      </w:r>
      <w:r w:rsidR="00A23BBF" w:rsidRPr="00A23BBF">
        <w:rPr>
          <w:b/>
          <w:bCs/>
        </w:rPr>
        <w:t>Bergamo</w:t>
      </w:r>
      <w:r w:rsidR="00A23BBF">
        <w:t xml:space="preserve"> (6.667 - 3,26%), </w:t>
      </w:r>
      <w:r w:rsidR="00A23BBF" w:rsidRPr="00A23BBF">
        <w:rPr>
          <w:b/>
          <w:bCs/>
        </w:rPr>
        <w:t xml:space="preserve">Napoli </w:t>
      </w:r>
      <w:r w:rsidR="00A23BBF">
        <w:t xml:space="preserve">(5.307 – 2,59%) e </w:t>
      </w:r>
      <w:r w:rsidR="00A23BBF" w:rsidRPr="00A23BBF">
        <w:rPr>
          <w:b/>
          <w:bCs/>
        </w:rPr>
        <w:t>Perugia</w:t>
      </w:r>
      <w:r w:rsidR="00A23BBF">
        <w:t xml:space="preserve"> (4.886 – 2,39</w:t>
      </w:r>
      <w:r w:rsidR="00A23BBF" w:rsidRPr="00D37867">
        <w:t>%).</w:t>
      </w:r>
      <w:r w:rsidR="00D37867" w:rsidRPr="00D37867">
        <w:t xml:space="preserve"> </w:t>
      </w:r>
    </w:p>
    <w:p w:rsidR="00C47E1E" w:rsidRDefault="00C47E1E" w:rsidP="00D477DD">
      <w:pPr>
        <w:jc w:val="both"/>
      </w:pPr>
    </w:p>
    <w:p w:rsidR="003A0DAE" w:rsidRDefault="006D3CC0" w:rsidP="00D477DD">
      <w:pPr>
        <w:jc w:val="both"/>
      </w:pPr>
      <w:r w:rsidRPr="006D3CC0">
        <w:rPr>
          <w:b/>
          <w:bCs/>
        </w:rPr>
        <w:t>TIPOLOGIE.</w:t>
      </w:r>
      <w:r>
        <w:t xml:space="preserve"> </w:t>
      </w:r>
      <w:r w:rsidR="003A0DAE" w:rsidRPr="003A0DAE">
        <w:t xml:space="preserve">Quasi il </w:t>
      </w:r>
      <w:r w:rsidR="003A0DAE" w:rsidRPr="003A0DAE">
        <w:rPr>
          <w:b/>
        </w:rPr>
        <w:t>70%</w:t>
      </w:r>
      <w:r w:rsidR="003A0DAE" w:rsidRPr="003A0DAE">
        <w:t xml:space="preserve"> delle unità immobiliari all’asta è riconducibile della categoria “</w:t>
      </w:r>
      <w:r w:rsidR="003A0DAE" w:rsidRPr="003A0DAE">
        <w:rPr>
          <w:b/>
        </w:rPr>
        <w:t>Residenziale</w:t>
      </w:r>
      <w:r w:rsidR="003A0DAE" w:rsidRPr="003A0DAE">
        <w:t xml:space="preserve">” ed è costituita da </w:t>
      </w:r>
      <w:r w:rsidR="003A0DAE">
        <w:t>a</w:t>
      </w:r>
      <w:r w:rsidR="003A0DAE" w:rsidRPr="003A0DAE">
        <w:t xml:space="preserve">ppartamenti, </w:t>
      </w:r>
      <w:r w:rsidR="003A0DAE">
        <w:t>m</w:t>
      </w:r>
      <w:r w:rsidR="003A0DAE" w:rsidRPr="003A0DAE">
        <w:t xml:space="preserve">onolocali, </w:t>
      </w:r>
      <w:r w:rsidR="003A0DAE">
        <w:t>m</w:t>
      </w:r>
      <w:r w:rsidR="003A0DAE" w:rsidRPr="003A0DAE">
        <w:t xml:space="preserve">ansarde, </w:t>
      </w:r>
      <w:r w:rsidR="003A0DAE">
        <w:t>a</w:t>
      </w:r>
      <w:r w:rsidR="003A0DAE" w:rsidRPr="003A0DAE">
        <w:t xml:space="preserve">ttici, </w:t>
      </w:r>
      <w:r w:rsidR="003A0DAE">
        <w:t>v</w:t>
      </w:r>
      <w:r w:rsidR="003A0DAE" w:rsidRPr="003A0DAE">
        <w:t xml:space="preserve">ille e </w:t>
      </w:r>
      <w:r w:rsidR="003A0DAE">
        <w:t>v</w:t>
      </w:r>
      <w:r w:rsidR="003A0DAE" w:rsidRPr="003A0DAE">
        <w:t xml:space="preserve">illette, nella </w:t>
      </w:r>
      <w:r w:rsidR="003A0DAE" w:rsidRPr="003A0DAE">
        <w:lastRenderedPageBreak/>
        <w:t>maggior parte d</w:t>
      </w:r>
      <w:r w:rsidR="003A0DAE">
        <w:t>e</w:t>
      </w:r>
      <w:r w:rsidR="003A0DAE" w:rsidRPr="003A0DAE">
        <w:t xml:space="preserve">i casi tutte abbinate a </w:t>
      </w:r>
      <w:r w:rsidR="003A0DAE">
        <w:t>a</w:t>
      </w:r>
      <w:r w:rsidR="003A0DAE" w:rsidRPr="003A0DAE">
        <w:t xml:space="preserve">utorimesse e/o </w:t>
      </w:r>
      <w:r w:rsidR="003A0DAE">
        <w:t>c</w:t>
      </w:r>
      <w:r w:rsidR="003A0DAE" w:rsidRPr="003A0DAE">
        <w:t>antine</w:t>
      </w:r>
      <w:r w:rsidR="003A0DAE">
        <w:t>.</w:t>
      </w:r>
      <w:r w:rsidR="003A0DAE" w:rsidRPr="003A0DAE">
        <w:t xml:space="preserve"> Solo </w:t>
      </w:r>
      <w:r w:rsidR="003A0DAE">
        <w:t xml:space="preserve">il </w:t>
      </w:r>
      <w:r w:rsidR="003A0DAE" w:rsidRPr="003A0DAE">
        <w:rPr>
          <w:b/>
        </w:rPr>
        <w:t xml:space="preserve">5% </w:t>
      </w:r>
      <w:r w:rsidR="003A0DAE" w:rsidRPr="003A0DAE">
        <w:t xml:space="preserve">sono </w:t>
      </w:r>
      <w:r w:rsidR="003A0DAE">
        <w:rPr>
          <w:b/>
        </w:rPr>
        <w:t>n</w:t>
      </w:r>
      <w:r w:rsidR="003A0DAE" w:rsidRPr="003A0DAE">
        <w:rPr>
          <w:b/>
        </w:rPr>
        <w:t xml:space="preserve">egozi, </w:t>
      </w:r>
      <w:r w:rsidR="003A0DAE">
        <w:rPr>
          <w:b/>
        </w:rPr>
        <w:t>u</w:t>
      </w:r>
      <w:r w:rsidR="003A0DAE" w:rsidRPr="003A0DAE">
        <w:rPr>
          <w:b/>
        </w:rPr>
        <w:t xml:space="preserve">ffici, </w:t>
      </w:r>
      <w:r w:rsidR="003A0DAE">
        <w:rPr>
          <w:b/>
        </w:rPr>
        <w:t>l</w:t>
      </w:r>
      <w:r w:rsidR="003A0DAE" w:rsidRPr="003A0DAE">
        <w:rPr>
          <w:b/>
        </w:rPr>
        <w:t>aboratori e magazzini</w:t>
      </w:r>
      <w:r w:rsidR="003A0DAE" w:rsidRPr="003A0DAE">
        <w:t xml:space="preserve">, </w:t>
      </w:r>
      <w:r w:rsidR="00A23BBF">
        <w:t xml:space="preserve">mentre il </w:t>
      </w:r>
      <w:r w:rsidR="003A0DAE" w:rsidRPr="003A0DAE">
        <w:rPr>
          <w:b/>
        </w:rPr>
        <w:t>10%</w:t>
      </w:r>
      <w:r w:rsidR="003A0DAE" w:rsidRPr="003A0DAE">
        <w:t xml:space="preserve"> </w:t>
      </w:r>
      <w:r w:rsidR="00A23BBF">
        <w:t xml:space="preserve">sono </w:t>
      </w:r>
      <w:r w:rsidR="003A0DAE" w:rsidRPr="00A23BBF">
        <w:rPr>
          <w:bCs/>
        </w:rPr>
        <w:t xml:space="preserve">capannoni </w:t>
      </w:r>
      <w:r w:rsidR="00A23BBF">
        <w:rPr>
          <w:bCs/>
        </w:rPr>
        <w:t>i</w:t>
      </w:r>
      <w:r w:rsidR="003A0DAE" w:rsidRPr="003A0DAE">
        <w:t xml:space="preserve">ndustriali e </w:t>
      </w:r>
      <w:r w:rsidR="00A23BBF">
        <w:t>c</w:t>
      </w:r>
      <w:r w:rsidR="003A0DAE" w:rsidRPr="003A0DAE">
        <w:t xml:space="preserve">ommerciali, </w:t>
      </w:r>
      <w:r w:rsidR="00A23BBF">
        <w:t>o</w:t>
      </w:r>
      <w:r w:rsidR="003A0DAE" w:rsidRPr="003A0DAE">
        <w:t xml:space="preserve">pifici e </w:t>
      </w:r>
      <w:r w:rsidR="00A23BBF">
        <w:t>l</w:t>
      </w:r>
      <w:r w:rsidR="003A0DAE" w:rsidRPr="003A0DAE">
        <w:t xml:space="preserve">aboratori </w:t>
      </w:r>
      <w:r w:rsidR="00A23BBF">
        <w:t>a</w:t>
      </w:r>
      <w:r w:rsidR="003A0DAE" w:rsidRPr="003A0DAE">
        <w:t>rtigianali</w:t>
      </w:r>
      <w:r w:rsidR="00A23BBF">
        <w:t>.</w:t>
      </w:r>
    </w:p>
    <w:p w:rsidR="00D477DD" w:rsidRDefault="00D477DD" w:rsidP="00D477DD">
      <w:pPr>
        <w:jc w:val="both"/>
      </w:pPr>
    </w:p>
    <w:p w:rsidR="003A0DAE" w:rsidRDefault="003A0DAE" w:rsidP="00D477DD">
      <w:pPr>
        <w:jc w:val="both"/>
      </w:pPr>
      <w:r w:rsidRPr="00714A4F">
        <w:t xml:space="preserve">Una fetta importante, </w:t>
      </w:r>
      <w:r w:rsidR="00A23BBF">
        <w:t>l’</w:t>
      </w:r>
      <w:r w:rsidRPr="00714A4F">
        <w:rPr>
          <w:b/>
        </w:rPr>
        <w:t>1</w:t>
      </w:r>
      <w:r>
        <w:rPr>
          <w:b/>
        </w:rPr>
        <w:t>1</w:t>
      </w:r>
      <w:r w:rsidRPr="00714A4F">
        <w:rPr>
          <w:b/>
        </w:rPr>
        <w:t>%</w:t>
      </w:r>
      <w:r w:rsidRPr="00714A4F">
        <w:t xml:space="preserve">, è dato dai </w:t>
      </w:r>
      <w:r w:rsidRPr="00714A4F">
        <w:rPr>
          <w:b/>
        </w:rPr>
        <w:t>Terreni</w:t>
      </w:r>
      <w:r w:rsidRPr="00714A4F">
        <w:t>, agricoli ed edificabili</w:t>
      </w:r>
      <w:r>
        <w:t>,</w:t>
      </w:r>
      <w:r w:rsidRPr="00714A4F">
        <w:t xml:space="preserve"> che rappresentano sia una buona parte di </w:t>
      </w:r>
      <w:r w:rsidR="00A23BBF">
        <w:t>c</w:t>
      </w:r>
      <w:r w:rsidRPr="00714A4F">
        <w:t xml:space="preserve">ampagna </w:t>
      </w:r>
      <w:r w:rsidR="00A23BBF">
        <w:t>a</w:t>
      </w:r>
      <w:r w:rsidRPr="00714A4F">
        <w:t xml:space="preserve">gricola </w:t>
      </w:r>
      <w:r w:rsidR="00A23BBF">
        <w:t>(</w:t>
      </w:r>
      <w:r w:rsidRPr="00714A4F">
        <w:t>compresi pezzi importanti nelle zone dei V</w:t>
      </w:r>
      <w:r w:rsidR="00A23BBF">
        <w:t>ini</w:t>
      </w:r>
      <w:r w:rsidRPr="00714A4F">
        <w:t xml:space="preserve"> </w:t>
      </w:r>
      <w:r w:rsidR="00A23BBF">
        <w:t>d</w:t>
      </w:r>
      <w:r w:rsidRPr="00714A4F">
        <w:t>’I</w:t>
      </w:r>
      <w:r w:rsidR="00A23BBF">
        <w:t>talia</w:t>
      </w:r>
      <w:r>
        <w:t>, si pensi alle terre del Brunello di Montalcino</w:t>
      </w:r>
      <w:r w:rsidR="00A23BBF">
        <w:t>)</w:t>
      </w:r>
      <w:r w:rsidRPr="00714A4F">
        <w:t xml:space="preserve"> sia un buon numero di terreni edificabili che oggi non hanno più l’appeal commerciale di quando, in tempi non sospetti, l’iper-edificazione che i Comuni consentivano per avere in cambio “oneri di </w:t>
      </w:r>
      <w:r w:rsidR="00A23BBF">
        <w:t>u</w:t>
      </w:r>
      <w:r w:rsidRPr="00714A4F">
        <w:t>rbanizzazione”, aumentava vertiginosamente i volumi edificatori anche in micro comuni.</w:t>
      </w:r>
    </w:p>
    <w:p w:rsidR="00D477DD" w:rsidRDefault="00D477DD" w:rsidP="00D477DD">
      <w:pPr>
        <w:jc w:val="both"/>
      </w:pPr>
    </w:p>
    <w:p w:rsidR="003A0DAE" w:rsidRDefault="003A0DAE" w:rsidP="00D477DD">
      <w:pPr>
        <w:jc w:val="both"/>
      </w:pPr>
      <w:r w:rsidRPr="003A0DAE">
        <w:t>Poco meno dell</w:t>
      </w:r>
      <w:r w:rsidRPr="003A0DAE">
        <w:rPr>
          <w:b/>
        </w:rPr>
        <w:t>’1%</w:t>
      </w:r>
      <w:r w:rsidRPr="003A0DAE">
        <w:t xml:space="preserve"> di immobili in asta è rappresentata da </w:t>
      </w:r>
      <w:r w:rsidRPr="003A0DAE">
        <w:rPr>
          <w:b/>
        </w:rPr>
        <w:t>HOTEL</w:t>
      </w:r>
      <w:r w:rsidRPr="003A0DAE">
        <w:t xml:space="preserve"> e strutture alberghiere, nella maggior parte dei casi si tratta di microstrutture a conduzione familiare</w:t>
      </w:r>
      <w:r>
        <w:t>.</w:t>
      </w:r>
      <w:r w:rsidRPr="003A0DAE">
        <w:t xml:space="preserve"> </w:t>
      </w:r>
      <w:r w:rsidRPr="00714A4F">
        <w:t xml:space="preserve">Nel restante </w:t>
      </w:r>
      <w:r>
        <w:rPr>
          <w:b/>
        </w:rPr>
        <w:t>3</w:t>
      </w:r>
      <w:r w:rsidRPr="00292C09">
        <w:rPr>
          <w:b/>
        </w:rPr>
        <w:t>%</w:t>
      </w:r>
      <w:r w:rsidRPr="00714A4F">
        <w:t>, denominato “altro” sono presenti una serie di unità immobiliari di diversa natura e anche di difficile ricollocazione</w:t>
      </w:r>
      <w:r>
        <w:t xml:space="preserve"> (cinema, trulli, castelli, monasteri, ecc).</w:t>
      </w:r>
    </w:p>
    <w:p w:rsidR="00D477DD" w:rsidRPr="003A0DAE" w:rsidRDefault="00D477DD" w:rsidP="00D477DD">
      <w:pPr>
        <w:jc w:val="both"/>
      </w:pPr>
    </w:p>
    <w:p w:rsidR="00866A92" w:rsidRDefault="006D3CC0" w:rsidP="00793F84">
      <w:pPr>
        <w:pStyle w:val="Paragrafoelenco"/>
        <w:spacing w:after="0" w:line="240" w:lineRule="auto"/>
        <w:ind w:left="0"/>
        <w:jc w:val="both"/>
        <w:rPr>
          <w:color w:val="auto"/>
          <w:sz w:val="24"/>
          <w:szCs w:val="24"/>
          <w:lang w:eastAsia="en-US"/>
        </w:rPr>
      </w:pPr>
      <w:r w:rsidRPr="006D3CC0">
        <w:rPr>
          <w:b/>
          <w:bCs/>
          <w:color w:val="auto"/>
          <w:sz w:val="24"/>
          <w:szCs w:val="24"/>
          <w:lang w:eastAsia="en-US"/>
        </w:rPr>
        <w:t>PREZZO DI VENDITA BAS</w:t>
      </w:r>
      <w:r>
        <w:rPr>
          <w:b/>
          <w:bCs/>
          <w:color w:val="auto"/>
          <w:sz w:val="24"/>
          <w:szCs w:val="24"/>
          <w:lang w:eastAsia="en-US"/>
        </w:rPr>
        <w:t>E</w:t>
      </w:r>
      <w:r w:rsidRPr="006D3CC0">
        <w:rPr>
          <w:b/>
          <w:bCs/>
          <w:color w:val="auto"/>
          <w:sz w:val="24"/>
          <w:szCs w:val="24"/>
          <w:lang w:eastAsia="en-US"/>
        </w:rPr>
        <w:t xml:space="preserve"> D’ASTA.</w:t>
      </w:r>
      <w:r>
        <w:rPr>
          <w:color w:val="auto"/>
          <w:sz w:val="24"/>
          <w:szCs w:val="24"/>
          <w:lang w:eastAsia="en-US"/>
        </w:rPr>
        <w:t xml:space="preserve"> </w:t>
      </w:r>
      <w:r w:rsidR="00866A92">
        <w:rPr>
          <w:color w:val="auto"/>
          <w:sz w:val="24"/>
          <w:szCs w:val="24"/>
          <w:lang w:eastAsia="en-US"/>
        </w:rPr>
        <w:t xml:space="preserve">184.247 </w:t>
      </w:r>
      <w:r w:rsidR="003A0DAE" w:rsidRPr="00866A92">
        <w:rPr>
          <w:color w:val="auto"/>
          <w:sz w:val="24"/>
          <w:szCs w:val="24"/>
          <w:lang w:eastAsia="en-US"/>
        </w:rPr>
        <w:t>lotti, pari al 90% della composizione delle esecuzioni immobiliari</w:t>
      </w:r>
      <w:r w:rsidR="00866A92" w:rsidRPr="00866A92">
        <w:rPr>
          <w:color w:val="auto"/>
          <w:sz w:val="24"/>
          <w:szCs w:val="24"/>
          <w:lang w:eastAsia="en-US"/>
        </w:rPr>
        <w:t xml:space="preserve">, </w:t>
      </w:r>
      <w:r w:rsidR="00C65819" w:rsidRPr="00866A92">
        <w:rPr>
          <w:color w:val="auto"/>
          <w:sz w:val="24"/>
          <w:szCs w:val="24"/>
          <w:lang w:eastAsia="en-US"/>
        </w:rPr>
        <w:t>sono costituiti</w:t>
      </w:r>
      <w:r w:rsidR="003A0DAE" w:rsidRPr="00866A92">
        <w:rPr>
          <w:color w:val="auto"/>
          <w:sz w:val="24"/>
          <w:szCs w:val="24"/>
          <w:lang w:eastAsia="en-US"/>
        </w:rPr>
        <w:t xml:space="preserve"> da beni il cui valore in asta è inferiore a 250.000</w:t>
      </w:r>
      <w:r w:rsidR="00C65819">
        <w:rPr>
          <w:color w:val="auto"/>
          <w:sz w:val="24"/>
          <w:szCs w:val="24"/>
          <w:lang w:eastAsia="en-US"/>
        </w:rPr>
        <w:t xml:space="preserve"> euro,</w:t>
      </w:r>
      <w:r w:rsidR="003A0DAE" w:rsidRPr="00866A92">
        <w:rPr>
          <w:color w:val="auto"/>
          <w:sz w:val="24"/>
          <w:szCs w:val="24"/>
          <w:lang w:eastAsia="en-US"/>
        </w:rPr>
        <w:t xml:space="preserve"> per un valore d’asta totale pari a 11.975.493.881.</w:t>
      </w:r>
      <w:r w:rsidR="00866A92" w:rsidRPr="00866A92">
        <w:rPr>
          <w:color w:val="auto"/>
          <w:sz w:val="24"/>
          <w:szCs w:val="24"/>
          <w:lang w:eastAsia="en-US"/>
        </w:rPr>
        <w:t xml:space="preserve"> Sono invece 16.874 i lotti, pari all’ 8% della composizione, il cui valore in asta è inferiore a 1.000.000</w:t>
      </w:r>
      <w:r w:rsidR="00C65819">
        <w:rPr>
          <w:color w:val="auto"/>
          <w:sz w:val="24"/>
          <w:szCs w:val="24"/>
          <w:lang w:eastAsia="en-US"/>
        </w:rPr>
        <w:t xml:space="preserve"> di euro</w:t>
      </w:r>
      <w:r w:rsidR="00866A92" w:rsidRPr="00866A92">
        <w:rPr>
          <w:color w:val="auto"/>
          <w:sz w:val="24"/>
          <w:szCs w:val="24"/>
          <w:lang w:eastAsia="en-US"/>
        </w:rPr>
        <w:t>. Il valore base d’asta totale di questi beni è pari a € 7.630.780.602</w:t>
      </w:r>
      <w:r w:rsidR="00C65819">
        <w:rPr>
          <w:color w:val="auto"/>
          <w:sz w:val="24"/>
          <w:szCs w:val="24"/>
          <w:lang w:eastAsia="en-US"/>
        </w:rPr>
        <w:t>.</w:t>
      </w:r>
      <w:r w:rsidR="00866A92" w:rsidRPr="00866A92">
        <w:rPr>
          <w:color w:val="auto"/>
          <w:sz w:val="24"/>
          <w:szCs w:val="24"/>
          <w:lang w:eastAsia="en-US"/>
        </w:rPr>
        <w:t xml:space="preserve"> Per concludere 3.511 lotti, pari al 2% della composizione delle esecuzioni immobiliari,</w:t>
      </w:r>
      <w:r w:rsidR="00866A92">
        <w:rPr>
          <w:color w:val="auto"/>
          <w:sz w:val="24"/>
          <w:szCs w:val="24"/>
          <w:lang w:eastAsia="en-US"/>
        </w:rPr>
        <w:t xml:space="preserve"> </w:t>
      </w:r>
      <w:r w:rsidR="00866A92" w:rsidRPr="00866A92">
        <w:rPr>
          <w:color w:val="auto"/>
          <w:sz w:val="24"/>
          <w:szCs w:val="24"/>
          <w:lang w:eastAsia="en-US"/>
        </w:rPr>
        <w:t>è costituita da beni il cui valore in asta è superiore a 1.000.000</w:t>
      </w:r>
      <w:r w:rsidR="00C65819">
        <w:rPr>
          <w:color w:val="auto"/>
          <w:sz w:val="24"/>
          <w:szCs w:val="24"/>
          <w:lang w:eastAsia="en-US"/>
        </w:rPr>
        <w:t xml:space="preserve"> di euro</w:t>
      </w:r>
      <w:r w:rsidR="00866A92" w:rsidRPr="00866A92">
        <w:rPr>
          <w:color w:val="auto"/>
          <w:sz w:val="24"/>
          <w:szCs w:val="24"/>
          <w:lang w:eastAsia="en-US"/>
        </w:rPr>
        <w:t>. Il valore base d’asta totale di questi Beni è pari ad € 8.749.409.291</w:t>
      </w:r>
      <w:r w:rsidR="006B538C">
        <w:rPr>
          <w:color w:val="auto"/>
          <w:sz w:val="24"/>
          <w:szCs w:val="24"/>
          <w:lang w:eastAsia="en-US"/>
        </w:rPr>
        <w:t>.</w:t>
      </w:r>
    </w:p>
    <w:p w:rsidR="006B538C" w:rsidRPr="00866A92" w:rsidRDefault="006B538C" w:rsidP="006B538C">
      <w:pPr>
        <w:pStyle w:val="Paragrafoelenco"/>
        <w:spacing w:after="0" w:line="240" w:lineRule="auto"/>
        <w:ind w:left="0"/>
        <w:jc w:val="both"/>
        <w:rPr>
          <w:color w:val="auto"/>
          <w:sz w:val="24"/>
          <w:szCs w:val="24"/>
          <w:lang w:eastAsia="en-US"/>
        </w:rPr>
      </w:pPr>
    </w:p>
    <w:p w:rsidR="003A0DAE" w:rsidRPr="00D477DD" w:rsidRDefault="003A0DAE" w:rsidP="003A0DAE">
      <w:pPr>
        <w:jc w:val="both"/>
        <w:rPr>
          <w:b/>
          <w:bCs/>
        </w:rPr>
      </w:pPr>
      <w:bookmarkStart w:id="1" w:name="_Hlk29276531"/>
      <w:r>
        <w:t>I</w:t>
      </w:r>
      <w:r w:rsidRPr="003A0DAE">
        <w:t xml:space="preserve">l valore medio </w:t>
      </w:r>
      <w:r w:rsidR="00C65819">
        <w:t xml:space="preserve">di un immobile all’asta </w:t>
      </w:r>
      <w:r w:rsidRPr="003A0DAE">
        <w:t xml:space="preserve">si è notevolmente abbassato </w:t>
      </w:r>
      <w:r w:rsidR="00E97EDD">
        <w:t xml:space="preserve">giungendo </w:t>
      </w:r>
      <w:r w:rsidRPr="003A0DAE">
        <w:rPr>
          <w:b/>
          <w:bCs/>
        </w:rPr>
        <w:t xml:space="preserve">a </w:t>
      </w:r>
      <w:r w:rsidRPr="00E97EDD">
        <w:rPr>
          <w:b/>
          <w:bCs/>
          <w:color w:val="000000" w:themeColor="text1"/>
        </w:rPr>
        <w:t>€ 65.077</w:t>
      </w:r>
      <w:bookmarkEnd w:id="1"/>
      <w:r w:rsidR="00E97EDD" w:rsidRPr="00E97EDD">
        <w:rPr>
          <w:b/>
          <w:bCs/>
          <w:color w:val="000000" w:themeColor="text1"/>
        </w:rPr>
        <w:t xml:space="preserve"> (contro i € 115.000 del 2018)</w:t>
      </w:r>
      <w:r w:rsidR="00EF6A0C" w:rsidRPr="00E97EDD">
        <w:rPr>
          <w:b/>
          <w:bCs/>
          <w:color w:val="000000" w:themeColor="text1"/>
        </w:rPr>
        <w:t>,</w:t>
      </w:r>
      <w:r w:rsidRPr="00E97EDD">
        <w:rPr>
          <w:color w:val="000000" w:themeColor="text1"/>
        </w:rPr>
        <w:t xml:space="preserve"> </w:t>
      </w:r>
      <w:r w:rsidRPr="00E97EDD">
        <w:t>il che sta a significare che gli immobili vengono ag</w:t>
      </w:r>
      <w:r w:rsidRPr="003A0DAE">
        <w:t xml:space="preserve">giudicati a valori notevolmente inferiori </w:t>
      </w:r>
      <w:r w:rsidR="00C65819">
        <w:t xml:space="preserve">rispetto ai </w:t>
      </w:r>
      <w:r w:rsidRPr="003A0DAE">
        <w:t xml:space="preserve">reali valori di mercato, creando </w:t>
      </w:r>
      <w:r w:rsidR="00866A92" w:rsidRPr="003A0DAE">
        <w:t>un</w:t>
      </w:r>
      <w:r w:rsidR="00866A92">
        <w:t>’</w:t>
      </w:r>
      <w:r w:rsidR="00866A92" w:rsidRPr="003A0DAE">
        <w:t>ulteriore</w:t>
      </w:r>
      <w:r w:rsidRPr="003A0DAE">
        <w:t xml:space="preserve"> perdita di valore.</w:t>
      </w:r>
      <w:r w:rsidR="00D477DD">
        <w:t xml:space="preserve"> </w:t>
      </w:r>
    </w:p>
    <w:p w:rsidR="00866A92" w:rsidRDefault="00866A92" w:rsidP="003A0DAE">
      <w:pPr>
        <w:jc w:val="both"/>
      </w:pPr>
    </w:p>
    <w:p w:rsidR="00C47E1E" w:rsidRPr="00C47E1E" w:rsidRDefault="006D3CC0" w:rsidP="00C47E1E">
      <w:pPr>
        <w:jc w:val="both"/>
        <w:rPr>
          <w:b/>
          <w:bCs/>
        </w:rPr>
      </w:pPr>
      <w:r w:rsidRPr="006D3CC0">
        <w:rPr>
          <w:b/>
          <w:bCs/>
        </w:rPr>
        <w:t>ASTE AGGIUDICATE</w:t>
      </w:r>
      <w:r>
        <w:t>. “</w:t>
      </w:r>
      <w:r w:rsidR="00B9486A" w:rsidRPr="006D3CC0">
        <w:rPr>
          <w:i/>
          <w:iCs/>
        </w:rPr>
        <w:t xml:space="preserve">Quando un’asta viene aggiudicata, la sua storia non finisce. Infatti, dal giorno di aggiudicazione dell’asta inizia </w:t>
      </w:r>
      <w:r w:rsidR="00681CFA" w:rsidRPr="006D3CC0">
        <w:rPr>
          <w:i/>
          <w:iCs/>
        </w:rPr>
        <w:t xml:space="preserve">a </w:t>
      </w:r>
      <w:r w:rsidR="00B9486A" w:rsidRPr="006D3CC0">
        <w:rPr>
          <w:i/>
          <w:iCs/>
        </w:rPr>
        <w:t xml:space="preserve">decorrere il tempo di almeno </w:t>
      </w:r>
      <w:r w:rsidR="00B9486A" w:rsidRPr="00D37867">
        <w:rPr>
          <w:bCs/>
          <w:i/>
          <w:iCs/>
        </w:rPr>
        <w:t>120 giorni</w:t>
      </w:r>
      <w:r w:rsidR="00B9486A" w:rsidRPr="006D3CC0">
        <w:rPr>
          <w:i/>
          <w:iCs/>
        </w:rPr>
        <w:t xml:space="preserve"> (previsto dalla Legge 132/2015), in cui l’aggiudicatario dovrà saldare il prezzo dell’asta, unitamente alle spese accessorie. Dopo il saldo del prezzo, il Delegato alla vendita dovrà predisporre il </w:t>
      </w:r>
      <w:r w:rsidR="00B9486A" w:rsidRPr="00D37867">
        <w:rPr>
          <w:i/>
          <w:iCs/>
        </w:rPr>
        <w:t>Decreto di Trasferimento</w:t>
      </w:r>
      <w:r w:rsidR="00B9486A" w:rsidRPr="006D3CC0">
        <w:rPr>
          <w:i/>
          <w:iCs/>
        </w:rPr>
        <w:t xml:space="preserve"> da sottoporre per la firma al Giudice. Se invece manca il </w:t>
      </w:r>
      <w:r w:rsidR="00B9486A" w:rsidRPr="00D37867">
        <w:rPr>
          <w:bCs/>
          <w:i/>
          <w:iCs/>
        </w:rPr>
        <w:t>saldo del prezzo</w:t>
      </w:r>
      <w:r w:rsidR="00B9486A" w:rsidRPr="006D3CC0">
        <w:rPr>
          <w:i/>
          <w:iCs/>
        </w:rPr>
        <w:t xml:space="preserve">, il Delegato alla vendita dovrà, una volta avvisato il Giudice, porre nuovamente in essere le operazioni di vendita all’asta. In entrambi questi casi dal giorno dell’aggiudicazione, </w:t>
      </w:r>
      <w:r w:rsidR="00B9486A" w:rsidRPr="00D37867">
        <w:rPr>
          <w:bCs/>
          <w:i/>
          <w:iCs/>
        </w:rPr>
        <w:t xml:space="preserve">passa circa </w:t>
      </w:r>
      <w:r w:rsidR="0014594F" w:rsidRPr="00D37867">
        <w:rPr>
          <w:bCs/>
          <w:i/>
          <w:iCs/>
        </w:rPr>
        <w:t>un anno</w:t>
      </w:r>
      <w:r w:rsidR="00B9486A" w:rsidRPr="00D37867">
        <w:rPr>
          <w:bCs/>
          <w:i/>
          <w:iCs/>
        </w:rPr>
        <w:t xml:space="preserve"> in totale silenzio burocratico </w:t>
      </w:r>
      <w:r w:rsidR="00B9486A" w:rsidRPr="006D3CC0">
        <w:rPr>
          <w:i/>
          <w:iCs/>
        </w:rPr>
        <w:t>in cui non si ha la certezza della vendita in asta o meno</w:t>
      </w:r>
      <w:r>
        <w:t>”</w:t>
      </w:r>
      <w:r w:rsidR="00B57E52">
        <w:t xml:space="preserve"> precisa</w:t>
      </w:r>
      <w:r w:rsidR="00C47E1E">
        <w:rPr>
          <w:b/>
          <w:bCs/>
        </w:rPr>
        <w:t xml:space="preserve">   </w:t>
      </w:r>
      <w:r w:rsidR="00C47E1E" w:rsidRPr="00C47E1E">
        <w:rPr>
          <w:b/>
          <w:bCs/>
        </w:rPr>
        <w:t xml:space="preserve">Massimiliano </w:t>
      </w:r>
      <w:proofErr w:type="spellStart"/>
      <w:r w:rsidR="00C47E1E" w:rsidRPr="00C47E1E">
        <w:rPr>
          <w:b/>
          <w:bCs/>
        </w:rPr>
        <w:t>Morana</w:t>
      </w:r>
      <w:proofErr w:type="spellEnd"/>
      <w:r w:rsidR="00C47E1E" w:rsidRPr="00C47E1E">
        <w:t xml:space="preserve">, </w:t>
      </w:r>
      <w:proofErr w:type="spellStart"/>
      <w:r w:rsidR="00C47E1E" w:rsidRPr="00C47E1E">
        <w:rPr>
          <w:b/>
          <w:bCs/>
        </w:rPr>
        <w:t>Operation</w:t>
      </w:r>
      <w:proofErr w:type="spellEnd"/>
      <w:r w:rsidR="00C47E1E" w:rsidRPr="00C47E1E">
        <w:rPr>
          <w:b/>
          <w:bCs/>
        </w:rPr>
        <w:t xml:space="preserve"> Manager </w:t>
      </w:r>
      <w:proofErr w:type="spellStart"/>
      <w:r w:rsidR="00C47E1E" w:rsidRPr="00C47E1E">
        <w:rPr>
          <w:b/>
          <w:bCs/>
        </w:rPr>
        <w:t>Asta</w:t>
      </w:r>
      <w:r w:rsidR="00793F84">
        <w:rPr>
          <w:b/>
          <w:bCs/>
        </w:rPr>
        <w:t>s</w:t>
      </w:r>
      <w:r w:rsidR="00C47E1E" w:rsidRPr="00C47E1E">
        <w:rPr>
          <w:b/>
          <w:bCs/>
        </w:rPr>
        <w:t>y</w:t>
      </w:r>
      <w:proofErr w:type="spellEnd"/>
      <w:r w:rsidR="00C47E1E" w:rsidRPr="00C47E1E">
        <w:rPr>
          <w:b/>
          <w:bCs/>
        </w:rPr>
        <w:t>.</w:t>
      </w:r>
    </w:p>
    <w:p w:rsidR="00B9486A" w:rsidRDefault="00B9486A" w:rsidP="00B9486A">
      <w:pPr>
        <w:spacing w:after="200" w:line="276" w:lineRule="auto"/>
        <w:jc w:val="both"/>
      </w:pPr>
    </w:p>
    <w:p w:rsidR="00681CFA" w:rsidRDefault="00681CFA" w:rsidP="00681CFA">
      <w:pPr>
        <w:spacing w:after="200" w:line="276" w:lineRule="auto"/>
        <w:jc w:val="both"/>
      </w:pPr>
      <w:r>
        <w:t>Nel 2019 risultano:</w:t>
      </w:r>
    </w:p>
    <w:p w:rsidR="00681CFA" w:rsidRDefault="006B538C" w:rsidP="00D477DD">
      <w:pPr>
        <w:pStyle w:val="Paragrafoelenco"/>
        <w:numPr>
          <w:ilvl w:val="0"/>
          <w:numId w:val="6"/>
        </w:numPr>
        <w:spacing w:after="0" w:line="240" w:lineRule="auto"/>
        <w:ind w:left="714" w:hanging="357"/>
        <w:jc w:val="both"/>
        <w:rPr>
          <w:color w:val="auto"/>
          <w:sz w:val="24"/>
          <w:szCs w:val="24"/>
          <w:lang w:eastAsia="en-US"/>
        </w:rPr>
      </w:pPr>
      <w:r w:rsidRPr="006D3CC0">
        <w:rPr>
          <w:b/>
          <w:bCs/>
          <w:color w:val="auto"/>
          <w:sz w:val="24"/>
          <w:szCs w:val="24"/>
          <w:lang w:eastAsia="en-US"/>
        </w:rPr>
        <w:t>Aste “a</w:t>
      </w:r>
      <w:r w:rsidR="00681CFA" w:rsidRPr="006D3CC0">
        <w:rPr>
          <w:b/>
          <w:bCs/>
          <w:color w:val="auto"/>
          <w:sz w:val="24"/>
          <w:szCs w:val="24"/>
          <w:lang w:eastAsia="en-US"/>
        </w:rPr>
        <w:t>ttive</w:t>
      </w:r>
      <w:r w:rsidRPr="006D3CC0">
        <w:rPr>
          <w:b/>
          <w:bCs/>
          <w:color w:val="auto"/>
          <w:sz w:val="24"/>
          <w:szCs w:val="24"/>
          <w:lang w:eastAsia="en-US"/>
        </w:rPr>
        <w:t>”</w:t>
      </w:r>
      <w:r w:rsidR="00681CFA" w:rsidRPr="006D3CC0">
        <w:rPr>
          <w:b/>
          <w:bCs/>
          <w:color w:val="auto"/>
          <w:sz w:val="24"/>
          <w:szCs w:val="24"/>
          <w:lang w:eastAsia="en-US"/>
        </w:rPr>
        <w:t>: 65,57%</w:t>
      </w:r>
      <w:r>
        <w:rPr>
          <w:color w:val="auto"/>
          <w:sz w:val="24"/>
          <w:szCs w:val="24"/>
          <w:lang w:eastAsia="en-US"/>
        </w:rPr>
        <w:t xml:space="preserve"> </w:t>
      </w:r>
      <w:r w:rsidR="0014594F">
        <w:rPr>
          <w:color w:val="auto"/>
          <w:sz w:val="24"/>
          <w:szCs w:val="24"/>
          <w:lang w:eastAsia="en-US"/>
        </w:rPr>
        <w:t xml:space="preserve">- </w:t>
      </w:r>
      <w:r w:rsidR="0014594F" w:rsidRPr="0014594F">
        <w:rPr>
          <w:b/>
          <w:bCs/>
          <w:color w:val="auto"/>
          <w:sz w:val="24"/>
          <w:szCs w:val="24"/>
          <w:lang w:eastAsia="en-US"/>
        </w:rPr>
        <w:t>160.725 lotti</w:t>
      </w:r>
      <w:r w:rsidR="00681CFA" w:rsidRPr="0014594F">
        <w:rPr>
          <w:b/>
          <w:bCs/>
          <w:color w:val="auto"/>
          <w:sz w:val="24"/>
          <w:szCs w:val="24"/>
          <w:lang w:eastAsia="en-US"/>
        </w:rPr>
        <w:t>.</w:t>
      </w:r>
      <w:r w:rsidR="00681CFA" w:rsidRPr="006B538C">
        <w:rPr>
          <w:color w:val="auto"/>
          <w:sz w:val="24"/>
          <w:szCs w:val="24"/>
          <w:lang w:eastAsia="en-US"/>
        </w:rPr>
        <w:t xml:space="preserve"> Rappresentano Le aste con lotto non aggiudicato; il lotto verrà riproposto in asta successivamente con un ribasso del 25% (L.132/2015) e potrà essere di nuovo partecipato con un ulteriore ribasso dell’ulteriore 25%</w:t>
      </w:r>
      <w:r w:rsidR="00C65819">
        <w:rPr>
          <w:color w:val="auto"/>
          <w:sz w:val="24"/>
          <w:szCs w:val="24"/>
          <w:lang w:eastAsia="en-US"/>
        </w:rPr>
        <w:t>.</w:t>
      </w:r>
    </w:p>
    <w:p w:rsidR="00793F84" w:rsidRPr="006B538C" w:rsidRDefault="00793F84" w:rsidP="00793F84">
      <w:pPr>
        <w:pStyle w:val="Paragrafoelenco"/>
        <w:spacing w:after="0" w:line="240" w:lineRule="auto"/>
        <w:ind w:left="714"/>
        <w:jc w:val="both"/>
        <w:rPr>
          <w:color w:val="auto"/>
          <w:sz w:val="24"/>
          <w:szCs w:val="24"/>
          <w:lang w:eastAsia="en-US"/>
        </w:rPr>
      </w:pPr>
    </w:p>
    <w:p w:rsidR="00C65819" w:rsidRDefault="006B538C" w:rsidP="00D477DD">
      <w:pPr>
        <w:pStyle w:val="Paragrafoelenco"/>
        <w:numPr>
          <w:ilvl w:val="0"/>
          <w:numId w:val="6"/>
        </w:numPr>
        <w:spacing w:after="0" w:line="240" w:lineRule="auto"/>
        <w:ind w:left="714" w:hanging="357"/>
        <w:jc w:val="both"/>
        <w:rPr>
          <w:color w:val="auto"/>
          <w:sz w:val="24"/>
          <w:szCs w:val="24"/>
          <w:lang w:eastAsia="en-US"/>
        </w:rPr>
      </w:pPr>
      <w:r w:rsidRPr="006D3CC0">
        <w:rPr>
          <w:b/>
          <w:bCs/>
          <w:color w:val="auto"/>
          <w:sz w:val="24"/>
          <w:szCs w:val="24"/>
          <w:lang w:eastAsia="en-US"/>
        </w:rPr>
        <w:lastRenderedPageBreak/>
        <w:t>Aste “a</w:t>
      </w:r>
      <w:r w:rsidR="00681CFA" w:rsidRPr="006D3CC0">
        <w:rPr>
          <w:b/>
          <w:bCs/>
          <w:color w:val="auto"/>
          <w:sz w:val="24"/>
          <w:szCs w:val="24"/>
          <w:lang w:eastAsia="en-US"/>
        </w:rPr>
        <w:t>ggiudicate</w:t>
      </w:r>
      <w:r w:rsidRPr="006D3CC0">
        <w:rPr>
          <w:b/>
          <w:bCs/>
          <w:color w:val="auto"/>
          <w:sz w:val="24"/>
          <w:szCs w:val="24"/>
          <w:lang w:eastAsia="en-US"/>
        </w:rPr>
        <w:t>”</w:t>
      </w:r>
      <w:r w:rsidR="00681CFA" w:rsidRPr="006D3CC0">
        <w:rPr>
          <w:b/>
          <w:bCs/>
          <w:color w:val="auto"/>
          <w:sz w:val="24"/>
          <w:szCs w:val="24"/>
          <w:lang w:eastAsia="en-US"/>
        </w:rPr>
        <w:t xml:space="preserve">: 28,88% - 70.785 </w:t>
      </w:r>
      <w:r w:rsidR="00C65819">
        <w:rPr>
          <w:b/>
          <w:bCs/>
          <w:color w:val="auto"/>
          <w:sz w:val="24"/>
          <w:szCs w:val="24"/>
          <w:lang w:eastAsia="en-US"/>
        </w:rPr>
        <w:t>l</w:t>
      </w:r>
      <w:r w:rsidR="00681CFA" w:rsidRPr="006D3CC0">
        <w:rPr>
          <w:b/>
          <w:bCs/>
          <w:color w:val="auto"/>
          <w:sz w:val="24"/>
          <w:szCs w:val="24"/>
          <w:lang w:eastAsia="en-US"/>
        </w:rPr>
        <w:t>otti</w:t>
      </w:r>
      <w:r w:rsidR="00681CFA" w:rsidRPr="006B538C">
        <w:rPr>
          <w:color w:val="auto"/>
          <w:sz w:val="24"/>
          <w:szCs w:val="24"/>
          <w:lang w:eastAsia="en-US"/>
        </w:rPr>
        <w:t xml:space="preserve">. Sono gli immobili in asta che hanno trovato non solo l’aggiudicatario, ma hanno anche avuto decreto di trasferimento, pertanto sono le </w:t>
      </w:r>
      <w:r w:rsidR="00C65819" w:rsidRPr="00C65819">
        <w:rPr>
          <w:color w:val="auto"/>
          <w:sz w:val="24"/>
          <w:szCs w:val="24"/>
          <w:lang w:eastAsia="en-US"/>
        </w:rPr>
        <w:t xml:space="preserve">“certamente aggiudicate” </w:t>
      </w:r>
      <w:r w:rsidR="00681CFA" w:rsidRPr="00C65819">
        <w:rPr>
          <w:color w:val="auto"/>
          <w:sz w:val="24"/>
          <w:szCs w:val="24"/>
          <w:lang w:eastAsia="en-US"/>
        </w:rPr>
        <w:t>e trasferite di proprietà</w:t>
      </w:r>
      <w:r w:rsidR="00C65819" w:rsidRPr="00C65819">
        <w:rPr>
          <w:color w:val="auto"/>
          <w:sz w:val="24"/>
          <w:szCs w:val="24"/>
          <w:lang w:eastAsia="en-US"/>
        </w:rPr>
        <w:t>.</w:t>
      </w:r>
    </w:p>
    <w:p w:rsidR="00793F84" w:rsidRPr="00793F84" w:rsidRDefault="00793F84" w:rsidP="00793F84">
      <w:pPr>
        <w:jc w:val="both"/>
      </w:pPr>
    </w:p>
    <w:p w:rsidR="00681CFA" w:rsidRDefault="00DE07A2" w:rsidP="00D477DD">
      <w:pPr>
        <w:pStyle w:val="Paragrafoelenco"/>
        <w:numPr>
          <w:ilvl w:val="0"/>
          <w:numId w:val="6"/>
        </w:numPr>
        <w:spacing w:after="0" w:line="240" w:lineRule="auto"/>
        <w:ind w:left="714" w:hanging="357"/>
        <w:jc w:val="both"/>
        <w:rPr>
          <w:color w:val="auto"/>
          <w:sz w:val="24"/>
          <w:szCs w:val="24"/>
          <w:lang w:eastAsia="en-US"/>
        </w:rPr>
      </w:pPr>
      <w:r w:rsidRPr="00C65819">
        <w:rPr>
          <w:b/>
          <w:bCs/>
          <w:color w:val="auto"/>
          <w:sz w:val="24"/>
          <w:szCs w:val="24"/>
          <w:lang w:eastAsia="en-US"/>
        </w:rPr>
        <w:t>Aste “e</w:t>
      </w:r>
      <w:r w:rsidR="00681CFA" w:rsidRPr="00C65819">
        <w:rPr>
          <w:b/>
          <w:bCs/>
          <w:color w:val="auto"/>
          <w:sz w:val="24"/>
          <w:szCs w:val="24"/>
          <w:lang w:eastAsia="en-US"/>
        </w:rPr>
        <w:t>stinte per rinuncia</w:t>
      </w:r>
      <w:r w:rsidRPr="00C65819">
        <w:rPr>
          <w:b/>
          <w:bCs/>
          <w:color w:val="auto"/>
          <w:sz w:val="24"/>
          <w:szCs w:val="24"/>
          <w:lang w:eastAsia="en-US"/>
        </w:rPr>
        <w:t>”</w:t>
      </w:r>
      <w:r w:rsidR="00681CFA" w:rsidRPr="00C65819">
        <w:rPr>
          <w:b/>
          <w:bCs/>
          <w:color w:val="auto"/>
          <w:sz w:val="24"/>
          <w:szCs w:val="24"/>
          <w:lang w:eastAsia="en-US"/>
        </w:rPr>
        <w:t xml:space="preserve">: 2,81% - 6.887 </w:t>
      </w:r>
      <w:r w:rsidR="00C65819" w:rsidRPr="00C65819">
        <w:rPr>
          <w:b/>
          <w:bCs/>
          <w:color w:val="auto"/>
          <w:sz w:val="24"/>
          <w:szCs w:val="24"/>
          <w:lang w:eastAsia="en-US"/>
        </w:rPr>
        <w:t>l</w:t>
      </w:r>
      <w:r w:rsidR="00681CFA" w:rsidRPr="00C65819">
        <w:rPr>
          <w:b/>
          <w:bCs/>
          <w:color w:val="auto"/>
          <w:sz w:val="24"/>
          <w:szCs w:val="24"/>
          <w:lang w:eastAsia="en-US"/>
        </w:rPr>
        <w:t>otti.</w:t>
      </w:r>
      <w:r w:rsidR="00681CFA" w:rsidRPr="00C65819">
        <w:t xml:space="preserve"> </w:t>
      </w:r>
      <w:r w:rsidR="00681CFA" w:rsidRPr="00C65819">
        <w:rPr>
          <w:color w:val="auto"/>
          <w:sz w:val="24"/>
          <w:szCs w:val="24"/>
          <w:lang w:eastAsia="en-US"/>
        </w:rPr>
        <w:t xml:space="preserve">L’art. 629 c.p.c. cita testualmente che Il processo si estingue se, prima dell'aggiudicazione o dell'assegnazione, il creditore pignorante e quelli intervenuti muniti di titolo esecutivo rinunciano agli atti. </w:t>
      </w:r>
      <w:r w:rsidRPr="00C65819">
        <w:rPr>
          <w:color w:val="auto"/>
          <w:sz w:val="24"/>
          <w:szCs w:val="24"/>
          <w:lang w:eastAsia="en-US"/>
        </w:rPr>
        <w:t>L</w:t>
      </w:r>
      <w:r w:rsidR="00681CFA" w:rsidRPr="00C65819">
        <w:rPr>
          <w:color w:val="auto"/>
          <w:sz w:val="24"/>
          <w:szCs w:val="24"/>
          <w:lang w:eastAsia="en-US"/>
        </w:rPr>
        <w:t xml:space="preserve">a più comune e logica possibilità di </w:t>
      </w:r>
      <w:r w:rsidR="00C65819" w:rsidRPr="00C65819">
        <w:rPr>
          <w:color w:val="auto"/>
          <w:sz w:val="24"/>
          <w:szCs w:val="24"/>
          <w:lang w:eastAsia="en-US"/>
        </w:rPr>
        <w:t xml:space="preserve">rinuncia agli atti </w:t>
      </w:r>
      <w:r w:rsidR="00681CFA" w:rsidRPr="00C65819">
        <w:rPr>
          <w:color w:val="auto"/>
          <w:sz w:val="24"/>
          <w:szCs w:val="24"/>
          <w:lang w:eastAsia="en-US"/>
        </w:rPr>
        <w:t xml:space="preserve">sta nell’accordo </w:t>
      </w:r>
      <w:r w:rsidR="00C65819">
        <w:rPr>
          <w:color w:val="auto"/>
          <w:sz w:val="24"/>
          <w:szCs w:val="24"/>
          <w:lang w:eastAsia="en-US"/>
        </w:rPr>
        <w:t>t</w:t>
      </w:r>
      <w:r w:rsidR="00681CFA" w:rsidRPr="00C65819">
        <w:rPr>
          <w:color w:val="auto"/>
          <w:sz w:val="24"/>
          <w:szCs w:val="24"/>
          <w:lang w:eastAsia="en-US"/>
        </w:rPr>
        <w:t xml:space="preserve">ra </w:t>
      </w:r>
      <w:r w:rsidR="00C65819">
        <w:rPr>
          <w:color w:val="auto"/>
          <w:sz w:val="24"/>
          <w:szCs w:val="24"/>
          <w:lang w:eastAsia="en-US"/>
        </w:rPr>
        <w:t>p</w:t>
      </w:r>
      <w:r w:rsidR="00681CFA" w:rsidRPr="00C65819">
        <w:rPr>
          <w:color w:val="auto"/>
          <w:sz w:val="24"/>
          <w:szCs w:val="24"/>
          <w:lang w:eastAsia="en-US"/>
        </w:rPr>
        <w:t xml:space="preserve">roprietario del </w:t>
      </w:r>
      <w:r w:rsidR="00C65819">
        <w:rPr>
          <w:color w:val="auto"/>
          <w:sz w:val="24"/>
          <w:szCs w:val="24"/>
          <w:lang w:eastAsia="en-US"/>
        </w:rPr>
        <w:t>b</w:t>
      </w:r>
      <w:r w:rsidR="00681CFA" w:rsidRPr="00C65819">
        <w:rPr>
          <w:color w:val="auto"/>
          <w:sz w:val="24"/>
          <w:szCs w:val="24"/>
          <w:lang w:eastAsia="en-US"/>
        </w:rPr>
        <w:t>ene esecutato</w:t>
      </w:r>
      <w:r w:rsidR="00C65819">
        <w:rPr>
          <w:color w:val="auto"/>
          <w:sz w:val="24"/>
          <w:szCs w:val="24"/>
          <w:lang w:eastAsia="en-US"/>
        </w:rPr>
        <w:t>, c</w:t>
      </w:r>
      <w:r w:rsidR="00681CFA" w:rsidRPr="00C65819">
        <w:rPr>
          <w:color w:val="auto"/>
          <w:sz w:val="24"/>
          <w:szCs w:val="24"/>
          <w:lang w:eastAsia="en-US"/>
        </w:rPr>
        <w:t>reditor</w:t>
      </w:r>
      <w:r w:rsidR="00C65819">
        <w:rPr>
          <w:color w:val="auto"/>
          <w:sz w:val="24"/>
          <w:szCs w:val="24"/>
          <w:lang w:eastAsia="en-US"/>
        </w:rPr>
        <w:t>e</w:t>
      </w:r>
      <w:r w:rsidR="00681CFA" w:rsidRPr="00C65819">
        <w:rPr>
          <w:color w:val="auto"/>
          <w:sz w:val="24"/>
          <w:szCs w:val="24"/>
          <w:lang w:eastAsia="en-US"/>
        </w:rPr>
        <w:t xml:space="preserve"> </w:t>
      </w:r>
      <w:r w:rsidR="00C65819">
        <w:rPr>
          <w:color w:val="auto"/>
          <w:sz w:val="24"/>
          <w:szCs w:val="24"/>
          <w:lang w:eastAsia="en-US"/>
        </w:rPr>
        <w:t>p</w:t>
      </w:r>
      <w:r w:rsidR="00681CFA" w:rsidRPr="00C65819">
        <w:rPr>
          <w:color w:val="auto"/>
          <w:sz w:val="24"/>
          <w:szCs w:val="24"/>
          <w:lang w:eastAsia="en-US"/>
        </w:rPr>
        <w:t>rocedente e intervenuti</w:t>
      </w:r>
      <w:r w:rsidRPr="00C65819">
        <w:rPr>
          <w:color w:val="auto"/>
          <w:sz w:val="24"/>
          <w:szCs w:val="24"/>
          <w:lang w:eastAsia="en-US"/>
        </w:rPr>
        <w:t xml:space="preserve">. </w:t>
      </w:r>
      <w:r w:rsidR="00681CFA" w:rsidRPr="00C65819">
        <w:rPr>
          <w:color w:val="auto"/>
          <w:sz w:val="24"/>
          <w:szCs w:val="24"/>
          <w:lang w:eastAsia="en-US"/>
        </w:rPr>
        <w:t>Fanno parte attiva di questa voce quindi tutte quelle chiusure stragiudiziali nate dalla volontà del proprietario di chiudere la propria posizione debitoria</w:t>
      </w:r>
      <w:r w:rsidR="00A47708">
        <w:rPr>
          <w:color w:val="auto"/>
          <w:sz w:val="24"/>
          <w:szCs w:val="24"/>
          <w:lang w:eastAsia="en-US"/>
        </w:rPr>
        <w:t>.</w:t>
      </w:r>
    </w:p>
    <w:p w:rsidR="00793F84" w:rsidRPr="00793F84" w:rsidRDefault="00793F84" w:rsidP="00793F84">
      <w:pPr>
        <w:jc w:val="both"/>
      </w:pPr>
    </w:p>
    <w:p w:rsidR="00681CFA" w:rsidRDefault="00DE07A2" w:rsidP="00D477DD">
      <w:pPr>
        <w:pStyle w:val="Paragrafoelenco"/>
        <w:numPr>
          <w:ilvl w:val="0"/>
          <w:numId w:val="6"/>
        </w:numPr>
        <w:spacing w:after="0" w:line="240" w:lineRule="auto"/>
        <w:ind w:left="714" w:hanging="357"/>
        <w:jc w:val="both"/>
        <w:rPr>
          <w:color w:val="auto"/>
          <w:sz w:val="24"/>
          <w:szCs w:val="24"/>
          <w:lang w:eastAsia="en-US"/>
        </w:rPr>
      </w:pPr>
      <w:r w:rsidRPr="006D3CC0">
        <w:rPr>
          <w:b/>
          <w:bCs/>
          <w:color w:val="auto"/>
          <w:sz w:val="24"/>
          <w:szCs w:val="24"/>
          <w:lang w:eastAsia="en-US"/>
        </w:rPr>
        <w:t>Aste “r</w:t>
      </w:r>
      <w:r w:rsidR="00681CFA" w:rsidRPr="006D3CC0">
        <w:rPr>
          <w:b/>
          <w:bCs/>
          <w:color w:val="auto"/>
          <w:sz w:val="24"/>
          <w:szCs w:val="24"/>
          <w:lang w:eastAsia="en-US"/>
        </w:rPr>
        <w:t>iunite</w:t>
      </w:r>
      <w:r w:rsidRPr="006D3CC0">
        <w:rPr>
          <w:b/>
          <w:bCs/>
          <w:color w:val="auto"/>
          <w:sz w:val="24"/>
          <w:szCs w:val="24"/>
          <w:lang w:eastAsia="en-US"/>
        </w:rPr>
        <w:t>”</w:t>
      </w:r>
      <w:r w:rsidR="00681CFA" w:rsidRPr="006D3CC0">
        <w:rPr>
          <w:b/>
          <w:bCs/>
          <w:color w:val="auto"/>
          <w:sz w:val="24"/>
          <w:szCs w:val="24"/>
          <w:lang w:eastAsia="en-US"/>
        </w:rPr>
        <w:t>: 0</w:t>
      </w:r>
      <w:r w:rsidR="00A47708">
        <w:rPr>
          <w:b/>
          <w:bCs/>
          <w:color w:val="auto"/>
          <w:sz w:val="24"/>
          <w:szCs w:val="24"/>
          <w:lang w:eastAsia="en-US"/>
        </w:rPr>
        <w:t>,</w:t>
      </w:r>
      <w:r w:rsidR="00681CFA" w:rsidRPr="006D3CC0">
        <w:rPr>
          <w:b/>
          <w:bCs/>
          <w:color w:val="auto"/>
          <w:sz w:val="24"/>
          <w:szCs w:val="24"/>
          <w:lang w:eastAsia="en-US"/>
        </w:rPr>
        <w:t xml:space="preserve">33% - 807 </w:t>
      </w:r>
      <w:r w:rsidR="00A47708">
        <w:rPr>
          <w:b/>
          <w:bCs/>
          <w:color w:val="auto"/>
          <w:sz w:val="24"/>
          <w:szCs w:val="24"/>
          <w:lang w:eastAsia="en-US"/>
        </w:rPr>
        <w:t>l</w:t>
      </w:r>
      <w:r w:rsidR="00681CFA" w:rsidRPr="006D3CC0">
        <w:rPr>
          <w:b/>
          <w:bCs/>
          <w:color w:val="auto"/>
          <w:sz w:val="24"/>
          <w:szCs w:val="24"/>
          <w:lang w:eastAsia="en-US"/>
        </w:rPr>
        <w:t>otti</w:t>
      </w:r>
      <w:r w:rsidR="00681CFA" w:rsidRPr="006B538C">
        <w:rPr>
          <w:color w:val="auto"/>
          <w:sz w:val="24"/>
          <w:szCs w:val="24"/>
          <w:lang w:eastAsia="en-US"/>
        </w:rPr>
        <w:t>. Rappresentano, seppur in numero contenuto, tutte quelle esecuzioni con pignoramento successivo a un precedente pignoramento, ovvero tutte le esecuzioni che, per procedure diverse</w:t>
      </w:r>
      <w:r>
        <w:rPr>
          <w:color w:val="auto"/>
          <w:sz w:val="24"/>
          <w:szCs w:val="24"/>
          <w:lang w:eastAsia="en-US"/>
        </w:rPr>
        <w:t>,</w:t>
      </w:r>
      <w:r w:rsidR="00681CFA" w:rsidRPr="006B538C">
        <w:rPr>
          <w:color w:val="auto"/>
          <w:sz w:val="24"/>
          <w:szCs w:val="24"/>
          <w:lang w:eastAsia="en-US"/>
        </w:rPr>
        <w:t xml:space="preserve"> sono stare trasformate in una “Crisi da Sovraindebitamento” oppure sono state assorbite dal successivo fallimento della società proprietaria del bene e liquidate con procedura concorsuale.</w:t>
      </w:r>
    </w:p>
    <w:p w:rsidR="00793F84" w:rsidRPr="00793F84" w:rsidRDefault="00793F84" w:rsidP="00793F84">
      <w:pPr>
        <w:jc w:val="both"/>
      </w:pPr>
    </w:p>
    <w:p w:rsidR="00681CFA" w:rsidRDefault="00DE07A2" w:rsidP="00D477DD">
      <w:pPr>
        <w:pStyle w:val="Paragrafoelenco"/>
        <w:numPr>
          <w:ilvl w:val="0"/>
          <w:numId w:val="6"/>
        </w:numPr>
        <w:spacing w:after="0" w:line="240" w:lineRule="auto"/>
        <w:ind w:left="714" w:hanging="357"/>
        <w:jc w:val="both"/>
        <w:rPr>
          <w:color w:val="auto"/>
          <w:sz w:val="24"/>
          <w:szCs w:val="24"/>
          <w:lang w:eastAsia="en-US"/>
        </w:rPr>
      </w:pPr>
      <w:r w:rsidRPr="00A47708">
        <w:rPr>
          <w:b/>
          <w:bCs/>
          <w:color w:val="auto"/>
          <w:sz w:val="24"/>
          <w:szCs w:val="24"/>
          <w:lang w:eastAsia="en-US"/>
        </w:rPr>
        <w:t>Aste “s</w:t>
      </w:r>
      <w:r w:rsidR="00681CFA" w:rsidRPr="00A47708">
        <w:rPr>
          <w:b/>
          <w:bCs/>
          <w:color w:val="auto"/>
          <w:sz w:val="24"/>
          <w:szCs w:val="24"/>
          <w:lang w:eastAsia="en-US"/>
        </w:rPr>
        <w:t>ospese</w:t>
      </w:r>
      <w:r w:rsidRPr="00A47708">
        <w:rPr>
          <w:b/>
          <w:bCs/>
          <w:color w:val="auto"/>
          <w:sz w:val="24"/>
          <w:szCs w:val="24"/>
          <w:lang w:eastAsia="en-US"/>
        </w:rPr>
        <w:t>”</w:t>
      </w:r>
      <w:r w:rsidR="00681CFA" w:rsidRPr="00A47708">
        <w:rPr>
          <w:b/>
          <w:bCs/>
          <w:color w:val="auto"/>
          <w:sz w:val="24"/>
          <w:szCs w:val="24"/>
          <w:lang w:eastAsia="en-US"/>
        </w:rPr>
        <w:t xml:space="preserve">: 1,61% - 3.946 </w:t>
      </w:r>
      <w:r w:rsidR="00A47708">
        <w:rPr>
          <w:b/>
          <w:bCs/>
          <w:color w:val="auto"/>
          <w:sz w:val="24"/>
          <w:szCs w:val="24"/>
          <w:lang w:eastAsia="en-US"/>
        </w:rPr>
        <w:t>l</w:t>
      </w:r>
      <w:r w:rsidR="00681CFA" w:rsidRPr="00A47708">
        <w:rPr>
          <w:b/>
          <w:bCs/>
          <w:color w:val="auto"/>
          <w:sz w:val="24"/>
          <w:szCs w:val="24"/>
          <w:lang w:eastAsia="en-US"/>
        </w:rPr>
        <w:t>otti</w:t>
      </w:r>
      <w:r w:rsidR="00681CFA" w:rsidRPr="00A47708">
        <w:rPr>
          <w:color w:val="auto"/>
          <w:sz w:val="24"/>
          <w:szCs w:val="24"/>
          <w:lang w:eastAsia="en-US"/>
        </w:rPr>
        <w:t>.</w:t>
      </w:r>
      <w:r w:rsidR="00681CFA" w:rsidRPr="006B538C">
        <w:rPr>
          <w:color w:val="auto"/>
          <w:sz w:val="24"/>
          <w:szCs w:val="24"/>
          <w:lang w:eastAsia="en-US"/>
        </w:rPr>
        <w:t xml:space="preserve"> La sospensione concordata è regolata dall'art. 624 bis del Codice di procedura civile e consente al Giudice dell'Esecuzione di sospendere il processo esecutivo per un tempo limitato, non superiore a 24 mesi, su istanza di tutti i creditori muniti di titolo esecutivo e sentito il debitore. Questo significa che il bene oggetto di esecuzione, rimanendo pignorato, ottiene una sospensione concordata</w:t>
      </w:r>
      <w:r w:rsidR="00A47708">
        <w:rPr>
          <w:color w:val="auto"/>
          <w:sz w:val="24"/>
          <w:szCs w:val="24"/>
          <w:lang w:eastAsia="en-US"/>
        </w:rPr>
        <w:t>.</w:t>
      </w:r>
    </w:p>
    <w:p w:rsidR="00793F84" w:rsidRPr="00793F84" w:rsidRDefault="00793F84" w:rsidP="00793F84">
      <w:pPr>
        <w:jc w:val="both"/>
      </w:pPr>
    </w:p>
    <w:p w:rsidR="00E364D6" w:rsidRDefault="00DE07A2" w:rsidP="00D477DD">
      <w:pPr>
        <w:pStyle w:val="Paragrafoelenco"/>
        <w:numPr>
          <w:ilvl w:val="0"/>
          <w:numId w:val="6"/>
        </w:numPr>
        <w:spacing w:after="0" w:line="240" w:lineRule="auto"/>
        <w:ind w:left="714" w:hanging="357"/>
        <w:jc w:val="both"/>
        <w:rPr>
          <w:color w:val="auto"/>
          <w:sz w:val="24"/>
          <w:szCs w:val="24"/>
          <w:lang w:eastAsia="en-US"/>
        </w:rPr>
      </w:pPr>
      <w:r w:rsidRPr="006D3CC0">
        <w:rPr>
          <w:b/>
          <w:bCs/>
          <w:color w:val="auto"/>
          <w:sz w:val="24"/>
          <w:szCs w:val="24"/>
          <w:lang w:eastAsia="en-US"/>
        </w:rPr>
        <w:t>Aste “e</w:t>
      </w:r>
      <w:r w:rsidR="00681CFA" w:rsidRPr="006D3CC0">
        <w:rPr>
          <w:b/>
          <w:bCs/>
          <w:color w:val="auto"/>
          <w:sz w:val="24"/>
          <w:szCs w:val="24"/>
          <w:lang w:eastAsia="en-US"/>
        </w:rPr>
        <w:t>stinte per inattività</w:t>
      </w:r>
      <w:r w:rsidRPr="006D3CC0">
        <w:rPr>
          <w:b/>
          <w:bCs/>
          <w:color w:val="auto"/>
          <w:sz w:val="24"/>
          <w:szCs w:val="24"/>
          <w:lang w:eastAsia="en-US"/>
        </w:rPr>
        <w:t>”</w:t>
      </w:r>
      <w:r w:rsidR="00681CFA" w:rsidRPr="006D3CC0">
        <w:rPr>
          <w:b/>
          <w:bCs/>
          <w:color w:val="auto"/>
          <w:sz w:val="24"/>
          <w:szCs w:val="24"/>
          <w:lang w:eastAsia="en-US"/>
        </w:rPr>
        <w:t>: 0,80% - 1.960 Lotti</w:t>
      </w:r>
      <w:r w:rsidR="00681CFA" w:rsidRPr="006B538C">
        <w:rPr>
          <w:color w:val="auto"/>
          <w:sz w:val="24"/>
          <w:szCs w:val="24"/>
          <w:lang w:eastAsia="en-US"/>
        </w:rPr>
        <w:t xml:space="preserve">. </w:t>
      </w:r>
      <w:r>
        <w:rPr>
          <w:color w:val="auto"/>
          <w:sz w:val="24"/>
          <w:szCs w:val="24"/>
          <w:lang w:eastAsia="en-US"/>
        </w:rPr>
        <w:t>S</w:t>
      </w:r>
      <w:r w:rsidR="00681CFA" w:rsidRPr="006B538C">
        <w:rPr>
          <w:color w:val="auto"/>
          <w:sz w:val="24"/>
          <w:szCs w:val="24"/>
          <w:lang w:eastAsia="en-US"/>
        </w:rPr>
        <w:t>ono pignoramenti che non hanno più avuto impulso procedurale per mancanza di attività spesso dello stesso creditore procedente (un esempio su tutti, il caso in cui il Pignoramento sia stato eseguito dal Condominio che non ha poi più messo i fondi economici richiesti dalla procedura per attivare la vendita giudiziale)</w:t>
      </w:r>
      <w:r w:rsidR="006D3CC0">
        <w:rPr>
          <w:color w:val="auto"/>
          <w:sz w:val="24"/>
          <w:szCs w:val="24"/>
          <w:lang w:eastAsia="en-US"/>
        </w:rPr>
        <w:t>.</w:t>
      </w:r>
    </w:p>
    <w:p w:rsidR="00D477DD" w:rsidRPr="00E364D6" w:rsidRDefault="00D477DD" w:rsidP="00D477DD">
      <w:pPr>
        <w:pStyle w:val="Paragrafoelenco"/>
        <w:spacing w:after="0" w:line="240" w:lineRule="auto"/>
        <w:ind w:left="714"/>
        <w:jc w:val="both"/>
        <w:rPr>
          <w:color w:val="auto"/>
          <w:sz w:val="24"/>
          <w:szCs w:val="24"/>
          <w:lang w:eastAsia="en-US"/>
        </w:rPr>
      </w:pPr>
    </w:p>
    <w:p w:rsidR="00F65679" w:rsidRPr="00793F84" w:rsidRDefault="00C65819" w:rsidP="00F65679">
      <w:pPr>
        <w:jc w:val="both"/>
        <w:rPr>
          <w:i/>
          <w:iCs/>
        </w:rPr>
      </w:pPr>
      <w:r>
        <w:t xml:space="preserve"> </w:t>
      </w:r>
      <w:r w:rsidR="00F65679">
        <w:t>“</w:t>
      </w:r>
      <w:r w:rsidR="00F65679" w:rsidRPr="00A47708">
        <w:rPr>
          <w:i/>
          <w:iCs/>
        </w:rPr>
        <w:t xml:space="preserve">Con una sorta di verifica di tipo archeologico sulle procedure, abbiamo lavorato ed elaborato i dati non solo sul numero di esecuzioni, ma anche da quanto tempo giacciono nei tribunali italiani. </w:t>
      </w:r>
      <w:r w:rsidR="00793F84">
        <w:rPr>
          <w:i/>
          <w:iCs/>
        </w:rPr>
        <w:t xml:space="preserve">- </w:t>
      </w:r>
      <w:r w:rsidR="00B57E52">
        <w:t>afferma</w:t>
      </w:r>
      <w:r w:rsidR="00B57E52" w:rsidRPr="00B57E52">
        <w:t xml:space="preserve"> </w:t>
      </w:r>
      <w:r w:rsidR="00B57E52" w:rsidRPr="00B57E52">
        <w:rPr>
          <w:b/>
          <w:bCs/>
        </w:rPr>
        <w:t>Mirko Frigerio</w:t>
      </w:r>
      <w:r w:rsidR="00B57E52" w:rsidRPr="00A47708">
        <w:rPr>
          <w:i/>
          <w:iCs/>
        </w:rPr>
        <w:t xml:space="preserve"> </w:t>
      </w:r>
      <w:r w:rsidR="00B57E52">
        <w:rPr>
          <w:i/>
          <w:iCs/>
        </w:rPr>
        <w:t xml:space="preserve">- </w:t>
      </w:r>
      <w:r w:rsidR="00F65679" w:rsidRPr="00A47708">
        <w:rPr>
          <w:i/>
          <w:iCs/>
        </w:rPr>
        <w:t xml:space="preserve">Sembra assurdo, ma esistono e continuano ad essere mantenute aste datate </w:t>
      </w:r>
      <w:r w:rsidR="00F65679" w:rsidRPr="00A47708">
        <w:rPr>
          <w:b/>
          <w:i/>
          <w:iCs/>
        </w:rPr>
        <w:t xml:space="preserve">1976, 1977, 1979 </w:t>
      </w:r>
      <w:r w:rsidR="00F65679" w:rsidRPr="00A47708">
        <w:rPr>
          <w:bCs/>
          <w:i/>
          <w:iCs/>
        </w:rPr>
        <w:t>e cos</w:t>
      </w:r>
      <w:r w:rsidR="00D44370">
        <w:rPr>
          <w:bCs/>
          <w:i/>
          <w:iCs/>
        </w:rPr>
        <w:t>ì</w:t>
      </w:r>
      <w:r w:rsidR="00F65679" w:rsidRPr="00A47708">
        <w:rPr>
          <w:bCs/>
          <w:i/>
          <w:iCs/>
        </w:rPr>
        <w:t xml:space="preserve"> a seguire</w:t>
      </w:r>
      <w:r w:rsidR="00F65679" w:rsidRPr="00A47708">
        <w:rPr>
          <w:i/>
          <w:iCs/>
        </w:rPr>
        <w:t xml:space="preserve">. Ciò ha voluto dire, e ancora vuol dire, </w:t>
      </w:r>
      <w:r w:rsidR="00F65679" w:rsidRPr="00A47708">
        <w:rPr>
          <w:b/>
          <w:i/>
          <w:iCs/>
        </w:rPr>
        <w:t xml:space="preserve">51 anni di costi attivi, senza arrivare alla chiusura e all’estinzione della pratica. </w:t>
      </w:r>
      <w:r w:rsidR="00F65679" w:rsidRPr="00A47708">
        <w:rPr>
          <w:i/>
          <w:iCs/>
        </w:rPr>
        <w:t>Oltre 67.743 esecuzioni attendono una chiusura oltre i tempi medi delle procedure e vengono mantenute in vita, nonostante alcune abbiano già cambiato diversi professionisti delegati, diversi giudici, diversi curatori fallimentari</w:t>
      </w:r>
      <w:r w:rsidR="00F65679">
        <w:t>”.</w:t>
      </w:r>
    </w:p>
    <w:p w:rsidR="00F65679" w:rsidRDefault="00F65679" w:rsidP="00F65679">
      <w:pPr>
        <w:jc w:val="both"/>
      </w:pPr>
    </w:p>
    <w:p w:rsidR="00F65679" w:rsidRPr="00F65679" w:rsidRDefault="00F65679" w:rsidP="00D477DD">
      <w:pPr>
        <w:jc w:val="both"/>
      </w:pPr>
      <w:r w:rsidRPr="00F65679">
        <w:t xml:space="preserve">Per quanto riguarda il tempo medio di chiusura di una Esecuzione Immobiliare, è stata di 2.172 </w:t>
      </w:r>
      <w:r w:rsidR="00D44370">
        <w:t>g</w:t>
      </w:r>
      <w:r w:rsidRPr="00F65679">
        <w:t>iorni (5 anni</w:t>
      </w:r>
      <w:r w:rsidR="00E97EDD">
        <w:t>,</w:t>
      </w:r>
      <w:r w:rsidRPr="00F65679">
        <w:t xml:space="preserve"> 11 mesi e 12 giorni) la media di chiusura delle procedure esecutive avvenute nel 2019; i giorni vengono calcolati dalla data di iscrizione al Ruolo, sino all’ultimo atto evidenziato nella procedura. </w:t>
      </w:r>
    </w:p>
    <w:p w:rsidR="00E97EDD" w:rsidRDefault="00E97EDD">
      <w:pPr>
        <w:rPr>
          <w:rFonts w:ascii="Arial" w:hAnsi="Arial" w:cs="Arial"/>
          <w:i/>
        </w:rPr>
      </w:pPr>
      <w:r>
        <w:rPr>
          <w:rFonts w:ascii="Arial" w:hAnsi="Arial" w:cs="Arial"/>
          <w:i/>
        </w:rPr>
        <w:br w:type="page"/>
      </w:r>
    </w:p>
    <w:p w:rsidR="00B9486A" w:rsidRDefault="00B9486A" w:rsidP="00B57E52">
      <w:pPr>
        <w:rPr>
          <w:rFonts w:ascii="Arial" w:hAnsi="Arial" w:cs="Arial"/>
          <w:i/>
        </w:rPr>
      </w:pPr>
    </w:p>
    <w:p w:rsidR="001F79CB" w:rsidRDefault="008143C0" w:rsidP="000F7508">
      <w:pPr>
        <w:jc w:val="center"/>
        <w:rPr>
          <w:rFonts w:ascii="Arial" w:hAnsi="Arial" w:cs="Arial"/>
          <w:i/>
        </w:rPr>
      </w:pPr>
      <w:r>
        <w:rPr>
          <w:rFonts w:ascii="Arial" w:hAnsi="Arial" w:cs="Arial"/>
          <w:i/>
        </w:rPr>
        <w:t>***</w:t>
      </w:r>
    </w:p>
    <w:p w:rsidR="008143C0" w:rsidRDefault="008143C0" w:rsidP="008143C0">
      <w:pPr>
        <w:jc w:val="both"/>
        <w:rPr>
          <w:rFonts w:ascii="Arial" w:hAnsi="Arial" w:cs="Arial"/>
          <w:sz w:val="16"/>
          <w:szCs w:val="16"/>
        </w:rPr>
      </w:pPr>
    </w:p>
    <w:p w:rsidR="00C47E1E" w:rsidRPr="00C47E1E" w:rsidRDefault="00082723" w:rsidP="00C47E1E">
      <w:pPr>
        <w:jc w:val="both"/>
        <w:rPr>
          <w:rFonts w:ascii="Arial" w:hAnsi="Arial" w:cs="Arial"/>
          <w:b/>
          <w:bCs/>
          <w:sz w:val="16"/>
          <w:szCs w:val="16"/>
        </w:rPr>
      </w:pPr>
      <w:r w:rsidRPr="00082723">
        <w:rPr>
          <w:rFonts w:ascii="Arial" w:hAnsi="Arial" w:cs="Arial"/>
          <w:sz w:val="16"/>
          <w:szCs w:val="16"/>
        </w:rPr>
        <w:t>Astasy è la prima e più completa struttura di Auction Real Estate italiana che si occupa</w:t>
      </w:r>
      <w:r w:rsidRPr="00082723">
        <w:rPr>
          <w:rFonts w:ascii="-webkit-standard" w:eastAsia="Times New Roman" w:hAnsi="-webkit-standard" w:cs="Times New Roman"/>
          <w:color w:val="000000"/>
          <w:sz w:val="27"/>
          <w:szCs w:val="27"/>
          <w:lang w:eastAsia="it-IT"/>
        </w:rPr>
        <w:t xml:space="preserve"> </w:t>
      </w:r>
      <w:r w:rsidRPr="00082723">
        <w:rPr>
          <w:rFonts w:ascii="Arial" w:hAnsi="Arial" w:cs="Arial"/>
          <w:sz w:val="16"/>
          <w:szCs w:val="16"/>
        </w:rPr>
        <w:t xml:space="preserve">dell'intera filiera della consulenza in esecuzioni immobiliari e di assistenza per procedure concorsuali ed esecutive. Specializzata nel monitoraggio e gestione degli asset posti in procedura, nella vendita di immobili all’asta, nella gestione di operazioni di Saldo e Stralcio stragiudiziale anche attraverso operazioni di gestione del credito, la società, che ha sede a Milano, opera in tutta Italia ed è suddivisa in aree operative integrate tra loro, per offrire una gamma completa di servizi tecnici e tecnologici ad alta specializzazione rivolti a privati, professionisti e tecnici del settore, agenzie, banche ed istituti di </w:t>
      </w:r>
      <w:proofErr w:type="spellStart"/>
      <w:r w:rsidRPr="00082723">
        <w:rPr>
          <w:rFonts w:ascii="Arial" w:hAnsi="Arial" w:cs="Arial"/>
          <w:sz w:val="16"/>
          <w:szCs w:val="16"/>
        </w:rPr>
        <w:t>credito.La</w:t>
      </w:r>
      <w:proofErr w:type="spellEnd"/>
      <w:r w:rsidRPr="00082723">
        <w:rPr>
          <w:rFonts w:ascii="Arial" w:hAnsi="Arial" w:cs="Arial"/>
          <w:sz w:val="16"/>
          <w:szCs w:val="16"/>
        </w:rPr>
        <w:t xml:space="preserve"> sua operatività si estende a tutto il territorio italiano e comprende l’analisi e la commercializzazione di asset immobiliari o singole unità legati a crediti non </w:t>
      </w:r>
      <w:proofErr w:type="spellStart"/>
      <w:r w:rsidRPr="00082723">
        <w:rPr>
          <w:rFonts w:ascii="Arial" w:hAnsi="Arial" w:cs="Arial"/>
          <w:sz w:val="16"/>
          <w:szCs w:val="16"/>
        </w:rPr>
        <w:t>performing</w:t>
      </w:r>
      <w:proofErr w:type="spellEnd"/>
      <w:r w:rsidRPr="00082723">
        <w:rPr>
          <w:rFonts w:ascii="Arial" w:hAnsi="Arial" w:cs="Arial"/>
          <w:sz w:val="16"/>
          <w:szCs w:val="16"/>
        </w:rPr>
        <w:t xml:space="preserve"> </w:t>
      </w:r>
      <w:proofErr w:type="spellStart"/>
      <w:r w:rsidRPr="00082723">
        <w:rPr>
          <w:rFonts w:ascii="Arial" w:hAnsi="Arial" w:cs="Arial"/>
          <w:sz w:val="16"/>
          <w:szCs w:val="16"/>
        </w:rPr>
        <w:t>loans</w:t>
      </w:r>
      <w:proofErr w:type="spellEnd"/>
      <w:r w:rsidRPr="00082723">
        <w:rPr>
          <w:rFonts w:ascii="Arial" w:hAnsi="Arial" w:cs="Arial"/>
          <w:sz w:val="16"/>
          <w:szCs w:val="16"/>
        </w:rPr>
        <w:t xml:space="preserve"> (</w:t>
      </w:r>
      <w:proofErr w:type="spellStart"/>
      <w:r w:rsidRPr="00082723">
        <w:rPr>
          <w:rFonts w:ascii="Arial" w:hAnsi="Arial" w:cs="Arial"/>
          <w:sz w:val="16"/>
          <w:szCs w:val="16"/>
        </w:rPr>
        <w:t>NPLs</w:t>
      </w:r>
      <w:proofErr w:type="spellEnd"/>
      <w:r w:rsidRPr="00082723">
        <w:rPr>
          <w:rFonts w:ascii="Arial" w:hAnsi="Arial" w:cs="Arial"/>
          <w:sz w:val="16"/>
          <w:szCs w:val="16"/>
        </w:rPr>
        <w:t>), crediti deteriorati che possono rappresentare opportunità di investimento in campo immobiliar</w:t>
      </w:r>
      <w:r>
        <w:rPr>
          <w:rFonts w:ascii="Arial" w:hAnsi="Arial" w:cs="Arial"/>
          <w:sz w:val="16"/>
          <w:szCs w:val="16"/>
        </w:rPr>
        <w:t>e.</w:t>
      </w:r>
      <w:r w:rsidR="00C47E1E">
        <w:rPr>
          <w:rFonts w:ascii="Arial" w:hAnsi="Arial" w:cs="Arial"/>
          <w:sz w:val="16"/>
          <w:szCs w:val="16"/>
        </w:rPr>
        <w:t xml:space="preserve"> </w:t>
      </w:r>
      <w:r w:rsidR="00C47E1E" w:rsidRPr="00C47E1E">
        <w:rPr>
          <w:rFonts w:ascii="Arial" w:hAnsi="Arial" w:cs="Arial"/>
          <w:b/>
          <w:bCs/>
          <w:sz w:val="16"/>
          <w:szCs w:val="16"/>
        </w:rPr>
        <w:t>Asta</w:t>
      </w:r>
      <w:r w:rsidR="00C47E1E">
        <w:rPr>
          <w:rFonts w:ascii="Arial" w:hAnsi="Arial" w:cs="Arial"/>
          <w:b/>
          <w:bCs/>
          <w:sz w:val="16"/>
          <w:szCs w:val="16"/>
        </w:rPr>
        <w:t>s</w:t>
      </w:r>
      <w:r w:rsidR="00C47E1E" w:rsidRPr="00C47E1E">
        <w:rPr>
          <w:rFonts w:ascii="Arial" w:hAnsi="Arial" w:cs="Arial"/>
          <w:b/>
          <w:bCs/>
          <w:sz w:val="16"/>
          <w:szCs w:val="16"/>
        </w:rPr>
        <w:t xml:space="preserve">y è una società </w:t>
      </w:r>
      <w:r w:rsidR="00321710">
        <w:rPr>
          <w:rFonts w:ascii="Arial" w:hAnsi="Arial" w:cs="Arial"/>
          <w:b/>
          <w:bCs/>
          <w:sz w:val="16"/>
          <w:szCs w:val="16"/>
        </w:rPr>
        <w:t>controllata</w:t>
      </w:r>
      <w:r w:rsidR="00C47E1E" w:rsidRPr="00C47E1E">
        <w:rPr>
          <w:rFonts w:ascii="Arial" w:hAnsi="Arial" w:cs="Arial"/>
          <w:b/>
          <w:bCs/>
          <w:sz w:val="16"/>
          <w:szCs w:val="16"/>
        </w:rPr>
        <w:t xml:space="preserve"> da RINA Prime Value Services Sp</w:t>
      </w:r>
      <w:r w:rsidR="00A72C2B">
        <w:rPr>
          <w:rFonts w:ascii="Arial" w:hAnsi="Arial" w:cs="Arial"/>
          <w:b/>
          <w:bCs/>
          <w:sz w:val="16"/>
          <w:szCs w:val="16"/>
        </w:rPr>
        <w:t>a</w:t>
      </w:r>
      <w:r w:rsidR="00C47E1E" w:rsidRPr="00C47E1E">
        <w:rPr>
          <w:rFonts w:ascii="Arial" w:hAnsi="Arial" w:cs="Arial"/>
          <w:b/>
          <w:bCs/>
          <w:sz w:val="16"/>
          <w:szCs w:val="16"/>
        </w:rPr>
        <w:t>, che ne detiene la direzione e il coordinamento.</w:t>
      </w:r>
    </w:p>
    <w:p w:rsidR="00082723" w:rsidRPr="00082723" w:rsidRDefault="00082723" w:rsidP="00082723">
      <w:pPr>
        <w:jc w:val="both"/>
        <w:rPr>
          <w:rFonts w:ascii="Arial" w:hAnsi="Arial" w:cs="Arial"/>
          <w:sz w:val="16"/>
          <w:szCs w:val="16"/>
        </w:rPr>
      </w:pPr>
    </w:p>
    <w:p w:rsidR="00082723" w:rsidRDefault="00082723" w:rsidP="00082723">
      <w:pPr>
        <w:jc w:val="both"/>
        <w:rPr>
          <w:rFonts w:ascii="Arial" w:hAnsi="Arial" w:cs="Arial"/>
          <w:sz w:val="16"/>
          <w:szCs w:val="16"/>
        </w:rPr>
      </w:pPr>
    </w:p>
    <w:p w:rsidR="008143C0" w:rsidRDefault="008143C0" w:rsidP="000F7508">
      <w:pPr>
        <w:jc w:val="center"/>
        <w:rPr>
          <w:rFonts w:ascii="Arial" w:hAnsi="Arial" w:cs="Arial"/>
          <w:color w:val="000000" w:themeColor="text1"/>
          <w:sz w:val="20"/>
          <w:szCs w:val="20"/>
        </w:rPr>
      </w:pPr>
    </w:p>
    <w:p w:rsidR="008143C0" w:rsidRPr="003C7ADF" w:rsidRDefault="008143C0" w:rsidP="00D80F3B">
      <w:pPr>
        <w:pStyle w:val="NPLs"/>
        <w:rPr>
          <w:rFonts w:ascii="Arial" w:hAnsi="Arial" w:cs="Arial"/>
          <w:color w:val="000000"/>
          <w:sz w:val="16"/>
          <w:szCs w:val="16"/>
        </w:rPr>
      </w:pPr>
    </w:p>
    <w:sectPr w:rsidR="008143C0" w:rsidRPr="003C7ADF" w:rsidSect="003E3D32">
      <w:headerReference w:type="default" r:id="rId10"/>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3D7" w:rsidRDefault="00C753D7" w:rsidP="001F79CB">
      <w:r>
        <w:separator/>
      </w:r>
    </w:p>
  </w:endnote>
  <w:endnote w:type="continuationSeparator" w:id="0">
    <w:p w:rsidR="00C753D7" w:rsidRDefault="00C753D7" w:rsidP="001F79CB">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w:altName w:val="Arial"/>
    <w:charset w:val="B1"/>
    <w:family w:val="swiss"/>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3D7" w:rsidRDefault="00C753D7" w:rsidP="001F79CB">
      <w:r>
        <w:separator/>
      </w:r>
    </w:p>
  </w:footnote>
  <w:footnote w:type="continuationSeparator" w:id="0">
    <w:p w:rsidR="00C753D7" w:rsidRDefault="00C753D7" w:rsidP="001F79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CB" w:rsidRDefault="003C7ADF" w:rsidP="001F79CB">
    <w:pPr>
      <w:pStyle w:val="Intestazione"/>
    </w:pPr>
    <w:r>
      <w:rPr>
        <w:noProof/>
        <w:lang w:eastAsia="it-IT"/>
      </w:rPr>
      <w:drawing>
        <wp:inline distT="0" distB="0" distL="0" distR="0">
          <wp:extent cx="1961379" cy="837847"/>
          <wp:effectExtent l="0" t="0" r="0" b="635"/>
          <wp:docPr id="2" name="Immagine 2" descr="/Users/brambilla/Desktop/Schermata 2018-12-28 alle 09.3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brambilla/Desktop/Schermata 2018-12-28 alle 09.39.20.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4978" cy="85647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7F9"/>
    <w:multiLevelType w:val="hybridMultilevel"/>
    <w:tmpl w:val="CFB4B1F0"/>
    <w:lvl w:ilvl="0" w:tplc="B13AA210">
      <w:start w:val="2"/>
      <w:numFmt w:val="bullet"/>
      <w:lvlText w:val="-"/>
      <w:lvlJc w:val="left"/>
      <w:pPr>
        <w:ind w:left="720" w:hanging="360"/>
      </w:pPr>
      <w:rPr>
        <w:rFonts w:ascii="Century Gothic" w:eastAsiaTheme="minorHAnsi" w:hAnsi="Century Gothic" w:cstheme="minorBidi" w:hint="default"/>
        <w:b/>
        <w:color w:val="C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97255"/>
    <w:multiLevelType w:val="hybridMultilevel"/>
    <w:tmpl w:val="F8B26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6654AD"/>
    <w:multiLevelType w:val="hybridMultilevel"/>
    <w:tmpl w:val="773E0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4B763F9"/>
    <w:multiLevelType w:val="hybridMultilevel"/>
    <w:tmpl w:val="2EE09C64"/>
    <w:lvl w:ilvl="0" w:tplc="B13AA210">
      <w:start w:val="2"/>
      <w:numFmt w:val="bullet"/>
      <w:lvlText w:val="-"/>
      <w:lvlJc w:val="left"/>
      <w:pPr>
        <w:ind w:left="720" w:hanging="360"/>
      </w:pPr>
      <w:rPr>
        <w:rFonts w:ascii="Century Gothic" w:eastAsiaTheme="minorHAnsi" w:hAnsi="Century Gothic" w:cstheme="minorBidi" w:hint="default"/>
        <w:b/>
        <w:color w:val="C00000"/>
      </w:rPr>
    </w:lvl>
    <w:lvl w:ilvl="1" w:tplc="04100003">
      <w:start w:val="1"/>
      <w:numFmt w:val="bullet"/>
      <w:lvlText w:val="o"/>
      <w:lvlJc w:val="left"/>
      <w:pPr>
        <w:ind w:left="1440" w:hanging="360"/>
      </w:pPr>
      <w:rPr>
        <w:rFonts w:ascii="Courier New" w:hAnsi="Courier New" w:cs="Courier New" w:hint="default"/>
      </w:rPr>
    </w:lvl>
    <w:lvl w:ilvl="2" w:tplc="0410000F">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B7D1CB2"/>
    <w:multiLevelType w:val="hybridMultilevel"/>
    <w:tmpl w:val="98D228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67F6F3E"/>
    <w:multiLevelType w:val="multilevel"/>
    <w:tmpl w:val="C25AB302"/>
    <w:lvl w:ilvl="0">
      <w:start w:val="184"/>
      <w:numFmt w:val="decimal"/>
      <w:lvlText w:val="%1"/>
      <w:lvlJc w:val="left"/>
      <w:pPr>
        <w:ind w:left="800" w:hanging="800"/>
      </w:pPr>
      <w:rPr>
        <w:rFonts w:hint="default"/>
      </w:rPr>
    </w:lvl>
    <w:lvl w:ilvl="1">
      <w:start w:val="247"/>
      <w:numFmt w:val="decimal"/>
      <w:lvlText w:val="%1.%2"/>
      <w:lvlJc w:val="left"/>
      <w:pPr>
        <w:ind w:left="800" w:hanging="800"/>
      </w:pPr>
      <w:rPr>
        <w:rFonts w:hint="default"/>
      </w:rPr>
    </w:lvl>
    <w:lvl w:ilvl="2">
      <w:start w:val="1"/>
      <w:numFmt w:val="decimal"/>
      <w:lvlText w:val="%1.%2.%3"/>
      <w:lvlJc w:val="left"/>
      <w:pPr>
        <w:ind w:left="800" w:hanging="800"/>
      </w:pPr>
      <w:rPr>
        <w:rFonts w:hint="default"/>
      </w:rPr>
    </w:lvl>
    <w:lvl w:ilvl="3">
      <w:start w:val="1"/>
      <w:numFmt w:val="decimal"/>
      <w:lvlText w:val="%1.%2.%3.%4"/>
      <w:lvlJc w:val="left"/>
      <w:pPr>
        <w:ind w:left="800" w:hanging="8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FDE74AB"/>
    <w:multiLevelType w:val="hybridMultilevel"/>
    <w:tmpl w:val="1A0229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4643C8"/>
    <w:rsid w:val="00025C2B"/>
    <w:rsid w:val="000316CF"/>
    <w:rsid w:val="00036F96"/>
    <w:rsid w:val="00051952"/>
    <w:rsid w:val="00054CB6"/>
    <w:rsid w:val="0005656B"/>
    <w:rsid w:val="00082723"/>
    <w:rsid w:val="00085A4D"/>
    <w:rsid w:val="000A201C"/>
    <w:rsid w:val="000A4145"/>
    <w:rsid w:val="000C5426"/>
    <w:rsid w:val="000D67D4"/>
    <w:rsid w:val="000E1723"/>
    <w:rsid w:val="000F128F"/>
    <w:rsid w:val="000F7508"/>
    <w:rsid w:val="00101587"/>
    <w:rsid w:val="00106CB3"/>
    <w:rsid w:val="0012278D"/>
    <w:rsid w:val="001426B8"/>
    <w:rsid w:val="001441B4"/>
    <w:rsid w:val="0014594F"/>
    <w:rsid w:val="00147037"/>
    <w:rsid w:val="00147783"/>
    <w:rsid w:val="001965BE"/>
    <w:rsid w:val="00196C51"/>
    <w:rsid w:val="001C799F"/>
    <w:rsid w:val="001D0CE2"/>
    <w:rsid w:val="001E2F1D"/>
    <w:rsid w:val="001F79CB"/>
    <w:rsid w:val="00210EDB"/>
    <w:rsid w:val="0023680D"/>
    <w:rsid w:val="00237E02"/>
    <w:rsid w:val="002437A3"/>
    <w:rsid w:val="00246C72"/>
    <w:rsid w:val="002656BB"/>
    <w:rsid w:val="002770ED"/>
    <w:rsid w:val="00281DF2"/>
    <w:rsid w:val="002C14B2"/>
    <w:rsid w:val="002E2BD1"/>
    <w:rsid w:val="002F3717"/>
    <w:rsid w:val="002F7BC7"/>
    <w:rsid w:val="00301B57"/>
    <w:rsid w:val="00321710"/>
    <w:rsid w:val="0032586C"/>
    <w:rsid w:val="00337247"/>
    <w:rsid w:val="00344281"/>
    <w:rsid w:val="0034433D"/>
    <w:rsid w:val="00346698"/>
    <w:rsid w:val="00361960"/>
    <w:rsid w:val="0037464A"/>
    <w:rsid w:val="00376F30"/>
    <w:rsid w:val="00380418"/>
    <w:rsid w:val="0038290D"/>
    <w:rsid w:val="00391DEA"/>
    <w:rsid w:val="003A04FE"/>
    <w:rsid w:val="003A0DAE"/>
    <w:rsid w:val="003A3025"/>
    <w:rsid w:val="003B6934"/>
    <w:rsid w:val="003C7ADF"/>
    <w:rsid w:val="003D5315"/>
    <w:rsid w:val="003E3D32"/>
    <w:rsid w:val="003F6771"/>
    <w:rsid w:val="00425CA5"/>
    <w:rsid w:val="004277D2"/>
    <w:rsid w:val="004302EB"/>
    <w:rsid w:val="004504B7"/>
    <w:rsid w:val="00457A38"/>
    <w:rsid w:val="004643C8"/>
    <w:rsid w:val="004714F7"/>
    <w:rsid w:val="00494E53"/>
    <w:rsid w:val="004D593E"/>
    <w:rsid w:val="004F3339"/>
    <w:rsid w:val="0050137B"/>
    <w:rsid w:val="005043CD"/>
    <w:rsid w:val="0050734A"/>
    <w:rsid w:val="00511533"/>
    <w:rsid w:val="0052722F"/>
    <w:rsid w:val="0054025C"/>
    <w:rsid w:val="00565913"/>
    <w:rsid w:val="005831D7"/>
    <w:rsid w:val="00600D29"/>
    <w:rsid w:val="006218A4"/>
    <w:rsid w:val="006663B8"/>
    <w:rsid w:val="00671879"/>
    <w:rsid w:val="006764E5"/>
    <w:rsid w:val="00681CFA"/>
    <w:rsid w:val="00682764"/>
    <w:rsid w:val="00694151"/>
    <w:rsid w:val="006B538C"/>
    <w:rsid w:val="006D3CC0"/>
    <w:rsid w:val="006E3F50"/>
    <w:rsid w:val="006E7E99"/>
    <w:rsid w:val="006F29F5"/>
    <w:rsid w:val="006F6B22"/>
    <w:rsid w:val="0070626D"/>
    <w:rsid w:val="007147E0"/>
    <w:rsid w:val="00717FE7"/>
    <w:rsid w:val="00725BFA"/>
    <w:rsid w:val="007557F9"/>
    <w:rsid w:val="007616A1"/>
    <w:rsid w:val="007759A2"/>
    <w:rsid w:val="00780580"/>
    <w:rsid w:val="00793F84"/>
    <w:rsid w:val="007F449D"/>
    <w:rsid w:val="007F5B1E"/>
    <w:rsid w:val="008052F6"/>
    <w:rsid w:val="008143C0"/>
    <w:rsid w:val="00851788"/>
    <w:rsid w:val="00866A92"/>
    <w:rsid w:val="008703C1"/>
    <w:rsid w:val="00881FC4"/>
    <w:rsid w:val="00894BF7"/>
    <w:rsid w:val="008B5417"/>
    <w:rsid w:val="008B611A"/>
    <w:rsid w:val="008E0D6D"/>
    <w:rsid w:val="008E1385"/>
    <w:rsid w:val="008E1410"/>
    <w:rsid w:val="008E2EE3"/>
    <w:rsid w:val="00922CAF"/>
    <w:rsid w:val="0092658F"/>
    <w:rsid w:val="009425E6"/>
    <w:rsid w:val="0094480C"/>
    <w:rsid w:val="00944A60"/>
    <w:rsid w:val="009558F7"/>
    <w:rsid w:val="00994C92"/>
    <w:rsid w:val="00996E1C"/>
    <w:rsid w:val="009B2F50"/>
    <w:rsid w:val="009C0496"/>
    <w:rsid w:val="00A0161E"/>
    <w:rsid w:val="00A1109F"/>
    <w:rsid w:val="00A23BBF"/>
    <w:rsid w:val="00A3071A"/>
    <w:rsid w:val="00A3735D"/>
    <w:rsid w:val="00A47708"/>
    <w:rsid w:val="00A62122"/>
    <w:rsid w:val="00A671F9"/>
    <w:rsid w:val="00A72C2B"/>
    <w:rsid w:val="00A74F23"/>
    <w:rsid w:val="00A83863"/>
    <w:rsid w:val="00A93171"/>
    <w:rsid w:val="00AA253F"/>
    <w:rsid w:val="00AC2059"/>
    <w:rsid w:val="00B00CE5"/>
    <w:rsid w:val="00B05401"/>
    <w:rsid w:val="00B06E9C"/>
    <w:rsid w:val="00B10031"/>
    <w:rsid w:val="00B270AD"/>
    <w:rsid w:val="00B31E4D"/>
    <w:rsid w:val="00B438CD"/>
    <w:rsid w:val="00B51568"/>
    <w:rsid w:val="00B550D2"/>
    <w:rsid w:val="00B57E52"/>
    <w:rsid w:val="00B9486A"/>
    <w:rsid w:val="00B961B4"/>
    <w:rsid w:val="00BA0018"/>
    <w:rsid w:val="00BB4002"/>
    <w:rsid w:val="00BB53D5"/>
    <w:rsid w:val="00BB5945"/>
    <w:rsid w:val="00BE46F2"/>
    <w:rsid w:val="00BF16CF"/>
    <w:rsid w:val="00C47E1E"/>
    <w:rsid w:val="00C511DA"/>
    <w:rsid w:val="00C6041A"/>
    <w:rsid w:val="00C6498D"/>
    <w:rsid w:val="00C65819"/>
    <w:rsid w:val="00C753D7"/>
    <w:rsid w:val="00CA17CB"/>
    <w:rsid w:val="00CC782A"/>
    <w:rsid w:val="00CE546A"/>
    <w:rsid w:val="00D10DD6"/>
    <w:rsid w:val="00D3328A"/>
    <w:rsid w:val="00D347E2"/>
    <w:rsid w:val="00D34F9A"/>
    <w:rsid w:val="00D369D1"/>
    <w:rsid w:val="00D37867"/>
    <w:rsid w:val="00D44370"/>
    <w:rsid w:val="00D477DD"/>
    <w:rsid w:val="00D77E75"/>
    <w:rsid w:val="00D80F3B"/>
    <w:rsid w:val="00D8489B"/>
    <w:rsid w:val="00DA2656"/>
    <w:rsid w:val="00DE07A2"/>
    <w:rsid w:val="00E12E58"/>
    <w:rsid w:val="00E130E9"/>
    <w:rsid w:val="00E158F2"/>
    <w:rsid w:val="00E348C1"/>
    <w:rsid w:val="00E364D6"/>
    <w:rsid w:val="00E430A3"/>
    <w:rsid w:val="00E51FE7"/>
    <w:rsid w:val="00E7304D"/>
    <w:rsid w:val="00E97EDD"/>
    <w:rsid w:val="00EB352F"/>
    <w:rsid w:val="00ED06DA"/>
    <w:rsid w:val="00EF4DFA"/>
    <w:rsid w:val="00EF6A0C"/>
    <w:rsid w:val="00F12ED1"/>
    <w:rsid w:val="00F65679"/>
    <w:rsid w:val="00F6747F"/>
    <w:rsid w:val="00F70773"/>
    <w:rsid w:val="00F719B7"/>
    <w:rsid w:val="00F93724"/>
    <w:rsid w:val="00FA0746"/>
    <w:rsid w:val="00FB3423"/>
    <w:rsid w:val="00FE302F"/>
    <w:rsid w:val="00FE34F7"/>
    <w:rsid w:val="00FF4A6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38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5B1E"/>
    <w:pPr>
      <w:spacing w:after="180" w:line="336" w:lineRule="auto"/>
      <w:ind w:left="720"/>
      <w:contextualSpacing/>
    </w:pPr>
    <w:rPr>
      <w:color w:val="404040" w:themeColor="text1" w:themeTint="BF"/>
      <w:sz w:val="20"/>
      <w:szCs w:val="20"/>
      <w:lang w:eastAsia="it-IT"/>
    </w:rPr>
  </w:style>
  <w:style w:type="paragraph" w:styleId="Intestazione">
    <w:name w:val="header"/>
    <w:basedOn w:val="Normale"/>
    <w:link w:val="IntestazioneCarattere"/>
    <w:uiPriority w:val="99"/>
    <w:unhideWhenUsed/>
    <w:rsid w:val="001F79CB"/>
    <w:pPr>
      <w:tabs>
        <w:tab w:val="center" w:pos="4819"/>
        <w:tab w:val="right" w:pos="9638"/>
      </w:tabs>
    </w:pPr>
  </w:style>
  <w:style w:type="character" w:customStyle="1" w:styleId="IntestazioneCarattere">
    <w:name w:val="Intestazione Carattere"/>
    <w:basedOn w:val="Carpredefinitoparagrafo"/>
    <w:link w:val="Intestazione"/>
    <w:uiPriority w:val="99"/>
    <w:rsid w:val="001F79CB"/>
  </w:style>
  <w:style w:type="paragraph" w:styleId="Pidipagina">
    <w:name w:val="footer"/>
    <w:basedOn w:val="Normale"/>
    <w:link w:val="PidipaginaCarattere"/>
    <w:uiPriority w:val="99"/>
    <w:unhideWhenUsed/>
    <w:rsid w:val="001F79CB"/>
    <w:pPr>
      <w:tabs>
        <w:tab w:val="center" w:pos="4819"/>
        <w:tab w:val="right" w:pos="9638"/>
      </w:tabs>
    </w:pPr>
  </w:style>
  <w:style w:type="character" w:customStyle="1" w:styleId="PidipaginaCarattere">
    <w:name w:val="Piè di pagina Carattere"/>
    <w:basedOn w:val="Carpredefinitoparagrafo"/>
    <w:link w:val="Pidipagina"/>
    <w:uiPriority w:val="99"/>
    <w:rsid w:val="001F79CB"/>
  </w:style>
  <w:style w:type="paragraph" w:styleId="NormaleWeb">
    <w:name w:val="Normal (Web)"/>
    <w:basedOn w:val="Normale"/>
    <w:uiPriority w:val="99"/>
    <w:unhideWhenUsed/>
    <w:rsid w:val="001F79CB"/>
    <w:pPr>
      <w:spacing w:before="100" w:beforeAutospacing="1" w:after="100" w:afterAutospacing="1"/>
    </w:pPr>
    <w:rPr>
      <w:rFonts w:ascii="Times New Roman" w:hAnsi="Times New Roman" w:cs="Times New Roman"/>
      <w:lang w:eastAsia="it-IT"/>
    </w:rPr>
  </w:style>
  <w:style w:type="character" w:styleId="Enfasicorsivo">
    <w:name w:val="Emphasis"/>
    <w:basedOn w:val="Carpredefinitoparagrafo"/>
    <w:uiPriority w:val="20"/>
    <w:qFormat/>
    <w:rsid w:val="008143C0"/>
    <w:rPr>
      <w:i/>
      <w:iCs/>
    </w:rPr>
  </w:style>
  <w:style w:type="paragraph" w:customStyle="1" w:styleId="NPLs">
    <w:name w:val="NPLs"/>
    <w:basedOn w:val="Normale"/>
    <w:next w:val="Normale"/>
    <w:qFormat/>
    <w:rsid w:val="008143C0"/>
    <w:rPr>
      <w:rFonts w:ascii="Gill Sans" w:eastAsiaTheme="minorEastAsia" w:hAnsi="Gill Sans"/>
      <w:color w:val="000000" w:themeColor="text1"/>
      <w:lang w:eastAsia="it-IT"/>
    </w:rPr>
  </w:style>
  <w:style w:type="paragraph" w:customStyle="1" w:styleId="Default">
    <w:name w:val="Default"/>
    <w:rsid w:val="008143C0"/>
    <w:pPr>
      <w:autoSpaceDE w:val="0"/>
      <w:autoSpaceDN w:val="0"/>
      <w:adjustRightInd w:val="0"/>
    </w:pPr>
    <w:rPr>
      <w:rFonts w:ascii="Arial" w:eastAsiaTheme="minorEastAsia" w:hAnsi="Arial" w:cs="Arial"/>
      <w:color w:val="000000"/>
      <w:lang w:eastAsia="it-IT"/>
    </w:rPr>
  </w:style>
  <w:style w:type="character" w:styleId="Collegamentoipertestuale">
    <w:name w:val="Hyperlink"/>
    <w:basedOn w:val="Carpredefinitoparagrafo"/>
    <w:uiPriority w:val="99"/>
    <w:unhideWhenUsed/>
    <w:rsid w:val="008143C0"/>
    <w:rPr>
      <w:color w:val="0563C1" w:themeColor="hyperlink"/>
      <w:u w:val="single"/>
    </w:rPr>
  </w:style>
  <w:style w:type="paragraph" w:styleId="Testofumetto">
    <w:name w:val="Balloon Text"/>
    <w:basedOn w:val="Normale"/>
    <w:link w:val="TestofumettoCarattere"/>
    <w:uiPriority w:val="99"/>
    <w:semiHidden/>
    <w:unhideWhenUsed/>
    <w:rsid w:val="00F9372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3724"/>
    <w:rPr>
      <w:rFonts w:ascii="Tahoma" w:hAnsi="Tahoma" w:cs="Tahoma"/>
      <w:sz w:val="16"/>
      <w:szCs w:val="16"/>
    </w:rPr>
  </w:style>
  <w:style w:type="paragraph" w:styleId="Corpodeltesto">
    <w:name w:val="Body Text"/>
    <w:basedOn w:val="Normale"/>
    <w:link w:val="CorpodeltestoCarattere"/>
    <w:rsid w:val="008E1385"/>
    <w:pPr>
      <w:widowControl w:val="0"/>
      <w:suppressAutoHyphens/>
      <w:spacing w:after="120"/>
    </w:pPr>
    <w:rPr>
      <w:rFonts w:ascii="Times New Roman" w:eastAsia="Times New Roman" w:hAnsi="Times New Roman" w:cs="Times New Roman"/>
      <w:sz w:val="20"/>
      <w:szCs w:val="20"/>
      <w:lang w:eastAsia="it-IT"/>
    </w:rPr>
  </w:style>
  <w:style w:type="character" w:customStyle="1" w:styleId="CorpodeltestoCarattere">
    <w:name w:val="Corpo del testo Carattere"/>
    <w:basedOn w:val="Carpredefinitoparagrafo"/>
    <w:link w:val="Corpodeltesto"/>
    <w:rsid w:val="008E1385"/>
    <w:rPr>
      <w:rFonts w:ascii="Times New Roman" w:eastAsia="Times New Roman" w:hAnsi="Times New Roman" w:cs="Times New Roman"/>
      <w:sz w:val="20"/>
      <w:szCs w:val="20"/>
      <w:lang w:eastAsia="it-IT"/>
    </w:rPr>
  </w:style>
  <w:style w:type="character" w:customStyle="1" w:styleId="apple-converted-space">
    <w:name w:val="apple-converted-space"/>
    <w:basedOn w:val="Carpredefinitoparagrafo"/>
    <w:rsid w:val="007616A1"/>
  </w:style>
</w:styles>
</file>

<file path=word/webSettings.xml><?xml version="1.0" encoding="utf-8"?>
<w:webSettings xmlns:r="http://schemas.openxmlformats.org/officeDocument/2006/relationships" xmlns:w="http://schemas.openxmlformats.org/wordprocessingml/2006/main">
  <w:divs>
    <w:div w:id="127207900">
      <w:bodyDiv w:val="1"/>
      <w:marLeft w:val="0"/>
      <w:marRight w:val="0"/>
      <w:marTop w:val="0"/>
      <w:marBottom w:val="0"/>
      <w:divBdr>
        <w:top w:val="none" w:sz="0" w:space="0" w:color="auto"/>
        <w:left w:val="none" w:sz="0" w:space="0" w:color="auto"/>
        <w:bottom w:val="none" w:sz="0" w:space="0" w:color="auto"/>
        <w:right w:val="none" w:sz="0" w:space="0" w:color="auto"/>
      </w:divBdr>
    </w:div>
    <w:div w:id="143661751">
      <w:bodyDiv w:val="1"/>
      <w:marLeft w:val="0"/>
      <w:marRight w:val="0"/>
      <w:marTop w:val="0"/>
      <w:marBottom w:val="0"/>
      <w:divBdr>
        <w:top w:val="none" w:sz="0" w:space="0" w:color="auto"/>
        <w:left w:val="none" w:sz="0" w:space="0" w:color="auto"/>
        <w:bottom w:val="none" w:sz="0" w:space="0" w:color="auto"/>
        <w:right w:val="none" w:sz="0" w:space="0" w:color="auto"/>
      </w:divBdr>
    </w:div>
    <w:div w:id="192575446">
      <w:bodyDiv w:val="1"/>
      <w:marLeft w:val="0"/>
      <w:marRight w:val="0"/>
      <w:marTop w:val="0"/>
      <w:marBottom w:val="0"/>
      <w:divBdr>
        <w:top w:val="none" w:sz="0" w:space="0" w:color="auto"/>
        <w:left w:val="none" w:sz="0" w:space="0" w:color="auto"/>
        <w:bottom w:val="none" w:sz="0" w:space="0" w:color="auto"/>
        <w:right w:val="none" w:sz="0" w:space="0" w:color="auto"/>
      </w:divBdr>
    </w:div>
    <w:div w:id="252057664">
      <w:bodyDiv w:val="1"/>
      <w:marLeft w:val="0"/>
      <w:marRight w:val="0"/>
      <w:marTop w:val="0"/>
      <w:marBottom w:val="0"/>
      <w:divBdr>
        <w:top w:val="none" w:sz="0" w:space="0" w:color="auto"/>
        <w:left w:val="none" w:sz="0" w:space="0" w:color="auto"/>
        <w:bottom w:val="none" w:sz="0" w:space="0" w:color="auto"/>
        <w:right w:val="none" w:sz="0" w:space="0" w:color="auto"/>
      </w:divBdr>
    </w:div>
    <w:div w:id="293341346">
      <w:bodyDiv w:val="1"/>
      <w:marLeft w:val="0"/>
      <w:marRight w:val="0"/>
      <w:marTop w:val="0"/>
      <w:marBottom w:val="0"/>
      <w:divBdr>
        <w:top w:val="none" w:sz="0" w:space="0" w:color="auto"/>
        <w:left w:val="none" w:sz="0" w:space="0" w:color="auto"/>
        <w:bottom w:val="none" w:sz="0" w:space="0" w:color="auto"/>
        <w:right w:val="none" w:sz="0" w:space="0" w:color="auto"/>
      </w:divBdr>
    </w:div>
    <w:div w:id="364408969">
      <w:bodyDiv w:val="1"/>
      <w:marLeft w:val="0"/>
      <w:marRight w:val="0"/>
      <w:marTop w:val="0"/>
      <w:marBottom w:val="0"/>
      <w:divBdr>
        <w:top w:val="none" w:sz="0" w:space="0" w:color="auto"/>
        <w:left w:val="none" w:sz="0" w:space="0" w:color="auto"/>
        <w:bottom w:val="none" w:sz="0" w:space="0" w:color="auto"/>
        <w:right w:val="none" w:sz="0" w:space="0" w:color="auto"/>
      </w:divBdr>
    </w:div>
    <w:div w:id="580413825">
      <w:bodyDiv w:val="1"/>
      <w:marLeft w:val="0"/>
      <w:marRight w:val="0"/>
      <w:marTop w:val="0"/>
      <w:marBottom w:val="0"/>
      <w:divBdr>
        <w:top w:val="none" w:sz="0" w:space="0" w:color="auto"/>
        <w:left w:val="none" w:sz="0" w:space="0" w:color="auto"/>
        <w:bottom w:val="none" w:sz="0" w:space="0" w:color="auto"/>
        <w:right w:val="none" w:sz="0" w:space="0" w:color="auto"/>
      </w:divBdr>
    </w:div>
    <w:div w:id="648246696">
      <w:bodyDiv w:val="1"/>
      <w:marLeft w:val="0"/>
      <w:marRight w:val="0"/>
      <w:marTop w:val="0"/>
      <w:marBottom w:val="0"/>
      <w:divBdr>
        <w:top w:val="none" w:sz="0" w:space="0" w:color="auto"/>
        <w:left w:val="none" w:sz="0" w:space="0" w:color="auto"/>
        <w:bottom w:val="none" w:sz="0" w:space="0" w:color="auto"/>
        <w:right w:val="none" w:sz="0" w:space="0" w:color="auto"/>
      </w:divBdr>
    </w:div>
    <w:div w:id="1184172727">
      <w:bodyDiv w:val="1"/>
      <w:marLeft w:val="0"/>
      <w:marRight w:val="0"/>
      <w:marTop w:val="0"/>
      <w:marBottom w:val="0"/>
      <w:divBdr>
        <w:top w:val="none" w:sz="0" w:space="0" w:color="auto"/>
        <w:left w:val="none" w:sz="0" w:space="0" w:color="auto"/>
        <w:bottom w:val="none" w:sz="0" w:space="0" w:color="auto"/>
        <w:right w:val="none" w:sz="0" w:space="0" w:color="auto"/>
      </w:divBdr>
    </w:div>
    <w:div w:id="1364398923">
      <w:bodyDiv w:val="1"/>
      <w:marLeft w:val="0"/>
      <w:marRight w:val="0"/>
      <w:marTop w:val="0"/>
      <w:marBottom w:val="0"/>
      <w:divBdr>
        <w:top w:val="none" w:sz="0" w:space="0" w:color="auto"/>
        <w:left w:val="none" w:sz="0" w:space="0" w:color="auto"/>
        <w:bottom w:val="none" w:sz="0" w:space="0" w:color="auto"/>
        <w:right w:val="none" w:sz="0" w:space="0" w:color="auto"/>
      </w:divBdr>
    </w:div>
    <w:div w:id="1481843742">
      <w:bodyDiv w:val="1"/>
      <w:marLeft w:val="0"/>
      <w:marRight w:val="0"/>
      <w:marTop w:val="0"/>
      <w:marBottom w:val="0"/>
      <w:divBdr>
        <w:top w:val="none" w:sz="0" w:space="0" w:color="auto"/>
        <w:left w:val="none" w:sz="0" w:space="0" w:color="auto"/>
        <w:bottom w:val="none" w:sz="0" w:space="0" w:color="auto"/>
        <w:right w:val="none" w:sz="0" w:space="0" w:color="auto"/>
      </w:divBdr>
    </w:div>
    <w:div w:id="1510176305">
      <w:bodyDiv w:val="1"/>
      <w:marLeft w:val="0"/>
      <w:marRight w:val="0"/>
      <w:marTop w:val="0"/>
      <w:marBottom w:val="0"/>
      <w:divBdr>
        <w:top w:val="none" w:sz="0" w:space="0" w:color="auto"/>
        <w:left w:val="none" w:sz="0" w:space="0" w:color="auto"/>
        <w:bottom w:val="none" w:sz="0" w:space="0" w:color="auto"/>
        <w:right w:val="none" w:sz="0" w:space="0" w:color="auto"/>
      </w:divBdr>
    </w:div>
    <w:div w:id="1825780106">
      <w:bodyDiv w:val="1"/>
      <w:marLeft w:val="0"/>
      <w:marRight w:val="0"/>
      <w:marTop w:val="0"/>
      <w:marBottom w:val="0"/>
      <w:divBdr>
        <w:top w:val="none" w:sz="0" w:space="0" w:color="auto"/>
        <w:left w:val="none" w:sz="0" w:space="0" w:color="auto"/>
        <w:bottom w:val="none" w:sz="0" w:space="0" w:color="auto"/>
        <w:right w:val="none" w:sz="0" w:space="0" w:color="auto"/>
      </w:divBdr>
    </w:div>
    <w:div w:id="1932814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Foglio_di_lavoro_di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oglio_di_lavoro_di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autoTitleDeleted val="1"/>
    <c:view3D>
      <c:rotX val="30"/>
      <c:perspective val="30"/>
    </c:view3D>
    <c:plotArea>
      <c:layout>
        <c:manualLayout>
          <c:layoutTarget val="inner"/>
          <c:xMode val="edge"/>
          <c:yMode val="edge"/>
          <c:x val="3.7500000000000006E-2"/>
          <c:y val="6.2500000000000014E-2"/>
          <c:w val="0.92500000000000004"/>
          <c:h val="0.87962962962962998"/>
        </c:manualLayout>
      </c:layout>
      <c:pie3DChart>
        <c:varyColors val="1"/>
        <c:ser>
          <c:idx val="0"/>
          <c:order val="0"/>
          <c:explosion val="25"/>
          <c:dPt>
            <c:idx val="0"/>
            <c:explosion val="3"/>
            <c:extLst xmlns:c16r2="http://schemas.microsoft.com/office/drawing/2015/06/chart">
              <c:ext xmlns:c16="http://schemas.microsoft.com/office/drawing/2014/chart" uri="{C3380CC4-5D6E-409C-BE32-E72D297353CC}">
                <c16:uniqueId val="{00000001-A391-274D-8E5D-22E23412B413}"/>
              </c:ext>
            </c:extLst>
          </c:dPt>
          <c:dPt>
            <c:idx val="1"/>
            <c:explosion val="19"/>
            <c:extLst xmlns:c16r2="http://schemas.microsoft.com/office/drawing/2015/06/chart">
              <c:ext xmlns:c16="http://schemas.microsoft.com/office/drawing/2014/chart" uri="{C3380CC4-5D6E-409C-BE32-E72D297353CC}">
                <c16:uniqueId val="{00000003-A391-274D-8E5D-22E23412B413}"/>
              </c:ext>
            </c:extLst>
          </c:dPt>
          <c:dPt>
            <c:idx val="2"/>
            <c:explosion val="21"/>
            <c:extLst xmlns:c16r2="http://schemas.microsoft.com/office/drawing/2015/06/chart">
              <c:ext xmlns:c16="http://schemas.microsoft.com/office/drawing/2014/chart" uri="{C3380CC4-5D6E-409C-BE32-E72D297353CC}">
                <c16:uniqueId val="{00000005-A391-274D-8E5D-22E23412B413}"/>
              </c:ext>
            </c:extLst>
          </c:dPt>
          <c:dPt>
            <c:idx val="3"/>
            <c:explosion val="14"/>
            <c:extLst xmlns:c16r2="http://schemas.microsoft.com/office/drawing/2015/06/chart">
              <c:ext xmlns:c16="http://schemas.microsoft.com/office/drawing/2014/chart" uri="{C3380CC4-5D6E-409C-BE32-E72D297353CC}">
                <c16:uniqueId val="{00000007-A391-274D-8E5D-22E23412B413}"/>
              </c:ext>
            </c:extLst>
          </c:dPt>
          <c:dLbls>
            <c:dLbl>
              <c:idx val="2"/>
              <c:tx>
                <c:rich>
                  <a:bodyPr/>
                  <a:lstStyle/>
                  <a:p>
                    <a:r>
                      <a:rPr lang="en-US"/>
                      <a:t>Sud
18%</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391-274D-8E5D-22E23412B413}"/>
                </c:ext>
              </c:extLst>
            </c:dLbl>
            <c:dLbl>
              <c:idx val="3"/>
              <c:tx>
                <c:rich>
                  <a:bodyPr/>
                  <a:lstStyle/>
                  <a:p>
                    <a:r>
                      <a:rPr lang="en-US"/>
                      <a:t>Isole 
12%</a:t>
                    </a:r>
                  </a:p>
                </c:rich>
              </c:tx>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391-274D-8E5D-22E23412B413}"/>
                </c:ext>
              </c:extLst>
            </c:dLbl>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Foglio1!$J$2:$J$5</c:f>
              <c:strCache>
                <c:ptCount val="4"/>
                <c:pt idx="0">
                  <c:v>Nord</c:v>
                </c:pt>
                <c:pt idx="1">
                  <c:v>Centro</c:v>
                </c:pt>
                <c:pt idx="2">
                  <c:v>Sud</c:v>
                </c:pt>
                <c:pt idx="3">
                  <c:v>Isole </c:v>
                </c:pt>
              </c:strCache>
            </c:strRef>
          </c:cat>
          <c:val>
            <c:numRef>
              <c:f>Foglio1!$K$2:$K$5</c:f>
              <c:numCache>
                <c:formatCode>0%</c:formatCode>
                <c:ptCount val="4"/>
                <c:pt idx="0">
                  <c:v>0.45690000000000008</c:v>
                </c:pt>
                <c:pt idx="1">
                  <c:v>0.24000000000000005</c:v>
                </c:pt>
                <c:pt idx="2">
                  <c:v>0.18000000000000005</c:v>
                </c:pt>
                <c:pt idx="3">
                  <c:v>0.12000000000000002</c:v>
                </c:pt>
              </c:numCache>
            </c:numRef>
          </c:val>
          <c:extLst xmlns:c16r2="http://schemas.microsoft.com/office/drawing/2015/06/chart">
            <c:ext xmlns:c16="http://schemas.microsoft.com/office/drawing/2014/chart" uri="{C3380CC4-5D6E-409C-BE32-E72D297353CC}">
              <c16:uniqueId val="{00000008-A391-274D-8E5D-22E23412B413}"/>
            </c:ext>
          </c:extLst>
        </c:ser>
        <c:dLbls>
          <c:showCatName val="1"/>
          <c:showPercent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Foglio1!$B$1</c:f>
              <c:strCache>
                <c:ptCount val="1"/>
                <c:pt idx="0">
                  <c:v>Regioni</c:v>
                </c:pt>
              </c:strCache>
            </c:strRef>
          </c:tx>
          <c:explosion val="7"/>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4B43-1440-88EE-463BF456293A}"/>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4B43-1440-88EE-463BF456293A}"/>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4B43-1440-88EE-463BF456293A}"/>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4B43-1440-88EE-463BF456293A}"/>
              </c:ext>
            </c:extLst>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4B43-1440-88EE-463BF456293A}"/>
              </c:ext>
            </c:extLst>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B-4B43-1440-88EE-463BF456293A}"/>
              </c:ext>
            </c:extLst>
          </c:dPt>
          <c:dLbls>
            <c:dLbl>
              <c:idx val="0"/>
              <c:layout>
                <c:manualLayout>
                  <c:x val="-7.7992980631743196E-3"/>
                  <c:y val="0.1253641866195296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estFit"/>
              <c:showCatName val="1"/>
              <c:showPercent val="1"/>
              <c:extLst xmlns:c16r2="http://schemas.microsoft.com/office/drawing/2015/06/chart">
                <c:ext xmlns:c15="http://schemas.microsoft.com/office/drawing/2012/chart" uri="{CE6537A1-D6FC-4f65-9D91-7224C49458BB}">
                  <c15:layout>
                    <c:manualLayout>
                      <c:w val="0.3078122968932796"/>
                      <c:h val="0.49795918367346936"/>
                    </c:manualLayout>
                  </c15:layout>
                </c:ext>
                <c:ext xmlns:c16="http://schemas.microsoft.com/office/drawing/2014/chart" uri="{C3380CC4-5D6E-409C-BE32-E72D297353CC}">
                  <c16:uniqueId val="{00000001-4B43-1440-88EE-463BF45629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dLblPos val="bestFit"/>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Foglio1!$A$2:$A$7</c:f>
              <c:strCache>
                <c:ptCount val="6"/>
                <c:pt idx="0">
                  <c:v>Altre</c:v>
                </c:pt>
                <c:pt idx="1">
                  <c:v>Lombardia</c:v>
                </c:pt>
                <c:pt idx="2">
                  <c:v>Sicilia</c:v>
                </c:pt>
                <c:pt idx="3">
                  <c:v>Emilia Romagna</c:v>
                </c:pt>
                <c:pt idx="4">
                  <c:v>Toscana</c:v>
                </c:pt>
                <c:pt idx="5">
                  <c:v>Lazio</c:v>
                </c:pt>
              </c:strCache>
            </c:strRef>
          </c:cat>
          <c:val>
            <c:numRef>
              <c:f>Foglio1!$B$2:$B$7</c:f>
              <c:numCache>
                <c:formatCode>0.00%</c:formatCode>
                <c:ptCount val="6"/>
                <c:pt idx="0" formatCode="0%">
                  <c:v>0.48970000000000002</c:v>
                </c:pt>
                <c:pt idx="1">
                  <c:v>0.18660000000000004</c:v>
                </c:pt>
                <c:pt idx="2">
                  <c:v>9.380000000000005E-2</c:v>
                </c:pt>
                <c:pt idx="3">
                  <c:v>8.7300000000000003E-2</c:v>
                </c:pt>
                <c:pt idx="4">
                  <c:v>7.1800000000000003E-2</c:v>
                </c:pt>
                <c:pt idx="5">
                  <c:v>7.1800000000000003E-2</c:v>
                </c:pt>
              </c:numCache>
            </c:numRef>
          </c:val>
          <c:extLst xmlns:c16r2="http://schemas.microsoft.com/office/drawing/2015/06/chart">
            <c:ext xmlns:c16="http://schemas.microsoft.com/office/drawing/2014/chart" uri="{C3380CC4-5D6E-409C-BE32-E72D297353CC}">
              <c16:uniqueId val="{0000000C-4B43-1440-88EE-463BF456293A}"/>
            </c:ext>
          </c:extLst>
        </c:ser>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F28D7B-5A81-4DBB-A880-03581413C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1624</Words>
  <Characters>9258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10861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 Tardivo</dc:creator>
  <cp:lastModifiedBy>paola</cp:lastModifiedBy>
  <cp:revision>7</cp:revision>
  <dcterms:created xsi:type="dcterms:W3CDTF">2020-01-14T15:11:00Z</dcterms:created>
  <dcterms:modified xsi:type="dcterms:W3CDTF">2020-01-16T12:22:00Z</dcterms:modified>
</cp:coreProperties>
</file>