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7C" w:rsidRPr="003A1B9C" w:rsidRDefault="00A4077C" w:rsidP="00A4077C">
      <w:pPr>
        <w:ind w:right="616" w:firstLine="426"/>
        <w:jc w:val="center"/>
        <w:rPr>
          <w:rFonts w:cstheme="minorHAnsi"/>
          <w:b/>
          <w:sz w:val="10"/>
          <w:szCs w:val="10"/>
        </w:rPr>
      </w:pPr>
    </w:p>
    <w:p w:rsidR="009F5867" w:rsidRPr="0078256D" w:rsidRDefault="009F5867" w:rsidP="003A1B9C">
      <w:pPr>
        <w:spacing w:after="0" w:line="240" w:lineRule="auto"/>
        <w:jc w:val="center"/>
        <w:rPr>
          <w:rFonts w:eastAsia="Times New Roman" w:cstheme="minorHAnsi"/>
          <w:b/>
          <w:color w:val="000000"/>
          <w:sz w:val="16"/>
          <w:szCs w:val="16"/>
          <w:u w:val="single"/>
        </w:rPr>
      </w:pPr>
    </w:p>
    <w:p w:rsidR="00872ADA" w:rsidRPr="00100E4D" w:rsidRDefault="00AB42B5" w:rsidP="00872ADA">
      <w:pPr>
        <w:spacing w:after="0" w:line="240" w:lineRule="auto"/>
        <w:jc w:val="center"/>
        <w:rPr>
          <w:b/>
          <w:sz w:val="26"/>
          <w:szCs w:val="26"/>
        </w:rPr>
      </w:pPr>
      <w:r w:rsidRPr="00100E4D">
        <w:rPr>
          <w:b/>
          <w:sz w:val="26"/>
          <w:szCs w:val="26"/>
        </w:rPr>
        <w:t xml:space="preserve">Abitare Co.: </w:t>
      </w:r>
      <w:r w:rsidR="00387206" w:rsidRPr="00100E4D">
        <w:rPr>
          <w:b/>
          <w:sz w:val="26"/>
          <w:szCs w:val="26"/>
        </w:rPr>
        <w:t xml:space="preserve">per </w:t>
      </w:r>
      <w:r w:rsidR="00387206" w:rsidRPr="006A65EE">
        <w:rPr>
          <w:b/>
          <w:sz w:val="26"/>
          <w:szCs w:val="26"/>
        </w:rPr>
        <w:t xml:space="preserve">molti italiani le </w:t>
      </w:r>
      <w:r w:rsidR="00C03095" w:rsidRPr="006A65EE">
        <w:rPr>
          <w:b/>
          <w:sz w:val="26"/>
          <w:szCs w:val="26"/>
        </w:rPr>
        <w:t xml:space="preserve">proprie abitazioni </w:t>
      </w:r>
      <w:r w:rsidR="00387206" w:rsidRPr="006A65EE">
        <w:rPr>
          <w:b/>
          <w:sz w:val="26"/>
          <w:szCs w:val="26"/>
        </w:rPr>
        <w:t xml:space="preserve">sono inadeguate ad affrontare la situazione attuale. </w:t>
      </w:r>
      <w:r w:rsidR="00872ADA" w:rsidRPr="006A65EE">
        <w:rPr>
          <w:b/>
          <w:sz w:val="26"/>
          <w:szCs w:val="26"/>
        </w:rPr>
        <w:t xml:space="preserve"> </w:t>
      </w:r>
      <w:r w:rsidR="00387206" w:rsidRPr="006A65EE">
        <w:rPr>
          <w:b/>
          <w:sz w:val="26"/>
          <w:szCs w:val="26"/>
        </w:rPr>
        <w:t xml:space="preserve">117 mq </w:t>
      </w:r>
      <w:r w:rsidR="000C318A" w:rsidRPr="006A65EE">
        <w:rPr>
          <w:b/>
          <w:sz w:val="26"/>
          <w:szCs w:val="26"/>
        </w:rPr>
        <w:t>la superficie media</w:t>
      </w:r>
      <w:r w:rsidR="003757BE" w:rsidRPr="006A65EE">
        <w:rPr>
          <w:b/>
          <w:sz w:val="26"/>
          <w:szCs w:val="26"/>
        </w:rPr>
        <w:t>,</w:t>
      </w:r>
      <w:r w:rsidR="000C318A" w:rsidRPr="006A65EE">
        <w:rPr>
          <w:b/>
          <w:sz w:val="26"/>
          <w:szCs w:val="26"/>
        </w:rPr>
        <w:t xml:space="preserve"> </w:t>
      </w:r>
      <w:r w:rsidR="00387206" w:rsidRPr="006A65EE">
        <w:rPr>
          <w:b/>
          <w:sz w:val="26"/>
          <w:szCs w:val="26"/>
        </w:rPr>
        <w:t xml:space="preserve">ma non per tutti: </w:t>
      </w:r>
      <w:r w:rsidR="006A65EE" w:rsidRPr="006A65EE">
        <w:rPr>
          <w:b/>
          <w:sz w:val="26"/>
          <w:szCs w:val="26"/>
        </w:rPr>
        <w:t xml:space="preserve">in generale </w:t>
      </w:r>
      <w:r w:rsidR="00C03095" w:rsidRPr="006A65EE">
        <w:rPr>
          <w:b/>
          <w:sz w:val="26"/>
          <w:szCs w:val="26"/>
        </w:rPr>
        <w:t xml:space="preserve">un </w:t>
      </w:r>
      <w:r w:rsidR="00664002" w:rsidRPr="006A65EE">
        <w:rPr>
          <w:b/>
          <w:sz w:val="26"/>
          <w:szCs w:val="26"/>
        </w:rPr>
        <w:t>terzo delle</w:t>
      </w:r>
      <w:r w:rsidR="00C03095" w:rsidRPr="006A65EE">
        <w:rPr>
          <w:b/>
          <w:sz w:val="26"/>
          <w:szCs w:val="26"/>
        </w:rPr>
        <w:t xml:space="preserve"> </w:t>
      </w:r>
      <w:r w:rsidR="001E2175" w:rsidRPr="006A65EE">
        <w:rPr>
          <w:b/>
          <w:sz w:val="26"/>
          <w:szCs w:val="26"/>
        </w:rPr>
        <w:t>case</w:t>
      </w:r>
      <w:r w:rsidR="00C03095" w:rsidRPr="006A65EE">
        <w:rPr>
          <w:b/>
          <w:sz w:val="26"/>
          <w:szCs w:val="26"/>
        </w:rPr>
        <w:t xml:space="preserve"> </w:t>
      </w:r>
      <w:r w:rsidR="003757BE" w:rsidRPr="006A65EE">
        <w:rPr>
          <w:b/>
          <w:sz w:val="26"/>
          <w:szCs w:val="26"/>
        </w:rPr>
        <w:t>è</w:t>
      </w:r>
      <w:r w:rsidR="00664002" w:rsidRPr="006A65EE">
        <w:rPr>
          <w:b/>
          <w:sz w:val="26"/>
          <w:szCs w:val="26"/>
        </w:rPr>
        <w:t xml:space="preserve"> </w:t>
      </w:r>
      <w:r w:rsidR="00C03095" w:rsidRPr="006A65EE">
        <w:rPr>
          <w:b/>
          <w:sz w:val="26"/>
          <w:szCs w:val="26"/>
        </w:rPr>
        <w:t>al di sotto degli 80 mq</w:t>
      </w:r>
      <w:r w:rsidR="006A65EE" w:rsidRPr="006A65EE">
        <w:rPr>
          <w:b/>
          <w:sz w:val="26"/>
          <w:szCs w:val="26"/>
        </w:rPr>
        <w:t xml:space="preserve">, dimensioni in </w:t>
      </w:r>
      <w:r w:rsidR="0067049D">
        <w:rPr>
          <w:b/>
          <w:sz w:val="26"/>
          <w:szCs w:val="26"/>
        </w:rPr>
        <w:t>cui vive</w:t>
      </w:r>
      <w:r w:rsidR="006A65EE" w:rsidRPr="006A65EE">
        <w:rPr>
          <w:b/>
          <w:sz w:val="26"/>
          <w:szCs w:val="26"/>
        </w:rPr>
        <w:t xml:space="preserve"> anche un </w:t>
      </w:r>
      <w:r w:rsidR="000C318A" w:rsidRPr="006A65EE">
        <w:rPr>
          <w:b/>
          <w:sz w:val="26"/>
          <w:szCs w:val="26"/>
        </w:rPr>
        <w:t xml:space="preserve">quinto </w:t>
      </w:r>
      <w:r w:rsidR="006A65EE" w:rsidRPr="006A65EE">
        <w:rPr>
          <w:b/>
          <w:sz w:val="26"/>
          <w:szCs w:val="26"/>
        </w:rPr>
        <w:t xml:space="preserve">dei nuclei </w:t>
      </w:r>
      <w:r w:rsidR="000C318A" w:rsidRPr="006A65EE">
        <w:rPr>
          <w:b/>
          <w:sz w:val="26"/>
          <w:szCs w:val="26"/>
        </w:rPr>
        <w:t>più numerosi</w:t>
      </w:r>
      <w:r w:rsidR="00872ADA" w:rsidRPr="006A65EE">
        <w:rPr>
          <w:b/>
          <w:sz w:val="26"/>
          <w:szCs w:val="26"/>
        </w:rPr>
        <w:t>,</w:t>
      </w:r>
      <w:r w:rsidR="00872ADA" w:rsidRPr="00100E4D">
        <w:rPr>
          <w:b/>
          <w:sz w:val="26"/>
          <w:szCs w:val="26"/>
        </w:rPr>
        <w:t xml:space="preserve"> </w:t>
      </w:r>
      <w:r w:rsidR="00100E4D" w:rsidRPr="00100E4D">
        <w:rPr>
          <w:b/>
          <w:sz w:val="26"/>
          <w:szCs w:val="26"/>
        </w:rPr>
        <w:t>con</w:t>
      </w:r>
      <w:r w:rsidR="001E2175" w:rsidRPr="00100E4D">
        <w:rPr>
          <w:b/>
          <w:sz w:val="26"/>
          <w:szCs w:val="26"/>
        </w:rPr>
        <w:t xml:space="preserve"> </w:t>
      </w:r>
      <w:r w:rsidR="00664002">
        <w:rPr>
          <w:b/>
          <w:sz w:val="26"/>
          <w:szCs w:val="26"/>
        </w:rPr>
        <w:t xml:space="preserve">un </w:t>
      </w:r>
      <w:r w:rsidR="00691925" w:rsidRPr="00100E4D">
        <w:rPr>
          <w:b/>
          <w:sz w:val="26"/>
          <w:szCs w:val="26"/>
        </w:rPr>
        <w:t>disagio</w:t>
      </w:r>
      <w:r w:rsidR="00872ADA" w:rsidRPr="00100E4D">
        <w:rPr>
          <w:b/>
          <w:sz w:val="26"/>
          <w:szCs w:val="26"/>
        </w:rPr>
        <w:t xml:space="preserve"> </w:t>
      </w:r>
      <w:r w:rsidR="001E2175" w:rsidRPr="00100E4D">
        <w:rPr>
          <w:b/>
          <w:sz w:val="26"/>
          <w:szCs w:val="26"/>
        </w:rPr>
        <w:t xml:space="preserve">più marcato </w:t>
      </w:r>
      <w:r w:rsidR="00872ADA" w:rsidRPr="00100E4D">
        <w:rPr>
          <w:b/>
          <w:sz w:val="26"/>
          <w:szCs w:val="26"/>
        </w:rPr>
        <w:t>a Napoli, Roma, Torino e Milano.</w:t>
      </w:r>
    </w:p>
    <w:p w:rsidR="00BF0EA8" w:rsidRPr="00BF0EA8" w:rsidRDefault="00BF0EA8" w:rsidP="000C318A">
      <w:pPr>
        <w:spacing w:after="0" w:line="240" w:lineRule="auto"/>
        <w:jc w:val="center"/>
        <w:rPr>
          <w:b/>
          <w:sz w:val="26"/>
          <w:szCs w:val="26"/>
        </w:rPr>
      </w:pPr>
      <w:r w:rsidRPr="00100E4D">
        <w:rPr>
          <w:b/>
          <w:sz w:val="26"/>
          <w:szCs w:val="26"/>
        </w:rPr>
        <w:t>16,8</w:t>
      </w:r>
      <w:r w:rsidR="000C318A" w:rsidRPr="00100E4D">
        <w:rPr>
          <w:b/>
          <w:sz w:val="26"/>
          <w:szCs w:val="26"/>
        </w:rPr>
        <w:t xml:space="preserve"> milioni di persone vivono in una condizione </w:t>
      </w:r>
      <w:r w:rsidR="001E2175" w:rsidRPr="00100E4D">
        <w:rPr>
          <w:b/>
          <w:sz w:val="26"/>
          <w:szCs w:val="26"/>
        </w:rPr>
        <w:t xml:space="preserve">di sovraffollamento abitativo, </w:t>
      </w:r>
      <w:r w:rsidRPr="00100E4D">
        <w:rPr>
          <w:b/>
          <w:sz w:val="26"/>
          <w:szCs w:val="26"/>
        </w:rPr>
        <w:t>8</w:t>
      </w:r>
      <w:r w:rsidR="000C318A" w:rsidRPr="00100E4D">
        <w:rPr>
          <w:b/>
          <w:sz w:val="26"/>
          <w:szCs w:val="26"/>
        </w:rPr>
        <w:t xml:space="preserve"> milioni con problemi st</w:t>
      </w:r>
      <w:r w:rsidR="001E2175" w:rsidRPr="00100E4D">
        <w:rPr>
          <w:b/>
          <w:sz w:val="26"/>
          <w:szCs w:val="26"/>
        </w:rPr>
        <w:t>rutturali o problemi di umidità</w:t>
      </w:r>
      <w:r w:rsidR="000C318A" w:rsidRPr="00100E4D">
        <w:rPr>
          <w:b/>
          <w:sz w:val="26"/>
          <w:szCs w:val="26"/>
        </w:rPr>
        <w:t xml:space="preserve"> </w:t>
      </w:r>
      <w:r w:rsidR="00125452" w:rsidRPr="00100E4D">
        <w:rPr>
          <w:b/>
          <w:sz w:val="26"/>
          <w:szCs w:val="26"/>
        </w:rPr>
        <w:t>e</w:t>
      </w:r>
      <w:r w:rsidR="000C318A" w:rsidRPr="00100E4D">
        <w:rPr>
          <w:b/>
          <w:sz w:val="26"/>
          <w:szCs w:val="26"/>
        </w:rPr>
        <w:t xml:space="preserve"> sono tante le case senza </w:t>
      </w:r>
      <w:r w:rsidR="00125452" w:rsidRPr="00100E4D">
        <w:rPr>
          <w:b/>
          <w:sz w:val="26"/>
          <w:szCs w:val="26"/>
        </w:rPr>
        <w:t>i servizi essenziali</w:t>
      </w:r>
      <w:r w:rsidR="00125452" w:rsidRPr="00872ADA">
        <w:rPr>
          <w:b/>
          <w:sz w:val="26"/>
          <w:szCs w:val="26"/>
        </w:rPr>
        <w:t xml:space="preserve"> come </w:t>
      </w:r>
      <w:r w:rsidR="000C318A" w:rsidRPr="00872ADA">
        <w:rPr>
          <w:b/>
          <w:sz w:val="26"/>
          <w:szCs w:val="26"/>
        </w:rPr>
        <w:t>acqua potabile</w:t>
      </w:r>
      <w:r w:rsidR="00691925">
        <w:rPr>
          <w:b/>
          <w:sz w:val="26"/>
          <w:szCs w:val="26"/>
        </w:rPr>
        <w:t xml:space="preserve"> e</w:t>
      </w:r>
      <w:r w:rsidR="00125452" w:rsidRPr="00872ADA">
        <w:rPr>
          <w:b/>
          <w:sz w:val="26"/>
          <w:szCs w:val="26"/>
        </w:rPr>
        <w:t xml:space="preserve"> </w:t>
      </w:r>
      <w:r w:rsidR="000C318A" w:rsidRPr="00872ADA">
        <w:rPr>
          <w:b/>
          <w:sz w:val="26"/>
          <w:szCs w:val="26"/>
        </w:rPr>
        <w:t>acqua calda</w:t>
      </w:r>
      <w:r>
        <w:rPr>
          <w:b/>
          <w:sz w:val="26"/>
          <w:szCs w:val="26"/>
        </w:rPr>
        <w:t xml:space="preserve">. </w:t>
      </w:r>
      <w:r w:rsidRPr="00BF0EA8">
        <w:rPr>
          <w:b/>
          <w:sz w:val="26"/>
          <w:szCs w:val="26"/>
        </w:rPr>
        <w:t xml:space="preserve">L’11,4% delle case </w:t>
      </w:r>
      <w:r w:rsidR="003757BE">
        <w:rPr>
          <w:b/>
          <w:sz w:val="26"/>
          <w:szCs w:val="26"/>
        </w:rPr>
        <w:t>è privo</w:t>
      </w:r>
      <w:r w:rsidRPr="00BF0EA8">
        <w:rPr>
          <w:b/>
          <w:sz w:val="26"/>
          <w:szCs w:val="26"/>
        </w:rPr>
        <w:t xml:space="preserve"> di balconi, terrazzi e giardini</w:t>
      </w:r>
    </w:p>
    <w:p w:rsidR="000C318A" w:rsidRDefault="000C318A" w:rsidP="00387206">
      <w:pPr>
        <w:spacing w:after="0" w:line="240" w:lineRule="auto"/>
        <w:jc w:val="center"/>
      </w:pPr>
    </w:p>
    <w:p w:rsidR="00612426" w:rsidRDefault="000C318A" w:rsidP="00612426">
      <w:pPr>
        <w:jc w:val="both"/>
      </w:pPr>
      <w:r w:rsidRPr="00100E4D">
        <w:rPr>
          <w:i/>
        </w:rPr>
        <w:t xml:space="preserve">Milano, </w:t>
      </w:r>
      <w:r w:rsidR="00003177">
        <w:rPr>
          <w:i/>
        </w:rPr>
        <w:t>17</w:t>
      </w:r>
      <w:r w:rsidRPr="00100E4D">
        <w:rPr>
          <w:i/>
        </w:rPr>
        <w:t xml:space="preserve"> aprile 2020 -</w:t>
      </w:r>
      <w:r w:rsidRPr="00100E4D">
        <w:t xml:space="preserve"> </w:t>
      </w:r>
      <w:r w:rsidR="00C7212A" w:rsidRPr="00100E4D">
        <w:t xml:space="preserve">L’emergenza </w:t>
      </w:r>
      <w:r w:rsidR="00EF42E9" w:rsidRPr="00100E4D">
        <w:t>sanitaria</w:t>
      </w:r>
      <w:r w:rsidR="00C7212A" w:rsidRPr="00100E4D">
        <w:t xml:space="preserve"> ha costretto una buona parte </w:t>
      </w:r>
      <w:r w:rsidR="00165649">
        <w:t>dei</w:t>
      </w:r>
      <w:r w:rsidR="00C7212A" w:rsidRPr="00100E4D">
        <w:t xml:space="preserve"> </w:t>
      </w:r>
      <w:r w:rsidR="00C7212A" w:rsidRPr="00100E4D">
        <w:rPr>
          <w:b/>
        </w:rPr>
        <w:t>25 milioni e 700 mila famiglie italiane</w:t>
      </w:r>
      <w:r w:rsidR="00C7212A" w:rsidRPr="00100E4D">
        <w:t xml:space="preserve"> a passare </w:t>
      </w:r>
      <w:r w:rsidR="00876058" w:rsidRPr="00100E4D">
        <w:t xml:space="preserve">molto </w:t>
      </w:r>
      <w:r w:rsidR="00C7212A" w:rsidRPr="00100E4D">
        <w:t>tempo tra le mura domestiche</w:t>
      </w:r>
      <w:r w:rsidR="00751006" w:rsidRPr="00100E4D">
        <w:t xml:space="preserve">, modificando radicalmente </w:t>
      </w:r>
      <w:r w:rsidR="00876058" w:rsidRPr="00100E4D">
        <w:t xml:space="preserve">le </w:t>
      </w:r>
      <w:r w:rsidR="00751006" w:rsidRPr="00100E4D">
        <w:t xml:space="preserve">proprie </w:t>
      </w:r>
      <w:r w:rsidR="00876058" w:rsidRPr="00100E4D">
        <w:t>abitud</w:t>
      </w:r>
      <w:r w:rsidR="003F499C" w:rsidRPr="00100E4D">
        <w:t xml:space="preserve">ini </w:t>
      </w:r>
      <w:r w:rsidR="00751006" w:rsidRPr="00100E4D">
        <w:t xml:space="preserve">sociali </w:t>
      </w:r>
      <w:r w:rsidR="003F499C" w:rsidRPr="00100E4D">
        <w:t>e il modo di vivere la casa</w:t>
      </w:r>
      <w:r w:rsidR="00751006" w:rsidRPr="00100E4D">
        <w:t xml:space="preserve">. </w:t>
      </w:r>
      <w:r w:rsidR="00C7212A" w:rsidRPr="00100E4D">
        <w:t xml:space="preserve">Ma le </w:t>
      </w:r>
      <w:r w:rsidR="00751006" w:rsidRPr="00100E4D">
        <w:t xml:space="preserve">abitazioni </w:t>
      </w:r>
      <w:r w:rsidR="00C7212A" w:rsidRPr="00100E4D">
        <w:t>degli italiani sono adeguate</w:t>
      </w:r>
      <w:r w:rsidR="00876058" w:rsidRPr="00100E4D">
        <w:t xml:space="preserve"> a fronteggiare questa situazione</w:t>
      </w:r>
      <w:r w:rsidR="00C7212A" w:rsidRPr="00100E4D">
        <w:t xml:space="preserve">? </w:t>
      </w:r>
      <w:r w:rsidR="00876058" w:rsidRPr="00100E4D">
        <w:t xml:space="preserve">Secondo l’analisi di </w:t>
      </w:r>
      <w:r w:rsidR="00876058" w:rsidRPr="00100E4D">
        <w:rPr>
          <w:b/>
        </w:rPr>
        <w:t>Abitare Co.</w:t>
      </w:r>
      <w:r w:rsidR="00AB42B5" w:rsidRPr="00100E4D">
        <w:rPr>
          <w:sz w:val="21"/>
          <w:szCs w:val="21"/>
        </w:rPr>
        <w:t xml:space="preserve">, società attiva nell’ambito dell’intermediazione immobiliare, </w:t>
      </w:r>
      <w:r w:rsidR="00876058" w:rsidRPr="00100E4D">
        <w:t xml:space="preserve">le famiglie italiane </w:t>
      </w:r>
      <w:r w:rsidR="001E2175" w:rsidRPr="00100E4D">
        <w:t xml:space="preserve">hanno </w:t>
      </w:r>
      <w:r w:rsidR="00876058" w:rsidRPr="00100E4D">
        <w:t xml:space="preserve">a disposizione una superficie media di ben </w:t>
      </w:r>
      <w:r w:rsidR="00876058" w:rsidRPr="00100E4D">
        <w:rPr>
          <w:b/>
        </w:rPr>
        <w:t>117 mq</w:t>
      </w:r>
      <w:r w:rsidR="00AB42B5" w:rsidRPr="00100E4D">
        <w:rPr>
          <w:rStyle w:val="Rimandonotaapidipagina"/>
          <w:sz w:val="16"/>
          <w:szCs w:val="16"/>
        </w:rPr>
        <w:footnoteReference w:id="1"/>
      </w:r>
      <w:r w:rsidR="00876058" w:rsidRPr="00100E4D">
        <w:t xml:space="preserve">, </w:t>
      </w:r>
      <w:r w:rsidR="009E205D" w:rsidRPr="00100E4D">
        <w:t xml:space="preserve">ma con valori che variano </w:t>
      </w:r>
      <w:r w:rsidR="00500CE6" w:rsidRPr="00100E4D">
        <w:t xml:space="preserve">sensibilmente </w:t>
      </w:r>
      <w:r w:rsidR="009E205D" w:rsidRPr="00100E4D">
        <w:t xml:space="preserve">sul territorio. </w:t>
      </w:r>
      <w:r w:rsidR="00220A67" w:rsidRPr="00100E4D">
        <w:t>Tr</w:t>
      </w:r>
      <w:r w:rsidR="00D911DA" w:rsidRPr="00100E4D">
        <w:t xml:space="preserve">a le </w:t>
      </w:r>
      <w:r w:rsidR="00D911DA" w:rsidRPr="00100E4D">
        <w:rPr>
          <w:b/>
        </w:rPr>
        <w:t xml:space="preserve">12 </w:t>
      </w:r>
      <w:r w:rsidR="00751006" w:rsidRPr="00100E4D">
        <w:rPr>
          <w:b/>
        </w:rPr>
        <w:t xml:space="preserve">grandi </w:t>
      </w:r>
      <w:r w:rsidR="00D911DA" w:rsidRPr="00100E4D">
        <w:rPr>
          <w:b/>
        </w:rPr>
        <w:t>città</w:t>
      </w:r>
      <w:r w:rsidR="00751006" w:rsidRPr="00100E4D">
        <w:t xml:space="preserve"> </w:t>
      </w:r>
      <w:r w:rsidR="00D911DA" w:rsidRPr="00100E4D">
        <w:t xml:space="preserve">sono i </w:t>
      </w:r>
      <w:r w:rsidR="00D911DA" w:rsidRPr="00100E4D">
        <w:rPr>
          <w:b/>
        </w:rPr>
        <w:t>milanesi</w:t>
      </w:r>
      <w:r w:rsidR="00D911DA" w:rsidRPr="00100E4D">
        <w:t xml:space="preserve"> </w:t>
      </w:r>
      <w:r w:rsidR="00500CE6" w:rsidRPr="00100E4D">
        <w:t>a</w:t>
      </w:r>
      <w:r w:rsidR="00D25859" w:rsidRPr="00100E4D">
        <w:t>d</w:t>
      </w:r>
      <w:r w:rsidR="00500CE6" w:rsidRPr="00100E4D">
        <w:t xml:space="preserve"> </w:t>
      </w:r>
      <w:r w:rsidR="00D25859" w:rsidRPr="00100E4D">
        <w:t xml:space="preserve">avere la </w:t>
      </w:r>
      <w:r w:rsidR="00D911DA" w:rsidRPr="00100E4D">
        <w:rPr>
          <w:b/>
        </w:rPr>
        <w:t>minore superficie media</w:t>
      </w:r>
      <w:r w:rsidR="00D911DA" w:rsidRPr="00100E4D">
        <w:t xml:space="preserve"> (88 mq), seguiti dai </w:t>
      </w:r>
      <w:r w:rsidR="00D911DA" w:rsidRPr="00100E4D">
        <w:rPr>
          <w:b/>
        </w:rPr>
        <w:t>torinesi</w:t>
      </w:r>
      <w:r w:rsidR="00D911DA" w:rsidRPr="00100E4D">
        <w:t xml:space="preserve"> (91 mq) e dai </w:t>
      </w:r>
      <w:r w:rsidR="00D911DA" w:rsidRPr="00100E4D">
        <w:rPr>
          <w:b/>
        </w:rPr>
        <w:t>bolognesi</w:t>
      </w:r>
      <w:r w:rsidR="00D911DA" w:rsidRPr="00100E4D">
        <w:t xml:space="preserve"> (96 mq), mentre </w:t>
      </w:r>
      <w:r w:rsidR="00500CE6" w:rsidRPr="00100E4D">
        <w:t xml:space="preserve">gli spazi si allargano </w:t>
      </w:r>
      <w:r w:rsidR="00D911DA" w:rsidRPr="00100E4D">
        <w:t xml:space="preserve">a </w:t>
      </w:r>
      <w:r w:rsidR="00D911DA" w:rsidRPr="00100E4D">
        <w:rPr>
          <w:b/>
        </w:rPr>
        <w:t>Palermo</w:t>
      </w:r>
      <w:r w:rsidR="00D911DA" w:rsidRPr="00100E4D">
        <w:t xml:space="preserve"> (116 mq), </w:t>
      </w:r>
      <w:r w:rsidR="00D911DA" w:rsidRPr="00100E4D">
        <w:rPr>
          <w:b/>
        </w:rPr>
        <w:t>Verona</w:t>
      </w:r>
      <w:r w:rsidR="00D911DA" w:rsidRPr="00100E4D">
        <w:t xml:space="preserve"> (114 mq) e </w:t>
      </w:r>
      <w:r w:rsidR="00D911DA" w:rsidRPr="00100E4D">
        <w:rPr>
          <w:b/>
        </w:rPr>
        <w:t>Venezia</w:t>
      </w:r>
      <w:r w:rsidR="00D911DA" w:rsidRPr="00100E4D">
        <w:t xml:space="preserve"> (112 mq).</w:t>
      </w:r>
      <w:r w:rsidR="00612426">
        <w:t xml:space="preserve"> </w:t>
      </w:r>
    </w:p>
    <w:p w:rsidR="0003564D" w:rsidRPr="008F3A56" w:rsidRDefault="00415E2F" w:rsidP="0003564D">
      <w:pPr>
        <w:spacing w:after="0"/>
        <w:jc w:val="both"/>
        <w:rPr>
          <w:color w:val="000000" w:themeColor="text1"/>
        </w:rPr>
      </w:pPr>
      <w:r w:rsidRPr="00436C05">
        <w:rPr>
          <w:color w:val="000000" w:themeColor="text1"/>
        </w:rPr>
        <w:t>A</w:t>
      </w:r>
      <w:r w:rsidR="00541D13" w:rsidRPr="00436C05">
        <w:rPr>
          <w:color w:val="000000" w:themeColor="text1"/>
        </w:rPr>
        <w:t>l di là de</w:t>
      </w:r>
      <w:r w:rsidRPr="00436C05">
        <w:rPr>
          <w:color w:val="000000" w:themeColor="text1"/>
        </w:rPr>
        <w:t>lle medie statistiche</w:t>
      </w:r>
      <w:r w:rsidR="00541D13" w:rsidRPr="00436C05">
        <w:rPr>
          <w:color w:val="000000" w:themeColor="text1"/>
        </w:rPr>
        <w:t xml:space="preserve">, </w:t>
      </w:r>
      <w:r w:rsidR="003E012C" w:rsidRPr="00436C05">
        <w:rPr>
          <w:color w:val="000000" w:themeColor="text1"/>
        </w:rPr>
        <w:t xml:space="preserve">il dato </w:t>
      </w:r>
      <w:r w:rsidR="0069130E" w:rsidRPr="00436C05">
        <w:rPr>
          <w:color w:val="000000" w:themeColor="text1"/>
        </w:rPr>
        <w:t xml:space="preserve">tendenzialmente </w:t>
      </w:r>
      <w:r w:rsidR="003E012C" w:rsidRPr="00436C05">
        <w:rPr>
          <w:color w:val="000000" w:themeColor="text1"/>
        </w:rPr>
        <w:t xml:space="preserve">positivo sulla superficie vale </w:t>
      </w:r>
      <w:r w:rsidR="00946424" w:rsidRPr="00436C05">
        <w:rPr>
          <w:color w:val="000000" w:themeColor="text1"/>
        </w:rPr>
        <w:t xml:space="preserve">per tutti? </w:t>
      </w:r>
      <w:r w:rsidR="003E012C" w:rsidRPr="00436C05">
        <w:rPr>
          <w:color w:val="000000" w:themeColor="text1"/>
        </w:rPr>
        <w:t>Su questo l</w:t>
      </w:r>
      <w:r w:rsidR="00436C05">
        <w:rPr>
          <w:color w:val="000000" w:themeColor="text1"/>
        </w:rPr>
        <w:t xml:space="preserve">a </w:t>
      </w:r>
      <w:r w:rsidR="00541D13" w:rsidRPr="00436C05">
        <w:rPr>
          <w:color w:val="000000" w:themeColor="text1"/>
        </w:rPr>
        <w:t xml:space="preserve">fotografia </w:t>
      </w:r>
      <w:r w:rsidR="00D25859" w:rsidRPr="00436C05">
        <w:rPr>
          <w:color w:val="000000" w:themeColor="text1"/>
        </w:rPr>
        <w:t xml:space="preserve">di </w:t>
      </w:r>
      <w:r w:rsidR="00D25859" w:rsidRPr="00436C05">
        <w:rPr>
          <w:b/>
          <w:color w:val="000000" w:themeColor="text1"/>
        </w:rPr>
        <w:t>Abitare Co.</w:t>
      </w:r>
      <w:r w:rsidR="00541D13" w:rsidRPr="00436C05">
        <w:rPr>
          <w:color w:val="000000" w:themeColor="text1"/>
        </w:rPr>
        <w:t xml:space="preserve"> mostra aspetti </w:t>
      </w:r>
      <w:r w:rsidR="001A3BE9" w:rsidRPr="00436C05">
        <w:rPr>
          <w:color w:val="000000" w:themeColor="text1"/>
        </w:rPr>
        <w:t>meno rosei</w:t>
      </w:r>
      <w:r w:rsidR="00541D13" w:rsidRPr="00436C05">
        <w:rPr>
          <w:color w:val="000000" w:themeColor="text1"/>
        </w:rPr>
        <w:t xml:space="preserve">. </w:t>
      </w:r>
      <w:r w:rsidR="000105E0" w:rsidRPr="00436C05">
        <w:rPr>
          <w:color w:val="000000" w:themeColor="text1"/>
        </w:rPr>
        <w:t xml:space="preserve">Secondo l’ultimo </w:t>
      </w:r>
      <w:r w:rsidR="00FB39D9" w:rsidRPr="00FB39D9">
        <w:rPr>
          <w:b/>
          <w:color w:val="000000" w:themeColor="text1"/>
        </w:rPr>
        <w:t>c</w:t>
      </w:r>
      <w:r w:rsidR="000105E0" w:rsidRPr="00FB39D9">
        <w:rPr>
          <w:b/>
          <w:color w:val="000000" w:themeColor="text1"/>
        </w:rPr>
        <w:t>ensimento Istat</w:t>
      </w:r>
      <w:r w:rsidR="00FB39D9">
        <w:rPr>
          <w:b/>
          <w:color w:val="000000" w:themeColor="text1"/>
        </w:rPr>
        <w:t xml:space="preserve"> </w:t>
      </w:r>
      <w:r w:rsidR="00FB39D9" w:rsidRPr="00436C05">
        <w:rPr>
          <w:rStyle w:val="Rimandonotaapidipagina"/>
          <w:b/>
          <w:color w:val="000000" w:themeColor="text1"/>
        </w:rPr>
        <w:footnoteReference w:id="2"/>
      </w:r>
      <w:r w:rsidR="000105E0" w:rsidRPr="00FB39D9">
        <w:rPr>
          <w:color w:val="000000" w:themeColor="text1"/>
        </w:rPr>
        <w:t>,</w:t>
      </w:r>
      <w:r w:rsidR="000105E0" w:rsidRPr="00436C05">
        <w:rPr>
          <w:color w:val="000000" w:themeColor="text1"/>
        </w:rPr>
        <w:t xml:space="preserve"> </w:t>
      </w:r>
      <w:r w:rsidR="000105E0" w:rsidRPr="00436C05">
        <w:rPr>
          <w:b/>
          <w:color w:val="000000" w:themeColor="text1"/>
        </w:rPr>
        <w:t>p</w:t>
      </w:r>
      <w:r w:rsidR="008A7780" w:rsidRPr="00436C05">
        <w:rPr>
          <w:b/>
          <w:color w:val="000000" w:themeColor="text1"/>
        </w:rPr>
        <w:t xml:space="preserve">iù di un terzo delle </w:t>
      </w:r>
      <w:r w:rsidR="00CD560C" w:rsidRPr="00436C05">
        <w:rPr>
          <w:b/>
          <w:color w:val="000000" w:themeColor="text1"/>
        </w:rPr>
        <w:t xml:space="preserve">abitazioni occupate da persone residenti, </w:t>
      </w:r>
      <w:r w:rsidR="00310477">
        <w:rPr>
          <w:color w:val="000000" w:themeColor="text1"/>
        </w:rPr>
        <w:t xml:space="preserve">pari </w:t>
      </w:r>
      <w:r w:rsidR="00310477">
        <w:rPr>
          <w:color w:val="000000"/>
        </w:rPr>
        <w:t xml:space="preserve">quasi a </w:t>
      </w:r>
      <w:r w:rsidR="00CD560C" w:rsidRPr="0075270D">
        <w:rPr>
          <w:b/>
          <w:color w:val="000000"/>
        </w:rPr>
        <w:t>8.230.000</w:t>
      </w:r>
      <w:r w:rsidR="00100E4D" w:rsidRPr="0075270D">
        <w:rPr>
          <w:b/>
          <w:color w:val="000000" w:themeColor="text1"/>
        </w:rPr>
        <w:t xml:space="preserve"> </w:t>
      </w:r>
      <w:r w:rsidR="00CD560C" w:rsidRPr="0075270D">
        <w:rPr>
          <w:b/>
          <w:color w:val="000000" w:themeColor="text1"/>
        </w:rPr>
        <w:t>case</w:t>
      </w:r>
      <w:r w:rsidR="00CD560C" w:rsidRPr="00436C05">
        <w:rPr>
          <w:color w:val="000000" w:themeColor="text1"/>
        </w:rPr>
        <w:t xml:space="preserve">, </w:t>
      </w:r>
      <w:r w:rsidR="0000732D">
        <w:rPr>
          <w:color w:val="000000" w:themeColor="text1"/>
        </w:rPr>
        <w:t>è</w:t>
      </w:r>
      <w:r w:rsidR="00CD560C" w:rsidRPr="00436C05">
        <w:rPr>
          <w:color w:val="000000" w:themeColor="text1"/>
        </w:rPr>
        <w:t xml:space="preserve"> </w:t>
      </w:r>
      <w:r w:rsidR="00120ABF" w:rsidRPr="00436C05">
        <w:rPr>
          <w:b/>
          <w:color w:val="000000" w:themeColor="text1"/>
        </w:rPr>
        <w:t>al di sotto degli 80 mq</w:t>
      </w:r>
      <w:r w:rsidR="00120ABF" w:rsidRPr="00436C05">
        <w:rPr>
          <w:color w:val="000000" w:themeColor="text1"/>
        </w:rPr>
        <w:t xml:space="preserve"> e</w:t>
      </w:r>
      <w:r w:rsidR="008A7780" w:rsidRPr="00436C05">
        <w:rPr>
          <w:color w:val="000000" w:themeColor="text1"/>
        </w:rPr>
        <w:t xml:space="preserve"> il </w:t>
      </w:r>
      <w:r w:rsidR="008A7780" w:rsidRPr="00436C05">
        <w:rPr>
          <w:b/>
          <w:color w:val="000000" w:themeColor="text1"/>
        </w:rPr>
        <w:t>13,4%</w:t>
      </w:r>
      <w:r w:rsidR="009803AE" w:rsidRPr="00436C05">
        <w:rPr>
          <w:b/>
          <w:color w:val="000000" w:themeColor="text1"/>
        </w:rPr>
        <w:t xml:space="preserve"> </w:t>
      </w:r>
      <w:r w:rsidR="00100E4D" w:rsidRPr="00436C05">
        <w:rPr>
          <w:color w:val="000000" w:themeColor="text1"/>
        </w:rPr>
        <w:t>(</w:t>
      </w:r>
      <w:r w:rsidR="00CD560C" w:rsidRPr="00436C05">
        <w:rPr>
          <w:color w:val="000000" w:themeColor="text1"/>
        </w:rPr>
        <w:t xml:space="preserve">circa </w:t>
      </w:r>
      <w:r w:rsidR="00310477">
        <w:rPr>
          <w:color w:val="000000"/>
        </w:rPr>
        <w:t>3.232</w:t>
      </w:r>
      <w:r w:rsidR="00CD560C" w:rsidRPr="00436C05">
        <w:rPr>
          <w:color w:val="000000"/>
        </w:rPr>
        <w:t>.000</w:t>
      </w:r>
      <w:r w:rsidR="00264DC5" w:rsidRPr="00436C05">
        <w:rPr>
          <w:color w:val="000000" w:themeColor="text1"/>
        </w:rPr>
        <w:t>)</w:t>
      </w:r>
      <w:r w:rsidR="00264DC5" w:rsidRPr="00436C05">
        <w:rPr>
          <w:b/>
          <w:color w:val="000000" w:themeColor="text1"/>
        </w:rPr>
        <w:t xml:space="preserve"> </w:t>
      </w:r>
      <w:r w:rsidR="0000732D">
        <w:rPr>
          <w:b/>
          <w:color w:val="000000" w:themeColor="text1"/>
        </w:rPr>
        <w:t>non raggiunge</w:t>
      </w:r>
      <w:r w:rsidR="008A7780" w:rsidRPr="00436C05">
        <w:rPr>
          <w:b/>
          <w:color w:val="000000" w:themeColor="text1"/>
        </w:rPr>
        <w:t xml:space="preserve"> </w:t>
      </w:r>
      <w:r w:rsidR="00514500" w:rsidRPr="00436C05">
        <w:rPr>
          <w:b/>
          <w:color w:val="000000" w:themeColor="text1"/>
        </w:rPr>
        <w:t xml:space="preserve">i </w:t>
      </w:r>
      <w:r w:rsidR="008A7780" w:rsidRPr="00436C05">
        <w:rPr>
          <w:b/>
          <w:color w:val="000000" w:themeColor="text1"/>
        </w:rPr>
        <w:t>60 mq</w:t>
      </w:r>
      <w:r w:rsidR="00120ABF" w:rsidRPr="00436C05">
        <w:rPr>
          <w:color w:val="000000" w:themeColor="text1"/>
        </w:rPr>
        <w:t>.</w:t>
      </w:r>
      <w:r w:rsidR="00264DC5" w:rsidRPr="00436C05">
        <w:rPr>
          <w:color w:val="000000" w:themeColor="text1"/>
        </w:rPr>
        <w:t xml:space="preserve"> </w:t>
      </w:r>
      <w:r w:rsidR="00A94C93" w:rsidRPr="00436C05">
        <w:rPr>
          <w:color w:val="000000" w:themeColor="text1"/>
        </w:rPr>
        <w:t>Una percent</w:t>
      </w:r>
      <w:r w:rsidR="00CD560C" w:rsidRPr="00436C05">
        <w:rPr>
          <w:color w:val="000000" w:themeColor="text1"/>
        </w:rPr>
        <w:t>uale, quest’ultima, che tra le p</w:t>
      </w:r>
      <w:r w:rsidR="00A94C93" w:rsidRPr="00436C05">
        <w:rPr>
          <w:color w:val="000000" w:themeColor="text1"/>
        </w:rPr>
        <w:t>rov</w:t>
      </w:r>
      <w:r w:rsidR="00CD560C" w:rsidRPr="00436C05">
        <w:rPr>
          <w:color w:val="000000" w:themeColor="text1"/>
        </w:rPr>
        <w:t>ince</w:t>
      </w:r>
      <w:r w:rsidR="0000732D">
        <w:rPr>
          <w:color w:val="000000" w:themeColor="text1"/>
        </w:rPr>
        <w:t xml:space="preserve"> dei capoluoghi di r</w:t>
      </w:r>
      <w:r w:rsidR="00264DC5" w:rsidRPr="00436C05">
        <w:rPr>
          <w:color w:val="000000" w:themeColor="text1"/>
        </w:rPr>
        <w:t>egione</w:t>
      </w:r>
      <w:r w:rsidR="00A94C93" w:rsidRPr="00436C05">
        <w:rPr>
          <w:color w:val="000000" w:themeColor="text1"/>
        </w:rPr>
        <w:t xml:space="preserve"> sale sensibilmente al 22,7% di Milano, al 22,4% di Trieste, al 21% di Aosta, al 20,4% di Torino e al 18,7% di Roma. </w:t>
      </w:r>
      <w:r w:rsidR="00AA3C1E" w:rsidRPr="00436C05">
        <w:rPr>
          <w:color w:val="000000" w:themeColor="text1"/>
        </w:rPr>
        <w:t>Un dato importante se si considera che le famiglie italiane sono composte mediamente da 2,3 componenti.</w:t>
      </w:r>
      <w:r w:rsidR="00514500" w:rsidRPr="008F3A56">
        <w:rPr>
          <w:color w:val="000000" w:themeColor="text1"/>
        </w:rPr>
        <w:t xml:space="preserve"> </w:t>
      </w:r>
    </w:p>
    <w:p w:rsidR="00120ABF" w:rsidRPr="008F3A56" w:rsidRDefault="00514500" w:rsidP="00946424">
      <w:pPr>
        <w:spacing w:after="0"/>
        <w:jc w:val="both"/>
        <w:rPr>
          <w:color w:val="000000" w:themeColor="text1"/>
        </w:rPr>
      </w:pPr>
      <w:r w:rsidRPr="00CE0A74">
        <w:rPr>
          <w:color w:val="000000" w:themeColor="text1"/>
        </w:rPr>
        <w:t xml:space="preserve">E </w:t>
      </w:r>
      <w:r w:rsidR="0000732D">
        <w:rPr>
          <w:color w:val="000000" w:themeColor="text1"/>
        </w:rPr>
        <w:t>i nuclei numerosi</w:t>
      </w:r>
      <w:r w:rsidRPr="00CE0A74">
        <w:rPr>
          <w:color w:val="000000" w:themeColor="text1"/>
        </w:rPr>
        <w:t xml:space="preserve">? </w:t>
      </w:r>
      <w:r w:rsidR="00035D96" w:rsidRPr="00CE0A74">
        <w:rPr>
          <w:color w:val="000000" w:themeColor="text1"/>
        </w:rPr>
        <w:t>O</w:t>
      </w:r>
      <w:r w:rsidR="00C03095" w:rsidRPr="00CE0A74">
        <w:rPr>
          <w:color w:val="000000" w:themeColor="text1"/>
        </w:rPr>
        <w:t xml:space="preserve">ltre </w:t>
      </w:r>
      <w:r w:rsidRPr="00CE0A74">
        <w:rPr>
          <w:color w:val="000000" w:themeColor="text1"/>
        </w:rPr>
        <w:t xml:space="preserve">un quinto delle </w:t>
      </w:r>
      <w:r w:rsidR="00035D96" w:rsidRPr="00CE0A74">
        <w:rPr>
          <w:color w:val="000000" w:themeColor="text1"/>
        </w:rPr>
        <w:t xml:space="preserve">abitazioni </w:t>
      </w:r>
      <w:r w:rsidR="00436C05" w:rsidRPr="00CE0A74">
        <w:rPr>
          <w:color w:val="000000" w:themeColor="text1"/>
        </w:rPr>
        <w:t xml:space="preserve">(20,7%) </w:t>
      </w:r>
      <w:r w:rsidR="00035D96" w:rsidRPr="00CE0A74">
        <w:rPr>
          <w:color w:val="000000" w:themeColor="text1"/>
        </w:rPr>
        <w:t xml:space="preserve">occupate </w:t>
      </w:r>
      <w:r w:rsidR="00436C05" w:rsidRPr="00CE0A74">
        <w:rPr>
          <w:color w:val="000000" w:themeColor="text1"/>
        </w:rPr>
        <w:t xml:space="preserve">da </w:t>
      </w:r>
      <w:r w:rsidR="00035D96" w:rsidRPr="00CE0A74">
        <w:rPr>
          <w:color w:val="000000" w:themeColor="text1"/>
        </w:rPr>
        <w:t xml:space="preserve">più di 4 persone </w:t>
      </w:r>
      <w:r w:rsidR="0000732D">
        <w:rPr>
          <w:color w:val="000000" w:themeColor="text1"/>
        </w:rPr>
        <w:t>è inferiore</w:t>
      </w:r>
      <w:r w:rsidR="00035D96" w:rsidRPr="00CE0A74">
        <w:rPr>
          <w:color w:val="000000" w:themeColor="text1"/>
        </w:rPr>
        <w:t xml:space="preserve"> </w:t>
      </w:r>
      <w:r w:rsidR="00DD73D2" w:rsidRPr="00CE0A74">
        <w:rPr>
          <w:color w:val="000000" w:themeColor="text1"/>
        </w:rPr>
        <w:t xml:space="preserve">a 80 mq, ma con </w:t>
      </w:r>
      <w:r w:rsidR="00165649">
        <w:rPr>
          <w:color w:val="000000" w:themeColor="text1"/>
        </w:rPr>
        <w:t>un’</w:t>
      </w:r>
      <w:r w:rsidR="0069130E" w:rsidRPr="00CE0A74">
        <w:rPr>
          <w:color w:val="000000" w:themeColor="text1"/>
        </w:rPr>
        <w:t>incidenza che arriva</w:t>
      </w:r>
      <w:r w:rsidR="00DD73D2" w:rsidRPr="00CE0A74">
        <w:rPr>
          <w:color w:val="000000" w:themeColor="text1"/>
        </w:rPr>
        <w:t xml:space="preserve"> al 29,8% nella provincia di Milano, al 31,3% di Torino, al 32,5% di Roma sino al 34% di Napoli.</w:t>
      </w:r>
    </w:p>
    <w:p w:rsidR="00946424" w:rsidRDefault="00946424" w:rsidP="00946424">
      <w:pPr>
        <w:spacing w:after="0"/>
        <w:jc w:val="both"/>
      </w:pPr>
    </w:p>
    <w:p w:rsidR="00DD73D2" w:rsidRPr="008F3A56" w:rsidRDefault="0003564D" w:rsidP="00946424">
      <w:pPr>
        <w:spacing w:after="0"/>
        <w:jc w:val="both"/>
      </w:pPr>
      <w:r w:rsidRPr="00C34778">
        <w:t xml:space="preserve">Abitazioni, quindi, </w:t>
      </w:r>
      <w:r w:rsidRPr="00C34778">
        <w:rPr>
          <w:b/>
        </w:rPr>
        <w:t>sovraffollate</w:t>
      </w:r>
      <w:r w:rsidR="00DD73D2" w:rsidRPr="00C34778">
        <w:t>: nel 2018</w:t>
      </w:r>
      <w:r w:rsidR="00FB39D9">
        <w:t>,</w:t>
      </w:r>
      <w:r w:rsidR="00DD73D2" w:rsidRPr="00C34778">
        <w:t xml:space="preserve"> </w:t>
      </w:r>
      <w:r w:rsidR="00FB39D9">
        <w:t>sempre secondo i dati dell’Istat</w:t>
      </w:r>
      <w:r w:rsidR="00FB39D9">
        <w:rPr>
          <w:b/>
        </w:rPr>
        <w:t xml:space="preserve"> </w:t>
      </w:r>
      <w:r w:rsidR="00FB39D9" w:rsidRPr="00C34778">
        <w:rPr>
          <w:rStyle w:val="Rimandonotaapidipagina"/>
          <w:b/>
        </w:rPr>
        <w:footnoteReference w:id="3"/>
      </w:r>
      <w:r w:rsidR="00FB39D9" w:rsidRPr="00FB39D9">
        <w:t>,</w:t>
      </w:r>
      <w:r w:rsidR="00FB39D9">
        <w:rPr>
          <w:b/>
        </w:rPr>
        <w:t xml:space="preserve"> </w:t>
      </w:r>
      <w:r w:rsidR="00DD73D2" w:rsidRPr="00C34778">
        <w:t xml:space="preserve">ben il </w:t>
      </w:r>
      <w:r w:rsidR="00DD73D2" w:rsidRPr="00C34778">
        <w:rPr>
          <w:b/>
        </w:rPr>
        <w:t>27,8%</w:t>
      </w:r>
      <w:r w:rsidR="00DD73D2" w:rsidRPr="00C34778">
        <w:t xml:space="preserve"> delle persone, </w:t>
      </w:r>
      <w:r w:rsidR="00DD73D2" w:rsidRPr="00C34778">
        <w:rPr>
          <w:b/>
          <w:color w:val="000000" w:themeColor="text1"/>
        </w:rPr>
        <w:t xml:space="preserve">pari a </w:t>
      </w:r>
      <w:r w:rsidR="00AB5087" w:rsidRPr="00C34778">
        <w:rPr>
          <w:b/>
          <w:color w:val="000000" w:themeColor="text1"/>
        </w:rPr>
        <w:t>oltre 16,8 milioni</w:t>
      </w:r>
      <w:r w:rsidR="00DD73D2" w:rsidRPr="00C34778">
        <w:rPr>
          <w:color w:val="000000" w:themeColor="text1"/>
        </w:rPr>
        <w:t xml:space="preserve">, viveva </w:t>
      </w:r>
      <w:r w:rsidR="00DD73D2" w:rsidRPr="00C34778">
        <w:t xml:space="preserve">in questa condizione. Un dato che varia sensibilmente dal </w:t>
      </w:r>
      <w:r w:rsidR="00AB5087" w:rsidRPr="00C34778">
        <w:t>tasso più basso d</w:t>
      </w:r>
      <w:r w:rsidR="00DD73D2" w:rsidRPr="00C34778">
        <w:t xml:space="preserve">ella </w:t>
      </w:r>
      <w:r w:rsidR="00DD73D2" w:rsidRPr="00C34778">
        <w:rPr>
          <w:b/>
        </w:rPr>
        <w:t>Valle d’Aosta</w:t>
      </w:r>
      <w:r w:rsidR="00DD73D2">
        <w:t xml:space="preserve"> </w:t>
      </w:r>
      <w:r w:rsidR="00AB5087" w:rsidRPr="008F3A56">
        <w:rPr>
          <w:bCs/>
        </w:rPr>
        <w:t>(18,5%)</w:t>
      </w:r>
      <w:r w:rsidR="00AB5087">
        <w:t xml:space="preserve"> </w:t>
      </w:r>
      <w:r w:rsidR="00DD73D2">
        <w:t xml:space="preserve">e del </w:t>
      </w:r>
      <w:r w:rsidR="00DD73D2" w:rsidRPr="00555509">
        <w:rPr>
          <w:b/>
        </w:rPr>
        <w:t>Friuli-Venezia Giulia</w:t>
      </w:r>
      <w:r w:rsidR="00DD73D2">
        <w:t xml:space="preserve"> </w:t>
      </w:r>
      <w:r w:rsidR="00AB5087" w:rsidRPr="008F3A56">
        <w:t>(19,4%)</w:t>
      </w:r>
      <w:r w:rsidR="00AB5087">
        <w:t xml:space="preserve"> </w:t>
      </w:r>
      <w:r w:rsidR="00555509">
        <w:t xml:space="preserve">sino </w:t>
      </w:r>
      <w:r w:rsidR="00DD73D2">
        <w:t xml:space="preserve">alle regioni più </w:t>
      </w:r>
      <w:r w:rsidR="00555509">
        <w:t xml:space="preserve">sovraffollate tra cui le </w:t>
      </w:r>
      <w:r w:rsidR="00DD73D2" w:rsidRPr="00555509">
        <w:rPr>
          <w:b/>
        </w:rPr>
        <w:t>Marche</w:t>
      </w:r>
      <w:r w:rsidR="00DD73D2">
        <w:t xml:space="preserve"> (41,2%), </w:t>
      </w:r>
      <w:r w:rsidR="00555509">
        <w:t>l’</w:t>
      </w:r>
      <w:r w:rsidR="00DD73D2" w:rsidRPr="00555509">
        <w:rPr>
          <w:b/>
        </w:rPr>
        <w:t>Umbria</w:t>
      </w:r>
      <w:r w:rsidR="00DD73D2">
        <w:t xml:space="preserve"> (37,7%) e </w:t>
      </w:r>
      <w:r w:rsidR="00555509">
        <w:t>l’</w:t>
      </w:r>
      <w:r w:rsidR="00DD73D2" w:rsidRPr="00555509">
        <w:rPr>
          <w:b/>
        </w:rPr>
        <w:t>Abruzzo</w:t>
      </w:r>
      <w:r w:rsidR="00DD73D2">
        <w:t xml:space="preserve"> (37,4%). Anche analizzando il dato per </w:t>
      </w:r>
      <w:r w:rsidR="00DD73D2" w:rsidRPr="00AB5087">
        <w:rPr>
          <w:b/>
          <w:bCs/>
        </w:rPr>
        <w:t>numero medio di stanze per persona</w:t>
      </w:r>
      <w:r w:rsidR="00DD73D2" w:rsidRPr="000B5D82">
        <w:t xml:space="preserve">, </w:t>
      </w:r>
      <w:r w:rsidR="00DD73D2">
        <w:t xml:space="preserve">con 1,4 camere </w:t>
      </w:r>
      <w:r w:rsidR="00DD73D2" w:rsidRPr="000B5D82">
        <w:t>l’I</w:t>
      </w:r>
      <w:r w:rsidR="00DD73D2">
        <w:t>talia si posiziona</w:t>
      </w:r>
      <w:r w:rsidR="00DD73D2" w:rsidRPr="000B5D82">
        <w:t xml:space="preserve"> al 24° posto in Europa</w:t>
      </w:r>
      <w:r w:rsidR="00DD73D2">
        <w:t>, ben lontana da Paesi come Malta (2,4), Irlanda (2,3)</w:t>
      </w:r>
      <w:r w:rsidR="00AB5087">
        <w:t xml:space="preserve"> e</w:t>
      </w:r>
      <w:r w:rsidR="00DD73D2">
        <w:t xml:space="preserve"> </w:t>
      </w:r>
      <w:r w:rsidR="00AB5087">
        <w:t xml:space="preserve">con 2,2 </w:t>
      </w:r>
      <w:r w:rsidR="00DD73D2">
        <w:t xml:space="preserve">Belgio, </w:t>
      </w:r>
      <w:r w:rsidR="00DD73D2" w:rsidRPr="008F3A56">
        <w:t>Lussemburgo e Regno Unito</w:t>
      </w:r>
      <w:r w:rsidR="00DD73D2" w:rsidRPr="008F3A56">
        <w:rPr>
          <w:rStyle w:val="Rimandonotaapidipagina"/>
        </w:rPr>
        <w:footnoteReference w:id="4"/>
      </w:r>
      <w:r w:rsidR="00DD73D2" w:rsidRPr="008F3A56">
        <w:t xml:space="preserve">. </w:t>
      </w:r>
    </w:p>
    <w:p w:rsidR="009A6D36" w:rsidRDefault="00A16483" w:rsidP="00A16483">
      <w:pPr>
        <w:jc w:val="both"/>
        <w:rPr>
          <w:color w:val="000000" w:themeColor="text1"/>
        </w:rPr>
      </w:pPr>
      <w:r w:rsidRPr="008F3A56">
        <w:t xml:space="preserve">Ma oltre al </w:t>
      </w:r>
      <w:r w:rsidR="00DD73D2" w:rsidRPr="008F3A56">
        <w:t xml:space="preserve">sovraffollamento si aggiunge anche la </w:t>
      </w:r>
      <w:r w:rsidR="00DD73D2" w:rsidRPr="008F3A56">
        <w:rPr>
          <w:b/>
        </w:rPr>
        <w:t xml:space="preserve">carenza dei servizi primari e </w:t>
      </w:r>
      <w:r w:rsidR="00D25859" w:rsidRPr="008F3A56">
        <w:rPr>
          <w:b/>
        </w:rPr>
        <w:t>strutturali</w:t>
      </w:r>
      <w:r w:rsidR="00DD73D2" w:rsidRPr="008F3A56">
        <w:rPr>
          <w:color w:val="FF0000"/>
        </w:rPr>
        <w:t xml:space="preserve">. </w:t>
      </w:r>
      <w:r w:rsidR="00307E1F" w:rsidRPr="008F3A56">
        <w:rPr>
          <w:color w:val="000000" w:themeColor="text1"/>
        </w:rPr>
        <w:t xml:space="preserve">Anche se rispetto al 2014 c’è stato un significativo miglioramento, </w:t>
      </w:r>
      <w:r w:rsidR="00DD73D2" w:rsidRPr="008F3A56">
        <w:rPr>
          <w:color w:val="000000" w:themeColor="text1"/>
        </w:rPr>
        <w:t xml:space="preserve">nel 2018 </w:t>
      </w:r>
      <w:r w:rsidR="00307E1F" w:rsidRPr="008F3A56">
        <w:rPr>
          <w:color w:val="000000" w:themeColor="text1"/>
        </w:rPr>
        <w:t xml:space="preserve">quasi </w:t>
      </w:r>
      <w:r w:rsidR="00307E1F" w:rsidRPr="00BF0EA8">
        <w:rPr>
          <w:b/>
          <w:color w:val="000000" w:themeColor="text1"/>
        </w:rPr>
        <w:t>otto milioni</w:t>
      </w:r>
      <w:r w:rsidR="00307E1F" w:rsidRPr="008F3A56">
        <w:rPr>
          <w:color w:val="000000" w:themeColor="text1"/>
        </w:rPr>
        <w:t xml:space="preserve"> </w:t>
      </w:r>
      <w:r w:rsidR="00956265">
        <w:rPr>
          <w:color w:val="000000" w:themeColor="text1"/>
        </w:rPr>
        <w:t>d</w:t>
      </w:r>
      <w:r w:rsidR="00307E1F" w:rsidRPr="008F3A56">
        <w:rPr>
          <w:color w:val="000000" w:themeColor="text1"/>
        </w:rPr>
        <w:t xml:space="preserve">i </w:t>
      </w:r>
      <w:r w:rsidR="009E205D" w:rsidRPr="008F3A56">
        <w:rPr>
          <w:color w:val="000000" w:themeColor="text1"/>
        </w:rPr>
        <w:t>cittadini</w:t>
      </w:r>
      <w:r w:rsidR="00DD73D2" w:rsidRPr="008F3A56">
        <w:rPr>
          <w:color w:val="000000" w:themeColor="text1"/>
        </w:rPr>
        <w:t xml:space="preserve"> (</w:t>
      </w:r>
      <w:r w:rsidR="00DD73D2" w:rsidRPr="008F3A56">
        <w:rPr>
          <w:b/>
          <w:color w:val="000000" w:themeColor="text1"/>
        </w:rPr>
        <w:t>13,2%</w:t>
      </w:r>
      <w:r w:rsidR="0000732D">
        <w:rPr>
          <w:color w:val="000000" w:themeColor="text1"/>
        </w:rPr>
        <w:t xml:space="preserve"> della popolazione) vivevano</w:t>
      </w:r>
      <w:r w:rsidR="00DD73D2" w:rsidRPr="008F3A56">
        <w:rPr>
          <w:color w:val="000000" w:themeColor="text1"/>
        </w:rPr>
        <w:t xml:space="preserve"> in abitazioni con </w:t>
      </w:r>
      <w:r w:rsidR="00DD73D2" w:rsidRPr="008F3A56">
        <w:rPr>
          <w:b/>
          <w:color w:val="000000" w:themeColor="text1"/>
        </w:rPr>
        <w:t>problemi str</w:t>
      </w:r>
      <w:r w:rsidR="00555509" w:rsidRPr="008F3A56">
        <w:rPr>
          <w:b/>
          <w:color w:val="000000" w:themeColor="text1"/>
        </w:rPr>
        <w:t>utturali o di umidità</w:t>
      </w:r>
      <w:r w:rsidR="00555509" w:rsidRPr="008F3A56">
        <w:rPr>
          <w:color w:val="000000" w:themeColor="text1"/>
        </w:rPr>
        <w:t xml:space="preserve">, </w:t>
      </w:r>
      <w:r w:rsidR="00D25859" w:rsidRPr="008F3A56">
        <w:rPr>
          <w:color w:val="000000" w:themeColor="text1"/>
        </w:rPr>
        <w:t xml:space="preserve">con </w:t>
      </w:r>
      <w:r w:rsidRPr="008F3A56">
        <w:rPr>
          <w:color w:val="000000" w:themeColor="text1"/>
        </w:rPr>
        <w:t xml:space="preserve">una situazione più marcata in </w:t>
      </w:r>
      <w:r w:rsidRPr="008F3A56">
        <w:rPr>
          <w:b/>
          <w:color w:val="000000" w:themeColor="text1"/>
        </w:rPr>
        <w:t xml:space="preserve">Calabria </w:t>
      </w:r>
      <w:r w:rsidRPr="008F3A56">
        <w:rPr>
          <w:color w:val="000000" w:themeColor="text1"/>
        </w:rPr>
        <w:t xml:space="preserve">(22,4%) e </w:t>
      </w:r>
      <w:r w:rsidRPr="008F3A56">
        <w:rPr>
          <w:b/>
          <w:color w:val="000000" w:themeColor="text1"/>
        </w:rPr>
        <w:t xml:space="preserve">Sardegna </w:t>
      </w:r>
      <w:r w:rsidRPr="008F3A56">
        <w:rPr>
          <w:color w:val="000000" w:themeColor="text1"/>
        </w:rPr>
        <w:t xml:space="preserve">(21,9%). </w:t>
      </w:r>
    </w:p>
    <w:p w:rsidR="009A6D36" w:rsidRDefault="009A6D36" w:rsidP="00A16483">
      <w:pPr>
        <w:jc w:val="both"/>
        <w:rPr>
          <w:color w:val="000000" w:themeColor="text1"/>
        </w:rPr>
      </w:pPr>
    </w:p>
    <w:p w:rsidR="009A6D36" w:rsidRDefault="009A6D36" w:rsidP="00A16483">
      <w:pPr>
        <w:jc w:val="both"/>
        <w:rPr>
          <w:color w:val="000000" w:themeColor="text1"/>
        </w:rPr>
      </w:pPr>
    </w:p>
    <w:p w:rsidR="00A16483" w:rsidRPr="003645BB" w:rsidRDefault="008F3A56" w:rsidP="00A16483">
      <w:pPr>
        <w:jc w:val="both"/>
        <w:rPr>
          <w:color w:val="000000" w:themeColor="text1"/>
        </w:rPr>
      </w:pPr>
      <w:r w:rsidRPr="003645BB">
        <w:rPr>
          <w:color w:val="000000" w:themeColor="text1"/>
        </w:rPr>
        <w:lastRenderedPageBreak/>
        <w:t>Inoltre, r</w:t>
      </w:r>
      <w:r w:rsidR="00307E1F" w:rsidRPr="003645BB">
        <w:rPr>
          <w:color w:val="000000" w:themeColor="text1"/>
        </w:rPr>
        <w:t xml:space="preserve">itornando al </w:t>
      </w:r>
      <w:r w:rsidR="00A16483" w:rsidRPr="003645BB">
        <w:rPr>
          <w:color w:val="000000" w:themeColor="text1"/>
        </w:rPr>
        <w:t xml:space="preserve">censimento del 2011, </w:t>
      </w:r>
      <w:r w:rsidRPr="003645BB">
        <w:t xml:space="preserve">nelle abitazioni occupate da persone residenti </w:t>
      </w:r>
      <w:r w:rsidR="00A16483" w:rsidRPr="003645BB">
        <w:rPr>
          <w:color w:val="000000" w:themeColor="text1"/>
        </w:rPr>
        <w:t xml:space="preserve">quasi </w:t>
      </w:r>
      <w:r w:rsidR="00A16483" w:rsidRPr="003645BB">
        <w:rPr>
          <w:b/>
          <w:color w:val="000000" w:themeColor="text1"/>
        </w:rPr>
        <w:t>415.400</w:t>
      </w:r>
      <w:r w:rsidR="00A16483" w:rsidRPr="003645BB">
        <w:rPr>
          <w:color w:val="000000" w:themeColor="text1"/>
        </w:rPr>
        <w:t xml:space="preserve"> </w:t>
      </w:r>
      <w:r w:rsidR="00C173E3" w:rsidRPr="003645BB">
        <w:rPr>
          <w:color w:val="000000" w:themeColor="text1"/>
        </w:rPr>
        <w:t xml:space="preserve">case </w:t>
      </w:r>
      <w:r w:rsidR="00A16483" w:rsidRPr="003645BB">
        <w:rPr>
          <w:color w:val="000000" w:themeColor="text1"/>
        </w:rPr>
        <w:t xml:space="preserve">erano </w:t>
      </w:r>
      <w:r w:rsidR="00A16483" w:rsidRPr="003645BB">
        <w:rPr>
          <w:b/>
          <w:color w:val="000000" w:themeColor="text1"/>
        </w:rPr>
        <w:t>senza acqua potabile</w:t>
      </w:r>
      <w:r w:rsidR="00A16483" w:rsidRPr="003645BB">
        <w:rPr>
          <w:color w:val="000000" w:themeColor="text1"/>
        </w:rPr>
        <w:t xml:space="preserve"> e </w:t>
      </w:r>
      <w:r w:rsidR="00A16483" w:rsidRPr="003645BB">
        <w:rPr>
          <w:rFonts w:ascii="Calibri" w:eastAsia="Times New Roman" w:hAnsi="Calibri" w:cs="Calibri"/>
          <w:b/>
          <w:color w:val="000000" w:themeColor="text1"/>
          <w:lang w:eastAsia="it-IT"/>
        </w:rPr>
        <w:t>250.600</w:t>
      </w:r>
      <w:r w:rsidR="00A16483" w:rsidRPr="003645BB">
        <w:rPr>
          <w:rFonts w:ascii="Calibri" w:eastAsia="Times New Roman" w:hAnsi="Calibri" w:cs="Calibri"/>
          <w:color w:val="000000" w:themeColor="text1"/>
          <w:lang w:eastAsia="it-IT"/>
        </w:rPr>
        <w:t xml:space="preserve"> </w:t>
      </w:r>
      <w:r w:rsidR="00A16483" w:rsidRPr="003645BB">
        <w:rPr>
          <w:rFonts w:ascii="Calibri" w:eastAsia="Times New Roman" w:hAnsi="Calibri" w:cs="Calibri"/>
          <w:b/>
          <w:color w:val="000000" w:themeColor="text1"/>
          <w:lang w:eastAsia="it-IT"/>
        </w:rPr>
        <w:t>senza acqua calda</w:t>
      </w:r>
      <w:r w:rsidR="00A16483" w:rsidRPr="003645BB">
        <w:rPr>
          <w:color w:val="000000" w:themeColor="text1"/>
        </w:rPr>
        <w:t xml:space="preserve">, oltre </w:t>
      </w:r>
      <w:r w:rsidR="00A16483" w:rsidRPr="003645BB">
        <w:rPr>
          <w:b/>
          <w:color w:val="000000" w:themeColor="text1"/>
        </w:rPr>
        <w:t>2.081.000</w:t>
      </w:r>
      <w:r w:rsidR="00A16483" w:rsidRPr="003645BB">
        <w:rPr>
          <w:color w:val="000000" w:themeColor="text1"/>
        </w:rPr>
        <w:t xml:space="preserve"> non </w:t>
      </w:r>
      <w:r w:rsidR="003F1272" w:rsidRPr="003645BB">
        <w:rPr>
          <w:color w:val="000000" w:themeColor="text1"/>
        </w:rPr>
        <w:t>avevano</w:t>
      </w:r>
      <w:r w:rsidR="00A16483" w:rsidRPr="003645BB">
        <w:rPr>
          <w:color w:val="000000" w:themeColor="text1"/>
        </w:rPr>
        <w:t xml:space="preserve"> un </w:t>
      </w:r>
      <w:r w:rsidR="00A16483" w:rsidRPr="003645BB">
        <w:rPr>
          <w:b/>
          <w:color w:val="000000" w:themeColor="text1"/>
        </w:rPr>
        <w:t>impianto di riscaldamento</w:t>
      </w:r>
      <w:r w:rsidR="00A16483" w:rsidRPr="003645BB">
        <w:rPr>
          <w:color w:val="000000" w:themeColor="text1"/>
        </w:rPr>
        <w:t xml:space="preserve">, in circa </w:t>
      </w:r>
      <w:r w:rsidR="00A16483" w:rsidRPr="003645BB">
        <w:rPr>
          <w:b/>
          <w:color w:val="000000" w:themeColor="text1"/>
        </w:rPr>
        <w:t>35.900</w:t>
      </w:r>
      <w:r w:rsidR="00A16483" w:rsidRPr="003645BB">
        <w:rPr>
          <w:color w:val="000000" w:themeColor="text1"/>
        </w:rPr>
        <w:t xml:space="preserve"> si registrava l’</w:t>
      </w:r>
      <w:r w:rsidR="00A16483" w:rsidRPr="003645BB">
        <w:rPr>
          <w:b/>
          <w:color w:val="000000" w:themeColor="text1"/>
        </w:rPr>
        <w:t>assenza di un gabinetto</w:t>
      </w:r>
      <w:r w:rsidR="00A16483" w:rsidRPr="003645BB">
        <w:rPr>
          <w:color w:val="000000" w:themeColor="text1"/>
        </w:rPr>
        <w:t xml:space="preserve">, in quasi </w:t>
      </w:r>
      <w:r w:rsidR="00A16483" w:rsidRPr="003645BB">
        <w:rPr>
          <w:b/>
          <w:color w:val="000000" w:themeColor="text1"/>
        </w:rPr>
        <w:t>138.100</w:t>
      </w:r>
      <w:r w:rsidR="00A16483" w:rsidRPr="003645BB">
        <w:rPr>
          <w:color w:val="000000" w:themeColor="text1"/>
        </w:rPr>
        <w:t xml:space="preserve"> nessun </w:t>
      </w:r>
      <w:r w:rsidR="00A16483" w:rsidRPr="003645BB">
        <w:rPr>
          <w:b/>
          <w:color w:val="000000" w:themeColor="text1"/>
        </w:rPr>
        <w:t>impianto doccia</w:t>
      </w:r>
      <w:r w:rsidR="00A16483" w:rsidRPr="003645BB">
        <w:rPr>
          <w:color w:val="000000" w:themeColor="text1"/>
        </w:rPr>
        <w:t xml:space="preserve"> e/o </w:t>
      </w:r>
      <w:r w:rsidR="00A16483" w:rsidRPr="003645BB">
        <w:rPr>
          <w:b/>
          <w:color w:val="000000" w:themeColor="text1"/>
        </w:rPr>
        <w:t>vasche da bagno</w:t>
      </w:r>
      <w:r w:rsidR="00A16483" w:rsidRPr="003645BB">
        <w:rPr>
          <w:color w:val="000000" w:themeColor="text1"/>
        </w:rPr>
        <w:t xml:space="preserve"> e quasi </w:t>
      </w:r>
      <w:r w:rsidR="00A16483" w:rsidRPr="003645BB">
        <w:rPr>
          <w:b/>
          <w:color w:val="000000" w:themeColor="text1"/>
        </w:rPr>
        <w:t>6.458.400</w:t>
      </w:r>
      <w:r w:rsidR="00A16483" w:rsidRPr="003645BB">
        <w:rPr>
          <w:color w:val="000000" w:themeColor="text1"/>
        </w:rPr>
        <w:t xml:space="preserve"> non ha la cucina.</w:t>
      </w:r>
      <w:r w:rsidR="00D25859" w:rsidRPr="003645BB">
        <w:rPr>
          <w:color w:val="000000" w:themeColor="text1"/>
        </w:rPr>
        <w:t xml:space="preserve"> </w:t>
      </w:r>
    </w:p>
    <w:p w:rsidR="00D25859" w:rsidRPr="009E32CE" w:rsidRDefault="00D25859" w:rsidP="00A16483">
      <w:pPr>
        <w:jc w:val="both"/>
      </w:pPr>
      <w:r w:rsidRPr="003645BB">
        <w:t xml:space="preserve">Ultimo aspetto </w:t>
      </w:r>
      <w:r w:rsidR="003F1272" w:rsidRPr="003645BB">
        <w:t xml:space="preserve">che in questo periodo ha un ruolo importante per le famiglie in quanto consente di avere un contatto con l’esterno, </w:t>
      </w:r>
      <w:r w:rsidRPr="003645BB">
        <w:t xml:space="preserve">riguarda la presenza di </w:t>
      </w:r>
      <w:r w:rsidR="00220CA7" w:rsidRPr="003645BB">
        <w:rPr>
          <w:b/>
        </w:rPr>
        <w:t>balconi, terrazzi e</w:t>
      </w:r>
      <w:r w:rsidRPr="003645BB">
        <w:rPr>
          <w:b/>
        </w:rPr>
        <w:t xml:space="preserve"> giardini</w:t>
      </w:r>
      <w:r w:rsidR="003F1272" w:rsidRPr="003645BB">
        <w:rPr>
          <w:b/>
        </w:rPr>
        <w:t xml:space="preserve"> di proprietà</w:t>
      </w:r>
      <w:r w:rsidR="00260C70">
        <w:rPr>
          <w:b/>
        </w:rPr>
        <w:t xml:space="preserve"> </w:t>
      </w:r>
      <w:r w:rsidR="00260C70">
        <w:rPr>
          <w:rStyle w:val="Rimandonotaapidipagina"/>
          <w:b/>
        </w:rPr>
        <w:footnoteReference w:id="5"/>
      </w:r>
      <w:r w:rsidR="003F1272" w:rsidRPr="003645BB">
        <w:t xml:space="preserve">. </w:t>
      </w:r>
      <w:r w:rsidR="009E32CE" w:rsidRPr="003645BB">
        <w:t xml:space="preserve">Se la maggior parte sono senza dubbio “fortunati”, </w:t>
      </w:r>
      <w:r w:rsidR="00FB39D9">
        <w:t xml:space="preserve">nel 2018 </w:t>
      </w:r>
      <w:r w:rsidR="0000732D">
        <w:t>c’era</w:t>
      </w:r>
      <w:r w:rsidR="00220CA7" w:rsidRPr="003645BB">
        <w:t xml:space="preserve"> comunque l’11,4%</w:t>
      </w:r>
      <w:r w:rsidR="00F22ED2" w:rsidRPr="003645BB">
        <w:t xml:space="preserve">, pari a quasi 2.650.000 famiglie, </w:t>
      </w:r>
      <w:r w:rsidR="0000732D">
        <w:t>che non disponeva</w:t>
      </w:r>
      <w:r w:rsidR="00220CA7" w:rsidRPr="003645BB">
        <w:t xml:space="preserve"> di questi</w:t>
      </w:r>
      <w:r w:rsidR="00220CA7">
        <w:t xml:space="preserve"> “benefit”. </w:t>
      </w:r>
    </w:p>
    <w:p w:rsidR="00A03FD5" w:rsidRPr="00EC4313" w:rsidRDefault="00A03FD5" w:rsidP="00A03FD5">
      <w:pPr>
        <w:spacing w:after="0"/>
        <w:ind w:right="49"/>
        <w:jc w:val="both"/>
        <w:rPr>
          <w:rFonts w:cstheme="minorHAnsi"/>
          <w:b/>
          <w:sz w:val="18"/>
          <w:szCs w:val="18"/>
        </w:rPr>
      </w:pPr>
      <w:r w:rsidRPr="00EC4313">
        <w:rPr>
          <w:rFonts w:cstheme="minorHAnsi"/>
          <w:b/>
          <w:color w:val="000000" w:themeColor="text1"/>
          <w:sz w:val="18"/>
          <w:szCs w:val="18"/>
        </w:rPr>
        <w:t>Abitare Co.</w:t>
      </w:r>
      <w:r w:rsidRPr="00EC4313">
        <w:rPr>
          <w:rFonts w:cstheme="minorHAnsi"/>
          <w:color w:val="000000" w:themeColor="text1"/>
          <w:sz w:val="18"/>
          <w:szCs w:val="18"/>
        </w:rPr>
        <w:t xml:space="preserve"> nasce nel 1997 dall’esperienza quarantennale maturata nell’ambito immobiliare dai tre soci fondatori. Dopo oltre 20 anni di attività nell’ambito delle vendite immobiliari, con una particolare attenzione all’edilizia residenziale e di nuova costruzione, Abitare Co. è presente in Lombardia capillarmente con 15 uffici e, ad oggi, gestisce la vendita di soluzioni abitative di oltre 50 cantieri sul territorio milanese, di cui 10 dislocati nell’Hinterland. </w:t>
      </w:r>
    </w:p>
    <w:p w:rsidR="0078256D" w:rsidRDefault="0078256D" w:rsidP="00A03FD5">
      <w:pPr>
        <w:tabs>
          <w:tab w:val="left" w:pos="9639"/>
        </w:tabs>
        <w:spacing w:after="120" w:line="240" w:lineRule="auto"/>
        <w:ind w:right="-1"/>
        <w:jc w:val="both"/>
        <w:rPr>
          <w:rFonts w:cstheme="minorHAnsi"/>
          <w:b/>
          <w:bCs/>
          <w:sz w:val="18"/>
          <w:szCs w:val="18"/>
        </w:rPr>
      </w:pPr>
    </w:p>
    <w:sectPr w:rsidR="0078256D" w:rsidSect="00D767D2">
      <w:headerReference w:type="default" r:id="rId8"/>
      <w:footerReference w:type="default" r:id="rId9"/>
      <w:pgSz w:w="12240" w:h="15840"/>
      <w:pgMar w:top="993" w:right="1134" w:bottom="851" w:left="1134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AC2E6" w16cex:dateUtc="2020-04-10T08:03:00Z"/>
  <w16cex:commentExtensible w16cex:durableId="224012EA" w16cex:dateUtc="2020-04-14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6704D8" w16cid:durableId="223ABE83"/>
  <w16cid:commentId w16cid:paraId="330D3311" w16cid:durableId="223AC2E6"/>
  <w16cid:commentId w16cid:paraId="5E5BA960" w16cid:durableId="224012E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218" w:rsidRDefault="003F1218" w:rsidP="00A97351">
      <w:pPr>
        <w:spacing w:after="0" w:line="240" w:lineRule="auto"/>
      </w:pPr>
      <w:r>
        <w:separator/>
      </w:r>
    </w:p>
  </w:endnote>
  <w:endnote w:type="continuationSeparator" w:id="0">
    <w:p w:rsidR="003F1218" w:rsidRDefault="003F1218" w:rsidP="00A9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A9" w:rsidRDefault="004A72A9" w:rsidP="00287264">
    <w:pPr>
      <w:spacing w:after="0"/>
      <w:ind w:left="426"/>
      <w:rPr>
        <w:rFonts w:ascii="Segoe UI" w:eastAsia="Calibri" w:hAnsi="Segoe UI" w:cs="Segoe UI"/>
        <w:b/>
        <w:sz w:val="14"/>
        <w:szCs w:val="14"/>
      </w:rPr>
    </w:pPr>
    <w:bookmarkStart w:id="0" w:name="OLE_LINK3"/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5156835</wp:posOffset>
          </wp:positionH>
          <wp:positionV relativeFrom="margin">
            <wp:posOffset>8323580</wp:posOffset>
          </wp:positionV>
          <wp:extent cx="1143000" cy="590550"/>
          <wp:effectExtent l="0" t="0" r="0" b="0"/>
          <wp:wrapSquare wrapText="bothSides"/>
          <wp:docPr id="3" name="Immagine 3" descr="cid:image001.jpg@01D3C079.A5603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3C079.A5603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  <w:p w:rsidR="004A72A9" w:rsidRPr="000468FD" w:rsidRDefault="004A72A9" w:rsidP="00287264">
    <w:pPr>
      <w:spacing w:after="0"/>
      <w:ind w:left="426"/>
      <w:rPr>
        <w:rFonts w:ascii="Segoe UI" w:eastAsia="Calibri" w:hAnsi="Segoe UI" w:cs="Segoe UI"/>
        <w:b/>
        <w:sz w:val="14"/>
        <w:szCs w:val="14"/>
      </w:rPr>
    </w:pPr>
  </w:p>
  <w:p w:rsidR="004A72A9" w:rsidRPr="000468FD" w:rsidRDefault="004A72A9" w:rsidP="00287264">
    <w:pPr>
      <w:pStyle w:val="Pidipagina"/>
      <w:ind w:left="426"/>
      <w:rPr>
        <w:rFonts w:ascii="Kartika" w:hAnsi="Kartika" w:cs="Kartika"/>
        <w:lang w:val="it-IT"/>
      </w:rPr>
    </w:pPr>
  </w:p>
  <w:p w:rsidR="004A72A9" w:rsidRPr="00287264" w:rsidRDefault="004A72A9" w:rsidP="00287264">
    <w:pPr>
      <w:pStyle w:val="Pidipagina"/>
      <w:ind w:left="426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218" w:rsidRDefault="003F1218" w:rsidP="00A97351">
      <w:pPr>
        <w:spacing w:after="0" w:line="240" w:lineRule="auto"/>
      </w:pPr>
      <w:r>
        <w:separator/>
      </w:r>
    </w:p>
  </w:footnote>
  <w:footnote w:type="continuationSeparator" w:id="0">
    <w:p w:rsidR="003F1218" w:rsidRDefault="003F1218" w:rsidP="00A97351">
      <w:pPr>
        <w:spacing w:after="0" w:line="240" w:lineRule="auto"/>
      </w:pPr>
      <w:r>
        <w:continuationSeparator/>
      </w:r>
    </w:p>
  </w:footnote>
  <w:footnote w:id="1">
    <w:p w:rsidR="00AB42B5" w:rsidRPr="00A16483" w:rsidRDefault="00AB42B5" w:rsidP="00AB42B5">
      <w:pPr>
        <w:pStyle w:val="Testonotaapidipagina"/>
        <w:rPr>
          <w:sz w:val="16"/>
          <w:szCs w:val="16"/>
        </w:rPr>
      </w:pPr>
      <w:r w:rsidRPr="00A16483">
        <w:rPr>
          <w:rStyle w:val="Rimandonotaapidipagina"/>
          <w:sz w:val="16"/>
          <w:szCs w:val="16"/>
        </w:rPr>
        <w:footnoteRef/>
      </w:r>
      <w:r w:rsidRPr="00A16483">
        <w:rPr>
          <w:sz w:val="16"/>
          <w:szCs w:val="16"/>
        </w:rPr>
        <w:t xml:space="preserve"> Agenzia delle Entrate: report «Gli Immobili in Italia» 2019 </w:t>
      </w:r>
    </w:p>
  </w:footnote>
  <w:footnote w:id="2">
    <w:p w:rsidR="00FB39D9" w:rsidRPr="00A16483" w:rsidRDefault="00FB39D9" w:rsidP="00FB39D9">
      <w:pPr>
        <w:pStyle w:val="Testonotaapidipagina"/>
        <w:rPr>
          <w:sz w:val="16"/>
          <w:szCs w:val="16"/>
        </w:rPr>
      </w:pPr>
      <w:r w:rsidRPr="00A16483">
        <w:rPr>
          <w:sz w:val="16"/>
          <w:szCs w:val="16"/>
          <w:vertAlign w:val="superscript"/>
        </w:rPr>
        <w:footnoteRef/>
      </w:r>
      <w:r w:rsidRPr="00A16483">
        <w:rPr>
          <w:sz w:val="16"/>
          <w:szCs w:val="16"/>
        </w:rPr>
        <w:t xml:space="preserve"> Istat - Censimento Popolazione e abitazioni 2011</w:t>
      </w:r>
    </w:p>
  </w:footnote>
  <w:footnote w:id="3">
    <w:p w:rsidR="00FB39D9" w:rsidRPr="00A16483" w:rsidRDefault="00FB39D9" w:rsidP="00FB39D9">
      <w:pPr>
        <w:pStyle w:val="Testonotaapidipagina"/>
        <w:rPr>
          <w:sz w:val="16"/>
          <w:szCs w:val="16"/>
        </w:rPr>
      </w:pPr>
      <w:r w:rsidRPr="00A16483">
        <w:rPr>
          <w:sz w:val="16"/>
          <w:szCs w:val="16"/>
          <w:vertAlign w:val="superscript"/>
        </w:rPr>
        <w:footnoteRef/>
      </w:r>
      <w:r w:rsidRPr="00A16483">
        <w:rPr>
          <w:sz w:val="16"/>
          <w:szCs w:val="16"/>
        </w:rPr>
        <w:t xml:space="preserve"> Istat - secondo Rapporto sugli SDGs - 2019</w:t>
      </w:r>
    </w:p>
  </w:footnote>
  <w:footnote w:id="4">
    <w:p w:rsidR="00DD73D2" w:rsidRPr="00A16483" w:rsidRDefault="00DD73D2" w:rsidP="00DD73D2">
      <w:pPr>
        <w:pStyle w:val="Testonotaapidipagina"/>
        <w:rPr>
          <w:sz w:val="16"/>
          <w:szCs w:val="16"/>
        </w:rPr>
      </w:pPr>
      <w:r w:rsidRPr="00A16483">
        <w:rPr>
          <w:sz w:val="16"/>
          <w:szCs w:val="16"/>
          <w:vertAlign w:val="superscript"/>
        </w:rPr>
        <w:footnoteRef/>
      </w:r>
      <w:r w:rsidRPr="00A16483">
        <w:rPr>
          <w:sz w:val="16"/>
          <w:szCs w:val="16"/>
        </w:rPr>
        <w:t xml:space="preserve"> Eurostat</w:t>
      </w:r>
    </w:p>
  </w:footnote>
  <w:footnote w:id="5">
    <w:p w:rsidR="00260C70" w:rsidRPr="00260C70" w:rsidRDefault="00260C70">
      <w:pPr>
        <w:pStyle w:val="Testonotaapidipagina"/>
      </w:pPr>
      <w:r w:rsidRPr="0075270D">
        <w:rPr>
          <w:rStyle w:val="Rimandonotaapidipagina"/>
        </w:rPr>
        <w:footnoteRef/>
      </w:r>
      <w:r w:rsidRPr="0075270D">
        <w:t xml:space="preserve"> </w:t>
      </w:r>
      <w:r w:rsidRPr="0075270D">
        <w:rPr>
          <w:sz w:val="16"/>
          <w:szCs w:val="16"/>
        </w:rPr>
        <w:t xml:space="preserve">Istat </w:t>
      </w:r>
      <w:r w:rsidR="00FB39D9" w:rsidRPr="0075270D">
        <w:rPr>
          <w:sz w:val="16"/>
          <w:szCs w:val="16"/>
        </w:rPr>
        <w:t>–</w:t>
      </w:r>
      <w:r w:rsidRPr="0075270D">
        <w:rPr>
          <w:sz w:val="16"/>
          <w:szCs w:val="16"/>
        </w:rPr>
        <w:t xml:space="preserve"> </w:t>
      </w:r>
      <w:r w:rsidR="00FB39D9" w:rsidRPr="0075270D">
        <w:rPr>
          <w:sz w:val="16"/>
          <w:szCs w:val="16"/>
        </w:rPr>
        <w:t>Indagine “Aspetti della vita quotidiana”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A9" w:rsidRDefault="004A72A9" w:rsidP="00604528">
    <w:pPr>
      <w:pStyle w:val="Intestazione"/>
      <w:jc w:val="center"/>
    </w:pPr>
    <w:r w:rsidRPr="007E1E1F">
      <w:rPr>
        <w:noProof/>
        <w:lang w:val="it-IT" w:eastAsia="it-IT"/>
      </w:rPr>
      <w:drawing>
        <wp:inline distT="0" distB="0" distL="0" distR="0">
          <wp:extent cx="2095500" cy="410718"/>
          <wp:effectExtent l="0" t="0" r="0" b="8890"/>
          <wp:docPr id="2" name="Immagine 2" descr="S:\CLIENTI\Abitare co\Logo\Abitare-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LIENTI\Abitare co\Logo\Abitare-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886" cy="41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242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E0A7A"/>
    <w:multiLevelType w:val="hybridMultilevel"/>
    <w:tmpl w:val="7FBA7BBA"/>
    <w:lvl w:ilvl="0" w:tplc="5EFA25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68A4"/>
    <w:multiLevelType w:val="hybridMultilevel"/>
    <w:tmpl w:val="2AD82B4A"/>
    <w:lvl w:ilvl="0" w:tplc="BFE8AB32">
      <w:numFmt w:val="bullet"/>
      <w:lvlText w:val="-"/>
      <w:lvlJc w:val="left"/>
      <w:pPr>
        <w:ind w:left="720" w:hanging="360"/>
      </w:pPr>
      <w:rPr>
        <w:rFonts w:ascii="Calibri" w:eastAsia="Calibri" w:hAnsi="Calibri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F5A"/>
    <w:multiLevelType w:val="hybridMultilevel"/>
    <w:tmpl w:val="3DEC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5C9"/>
    <w:multiLevelType w:val="hybridMultilevel"/>
    <w:tmpl w:val="3C7A8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17669"/>
    <w:multiLevelType w:val="hybridMultilevel"/>
    <w:tmpl w:val="CA6877E2"/>
    <w:lvl w:ilvl="0" w:tplc="3FEA76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B0F14"/>
    <w:multiLevelType w:val="hybridMultilevel"/>
    <w:tmpl w:val="4BD0C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12820"/>
    <w:multiLevelType w:val="hybridMultilevel"/>
    <w:tmpl w:val="ADE6F3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75EB"/>
    <w:multiLevelType w:val="hybridMultilevel"/>
    <w:tmpl w:val="528C5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15FD0"/>
    <w:multiLevelType w:val="hybridMultilevel"/>
    <w:tmpl w:val="35461D1E"/>
    <w:lvl w:ilvl="0" w:tplc="16DAE8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407CC"/>
    <w:multiLevelType w:val="hybridMultilevel"/>
    <w:tmpl w:val="A418D9C4"/>
    <w:lvl w:ilvl="0" w:tplc="E8326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12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A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26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0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61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A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E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8E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021A55"/>
    <w:multiLevelType w:val="hybridMultilevel"/>
    <w:tmpl w:val="D2188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B378B"/>
    <w:multiLevelType w:val="hybridMultilevel"/>
    <w:tmpl w:val="3B0C83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C613D"/>
    <w:multiLevelType w:val="hybridMultilevel"/>
    <w:tmpl w:val="3BA23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81D0E"/>
    <w:multiLevelType w:val="hybridMultilevel"/>
    <w:tmpl w:val="9790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548E7"/>
    <w:multiLevelType w:val="multilevel"/>
    <w:tmpl w:val="097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905F5"/>
    <w:multiLevelType w:val="hybridMultilevel"/>
    <w:tmpl w:val="8ABEFD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0C95"/>
    <w:multiLevelType w:val="hybridMultilevel"/>
    <w:tmpl w:val="A0A8E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FA4D9B"/>
    <w:multiLevelType w:val="hybridMultilevel"/>
    <w:tmpl w:val="FB1C204E"/>
    <w:lvl w:ilvl="0" w:tplc="CDC45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61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4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8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8A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C2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6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943796E"/>
    <w:multiLevelType w:val="hybridMultilevel"/>
    <w:tmpl w:val="73B0BFFA"/>
    <w:lvl w:ilvl="0" w:tplc="10063A6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D7B8D"/>
    <w:multiLevelType w:val="hybridMultilevel"/>
    <w:tmpl w:val="62549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A73CE"/>
    <w:multiLevelType w:val="hybridMultilevel"/>
    <w:tmpl w:val="90F0D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67C61"/>
    <w:multiLevelType w:val="hybridMultilevel"/>
    <w:tmpl w:val="D1DC8A9E"/>
    <w:lvl w:ilvl="0" w:tplc="5F4EB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8A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8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A7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4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8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8D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104CBE"/>
    <w:multiLevelType w:val="hybridMultilevel"/>
    <w:tmpl w:val="E580F87E"/>
    <w:lvl w:ilvl="0" w:tplc="4BD480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11850"/>
    <w:multiLevelType w:val="multilevel"/>
    <w:tmpl w:val="FA2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C3431D"/>
    <w:multiLevelType w:val="hybridMultilevel"/>
    <w:tmpl w:val="3D08AA5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>
    <w:nsid w:val="73EA2567"/>
    <w:multiLevelType w:val="hybridMultilevel"/>
    <w:tmpl w:val="EFB6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3B43"/>
    <w:multiLevelType w:val="hybridMultilevel"/>
    <w:tmpl w:val="3DD6AB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22044"/>
    <w:multiLevelType w:val="hybridMultilevel"/>
    <w:tmpl w:val="BA9A5F60"/>
    <w:lvl w:ilvl="0" w:tplc="A296C0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37C65"/>
    <w:multiLevelType w:val="hybridMultilevel"/>
    <w:tmpl w:val="C43E03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C5B94"/>
    <w:multiLevelType w:val="hybridMultilevel"/>
    <w:tmpl w:val="25A8E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9"/>
  </w:num>
  <w:num w:numId="4">
    <w:abstractNumId w:val="6"/>
  </w:num>
  <w:num w:numId="5">
    <w:abstractNumId w:val="27"/>
  </w:num>
  <w:num w:numId="6">
    <w:abstractNumId w:val="16"/>
  </w:num>
  <w:num w:numId="7">
    <w:abstractNumId w:val="12"/>
  </w:num>
  <w:num w:numId="8">
    <w:abstractNumId w:val="11"/>
  </w:num>
  <w:num w:numId="9">
    <w:abstractNumId w:val="7"/>
  </w:num>
  <w:num w:numId="10">
    <w:abstractNumId w:val="29"/>
  </w:num>
  <w:num w:numId="11">
    <w:abstractNumId w:val="5"/>
  </w:num>
  <w:num w:numId="12">
    <w:abstractNumId w:val="14"/>
  </w:num>
  <w:num w:numId="13">
    <w:abstractNumId w:val="30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5"/>
  </w:num>
  <w:num w:numId="17">
    <w:abstractNumId w:val="13"/>
  </w:num>
  <w:num w:numId="18">
    <w:abstractNumId w:val="20"/>
  </w:num>
  <w:num w:numId="19">
    <w:abstractNumId w:val="0"/>
  </w:num>
  <w:num w:numId="20">
    <w:abstractNumId w:val="18"/>
  </w:num>
  <w:num w:numId="21">
    <w:abstractNumId w:val="22"/>
  </w:num>
  <w:num w:numId="22">
    <w:abstractNumId w:val="28"/>
  </w:num>
  <w:num w:numId="23">
    <w:abstractNumId w:val="2"/>
  </w:num>
  <w:num w:numId="24">
    <w:abstractNumId w:val="8"/>
  </w:num>
  <w:num w:numId="25">
    <w:abstractNumId w:val="10"/>
  </w:num>
  <w:num w:numId="26">
    <w:abstractNumId w:val="21"/>
  </w:num>
  <w:num w:numId="27">
    <w:abstractNumId w:val="23"/>
  </w:num>
  <w:num w:numId="28">
    <w:abstractNumId w:val="3"/>
  </w:num>
  <w:num w:numId="29">
    <w:abstractNumId w:val="1"/>
  </w:num>
  <w:num w:numId="30">
    <w:abstractNumId w:val="9"/>
  </w:num>
  <w:num w:numId="31">
    <w:abstractNumId w:val="1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97351"/>
    <w:rsid w:val="000009F9"/>
    <w:rsid w:val="00003177"/>
    <w:rsid w:val="0000398F"/>
    <w:rsid w:val="00004C10"/>
    <w:rsid w:val="0000547D"/>
    <w:rsid w:val="00006420"/>
    <w:rsid w:val="0000732D"/>
    <w:rsid w:val="00007AFC"/>
    <w:rsid w:val="000105E0"/>
    <w:rsid w:val="00013E9F"/>
    <w:rsid w:val="000156FA"/>
    <w:rsid w:val="00020963"/>
    <w:rsid w:val="00024F9A"/>
    <w:rsid w:val="0002538D"/>
    <w:rsid w:val="00025786"/>
    <w:rsid w:val="0002677A"/>
    <w:rsid w:val="00026878"/>
    <w:rsid w:val="00026EF4"/>
    <w:rsid w:val="00032623"/>
    <w:rsid w:val="0003331B"/>
    <w:rsid w:val="0003564D"/>
    <w:rsid w:val="00035D96"/>
    <w:rsid w:val="000468FD"/>
    <w:rsid w:val="00050CCD"/>
    <w:rsid w:val="00053A7F"/>
    <w:rsid w:val="00055128"/>
    <w:rsid w:val="00061E56"/>
    <w:rsid w:val="000660DF"/>
    <w:rsid w:val="00072FAC"/>
    <w:rsid w:val="000739D5"/>
    <w:rsid w:val="00076E0D"/>
    <w:rsid w:val="00082B1B"/>
    <w:rsid w:val="0008443F"/>
    <w:rsid w:val="000909A5"/>
    <w:rsid w:val="000A3202"/>
    <w:rsid w:val="000B32A7"/>
    <w:rsid w:val="000B5D82"/>
    <w:rsid w:val="000B7810"/>
    <w:rsid w:val="000C272C"/>
    <w:rsid w:val="000C318A"/>
    <w:rsid w:val="000C6FE9"/>
    <w:rsid w:val="000D6E12"/>
    <w:rsid w:val="000D7F1A"/>
    <w:rsid w:val="000E0F70"/>
    <w:rsid w:val="000E3C7D"/>
    <w:rsid w:val="000E7C64"/>
    <w:rsid w:val="000F6229"/>
    <w:rsid w:val="000F6347"/>
    <w:rsid w:val="000F7044"/>
    <w:rsid w:val="00100E4D"/>
    <w:rsid w:val="00101193"/>
    <w:rsid w:val="00101CC1"/>
    <w:rsid w:val="00104219"/>
    <w:rsid w:val="00106A7A"/>
    <w:rsid w:val="00106EE4"/>
    <w:rsid w:val="00112320"/>
    <w:rsid w:val="00113CDC"/>
    <w:rsid w:val="00114A0F"/>
    <w:rsid w:val="00120ABF"/>
    <w:rsid w:val="00121924"/>
    <w:rsid w:val="001237C3"/>
    <w:rsid w:val="001237E0"/>
    <w:rsid w:val="00125452"/>
    <w:rsid w:val="00136DF9"/>
    <w:rsid w:val="00144564"/>
    <w:rsid w:val="00145198"/>
    <w:rsid w:val="001466CA"/>
    <w:rsid w:val="001563C2"/>
    <w:rsid w:val="0016358A"/>
    <w:rsid w:val="00165649"/>
    <w:rsid w:val="00165FAA"/>
    <w:rsid w:val="00172486"/>
    <w:rsid w:val="001727A6"/>
    <w:rsid w:val="001734DB"/>
    <w:rsid w:val="00174F0B"/>
    <w:rsid w:val="00183065"/>
    <w:rsid w:val="001831E6"/>
    <w:rsid w:val="00190B4C"/>
    <w:rsid w:val="00194217"/>
    <w:rsid w:val="001A0D7D"/>
    <w:rsid w:val="001A2361"/>
    <w:rsid w:val="001A3218"/>
    <w:rsid w:val="001A38F9"/>
    <w:rsid w:val="001A3BE9"/>
    <w:rsid w:val="001B12EF"/>
    <w:rsid w:val="001C028A"/>
    <w:rsid w:val="001C373C"/>
    <w:rsid w:val="001C54AE"/>
    <w:rsid w:val="001D302E"/>
    <w:rsid w:val="001D6AFC"/>
    <w:rsid w:val="001E19D7"/>
    <w:rsid w:val="001E2175"/>
    <w:rsid w:val="001E265D"/>
    <w:rsid w:val="001E3FED"/>
    <w:rsid w:val="001E750F"/>
    <w:rsid w:val="001F6266"/>
    <w:rsid w:val="0020121D"/>
    <w:rsid w:val="00205B3F"/>
    <w:rsid w:val="00215D6E"/>
    <w:rsid w:val="00220A67"/>
    <w:rsid w:val="00220CA7"/>
    <w:rsid w:val="002270D2"/>
    <w:rsid w:val="002274A7"/>
    <w:rsid w:val="00230D61"/>
    <w:rsid w:val="00235AF7"/>
    <w:rsid w:val="00243957"/>
    <w:rsid w:val="00245530"/>
    <w:rsid w:val="00252CDD"/>
    <w:rsid w:val="00253F30"/>
    <w:rsid w:val="00256968"/>
    <w:rsid w:val="00260C70"/>
    <w:rsid w:val="0026397D"/>
    <w:rsid w:val="00264DC5"/>
    <w:rsid w:val="002659B3"/>
    <w:rsid w:val="00265CCA"/>
    <w:rsid w:val="002660BF"/>
    <w:rsid w:val="00270006"/>
    <w:rsid w:val="00271B3E"/>
    <w:rsid w:val="00271DDF"/>
    <w:rsid w:val="00274E1B"/>
    <w:rsid w:val="002763F5"/>
    <w:rsid w:val="00276682"/>
    <w:rsid w:val="00277E39"/>
    <w:rsid w:val="0028054E"/>
    <w:rsid w:val="00281669"/>
    <w:rsid w:val="00282560"/>
    <w:rsid w:val="00283AB3"/>
    <w:rsid w:val="00287264"/>
    <w:rsid w:val="002929C0"/>
    <w:rsid w:val="002A0FA5"/>
    <w:rsid w:val="002A27A8"/>
    <w:rsid w:val="002B6861"/>
    <w:rsid w:val="002B6863"/>
    <w:rsid w:val="002B6D05"/>
    <w:rsid w:val="002B7642"/>
    <w:rsid w:val="002C1DB4"/>
    <w:rsid w:val="002C1E28"/>
    <w:rsid w:val="002C4A06"/>
    <w:rsid w:val="002C7651"/>
    <w:rsid w:val="002D0169"/>
    <w:rsid w:val="002D3361"/>
    <w:rsid w:val="002D69A2"/>
    <w:rsid w:val="002E13C8"/>
    <w:rsid w:val="002E6ED8"/>
    <w:rsid w:val="002E789F"/>
    <w:rsid w:val="002F15DE"/>
    <w:rsid w:val="002F1A3F"/>
    <w:rsid w:val="002F38F1"/>
    <w:rsid w:val="002F3917"/>
    <w:rsid w:val="002F6EE5"/>
    <w:rsid w:val="00302140"/>
    <w:rsid w:val="00303A1A"/>
    <w:rsid w:val="00307E1F"/>
    <w:rsid w:val="00310477"/>
    <w:rsid w:val="0032093C"/>
    <w:rsid w:val="00327EAE"/>
    <w:rsid w:val="003300B8"/>
    <w:rsid w:val="003319DF"/>
    <w:rsid w:val="003351CB"/>
    <w:rsid w:val="0033547C"/>
    <w:rsid w:val="0034581D"/>
    <w:rsid w:val="00346453"/>
    <w:rsid w:val="00350F1C"/>
    <w:rsid w:val="003527D2"/>
    <w:rsid w:val="00352DEB"/>
    <w:rsid w:val="00353C4C"/>
    <w:rsid w:val="003604B6"/>
    <w:rsid w:val="00360AD4"/>
    <w:rsid w:val="003645BB"/>
    <w:rsid w:val="00371DA8"/>
    <w:rsid w:val="00375559"/>
    <w:rsid w:val="003757BE"/>
    <w:rsid w:val="00377EA8"/>
    <w:rsid w:val="00381799"/>
    <w:rsid w:val="00381AE2"/>
    <w:rsid w:val="00383489"/>
    <w:rsid w:val="00386E57"/>
    <w:rsid w:val="00387206"/>
    <w:rsid w:val="00390481"/>
    <w:rsid w:val="00390D58"/>
    <w:rsid w:val="00391B6D"/>
    <w:rsid w:val="003A1B9C"/>
    <w:rsid w:val="003B2F2A"/>
    <w:rsid w:val="003C1691"/>
    <w:rsid w:val="003C3B4A"/>
    <w:rsid w:val="003C4CF1"/>
    <w:rsid w:val="003D1042"/>
    <w:rsid w:val="003D2CBC"/>
    <w:rsid w:val="003D5E95"/>
    <w:rsid w:val="003D7FEC"/>
    <w:rsid w:val="003E012C"/>
    <w:rsid w:val="003E12BA"/>
    <w:rsid w:val="003E3C1A"/>
    <w:rsid w:val="003E731A"/>
    <w:rsid w:val="003F03B2"/>
    <w:rsid w:val="003F1218"/>
    <w:rsid w:val="003F1272"/>
    <w:rsid w:val="003F24D2"/>
    <w:rsid w:val="003F499C"/>
    <w:rsid w:val="003F5545"/>
    <w:rsid w:val="004040DE"/>
    <w:rsid w:val="00414DD2"/>
    <w:rsid w:val="00415447"/>
    <w:rsid w:val="00415E2F"/>
    <w:rsid w:val="0042138A"/>
    <w:rsid w:val="00421B40"/>
    <w:rsid w:val="00424A74"/>
    <w:rsid w:val="00424BE2"/>
    <w:rsid w:val="0042503E"/>
    <w:rsid w:val="0043560F"/>
    <w:rsid w:val="00436C05"/>
    <w:rsid w:val="00437647"/>
    <w:rsid w:val="004401AC"/>
    <w:rsid w:val="00446193"/>
    <w:rsid w:val="00446A0B"/>
    <w:rsid w:val="00447626"/>
    <w:rsid w:val="00452770"/>
    <w:rsid w:val="00453A6A"/>
    <w:rsid w:val="004552DA"/>
    <w:rsid w:val="00462D28"/>
    <w:rsid w:val="00467A0A"/>
    <w:rsid w:val="00471B41"/>
    <w:rsid w:val="00472B7A"/>
    <w:rsid w:val="00475E7A"/>
    <w:rsid w:val="00477AD0"/>
    <w:rsid w:val="00481695"/>
    <w:rsid w:val="00481BF0"/>
    <w:rsid w:val="00496582"/>
    <w:rsid w:val="00496D35"/>
    <w:rsid w:val="004A0B2D"/>
    <w:rsid w:val="004A68D1"/>
    <w:rsid w:val="004A72A9"/>
    <w:rsid w:val="004B5370"/>
    <w:rsid w:val="004B7681"/>
    <w:rsid w:val="004C2B60"/>
    <w:rsid w:val="004D0048"/>
    <w:rsid w:val="004D06EF"/>
    <w:rsid w:val="004E206D"/>
    <w:rsid w:val="004E52F1"/>
    <w:rsid w:val="004E59A0"/>
    <w:rsid w:val="004E5A03"/>
    <w:rsid w:val="004E69D1"/>
    <w:rsid w:val="004F4E3D"/>
    <w:rsid w:val="004F5CFE"/>
    <w:rsid w:val="00500CE6"/>
    <w:rsid w:val="00503604"/>
    <w:rsid w:val="00507CFD"/>
    <w:rsid w:val="00514500"/>
    <w:rsid w:val="00517719"/>
    <w:rsid w:val="005266A8"/>
    <w:rsid w:val="0052742B"/>
    <w:rsid w:val="00527DBB"/>
    <w:rsid w:val="00527E24"/>
    <w:rsid w:val="00530002"/>
    <w:rsid w:val="00530571"/>
    <w:rsid w:val="0053259D"/>
    <w:rsid w:val="0053525D"/>
    <w:rsid w:val="00536209"/>
    <w:rsid w:val="00536DCF"/>
    <w:rsid w:val="0054157A"/>
    <w:rsid w:val="00541D13"/>
    <w:rsid w:val="00544938"/>
    <w:rsid w:val="005452E1"/>
    <w:rsid w:val="005454E9"/>
    <w:rsid w:val="00551B9B"/>
    <w:rsid w:val="005522AB"/>
    <w:rsid w:val="00555509"/>
    <w:rsid w:val="00560D7D"/>
    <w:rsid w:val="00565730"/>
    <w:rsid w:val="005712B0"/>
    <w:rsid w:val="00572967"/>
    <w:rsid w:val="005767FC"/>
    <w:rsid w:val="0058162E"/>
    <w:rsid w:val="0058364F"/>
    <w:rsid w:val="005956B9"/>
    <w:rsid w:val="005A05F3"/>
    <w:rsid w:val="005A643F"/>
    <w:rsid w:val="005B32CC"/>
    <w:rsid w:val="005B6E93"/>
    <w:rsid w:val="005C04E4"/>
    <w:rsid w:val="005C2FA6"/>
    <w:rsid w:val="005C4B3F"/>
    <w:rsid w:val="005C7D76"/>
    <w:rsid w:val="005D248B"/>
    <w:rsid w:val="005D2C82"/>
    <w:rsid w:val="005D7E76"/>
    <w:rsid w:val="005E2A11"/>
    <w:rsid w:val="005E365F"/>
    <w:rsid w:val="005E4701"/>
    <w:rsid w:val="005F77D8"/>
    <w:rsid w:val="0060012D"/>
    <w:rsid w:val="00600D84"/>
    <w:rsid w:val="0060165F"/>
    <w:rsid w:val="00603579"/>
    <w:rsid w:val="00603AEA"/>
    <w:rsid w:val="006041B2"/>
    <w:rsid w:val="0060443B"/>
    <w:rsid w:val="00604528"/>
    <w:rsid w:val="006069BA"/>
    <w:rsid w:val="00612426"/>
    <w:rsid w:val="006144A2"/>
    <w:rsid w:val="006149AE"/>
    <w:rsid w:val="00616FEB"/>
    <w:rsid w:val="00621572"/>
    <w:rsid w:val="006308AB"/>
    <w:rsid w:val="006328F0"/>
    <w:rsid w:val="006351AC"/>
    <w:rsid w:val="00637281"/>
    <w:rsid w:val="00641077"/>
    <w:rsid w:val="006465A7"/>
    <w:rsid w:val="00647B02"/>
    <w:rsid w:val="0065355B"/>
    <w:rsid w:val="00655055"/>
    <w:rsid w:val="006567B7"/>
    <w:rsid w:val="0065681A"/>
    <w:rsid w:val="0066192C"/>
    <w:rsid w:val="00662193"/>
    <w:rsid w:val="00664002"/>
    <w:rsid w:val="0066414C"/>
    <w:rsid w:val="006641FB"/>
    <w:rsid w:val="0066610E"/>
    <w:rsid w:val="0067049D"/>
    <w:rsid w:val="00672A7A"/>
    <w:rsid w:val="006738EE"/>
    <w:rsid w:val="0067586F"/>
    <w:rsid w:val="00675B6E"/>
    <w:rsid w:val="006800A8"/>
    <w:rsid w:val="006823BE"/>
    <w:rsid w:val="0069130E"/>
    <w:rsid w:val="00691925"/>
    <w:rsid w:val="00693ED5"/>
    <w:rsid w:val="00696407"/>
    <w:rsid w:val="006A6340"/>
    <w:rsid w:val="006A65EE"/>
    <w:rsid w:val="006B04CB"/>
    <w:rsid w:val="006C2BB5"/>
    <w:rsid w:val="006D6051"/>
    <w:rsid w:val="006E1742"/>
    <w:rsid w:val="006E3EB1"/>
    <w:rsid w:val="006E769A"/>
    <w:rsid w:val="006E7B5C"/>
    <w:rsid w:val="006F21FB"/>
    <w:rsid w:val="006F5061"/>
    <w:rsid w:val="007010BF"/>
    <w:rsid w:val="00702335"/>
    <w:rsid w:val="00703FE5"/>
    <w:rsid w:val="00710514"/>
    <w:rsid w:val="00712F21"/>
    <w:rsid w:val="0071510F"/>
    <w:rsid w:val="007202E9"/>
    <w:rsid w:val="00721114"/>
    <w:rsid w:val="007229DB"/>
    <w:rsid w:val="0072344F"/>
    <w:rsid w:val="00725137"/>
    <w:rsid w:val="00727A2B"/>
    <w:rsid w:val="00735F8F"/>
    <w:rsid w:val="00746E85"/>
    <w:rsid w:val="00750012"/>
    <w:rsid w:val="00750107"/>
    <w:rsid w:val="00751006"/>
    <w:rsid w:val="0075270D"/>
    <w:rsid w:val="00752862"/>
    <w:rsid w:val="007550DE"/>
    <w:rsid w:val="00760473"/>
    <w:rsid w:val="00761397"/>
    <w:rsid w:val="0077009B"/>
    <w:rsid w:val="00773130"/>
    <w:rsid w:val="007742BD"/>
    <w:rsid w:val="007749E5"/>
    <w:rsid w:val="0078155C"/>
    <w:rsid w:val="0078256D"/>
    <w:rsid w:val="00785C6F"/>
    <w:rsid w:val="007875F5"/>
    <w:rsid w:val="0079209F"/>
    <w:rsid w:val="00792653"/>
    <w:rsid w:val="00792F1F"/>
    <w:rsid w:val="007A63D5"/>
    <w:rsid w:val="007B5F3E"/>
    <w:rsid w:val="007C092E"/>
    <w:rsid w:val="007C2915"/>
    <w:rsid w:val="007C3C80"/>
    <w:rsid w:val="007C3D67"/>
    <w:rsid w:val="007C4AC7"/>
    <w:rsid w:val="007C5B78"/>
    <w:rsid w:val="007D197E"/>
    <w:rsid w:val="007D1E44"/>
    <w:rsid w:val="007D2302"/>
    <w:rsid w:val="007D33DE"/>
    <w:rsid w:val="007D49C3"/>
    <w:rsid w:val="007D5877"/>
    <w:rsid w:val="007D645D"/>
    <w:rsid w:val="007E1053"/>
    <w:rsid w:val="007E1592"/>
    <w:rsid w:val="007E1E1F"/>
    <w:rsid w:val="007E278A"/>
    <w:rsid w:val="007E42D8"/>
    <w:rsid w:val="007F0F4F"/>
    <w:rsid w:val="007F7DD5"/>
    <w:rsid w:val="00802632"/>
    <w:rsid w:val="0081237B"/>
    <w:rsid w:val="0082083E"/>
    <w:rsid w:val="00821153"/>
    <w:rsid w:val="00822E49"/>
    <w:rsid w:val="00823A9C"/>
    <w:rsid w:val="00825588"/>
    <w:rsid w:val="00831C03"/>
    <w:rsid w:val="00831F96"/>
    <w:rsid w:val="00832FDB"/>
    <w:rsid w:val="008362E6"/>
    <w:rsid w:val="00841526"/>
    <w:rsid w:val="008435DD"/>
    <w:rsid w:val="00846605"/>
    <w:rsid w:val="00854F5D"/>
    <w:rsid w:val="00856C16"/>
    <w:rsid w:val="00863013"/>
    <w:rsid w:val="00866321"/>
    <w:rsid w:val="00870582"/>
    <w:rsid w:val="00871F62"/>
    <w:rsid w:val="00872ADA"/>
    <w:rsid w:val="00874EA4"/>
    <w:rsid w:val="00876058"/>
    <w:rsid w:val="00886111"/>
    <w:rsid w:val="00886DC9"/>
    <w:rsid w:val="00890DB5"/>
    <w:rsid w:val="00891C45"/>
    <w:rsid w:val="008940F3"/>
    <w:rsid w:val="00894D75"/>
    <w:rsid w:val="008972F4"/>
    <w:rsid w:val="00897A44"/>
    <w:rsid w:val="008A7008"/>
    <w:rsid w:val="008A7367"/>
    <w:rsid w:val="008A7780"/>
    <w:rsid w:val="008B00F5"/>
    <w:rsid w:val="008C153B"/>
    <w:rsid w:val="008C5C2F"/>
    <w:rsid w:val="008D531B"/>
    <w:rsid w:val="008D7EEA"/>
    <w:rsid w:val="008E040E"/>
    <w:rsid w:val="008E5D80"/>
    <w:rsid w:val="008E6A3F"/>
    <w:rsid w:val="008F000F"/>
    <w:rsid w:val="008F1E87"/>
    <w:rsid w:val="008F21FF"/>
    <w:rsid w:val="008F3804"/>
    <w:rsid w:val="008F3A56"/>
    <w:rsid w:val="0090089E"/>
    <w:rsid w:val="00906529"/>
    <w:rsid w:val="00907A8B"/>
    <w:rsid w:val="00916BF8"/>
    <w:rsid w:val="00923226"/>
    <w:rsid w:val="00923F0A"/>
    <w:rsid w:val="00927563"/>
    <w:rsid w:val="00932B2F"/>
    <w:rsid w:val="00934D32"/>
    <w:rsid w:val="00934E3D"/>
    <w:rsid w:val="0093745C"/>
    <w:rsid w:val="00941585"/>
    <w:rsid w:val="009437C3"/>
    <w:rsid w:val="0094383F"/>
    <w:rsid w:val="00946424"/>
    <w:rsid w:val="009518D5"/>
    <w:rsid w:val="00954036"/>
    <w:rsid w:val="00956265"/>
    <w:rsid w:val="00957678"/>
    <w:rsid w:val="00962F63"/>
    <w:rsid w:val="00964449"/>
    <w:rsid w:val="0096494E"/>
    <w:rsid w:val="00966310"/>
    <w:rsid w:val="009669EF"/>
    <w:rsid w:val="00967A9B"/>
    <w:rsid w:val="009710DE"/>
    <w:rsid w:val="009803AE"/>
    <w:rsid w:val="0098193F"/>
    <w:rsid w:val="00985C4B"/>
    <w:rsid w:val="00985EBB"/>
    <w:rsid w:val="009A6D36"/>
    <w:rsid w:val="009A6F51"/>
    <w:rsid w:val="009B2977"/>
    <w:rsid w:val="009B705E"/>
    <w:rsid w:val="009C0D98"/>
    <w:rsid w:val="009C21BD"/>
    <w:rsid w:val="009C7A79"/>
    <w:rsid w:val="009D1D22"/>
    <w:rsid w:val="009E205D"/>
    <w:rsid w:val="009E32CE"/>
    <w:rsid w:val="009E6BD1"/>
    <w:rsid w:val="009F5867"/>
    <w:rsid w:val="009F5D64"/>
    <w:rsid w:val="00A03FD5"/>
    <w:rsid w:val="00A07D52"/>
    <w:rsid w:val="00A109D6"/>
    <w:rsid w:val="00A14505"/>
    <w:rsid w:val="00A16483"/>
    <w:rsid w:val="00A16B78"/>
    <w:rsid w:val="00A2060D"/>
    <w:rsid w:val="00A20ADA"/>
    <w:rsid w:val="00A21385"/>
    <w:rsid w:val="00A3083D"/>
    <w:rsid w:val="00A356D8"/>
    <w:rsid w:val="00A4077C"/>
    <w:rsid w:val="00A40E19"/>
    <w:rsid w:val="00A433F8"/>
    <w:rsid w:val="00A5222F"/>
    <w:rsid w:val="00A608AF"/>
    <w:rsid w:val="00A60977"/>
    <w:rsid w:val="00A643CA"/>
    <w:rsid w:val="00A67034"/>
    <w:rsid w:val="00A7305A"/>
    <w:rsid w:val="00A750F7"/>
    <w:rsid w:val="00A76AAC"/>
    <w:rsid w:val="00A812AF"/>
    <w:rsid w:val="00A81398"/>
    <w:rsid w:val="00A860D1"/>
    <w:rsid w:val="00A861BB"/>
    <w:rsid w:val="00A9446A"/>
    <w:rsid w:val="00A946D9"/>
    <w:rsid w:val="00A94C93"/>
    <w:rsid w:val="00A94D32"/>
    <w:rsid w:val="00A95039"/>
    <w:rsid w:val="00A97351"/>
    <w:rsid w:val="00AA3C1E"/>
    <w:rsid w:val="00AA50CB"/>
    <w:rsid w:val="00AB42B5"/>
    <w:rsid w:val="00AB5087"/>
    <w:rsid w:val="00AB5918"/>
    <w:rsid w:val="00AC177D"/>
    <w:rsid w:val="00AC19E4"/>
    <w:rsid w:val="00AC31B2"/>
    <w:rsid w:val="00AC4D26"/>
    <w:rsid w:val="00AC53DD"/>
    <w:rsid w:val="00AC66BB"/>
    <w:rsid w:val="00AC7328"/>
    <w:rsid w:val="00AD036D"/>
    <w:rsid w:val="00AD58DA"/>
    <w:rsid w:val="00AD5B4F"/>
    <w:rsid w:val="00AE118D"/>
    <w:rsid w:val="00AE51DF"/>
    <w:rsid w:val="00AF1A06"/>
    <w:rsid w:val="00AF3B9A"/>
    <w:rsid w:val="00AF45D2"/>
    <w:rsid w:val="00AF77A9"/>
    <w:rsid w:val="00B00629"/>
    <w:rsid w:val="00B00C74"/>
    <w:rsid w:val="00B01919"/>
    <w:rsid w:val="00B06D2F"/>
    <w:rsid w:val="00B07511"/>
    <w:rsid w:val="00B07745"/>
    <w:rsid w:val="00B11AAF"/>
    <w:rsid w:val="00B14F14"/>
    <w:rsid w:val="00B15490"/>
    <w:rsid w:val="00B2188D"/>
    <w:rsid w:val="00B221C6"/>
    <w:rsid w:val="00B26527"/>
    <w:rsid w:val="00B26859"/>
    <w:rsid w:val="00B27A26"/>
    <w:rsid w:val="00B341DF"/>
    <w:rsid w:val="00B34230"/>
    <w:rsid w:val="00B35CAE"/>
    <w:rsid w:val="00B400D4"/>
    <w:rsid w:val="00B4120D"/>
    <w:rsid w:val="00B43418"/>
    <w:rsid w:val="00B50F1A"/>
    <w:rsid w:val="00B51FEB"/>
    <w:rsid w:val="00B52BD8"/>
    <w:rsid w:val="00B53139"/>
    <w:rsid w:val="00B55CD8"/>
    <w:rsid w:val="00B60CDB"/>
    <w:rsid w:val="00B61BD1"/>
    <w:rsid w:val="00B63767"/>
    <w:rsid w:val="00B64448"/>
    <w:rsid w:val="00B70FB4"/>
    <w:rsid w:val="00B7330D"/>
    <w:rsid w:val="00B7428E"/>
    <w:rsid w:val="00B8041A"/>
    <w:rsid w:val="00B833B0"/>
    <w:rsid w:val="00B85E54"/>
    <w:rsid w:val="00B928B9"/>
    <w:rsid w:val="00BA4D58"/>
    <w:rsid w:val="00BA68DB"/>
    <w:rsid w:val="00BC1F78"/>
    <w:rsid w:val="00BC4D80"/>
    <w:rsid w:val="00BC5F5F"/>
    <w:rsid w:val="00BC6892"/>
    <w:rsid w:val="00BD3362"/>
    <w:rsid w:val="00BD5B8D"/>
    <w:rsid w:val="00BD7D40"/>
    <w:rsid w:val="00BE5C4B"/>
    <w:rsid w:val="00BE6272"/>
    <w:rsid w:val="00BE7986"/>
    <w:rsid w:val="00BF0EA8"/>
    <w:rsid w:val="00C01C6F"/>
    <w:rsid w:val="00C03095"/>
    <w:rsid w:val="00C1040F"/>
    <w:rsid w:val="00C106FC"/>
    <w:rsid w:val="00C11553"/>
    <w:rsid w:val="00C1665B"/>
    <w:rsid w:val="00C173E3"/>
    <w:rsid w:val="00C20205"/>
    <w:rsid w:val="00C22D47"/>
    <w:rsid w:val="00C23C7D"/>
    <w:rsid w:val="00C23F61"/>
    <w:rsid w:val="00C259EA"/>
    <w:rsid w:val="00C31A87"/>
    <w:rsid w:val="00C34778"/>
    <w:rsid w:val="00C36678"/>
    <w:rsid w:val="00C36CBA"/>
    <w:rsid w:val="00C41AEC"/>
    <w:rsid w:val="00C4345D"/>
    <w:rsid w:val="00C443C4"/>
    <w:rsid w:val="00C6449F"/>
    <w:rsid w:val="00C67A41"/>
    <w:rsid w:val="00C70EA1"/>
    <w:rsid w:val="00C7212A"/>
    <w:rsid w:val="00C77CFA"/>
    <w:rsid w:val="00C85E3E"/>
    <w:rsid w:val="00C8631A"/>
    <w:rsid w:val="00C936E3"/>
    <w:rsid w:val="00C9653C"/>
    <w:rsid w:val="00C96BA2"/>
    <w:rsid w:val="00CA30D9"/>
    <w:rsid w:val="00CA3653"/>
    <w:rsid w:val="00CB564B"/>
    <w:rsid w:val="00CC0A1B"/>
    <w:rsid w:val="00CC343B"/>
    <w:rsid w:val="00CC6B55"/>
    <w:rsid w:val="00CD439A"/>
    <w:rsid w:val="00CD560C"/>
    <w:rsid w:val="00CD578D"/>
    <w:rsid w:val="00CE0A74"/>
    <w:rsid w:val="00CE169E"/>
    <w:rsid w:val="00CE357D"/>
    <w:rsid w:val="00CE6964"/>
    <w:rsid w:val="00CE6AAF"/>
    <w:rsid w:val="00CF11B2"/>
    <w:rsid w:val="00CF7EA4"/>
    <w:rsid w:val="00D11495"/>
    <w:rsid w:val="00D13DD8"/>
    <w:rsid w:val="00D152E1"/>
    <w:rsid w:val="00D15362"/>
    <w:rsid w:val="00D174CB"/>
    <w:rsid w:val="00D25859"/>
    <w:rsid w:val="00D30C49"/>
    <w:rsid w:val="00D40742"/>
    <w:rsid w:val="00D41536"/>
    <w:rsid w:val="00D42365"/>
    <w:rsid w:val="00D42D18"/>
    <w:rsid w:val="00D45028"/>
    <w:rsid w:val="00D45F2C"/>
    <w:rsid w:val="00D6219D"/>
    <w:rsid w:val="00D64183"/>
    <w:rsid w:val="00D7026A"/>
    <w:rsid w:val="00D75FB6"/>
    <w:rsid w:val="00D76379"/>
    <w:rsid w:val="00D767D2"/>
    <w:rsid w:val="00D84F57"/>
    <w:rsid w:val="00D86F9A"/>
    <w:rsid w:val="00D911DA"/>
    <w:rsid w:val="00D912B3"/>
    <w:rsid w:val="00DA1DC0"/>
    <w:rsid w:val="00DA2C1B"/>
    <w:rsid w:val="00DA2D93"/>
    <w:rsid w:val="00DA4A66"/>
    <w:rsid w:val="00DB044E"/>
    <w:rsid w:val="00DB383E"/>
    <w:rsid w:val="00DB47F9"/>
    <w:rsid w:val="00DC0BCE"/>
    <w:rsid w:val="00DC2EC0"/>
    <w:rsid w:val="00DC45E5"/>
    <w:rsid w:val="00DC668B"/>
    <w:rsid w:val="00DC7D2D"/>
    <w:rsid w:val="00DD01BA"/>
    <w:rsid w:val="00DD3D5C"/>
    <w:rsid w:val="00DD73D2"/>
    <w:rsid w:val="00DE5A95"/>
    <w:rsid w:val="00DE6196"/>
    <w:rsid w:val="00DE7E17"/>
    <w:rsid w:val="00DF07F4"/>
    <w:rsid w:val="00DF1396"/>
    <w:rsid w:val="00DF19D4"/>
    <w:rsid w:val="00DF1F5B"/>
    <w:rsid w:val="00DF2550"/>
    <w:rsid w:val="00DF4809"/>
    <w:rsid w:val="00DF7978"/>
    <w:rsid w:val="00E04350"/>
    <w:rsid w:val="00E110DE"/>
    <w:rsid w:val="00E1127F"/>
    <w:rsid w:val="00E1155E"/>
    <w:rsid w:val="00E134EA"/>
    <w:rsid w:val="00E4416F"/>
    <w:rsid w:val="00E47874"/>
    <w:rsid w:val="00E54376"/>
    <w:rsid w:val="00E56438"/>
    <w:rsid w:val="00E61DE1"/>
    <w:rsid w:val="00E678C9"/>
    <w:rsid w:val="00E77475"/>
    <w:rsid w:val="00E82AF3"/>
    <w:rsid w:val="00E87DDE"/>
    <w:rsid w:val="00E95BEA"/>
    <w:rsid w:val="00EA55E5"/>
    <w:rsid w:val="00EA5B54"/>
    <w:rsid w:val="00EB02B8"/>
    <w:rsid w:val="00EB0CD0"/>
    <w:rsid w:val="00EC4313"/>
    <w:rsid w:val="00EC4527"/>
    <w:rsid w:val="00EC64CD"/>
    <w:rsid w:val="00EC65EF"/>
    <w:rsid w:val="00EC6811"/>
    <w:rsid w:val="00EC7CF8"/>
    <w:rsid w:val="00EE15BF"/>
    <w:rsid w:val="00EE257D"/>
    <w:rsid w:val="00EE368C"/>
    <w:rsid w:val="00EE60A3"/>
    <w:rsid w:val="00EE6249"/>
    <w:rsid w:val="00EF0669"/>
    <w:rsid w:val="00EF22F5"/>
    <w:rsid w:val="00EF3C04"/>
    <w:rsid w:val="00EF42E9"/>
    <w:rsid w:val="00EF557A"/>
    <w:rsid w:val="00F011D3"/>
    <w:rsid w:val="00F0303C"/>
    <w:rsid w:val="00F14F88"/>
    <w:rsid w:val="00F22ED2"/>
    <w:rsid w:val="00F249A1"/>
    <w:rsid w:val="00F2565A"/>
    <w:rsid w:val="00F25DF0"/>
    <w:rsid w:val="00F267EE"/>
    <w:rsid w:val="00F30C82"/>
    <w:rsid w:val="00F30CE6"/>
    <w:rsid w:val="00F3134D"/>
    <w:rsid w:val="00F34522"/>
    <w:rsid w:val="00F43EFD"/>
    <w:rsid w:val="00F46655"/>
    <w:rsid w:val="00F479CF"/>
    <w:rsid w:val="00F50794"/>
    <w:rsid w:val="00F521A1"/>
    <w:rsid w:val="00F54226"/>
    <w:rsid w:val="00F54718"/>
    <w:rsid w:val="00F56885"/>
    <w:rsid w:val="00F62CCB"/>
    <w:rsid w:val="00F71620"/>
    <w:rsid w:val="00F72E35"/>
    <w:rsid w:val="00F85D2E"/>
    <w:rsid w:val="00F90BB6"/>
    <w:rsid w:val="00F9121A"/>
    <w:rsid w:val="00F92649"/>
    <w:rsid w:val="00F95480"/>
    <w:rsid w:val="00F95B12"/>
    <w:rsid w:val="00FA0657"/>
    <w:rsid w:val="00FA4746"/>
    <w:rsid w:val="00FA4BFF"/>
    <w:rsid w:val="00FA510E"/>
    <w:rsid w:val="00FB280C"/>
    <w:rsid w:val="00FB39D9"/>
    <w:rsid w:val="00FB6BE7"/>
    <w:rsid w:val="00FC2548"/>
    <w:rsid w:val="00FC28B7"/>
    <w:rsid w:val="00FD4EE1"/>
    <w:rsid w:val="00FD68E6"/>
    <w:rsid w:val="00FE6626"/>
    <w:rsid w:val="00FF0C2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A06"/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F95480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i/>
      <w:iCs/>
      <w:sz w:val="20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95480"/>
    <w:pPr>
      <w:keepNext/>
      <w:spacing w:after="0" w:line="240" w:lineRule="auto"/>
      <w:jc w:val="both"/>
      <w:outlineLvl w:val="1"/>
    </w:pPr>
    <w:rPr>
      <w:rFonts w:ascii="Verdana" w:eastAsia="Times New Roman" w:hAnsi="Verdana" w:cs="Times New Roman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7351"/>
    <w:pPr>
      <w:tabs>
        <w:tab w:val="center" w:pos="4986"/>
        <w:tab w:val="right" w:pos="9972"/>
      </w:tabs>
      <w:spacing w:after="0" w:line="240" w:lineRule="auto"/>
    </w:pPr>
    <w:rPr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35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7351"/>
    <w:pPr>
      <w:tabs>
        <w:tab w:val="center" w:pos="4986"/>
        <w:tab w:val="right" w:pos="9972"/>
      </w:tabs>
      <w:spacing w:after="0" w:line="240" w:lineRule="auto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351"/>
    <w:rPr>
      <w:lang w:val="en-GB"/>
    </w:rPr>
  </w:style>
  <w:style w:type="paragraph" w:styleId="NormaleWeb">
    <w:name w:val="Normal (Web)"/>
    <w:basedOn w:val="Normale"/>
    <w:uiPriority w:val="99"/>
    <w:unhideWhenUsed/>
    <w:rsid w:val="00FB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C64"/>
    <w:rPr>
      <w:rFonts w:ascii="Segoe UI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1A0D7D"/>
    <w:rPr>
      <w:i/>
      <w:iCs/>
    </w:rPr>
  </w:style>
  <w:style w:type="character" w:styleId="Collegamentoipertestuale">
    <w:name w:val="Hyperlink"/>
    <w:basedOn w:val="Carpredefinitoparagrafo"/>
    <w:unhideWhenUsed/>
    <w:rsid w:val="00962F63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2D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2D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2D93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2D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2D93"/>
    <w:rPr>
      <w:b/>
      <w:bCs/>
      <w:sz w:val="20"/>
      <w:szCs w:val="20"/>
      <w:lang w:val="it-IT"/>
    </w:rPr>
  </w:style>
  <w:style w:type="character" w:styleId="Enfasigrassetto">
    <w:name w:val="Strong"/>
    <w:basedOn w:val="Carpredefinitoparagrafo"/>
    <w:uiPriority w:val="22"/>
    <w:qFormat/>
    <w:rsid w:val="0078155C"/>
    <w:rPr>
      <w:b/>
      <w:bCs/>
    </w:rPr>
  </w:style>
  <w:style w:type="character" w:customStyle="1" w:styleId="apple-converted-space">
    <w:name w:val="apple-converted-space"/>
    <w:basedOn w:val="Carpredefinitoparagrafo"/>
    <w:rsid w:val="0052742B"/>
  </w:style>
  <w:style w:type="paragraph" w:styleId="Nessunaspaziatura">
    <w:name w:val="No Spacing"/>
    <w:uiPriority w:val="1"/>
    <w:qFormat/>
    <w:rsid w:val="0042138A"/>
    <w:pPr>
      <w:spacing w:after="0" w:line="240" w:lineRule="auto"/>
    </w:pPr>
    <w:rPr>
      <w:lang w:val="it-IT"/>
    </w:rPr>
  </w:style>
  <w:style w:type="character" w:customStyle="1" w:styleId="Titolo1Carattere">
    <w:name w:val="Titolo 1 Carattere"/>
    <w:basedOn w:val="Carpredefinitoparagrafo"/>
    <w:link w:val="Titolo1"/>
    <w:rsid w:val="00F95480"/>
    <w:rPr>
      <w:rFonts w:ascii="Verdana" w:eastAsia="Times New Roman" w:hAnsi="Verdana" w:cs="Times New Roman"/>
      <w:b/>
      <w:bCs/>
      <w:i/>
      <w:iCs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rsid w:val="00F95480"/>
    <w:rPr>
      <w:rFonts w:ascii="Verdana" w:eastAsia="Times New Roman" w:hAnsi="Verdana" w:cs="Times New Roman"/>
      <w:b/>
      <w:bCs/>
      <w:sz w:val="20"/>
      <w:szCs w:val="24"/>
    </w:rPr>
  </w:style>
  <w:style w:type="character" w:customStyle="1" w:styleId="span">
    <w:name w:val="span"/>
    <w:rsid w:val="00F95480"/>
  </w:style>
  <w:style w:type="character" w:styleId="Collegamentovisitato">
    <w:name w:val="FollowedHyperlink"/>
    <w:uiPriority w:val="99"/>
    <w:semiHidden/>
    <w:unhideWhenUsed/>
    <w:rsid w:val="00F95480"/>
    <w:rPr>
      <w:color w:val="800080"/>
      <w:u w:val="single"/>
    </w:rPr>
  </w:style>
  <w:style w:type="character" w:customStyle="1" w:styleId="st1">
    <w:name w:val="st1"/>
    <w:rsid w:val="00F95480"/>
  </w:style>
  <w:style w:type="table" w:styleId="Grigliatabella">
    <w:name w:val="Table Grid"/>
    <w:basedOn w:val="Tabellanormale"/>
    <w:uiPriority w:val="59"/>
    <w:rsid w:val="00F95480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54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548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95480"/>
    <w:rPr>
      <w:vertAlign w:val="superscript"/>
    </w:rPr>
  </w:style>
  <w:style w:type="paragraph" w:customStyle="1" w:styleId="Default">
    <w:name w:val="Default"/>
    <w:rsid w:val="00F954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F954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95480"/>
    <w:pPr>
      <w:suppressAutoHyphens/>
      <w:spacing w:after="0" w:line="240" w:lineRule="auto"/>
    </w:pPr>
    <w:rPr>
      <w:rFonts w:ascii="Tahoma" w:eastAsia="Times New Roman" w:hAnsi="Tahoma" w:cs="Tahoma"/>
      <w:szCs w:val="20"/>
      <w:lang w:eastAsia="ar-SA"/>
    </w:rPr>
  </w:style>
  <w:style w:type="paragraph" w:customStyle="1" w:styleId="Normale1">
    <w:name w:val="Normale1"/>
    <w:rsid w:val="00DC7D2D"/>
    <w:pPr>
      <w:spacing w:after="200" w:line="276" w:lineRule="auto"/>
    </w:pPr>
    <w:rPr>
      <w:rFonts w:ascii="Calibri" w:eastAsia="Calibri" w:hAnsi="Calibri" w:cs="Calibri"/>
      <w:color w:val="000000"/>
      <w:lang w:val="it-IT" w:eastAsia="it-IT"/>
    </w:rPr>
  </w:style>
  <w:style w:type="paragraph" w:styleId="Revisione">
    <w:name w:val="Revision"/>
    <w:hidden/>
    <w:uiPriority w:val="99"/>
    <w:semiHidden/>
    <w:rsid w:val="00AC177D"/>
    <w:pPr>
      <w:spacing w:after="0" w:line="240" w:lineRule="auto"/>
    </w:pPr>
    <w:rPr>
      <w:lang w:val="it-IT"/>
    </w:rPr>
  </w:style>
  <w:style w:type="paragraph" w:customStyle="1" w:styleId="xmsonormal">
    <w:name w:val="x_msonormal"/>
    <w:basedOn w:val="Normale"/>
    <w:rsid w:val="0000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text">
    <w:name w:val="atext"/>
    <w:basedOn w:val="Normale"/>
    <w:rsid w:val="00F4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4-colore61">
    <w:name w:val="Tabella griglia 4 - colore 61"/>
    <w:basedOn w:val="Tabellanormale"/>
    <w:uiPriority w:val="49"/>
    <w:rsid w:val="00967A9B"/>
    <w:pPr>
      <w:spacing w:after="0" w:line="240" w:lineRule="auto"/>
    </w:pPr>
    <w:rPr>
      <w:lang w:val="it-IT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dtitle">
    <w:name w:val="dtitle"/>
    <w:basedOn w:val="Carpredefinitoparagrafo"/>
    <w:rsid w:val="00375559"/>
  </w:style>
  <w:style w:type="character" w:customStyle="1" w:styleId="qtitle">
    <w:name w:val="qtitle"/>
    <w:basedOn w:val="Carpredefinitoparagrafo"/>
    <w:rsid w:val="00375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5570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079.A5603D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E1A2-5170-44D8-9198-D18861B3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Gazzola</dc:creator>
  <cp:keywords/>
  <dc:description/>
  <cp:lastModifiedBy>paola</cp:lastModifiedBy>
  <cp:revision>41</cp:revision>
  <cp:lastPrinted>2019-01-17T15:21:00Z</cp:lastPrinted>
  <dcterms:created xsi:type="dcterms:W3CDTF">2020-04-10T08:09:00Z</dcterms:created>
  <dcterms:modified xsi:type="dcterms:W3CDTF">2020-04-17T11:12:00Z</dcterms:modified>
</cp:coreProperties>
</file>