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D8" w:rsidRDefault="00FC636E" w:rsidP="00FC636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48335" cy="864235"/>
            <wp:effectExtent l="0" t="0" r="0" b="0"/>
            <wp:docPr id="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75611" w:rsidRDefault="0050571B" w:rsidP="00375611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Riaprono i confini, è corsa ai turisti stranieri</w:t>
      </w:r>
    </w:p>
    <w:p w:rsidR="009D5D08" w:rsidRDefault="0050571B" w:rsidP="00375611">
      <w:pPr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Nella stagione estiva 2019 spesi in Italia 21 miliardi di € da viaggiatori stranieri</w:t>
      </w:r>
      <w:r w:rsidR="00C962AD">
        <w:rPr>
          <w:rFonts w:ascii="Calibri" w:hAnsi="Calibri"/>
          <w:i/>
          <w:iCs/>
          <w:sz w:val="28"/>
          <w:szCs w:val="28"/>
        </w:rPr>
        <w:t>.</w:t>
      </w:r>
    </w:p>
    <w:p w:rsidR="0050089D" w:rsidRPr="007A5D31" w:rsidRDefault="00A67173" w:rsidP="00375611">
      <w:pPr>
        <w:jc w:val="center"/>
        <w:rPr>
          <w:rFonts w:ascii="Calibri" w:hAnsi="Calibri"/>
          <w:i/>
          <w:iCs/>
          <w:sz w:val="28"/>
          <w:szCs w:val="28"/>
        </w:rPr>
      </w:pPr>
      <w:r w:rsidRPr="007A5D31">
        <w:rPr>
          <w:rFonts w:ascii="Calibri" w:hAnsi="Calibri"/>
          <w:i/>
          <w:iCs/>
          <w:sz w:val="28"/>
          <w:szCs w:val="28"/>
        </w:rPr>
        <w:t>Nella ripartenza v</w:t>
      </w:r>
      <w:r w:rsidR="00C962AD" w:rsidRPr="007A5D31">
        <w:rPr>
          <w:rFonts w:ascii="Calibri" w:hAnsi="Calibri"/>
          <w:i/>
          <w:iCs/>
          <w:sz w:val="28"/>
          <w:szCs w:val="28"/>
        </w:rPr>
        <w:t>incono mare, montagna, borghi</w:t>
      </w:r>
      <w:r w:rsidR="007A5D31" w:rsidRPr="007A5D31">
        <w:rPr>
          <w:rFonts w:ascii="Calibri" w:hAnsi="Calibri"/>
          <w:i/>
          <w:iCs/>
          <w:sz w:val="28"/>
          <w:szCs w:val="28"/>
        </w:rPr>
        <w:t>. A rischio una quota consistente del Pil</w:t>
      </w:r>
    </w:p>
    <w:p w:rsidR="0050571B" w:rsidRDefault="0050571B" w:rsidP="007A5D31">
      <w:pPr>
        <w:spacing w:before="120" w:after="120" w:line="240" w:lineRule="auto"/>
        <w:jc w:val="both"/>
      </w:pPr>
      <w:r>
        <w:t xml:space="preserve">Il periodo estivo, fra giugno e settembre, resta </w:t>
      </w:r>
      <w:r w:rsidR="005C661C">
        <w:t>la stagione</w:t>
      </w:r>
      <w:r>
        <w:t xml:space="preserve"> di punta per viaggi e vacanze nel nostro paese, specie</w:t>
      </w:r>
      <w:r w:rsidR="005C661C">
        <w:t xml:space="preserve"> per l’afflusso</w:t>
      </w:r>
      <w:r>
        <w:t xml:space="preserve"> degli stranieri. Lo scorso anno</w:t>
      </w:r>
      <w:r w:rsidR="005C661C">
        <w:t>,</w:t>
      </w:r>
      <w:r>
        <w:t xml:space="preserve"> in questo periodo</w:t>
      </w:r>
      <w:r w:rsidR="005C661C">
        <w:t>,</w:t>
      </w:r>
      <w:r>
        <w:t xml:space="preserve"> si è concentrato il 48,4% della spesa complessiva</w:t>
      </w:r>
      <w:r w:rsidR="005C661C">
        <w:t xml:space="preserve"> dei viaggiatori dall’estero,</w:t>
      </w:r>
      <w:r>
        <w:t xml:space="preserve"> pari a poco più di 21 miliardi di </w:t>
      </w:r>
      <w:r w:rsidR="005C661C">
        <w:t>€. Nonostante la prevedibile drastica riduzione</w:t>
      </w:r>
      <w:r w:rsidR="007A5D31">
        <w:t xml:space="preserve"> dei flussi</w:t>
      </w:r>
      <w:r w:rsidR="005C661C">
        <w:t xml:space="preserve">, con </w:t>
      </w:r>
      <w:r w:rsidR="007A5D31">
        <w:t xml:space="preserve">il </w:t>
      </w:r>
      <w:r w:rsidR="005C661C">
        <w:t xml:space="preserve">graduale </w:t>
      </w:r>
      <w:r w:rsidR="007A5D31">
        <w:t xml:space="preserve">sblocco </w:t>
      </w:r>
      <w:r w:rsidR="005C661C">
        <w:t>dei confini europei si apre la “caccia” a questa importante componente della domanda turistica.</w:t>
      </w:r>
      <w:r w:rsidR="005C661C" w:rsidRPr="005C661C">
        <w:t xml:space="preserve"> </w:t>
      </w:r>
      <w:r w:rsidR="005C661C" w:rsidRPr="00486851">
        <w:t>E’</w:t>
      </w:r>
      <w:r w:rsidR="00680B9A">
        <w:t xml:space="preserve"> </w:t>
      </w:r>
      <w:bookmarkStart w:id="0" w:name="_GoBack"/>
      <w:bookmarkEnd w:id="0"/>
      <w:r w:rsidR="005C661C" w:rsidRPr="00486851">
        <w:t xml:space="preserve">quanto emerge da un dossier della RUR (Rete Urbana delle Rappresentanze-Urban Research Institute) </w:t>
      </w:r>
      <w:r w:rsidR="005C661C" w:rsidRPr="00486851">
        <w:rPr>
          <w:i/>
          <w:iCs/>
        </w:rPr>
        <w:t xml:space="preserve">think tank </w:t>
      </w:r>
      <w:r w:rsidR="005C661C" w:rsidRPr="00486851">
        <w:t>cui aderiscono importanti imprese e organismi istituzionali (</w:t>
      </w:r>
      <w:r w:rsidR="005C661C">
        <w:t xml:space="preserve">su </w:t>
      </w:r>
      <w:hyperlink r:id="rId8" w:history="1">
        <w:r w:rsidR="005C661C" w:rsidRPr="005C2303">
          <w:rPr>
            <w:rStyle w:val="Collegamentoipertestuale"/>
            <w:rFonts w:ascii="Calibri" w:hAnsi="Calibri" w:cstheme="minorHAnsi"/>
            <w:sz w:val="24"/>
            <w:szCs w:val="24"/>
          </w:rPr>
          <w:t>www.rur.it</w:t>
        </w:r>
      </w:hyperlink>
      <w:r w:rsidR="005C661C">
        <w:rPr>
          <w:rStyle w:val="Collegamentoipertestuale"/>
          <w:rFonts w:ascii="Calibri" w:hAnsi="Calibri" w:cstheme="minorHAnsi"/>
          <w:sz w:val="24"/>
          <w:szCs w:val="24"/>
        </w:rPr>
        <w:t xml:space="preserve"> </w:t>
      </w:r>
      <w:r w:rsidR="005C661C" w:rsidRPr="005C661C">
        <w:rPr>
          <w:rStyle w:val="Collegamentoipertestuale"/>
          <w:rFonts w:ascii="Calibri" w:hAnsi="Calibri" w:cstheme="minorHAnsi"/>
          <w:color w:val="auto"/>
          <w:sz w:val="24"/>
          <w:szCs w:val="24"/>
          <w:u w:val="none"/>
        </w:rPr>
        <w:t>è disponibile</w:t>
      </w:r>
      <w:r w:rsidR="005C661C">
        <w:rPr>
          <w:rStyle w:val="Collegamentoipertestuale"/>
          <w:rFonts w:ascii="Calibri" w:hAnsi="Calibri" w:cstheme="minorHAnsi"/>
          <w:sz w:val="24"/>
          <w:szCs w:val="24"/>
        </w:rPr>
        <w:t xml:space="preserve"> </w:t>
      </w:r>
      <w:r w:rsidR="005C661C" w:rsidRPr="005C661C">
        <w:rPr>
          <w:rStyle w:val="Collegamentoipertestuale"/>
          <w:rFonts w:ascii="Calibri" w:hAnsi="Calibri" w:cstheme="minorHAnsi"/>
          <w:color w:val="auto"/>
          <w:sz w:val="24"/>
          <w:szCs w:val="24"/>
          <w:u w:val="none"/>
        </w:rPr>
        <w:t>il dossier completo e infografica</w:t>
      </w:r>
      <w:r w:rsidR="005C661C" w:rsidRPr="00486851">
        <w:t xml:space="preserve">). </w:t>
      </w:r>
    </w:p>
    <w:p w:rsidR="007A5D31" w:rsidRDefault="007A5D31" w:rsidP="007A5D31">
      <w:pPr>
        <w:spacing w:after="0"/>
        <w:jc w:val="both"/>
      </w:pPr>
    </w:p>
    <w:p w:rsidR="007A5D31" w:rsidRDefault="007A5D31" w:rsidP="007A5D31">
      <w:pPr>
        <w:jc w:val="center"/>
      </w:pPr>
      <w:r w:rsidRPr="007A5D31">
        <w:rPr>
          <w:noProof/>
          <w:lang w:eastAsia="it-IT"/>
        </w:rPr>
        <w:drawing>
          <wp:inline distT="0" distB="0" distL="0" distR="0">
            <wp:extent cx="5133975" cy="3590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31" w:rsidRDefault="007A5D31" w:rsidP="007A5D31">
      <w:pPr>
        <w:spacing w:after="0" w:line="240" w:lineRule="auto"/>
        <w:jc w:val="both"/>
      </w:pPr>
    </w:p>
    <w:p w:rsidR="00486851" w:rsidRDefault="00847451" w:rsidP="007A5D31">
      <w:pPr>
        <w:spacing w:before="120" w:after="120" w:line="240" w:lineRule="auto"/>
        <w:jc w:val="both"/>
      </w:pPr>
      <w:r>
        <w:t xml:space="preserve">I quasi tre mesi (marzo-maggio) di blocco </w:t>
      </w:r>
      <w:r w:rsidR="0050270D">
        <w:t>de</w:t>
      </w:r>
      <w:r w:rsidR="005C661C">
        <w:t>lla mobilità fra regioni e internazionale so</w:t>
      </w:r>
      <w:r>
        <w:t xml:space="preserve">no già </w:t>
      </w:r>
      <w:r w:rsidRPr="00486851">
        <w:t>costati all’industria del turismo italiano la perdita</w:t>
      </w:r>
      <w:r w:rsidR="005C661C">
        <w:t xml:space="preserve"> complessiva (fra italiani e stranieri)</w:t>
      </w:r>
      <w:r w:rsidRPr="00486851">
        <w:t xml:space="preserve"> di 29,4 milioni di turisti pari al 23% del </w:t>
      </w:r>
      <w:r w:rsidR="00B870E8" w:rsidRPr="00486851">
        <w:t>totale</w:t>
      </w:r>
      <w:r w:rsidR="008824C7" w:rsidRPr="00486851">
        <w:t xml:space="preserve"> annuo; tradotto in presenze, si tratta di</w:t>
      </w:r>
      <w:r w:rsidR="007344F5">
        <w:t xml:space="preserve"> </w:t>
      </w:r>
      <w:r w:rsidRPr="00486851">
        <w:t>8</w:t>
      </w:r>
      <w:r w:rsidR="007344F5">
        <w:t>1 milioni di pernottamenti (18,5</w:t>
      </w:r>
      <w:r w:rsidRPr="00486851">
        <w:t xml:space="preserve">% </w:t>
      </w:r>
      <w:r w:rsidR="008824C7" w:rsidRPr="00486851">
        <w:t>del</w:t>
      </w:r>
      <w:r w:rsidRPr="00486851">
        <w:t xml:space="preserve"> totale</w:t>
      </w:r>
      <w:r w:rsidR="008824C7" w:rsidRPr="00486851">
        <w:t>).</w:t>
      </w:r>
      <w:r w:rsidR="0050270D">
        <w:t xml:space="preserve">Seppur fra incertezze e preoccupazioni per il futuro, gli italiani trascorreranno dei periodi di vacanza prevalentemente nei confini nazionali, ma a </w:t>
      </w:r>
      <w:r w:rsidR="00C86247">
        <w:t xml:space="preserve">condizionare maggiormente il bilancio dell’anno sarà la </w:t>
      </w:r>
      <w:r w:rsidR="00486851">
        <w:t>contrazione</w:t>
      </w:r>
      <w:r w:rsidR="00A400D4" w:rsidRPr="00486851">
        <w:t xml:space="preserve"> del turismo internazionale</w:t>
      </w:r>
      <w:r w:rsidR="00287647">
        <w:t xml:space="preserve">. </w:t>
      </w:r>
      <w:r w:rsidR="00A400D4" w:rsidRPr="00486851">
        <w:t xml:space="preserve">In Italia </w:t>
      </w:r>
      <w:r w:rsidR="00486851" w:rsidRPr="00486851">
        <w:t xml:space="preserve">gli stranieri </w:t>
      </w:r>
      <w:r w:rsidR="00A400D4" w:rsidRPr="00486851">
        <w:t xml:space="preserve">rappresentano </w:t>
      </w:r>
      <w:r w:rsidR="00486851" w:rsidRPr="00486851">
        <w:t xml:space="preserve">la </w:t>
      </w:r>
      <w:r w:rsidR="00A400D4" w:rsidRPr="00486851">
        <w:t>metà del</w:t>
      </w:r>
      <w:r w:rsidR="00486851" w:rsidRPr="00486851">
        <w:t xml:space="preserve">la domanda turistica: nel 2019 sono stati </w:t>
      </w:r>
      <w:r w:rsidR="00A400D4" w:rsidRPr="00486851">
        <w:t xml:space="preserve">64,5 milioni </w:t>
      </w:r>
      <w:r w:rsidR="00486851" w:rsidRPr="00486851">
        <w:t>gli</w:t>
      </w:r>
      <w:r w:rsidR="00A400D4" w:rsidRPr="00486851">
        <w:t xml:space="preserve"> arrivi</w:t>
      </w:r>
      <w:r w:rsidR="00486851" w:rsidRPr="00486851">
        <w:t>,</w:t>
      </w:r>
      <w:r w:rsidR="00A400D4" w:rsidRPr="00486851">
        <w:t xml:space="preserve"> pari al </w:t>
      </w:r>
      <w:r w:rsidR="0050270D">
        <w:t>49,5</w:t>
      </w:r>
      <w:r w:rsidR="00A400D4" w:rsidRPr="00486851">
        <w:t xml:space="preserve">% </w:t>
      </w:r>
      <w:r w:rsidR="00486851" w:rsidRPr="00486851">
        <w:t>del totale e</w:t>
      </w:r>
      <w:r w:rsidR="00A400D4" w:rsidRPr="00486851">
        <w:t xml:space="preserve"> 2</w:t>
      </w:r>
      <w:r w:rsidR="0050270D">
        <w:t>20</w:t>
      </w:r>
      <w:r w:rsidR="00A400D4" w:rsidRPr="00486851">
        <w:t xml:space="preserve"> milioni i pernottamenti</w:t>
      </w:r>
      <w:r w:rsidR="00486851" w:rsidRPr="00486851">
        <w:t>,</w:t>
      </w:r>
      <w:r w:rsidR="00A400D4" w:rsidRPr="00486851">
        <w:t xml:space="preserve"> pari al </w:t>
      </w:r>
      <w:r w:rsidR="0050270D">
        <w:t>50</w:t>
      </w:r>
      <w:r w:rsidR="00A400D4" w:rsidRPr="00486851">
        <w:t>,6%</w:t>
      </w:r>
      <w:r w:rsidR="00486851" w:rsidRPr="00486851">
        <w:t xml:space="preserve"> del totale. </w:t>
      </w:r>
      <w:r w:rsidR="00A400D4" w:rsidRPr="00486851">
        <w:t xml:space="preserve">La prevedibile drastica riduzione del turismo proveniente all’estero intaccherà pesantemente </w:t>
      </w:r>
      <w:r w:rsidR="00A400D4" w:rsidRPr="00486851">
        <w:lastRenderedPageBreak/>
        <w:t xml:space="preserve">l’ingente volume di spesa che i viaggiatori stranieri effettuano in Italia pari, nel 2019, a 44 miliardi di €. </w:t>
      </w:r>
      <w:r w:rsidR="00833360">
        <w:t xml:space="preserve">Considerando </w:t>
      </w:r>
      <w:r w:rsidR="00486851" w:rsidRPr="00486851">
        <w:t>la situazione dei Paesi di origine</w:t>
      </w:r>
      <w:r w:rsidR="00A67173">
        <w:t xml:space="preserve">, che tiene </w:t>
      </w:r>
      <w:r w:rsidR="007A5D31">
        <w:t xml:space="preserve">lontani </w:t>
      </w:r>
      <w:r w:rsidR="00A67173">
        <w:t>i</w:t>
      </w:r>
      <w:r w:rsidR="00486851" w:rsidRPr="00486851">
        <w:t xml:space="preserve"> flussi </w:t>
      </w:r>
      <w:r w:rsidR="007344F5">
        <w:t xml:space="preserve">intercontinentali </w:t>
      </w:r>
      <w:r w:rsidR="00486851" w:rsidRPr="00486851">
        <w:t>(</w:t>
      </w:r>
      <w:r w:rsidR="00A67173">
        <w:t xml:space="preserve">specie da </w:t>
      </w:r>
      <w:r w:rsidR="00486851" w:rsidRPr="00486851">
        <w:t>Stati Uniti</w:t>
      </w:r>
      <w:r w:rsidR="00833360">
        <w:t xml:space="preserve"> e </w:t>
      </w:r>
      <w:r w:rsidR="00486851" w:rsidRPr="00486851">
        <w:t>Cina</w:t>
      </w:r>
      <w:r w:rsidR="007344F5">
        <w:t>)</w:t>
      </w:r>
      <w:r w:rsidR="00833360">
        <w:t xml:space="preserve"> e </w:t>
      </w:r>
      <w:r w:rsidR="007A5D31">
        <w:t xml:space="preserve">rende </w:t>
      </w:r>
      <w:r w:rsidR="00833360">
        <w:t>incerti</w:t>
      </w:r>
      <w:r w:rsidR="00A67173">
        <w:t xml:space="preserve"> quelli europei</w:t>
      </w:r>
      <w:r w:rsidR="007A5D31">
        <w:t>,</w:t>
      </w:r>
      <w:r w:rsidR="007344F5">
        <w:t xml:space="preserve"> a stagione ormai iniziata</w:t>
      </w:r>
      <w:r w:rsidR="00486851" w:rsidRPr="00486851">
        <w:t>, si stima una caduta del 64% della spesa complessiva dei viag</w:t>
      </w:r>
      <w:r w:rsidR="007344F5">
        <w:t>giatori stranieri su base annua, pari a</w:t>
      </w:r>
      <w:r w:rsidR="00A67173">
        <w:t xml:space="preserve"> una prevedibile perdita di</w:t>
      </w:r>
      <w:r w:rsidR="007344F5">
        <w:t xml:space="preserve"> 28 miliardi di euro</w:t>
      </w:r>
      <w:r w:rsidR="00A67173">
        <w:t xml:space="preserve">, di cui 10 già evaporati nel </w:t>
      </w:r>
      <w:r w:rsidR="00A67173" w:rsidRPr="00A67173">
        <w:rPr>
          <w:i/>
          <w:iCs/>
        </w:rPr>
        <w:t>lockdown</w:t>
      </w:r>
      <w:r w:rsidR="00A67173">
        <w:t>.</w:t>
      </w:r>
    </w:p>
    <w:p w:rsidR="009D5D08" w:rsidRPr="001141C2" w:rsidRDefault="009D5D08" w:rsidP="009D5D08">
      <w:pPr>
        <w:jc w:val="both"/>
      </w:pPr>
      <w:r w:rsidRPr="00287647">
        <w:t xml:space="preserve">In </w:t>
      </w:r>
      <w:r>
        <w:t xml:space="preserve">primo </w:t>
      </w:r>
      <w:r w:rsidRPr="00287647">
        <w:t xml:space="preserve">luogo, sarebbe utile </w:t>
      </w:r>
      <w:r w:rsidR="00A67173">
        <w:t>agire per</w:t>
      </w:r>
      <w:r w:rsidRPr="00287647">
        <w:t xml:space="preserve"> recuperare almeno</w:t>
      </w:r>
      <w:r w:rsidR="00A67173">
        <w:t xml:space="preserve"> parte</w:t>
      </w:r>
      <w:r w:rsidRPr="00287647">
        <w:t xml:space="preserve"> </w:t>
      </w:r>
      <w:r w:rsidR="00A67173">
        <w:t>de</w:t>
      </w:r>
      <w:r w:rsidRPr="00287647">
        <w:t>gli arrivi dai paesi europei più vicini tenuto conto che la sola Germania contribuisce al 27,1% delle presenze straniere, seguita da Francia (6,6%), Regno Unito (6,5%), Paesi Bassi (5,1%), Svizzera (4,9%) e Austria (4,4%). Questi sei paesi europei totalizzano il 54,5% delle presenze e sono a una ragionevole distanza da percorrere in treno o in auto. Segnali positivi, a ques</w:t>
      </w:r>
      <w:r>
        <w:t xml:space="preserve">to proposito, vengono dalla conferma delle prenotazioni nelle località montane di confine prime fra tutte l’Alto </w:t>
      </w:r>
      <w:r w:rsidRPr="001141C2">
        <w:t>Adige</w:t>
      </w:r>
      <w:r w:rsidR="007A5D31">
        <w:t>.</w:t>
      </w:r>
    </w:p>
    <w:p w:rsidR="00287647" w:rsidRDefault="00C86247" w:rsidP="007A5D31">
      <w:pPr>
        <w:spacing w:before="120" w:after="120" w:line="240" w:lineRule="auto"/>
        <w:jc w:val="both"/>
      </w:pPr>
      <w:r w:rsidRPr="00E849CB">
        <w:t>A co</w:t>
      </w:r>
      <w:r w:rsidR="00E849CB" w:rsidRPr="00E849CB">
        <w:t>ntrobilanciare l’andamento</w:t>
      </w:r>
      <w:r w:rsidR="00A67173">
        <w:t xml:space="preserve"> calante</w:t>
      </w:r>
      <w:r w:rsidR="00E849CB" w:rsidRPr="00E849CB">
        <w:t xml:space="preserve"> dei flussi </w:t>
      </w:r>
      <w:r w:rsidR="00E849CB">
        <w:t>stranieri</w:t>
      </w:r>
      <w:r w:rsidR="00E849CB" w:rsidRPr="00E849CB">
        <w:t xml:space="preserve">, </w:t>
      </w:r>
      <w:r w:rsidR="00394EC3">
        <w:t>può</w:t>
      </w:r>
      <w:r w:rsidR="00E849CB" w:rsidRPr="00E849CB">
        <w:t xml:space="preserve"> venire </w:t>
      </w:r>
      <w:r w:rsidR="009D5D08">
        <w:t xml:space="preserve">anche </w:t>
      </w:r>
      <w:r w:rsidR="00E849CB" w:rsidRPr="00E849CB">
        <w:t>in soccorso la</w:t>
      </w:r>
      <w:r w:rsidRPr="00E849CB">
        <w:t xml:space="preserve"> domanda interna, </w:t>
      </w:r>
      <w:r w:rsidR="009D5D08">
        <w:t xml:space="preserve">recuperando </w:t>
      </w:r>
      <w:r w:rsidRPr="00E849CB">
        <w:t>una quota</w:t>
      </w:r>
      <w:r w:rsidR="00E849CB" w:rsidRPr="00E849CB">
        <w:t xml:space="preserve"> di</w:t>
      </w:r>
      <w:r w:rsidRPr="00E849CB">
        <w:t xml:space="preserve"> viaggiatori che</w:t>
      </w:r>
      <w:r w:rsidR="00A67173">
        <w:t>,</w:t>
      </w:r>
      <w:r w:rsidRPr="00E849CB">
        <w:t xml:space="preserve"> in passato</w:t>
      </w:r>
      <w:r w:rsidR="00A67173">
        <w:t>,</w:t>
      </w:r>
      <w:r w:rsidRPr="00E849CB">
        <w:t xml:space="preserve"> trascorrevano le proprie vacanze all’estero spendendo, nel 2019, 27 miliardi di €. Anche in questo caso molto dipenderà dalle disponibilità economiche e dalle scelte delle famiglie tenendo conto che il </w:t>
      </w:r>
      <w:r w:rsidR="003A3543">
        <w:t>42,1%</w:t>
      </w:r>
      <w:r w:rsidRPr="00E849CB">
        <w:t xml:space="preserve"> della spesa proviene da viaggiatori del Nord</w:t>
      </w:r>
      <w:r w:rsidR="003A3543">
        <w:t xml:space="preserve"> Ovest</w:t>
      </w:r>
      <w:r w:rsidRPr="00E849CB">
        <w:t xml:space="preserve"> e in particolare </w:t>
      </w:r>
      <w:r w:rsidR="00E849CB" w:rsidRPr="00E849CB">
        <w:t xml:space="preserve">dai </w:t>
      </w:r>
      <w:r w:rsidRPr="00E849CB">
        <w:t>residenti in Lombardia (30,3% della spesa totale all’estero del 2019)</w:t>
      </w:r>
      <w:r w:rsidR="00E849CB" w:rsidRPr="00E849CB">
        <w:t>,</w:t>
      </w:r>
      <w:r w:rsidR="003A3543">
        <w:t xml:space="preserve"> il 22,5% dal Nord Est,</w:t>
      </w:r>
      <w:r w:rsidRPr="00E849CB">
        <w:t xml:space="preserve"> il 20,6% dall’Italia</w:t>
      </w:r>
      <w:r>
        <w:t xml:space="preserve"> Centrale (in particolare Roma e Lazio 12,5%) e per il 1</w:t>
      </w:r>
      <w:r w:rsidR="003A3543">
        <w:t>4</w:t>
      </w:r>
      <w:r>
        <w:t>,</w:t>
      </w:r>
      <w:r w:rsidR="003A3543">
        <w:t>8</w:t>
      </w:r>
      <w:r>
        <w:t>% dal Mezzogiorno.</w:t>
      </w:r>
      <w:r w:rsidR="00287647">
        <w:t xml:space="preserve"> </w:t>
      </w:r>
      <w:r w:rsidR="007A5D31">
        <w:t>In complesso, il valore aggiunto diretto del turismo, pari al 6%, si potrebbe ridurre notevolmente nel 2020 con una perdita fra il 3,5 e 4% del Pil.</w:t>
      </w:r>
    </w:p>
    <w:p w:rsidR="00AF6940" w:rsidRDefault="00E849CB" w:rsidP="007A5D31">
      <w:pPr>
        <w:spacing w:before="120" w:after="120" w:line="240" w:lineRule="auto"/>
        <w:jc w:val="both"/>
      </w:pPr>
      <w:r w:rsidRPr="001141C2">
        <w:t>Il Decreto</w:t>
      </w:r>
      <w:r w:rsidR="003A3543">
        <w:t xml:space="preserve"> </w:t>
      </w:r>
      <w:r w:rsidRPr="001141C2">
        <w:t>Legge “Rilancio”</w:t>
      </w:r>
      <w:r w:rsidR="00833360">
        <w:t xml:space="preserve"> </w:t>
      </w:r>
      <w:r w:rsidR="007A5D31">
        <w:t xml:space="preserve">punta </w:t>
      </w:r>
      <w:r w:rsidR="00833360">
        <w:t>per il turismo</w:t>
      </w:r>
      <w:r w:rsidRPr="001141C2">
        <w:t xml:space="preserve"> sul sostegno alla domanda per le famiglie a reddito medio-basso, attraverso un “tax credit vacanze”</w:t>
      </w:r>
      <w:r w:rsidR="00394EC3" w:rsidRPr="001141C2">
        <w:t xml:space="preserve"> il cui </w:t>
      </w:r>
      <w:r w:rsidRPr="001141C2">
        <w:t>costo previsto</w:t>
      </w:r>
      <w:r w:rsidR="00394EC3" w:rsidRPr="001141C2">
        <w:t xml:space="preserve"> </w:t>
      </w:r>
      <w:r w:rsidR="003A3543">
        <w:t>di</w:t>
      </w:r>
      <w:r w:rsidR="00394EC3" w:rsidRPr="001141C2">
        <w:t>-</w:t>
      </w:r>
      <w:r w:rsidRPr="001141C2">
        <w:t xml:space="preserve"> 1,7 miliardi di € per il 2020 </w:t>
      </w:r>
      <w:r w:rsidR="00833360">
        <w:t>e</w:t>
      </w:r>
      <w:r w:rsidR="00394EC3" w:rsidRPr="001141C2">
        <w:t xml:space="preserve"> </w:t>
      </w:r>
      <w:r w:rsidRPr="001141C2">
        <w:t xml:space="preserve">rappresenta </w:t>
      </w:r>
      <w:r w:rsidR="00833360">
        <w:t>il 76%</w:t>
      </w:r>
      <w:r w:rsidRPr="001141C2">
        <w:t xml:space="preserve"> </w:t>
      </w:r>
      <w:r w:rsidR="00394EC3" w:rsidRPr="001141C2">
        <w:t xml:space="preserve">degli oneri per gli interventi di sostegno al settore </w:t>
      </w:r>
      <w:r w:rsidR="003A3543">
        <w:t>per questa annualità</w:t>
      </w:r>
      <w:r w:rsidR="00394EC3" w:rsidRPr="001141C2">
        <w:t>.</w:t>
      </w:r>
    </w:p>
    <w:p w:rsidR="00F05C56" w:rsidRPr="00833360" w:rsidRDefault="00287647" w:rsidP="007A5D31">
      <w:pPr>
        <w:spacing w:before="120" w:after="120" w:line="240" w:lineRule="auto"/>
        <w:jc w:val="both"/>
        <w:rPr>
          <w:i/>
          <w:iCs/>
        </w:rPr>
      </w:pPr>
      <w:r w:rsidRPr="001141C2">
        <w:t>“</w:t>
      </w:r>
      <w:r w:rsidR="00F05C56" w:rsidRPr="00AF6940">
        <w:rPr>
          <w:i/>
          <w:iCs/>
        </w:rPr>
        <w:t>L’attuale critica situazione del turismo dovrebbe essere affrontata</w:t>
      </w:r>
      <w:r w:rsidRPr="00AF6940">
        <w:rPr>
          <w:i/>
          <w:iCs/>
        </w:rPr>
        <w:t xml:space="preserve"> con maggiori fondi e strumenti di intervento più efficaci che combinino</w:t>
      </w:r>
      <w:r w:rsidR="00F05C56" w:rsidRPr="00AF6940">
        <w:rPr>
          <w:i/>
          <w:iCs/>
        </w:rPr>
        <w:t xml:space="preserve"> l’aiuto d’emergenza, a un più strutturale sostegno </w:t>
      </w:r>
      <w:r w:rsidR="007E420A" w:rsidRPr="00AF6940">
        <w:rPr>
          <w:i/>
          <w:iCs/>
        </w:rPr>
        <w:t>per</w:t>
      </w:r>
      <w:r w:rsidR="00F05C56" w:rsidRPr="00AF6940">
        <w:rPr>
          <w:i/>
          <w:iCs/>
        </w:rPr>
        <w:t xml:space="preserve"> rafforzare le imprese che ne costituiscono il tessuto operativo</w:t>
      </w:r>
      <w:r w:rsidR="00833360">
        <w:rPr>
          <w:i/>
          <w:iCs/>
        </w:rPr>
        <w:t>”</w:t>
      </w:r>
      <w:r w:rsidR="00833360" w:rsidRPr="00833360">
        <w:t xml:space="preserve"> </w:t>
      </w:r>
      <w:r w:rsidR="00833360" w:rsidRPr="001141C2">
        <w:t>ha commentato Giuseppe Roma, presidente di RUR</w:t>
      </w:r>
      <w:r w:rsidR="00E2285C" w:rsidRPr="00AF6940">
        <w:rPr>
          <w:i/>
          <w:iCs/>
        </w:rPr>
        <w:t xml:space="preserve">. </w:t>
      </w:r>
      <w:r w:rsidR="00833360">
        <w:rPr>
          <w:i/>
          <w:iCs/>
        </w:rPr>
        <w:t>“</w:t>
      </w:r>
      <w:r w:rsidR="00E2285C" w:rsidRPr="00AF6940">
        <w:rPr>
          <w:i/>
          <w:iCs/>
        </w:rPr>
        <w:t>Nell’immediato bisogna</w:t>
      </w:r>
      <w:r w:rsidRPr="00AF6940">
        <w:rPr>
          <w:i/>
          <w:iCs/>
        </w:rPr>
        <w:t xml:space="preserve"> promuovere</w:t>
      </w:r>
      <w:r w:rsidR="00E2285C" w:rsidRPr="00AF6940">
        <w:rPr>
          <w:i/>
          <w:iCs/>
        </w:rPr>
        <w:t xml:space="preserve"> le aree dove è più</w:t>
      </w:r>
      <w:r w:rsidR="00E2285C" w:rsidRPr="001141C2">
        <w:t xml:space="preserve"> facile </w:t>
      </w:r>
      <w:r w:rsidR="00E2285C" w:rsidRPr="00AF6940">
        <w:rPr>
          <w:i/>
          <w:iCs/>
        </w:rPr>
        <w:t>la vacanza all’aria aperta, con basso affollamento e prevalente residenzialità diffusa come borghi e piccoli comuni, di collina e delle aree interne, di montagna o anche marinari</w:t>
      </w:r>
      <w:r w:rsidR="00833360">
        <w:rPr>
          <w:i/>
          <w:iCs/>
        </w:rPr>
        <w:t>”</w:t>
      </w:r>
      <w:r w:rsidRPr="001141C2">
        <w:t xml:space="preserve"> “</w:t>
      </w:r>
      <w:r w:rsidR="003A3543" w:rsidRPr="00AF6940">
        <w:rPr>
          <w:i/>
          <w:iCs/>
        </w:rPr>
        <w:t xml:space="preserve">E’ </w:t>
      </w:r>
      <w:r w:rsidR="001141C2" w:rsidRPr="00AF6940">
        <w:rPr>
          <w:i/>
          <w:iCs/>
        </w:rPr>
        <w:t xml:space="preserve">poi </w:t>
      </w:r>
      <w:r w:rsidRPr="00AF6940">
        <w:rPr>
          <w:i/>
          <w:iCs/>
        </w:rPr>
        <w:t>utile puntare</w:t>
      </w:r>
      <w:r w:rsidR="00161A55" w:rsidRPr="00AF6940">
        <w:rPr>
          <w:i/>
          <w:iCs/>
        </w:rPr>
        <w:t xml:space="preserve"> </w:t>
      </w:r>
      <w:r w:rsidR="003A3543" w:rsidRPr="00AF6940">
        <w:rPr>
          <w:i/>
          <w:iCs/>
        </w:rPr>
        <w:t>su</w:t>
      </w:r>
      <w:r w:rsidR="00161A55" w:rsidRPr="00AF6940">
        <w:rPr>
          <w:i/>
          <w:iCs/>
        </w:rPr>
        <w:t xml:space="preserve">lla riqualificazione dell’offerta ricettiva, </w:t>
      </w:r>
      <w:r w:rsidR="007A5D31">
        <w:rPr>
          <w:i/>
          <w:iCs/>
        </w:rPr>
        <w:t xml:space="preserve">con un eco bonus del </w:t>
      </w:r>
      <w:r w:rsidR="00F05C56" w:rsidRPr="00AF6940">
        <w:rPr>
          <w:i/>
          <w:iCs/>
        </w:rPr>
        <w:t>1</w:t>
      </w:r>
      <w:r w:rsidR="003A3543" w:rsidRPr="00AF6940">
        <w:rPr>
          <w:i/>
          <w:iCs/>
        </w:rPr>
        <w:t>0</w:t>
      </w:r>
      <w:r w:rsidR="00F05C56" w:rsidRPr="00AF6940">
        <w:rPr>
          <w:i/>
          <w:iCs/>
        </w:rPr>
        <w:t xml:space="preserve">0% </w:t>
      </w:r>
      <w:r w:rsidR="003A3543" w:rsidRPr="00AF6940">
        <w:rPr>
          <w:i/>
          <w:iCs/>
        </w:rPr>
        <w:t xml:space="preserve">per </w:t>
      </w:r>
      <w:r w:rsidR="00F05C56" w:rsidRPr="00AF6940">
        <w:rPr>
          <w:i/>
          <w:iCs/>
        </w:rPr>
        <w:t>la ristrutturazione</w:t>
      </w:r>
      <w:r w:rsidR="00AF6940">
        <w:rPr>
          <w:i/>
          <w:iCs/>
        </w:rPr>
        <w:t xml:space="preserve"> sostenibile</w:t>
      </w:r>
      <w:r w:rsidR="00F05C56" w:rsidRPr="00AF6940">
        <w:rPr>
          <w:i/>
          <w:iCs/>
        </w:rPr>
        <w:t xml:space="preserve"> di alberghi e villaggi turistici</w:t>
      </w:r>
      <w:r w:rsidR="00161A55" w:rsidRPr="00AF6940">
        <w:rPr>
          <w:i/>
          <w:iCs/>
        </w:rPr>
        <w:t xml:space="preserve"> nel senso del risparmio energetico, della qualità edilizia e tecnologica, degli arredi e della dotazione di servizi</w:t>
      </w:r>
      <w:r w:rsidR="00AF6940">
        <w:rPr>
          <w:i/>
          <w:iCs/>
        </w:rPr>
        <w:t>”</w:t>
      </w:r>
      <w:r w:rsidR="00AA6E4B">
        <w:rPr>
          <w:i/>
          <w:iCs/>
        </w:rPr>
        <w:t xml:space="preserve"> </w:t>
      </w:r>
      <w:r w:rsidR="00AF6940">
        <w:rPr>
          <w:i/>
          <w:iCs/>
        </w:rPr>
        <w:t>”</w:t>
      </w:r>
      <w:r w:rsidR="00F05C56" w:rsidRPr="00AF6940">
        <w:rPr>
          <w:i/>
          <w:iCs/>
        </w:rPr>
        <w:t>Infine,</w:t>
      </w:r>
      <w:r w:rsidR="00AF6940">
        <w:rPr>
          <w:i/>
          <w:iCs/>
        </w:rPr>
        <w:t xml:space="preserve"> </w:t>
      </w:r>
      <w:r w:rsidR="00AF6940">
        <w:t>- ha concluso Roma-</w:t>
      </w:r>
      <w:r w:rsidR="00F05C56" w:rsidRPr="00AF6940">
        <w:rPr>
          <w:i/>
          <w:iCs/>
        </w:rPr>
        <w:t xml:space="preserve"> </w:t>
      </w:r>
      <w:r w:rsidR="00161A55" w:rsidRPr="00AF6940">
        <w:rPr>
          <w:i/>
          <w:iCs/>
        </w:rPr>
        <w:t>è importante poter governare la dimensione</w:t>
      </w:r>
      <w:r w:rsidR="00F05C56" w:rsidRPr="00AF6940">
        <w:rPr>
          <w:i/>
          <w:iCs/>
        </w:rPr>
        <w:t xml:space="preserve"> digitale</w:t>
      </w:r>
      <w:r w:rsidR="00161A55" w:rsidRPr="00AF6940">
        <w:rPr>
          <w:i/>
          <w:iCs/>
        </w:rPr>
        <w:t xml:space="preserve"> oggi </w:t>
      </w:r>
      <w:r w:rsidR="00AF6940">
        <w:rPr>
          <w:i/>
          <w:iCs/>
        </w:rPr>
        <w:t>de</w:t>
      </w:r>
      <w:r w:rsidR="0076610D">
        <w:rPr>
          <w:i/>
          <w:iCs/>
        </w:rPr>
        <w:t>c</w:t>
      </w:r>
      <w:r w:rsidR="00AF6940">
        <w:rPr>
          <w:i/>
          <w:iCs/>
        </w:rPr>
        <w:t>isiv</w:t>
      </w:r>
      <w:r w:rsidR="0076610D">
        <w:rPr>
          <w:i/>
          <w:iCs/>
        </w:rPr>
        <w:t>a</w:t>
      </w:r>
      <w:r w:rsidR="00161A55" w:rsidRPr="00AF6940">
        <w:rPr>
          <w:i/>
          <w:iCs/>
        </w:rPr>
        <w:t xml:space="preserve"> per il turismo</w:t>
      </w:r>
      <w:r w:rsidR="00F05C56" w:rsidRPr="00AF6940">
        <w:rPr>
          <w:i/>
          <w:iCs/>
        </w:rPr>
        <w:t xml:space="preserve">, </w:t>
      </w:r>
      <w:r w:rsidRPr="00AF6940">
        <w:rPr>
          <w:i/>
          <w:iCs/>
        </w:rPr>
        <w:t xml:space="preserve"> </w:t>
      </w:r>
      <w:r w:rsidR="00161A55" w:rsidRPr="00AF6940">
        <w:rPr>
          <w:i/>
          <w:iCs/>
        </w:rPr>
        <w:t xml:space="preserve">con una piattaforma </w:t>
      </w:r>
      <w:r w:rsidR="007A5D31">
        <w:rPr>
          <w:i/>
          <w:iCs/>
        </w:rPr>
        <w:t xml:space="preserve">che raccordi i </w:t>
      </w:r>
      <w:r w:rsidR="00C92A35" w:rsidRPr="00AF6940">
        <w:rPr>
          <w:i/>
          <w:iCs/>
        </w:rPr>
        <w:t xml:space="preserve">molteplici portali territoriali o settoriali ora frammentati e dispersi nella grande nuvola di </w:t>
      </w:r>
      <w:r w:rsidRPr="00AF6940">
        <w:rPr>
          <w:i/>
          <w:iCs/>
        </w:rPr>
        <w:t>i</w:t>
      </w:r>
      <w:r w:rsidR="00C92A35" w:rsidRPr="00AF6940">
        <w:rPr>
          <w:i/>
          <w:iCs/>
        </w:rPr>
        <w:t>nternet</w:t>
      </w:r>
      <w:r w:rsidR="00F05C56" w:rsidRPr="001141C2">
        <w:t>.</w:t>
      </w:r>
      <w:r w:rsidRPr="001141C2">
        <w:t>”</w:t>
      </w:r>
    </w:p>
    <w:p w:rsidR="001141C2" w:rsidRDefault="001141C2" w:rsidP="00F05C56">
      <w:p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</w:p>
    <w:p w:rsidR="00F05C56" w:rsidRPr="00C11C07" w:rsidRDefault="00293CD3" w:rsidP="00293CD3">
      <w:pPr>
        <w:spacing w:afterLines="4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Fonte  : </w:t>
      </w:r>
      <w:r w:rsidR="00F05C56" w:rsidRPr="00C11C07">
        <w:rPr>
          <w:rFonts w:ascii="Calibri" w:hAnsi="Calibri"/>
          <w:sz w:val="24"/>
          <w:szCs w:val="24"/>
        </w:rPr>
        <w:t>RUR Rete Urbana delle Rappresentanze</w:t>
      </w:r>
    </w:p>
    <w:p w:rsidR="00063CBC" w:rsidRPr="00C11C07" w:rsidRDefault="00063CBC" w:rsidP="0035553D">
      <w:pPr>
        <w:spacing w:before="120" w:after="120" w:line="240" w:lineRule="auto"/>
        <w:jc w:val="both"/>
        <w:rPr>
          <w:rFonts w:ascii="Calibri" w:hAnsi="Calibri"/>
          <w:iCs/>
          <w:sz w:val="24"/>
          <w:szCs w:val="28"/>
        </w:rPr>
      </w:pPr>
    </w:p>
    <w:sectPr w:rsidR="00063CBC" w:rsidRPr="00C11C07" w:rsidSect="007A5D31">
      <w:footerReference w:type="default" r:id="rId10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89" w:rsidRDefault="00390A89" w:rsidP="009069A1">
      <w:pPr>
        <w:spacing w:after="0" w:line="240" w:lineRule="auto"/>
      </w:pPr>
      <w:r>
        <w:separator/>
      </w:r>
    </w:p>
  </w:endnote>
  <w:endnote w:type="continuationSeparator" w:id="0">
    <w:p w:rsidR="00390A89" w:rsidRDefault="00390A89" w:rsidP="0090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82542"/>
      <w:docPartObj>
        <w:docPartGallery w:val="Page Numbers (Bottom of Page)"/>
        <w:docPartUnique/>
      </w:docPartObj>
    </w:sdtPr>
    <w:sdtEndPr>
      <w:rPr>
        <w:rFonts w:ascii="Calibri" w:hAnsi="Calibri"/>
        <w:sz w:val="16"/>
      </w:rPr>
    </w:sdtEndPr>
    <w:sdtContent>
      <w:p w:rsidR="009069A1" w:rsidRPr="00C11C07" w:rsidRDefault="00B65FB6" w:rsidP="00C11C07">
        <w:pPr>
          <w:pStyle w:val="Pidipagina"/>
          <w:jc w:val="center"/>
          <w:rPr>
            <w:rFonts w:ascii="Calibri" w:hAnsi="Calibri"/>
            <w:sz w:val="16"/>
          </w:rPr>
        </w:pPr>
        <w:r w:rsidRPr="00C11C07">
          <w:rPr>
            <w:rFonts w:ascii="Calibri" w:hAnsi="Calibri"/>
            <w:sz w:val="16"/>
          </w:rPr>
          <w:fldChar w:fldCharType="begin"/>
        </w:r>
        <w:r w:rsidR="003968AF" w:rsidRPr="00C11C07">
          <w:rPr>
            <w:rFonts w:ascii="Calibri" w:hAnsi="Calibri"/>
            <w:sz w:val="16"/>
          </w:rPr>
          <w:instrText>PAGE   \* MERGEFORMAT</w:instrText>
        </w:r>
        <w:r w:rsidRPr="00C11C07">
          <w:rPr>
            <w:rFonts w:ascii="Calibri" w:hAnsi="Calibri"/>
            <w:sz w:val="16"/>
          </w:rPr>
          <w:fldChar w:fldCharType="separate"/>
        </w:r>
        <w:r w:rsidR="00293CD3">
          <w:rPr>
            <w:rFonts w:ascii="Calibri" w:hAnsi="Calibri"/>
            <w:noProof/>
            <w:sz w:val="16"/>
          </w:rPr>
          <w:t>1</w:t>
        </w:r>
        <w:r w:rsidRPr="00C11C07">
          <w:rPr>
            <w:rFonts w:ascii="Calibri" w:hAnsi="Calibri"/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89" w:rsidRDefault="00390A89" w:rsidP="009069A1">
      <w:pPr>
        <w:spacing w:after="0" w:line="240" w:lineRule="auto"/>
      </w:pPr>
      <w:r>
        <w:separator/>
      </w:r>
    </w:p>
  </w:footnote>
  <w:footnote w:type="continuationSeparator" w:id="0">
    <w:p w:rsidR="00390A89" w:rsidRDefault="00390A89" w:rsidP="00906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2A3"/>
    <w:multiLevelType w:val="hybridMultilevel"/>
    <w:tmpl w:val="C4BA9274"/>
    <w:lvl w:ilvl="0" w:tplc="EBDC0F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2182"/>
    <w:multiLevelType w:val="hybridMultilevel"/>
    <w:tmpl w:val="6974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636E"/>
    <w:rsid w:val="00015A54"/>
    <w:rsid w:val="00024F1C"/>
    <w:rsid w:val="000346B7"/>
    <w:rsid w:val="00042064"/>
    <w:rsid w:val="0005674C"/>
    <w:rsid w:val="00062B50"/>
    <w:rsid w:val="00063CBC"/>
    <w:rsid w:val="000653A2"/>
    <w:rsid w:val="00073B12"/>
    <w:rsid w:val="00094935"/>
    <w:rsid w:val="000D3394"/>
    <w:rsid w:val="000F49AC"/>
    <w:rsid w:val="0010316C"/>
    <w:rsid w:val="001141C2"/>
    <w:rsid w:val="00143A02"/>
    <w:rsid w:val="00161A55"/>
    <w:rsid w:val="001B2AD6"/>
    <w:rsid w:val="001B6B8D"/>
    <w:rsid w:val="001B708B"/>
    <w:rsid w:val="0020495B"/>
    <w:rsid w:val="00205246"/>
    <w:rsid w:val="0024151A"/>
    <w:rsid w:val="00241D4D"/>
    <w:rsid w:val="00253F9D"/>
    <w:rsid w:val="00255909"/>
    <w:rsid w:val="00287647"/>
    <w:rsid w:val="00293CD3"/>
    <w:rsid w:val="002C11DE"/>
    <w:rsid w:val="002E0506"/>
    <w:rsid w:val="002E17B5"/>
    <w:rsid w:val="002E31CB"/>
    <w:rsid w:val="00331F12"/>
    <w:rsid w:val="0035553D"/>
    <w:rsid w:val="00375611"/>
    <w:rsid w:val="003860EB"/>
    <w:rsid w:val="00390A89"/>
    <w:rsid w:val="00394EC3"/>
    <w:rsid w:val="003968AF"/>
    <w:rsid w:val="003A3543"/>
    <w:rsid w:val="003C2086"/>
    <w:rsid w:val="004107D8"/>
    <w:rsid w:val="0044386F"/>
    <w:rsid w:val="0046215D"/>
    <w:rsid w:val="00464871"/>
    <w:rsid w:val="0047093C"/>
    <w:rsid w:val="00486851"/>
    <w:rsid w:val="004A4B32"/>
    <w:rsid w:val="0050089D"/>
    <w:rsid w:val="0050270D"/>
    <w:rsid w:val="0050571B"/>
    <w:rsid w:val="005306BB"/>
    <w:rsid w:val="005351CB"/>
    <w:rsid w:val="005908E3"/>
    <w:rsid w:val="005C661C"/>
    <w:rsid w:val="006215C4"/>
    <w:rsid w:val="006266ED"/>
    <w:rsid w:val="0064009E"/>
    <w:rsid w:val="00651FB9"/>
    <w:rsid w:val="00665B22"/>
    <w:rsid w:val="00680B9A"/>
    <w:rsid w:val="007344F5"/>
    <w:rsid w:val="0076610D"/>
    <w:rsid w:val="00770A0F"/>
    <w:rsid w:val="00790187"/>
    <w:rsid w:val="007A5D31"/>
    <w:rsid w:val="007D3947"/>
    <w:rsid w:val="007E420A"/>
    <w:rsid w:val="00802391"/>
    <w:rsid w:val="00833360"/>
    <w:rsid w:val="00847451"/>
    <w:rsid w:val="008540E5"/>
    <w:rsid w:val="0087035A"/>
    <w:rsid w:val="0087660C"/>
    <w:rsid w:val="008824C7"/>
    <w:rsid w:val="008B3689"/>
    <w:rsid w:val="008E466A"/>
    <w:rsid w:val="008F51F2"/>
    <w:rsid w:val="009069A1"/>
    <w:rsid w:val="00932030"/>
    <w:rsid w:val="00944B4C"/>
    <w:rsid w:val="00945E1A"/>
    <w:rsid w:val="009D5D08"/>
    <w:rsid w:val="009E1D90"/>
    <w:rsid w:val="009E49B2"/>
    <w:rsid w:val="009F1C31"/>
    <w:rsid w:val="00A25378"/>
    <w:rsid w:val="00A37A3C"/>
    <w:rsid w:val="00A400D4"/>
    <w:rsid w:val="00A67173"/>
    <w:rsid w:val="00AA669D"/>
    <w:rsid w:val="00AA6E4B"/>
    <w:rsid w:val="00AF6940"/>
    <w:rsid w:val="00B0652A"/>
    <w:rsid w:val="00B3600E"/>
    <w:rsid w:val="00B65FB6"/>
    <w:rsid w:val="00B870E8"/>
    <w:rsid w:val="00B879A0"/>
    <w:rsid w:val="00BB334B"/>
    <w:rsid w:val="00BE49BD"/>
    <w:rsid w:val="00C11C07"/>
    <w:rsid w:val="00C226F0"/>
    <w:rsid w:val="00C73856"/>
    <w:rsid w:val="00C85168"/>
    <w:rsid w:val="00C86247"/>
    <w:rsid w:val="00C92A35"/>
    <w:rsid w:val="00C962AD"/>
    <w:rsid w:val="00CC18B3"/>
    <w:rsid w:val="00D0637D"/>
    <w:rsid w:val="00D53C69"/>
    <w:rsid w:val="00DD03DE"/>
    <w:rsid w:val="00DD5B4A"/>
    <w:rsid w:val="00DF3D7A"/>
    <w:rsid w:val="00E2285C"/>
    <w:rsid w:val="00E51F23"/>
    <w:rsid w:val="00E55D23"/>
    <w:rsid w:val="00E77EE1"/>
    <w:rsid w:val="00E84357"/>
    <w:rsid w:val="00E849CB"/>
    <w:rsid w:val="00EB3E50"/>
    <w:rsid w:val="00EC5534"/>
    <w:rsid w:val="00F05C56"/>
    <w:rsid w:val="00F440A0"/>
    <w:rsid w:val="00F807BA"/>
    <w:rsid w:val="00F81DF2"/>
    <w:rsid w:val="00F86D50"/>
    <w:rsid w:val="00F93558"/>
    <w:rsid w:val="00FC337D"/>
    <w:rsid w:val="00FC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Tabellanormale"/>
    <w:uiPriority w:val="49"/>
    <w:rsid w:val="00462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agrafoelenco">
    <w:name w:val="List Paragraph"/>
    <w:basedOn w:val="Normale"/>
    <w:uiPriority w:val="34"/>
    <w:qFormat/>
    <w:rsid w:val="008703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51F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1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9A1"/>
  </w:style>
  <w:style w:type="paragraph" w:styleId="Pidipagina">
    <w:name w:val="footer"/>
    <w:basedOn w:val="Normale"/>
    <w:link w:val="PidipaginaCarattere"/>
    <w:uiPriority w:val="99"/>
    <w:unhideWhenUsed/>
    <w:rsid w:val="0090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9A1"/>
  </w:style>
  <w:style w:type="table" w:customStyle="1" w:styleId="GridTable4Accent6">
    <w:name w:val="Grid Table 4 Accent 6"/>
    <w:basedOn w:val="Tabellanormale"/>
    <w:uiPriority w:val="49"/>
    <w:rsid w:val="00665B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C661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Roma</dc:creator>
  <cp:keywords/>
  <dc:description/>
  <cp:lastModifiedBy>paola</cp:lastModifiedBy>
  <cp:revision>4</cp:revision>
  <cp:lastPrinted>2020-06-10T10:01:00Z</cp:lastPrinted>
  <dcterms:created xsi:type="dcterms:W3CDTF">2020-06-10T10:18:00Z</dcterms:created>
  <dcterms:modified xsi:type="dcterms:W3CDTF">2020-06-11T09:16:00Z</dcterms:modified>
</cp:coreProperties>
</file>