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24A1F" w14:textId="77777777" w:rsidR="007A71C7" w:rsidRPr="000820BE" w:rsidRDefault="007A71C7" w:rsidP="000820BE">
      <w:pPr>
        <w:spacing w:after="0" w:line="240" w:lineRule="auto"/>
        <w:jc w:val="center"/>
        <w:rPr>
          <w:b/>
          <w:color w:val="DF3350"/>
          <w:sz w:val="32"/>
          <w:szCs w:val="32"/>
        </w:rPr>
      </w:pPr>
    </w:p>
    <w:p w14:paraId="73327F72" w14:textId="1C83CEFD" w:rsidR="007A71C7" w:rsidRPr="0011156A" w:rsidRDefault="007A71C7" w:rsidP="000820BE">
      <w:pPr>
        <w:spacing w:after="0" w:line="240" w:lineRule="auto"/>
        <w:jc w:val="center"/>
        <w:rPr>
          <w:b/>
          <w:color w:val="DF3350"/>
          <w:sz w:val="32"/>
          <w:szCs w:val="32"/>
        </w:rPr>
      </w:pPr>
      <w:r w:rsidRPr="0011156A">
        <w:rPr>
          <w:b/>
          <w:color w:val="DF3350"/>
          <w:sz w:val="32"/>
          <w:szCs w:val="32"/>
        </w:rPr>
        <w:t xml:space="preserve">MERCATO IMMOBILIARE </w:t>
      </w:r>
      <w:r>
        <w:rPr>
          <w:b/>
          <w:color w:val="DF3350"/>
          <w:sz w:val="32"/>
          <w:szCs w:val="32"/>
        </w:rPr>
        <w:t>VERONA</w:t>
      </w:r>
      <w:r w:rsidRPr="0011156A">
        <w:rPr>
          <w:b/>
          <w:color w:val="DF3350"/>
          <w:sz w:val="32"/>
          <w:szCs w:val="32"/>
        </w:rPr>
        <w:t xml:space="preserve"> II SEMESTRE 2019</w:t>
      </w:r>
    </w:p>
    <w:p w14:paraId="36CA01AA" w14:textId="7B116017" w:rsidR="004A52CE" w:rsidRDefault="00C146C4" w:rsidP="000820BE">
      <w:pPr>
        <w:spacing w:after="0" w:line="240" w:lineRule="auto"/>
        <w:jc w:val="center"/>
        <w:rPr>
          <w:b/>
          <w:color w:val="DF3350"/>
          <w:sz w:val="32"/>
          <w:szCs w:val="32"/>
        </w:rPr>
      </w:pPr>
      <w:r>
        <w:rPr>
          <w:b/>
          <w:color w:val="DF3350"/>
          <w:sz w:val="32"/>
          <w:szCs w:val="32"/>
        </w:rPr>
        <w:t>Il mattone cresce in Centro nella città scaligera</w:t>
      </w:r>
    </w:p>
    <w:p w14:paraId="64A05DDF" w14:textId="77777777" w:rsidR="000820BE" w:rsidRDefault="000820BE" w:rsidP="000820BE">
      <w:pPr>
        <w:spacing w:after="0" w:line="240" w:lineRule="auto"/>
        <w:jc w:val="center"/>
        <w:rPr>
          <w:b/>
          <w:bCs/>
          <w:color w:val="DF3350"/>
          <w:sz w:val="24"/>
          <w:szCs w:val="24"/>
        </w:rPr>
      </w:pPr>
    </w:p>
    <w:p w14:paraId="509B5B97" w14:textId="77777777" w:rsidR="00BF3584" w:rsidRPr="000820BE" w:rsidRDefault="00BF3584" w:rsidP="000820BE">
      <w:pPr>
        <w:spacing w:after="0" w:line="240" w:lineRule="auto"/>
        <w:jc w:val="both"/>
        <w:rPr>
          <w:rFonts w:cstheme="minorHAnsi"/>
          <w:b/>
          <w:bCs/>
          <w:sz w:val="24"/>
          <w:szCs w:val="24"/>
        </w:rPr>
      </w:pPr>
      <w:r w:rsidRPr="000820BE">
        <w:rPr>
          <w:rFonts w:cstheme="minorHAnsi"/>
          <w:b/>
          <w:bCs/>
          <w:color w:val="DF3350"/>
          <w:sz w:val="28"/>
          <w:szCs w:val="28"/>
        </w:rPr>
        <w:t>Compravendite</w:t>
      </w:r>
      <w:r w:rsidRPr="000820BE">
        <w:rPr>
          <w:rFonts w:cstheme="minorHAnsi"/>
          <w:b/>
          <w:bCs/>
          <w:color w:val="DF3350"/>
          <w:sz w:val="28"/>
          <w:szCs w:val="28"/>
        </w:rPr>
        <w:br/>
      </w:r>
      <w:r w:rsidRPr="000820BE">
        <w:rPr>
          <w:rFonts w:cstheme="minorHAnsi"/>
          <w:b/>
          <w:bCs/>
          <w:sz w:val="24"/>
          <w:szCs w:val="24"/>
        </w:rPr>
        <w:t xml:space="preserve">Nel primo trimestre del 2020 si registra un calo delle compravendite dell’8,4% rispetto allo stesso periodo dell’anno precedente, per un totale di </w:t>
      </w:r>
      <w:r w:rsidRPr="00F54603">
        <w:rPr>
          <w:rFonts w:cstheme="minorHAnsi"/>
          <w:b/>
          <w:bCs/>
          <w:sz w:val="24"/>
          <w:szCs w:val="24"/>
        </w:rPr>
        <w:t>678 scambi (elaborazi</w:t>
      </w:r>
      <w:r w:rsidRPr="000820BE">
        <w:rPr>
          <w:rFonts w:cstheme="minorHAnsi"/>
          <w:b/>
          <w:bCs/>
          <w:sz w:val="24"/>
          <w:szCs w:val="24"/>
        </w:rPr>
        <w:t>one Ufficio Studi Tecnocasa su dati Agenzia delle Entrate).</w:t>
      </w:r>
    </w:p>
    <w:p w14:paraId="73159D53" w14:textId="77777777" w:rsidR="00BF3584" w:rsidRPr="000820BE" w:rsidRDefault="00BF3584" w:rsidP="000820BE">
      <w:pPr>
        <w:spacing w:after="0" w:line="240" w:lineRule="auto"/>
        <w:jc w:val="both"/>
        <w:rPr>
          <w:rFonts w:cstheme="minorHAnsi"/>
          <w:b/>
          <w:bCs/>
          <w:sz w:val="24"/>
          <w:szCs w:val="24"/>
        </w:rPr>
      </w:pPr>
      <w:r w:rsidRPr="000820BE">
        <w:rPr>
          <w:rFonts w:cstheme="minorHAnsi"/>
          <w:b/>
          <w:bCs/>
          <w:sz w:val="24"/>
          <w:szCs w:val="24"/>
        </w:rPr>
        <w:t xml:space="preserve">Il 2019 si era chiuso con un totale di 3.334 compravendite con un lieve calo dello 0,8% rispetto al 2018. </w:t>
      </w:r>
    </w:p>
    <w:p w14:paraId="1F416174" w14:textId="77777777" w:rsidR="00BF3584" w:rsidRPr="000820BE" w:rsidRDefault="00BF3584" w:rsidP="000820BE">
      <w:pPr>
        <w:spacing w:after="0" w:line="240" w:lineRule="auto"/>
        <w:jc w:val="both"/>
        <w:rPr>
          <w:rFonts w:cstheme="minorHAnsi"/>
          <w:b/>
          <w:bCs/>
          <w:sz w:val="24"/>
          <w:szCs w:val="24"/>
        </w:rPr>
      </w:pPr>
    </w:p>
    <w:p w14:paraId="2A4472FD" w14:textId="77777777" w:rsidR="00BF3584" w:rsidRPr="000820BE" w:rsidRDefault="00BF3584" w:rsidP="000820BE">
      <w:pPr>
        <w:spacing w:after="0" w:line="240" w:lineRule="auto"/>
        <w:jc w:val="both"/>
        <w:rPr>
          <w:rFonts w:cstheme="minorHAnsi"/>
          <w:b/>
          <w:bCs/>
          <w:color w:val="DF3350"/>
          <w:sz w:val="28"/>
          <w:szCs w:val="28"/>
        </w:rPr>
      </w:pPr>
      <w:r w:rsidRPr="000820BE">
        <w:rPr>
          <w:rFonts w:cstheme="minorHAnsi"/>
          <w:b/>
          <w:bCs/>
          <w:color w:val="DF3350"/>
          <w:sz w:val="28"/>
          <w:szCs w:val="28"/>
        </w:rPr>
        <w:t>Tempi di vendita</w:t>
      </w:r>
    </w:p>
    <w:p w14:paraId="1EFC1134" w14:textId="75AAE1A2" w:rsidR="00BF3584" w:rsidRPr="000820BE" w:rsidRDefault="00BF3584" w:rsidP="000820BE">
      <w:pPr>
        <w:spacing w:after="0" w:line="240" w:lineRule="auto"/>
        <w:jc w:val="both"/>
        <w:rPr>
          <w:rFonts w:cstheme="minorHAnsi"/>
          <w:b/>
          <w:bCs/>
          <w:sz w:val="24"/>
          <w:szCs w:val="24"/>
        </w:rPr>
      </w:pPr>
      <w:r w:rsidRPr="000820BE">
        <w:rPr>
          <w:rFonts w:cstheme="minorHAnsi"/>
          <w:b/>
          <w:bCs/>
          <w:sz w:val="24"/>
          <w:szCs w:val="24"/>
        </w:rPr>
        <w:t>I tempi di vendita in città sono in calo ed a gennaio del 2020 si attestavano sui 134 giorni</w:t>
      </w:r>
      <w:r w:rsidR="00F54603">
        <w:rPr>
          <w:rFonts w:cstheme="minorHAnsi"/>
          <w:b/>
          <w:bCs/>
          <w:sz w:val="24"/>
          <w:szCs w:val="24"/>
        </w:rPr>
        <w:t>.</w:t>
      </w:r>
    </w:p>
    <w:p w14:paraId="472CC1B2" w14:textId="77777777" w:rsidR="00BF3584" w:rsidRPr="000820BE" w:rsidRDefault="00BF3584" w:rsidP="000820BE">
      <w:pPr>
        <w:spacing w:after="0" w:line="240" w:lineRule="auto"/>
        <w:jc w:val="both"/>
        <w:rPr>
          <w:rFonts w:cstheme="minorHAnsi"/>
          <w:b/>
          <w:bCs/>
          <w:color w:val="DF3350"/>
          <w:sz w:val="24"/>
          <w:szCs w:val="24"/>
        </w:rPr>
      </w:pPr>
    </w:p>
    <w:p w14:paraId="1B0FA049" w14:textId="77777777" w:rsidR="00BF3584" w:rsidRPr="000820BE" w:rsidRDefault="00BF3584" w:rsidP="000820BE">
      <w:pPr>
        <w:spacing w:after="0" w:line="240" w:lineRule="auto"/>
        <w:jc w:val="center"/>
        <w:rPr>
          <w:rFonts w:cstheme="minorHAnsi"/>
          <w:b/>
          <w:bCs/>
          <w:color w:val="595959"/>
          <w:sz w:val="24"/>
          <w:szCs w:val="24"/>
        </w:rPr>
      </w:pPr>
      <w:proofErr w:type="gramStart"/>
      <w:r w:rsidRPr="000820BE">
        <w:rPr>
          <w:rFonts w:cstheme="minorHAnsi"/>
          <w:b/>
          <w:bCs/>
          <w:color w:val="595959"/>
          <w:sz w:val="24"/>
          <w:szCs w:val="24"/>
        </w:rPr>
        <w:t>TREND</w:t>
      </w:r>
      <w:proofErr w:type="gramEnd"/>
      <w:r w:rsidRPr="000820BE">
        <w:rPr>
          <w:rFonts w:cstheme="minorHAnsi"/>
          <w:b/>
          <w:bCs/>
          <w:color w:val="595959"/>
          <w:sz w:val="24"/>
          <w:szCs w:val="24"/>
        </w:rPr>
        <w:t xml:space="preserve"> PREZZI VERONA</w:t>
      </w:r>
    </w:p>
    <w:tbl>
      <w:tblPr>
        <w:tblW w:w="0" w:type="auto"/>
        <w:jc w:val="center"/>
        <w:tblCellMar>
          <w:left w:w="0" w:type="dxa"/>
          <w:right w:w="0" w:type="dxa"/>
        </w:tblCellMar>
        <w:tblLook w:val="04A0" w:firstRow="1" w:lastRow="0" w:firstColumn="1" w:lastColumn="0" w:noHBand="0" w:noVBand="1"/>
      </w:tblPr>
      <w:tblGrid>
        <w:gridCol w:w="978"/>
        <w:gridCol w:w="978"/>
        <w:gridCol w:w="978"/>
        <w:gridCol w:w="978"/>
        <w:gridCol w:w="978"/>
        <w:gridCol w:w="978"/>
        <w:gridCol w:w="1328"/>
      </w:tblGrid>
      <w:tr w:rsidR="00BF3584" w:rsidRPr="000820BE" w14:paraId="0413D740" w14:textId="77777777" w:rsidTr="00BF3584">
        <w:trPr>
          <w:jc w:val="center"/>
        </w:trPr>
        <w:tc>
          <w:tcPr>
            <w:tcW w:w="978" w:type="dxa"/>
            <w:tcBorders>
              <w:top w:val="single" w:sz="8" w:space="0" w:color="ED7D31"/>
              <w:left w:val="nil"/>
              <w:bottom w:val="single" w:sz="8" w:space="0" w:color="ED7D31"/>
              <w:right w:val="nil"/>
            </w:tcBorders>
            <w:tcMar>
              <w:top w:w="0" w:type="dxa"/>
              <w:left w:w="108" w:type="dxa"/>
              <w:bottom w:w="0" w:type="dxa"/>
              <w:right w:w="108" w:type="dxa"/>
            </w:tcMar>
            <w:hideMark/>
          </w:tcPr>
          <w:p w14:paraId="4184C319" w14:textId="77777777" w:rsidR="00BF3584" w:rsidRPr="000820BE" w:rsidRDefault="00BF3584" w:rsidP="000820BE">
            <w:pPr>
              <w:spacing w:after="0" w:line="240" w:lineRule="auto"/>
              <w:jc w:val="both"/>
              <w:rPr>
                <w:rFonts w:cstheme="minorHAnsi"/>
                <w:color w:val="DF3350"/>
                <w:sz w:val="24"/>
                <w:szCs w:val="24"/>
              </w:rPr>
            </w:pPr>
            <w:r w:rsidRPr="000820BE">
              <w:rPr>
                <w:rFonts w:cstheme="minorHAnsi"/>
                <w:b/>
                <w:bCs/>
                <w:color w:val="DF3350"/>
                <w:sz w:val="24"/>
                <w:szCs w:val="24"/>
              </w:rPr>
              <w:t>2013</w:t>
            </w:r>
          </w:p>
        </w:tc>
        <w:tc>
          <w:tcPr>
            <w:tcW w:w="978" w:type="dxa"/>
            <w:tcBorders>
              <w:top w:val="single" w:sz="8" w:space="0" w:color="ED7D31"/>
              <w:left w:val="nil"/>
              <w:bottom w:val="single" w:sz="8" w:space="0" w:color="ED7D31"/>
              <w:right w:val="nil"/>
            </w:tcBorders>
            <w:tcMar>
              <w:top w:w="0" w:type="dxa"/>
              <w:left w:w="108" w:type="dxa"/>
              <w:bottom w:w="0" w:type="dxa"/>
              <w:right w:w="108" w:type="dxa"/>
            </w:tcMar>
            <w:hideMark/>
          </w:tcPr>
          <w:p w14:paraId="1D3D60DD" w14:textId="77777777" w:rsidR="00BF3584" w:rsidRPr="000820BE" w:rsidRDefault="00BF3584" w:rsidP="000820BE">
            <w:pPr>
              <w:spacing w:after="0" w:line="240" w:lineRule="auto"/>
              <w:jc w:val="both"/>
              <w:rPr>
                <w:rFonts w:cstheme="minorHAnsi"/>
                <w:color w:val="DF3350"/>
                <w:sz w:val="24"/>
                <w:szCs w:val="24"/>
              </w:rPr>
            </w:pPr>
            <w:r w:rsidRPr="000820BE">
              <w:rPr>
                <w:rFonts w:cstheme="minorHAnsi"/>
                <w:b/>
                <w:bCs/>
                <w:color w:val="DF3350"/>
                <w:sz w:val="24"/>
                <w:szCs w:val="24"/>
              </w:rPr>
              <w:t>2014</w:t>
            </w:r>
          </w:p>
        </w:tc>
        <w:tc>
          <w:tcPr>
            <w:tcW w:w="978" w:type="dxa"/>
            <w:tcBorders>
              <w:top w:val="single" w:sz="8" w:space="0" w:color="ED7D31"/>
              <w:left w:val="nil"/>
              <w:bottom w:val="single" w:sz="8" w:space="0" w:color="ED7D31"/>
              <w:right w:val="nil"/>
            </w:tcBorders>
            <w:tcMar>
              <w:top w:w="0" w:type="dxa"/>
              <w:left w:w="108" w:type="dxa"/>
              <w:bottom w:w="0" w:type="dxa"/>
              <w:right w:w="108" w:type="dxa"/>
            </w:tcMar>
            <w:hideMark/>
          </w:tcPr>
          <w:p w14:paraId="56B9BC66" w14:textId="77777777" w:rsidR="00BF3584" w:rsidRPr="000820BE" w:rsidRDefault="00BF3584" w:rsidP="000820BE">
            <w:pPr>
              <w:spacing w:after="0" w:line="240" w:lineRule="auto"/>
              <w:jc w:val="both"/>
              <w:rPr>
                <w:rFonts w:cstheme="minorHAnsi"/>
                <w:color w:val="DF3350"/>
                <w:sz w:val="24"/>
                <w:szCs w:val="24"/>
              </w:rPr>
            </w:pPr>
            <w:r w:rsidRPr="000820BE">
              <w:rPr>
                <w:rFonts w:cstheme="minorHAnsi"/>
                <w:b/>
                <w:bCs/>
                <w:color w:val="DF3350"/>
                <w:sz w:val="24"/>
                <w:szCs w:val="24"/>
              </w:rPr>
              <w:t>2015</w:t>
            </w:r>
          </w:p>
        </w:tc>
        <w:tc>
          <w:tcPr>
            <w:tcW w:w="978" w:type="dxa"/>
            <w:tcBorders>
              <w:top w:val="single" w:sz="8" w:space="0" w:color="ED7D31"/>
              <w:left w:val="nil"/>
              <w:bottom w:val="single" w:sz="8" w:space="0" w:color="ED7D31"/>
              <w:right w:val="nil"/>
            </w:tcBorders>
            <w:tcMar>
              <w:top w:w="0" w:type="dxa"/>
              <w:left w:w="108" w:type="dxa"/>
              <w:bottom w:w="0" w:type="dxa"/>
              <w:right w:w="108" w:type="dxa"/>
            </w:tcMar>
            <w:hideMark/>
          </w:tcPr>
          <w:p w14:paraId="2E7D8526" w14:textId="77777777" w:rsidR="00BF3584" w:rsidRPr="000820BE" w:rsidRDefault="00BF3584" w:rsidP="000820BE">
            <w:pPr>
              <w:spacing w:after="0" w:line="240" w:lineRule="auto"/>
              <w:jc w:val="both"/>
              <w:rPr>
                <w:rFonts w:cstheme="minorHAnsi"/>
                <w:color w:val="DF3350"/>
                <w:sz w:val="24"/>
                <w:szCs w:val="24"/>
              </w:rPr>
            </w:pPr>
            <w:r w:rsidRPr="000820BE">
              <w:rPr>
                <w:rFonts w:cstheme="minorHAnsi"/>
                <w:b/>
                <w:bCs/>
                <w:color w:val="DF3350"/>
                <w:sz w:val="24"/>
                <w:szCs w:val="24"/>
              </w:rPr>
              <w:t>2016</w:t>
            </w:r>
          </w:p>
        </w:tc>
        <w:tc>
          <w:tcPr>
            <w:tcW w:w="978" w:type="dxa"/>
            <w:tcBorders>
              <w:top w:val="single" w:sz="8" w:space="0" w:color="ED7D31"/>
              <w:left w:val="nil"/>
              <w:bottom w:val="single" w:sz="8" w:space="0" w:color="ED7D31"/>
              <w:right w:val="nil"/>
            </w:tcBorders>
            <w:tcMar>
              <w:top w:w="0" w:type="dxa"/>
              <w:left w:w="108" w:type="dxa"/>
              <w:bottom w:w="0" w:type="dxa"/>
              <w:right w:w="108" w:type="dxa"/>
            </w:tcMar>
            <w:hideMark/>
          </w:tcPr>
          <w:p w14:paraId="2069D275" w14:textId="77777777" w:rsidR="00BF3584" w:rsidRPr="000820BE" w:rsidRDefault="00BF3584" w:rsidP="000820BE">
            <w:pPr>
              <w:spacing w:after="0" w:line="240" w:lineRule="auto"/>
              <w:jc w:val="both"/>
              <w:rPr>
                <w:rFonts w:cstheme="minorHAnsi"/>
                <w:color w:val="DF3350"/>
                <w:sz w:val="24"/>
                <w:szCs w:val="24"/>
              </w:rPr>
            </w:pPr>
            <w:r w:rsidRPr="000820BE">
              <w:rPr>
                <w:rFonts w:cstheme="minorHAnsi"/>
                <w:b/>
                <w:bCs/>
                <w:color w:val="DF3350"/>
                <w:sz w:val="24"/>
                <w:szCs w:val="24"/>
              </w:rPr>
              <w:t>2017</w:t>
            </w:r>
          </w:p>
        </w:tc>
        <w:tc>
          <w:tcPr>
            <w:tcW w:w="978" w:type="dxa"/>
            <w:tcBorders>
              <w:top w:val="single" w:sz="8" w:space="0" w:color="ED7D31"/>
              <w:left w:val="nil"/>
              <w:bottom w:val="single" w:sz="8" w:space="0" w:color="ED7D31"/>
              <w:right w:val="nil"/>
            </w:tcBorders>
            <w:tcMar>
              <w:top w:w="0" w:type="dxa"/>
              <w:left w:w="108" w:type="dxa"/>
              <w:bottom w:w="0" w:type="dxa"/>
              <w:right w:w="108" w:type="dxa"/>
            </w:tcMar>
            <w:hideMark/>
          </w:tcPr>
          <w:p w14:paraId="16BB8934" w14:textId="77777777" w:rsidR="00BF3584" w:rsidRPr="000820BE" w:rsidRDefault="00BF3584" w:rsidP="000820BE">
            <w:pPr>
              <w:spacing w:after="0" w:line="240" w:lineRule="auto"/>
              <w:jc w:val="both"/>
              <w:rPr>
                <w:rFonts w:cstheme="minorHAnsi"/>
                <w:color w:val="DF3350"/>
                <w:sz w:val="24"/>
                <w:szCs w:val="24"/>
              </w:rPr>
            </w:pPr>
            <w:r w:rsidRPr="000820BE">
              <w:rPr>
                <w:rFonts w:cstheme="minorHAnsi"/>
                <w:b/>
                <w:bCs/>
                <w:color w:val="DF3350"/>
                <w:sz w:val="24"/>
                <w:szCs w:val="24"/>
              </w:rPr>
              <w:t>2018</w:t>
            </w:r>
          </w:p>
        </w:tc>
        <w:tc>
          <w:tcPr>
            <w:tcW w:w="1328" w:type="dxa"/>
            <w:tcBorders>
              <w:top w:val="single" w:sz="8" w:space="0" w:color="ED7D31"/>
              <w:left w:val="nil"/>
              <w:bottom w:val="single" w:sz="8" w:space="0" w:color="ED7D31"/>
              <w:right w:val="nil"/>
            </w:tcBorders>
            <w:tcMar>
              <w:top w:w="0" w:type="dxa"/>
              <w:left w:w="108" w:type="dxa"/>
              <w:bottom w:w="0" w:type="dxa"/>
              <w:right w:w="108" w:type="dxa"/>
            </w:tcMar>
            <w:hideMark/>
          </w:tcPr>
          <w:p w14:paraId="338B5A4C" w14:textId="77777777" w:rsidR="00BF3584" w:rsidRPr="000820BE" w:rsidRDefault="00BF3584" w:rsidP="000820BE">
            <w:pPr>
              <w:spacing w:after="0" w:line="240" w:lineRule="auto"/>
              <w:jc w:val="both"/>
              <w:rPr>
                <w:rFonts w:cstheme="minorHAnsi"/>
                <w:color w:val="DF3350"/>
                <w:sz w:val="24"/>
                <w:szCs w:val="24"/>
              </w:rPr>
            </w:pPr>
            <w:r w:rsidRPr="000820BE">
              <w:rPr>
                <w:rFonts w:cstheme="minorHAnsi"/>
                <w:b/>
                <w:bCs/>
                <w:color w:val="DF3350"/>
                <w:sz w:val="24"/>
                <w:szCs w:val="24"/>
              </w:rPr>
              <w:t>2019</w:t>
            </w:r>
          </w:p>
        </w:tc>
      </w:tr>
      <w:tr w:rsidR="001A5075" w:rsidRPr="000820BE" w14:paraId="4BEA1771" w14:textId="77777777" w:rsidTr="00DF0593">
        <w:trPr>
          <w:jc w:val="center"/>
        </w:trPr>
        <w:tc>
          <w:tcPr>
            <w:tcW w:w="978" w:type="dxa"/>
            <w:vMerge w:val="restart"/>
            <w:shd w:val="clear" w:color="auto" w:fill="FADECB"/>
            <w:tcMar>
              <w:top w:w="0" w:type="dxa"/>
              <w:left w:w="108" w:type="dxa"/>
              <w:bottom w:w="0" w:type="dxa"/>
              <w:right w:w="108" w:type="dxa"/>
            </w:tcMar>
            <w:hideMark/>
          </w:tcPr>
          <w:p w14:paraId="066330D2" w14:textId="77777777" w:rsidR="001A5075" w:rsidRPr="000820BE" w:rsidRDefault="001A5075" w:rsidP="000820BE">
            <w:pPr>
              <w:spacing w:after="0" w:line="240" w:lineRule="auto"/>
              <w:jc w:val="both"/>
              <w:rPr>
                <w:rFonts w:cstheme="minorHAnsi"/>
                <w:color w:val="DF3350"/>
                <w:sz w:val="24"/>
                <w:szCs w:val="24"/>
              </w:rPr>
            </w:pPr>
            <w:r w:rsidRPr="000820BE">
              <w:rPr>
                <w:rFonts w:cstheme="minorHAnsi"/>
                <w:color w:val="DF3350"/>
                <w:sz w:val="24"/>
                <w:szCs w:val="24"/>
              </w:rPr>
              <w:t>-10,7%</w:t>
            </w:r>
          </w:p>
        </w:tc>
        <w:tc>
          <w:tcPr>
            <w:tcW w:w="978" w:type="dxa"/>
            <w:vMerge w:val="restart"/>
            <w:shd w:val="clear" w:color="auto" w:fill="FADECB"/>
            <w:tcMar>
              <w:top w:w="0" w:type="dxa"/>
              <w:left w:w="108" w:type="dxa"/>
              <w:bottom w:w="0" w:type="dxa"/>
              <w:right w:w="108" w:type="dxa"/>
            </w:tcMar>
            <w:hideMark/>
          </w:tcPr>
          <w:p w14:paraId="26549399" w14:textId="77777777" w:rsidR="001A5075" w:rsidRPr="000820BE" w:rsidRDefault="001A5075" w:rsidP="000820BE">
            <w:pPr>
              <w:spacing w:after="0" w:line="240" w:lineRule="auto"/>
              <w:jc w:val="both"/>
              <w:rPr>
                <w:rFonts w:cstheme="minorHAnsi"/>
                <w:color w:val="DF3350"/>
                <w:sz w:val="24"/>
                <w:szCs w:val="24"/>
              </w:rPr>
            </w:pPr>
            <w:r w:rsidRPr="000820BE">
              <w:rPr>
                <w:rFonts w:cstheme="minorHAnsi"/>
                <w:color w:val="DF3350"/>
                <w:sz w:val="24"/>
                <w:szCs w:val="24"/>
              </w:rPr>
              <w:t>-5,7%</w:t>
            </w:r>
          </w:p>
        </w:tc>
        <w:tc>
          <w:tcPr>
            <w:tcW w:w="978" w:type="dxa"/>
            <w:vMerge w:val="restart"/>
            <w:shd w:val="clear" w:color="auto" w:fill="FADECB"/>
            <w:tcMar>
              <w:top w:w="0" w:type="dxa"/>
              <w:left w:w="108" w:type="dxa"/>
              <w:bottom w:w="0" w:type="dxa"/>
              <w:right w:w="108" w:type="dxa"/>
            </w:tcMar>
            <w:hideMark/>
          </w:tcPr>
          <w:p w14:paraId="15AF2DF9" w14:textId="77777777" w:rsidR="001A5075" w:rsidRPr="000820BE" w:rsidRDefault="001A5075" w:rsidP="000820BE">
            <w:pPr>
              <w:spacing w:after="0" w:line="240" w:lineRule="auto"/>
              <w:jc w:val="both"/>
              <w:rPr>
                <w:rFonts w:cstheme="minorHAnsi"/>
                <w:color w:val="DF3350"/>
                <w:sz w:val="24"/>
                <w:szCs w:val="24"/>
              </w:rPr>
            </w:pPr>
            <w:r w:rsidRPr="000820BE">
              <w:rPr>
                <w:rFonts w:cstheme="minorHAnsi"/>
                <w:color w:val="DF3350"/>
                <w:sz w:val="24"/>
                <w:szCs w:val="24"/>
              </w:rPr>
              <w:t>-3,0%</w:t>
            </w:r>
          </w:p>
        </w:tc>
        <w:tc>
          <w:tcPr>
            <w:tcW w:w="978" w:type="dxa"/>
            <w:vMerge w:val="restart"/>
            <w:shd w:val="clear" w:color="auto" w:fill="FADECB"/>
            <w:tcMar>
              <w:top w:w="0" w:type="dxa"/>
              <w:left w:w="108" w:type="dxa"/>
              <w:bottom w:w="0" w:type="dxa"/>
              <w:right w:w="108" w:type="dxa"/>
            </w:tcMar>
            <w:hideMark/>
          </w:tcPr>
          <w:p w14:paraId="7C8377AE" w14:textId="77777777" w:rsidR="001A5075" w:rsidRPr="000820BE" w:rsidRDefault="001A5075" w:rsidP="000820BE">
            <w:pPr>
              <w:spacing w:after="0" w:line="240" w:lineRule="auto"/>
              <w:jc w:val="both"/>
              <w:rPr>
                <w:rFonts w:cstheme="minorHAnsi"/>
                <w:color w:val="DF3350"/>
                <w:sz w:val="24"/>
                <w:szCs w:val="24"/>
              </w:rPr>
            </w:pPr>
            <w:r w:rsidRPr="000820BE">
              <w:rPr>
                <w:rFonts w:cstheme="minorHAnsi"/>
                <w:color w:val="DF3350"/>
                <w:sz w:val="24"/>
                <w:szCs w:val="24"/>
              </w:rPr>
              <w:t>+1,1%</w:t>
            </w:r>
          </w:p>
        </w:tc>
        <w:tc>
          <w:tcPr>
            <w:tcW w:w="978" w:type="dxa"/>
            <w:vMerge w:val="restart"/>
            <w:shd w:val="clear" w:color="auto" w:fill="FADECB"/>
            <w:tcMar>
              <w:top w:w="0" w:type="dxa"/>
              <w:left w:w="108" w:type="dxa"/>
              <w:bottom w:w="0" w:type="dxa"/>
              <w:right w:w="108" w:type="dxa"/>
            </w:tcMar>
            <w:hideMark/>
          </w:tcPr>
          <w:p w14:paraId="5A934053" w14:textId="77777777" w:rsidR="001A5075" w:rsidRPr="000820BE" w:rsidRDefault="001A5075" w:rsidP="000820BE">
            <w:pPr>
              <w:spacing w:after="0" w:line="240" w:lineRule="auto"/>
              <w:jc w:val="both"/>
              <w:rPr>
                <w:rFonts w:cstheme="minorHAnsi"/>
                <w:color w:val="DF3350"/>
                <w:sz w:val="24"/>
                <w:szCs w:val="24"/>
              </w:rPr>
            </w:pPr>
            <w:r w:rsidRPr="000820BE">
              <w:rPr>
                <w:rFonts w:cstheme="minorHAnsi"/>
                <w:color w:val="DF3350"/>
                <w:sz w:val="24"/>
                <w:szCs w:val="24"/>
              </w:rPr>
              <w:t>+1,9%</w:t>
            </w:r>
          </w:p>
        </w:tc>
        <w:tc>
          <w:tcPr>
            <w:tcW w:w="978" w:type="dxa"/>
            <w:vMerge w:val="restart"/>
            <w:shd w:val="clear" w:color="auto" w:fill="FADECB"/>
            <w:tcMar>
              <w:top w:w="0" w:type="dxa"/>
              <w:left w:w="108" w:type="dxa"/>
              <w:bottom w:w="0" w:type="dxa"/>
              <w:right w:w="108" w:type="dxa"/>
            </w:tcMar>
            <w:hideMark/>
          </w:tcPr>
          <w:p w14:paraId="5E17A291" w14:textId="77777777" w:rsidR="001A5075" w:rsidRPr="000820BE" w:rsidRDefault="001A5075" w:rsidP="000820BE">
            <w:pPr>
              <w:spacing w:after="0" w:line="240" w:lineRule="auto"/>
              <w:jc w:val="both"/>
              <w:rPr>
                <w:rFonts w:cstheme="minorHAnsi"/>
                <w:color w:val="DF3350"/>
                <w:sz w:val="24"/>
                <w:szCs w:val="24"/>
              </w:rPr>
            </w:pPr>
            <w:r w:rsidRPr="000820BE">
              <w:rPr>
                <w:rFonts w:cstheme="minorHAnsi"/>
                <w:color w:val="DF3350"/>
                <w:sz w:val="24"/>
                <w:szCs w:val="24"/>
              </w:rPr>
              <w:t>+1,9%</w:t>
            </w:r>
          </w:p>
        </w:tc>
        <w:tc>
          <w:tcPr>
            <w:tcW w:w="1328" w:type="dxa"/>
            <w:shd w:val="clear" w:color="auto" w:fill="FADECB"/>
            <w:tcMar>
              <w:top w:w="0" w:type="dxa"/>
              <w:left w:w="108" w:type="dxa"/>
              <w:bottom w:w="0" w:type="dxa"/>
              <w:right w:w="108" w:type="dxa"/>
            </w:tcMar>
            <w:hideMark/>
          </w:tcPr>
          <w:p w14:paraId="4BC47C87" w14:textId="77777777" w:rsidR="001A5075" w:rsidRPr="000820BE" w:rsidRDefault="001A5075" w:rsidP="000820BE">
            <w:pPr>
              <w:spacing w:after="0" w:line="240" w:lineRule="auto"/>
              <w:jc w:val="both"/>
              <w:rPr>
                <w:rFonts w:cstheme="minorHAnsi"/>
                <w:color w:val="DF3350"/>
                <w:sz w:val="24"/>
                <w:szCs w:val="24"/>
              </w:rPr>
            </w:pPr>
            <w:r w:rsidRPr="000820BE">
              <w:rPr>
                <w:rFonts w:cstheme="minorHAnsi"/>
                <w:color w:val="DF3350"/>
                <w:sz w:val="24"/>
                <w:szCs w:val="24"/>
              </w:rPr>
              <w:t>+2,9%</w:t>
            </w:r>
          </w:p>
        </w:tc>
      </w:tr>
      <w:tr w:rsidR="001A5075" w:rsidRPr="000820BE" w14:paraId="08A7B580" w14:textId="77777777" w:rsidTr="002B2371">
        <w:trPr>
          <w:jc w:val="center"/>
        </w:trPr>
        <w:tc>
          <w:tcPr>
            <w:tcW w:w="978" w:type="dxa"/>
            <w:vMerge/>
            <w:tcBorders>
              <w:bottom w:val="single" w:sz="8" w:space="0" w:color="ED7D31"/>
            </w:tcBorders>
            <w:shd w:val="clear" w:color="auto" w:fill="FADECB"/>
            <w:tcMar>
              <w:top w:w="0" w:type="dxa"/>
              <w:left w:w="108" w:type="dxa"/>
              <w:bottom w:w="0" w:type="dxa"/>
              <w:right w:w="108" w:type="dxa"/>
            </w:tcMar>
          </w:tcPr>
          <w:p w14:paraId="3EE48A45" w14:textId="77777777" w:rsidR="001A5075" w:rsidRPr="000820BE" w:rsidRDefault="001A5075" w:rsidP="000820BE">
            <w:pPr>
              <w:spacing w:after="0" w:line="240" w:lineRule="auto"/>
              <w:jc w:val="both"/>
              <w:rPr>
                <w:rFonts w:cstheme="minorHAnsi"/>
                <w:color w:val="DF3350"/>
                <w:sz w:val="24"/>
                <w:szCs w:val="24"/>
              </w:rPr>
            </w:pPr>
          </w:p>
        </w:tc>
        <w:tc>
          <w:tcPr>
            <w:tcW w:w="978" w:type="dxa"/>
            <w:vMerge/>
            <w:tcBorders>
              <w:bottom w:val="single" w:sz="8" w:space="0" w:color="ED7D31"/>
            </w:tcBorders>
            <w:shd w:val="clear" w:color="auto" w:fill="FADECB"/>
            <w:tcMar>
              <w:top w:w="0" w:type="dxa"/>
              <w:left w:w="108" w:type="dxa"/>
              <w:bottom w:w="0" w:type="dxa"/>
              <w:right w:w="108" w:type="dxa"/>
            </w:tcMar>
          </w:tcPr>
          <w:p w14:paraId="60995D05" w14:textId="77777777" w:rsidR="001A5075" w:rsidRPr="000820BE" w:rsidRDefault="001A5075" w:rsidP="000820BE">
            <w:pPr>
              <w:spacing w:after="0" w:line="240" w:lineRule="auto"/>
              <w:jc w:val="both"/>
              <w:rPr>
                <w:rFonts w:cstheme="minorHAnsi"/>
                <w:color w:val="DF3350"/>
                <w:sz w:val="24"/>
                <w:szCs w:val="24"/>
              </w:rPr>
            </w:pPr>
          </w:p>
        </w:tc>
        <w:tc>
          <w:tcPr>
            <w:tcW w:w="978" w:type="dxa"/>
            <w:vMerge/>
            <w:tcBorders>
              <w:bottom w:val="single" w:sz="8" w:space="0" w:color="ED7D31"/>
            </w:tcBorders>
            <w:shd w:val="clear" w:color="auto" w:fill="FADECB"/>
            <w:tcMar>
              <w:top w:w="0" w:type="dxa"/>
              <w:left w:w="108" w:type="dxa"/>
              <w:bottom w:w="0" w:type="dxa"/>
              <w:right w:w="108" w:type="dxa"/>
            </w:tcMar>
          </w:tcPr>
          <w:p w14:paraId="76926E7E" w14:textId="77777777" w:rsidR="001A5075" w:rsidRPr="000820BE" w:rsidRDefault="001A5075" w:rsidP="000820BE">
            <w:pPr>
              <w:spacing w:after="0" w:line="240" w:lineRule="auto"/>
              <w:jc w:val="both"/>
              <w:rPr>
                <w:rFonts w:cstheme="minorHAnsi"/>
                <w:color w:val="DF3350"/>
                <w:sz w:val="24"/>
                <w:szCs w:val="24"/>
              </w:rPr>
            </w:pPr>
          </w:p>
        </w:tc>
        <w:tc>
          <w:tcPr>
            <w:tcW w:w="978" w:type="dxa"/>
            <w:vMerge/>
            <w:tcBorders>
              <w:bottom w:val="single" w:sz="8" w:space="0" w:color="ED7D31"/>
            </w:tcBorders>
            <w:shd w:val="clear" w:color="auto" w:fill="FADECB"/>
            <w:tcMar>
              <w:top w:w="0" w:type="dxa"/>
              <w:left w:w="108" w:type="dxa"/>
              <w:bottom w:w="0" w:type="dxa"/>
              <w:right w:w="108" w:type="dxa"/>
            </w:tcMar>
          </w:tcPr>
          <w:p w14:paraId="6AA5C444" w14:textId="77777777" w:rsidR="001A5075" w:rsidRPr="000820BE" w:rsidRDefault="001A5075" w:rsidP="000820BE">
            <w:pPr>
              <w:spacing w:after="0" w:line="240" w:lineRule="auto"/>
              <w:jc w:val="both"/>
              <w:rPr>
                <w:rFonts w:cstheme="minorHAnsi"/>
                <w:color w:val="DF3350"/>
                <w:sz w:val="24"/>
                <w:szCs w:val="24"/>
              </w:rPr>
            </w:pPr>
          </w:p>
        </w:tc>
        <w:tc>
          <w:tcPr>
            <w:tcW w:w="978" w:type="dxa"/>
            <w:vMerge/>
            <w:tcBorders>
              <w:bottom w:val="single" w:sz="8" w:space="0" w:color="ED7D31"/>
            </w:tcBorders>
            <w:shd w:val="clear" w:color="auto" w:fill="FADECB"/>
            <w:tcMar>
              <w:top w:w="0" w:type="dxa"/>
              <w:left w:w="108" w:type="dxa"/>
              <w:bottom w:w="0" w:type="dxa"/>
              <w:right w:w="108" w:type="dxa"/>
            </w:tcMar>
          </w:tcPr>
          <w:p w14:paraId="74676581" w14:textId="77777777" w:rsidR="001A5075" w:rsidRPr="000820BE" w:rsidRDefault="001A5075" w:rsidP="000820BE">
            <w:pPr>
              <w:spacing w:after="0" w:line="240" w:lineRule="auto"/>
              <w:jc w:val="both"/>
              <w:rPr>
                <w:rFonts w:cstheme="minorHAnsi"/>
                <w:color w:val="DF3350"/>
                <w:sz w:val="24"/>
                <w:szCs w:val="24"/>
              </w:rPr>
            </w:pPr>
          </w:p>
        </w:tc>
        <w:tc>
          <w:tcPr>
            <w:tcW w:w="978" w:type="dxa"/>
            <w:vMerge/>
            <w:tcBorders>
              <w:bottom w:val="single" w:sz="8" w:space="0" w:color="ED7D31"/>
            </w:tcBorders>
            <w:shd w:val="clear" w:color="auto" w:fill="FADECB"/>
            <w:tcMar>
              <w:top w:w="0" w:type="dxa"/>
              <w:left w:w="108" w:type="dxa"/>
              <w:bottom w:w="0" w:type="dxa"/>
              <w:right w:w="108" w:type="dxa"/>
            </w:tcMar>
          </w:tcPr>
          <w:p w14:paraId="3DADE8EB" w14:textId="77777777" w:rsidR="001A5075" w:rsidRPr="000820BE" w:rsidRDefault="001A5075" w:rsidP="000820BE">
            <w:pPr>
              <w:spacing w:after="0" w:line="240" w:lineRule="auto"/>
              <w:jc w:val="both"/>
              <w:rPr>
                <w:rFonts w:cstheme="minorHAnsi"/>
                <w:color w:val="DF3350"/>
                <w:sz w:val="24"/>
                <w:szCs w:val="24"/>
              </w:rPr>
            </w:pPr>
          </w:p>
        </w:tc>
        <w:tc>
          <w:tcPr>
            <w:tcW w:w="1328" w:type="dxa"/>
            <w:tcBorders>
              <w:top w:val="nil"/>
              <w:bottom w:val="single" w:sz="8" w:space="0" w:color="ED7D31"/>
              <w:right w:val="nil"/>
            </w:tcBorders>
            <w:shd w:val="clear" w:color="auto" w:fill="FADECB"/>
            <w:tcMar>
              <w:top w:w="0" w:type="dxa"/>
              <w:left w:w="108" w:type="dxa"/>
              <w:bottom w:w="0" w:type="dxa"/>
              <w:right w:w="108" w:type="dxa"/>
            </w:tcMar>
          </w:tcPr>
          <w:p w14:paraId="53CD5E4E" w14:textId="77777777" w:rsidR="001A5075" w:rsidRPr="000820BE" w:rsidRDefault="001A5075" w:rsidP="000820BE">
            <w:pPr>
              <w:spacing w:after="0" w:line="240" w:lineRule="auto"/>
              <w:rPr>
                <w:rFonts w:cstheme="minorHAnsi"/>
                <w:color w:val="DF3350"/>
                <w:sz w:val="24"/>
                <w:szCs w:val="24"/>
              </w:rPr>
            </w:pPr>
          </w:p>
        </w:tc>
      </w:tr>
    </w:tbl>
    <w:p w14:paraId="56A97771" w14:textId="77777777" w:rsidR="00BF3584" w:rsidRPr="000820BE" w:rsidRDefault="00BF3584" w:rsidP="000820BE">
      <w:pPr>
        <w:spacing w:after="0" w:line="240" w:lineRule="auto"/>
        <w:jc w:val="both"/>
        <w:rPr>
          <w:rFonts w:cstheme="minorHAnsi"/>
          <w:b/>
          <w:bCs/>
          <w:i/>
          <w:iCs/>
          <w:sz w:val="24"/>
          <w:szCs w:val="24"/>
        </w:rPr>
      </w:pPr>
    </w:p>
    <w:p w14:paraId="3E5812E0" w14:textId="6E74B34A" w:rsidR="00BF3584" w:rsidRPr="000820BE" w:rsidRDefault="00BF3584" w:rsidP="000820BE">
      <w:pPr>
        <w:spacing w:after="0" w:line="240" w:lineRule="auto"/>
        <w:jc w:val="center"/>
        <w:rPr>
          <w:rFonts w:cstheme="minorHAnsi"/>
          <w:b/>
          <w:bCs/>
          <w:color w:val="595959"/>
          <w:sz w:val="24"/>
          <w:szCs w:val="24"/>
        </w:rPr>
      </w:pPr>
      <w:proofErr w:type="gramStart"/>
      <w:r w:rsidRPr="000820BE">
        <w:rPr>
          <w:rFonts w:cstheme="minorHAnsi"/>
          <w:b/>
          <w:bCs/>
          <w:color w:val="595959"/>
          <w:sz w:val="24"/>
          <w:szCs w:val="24"/>
        </w:rPr>
        <w:t>TREND</w:t>
      </w:r>
      <w:proofErr w:type="gramEnd"/>
      <w:r w:rsidRPr="000820BE">
        <w:rPr>
          <w:rFonts w:cstheme="minorHAnsi"/>
          <w:b/>
          <w:bCs/>
          <w:color w:val="595959"/>
          <w:sz w:val="24"/>
          <w:szCs w:val="24"/>
        </w:rPr>
        <w:t xml:space="preserve"> COMPRAVENDITE VERONA CITTA’</w:t>
      </w:r>
    </w:p>
    <w:tbl>
      <w:tblPr>
        <w:tblW w:w="0" w:type="auto"/>
        <w:jc w:val="center"/>
        <w:tblCellMar>
          <w:left w:w="0" w:type="dxa"/>
          <w:right w:w="0" w:type="dxa"/>
        </w:tblCellMar>
        <w:tblLook w:val="04A0" w:firstRow="1" w:lastRow="0" w:firstColumn="1" w:lastColumn="0" w:noHBand="0" w:noVBand="1"/>
      </w:tblPr>
      <w:tblGrid>
        <w:gridCol w:w="1418"/>
        <w:gridCol w:w="1194"/>
        <w:gridCol w:w="1306"/>
        <w:gridCol w:w="1306"/>
        <w:gridCol w:w="1306"/>
        <w:gridCol w:w="1306"/>
        <w:gridCol w:w="1306"/>
      </w:tblGrid>
      <w:tr w:rsidR="00BF3584" w:rsidRPr="000820BE" w14:paraId="4211F22A" w14:textId="77777777" w:rsidTr="00BF3584">
        <w:trPr>
          <w:trHeight w:val="384"/>
          <w:jc w:val="center"/>
        </w:trPr>
        <w:tc>
          <w:tcPr>
            <w:tcW w:w="1418" w:type="dxa"/>
            <w:tcBorders>
              <w:top w:val="single" w:sz="8" w:space="0" w:color="ED7D31"/>
              <w:left w:val="nil"/>
              <w:bottom w:val="single" w:sz="8" w:space="0" w:color="ED7D31"/>
              <w:right w:val="nil"/>
            </w:tcBorders>
            <w:tcMar>
              <w:top w:w="0" w:type="dxa"/>
              <w:left w:w="108" w:type="dxa"/>
              <w:bottom w:w="0" w:type="dxa"/>
              <w:right w:w="108" w:type="dxa"/>
            </w:tcMar>
            <w:hideMark/>
          </w:tcPr>
          <w:p w14:paraId="53D8F9A2" w14:textId="77777777" w:rsidR="00BF3584" w:rsidRPr="000820BE" w:rsidRDefault="00BF3584" w:rsidP="000820BE">
            <w:pPr>
              <w:spacing w:after="0" w:line="240" w:lineRule="auto"/>
              <w:jc w:val="center"/>
              <w:rPr>
                <w:rFonts w:cstheme="minorHAnsi"/>
                <w:b/>
                <w:bCs/>
                <w:color w:val="DF3350"/>
                <w:sz w:val="24"/>
                <w:szCs w:val="24"/>
              </w:rPr>
            </w:pPr>
            <w:r w:rsidRPr="000820BE">
              <w:rPr>
                <w:rFonts w:cstheme="minorHAnsi"/>
                <w:color w:val="DF3350"/>
                <w:sz w:val="24"/>
                <w:szCs w:val="24"/>
              </w:rPr>
              <w:t>2013</w:t>
            </w:r>
          </w:p>
        </w:tc>
        <w:tc>
          <w:tcPr>
            <w:tcW w:w="1194" w:type="dxa"/>
            <w:tcBorders>
              <w:top w:val="single" w:sz="8" w:space="0" w:color="ED7D31"/>
              <w:left w:val="nil"/>
              <w:bottom w:val="single" w:sz="8" w:space="0" w:color="ED7D31"/>
              <w:right w:val="nil"/>
            </w:tcBorders>
            <w:tcMar>
              <w:top w:w="0" w:type="dxa"/>
              <w:left w:w="108" w:type="dxa"/>
              <w:bottom w:w="0" w:type="dxa"/>
              <w:right w:w="108" w:type="dxa"/>
            </w:tcMar>
            <w:hideMark/>
          </w:tcPr>
          <w:p w14:paraId="45EDA906" w14:textId="77777777" w:rsidR="00BF3584" w:rsidRPr="000820BE" w:rsidRDefault="00BF3584" w:rsidP="000820BE">
            <w:pPr>
              <w:spacing w:after="0" w:line="240" w:lineRule="auto"/>
              <w:jc w:val="center"/>
              <w:rPr>
                <w:rFonts w:cstheme="minorHAnsi"/>
                <w:b/>
                <w:bCs/>
                <w:color w:val="DF3350"/>
                <w:sz w:val="24"/>
                <w:szCs w:val="24"/>
              </w:rPr>
            </w:pPr>
            <w:r w:rsidRPr="000820BE">
              <w:rPr>
                <w:rFonts w:cstheme="minorHAnsi"/>
                <w:color w:val="DF3350"/>
                <w:sz w:val="24"/>
                <w:szCs w:val="24"/>
              </w:rPr>
              <w:t>2014</w:t>
            </w:r>
          </w:p>
        </w:tc>
        <w:tc>
          <w:tcPr>
            <w:tcW w:w="1306" w:type="dxa"/>
            <w:tcBorders>
              <w:top w:val="single" w:sz="8" w:space="0" w:color="ED7D31"/>
              <w:left w:val="nil"/>
              <w:bottom w:val="single" w:sz="8" w:space="0" w:color="ED7D31"/>
              <w:right w:val="nil"/>
            </w:tcBorders>
            <w:tcMar>
              <w:top w:w="0" w:type="dxa"/>
              <w:left w:w="108" w:type="dxa"/>
              <w:bottom w:w="0" w:type="dxa"/>
              <w:right w:w="108" w:type="dxa"/>
            </w:tcMar>
            <w:hideMark/>
          </w:tcPr>
          <w:p w14:paraId="497A179B" w14:textId="77777777" w:rsidR="00BF3584" w:rsidRPr="000820BE" w:rsidRDefault="00BF3584" w:rsidP="000820BE">
            <w:pPr>
              <w:spacing w:after="0" w:line="240" w:lineRule="auto"/>
              <w:jc w:val="center"/>
              <w:rPr>
                <w:rFonts w:cstheme="minorHAnsi"/>
                <w:b/>
                <w:bCs/>
                <w:color w:val="DF3350"/>
                <w:sz w:val="24"/>
                <w:szCs w:val="24"/>
              </w:rPr>
            </w:pPr>
            <w:r w:rsidRPr="000820BE">
              <w:rPr>
                <w:rFonts w:cstheme="minorHAnsi"/>
                <w:color w:val="DF3350"/>
                <w:sz w:val="24"/>
                <w:szCs w:val="24"/>
              </w:rPr>
              <w:t>2015</w:t>
            </w:r>
          </w:p>
        </w:tc>
        <w:tc>
          <w:tcPr>
            <w:tcW w:w="1306" w:type="dxa"/>
            <w:tcBorders>
              <w:top w:val="single" w:sz="8" w:space="0" w:color="ED7D31"/>
              <w:left w:val="nil"/>
              <w:bottom w:val="single" w:sz="8" w:space="0" w:color="ED7D31"/>
              <w:right w:val="nil"/>
            </w:tcBorders>
            <w:tcMar>
              <w:top w:w="0" w:type="dxa"/>
              <w:left w:w="108" w:type="dxa"/>
              <w:bottom w:w="0" w:type="dxa"/>
              <w:right w:w="108" w:type="dxa"/>
            </w:tcMar>
            <w:hideMark/>
          </w:tcPr>
          <w:p w14:paraId="6BE879A3" w14:textId="77777777" w:rsidR="00BF3584" w:rsidRPr="000820BE" w:rsidRDefault="00BF3584" w:rsidP="000820BE">
            <w:pPr>
              <w:spacing w:after="0" w:line="240" w:lineRule="auto"/>
              <w:jc w:val="center"/>
              <w:rPr>
                <w:rFonts w:cstheme="minorHAnsi"/>
                <w:b/>
                <w:bCs/>
                <w:color w:val="DF3350"/>
                <w:sz w:val="24"/>
                <w:szCs w:val="24"/>
              </w:rPr>
            </w:pPr>
            <w:r w:rsidRPr="000820BE">
              <w:rPr>
                <w:rFonts w:cstheme="minorHAnsi"/>
                <w:color w:val="DF3350"/>
                <w:sz w:val="24"/>
                <w:szCs w:val="24"/>
              </w:rPr>
              <w:t>2016</w:t>
            </w:r>
          </w:p>
        </w:tc>
        <w:tc>
          <w:tcPr>
            <w:tcW w:w="1306" w:type="dxa"/>
            <w:tcBorders>
              <w:top w:val="single" w:sz="8" w:space="0" w:color="ED7D31"/>
              <w:left w:val="nil"/>
              <w:bottom w:val="single" w:sz="8" w:space="0" w:color="ED7D31"/>
              <w:right w:val="nil"/>
            </w:tcBorders>
            <w:tcMar>
              <w:top w:w="0" w:type="dxa"/>
              <w:left w:w="108" w:type="dxa"/>
              <w:bottom w:w="0" w:type="dxa"/>
              <w:right w:w="108" w:type="dxa"/>
            </w:tcMar>
            <w:hideMark/>
          </w:tcPr>
          <w:p w14:paraId="508F445F" w14:textId="77777777" w:rsidR="00BF3584" w:rsidRPr="000820BE" w:rsidRDefault="00BF3584" w:rsidP="000820BE">
            <w:pPr>
              <w:spacing w:after="0" w:line="240" w:lineRule="auto"/>
              <w:jc w:val="center"/>
              <w:rPr>
                <w:rFonts w:cstheme="minorHAnsi"/>
                <w:b/>
                <w:bCs/>
                <w:color w:val="DF3350"/>
                <w:sz w:val="24"/>
                <w:szCs w:val="24"/>
              </w:rPr>
            </w:pPr>
            <w:r w:rsidRPr="000820BE">
              <w:rPr>
                <w:rFonts w:cstheme="minorHAnsi"/>
                <w:color w:val="DF3350"/>
                <w:sz w:val="24"/>
                <w:szCs w:val="24"/>
              </w:rPr>
              <w:t>2017</w:t>
            </w:r>
          </w:p>
        </w:tc>
        <w:tc>
          <w:tcPr>
            <w:tcW w:w="1306" w:type="dxa"/>
            <w:tcBorders>
              <w:top w:val="single" w:sz="8" w:space="0" w:color="ED7D31"/>
              <w:left w:val="nil"/>
              <w:bottom w:val="single" w:sz="8" w:space="0" w:color="ED7D31"/>
              <w:right w:val="nil"/>
            </w:tcBorders>
            <w:tcMar>
              <w:top w:w="0" w:type="dxa"/>
              <w:left w:w="108" w:type="dxa"/>
              <w:bottom w:w="0" w:type="dxa"/>
              <w:right w:w="108" w:type="dxa"/>
            </w:tcMar>
            <w:hideMark/>
          </w:tcPr>
          <w:p w14:paraId="233EC88E" w14:textId="77777777" w:rsidR="00BF3584" w:rsidRPr="000820BE" w:rsidRDefault="00BF3584" w:rsidP="000820BE">
            <w:pPr>
              <w:spacing w:after="0" w:line="240" w:lineRule="auto"/>
              <w:jc w:val="center"/>
              <w:rPr>
                <w:rFonts w:cstheme="minorHAnsi"/>
                <w:b/>
                <w:bCs/>
                <w:color w:val="DF3350"/>
                <w:sz w:val="24"/>
                <w:szCs w:val="24"/>
              </w:rPr>
            </w:pPr>
            <w:r w:rsidRPr="000820BE">
              <w:rPr>
                <w:rFonts w:cstheme="minorHAnsi"/>
                <w:color w:val="DF3350"/>
                <w:sz w:val="24"/>
                <w:szCs w:val="24"/>
              </w:rPr>
              <w:t>2018</w:t>
            </w:r>
          </w:p>
        </w:tc>
        <w:tc>
          <w:tcPr>
            <w:tcW w:w="1306" w:type="dxa"/>
            <w:tcBorders>
              <w:top w:val="single" w:sz="8" w:space="0" w:color="ED7D31"/>
              <w:left w:val="nil"/>
              <w:bottom w:val="single" w:sz="8" w:space="0" w:color="ED7D31"/>
              <w:right w:val="nil"/>
            </w:tcBorders>
            <w:tcMar>
              <w:top w:w="0" w:type="dxa"/>
              <w:left w:w="108" w:type="dxa"/>
              <w:bottom w:w="0" w:type="dxa"/>
              <w:right w:w="108" w:type="dxa"/>
            </w:tcMar>
            <w:hideMark/>
          </w:tcPr>
          <w:p w14:paraId="3AA0B379" w14:textId="77777777" w:rsidR="00BF3584" w:rsidRPr="000820BE" w:rsidRDefault="00BF3584" w:rsidP="000820BE">
            <w:pPr>
              <w:spacing w:after="0" w:line="240" w:lineRule="auto"/>
              <w:jc w:val="center"/>
              <w:rPr>
                <w:rFonts w:cstheme="minorHAnsi"/>
                <w:color w:val="DF3350"/>
                <w:sz w:val="24"/>
                <w:szCs w:val="24"/>
              </w:rPr>
            </w:pPr>
            <w:r w:rsidRPr="000820BE">
              <w:rPr>
                <w:rFonts w:cstheme="minorHAnsi"/>
                <w:color w:val="DF3350"/>
                <w:sz w:val="24"/>
                <w:szCs w:val="24"/>
              </w:rPr>
              <w:t>2019</w:t>
            </w:r>
          </w:p>
        </w:tc>
      </w:tr>
      <w:tr w:rsidR="00BF3584" w:rsidRPr="000820BE" w14:paraId="23E5E220" w14:textId="77777777" w:rsidTr="00BF3584">
        <w:trPr>
          <w:trHeight w:val="384"/>
          <w:jc w:val="center"/>
        </w:trPr>
        <w:tc>
          <w:tcPr>
            <w:tcW w:w="1418" w:type="dxa"/>
            <w:tcBorders>
              <w:top w:val="nil"/>
              <w:left w:val="nil"/>
              <w:bottom w:val="single" w:sz="8" w:space="0" w:color="ED7D31"/>
              <w:right w:val="nil"/>
            </w:tcBorders>
            <w:shd w:val="clear" w:color="auto" w:fill="FADECB"/>
            <w:tcMar>
              <w:top w:w="0" w:type="dxa"/>
              <w:left w:w="108" w:type="dxa"/>
              <w:bottom w:w="0" w:type="dxa"/>
              <w:right w:w="108" w:type="dxa"/>
            </w:tcMar>
            <w:hideMark/>
          </w:tcPr>
          <w:p w14:paraId="4583FA7E" w14:textId="77777777" w:rsidR="00BF3584" w:rsidRPr="000820BE" w:rsidRDefault="00BF3584" w:rsidP="000820BE">
            <w:pPr>
              <w:spacing w:after="0" w:line="240" w:lineRule="auto"/>
              <w:jc w:val="center"/>
              <w:rPr>
                <w:rFonts w:cstheme="minorHAnsi"/>
                <w:b/>
                <w:bCs/>
                <w:color w:val="DF3350"/>
                <w:sz w:val="24"/>
                <w:szCs w:val="24"/>
              </w:rPr>
            </w:pPr>
            <w:r w:rsidRPr="000820BE">
              <w:rPr>
                <w:rFonts w:cstheme="minorHAnsi"/>
                <w:b/>
                <w:bCs/>
                <w:color w:val="DF3350"/>
                <w:sz w:val="24"/>
                <w:szCs w:val="24"/>
              </w:rPr>
              <w:t>1.961</w:t>
            </w:r>
          </w:p>
        </w:tc>
        <w:tc>
          <w:tcPr>
            <w:tcW w:w="1194" w:type="dxa"/>
            <w:tcBorders>
              <w:top w:val="nil"/>
              <w:left w:val="nil"/>
              <w:bottom w:val="single" w:sz="8" w:space="0" w:color="ED7D31"/>
              <w:right w:val="nil"/>
            </w:tcBorders>
            <w:shd w:val="clear" w:color="auto" w:fill="FADECB"/>
            <w:tcMar>
              <w:top w:w="0" w:type="dxa"/>
              <w:left w:w="108" w:type="dxa"/>
              <w:bottom w:w="0" w:type="dxa"/>
              <w:right w:w="108" w:type="dxa"/>
            </w:tcMar>
            <w:hideMark/>
          </w:tcPr>
          <w:p w14:paraId="732D8751" w14:textId="77777777" w:rsidR="00BF3584" w:rsidRPr="000820BE" w:rsidRDefault="00BF3584" w:rsidP="000820BE">
            <w:pPr>
              <w:spacing w:after="0" w:line="240" w:lineRule="auto"/>
              <w:jc w:val="center"/>
              <w:rPr>
                <w:rFonts w:cstheme="minorHAnsi"/>
                <w:b/>
                <w:bCs/>
                <w:color w:val="DF3350"/>
                <w:sz w:val="24"/>
                <w:szCs w:val="24"/>
              </w:rPr>
            </w:pPr>
            <w:r w:rsidRPr="000820BE">
              <w:rPr>
                <w:rFonts w:cstheme="minorHAnsi"/>
                <w:b/>
                <w:bCs/>
                <w:color w:val="DF3350"/>
                <w:sz w:val="24"/>
                <w:szCs w:val="24"/>
              </w:rPr>
              <w:t>2.258</w:t>
            </w:r>
          </w:p>
        </w:tc>
        <w:tc>
          <w:tcPr>
            <w:tcW w:w="1306" w:type="dxa"/>
            <w:tcBorders>
              <w:top w:val="nil"/>
              <w:left w:val="nil"/>
              <w:bottom w:val="single" w:sz="8" w:space="0" w:color="ED7D31"/>
              <w:right w:val="nil"/>
            </w:tcBorders>
            <w:shd w:val="clear" w:color="auto" w:fill="FADECB"/>
            <w:tcMar>
              <w:top w:w="0" w:type="dxa"/>
              <w:left w:w="108" w:type="dxa"/>
              <w:bottom w:w="0" w:type="dxa"/>
              <w:right w:w="108" w:type="dxa"/>
            </w:tcMar>
            <w:hideMark/>
          </w:tcPr>
          <w:p w14:paraId="34AD1C92" w14:textId="77777777" w:rsidR="00BF3584" w:rsidRPr="000820BE" w:rsidRDefault="00BF3584" w:rsidP="000820BE">
            <w:pPr>
              <w:spacing w:after="0" w:line="240" w:lineRule="auto"/>
              <w:jc w:val="center"/>
              <w:rPr>
                <w:rFonts w:cstheme="minorHAnsi"/>
                <w:b/>
                <w:bCs/>
                <w:color w:val="DF3350"/>
                <w:sz w:val="24"/>
                <w:szCs w:val="24"/>
              </w:rPr>
            </w:pPr>
            <w:r w:rsidRPr="000820BE">
              <w:rPr>
                <w:rFonts w:cstheme="minorHAnsi"/>
                <w:b/>
                <w:bCs/>
                <w:color w:val="DF3350"/>
                <w:sz w:val="24"/>
                <w:szCs w:val="24"/>
              </w:rPr>
              <w:t>2.429</w:t>
            </w:r>
          </w:p>
        </w:tc>
        <w:tc>
          <w:tcPr>
            <w:tcW w:w="1306" w:type="dxa"/>
            <w:tcBorders>
              <w:top w:val="nil"/>
              <w:left w:val="nil"/>
              <w:bottom w:val="single" w:sz="8" w:space="0" w:color="ED7D31"/>
              <w:right w:val="nil"/>
            </w:tcBorders>
            <w:shd w:val="clear" w:color="auto" w:fill="FADECB"/>
            <w:tcMar>
              <w:top w:w="0" w:type="dxa"/>
              <w:left w:w="108" w:type="dxa"/>
              <w:bottom w:w="0" w:type="dxa"/>
              <w:right w:w="108" w:type="dxa"/>
            </w:tcMar>
            <w:hideMark/>
          </w:tcPr>
          <w:p w14:paraId="702DE77A" w14:textId="77777777" w:rsidR="00BF3584" w:rsidRPr="000820BE" w:rsidRDefault="00BF3584" w:rsidP="000820BE">
            <w:pPr>
              <w:spacing w:after="0" w:line="240" w:lineRule="auto"/>
              <w:jc w:val="center"/>
              <w:rPr>
                <w:rFonts w:cstheme="minorHAnsi"/>
                <w:b/>
                <w:bCs/>
                <w:color w:val="DF3350"/>
                <w:sz w:val="24"/>
                <w:szCs w:val="24"/>
              </w:rPr>
            </w:pPr>
            <w:r w:rsidRPr="000820BE">
              <w:rPr>
                <w:rFonts w:cstheme="minorHAnsi"/>
                <w:b/>
                <w:bCs/>
                <w:color w:val="DF3350"/>
                <w:sz w:val="24"/>
                <w:szCs w:val="24"/>
              </w:rPr>
              <w:t>2.956</w:t>
            </w:r>
          </w:p>
        </w:tc>
        <w:tc>
          <w:tcPr>
            <w:tcW w:w="1306" w:type="dxa"/>
            <w:tcBorders>
              <w:top w:val="nil"/>
              <w:left w:val="nil"/>
              <w:bottom w:val="single" w:sz="8" w:space="0" w:color="ED7D31"/>
              <w:right w:val="nil"/>
            </w:tcBorders>
            <w:shd w:val="clear" w:color="auto" w:fill="FADECB"/>
            <w:tcMar>
              <w:top w:w="0" w:type="dxa"/>
              <w:left w:w="108" w:type="dxa"/>
              <w:bottom w:w="0" w:type="dxa"/>
              <w:right w:w="108" w:type="dxa"/>
            </w:tcMar>
            <w:hideMark/>
          </w:tcPr>
          <w:p w14:paraId="2C161661" w14:textId="77777777" w:rsidR="00BF3584" w:rsidRPr="000820BE" w:rsidRDefault="00BF3584" w:rsidP="000820BE">
            <w:pPr>
              <w:spacing w:after="0" w:line="240" w:lineRule="auto"/>
              <w:jc w:val="center"/>
              <w:rPr>
                <w:rFonts w:cstheme="minorHAnsi"/>
                <w:b/>
                <w:bCs/>
                <w:color w:val="DF3350"/>
                <w:sz w:val="24"/>
                <w:szCs w:val="24"/>
              </w:rPr>
            </w:pPr>
            <w:r w:rsidRPr="000820BE">
              <w:rPr>
                <w:rFonts w:cstheme="minorHAnsi"/>
                <w:b/>
                <w:bCs/>
                <w:color w:val="DF3350"/>
                <w:sz w:val="24"/>
                <w:szCs w:val="24"/>
              </w:rPr>
              <w:t>3.193</w:t>
            </w:r>
          </w:p>
        </w:tc>
        <w:tc>
          <w:tcPr>
            <w:tcW w:w="1306" w:type="dxa"/>
            <w:tcBorders>
              <w:top w:val="nil"/>
              <w:left w:val="nil"/>
              <w:bottom w:val="single" w:sz="8" w:space="0" w:color="ED7D31"/>
              <w:right w:val="nil"/>
            </w:tcBorders>
            <w:shd w:val="clear" w:color="auto" w:fill="FADECB"/>
            <w:tcMar>
              <w:top w:w="0" w:type="dxa"/>
              <w:left w:w="108" w:type="dxa"/>
              <w:bottom w:w="0" w:type="dxa"/>
              <w:right w:w="108" w:type="dxa"/>
            </w:tcMar>
            <w:hideMark/>
          </w:tcPr>
          <w:p w14:paraId="66653FCF" w14:textId="77777777" w:rsidR="00BF3584" w:rsidRPr="000820BE" w:rsidRDefault="00BF3584" w:rsidP="000820BE">
            <w:pPr>
              <w:spacing w:after="0" w:line="240" w:lineRule="auto"/>
              <w:jc w:val="center"/>
              <w:rPr>
                <w:rFonts w:cstheme="minorHAnsi"/>
                <w:b/>
                <w:bCs/>
                <w:color w:val="DF3350"/>
                <w:sz w:val="24"/>
                <w:szCs w:val="24"/>
              </w:rPr>
            </w:pPr>
            <w:r w:rsidRPr="000820BE">
              <w:rPr>
                <w:rFonts w:cstheme="minorHAnsi"/>
                <w:b/>
                <w:bCs/>
                <w:color w:val="DF3350"/>
                <w:sz w:val="24"/>
                <w:szCs w:val="24"/>
              </w:rPr>
              <w:t>3.362</w:t>
            </w:r>
          </w:p>
        </w:tc>
        <w:tc>
          <w:tcPr>
            <w:tcW w:w="1306" w:type="dxa"/>
            <w:tcBorders>
              <w:top w:val="nil"/>
              <w:left w:val="nil"/>
              <w:bottom w:val="single" w:sz="8" w:space="0" w:color="ED7D31"/>
              <w:right w:val="nil"/>
            </w:tcBorders>
            <w:shd w:val="clear" w:color="auto" w:fill="FADECB"/>
            <w:tcMar>
              <w:top w:w="0" w:type="dxa"/>
              <w:left w:w="108" w:type="dxa"/>
              <w:bottom w:w="0" w:type="dxa"/>
              <w:right w:w="108" w:type="dxa"/>
            </w:tcMar>
            <w:vAlign w:val="center"/>
            <w:hideMark/>
          </w:tcPr>
          <w:p w14:paraId="554DC75B" w14:textId="77777777" w:rsidR="00BF3584" w:rsidRPr="000820BE" w:rsidRDefault="00BF3584" w:rsidP="000820BE">
            <w:pPr>
              <w:spacing w:after="0" w:line="240" w:lineRule="auto"/>
              <w:jc w:val="center"/>
              <w:rPr>
                <w:rFonts w:cstheme="minorHAnsi"/>
                <w:b/>
                <w:bCs/>
                <w:color w:val="DF3350"/>
                <w:sz w:val="24"/>
                <w:szCs w:val="24"/>
              </w:rPr>
            </w:pPr>
            <w:r w:rsidRPr="000820BE">
              <w:rPr>
                <w:rFonts w:cstheme="minorHAnsi"/>
                <w:b/>
                <w:bCs/>
                <w:color w:val="DF3350"/>
                <w:sz w:val="24"/>
                <w:szCs w:val="24"/>
              </w:rPr>
              <w:t>3.334</w:t>
            </w:r>
          </w:p>
        </w:tc>
      </w:tr>
    </w:tbl>
    <w:p w14:paraId="72007E9E" w14:textId="2ACAE199" w:rsidR="00BF3584" w:rsidRPr="000820BE" w:rsidRDefault="00BF3584" w:rsidP="000820BE">
      <w:pPr>
        <w:spacing w:after="0" w:line="240" w:lineRule="auto"/>
        <w:jc w:val="both"/>
        <w:rPr>
          <w:rFonts w:cstheme="minorHAnsi"/>
          <w:sz w:val="24"/>
          <w:szCs w:val="24"/>
        </w:rPr>
      </w:pPr>
    </w:p>
    <w:p w14:paraId="4D350C6C" w14:textId="14F44BEC" w:rsidR="000820BE" w:rsidRPr="000820BE" w:rsidRDefault="000820BE" w:rsidP="000820BE">
      <w:pPr>
        <w:spacing w:after="0" w:line="240" w:lineRule="auto"/>
        <w:jc w:val="both"/>
        <w:rPr>
          <w:rFonts w:cstheme="minorHAnsi"/>
          <w:b/>
          <w:bCs/>
          <w:color w:val="DF3350"/>
          <w:sz w:val="28"/>
          <w:szCs w:val="28"/>
        </w:rPr>
      </w:pPr>
      <w:proofErr w:type="gramStart"/>
      <w:r w:rsidRPr="000820BE">
        <w:rPr>
          <w:rFonts w:cstheme="minorHAnsi"/>
          <w:b/>
          <w:bCs/>
          <w:color w:val="DF3350"/>
          <w:sz w:val="28"/>
          <w:szCs w:val="28"/>
        </w:rPr>
        <w:t>Trend</w:t>
      </w:r>
      <w:proofErr w:type="gramEnd"/>
    </w:p>
    <w:p w14:paraId="072A7962" w14:textId="379EF7C4" w:rsidR="000820BE" w:rsidRPr="000820BE" w:rsidRDefault="000820BE" w:rsidP="00F54603">
      <w:pPr>
        <w:spacing w:after="0" w:line="240" w:lineRule="auto"/>
        <w:jc w:val="both"/>
        <w:rPr>
          <w:rFonts w:cstheme="minorHAnsi"/>
          <w:sz w:val="24"/>
          <w:szCs w:val="24"/>
        </w:rPr>
      </w:pPr>
      <w:r w:rsidRPr="000820BE">
        <w:rPr>
          <w:rFonts w:cstheme="minorHAnsi"/>
          <w:b/>
          <w:bCs/>
          <w:sz w:val="24"/>
          <w:szCs w:val="24"/>
        </w:rPr>
        <w:t xml:space="preserve">Negli ultimi 10 anni i prezzi a Verona sono diminuiti del 23,1%, contrazione più contenuta rispetto alla media italiana che si attesta a -30,8%. </w:t>
      </w:r>
    </w:p>
    <w:p w14:paraId="443D786F" w14:textId="0542099A" w:rsidR="00C146C4" w:rsidRPr="000820BE" w:rsidRDefault="00C146C4" w:rsidP="000820BE">
      <w:pPr>
        <w:spacing w:after="0" w:line="240" w:lineRule="auto"/>
        <w:jc w:val="both"/>
        <w:rPr>
          <w:rFonts w:cstheme="minorHAnsi"/>
          <w:sz w:val="24"/>
          <w:szCs w:val="24"/>
        </w:rPr>
      </w:pPr>
    </w:p>
    <w:p w14:paraId="5177132A" w14:textId="77777777" w:rsidR="00C146C4" w:rsidRPr="000820BE" w:rsidRDefault="00C146C4" w:rsidP="001A5075">
      <w:pPr>
        <w:spacing w:after="0" w:line="240" w:lineRule="auto"/>
        <w:jc w:val="both"/>
        <w:rPr>
          <w:rFonts w:cstheme="minorHAnsi"/>
          <w:sz w:val="24"/>
          <w:szCs w:val="24"/>
        </w:rPr>
      </w:pPr>
    </w:p>
    <w:p w14:paraId="23F28CB2" w14:textId="77777777" w:rsidR="00C146C4" w:rsidRPr="000820BE" w:rsidRDefault="00C146C4" w:rsidP="00C146C4">
      <w:pPr>
        <w:spacing w:after="0"/>
        <w:jc w:val="center"/>
        <w:rPr>
          <w:rFonts w:cstheme="minorHAnsi"/>
          <w:b/>
          <w:color w:val="595959"/>
          <w:sz w:val="24"/>
          <w:szCs w:val="24"/>
        </w:rPr>
      </w:pPr>
      <w:r w:rsidRPr="000820BE">
        <w:rPr>
          <w:rFonts w:cstheme="minorHAnsi"/>
          <w:b/>
          <w:color w:val="595959"/>
          <w:sz w:val="24"/>
          <w:szCs w:val="24"/>
        </w:rPr>
        <w:t>VARIAZIONI PERCENTUALI DEI PREZZI (II SEMESTRE 2019 rispetto al I SEMESTRE 2019)</w:t>
      </w:r>
    </w:p>
    <w:tbl>
      <w:tblPr>
        <w:tblW w:w="5822" w:type="dxa"/>
        <w:jc w:val="center"/>
        <w:tblCellMar>
          <w:left w:w="70" w:type="dxa"/>
          <w:right w:w="70" w:type="dxa"/>
        </w:tblCellMar>
        <w:tblLook w:val="04A0" w:firstRow="1" w:lastRow="0" w:firstColumn="1" w:lastColumn="0" w:noHBand="0" w:noVBand="1"/>
      </w:tblPr>
      <w:tblGrid>
        <w:gridCol w:w="3742"/>
        <w:gridCol w:w="2080"/>
      </w:tblGrid>
      <w:tr w:rsidR="00C146C4" w:rsidRPr="00C146C4" w14:paraId="5FB2F81D" w14:textId="77777777" w:rsidTr="00C146C4">
        <w:trPr>
          <w:trHeight w:val="348"/>
          <w:jc w:val="center"/>
        </w:trPr>
        <w:tc>
          <w:tcPr>
            <w:tcW w:w="3742" w:type="dxa"/>
            <w:tcBorders>
              <w:top w:val="nil"/>
              <w:left w:val="nil"/>
              <w:bottom w:val="nil"/>
              <w:right w:val="nil"/>
            </w:tcBorders>
            <w:shd w:val="clear" w:color="auto" w:fill="auto"/>
            <w:noWrap/>
            <w:vAlign w:val="bottom"/>
            <w:hideMark/>
          </w:tcPr>
          <w:p w14:paraId="32667ABF" w14:textId="77777777" w:rsidR="00C146C4" w:rsidRPr="00C146C4" w:rsidRDefault="00C146C4" w:rsidP="00C146C4">
            <w:pPr>
              <w:spacing w:after="0" w:line="240" w:lineRule="auto"/>
              <w:rPr>
                <w:rFonts w:eastAsia="Times New Roman" w:cstheme="minorHAnsi"/>
                <w:b/>
                <w:bCs/>
                <w:sz w:val="28"/>
                <w:szCs w:val="28"/>
                <w:lang w:eastAsia="it-IT"/>
              </w:rPr>
            </w:pPr>
            <w:r w:rsidRPr="00C146C4">
              <w:rPr>
                <w:rFonts w:eastAsia="Times New Roman" w:cstheme="minorHAnsi"/>
                <w:b/>
                <w:bCs/>
                <w:sz w:val="28"/>
                <w:szCs w:val="28"/>
                <w:lang w:eastAsia="it-IT"/>
              </w:rPr>
              <w:t>VERONA</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FBE44" w14:textId="77777777" w:rsidR="00C146C4" w:rsidRPr="00C146C4" w:rsidRDefault="00C146C4" w:rsidP="00C146C4">
            <w:pPr>
              <w:spacing w:after="0" w:line="240" w:lineRule="auto"/>
              <w:jc w:val="center"/>
              <w:rPr>
                <w:rFonts w:eastAsia="Times New Roman" w:cstheme="minorHAnsi"/>
                <w:b/>
                <w:bCs/>
                <w:sz w:val="24"/>
                <w:szCs w:val="24"/>
                <w:lang w:eastAsia="it-IT"/>
              </w:rPr>
            </w:pPr>
            <w:r w:rsidRPr="00C146C4">
              <w:rPr>
                <w:rFonts w:eastAsia="Times New Roman" w:cstheme="minorHAnsi"/>
                <w:b/>
                <w:bCs/>
                <w:sz w:val="24"/>
                <w:szCs w:val="24"/>
                <w:lang w:eastAsia="it-IT"/>
              </w:rPr>
              <w:t xml:space="preserve">II </w:t>
            </w:r>
            <w:proofErr w:type="spellStart"/>
            <w:r w:rsidRPr="00C146C4">
              <w:rPr>
                <w:rFonts w:eastAsia="Times New Roman" w:cstheme="minorHAnsi"/>
                <w:b/>
                <w:bCs/>
                <w:sz w:val="24"/>
                <w:szCs w:val="24"/>
                <w:lang w:eastAsia="it-IT"/>
              </w:rPr>
              <w:t>sem</w:t>
            </w:r>
            <w:proofErr w:type="spellEnd"/>
            <w:r w:rsidRPr="00C146C4">
              <w:rPr>
                <w:rFonts w:eastAsia="Times New Roman" w:cstheme="minorHAnsi"/>
                <w:b/>
                <w:bCs/>
                <w:sz w:val="24"/>
                <w:szCs w:val="24"/>
                <w:lang w:eastAsia="it-IT"/>
              </w:rPr>
              <w:t xml:space="preserve"> 2019</w:t>
            </w:r>
          </w:p>
        </w:tc>
      </w:tr>
      <w:tr w:rsidR="00C146C4" w:rsidRPr="00C146C4" w14:paraId="0CFC044B" w14:textId="77777777" w:rsidTr="00C146C4">
        <w:trPr>
          <w:trHeight w:val="300"/>
          <w:jc w:val="center"/>
        </w:trPr>
        <w:tc>
          <w:tcPr>
            <w:tcW w:w="37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56053" w14:textId="77777777" w:rsidR="00C146C4" w:rsidRPr="00C146C4" w:rsidRDefault="00C146C4" w:rsidP="00C146C4">
            <w:pPr>
              <w:spacing w:after="0" w:line="240" w:lineRule="auto"/>
              <w:rPr>
                <w:rFonts w:eastAsia="Times New Roman" w:cstheme="minorHAnsi"/>
                <w:sz w:val="24"/>
                <w:szCs w:val="24"/>
                <w:lang w:eastAsia="it-IT"/>
              </w:rPr>
            </w:pPr>
            <w:r w:rsidRPr="00C146C4">
              <w:rPr>
                <w:rFonts w:eastAsia="Times New Roman" w:cstheme="minorHAnsi"/>
                <w:sz w:val="24"/>
                <w:szCs w:val="24"/>
                <w:lang w:eastAsia="it-IT"/>
              </w:rPr>
              <w:t>Centro</w:t>
            </w:r>
          </w:p>
        </w:tc>
        <w:tc>
          <w:tcPr>
            <w:tcW w:w="2080" w:type="dxa"/>
            <w:tcBorders>
              <w:top w:val="nil"/>
              <w:left w:val="nil"/>
              <w:bottom w:val="single" w:sz="4" w:space="0" w:color="auto"/>
              <w:right w:val="single" w:sz="4" w:space="0" w:color="auto"/>
            </w:tcBorders>
            <w:shd w:val="clear" w:color="auto" w:fill="auto"/>
            <w:noWrap/>
            <w:vAlign w:val="bottom"/>
            <w:hideMark/>
          </w:tcPr>
          <w:p w14:paraId="4DAD50A7" w14:textId="77777777" w:rsidR="00C146C4" w:rsidRPr="00C146C4" w:rsidRDefault="00C146C4" w:rsidP="00C146C4">
            <w:pPr>
              <w:spacing w:after="0" w:line="240" w:lineRule="auto"/>
              <w:jc w:val="center"/>
              <w:rPr>
                <w:rFonts w:eastAsia="Times New Roman" w:cstheme="minorHAnsi"/>
                <w:sz w:val="24"/>
                <w:szCs w:val="24"/>
                <w:lang w:eastAsia="it-IT"/>
              </w:rPr>
            </w:pPr>
            <w:r w:rsidRPr="00C146C4">
              <w:rPr>
                <w:rFonts w:eastAsia="Times New Roman" w:cstheme="minorHAnsi"/>
                <w:sz w:val="24"/>
                <w:szCs w:val="24"/>
                <w:lang w:eastAsia="it-IT"/>
              </w:rPr>
              <w:t>6,4%</w:t>
            </w:r>
          </w:p>
        </w:tc>
      </w:tr>
      <w:tr w:rsidR="00C146C4" w:rsidRPr="00C146C4" w14:paraId="24D733AC" w14:textId="77777777" w:rsidTr="00C146C4">
        <w:trPr>
          <w:trHeight w:val="300"/>
          <w:jc w:val="center"/>
        </w:trPr>
        <w:tc>
          <w:tcPr>
            <w:tcW w:w="3742" w:type="dxa"/>
            <w:tcBorders>
              <w:top w:val="nil"/>
              <w:left w:val="single" w:sz="4" w:space="0" w:color="auto"/>
              <w:bottom w:val="single" w:sz="4" w:space="0" w:color="auto"/>
              <w:right w:val="single" w:sz="4" w:space="0" w:color="auto"/>
            </w:tcBorders>
            <w:shd w:val="clear" w:color="auto" w:fill="auto"/>
            <w:noWrap/>
            <w:vAlign w:val="bottom"/>
            <w:hideMark/>
          </w:tcPr>
          <w:p w14:paraId="3B3D5AC2" w14:textId="77777777" w:rsidR="00C146C4" w:rsidRPr="00C146C4" w:rsidRDefault="00C146C4" w:rsidP="00C146C4">
            <w:pPr>
              <w:spacing w:after="0" w:line="240" w:lineRule="auto"/>
              <w:rPr>
                <w:rFonts w:eastAsia="Times New Roman" w:cstheme="minorHAnsi"/>
                <w:sz w:val="24"/>
                <w:szCs w:val="24"/>
                <w:lang w:eastAsia="it-IT"/>
              </w:rPr>
            </w:pPr>
            <w:r w:rsidRPr="00C146C4">
              <w:rPr>
                <w:rFonts w:eastAsia="Times New Roman" w:cstheme="minorHAnsi"/>
                <w:sz w:val="24"/>
                <w:szCs w:val="24"/>
                <w:lang w:eastAsia="it-IT"/>
              </w:rPr>
              <w:t>Borgo Trento</w:t>
            </w:r>
          </w:p>
        </w:tc>
        <w:tc>
          <w:tcPr>
            <w:tcW w:w="2080" w:type="dxa"/>
            <w:tcBorders>
              <w:top w:val="nil"/>
              <w:left w:val="nil"/>
              <w:bottom w:val="single" w:sz="4" w:space="0" w:color="auto"/>
              <w:right w:val="single" w:sz="4" w:space="0" w:color="auto"/>
            </w:tcBorders>
            <w:shd w:val="clear" w:color="auto" w:fill="auto"/>
            <w:noWrap/>
            <w:vAlign w:val="bottom"/>
            <w:hideMark/>
          </w:tcPr>
          <w:p w14:paraId="3BCF9014" w14:textId="77777777" w:rsidR="00C146C4" w:rsidRPr="00C146C4" w:rsidRDefault="00C146C4" w:rsidP="00C146C4">
            <w:pPr>
              <w:spacing w:after="0" w:line="240" w:lineRule="auto"/>
              <w:jc w:val="center"/>
              <w:rPr>
                <w:rFonts w:eastAsia="Times New Roman" w:cstheme="minorHAnsi"/>
                <w:sz w:val="24"/>
                <w:szCs w:val="24"/>
                <w:lang w:eastAsia="it-IT"/>
              </w:rPr>
            </w:pPr>
            <w:r w:rsidRPr="00C146C4">
              <w:rPr>
                <w:rFonts w:eastAsia="Times New Roman" w:cstheme="minorHAnsi"/>
                <w:sz w:val="24"/>
                <w:szCs w:val="24"/>
                <w:lang w:eastAsia="it-IT"/>
              </w:rPr>
              <w:t>0,0%</w:t>
            </w:r>
          </w:p>
        </w:tc>
      </w:tr>
      <w:tr w:rsidR="00C146C4" w:rsidRPr="00C146C4" w14:paraId="1CC74DDF" w14:textId="77777777" w:rsidTr="00C146C4">
        <w:trPr>
          <w:trHeight w:val="300"/>
          <w:jc w:val="center"/>
        </w:trPr>
        <w:tc>
          <w:tcPr>
            <w:tcW w:w="3742" w:type="dxa"/>
            <w:tcBorders>
              <w:top w:val="nil"/>
              <w:left w:val="single" w:sz="4" w:space="0" w:color="auto"/>
              <w:bottom w:val="single" w:sz="4" w:space="0" w:color="auto"/>
              <w:right w:val="single" w:sz="4" w:space="0" w:color="auto"/>
            </w:tcBorders>
            <w:shd w:val="clear" w:color="auto" w:fill="auto"/>
            <w:noWrap/>
            <w:vAlign w:val="bottom"/>
            <w:hideMark/>
          </w:tcPr>
          <w:p w14:paraId="6EE6103E" w14:textId="77777777" w:rsidR="00C146C4" w:rsidRPr="00C146C4" w:rsidRDefault="00C146C4" w:rsidP="00C146C4">
            <w:pPr>
              <w:spacing w:after="0" w:line="240" w:lineRule="auto"/>
              <w:rPr>
                <w:rFonts w:eastAsia="Times New Roman" w:cstheme="minorHAnsi"/>
                <w:sz w:val="24"/>
                <w:szCs w:val="24"/>
                <w:lang w:eastAsia="it-IT"/>
              </w:rPr>
            </w:pPr>
            <w:r w:rsidRPr="00C146C4">
              <w:rPr>
                <w:rFonts w:eastAsia="Times New Roman" w:cstheme="minorHAnsi"/>
                <w:sz w:val="24"/>
                <w:szCs w:val="24"/>
                <w:lang w:eastAsia="it-IT"/>
              </w:rPr>
              <w:t>Borgo Milano - Stadio - Navigatori</w:t>
            </w:r>
          </w:p>
        </w:tc>
        <w:tc>
          <w:tcPr>
            <w:tcW w:w="2080" w:type="dxa"/>
            <w:tcBorders>
              <w:top w:val="nil"/>
              <w:left w:val="nil"/>
              <w:bottom w:val="single" w:sz="4" w:space="0" w:color="auto"/>
              <w:right w:val="single" w:sz="4" w:space="0" w:color="auto"/>
            </w:tcBorders>
            <w:shd w:val="clear" w:color="auto" w:fill="auto"/>
            <w:noWrap/>
            <w:vAlign w:val="bottom"/>
            <w:hideMark/>
          </w:tcPr>
          <w:p w14:paraId="0B0A14A9" w14:textId="77777777" w:rsidR="00C146C4" w:rsidRPr="00C146C4" w:rsidRDefault="00C146C4" w:rsidP="00C146C4">
            <w:pPr>
              <w:spacing w:after="0" w:line="240" w:lineRule="auto"/>
              <w:jc w:val="center"/>
              <w:rPr>
                <w:rFonts w:eastAsia="Times New Roman" w:cstheme="minorHAnsi"/>
                <w:sz w:val="24"/>
                <w:szCs w:val="24"/>
                <w:lang w:eastAsia="it-IT"/>
              </w:rPr>
            </w:pPr>
            <w:r w:rsidRPr="00C146C4">
              <w:rPr>
                <w:rFonts w:eastAsia="Times New Roman" w:cstheme="minorHAnsi"/>
                <w:sz w:val="24"/>
                <w:szCs w:val="24"/>
                <w:lang w:eastAsia="it-IT"/>
              </w:rPr>
              <w:t>0,0%</w:t>
            </w:r>
          </w:p>
        </w:tc>
      </w:tr>
      <w:tr w:rsidR="00C146C4" w:rsidRPr="00C146C4" w14:paraId="46497211" w14:textId="77777777" w:rsidTr="00C146C4">
        <w:trPr>
          <w:trHeight w:val="300"/>
          <w:jc w:val="center"/>
        </w:trPr>
        <w:tc>
          <w:tcPr>
            <w:tcW w:w="3742" w:type="dxa"/>
            <w:tcBorders>
              <w:top w:val="nil"/>
              <w:left w:val="single" w:sz="4" w:space="0" w:color="auto"/>
              <w:bottom w:val="single" w:sz="4" w:space="0" w:color="auto"/>
              <w:right w:val="single" w:sz="4" w:space="0" w:color="auto"/>
            </w:tcBorders>
            <w:shd w:val="clear" w:color="auto" w:fill="auto"/>
            <w:noWrap/>
            <w:vAlign w:val="bottom"/>
            <w:hideMark/>
          </w:tcPr>
          <w:p w14:paraId="25031983" w14:textId="77777777" w:rsidR="00C146C4" w:rsidRPr="00C146C4" w:rsidRDefault="00C146C4" w:rsidP="00C146C4">
            <w:pPr>
              <w:spacing w:after="0" w:line="240" w:lineRule="auto"/>
              <w:rPr>
                <w:rFonts w:eastAsia="Times New Roman" w:cstheme="minorHAnsi"/>
                <w:sz w:val="24"/>
                <w:szCs w:val="24"/>
                <w:lang w:eastAsia="it-IT"/>
              </w:rPr>
            </w:pPr>
            <w:r w:rsidRPr="00C146C4">
              <w:rPr>
                <w:rFonts w:eastAsia="Times New Roman" w:cstheme="minorHAnsi"/>
                <w:sz w:val="24"/>
                <w:szCs w:val="24"/>
                <w:lang w:eastAsia="it-IT"/>
              </w:rPr>
              <w:t>Borgo Roma - Golosine</w:t>
            </w:r>
          </w:p>
        </w:tc>
        <w:tc>
          <w:tcPr>
            <w:tcW w:w="2080" w:type="dxa"/>
            <w:tcBorders>
              <w:top w:val="nil"/>
              <w:left w:val="nil"/>
              <w:bottom w:val="single" w:sz="4" w:space="0" w:color="auto"/>
              <w:right w:val="single" w:sz="4" w:space="0" w:color="auto"/>
            </w:tcBorders>
            <w:shd w:val="clear" w:color="auto" w:fill="auto"/>
            <w:noWrap/>
            <w:vAlign w:val="bottom"/>
            <w:hideMark/>
          </w:tcPr>
          <w:p w14:paraId="02F68498" w14:textId="77777777" w:rsidR="00C146C4" w:rsidRPr="00C146C4" w:rsidRDefault="00C146C4" w:rsidP="00C146C4">
            <w:pPr>
              <w:spacing w:after="0" w:line="240" w:lineRule="auto"/>
              <w:jc w:val="center"/>
              <w:rPr>
                <w:rFonts w:eastAsia="Times New Roman" w:cstheme="minorHAnsi"/>
                <w:sz w:val="24"/>
                <w:szCs w:val="24"/>
                <w:lang w:eastAsia="it-IT"/>
              </w:rPr>
            </w:pPr>
            <w:r w:rsidRPr="00C146C4">
              <w:rPr>
                <w:rFonts w:eastAsia="Times New Roman" w:cstheme="minorHAnsi"/>
                <w:sz w:val="24"/>
                <w:szCs w:val="24"/>
                <w:lang w:eastAsia="it-IT"/>
              </w:rPr>
              <w:t>3,5%</w:t>
            </w:r>
          </w:p>
        </w:tc>
      </w:tr>
      <w:tr w:rsidR="00C146C4" w:rsidRPr="00C146C4" w14:paraId="40AA0680" w14:textId="77777777" w:rsidTr="00C146C4">
        <w:trPr>
          <w:trHeight w:val="300"/>
          <w:jc w:val="center"/>
        </w:trPr>
        <w:tc>
          <w:tcPr>
            <w:tcW w:w="3742" w:type="dxa"/>
            <w:tcBorders>
              <w:top w:val="nil"/>
              <w:left w:val="single" w:sz="4" w:space="0" w:color="auto"/>
              <w:bottom w:val="single" w:sz="4" w:space="0" w:color="auto"/>
              <w:right w:val="single" w:sz="4" w:space="0" w:color="auto"/>
            </w:tcBorders>
            <w:shd w:val="clear" w:color="auto" w:fill="auto"/>
            <w:noWrap/>
            <w:vAlign w:val="bottom"/>
            <w:hideMark/>
          </w:tcPr>
          <w:p w14:paraId="0AA9CE86" w14:textId="77777777" w:rsidR="00C146C4" w:rsidRPr="00C146C4" w:rsidRDefault="00C146C4" w:rsidP="00C146C4">
            <w:pPr>
              <w:spacing w:after="0" w:line="240" w:lineRule="auto"/>
              <w:rPr>
                <w:rFonts w:eastAsia="Times New Roman" w:cstheme="minorHAnsi"/>
                <w:sz w:val="24"/>
                <w:szCs w:val="24"/>
                <w:lang w:eastAsia="it-IT"/>
              </w:rPr>
            </w:pPr>
            <w:r w:rsidRPr="00C146C4">
              <w:rPr>
                <w:rFonts w:eastAsia="Times New Roman" w:cstheme="minorHAnsi"/>
                <w:sz w:val="24"/>
                <w:szCs w:val="24"/>
                <w:lang w:eastAsia="it-IT"/>
              </w:rPr>
              <w:t>Borgo Venezia</w:t>
            </w:r>
          </w:p>
        </w:tc>
        <w:tc>
          <w:tcPr>
            <w:tcW w:w="2080" w:type="dxa"/>
            <w:tcBorders>
              <w:top w:val="nil"/>
              <w:left w:val="nil"/>
              <w:bottom w:val="single" w:sz="4" w:space="0" w:color="auto"/>
              <w:right w:val="single" w:sz="4" w:space="0" w:color="auto"/>
            </w:tcBorders>
            <w:shd w:val="clear" w:color="auto" w:fill="auto"/>
            <w:noWrap/>
            <w:vAlign w:val="bottom"/>
            <w:hideMark/>
          </w:tcPr>
          <w:p w14:paraId="2F6494B7" w14:textId="77777777" w:rsidR="00C146C4" w:rsidRPr="00C146C4" w:rsidRDefault="00C146C4" w:rsidP="00C146C4">
            <w:pPr>
              <w:spacing w:after="0" w:line="240" w:lineRule="auto"/>
              <w:jc w:val="center"/>
              <w:rPr>
                <w:rFonts w:eastAsia="Times New Roman" w:cstheme="minorHAnsi"/>
                <w:sz w:val="24"/>
                <w:szCs w:val="24"/>
                <w:lang w:eastAsia="it-IT"/>
              </w:rPr>
            </w:pPr>
            <w:r w:rsidRPr="00C146C4">
              <w:rPr>
                <w:rFonts w:eastAsia="Times New Roman" w:cstheme="minorHAnsi"/>
                <w:sz w:val="24"/>
                <w:szCs w:val="24"/>
                <w:lang w:eastAsia="it-IT"/>
              </w:rPr>
              <w:t>1,4%</w:t>
            </w:r>
          </w:p>
        </w:tc>
      </w:tr>
      <w:tr w:rsidR="00C146C4" w:rsidRPr="000820BE" w14:paraId="22F184DD" w14:textId="77777777" w:rsidTr="00C146C4">
        <w:trPr>
          <w:trHeight w:val="300"/>
          <w:jc w:val="center"/>
        </w:trPr>
        <w:tc>
          <w:tcPr>
            <w:tcW w:w="5822" w:type="dxa"/>
            <w:gridSpan w:val="2"/>
            <w:tcBorders>
              <w:top w:val="nil"/>
              <w:left w:val="nil"/>
              <w:bottom w:val="nil"/>
              <w:right w:val="nil"/>
            </w:tcBorders>
            <w:shd w:val="clear" w:color="auto" w:fill="auto"/>
            <w:noWrap/>
            <w:vAlign w:val="bottom"/>
            <w:hideMark/>
          </w:tcPr>
          <w:p w14:paraId="7A1C18D4" w14:textId="53B6E70E" w:rsidR="00C146C4" w:rsidRPr="00C146C4" w:rsidRDefault="00C146C4" w:rsidP="00C146C4">
            <w:pPr>
              <w:spacing w:after="0" w:line="240" w:lineRule="auto"/>
              <w:rPr>
                <w:rFonts w:eastAsia="Times New Roman" w:cstheme="minorHAnsi"/>
                <w:sz w:val="24"/>
                <w:szCs w:val="24"/>
                <w:lang w:eastAsia="it-IT"/>
              </w:rPr>
            </w:pPr>
            <w:r w:rsidRPr="00C146C4">
              <w:rPr>
                <w:rFonts w:eastAsia="Times New Roman" w:cstheme="minorHAnsi"/>
                <w:b/>
                <w:bCs/>
                <w:i/>
                <w:iCs/>
                <w:sz w:val="24"/>
                <w:szCs w:val="24"/>
                <w:lang w:eastAsia="it-IT"/>
              </w:rPr>
              <w:t>Fonte: Ufficio Studi Gruppo Tecnocasa</w:t>
            </w:r>
          </w:p>
        </w:tc>
      </w:tr>
    </w:tbl>
    <w:p w14:paraId="71A66CCC" w14:textId="77777777" w:rsidR="000820BE" w:rsidRPr="000820BE" w:rsidRDefault="000820BE" w:rsidP="000820BE">
      <w:pPr>
        <w:spacing w:before="100" w:beforeAutospacing="1" w:after="0" w:line="240" w:lineRule="auto"/>
        <w:jc w:val="both"/>
        <w:rPr>
          <w:rFonts w:eastAsia="Times New Roman" w:cstheme="minorHAnsi"/>
          <w:b/>
          <w:bCs/>
          <w:i/>
          <w:iCs/>
          <w:sz w:val="18"/>
          <w:szCs w:val="18"/>
          <w:lang w:eastAsia="it-IT"/>
        </w:rPr>
      </w:pPr>
    </w:p>
    <w:p w14:paraId="1B36F078" w14:textId="77777777" w:rsidR="000820BE" w:rsidRPr="000820BE" w:rsidRDefault="000820BE" w:rsidP="000820BE">
      <w:pPr>
        <w:spacing w:before="100" w:beforeAutospacing="1" w:after="0" w:line="240" w:lineRule="auto"/>
        <w:jc w:val="both"/>
        <w:rPr>
          <w:rFonts w:eastAsia="Times New Roman" w:cstheme="minorHAnsi"/>
          <w:b/>
          <w:bCs/>
          <w:i/>
          <w:iCs/>
          <w:sz w:val="18"/>
          <w:szCs w:val="18"/>
          <w:lang w:eastAsia="it-IT"/>
        </w:rPr>
      </w:pPr>
    </w:p>
    <w:p w14:paraId="03AF029E" w14:textId="77777777" w:rsidR="000820BE" w:rsidRPr="000820BE" w:rsidRDefault="000820BE" w:rsidP="000820BE">
      <w:pPr>
        <w:spacing w:before="100" w:beforeAutospacing="1" w:after="0" w:line="240" w:lineRule="auto"/>
        <w:jc w:val="both"/>
        <w:rPr>
          <w:rFonts w:eastAsia="Times New Roman" w:cstheme="minorHAnsi"/>
          <w:b/>
          <w:bCs/>
          <w:i/>
          <w:iCs/>
          <w:sz w:val="18"/>
          <w:szCs w:val="18"/>
          <w:lang w:eastAsia="it-IT"/>
        </w:rPr>
      </w:pPr>
    </w:p>
    <w:p w14:paraId="08AF6AC4" w14:textId="3A36267A" w:rsidR="000820BE" w:rsidRDefault="000820BE" w:rsidP="000820BE">
      <w:pPr>
        <w:spacing w:before="100" w:beforeAutospacing="1" w:after="0" w:line="240" w:lineRule="auto"/>
        <w:jc w:val="both"/>
        <w:rPr>
          <w:b/>
          <w:color w:val="595959"/>
        </w:rPr>
      </w:pPr>
      <w:r w:rsidRPr="00FB5663">
        <w:rPr>
          <w:rFonts w:ascii="Segoe UI" w:eastAsia="Times New Roman" w:hAnsi="Segoe UI" w:cs="Segoe UI"/>
          <w:b/>
          <w:bCs/>
          <w:i/>
          <w:iCs/>
          <w:sz w:val="18"/>
          <w:szCs w:val="18"/>
          <w:lang w:eastAsia="it-IT"/>
        </w:rPr>
        <w:lastRenderedPageBreak/>
        <w:t>NOTA</w:t>
      </w:r>
      <w:r w:rsidRPr="00FB5663">
        <w:rPr>
          <w:rFonts w:ascii="Segoe UI" w:eastAsia="Times New Roman" w:hAnsi="Segoe UI" w:cs="Segoe UI"/>
          <w:i/>
          <w:iCs/>
          <w:sz w:val="18"/>
          <w:szCs w:val="18"/>
          <w:lang w:eastAsia="it-IT"/>
        </w:rPr>
        <w:t>: i prezzi indicati si riferiscono ai valori medi di compravenduto e non a</w:t>
      </w:r>
      <w:r>
        <w:rPr>
          <w:rFonts w:ascii="Segoe UI" w:eastAsia="Times New Roman" w:hAnsi="Segoe UI" w:cs="Segoe UI"/>
          <w:i/>
          <w:iCs/>
          <w:sz w:val="18"/>
          <w:szCs w:val="18"/>
          <w:lang w:eastAsia="it-IT"/>
        </w:rPr>
        <w:t xml:space="preserve"> quelli</w:t>
      </w:r>
      <w:r w:rsidRPr="00FB5663">
        <w:rPr>
          <w:rFonts w:ascii="Segoe UI" w:eastAsia="Times New Roman" w:hAnsi="Segoe UI" w:cs="Segoe UI"/>
          <w:i/>
          <w:iCs/>
          <w:sz w:val="18"/>
          <w:szCs w:val="18"/>
          <w:lang w:eastAsia="it-IT"/>
        </w:rPr>
        <w:t xml:space="preserve"> richiest</w:t>
      </w:r>
      <w:r>
        <w:rPr>
          <w:rFonts w:ascii="Segoe UI" w:eastAsia="Times New Roman" w:hAnsi="Segoe UI" w:cs="Segoe UI"/>
          <w:i/>
          <w:iCs/>
          <w:sz w:val="18"/>
          <w:szCs w:val="18"/>
          <w:lang w:eastAsia="it-IT"/>
        </w:rPr>
        <w:t>i</w:t>
      </w:r>
      <w:r w:rsidRPr="00FB5663">
        <w:rPr>
          <w:rFonts w:ascii="Segoe UI" w:eastAsia="Times New Roman" w:hAnsi="Segoe UI" w:cs="Segoe UI"/>
          <w:i/>
          <w:iCs/>
          <w:sz w:val="18"/>
          <w:szCs w:val="18"/>
          <w:lang w:eastAsia="it-IT"/>
        </w:rPr>
        <w:t xml:space="preserve"> dei proprietari. Incorporano quindi la trattativa con eventuali ribassi.</w:t>
      </w:r>
      <w:r>
        <w:rPr>
          <w:rFonts w:ascii="Segoe UI" w:eastAsia="Times New Roman" w:hAnsi="Segoe UI" w:cs="Segoe UI"/>
          <w:i/>
          <w:iCs/>
          <w:sz w:val="18"/>
          <w:szCs w:val="18"/>
          <w:lang w:eastAsia="it-IT"/>
        </w:rPr>
        <w:t xml:space="preserve"> Le quotazioni</w:t>
      </w:r>
      <w:r w:rsidRPr="00FB5663">
        <w:rPr>
          <w:rFonts w:ascii="Segoe UI" w:eastAsia="Times New Roman" w:hAnsi="Segoe UI" w:cs="Segoe UI"/>
          <w:i/>
          <w:iCs/>
          <w:sz w:val="18"/>
          <w:szCs w:val="18"/>
          <w:lang w:eastAsia="it-IT"/>
        </w:rPr>
        <w:t xml:space="preserve"> si riferiscono a tagli di 80-90 mq. In caso di immobili di metratura inferiore devono essere applicati i correttivi al rialzo.</w:t>
      </w:r>
      <w:r>
        <w:rPr>
          <w:rFonts w:ascii="Segoe UI" w:eastAsia="Times New Roman" w:hAnsi="Segoe UI" w:cs="Segoe UI"/>
          <w:i/>
          <w:iCs/>
          <w:sz w:val="18"/>
          <w:szCs w:val="18"/>
          <w:lang w:eastAsia="it-IT"/>
        </w:rPr>
        <w:t xml:space="preserve"> </w:t>
      </w:r>
      <w:r w:rsidRPr="00FB5663">
        <w:rPr>
          <w:rFonts w:ascii="Segoe UI" w:eastAsia="Times New Roman" w:hAnsi="Segoe UI" w:cs="Segoe UI"/>
          <w:i/>
          <w:iCs/>
          <w:sz w:val="18"/>
          <w:szCs w:val="18"/>
          <w:lang w:eastAsia="it-IT"/>
        </w:rPr>
        <w:t>I valori, inoltre, sono riferiti ad immobili diversi per vetustà (nuovo e usato) e per tipologia (signorile, medio ed economico).</w:t>
      </w:r>
      <w:r>
        <w:rPr>
          <w:rFonts w:ascii="Segoe UI" w:eastAsia="Times New Roman" w:hAnsi="Segoe UI" w:cs="Segoe UI"/>
          <w:i/>
          <w:iCs/>
          <w:sz w:val="18"/>
          <w:szCs w:val="18"/>
          <w:lang w:eastAsia="it-IT"/>
        </w:rPr>
        <w:t xml:space="preserve"> </w:t>
      </w:r>
      <w:r w:rsidRPr="00FB5663">
        <w:rPr>
          <w:rFonts w:ascii="Segoe UI" w:eastAsia="Times New Roman" w:hAnsi="Segoe UI" w:cs="Segoe UI"/>
          <w:i/>
          <w:iCs/>
          <w:sz w:val="18"/>
          <w:szCs w:val="18"/>
          <w:lang w:eastAsia="it-IT"/>
        </w:rPr>
        <w:t xml:space="preserve">Sottolineiamo poi che si tratta di </w:t>
      </w:r>
      <w:r>
        <w:rPr>
          <w:rFonts w:ascii="Segoe UI" w:eastAsia="Times New Roman" w:hAnsi="Segoe UI" w:cs="Segoe UI"/>
          <w:i/>
          <w:iCs/>
          <w:sz w:val="18"/>
          <w:szCs w:val="18"/>
          <w:lang w:eastAsia="it-IT"/>
        </w:rPr>
        <w:t>prezzi</w:t>
      </w:r>
      <w:r w:rsidRPr="00FB5663">
        <w:rPr>
          <w:rFonts w:ascii="Segoe UI" w:eastAsia="Times New Roman" w:hAnsi="Segoe UI" w:cs="Segoe UI"/>
          <w:i/>
          <w:iCs/>
          <w:sz w:val="18"/>
          <w:szCs w:val="18"/>
          <w:lang w:eastAsia="it-IT"/>
        </w:rPr>
        <w:t xml:space="preserve"> medi e quindi orientativi. Ogni immobile per le sue peculiarità e specifiche caratteristiche potrà quindi discostarsene.</w:t>
      </w:r>
    </w:p>
    <w:p w14:paraId="205FB2F0" w14:textId="12606779" w:rsidR="001A5075" w:rsidRDefault="001A5075" w:rsidP="001A5075">
      <w:pPr>
        <w:spacing w:after="0" w:line="240" w:lineRule="auto"/>
        <w:jc w:val="both"/>
      </w:pPr>
    </w:p>
    <w:p w14:paraId="55CF09E6" w14:textId="77777777" w:rsidR="000820BE" w:rsidRPr="000820BE" w:rsidRDefault="000820BE" w:rsidP="000820BE">
      <w:pPr>
        <w:jc w:val="center"/>
        <w:rPr>
          <w:b/>
          <w:color w:val="DF3350"/>
          <w:sz w:val="28"/>
          <w:szCs w:val="28"/>
        </w:rPr>
      </w:pPr>
      <w:r w:rsidRPr="000820BE">
        <w:rPr>
          <w:b/>
          <w:color w:val="DF3350"/>
          <w:sz w:val="28"/>
          <w:szCs w:val="28"/>
        </w:rPr>
        <w:t xml:space="preserve">ANALISI DELLE MACROAREE </w:t>
      </w:r>
    </w:p>
    <w:p w14:paraId="369AC901" w14:textId="18066631" w:rsidR="00AA56A3" w:rsidRDefault="00AA56A3" w:rsidP="007A71C7">
      <w:pPr>
        <w:jc w:val="both"/>
      </w:pPr>
      <w:r>
        <w:t>Nella seconda parte del 2019 le quotazioni degli immobili a Verona hanno registrato un aumento dell’1,7%.</w:t>
      </w:r>
    </w:p>
    <w:p w14:paraId="1FFCBA03" w14:textId="1150736D" w:rsidR="00A7139B" w:rsidRDefault="00A7139B" w:rsidP="007A71C7">
      <w:pPr>
        <w:jc w:val="both"/>
      </w:pPr>
      <w:r>
        <w:t xml:space="preserve">La macroarea centrale è quella che è cresciuta maggiormente nella seconda parte del 2019 con un aumento dei prezzi del 6,4%. Tra i quartieri in salita ci sono </w:t>
      </w:r>
      <w:r w:rsidRPr="00A7139B">
        <w:rPr>
          <w:b/>
          <w:bCs/>
        </w:rPr>
        <w:t>San Zeno e Val Verde</w:t>
      </w:r>
      <w:r>
        <w:t>. Bene anche il centro storico.</w:t>
      </w:r>
    </w:p>
    <w:p w14:paraId="004EE27F" w14:textId="5668E5E0" w:rsidR="00A7139B" w:rsidRDefault="00A7139B" w:rsidP="007A71C7">
      <w:pPr>
        <w:jc w:val="both"/>
      </w:pPr>
      <w:r>
        <w:t xml:space="preserve">Nella seconda parte del 2019 nelle zone di Cittadella i valori immobiliari sono aumentati di poco mentre leggermente superiore è stata quella nei quartieri di Val Verde e San Zeno. A Val Verde l’incremento è stato determinato dall’aumento delle compravendite che hanno avuto come oggetto abitazioni da destinare e B&amp;B e casa vacanza. Infatti, il quartiere si trova non lontano dalla Stazione di Porta Nuova e non lontano dai principali punti turistici. </w:t>
      </w:r>
      <w:proofErr w:type="spellStart"/>
      <w:r>
        <w:t>Val</w:t>
      </w:r>
      <w:proofErr w:type="spellEnd"/>
      <w:r>
        <w:t xml:space="preserve"> Verde si è sviluppata a partire dagli anni ’60, con la realizzazione di servizi e attività commerciali: per un buon usato si devono mettere in conto circa 2000 € al mq. A San Zeno, invece, si sta assistendo ad una riqualificazione del quartiere e alla nascita di nuove attività commerciali. I prezzi sono più contenuti e, per questo motivo, acquistano soprattutto giovani interessati alla prima casa. A S. Zeno ci sono immobili tipici veronesi, spesso privi di ascensore che piacciono soprattutto a coloro che apprezzano questo tipo di abitazione. Una soluzione da ristrutturare costa 1600-1700 € al mq, una già ristrutturata si compravende a prezzi medi di 3200 € al mq. A Cittadella si segnala un mercato abbastanza fermo a causa della bassa offerta immobiliare. Parliamo infatti di una zona in cui si concentrano prevalentemente immobili d’epoca, talvolta, con caratteristiche signorili, in particolare a ridosso dell’Arena e dove si possono trovare anche soluzioni degli anni ’70. Il top di prezzo che si può raggiungere in zona oscilla intorno a 3500 € al mq mentre per un appartamento da ristrutturare si spendono 2000-2200 € al mq (fino a 2500 € al mq per soluzioni piani alti panoramici). Sul mercato delle locazioni si registra un’elevata domanda ma una bassa offerta in parte fagocitata dagli affitti turistici. A cercare casa sono lavoratori fuori sede e coppie giovani.  Il canone di un bilocale oscilla tra 500 e 550 € al mese in base alla zona ed il contratto più utilizzato è quello a canone concordato da 3 anni più 2 con cedolare secca al 10%. Anche per quanto riguarda i box auto si registrano notevoli differenze di prezzo a seconda delle diverse zone e delle diverse vie: si parte da 28 mila € circa per un box singolo a San Zeno per arrivare a 40-45 mila € in zona Cittadella, ma si possono toccare anche quotazioni più elevate.</w:t>
      </w:r>
    </w:p>
    <w:p w14:paraId="591F8763" w14:textId="1BD065E0" w:rsidR="00D7695F" w:rsidRDefault="00D7695F" w:rsidP="007A71C7">
      <w:pPr>
        <w:jc w:val="both"/>
      </w:pPr>
      <w:r>
        <w:t xml:space="preserve">Sostanzialmente stabili le quotazioni immobiliari nel </w:t>
      </w:r>
      <w:r w:rsidRPr="00D7695F">
        <w:rPr>
          <w:b/>
          <w:bCs/>
        </w:rPr>
        <w:t>Centro storico</w:t>
      </w:r>
      <w:r w:rsidR="00FF690B">
        <w:rPr>
          <w:b/>
          <w:bCs/>
        </w:rPr>
        <w:t xml:space="preserve"> - </w:t>
      </w:r>
      <w:r w:rsidR="001A5075">
        <w:rPr>
          <w:b/>
          <w:bCs/>
        </w:rPr>
        <w:t>ZTL</w:t>
      </w:r>
      <w:r>
        <w:t xml:space="preserve"> nella seconda parte dell’anno. Si segnala un mercato dinamico per le soluzioni di piccolo taglio, quasi sempre acquistate per realizzare casa vacanza o B&amp;B mentre si segnala una maggiore difficoltà per la compravendita di tagli grandi, a partire da 150-160 mq, i quali evidenziano ancora una forbice troppo ampia tra le richieste dei proprietari e la disponibilità di spesa dei clienti.  Spesso poi mancano box e posti auto che chi cerca tagli grandi apprezza decisamente. Sulla prima casa si muovono per lo più famiglie in cerca di soluzioni di prestigio oppure coloro che decidono di tornare in centro. Con questa finalità si ricercano perlopiù trilocali e quattro locali, possibilmente inseriti in contesti condominiali ristrutturati nelle parti comuni. Le soluzioni più costose sono quelle che affacciano su piazza delle Erbe e piazza Duomo, molte delle quali spesso sottoposte a vincoli delle belle Arti. Se l’immobile gode dell’affaccio su piazza può raggiungere anche i 5000 € al mq. In generale per una soluzione da ristrutturare si parte da 2800 € al mq, per una ristrutturata da 3500 € al mq. Sempre in zona ZTL sorge il quartiere </w:t>
      </w:r>
      <w:proofErr w:type="gramStart"/>
      <w:r>
        <w:t>Filippini</w:t>
      </w:r>
      <w:proofErr w:type="gramEnd"/>
      <w:r>
        <w:t xml:space="preserve"> caratterizzato da soluzioni più economiche che si attestano intorno a 2100-</w:t>
      </w:r>
      <w:r>
        <w:lastRenderedPageBreak/>
        <w:t xml:space="preserve">2600 € al mq.  Offre soluzioni storiche e soluzioni ricostruite dopo i bombardamenti della </w:t>
      </w:r>
      <w:proofErr w:type="gramStart"/>
      <w:r>
        <w:t>seconda guerra mondiale</w:t>
      </w:r>
      <w:proofErr w:type="gramEnd"/>
      <w:r>
        <w:t xml:space="preserve">. Si tratta di un’area residenziale che, negli ultimi anni, ha visto un buon numero di riqualificazioni ed evidenzia una crescita di interesse da parte degli acquirenti. Da L’offerta di box e di posto auto in centro è molto bassa e questo comporta la presenza di prezzi molto elevati, intorno a 90-100 mila €. </w:t>
      </w:r>
    </w:p>
    <w:p w14:paraId="40D72A14" w14:textId="17F930F2" w:rsidR="00D7695F" w:rsidRDefault="00D7695F" w:rsidP="007A71C7">
      <w:pPr>
        <w:jc w:val="both"/>
      </w:pPr>
      <w:r>
        <w:t xml:space="preserve">Un incremento dei valori del 3,5% ha interessato la macroarea di </w:t>
      </w:r>
      <w:r w:rsidRPr="00D7695F">
        <w:rPr>
          <w:b/>
          <w:bCs/>
        </w:rPr>
        <w:t>Borgo Roma</w:t>
      </w:r>
      <w:r>
        <w:rPr>
          <w:b/>
          <w:bCs/>
        </w:rPr>
        <w:t xml:space="preserve"> </w:t>
      </w:r>
      <w:r w:rsidRPr="00D7695F">
        <w:t>grazie</w:t>
      </w:r>
      <w:r>
        <w:rPr>
          <w:b/>
          <w:bCs/>
        </w:rPr>
        <w:t xml:space="preserve"> </w:t>
      </w:r>
      <w:r w:rsidRPr="00D7695F">
        <w:t xml:space="preserve">all’andamento del quartiere di </w:t>
      </w:r>
      <w:r>
        <w:t>S</w:t>
      </w:r>
      <w:r w:rsidRPr="00D7695F">
        <w:t>anta Lucia</w:t>
      </w:r>
      <w:r>
        <w:t xml:space="preserve">. </w:t>
      </w:r>
    </w:p>
    <w:p w14:paraId="32BED623" w14:textId="7F6D7DAB" w:rsidR="00D7695F" w:rsidRDefault="00D7695F" w:rsidP="007A71C7">
      <w:pPr>
        <w:jc w:val="both"/>
      </w:pPr>
      <w:r w:rsidRPr="00D7695F">
        <w:t>La causa è una minor</w:t>
      </w:r>
      <w:r>
        <w:t>e</w:t>
      </w:r>
      <w:r w:rsidRPr="00D7695F">
        <w:t xml:space="preserve"> offerta di immobili rispetto alla richiesta molto vivace. Si cercano soprattutto abitazioni principali con ricorso al mutuo visto che al momento è più conveniente dell’affitto. Cresce il segmento degli investitori che non impiegano più di </w:t>
      </w:r>
      <w:proofErr w:type="gramStart"/>
      <w:r w:rsidRPr="00D7695F">
        <w:t>100</w:t>
      </w:r>
      <w:proofErr w:type="gramEnd"/>
      <w:r w:rsidRPr="00D7695F">
        <w:t xml:space="preserve"> mila € per acquistare appartamenti con due o tre camere da letto da mettere a reddito. </w:t>
      </w:r>
      <w:proofErr w:type="gramStart"/>
      <w:r w:rsidRPr="00D7695F">
        <w:t>Infatti</w:t>
      </w:r>
      <w:proofErr w:type="gramEnd"/>
      <w:r w:rsidRPr="00D7695F">
        <w:t xml:space="preserve"> anche i canoni di locazione stanno crescendo a causa di una bassa offerta e per un bilocale arredato con box si pagano intorno a 550 € al mese, un trilocale con le stesse caratteristiche costa 100 € in più. Tra le zone apprezzate del quartiere c’è quella delle Brigate, area residenziale, dove le case indipendenti e gli appartamenti degli anni ’60-’70 presentano quotazioni intorno a 1000-1100 € al mq se sono da ristrutturare, mentre per tipologie in buono stato la spesa sale a 1500 € al mq. </w:t>
      </w:r>
    </w:p>
    <w:p w14:paraId="2C4AE186" w14:textId="267B07E7" w:rsidR="00D7695F" w:rsidRDefault="00D7695F" w:rsidP="007A71C7">
      <w:pPr>
        <w:jc w:val="both"/>
      </w:pPr>
      <w:r>
        <w:t xml:space="preserve">Una crescita dell’1,4% ha interessato la macroarea di </w:t>
      </w:r>
      <w:r w:rsidRPr="00D7695F">
        <w:rPr>
          <w:b/>
          <w:bCs/>
        </w:rPr>
        <w:t xml:space="preserve">Borgo Venezia </w:t>
      </w:r>
      <w:r>
        <w:t xml:space="preserve">in seguito all’andamento dei quartieri di Musicisti e Porto San Pancrazio.  </w:t>
      </w:r>
      <w:r w:rsidR="00BF7F49">
        <w:t xml:space="preserve">Stabili i prezzi dei quartieri facenti parte delle macroaree di Borgo Milano e Borgo Trento. </w:t>
      </w:r>
    </w:p>
    <w:sectPr w:rsidR="00D7695F">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50473" w14:textId="77777777" w:rsidR="007A71C7" w:rsidRDefault="007A71C7" w:rsidP="007A71C7">
      <w:pPr>
        <w:spacing w:after="0" w:line="240" w:lineRule="auto"/>
      </w:pPr>
      <w:r>
        <w:separator/>
      </w:r>
    </w:p>
  </w:endnote>
  <w:endnote w:type="continuationSeparator" w:id="0">
    <w:p w14:paraId="66669D90" w14:textId="77777777" w:rsidR="007A71C7" w:rsidRDefault="007A71C7" w:rsidP="007A7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BF9FB" w14:textId="70B9603E" w:rsidR="007A71C7" w:rsidRPr="007A71C7" w:rsidRDefault="007A71C7" w:rsidP="007A71C7">
    <w:pPr>
      <w:pStyle w:val="Pidipagina"/>
      <w:jc w:val="right"/>
      <w:rPr>
        <w:b/>
        <w:i/>
        <w:color w:val="404040"/>
        <w:sz w:val="20"/>
      </w:rPr>
    </w:pPr>
    <w:r w:rsidRPr="000B5A5B">
      <w:rPr>
        <w:b/>
        <w:i/>
        <w:color w:val="404040"/>
        <w:sz w:val="20"/>
      </w:rPr>
      <w:t>Fonte: Ufficio Studi Gruppo Tecnocasa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41888" w14:textId="77777777" w:rsidR="007A71C7" w:rsidRDefault="007A71C7" w:rsidP="007A71C7">
      <w:pPr>
        <w:spacing w:after="0" w:line="240" w:lineRule="auto"/>
      </w:pPr>
      <w:r>
        <w:separator/>
      </w:r>
    </w:p>
  </w:footnote>
  <w:footnote w:type="continuationSeparator" w:id="0">
    <w:p w14:paraId="132F4A26" w14:textId="77777777" w:rsidR="007A71C7" w:rsidRDefault="007A71C7" w:rsidP="007A7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7E095" w14:textId="1BB49C21" w:rsidR="007A71C7" w:rsidRPr="000820BE" w:rsidRDefault="007A71C7" w:rsidP="000820BE">
    <w:pPr>
      <w:spacing w:after="0" w:line="240" w:lineRule="auto"/>
      <w:jc w:val="right"/>
      <w:rPr>
        <w:b/>
        <w:i/>
        <w:color w:val="808080"/>
        <w:sz w:val="20"/>
        <w:szCs w:val="20"/>
      </w:rPr>
    </w:pPr>
    <w:r>
      <w:rPr>
        <w:rFonts w:ascii="Times New Roman" w:eastAsia="Times New Roman" w:hAnsi="Times New Roman"/>
        <w:noProof/>
        <w:sz w:val="24"/>
        <w:szCs w:val="24"/>
        <w:lang w:eastAsia="it-IT"/>
      </w:rPr>
      <w:drawing>
        <wp:inline distT="0" distB="0" distL="0" distR="0" wp14:anchorId="192CD578" wp14:editId="68062C64">
          <wp:extent cx="6115050" cy="825500"/>
          <wp:effectExtent l="0" t="0" r="0" b="0"/>
          <wp:docPr id="1" name="Immagine 1" descr="Banda Rosa Tecnocasa Group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a Rosa Tecnocasa Group 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825500"/>
                  </a:xfrm>
                  <a:prstGeom prst="rect">
                    <a:avLst/>
                  </a:prstGeom>
                  <a:noFill/>
                  <a:ln>
                    <a:noFill/>
                  </a:ln>
                </pic:spPr>
              </pic:pic>
            </a:graphicData>
          </a:graphic>
        </wp:inline>
      </w:drawing>
    </w:r>
    <w:r w:rsidR="000820BE" w:rsidRPr="000820BE">
      <w:rPr>
        <w:b/>
        <w:i/>
        <w:color w:val="808080"/>
        <w:sz w:val="20"/>
        <w:szCs w:val="20"/>
      </w:rPr>
      <w:t xml:space="preserve"> </w:t>
    </w:r>
    <w:r w:rsidR="000820BE" w:rsidRPr="00A46209">
      <w:rPr>
        <w:b/>
        <w:i/>
        <w:color w:val="808080"/>
        <w:sz w:val="20"/>
        <w:szCs w:val="20"/>
      </w:rPr>
      <w:t>OSSERVATORIO IMMOBILIARE TECNOCASA - Mercato Grandi Città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C63"/>
    <w:rsid w:val="000820BE"/>
    <w:rsid w:val="001A5075"/>
    <w:rsid w:val="002F4AB1"/>
    <w:rsid w:val="00400B12"/>
    <w:rsid w:val="004A52CE"/>
    <w:rsid w:val="007A71C7"/>
    <w:rsid w:val="00893C63"/>
    <w:rsid w:val="00A7139B"/>
    <w:rsid w:val="00AA56A3"/>
    <w:rsid w:val="00AA7830"/>
    <w:rsid w:val="00BF3584"/>
    <w:rsid w:val="00BF7F49"/>
    <w:rsid w:val="00C146C4"/>
    <w:rsid w:val="00D41500"/>
    <w:rsid w:val="00D7695F"/>
    <w:rsid w:val="00F54603"/>
    <w:rsid w:val="00FF69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D5035"/>
  <w15:chartTrackingRefBased/>
  <w15:docId w15:val="{2AEB4623-5A35-4C34-9EF9-146C1848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41500"/>
    <w:rPr>
      <w:color w:val="0563C1"/>
      <w:u w:val="single"/>
    </w:rPr>
  </w:style>
  <w:style w:type="paragraph" w:styleId="Intestazione">
    <w:name w:val="header"/>
    <w:basedOn w:val="Normale"/>
    <w:link w:val="IntestazioneCarattere"/>
    <w:uiPriority w:val="99"/>
    <w:unhideWhenUsed/>
    <w:rsid w:val="007A71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71C7"/>
  </w:style>
  <w:style w:type="paragraph" w:styleId="Pidipagina">
    <w:name w:val="footer"/>
    <w:basedOn w:val="Normale"/>
    <w:link w:val="PidipaginaCarattere"/>
    <w:uiPriority w:val="99"/>
    <w:unhideWhenUsed/>
    <w:rsid w:val="007A71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7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50252">
      <w:bodyDiv w:val="1"/>
      <w:marLeft w:val="0"/>
      <w:marRight w:val="0"/>
      <w:marTop w:val="0"/>
      <w:marBottom w:val="0"/>
      <w:divBdr>
        <w:top w:val="none" w:sz="0" w:space="0" w:color="auto"/>
        <w:left w:val="none" w:sz="0" w:space="0" w:color="auto"/>
        <w:bottom w:val="none" w:sz="0" w:space="0" w:color="auto"/>
        <w:right w:val="none" w:sz="0" w:space="0" w:color="auto"/>
      </w:divBdr>
    </w:div>
    <w:div w:id="374500371">
      <w:bodyDiv w:val="1"/>
      <w:marLeft w:val="0"/>
      <w:marRight w:val="0"/>
      <w:marTop w:val="0"/>
      <w:marBottom w:val="0"/>
      <w:divBdr>
        <w:top w:val="none" w:sz="0" w:space="0" w:color="auto"/>
        <w:left w:val="none" w:sz="0" w:space="0" w:color="auto"/>
        <w:bottom w:val="none" w:sz="0" w:space="0" w:color="auto"/>
        <w:right w:val="none" w:sz="0" w:space="0" w:color="auto"/>
      </w:divBdr>
    </w:div>
    <w:div w:id="639923087">
      <w:bodyDiv w:val="1"/>
      <w:marLeft w:val="0"/>
      <w:marRight w:val="0"/>
      <w:marTop w:val="0"/>
      <w:marBottom w:val="0"/>
      <w:divBdr>
        <w:top w:val="none" w:sz="0" w:space="0" w:color="auto"/>
        <w:left w:val="none" w:sz="0" w:space="0" w:color="auto"/>
        <w:bottom w:val="none" w:sz="0" w:space="0" w:color="auto"/>
        <w:right w:val="none" w:sz="0" w:space="0" w:color="auto"/>
      </w:divBdr>
    </w:div>
    <w:div w:id="1369525907">
      <w:bodyDiv w:val="1"/>
      <w:marLeft w:val="0"/>
      <w:marRight w:val="0"/>
      <w:marTop w:val="0"/>
      <w:marBottom w:val="0"/>
      <w:divBdr>
        <w:top w:val="none" w:sz="0" w:space="0" w:color="auto"/>
        <w:left w:val="none" w:sz="0" w:space="0" w:color="auto"/>
        <w:bottom w:val="none" w:sz="0" w:space="0" w:color="auto"/>
        <w:right w:val="none" w:sz="0" w:space="0" w:color="auto"/>
      </w:divBdr>
    </w:div>
    <w:div w:id="1619489222">
      <w:bodyDiv w:val="1"/>
      <w:marLeft w:val="0"/>
      <w:marRight w:val="0"/>
      <w:marTop w:val="0"/>
      <w:marBottom w:val="0"/>
      <w:divBdr>
        <w:top w:val="none" w:sz="0" w:space="0" w:color="auto"/>
        <w:left w:val="none" w:sz="0" w:space="0" w:color="auto"/>
        <w:bottom w:val="none" w:sz="0" w:space="0" w:color="auto"/>
        <w:right w:val="none" w:sz="0" w:space="0" w:color="auto"/>
      </w:divBdr>
    </w:div>
    <w:div w:id="1695301777">
      <w:bodyDiv w:val="1"/>
      <w:marLeft w:val="0"/>
      <w:marRight w:val="0"/>
      <w:marTop w:val="0"/>
      <w:marBottom w:val="0"/>
      <w:divBdr>
        <w:top w:val="none" w:sz="0" w:space="0" w:color="auto"/>
        <w:left w:val="none" w:sz="0" w:space="0" w:color="auto"/>
        <w:bottom w:val="none" w:sz="0" w:space="0" w:color="auto"/>
        <w:right w:val="none" w:sz="0" w:space="0" w:color="auto"/>
      </w:divBdr>
    </w:div>
    <w:div w:id="1780225130">
      <w:bodyDiv w:val="1"/>
      <w:marLeft w:val="0"/>
      <w:marRight w:val="0"/>
      <w:marTop w:val="0"/>
      <w:marBottom w:val="0"/>
      <w:divBdr>
        <w:top w:val="none" w:sz="0" w:space="0" w:color="auto"/>
        <w:left w:val="none" w:sz="0" w:space="0" w:color="auto"/>
        <w:bottom w:val="none" w:sz="0" w:space="0" w:color="auto"/>
        <w:right w:val="none" w:sz="0" w:space="0" w:color="auto"/>
      </w:divBdr>
    </w:div>
    <w:div w:id="183876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1104</Words>
  <Characters>6296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Megliola</dc:creator>
  <cp:keywords/>
  <dc:description/>
  <cp:lastModifiedBy>Vittoriana Signorini</cp:lastModifiedBy>
  <cp:revision>3</cp:revision>
  <cp:lastPrinted>2020-06-26T13:56:00Z</cp:lastPrinted>
  <dcterms:created xsi:type="dcterms:W3CDTF">2020-06-26T13:57:00Z</dcterms:created>
  <dcterms:modified xsi:type="dcterms:W3CDTF">2020-06-29T06:38:00Z</dcterms:modified>
</cp:coreProperties>
</file>