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5EA4B" w14:textId="54AC8F52" w:rsidR="002D3762" w:rsidRDefault="00D77732" w:rsidP="00EE766C">
      <w:pPr>
        <w:tabs>
          <w:tab w:val="left" w:pos="3420"/>
        </w:tabs>
        <w:suppressAutoHyphens/>
        <w:rPr>
          <w:rFonts w:ascii="Calibri" w:hAnsi="Calibri" w:cs="Calibri"/>
          <w:color w:val="1F497D"/>
          <w:sz w:val="28"/>
          <w:szCs w:val="28"/>
        </w:rPr>
      </w:pPr>
      <w:r>
        <w:rPr>
          <w:noProof/>
        </w:rPr>
        <w:drawing>
          <wp:anchor distT="0" distB="0" distL="114300" distR="114300" simplePos="0" relativeHeight="251662336" behindDoc="1" locked="0" layoutInCell="1" allowOverlap="1" wp14:anchorId="65476B2C" wp14:editId="1B8A1382">
            <wp:simplePos x="0" y="0"/>
            <wp:positionH relativeFrom="column">
              <wp:posOffset>4661535</wp:posOffset>
            </wp:positionH>
            <wp:positionV relativeFrom="paragraph">
              <wp:posOffset>-6350</wp:posOffset>
            </wp:positionV>
            <wp:extent cx="1219835" cy="1393825"/>
            <wp:effectExtent l="0" t="0" r="0" b="0"/>
            <wp:wrapTight wrapText="bothSides">
              <wp:wrapPolygon edited="0">
                <wp:start x="0" y="0"/>
                <wp:lineTo x="0" y="21256"/>
                <wp:lineTo x="21251" y="21256"/>
                <wp:lineTo x="21251" y="0"/>
                <wp:lineTo x="0" y="0"/>
              </wp:wrapPolygon>
            </wp:wrapTight>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FIMAA_ITALI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9835" cy="1393825"/>
                    </a:xfrm>
                    <a:prstGeom prst="rect">
                      <a:avLst/>
                    </a:prstGeom>
                  </pic:spPr>
                </pic:pic>
              </a:graphicData>
            </a:graphic>
            <wp14:sizeRelH relativeFrom="margin">
              <wp14:pctWidth>0</wp14:pctWidth>
            </wp14:sizeRelH>
            <wp14:sizeRelV relativeFrom="margin">
              <wp14:pctHeight>0</wp14:pctHeight>
            </wp14:sizeRelV>
          </wp:anchor>
        </w:drawing>
      </w:r>
      <w:r w:rsidR="00EE766C">
        <w:rPr>
          <w:rFonts w:ascii="Calibri" w:hAnsi="Calibri" w:cs="Calibri"/>
          <w:color w:val="1F497D"/>
          <w:sz w:val="28"/>
          <w:szCs w:val="28"/>
        </w:rPr>
        <w:tab/>
      </w:r>
    </w:p>
    <w:p w14:paraId="6CFA1D21" w14:textId="77777777" w:rsidR="002D3762" w:rsidRDefault="00207589" w:rsidP="00AE50F2">
      <w:pPr>
        <w:tabs>
          <w:tab w:val="left" w:pos="357"/>
        </w:tabs>
        <w:suppressAutoHyphens/>
        <w:rPr>
          <w:rFonts w:ascii="Calibri" w:hAnsi="Calibri" w:cs="Calibri"/>
          <w:color w:val="1F497D"/>
          <w:sz w:val="28"/>
          <w:szCs w:val="28"/>
        </w:rPr>
      </w:pPr>
      <w:r>
        <w:rPr>
          <w:rFonts w:ascii="Calibri" w:hAnsi="Calibri" w:cs="Calibri"/>
          <w:noProof/>
          <w:color w:val="1F497D"/>
          <w:sz w:val="28"/>
          <w:szCs w:val="28"/>
        </w:rPr>
        <w:drawing>
          <wp:inline distT="0" distB="0" distL="0" distR="0" wp14:anchorId="1DCEF554" wp14:editId="27A64706">
            <wp:extent cx="2191956" cy="1032933"/>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FCOMMERCI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95999" cy="1034838"/>
                    </a:xfrm>
                    <a:prstGeom prst="rect">
                      <a:avLst/>
                    </a:prstGeom>
                  </pic:spPr>
                </pic:pic>
              </a:graphicData>
            </a:graphic>
          </wp:inline>
        </w:drawing>
      </w:r>
    </w:p>
    <w:p w14:paraId="523C6BAE" w14:textId="77777777" w:rsidR="002D3762" w:rsidRDefault="002D3762" w:rsidP="00AE50F2">
      <w:pPr>
        <w:tabs>
          <w:tab w:val="left" w:pos="357"/>
        </w:tabs>
        <w:suppressAutoHyphens/>
        <w:rPr>
          <w:rFonts w:ascii="Calibri" w:hAnsi="Calibri" w:cs="Calibri"/>
          <w:color w:val="1F497D"/>
          <w:sz w:val="28"/>
          <w:szCs w:val="28"/>
        </w:rPr>
      </w:pPr>
    </w:p>
    <w:p w14:paraId="72FBD33E" w14:textId="77777777" w:rsidR="002D3762" w:rsidRDefault="002D3762" w:rsidP="00AE50F2">
      <w:pPr>
        <w:tabs>
          <w:tab w:val="left" w:pos="357"/>
        </w:tabs>
        <w:suppressAutoHyphens/>
        <w:rPr>
          <w:rFonts w:ascii="Calibri" w:hAnsi="Calibri" w:cs="Calibri"/>
          <w:color w:val="1F497D"/>
          <w:sz w:val="28"/>
          <w:szCs w:val="28"/>
        </w:rPr>
      </w:pPr>
    </w:p>
    <w:p w14:paraId="41E3D3FB" w14:textId="77777777" w:rsidR="002D3762" w:rsidRDefault="002D3762" w:rsidP="00AE50F2">
      <w:pPr>
        <w:tabs>
          <w:tab w:val="left" w:pos="357"/>
        </w:tabs>
        <w:suppressAutoHyphens/>
        <w:rPr>
          <w:rFonts w:ascii="Calibri" w:hAnsi="Calibri" w:cs="Calibri"/>
          <w:color w:val="1F497D"/>
          <w:sz w:val="28"/>
          <w:szCs w:val="28"/>
        </w:rPr>
      </w:pPr>
    </w:p>
    <w:p w14:paraId="5C4811BC" w14:textId="77777777" w:rsidR="002D3762" w:rsidRDefault="00207589" w:rsidP="00207589">
      <w:pPr>
        <w:tabs>
          <w:tab w:val="left" w:pos="1093"/>
        </w:tabs>
        <w:suppressAutoHyphens/>
        <w:rPr>
          <w:rFonts w:ascii="Calibri" w:hAnsi="Calibri" w:cs="Calibri"/>
          <w:color w:val="1F497D"/>
          <w:sz w:val="28"/>
          <w:szCs w:val="28"/>
        </w:rPr>
      </w:pPr>
      <w:r>
        <w:rPr>
          <w:rFonts w:ascii="Calibri" w:hAnsi="Calibri" w:cs="Calibri"/>
          <w:color w:val="1F497D"/>
          <w:sz w:val="28"/>
          <w:szCs w:val="28"/>
        </w:rPr>
        <w:t xml:space="preserve">                                                           </w:t>
      </w:r>
      <w:r>
        <w:rPr>
          <w:rFonts w:ascii="Calibri" w:hAnsi="Calibri" w:cs="Calibri"/>
          <w:color w:val="1F497D"/>
          <w:sz w:val="28"/>
          <w:szCs w:val="28"/>
        </w:rPr>
        <w:tab/>
      </w:r>
    </w:p>
    <w:p w14:paraId="53DD330F" w14:textId="77777777" w:rsidR="002D3762" w:rsidRDefault="002D3762" w:rsidP="00AE50F2">
      <w:pPr>
        <w:tabs>
          <w:tab w:val="left" w:pos="357"/>
        </w:tabs>
        <w:suppressAutoHyphens/>
        <w:rPr>
          <w:rFonts w:ascii="Calibri" w:hAnsi="Calibri" w:cs="Calibri"/>
          <w:color w:val="1F497D"/>
          <w:sz w:val="28"/>
          <w:szCs w:val="28"/>
        </w:rPr>
      </w:pPr>
    </w:p>
    <w:p w14:paraId="67FCB784" w14:textId="77777777" w:rsidR="002D3762" w:rsidRDefault="002D3762" w:rsidP="00AE50F2">
      <w:pPr>
        <w:tabs>
          <w:tab w:val="left" w:pos="357"/>
        </w:tabs>
        <w:suppressAutoHyphens/>
        <w:rPr>
          <w:rFonts w:ascii="Calibri" w:hAnsi="Calibri" w:cs="Calibri"/>
          <w:color w:val="1F497D"/>
          <w:sz w:val="28"/>
          <w:szCs w:val="28"/>
        </w:rPr>
      </w:pPr>
    </w:p>
    <w:p w14:paraId="65192076" w14:textId="77777777" w:rsidR="002D3762" w:rsidRDefault="002D3762" w:rsidP="00AE50F2">
      <w:pPr>
        <w:tabs>
          <w:tab w:val="left" w:pos="357"/>
        </w:tabs>
        <w:suppressAutoHyphens/>
        <w:rPr>
          <w:rFonts w:ascii="Calibri" w:hAnsi="Calibri" w:cs="Calibri"/>
          <w:color w:val="1F497D"/>
          <w:sz w:val="28"/>
          <w:szCs w:val="28"/>
        </w:rPr>
      </w:pPr>
    </w:p>
    <w:p w14:paraId="0FFF4316" w14:textId="77777777" w:rsidR="002D3762" w:rsidRDefault="002D3762" w:rsidP="00AE50F2">
      <w:pPr>
        <w:tabs>
          <w:tab w:val="left" w:pos="357"/>
        </w:tabs>
        <w:suppressAutoHyphens/>
        <w:rPr>
          <w:rFonts w:ascii="Calibri" w:hAnsi="Calibri" w:cs="Calibri"/>
          <w:color w:val="1F497D"/>
          <w:sz w:val="28"/>
          <w:szCs w:val="28"/>
        </w:rPr>
      </w:pPr>
      <w:r>
        <w:rPr>
          <w:rFonts w:asciiTheme="minorHAnsi" w:hAnsiTheme="minorHAnsi"/>
          <w:b/>
          <w:noProof/>
          <w:sz w:val="28"/>
          <w:szCs w:val="28"/>
        </w:rPr>
        <w:drawing>
          <wp:anchor distT="0" distB="0" distL="114300" distR="114300" simplePos="0" relativeHeight="251658240" behindDoc="0" locked="0" layoutInCell="1" allowOverlap="1" wp14:anchorId="30FF6ACD" wp14:editId="51B10819">
            <wp:simplePos x="0" y="0"/>
            <wp:positionH relativeFrom="column">
              <wp:posOffset>109644</wp:posOffset>
            </wp:positionH>
            <wp:positionV relativeFrom="paragraph">
              <wp:posOffset>13970</wp:posOffset>
            </wp:positionV>
            <wp:extent cx="6002444" cy="2142067"/>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2444" cy="21420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BD4BE7" w14:textId="77777777" w:rsidR="002D3762" w:rsidRDefault="007351F6" w:rsidP="00AE50F2">
      <w:pPr>
        <w:tabs>
          <w:tab w:val="left" w:pos="357"/>
        </w:tabs>
        <w:suppressAutoHyphens/>
        <w:rPr>
          <w:rFonts w:ascii="Calibri" w:hAnsi="Calibri" w:cs="Calibri"/>
          <w:color w:val="1F497D"/>
          <w:sz w:val="28"/>
          <w:szCs w:val="28"/>
        </w:rPr>
      </w:pPr>
      <w:r>
        <w:rPr>
          <w:rFonts w:asciiTheme="minorHAnsi" w:hAnsiTheme="minorHAnsi"/>
          <w:b/>
          <w:noProof/>
          <w:sz w:val="28"/>
          <w:szCs w:val="28"/>
        </w:rPr>
        <mc:AlternateContent>
          <mc:Choice Requires="wps">
            <w:drawing>
              <wp:anchor distT="0" distB="0" distL="114300" distR="114300" simplePos="0" relativeHeight="251659264" behindDoc="0" locked="0" layoutInCell="1" allowOverlap="1" wp14:anchorId="0F9087D1" wp14:editId="36B72382">
                <wp:simplePos x="0" y="0"/>
                <wp:positionH relativeFrom="column">
                  <wp:posOffset>99060</wp:posOffset>
                </wp:positionH>
                <wp:positionV relativeFrom="paragraph">
                  <wp:posOffset>191135</wp:posOffset>
                </wp:positionV>
                <wp:extent cx="6010910" cy="1304925"/>
                <wp:effectExtent l="0" t="0" r="0" b="9525"/>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910" cy="1304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CACC6" w14:textId="166F6B1D" w:rsidR="00DC3E45" w:rsidRDefault="00DC3E45" w:rsidP="00207589">
                            <w:pPr>
                              <w:jc w:val="center"/>
                              <w:rPr>
                                <w:rFonts w:ascii="Calibri" w:hAnsi="Calibri" w:cs="Calibri"/>
                                <w:iCs/>
                                <w:color w:val="FFFFFF"/>
                                <w:sz w:val="36"/>
                                <w:szCs w:val="36"/>
                              </w:rPr>
                            </w:pPr>
                            <w:r w:rsidRPr="002D3762">
                              <w:rPr>
                                <w:rFonts w:ascii="Calibri" w:hAnsi="Calibri" w:cs="Calibri"/>
                                <w:iCs/>
                                <w:color w:val="FFFFFF"/>
                                <w:sz w:val="36"/>
                                <w:szCs w:val="36"/>
                              </w:rPr>
                              <w:t xml:space="preserve">OSSERVATORIO </w:t>
                            </w:r>
                            <w:r>
                              <w:rPr>
                                <w:rFonts w:ascii="Calibri" w:hAnsi="Calibri" w:cs="Calibri"/>
                                <w:iCs/>
                                <w:color w:val="FFFFFF"/>
                                <w:sz w:val="36"/>
                                <w:szCs w:val="36"/>
                              </w:rPr>
                              <w:t xml:space="preserve">NAZIONALE </w:t>
                            </w:r>
                            <w:r w:rsidRPr="002D3762">
                              <w:rPr>
                                <w:rFonts w:ascii="Calibri" w:hAnsi="Calibri" w:cs="Calibri"/>
                                <w:iCs/>
                                <w:color w:val="FFFFFF"/>
                                <w:sz w:val="36"/>
                                <w:szCs w:val="36"/>
                              </w:rPr>
                              <w:t>IMMOBILIARE TURISTICO 20</w:t>
                            </w:r>
                            <w:r>
                              <w:rPr>
                                <w:rFonts w:ascii="Calibri" w:hAnsi="Calibri" w:cs="Calibri"/>
                                <w:iCs/>
                                <w:color w:val="FFFFFF"/>
                                <w:sz w:val="36"/>
                                <w:szCs w:val="36"/>
                              </w:rPr>
                              <w:t>20</w:t>
                            </w:r>
                          </w:p>
                          <w:p w14:paraId="62FD2343" w14:textId="77777777" w:rsidR="00DC3E45" w:rsidRDefault="00DC3E45" w:rsidP="00207589">
                            <w:pPr>
                              <w:jc w:val="center"/>
                              <w:rPr>
                                <w:rFonts w:ascii="Calibri" w:hAnsi="Calibri" w:cs="Calibri"/>
                                <w:iCs/>
                                <w:color w:val="FFFFFF"/>
                                <w:sz w:val="36"/>
                                <w:szCs w:val="36"/>
                              </w:rPr>
                            </w:pPr>
                          </w:p>
                          <w:p w14:paraId="243E9A95" w14:textId="77777777" w:rsidR="00DC3E45" w:rsidRPr="002D3762" w:rsidRDefault="00DC3E45" w:rsidP="00207589">
                            <w:pPr>
                              <w:jc w:val="center"/>
                              <w:rPr>
                                <w:rFonts w:ascii="Calibri" w:hAnsi="Calibri" w:cs="Calibri"/>
                                <w:iCs/>
                                <w:color w:val="FFFFFF"/>
                                <w:sz w:val="36"/>
                                <w:szCs w:val="36"/>
                              </w:rPr>
                            </w:pPr>
                            <w:r>
                              <w:rPr>
                                <w:rFonts w:ascii="Calibri" w:hAnsi="Calibri" w:cs="Calibri"/>
                                <w:iCs/>
                                <w:color w:val="FFFFFF"/>
                                <w:sz w:val="36"/>
                                <w:szCs w:val="36"/>
                              </w:rPr>
                              <w:t xml:space="preserve">Il mercato delle case nelle località turistiche </w:t>
                            </w:r>
                          </w:p>
                          <w:p w14:paraId="10BD066C" w14:textId="77777777" w:rsidR="00DC3E45" w:rsidRPr="002D3762" w:rsidRDefault="00DC3E45" w:rsidP="00575691">
                            <w:pPr>
                              <w:jc w:val="right"/>
                              <w:rPr>
                                <w:rFonts w:ascii="Calibri" w:hAnsi="Calibri" w:cs="Calibri"/>
                                <w:iCs/>
                                <w:color w:val="FFFFFF"/>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9087D1" id="_x0000_t202" coordsize="21600,21600" o:spt="202" path="m,l,21600r21600,l21600,xe">
                <v:stroke joinstyle="miter"/>
                <v:path gradientshapeok="t" o:connecttype="rect"/>
              </v:shapetype>
              <v:shape id="Casella di testo 3" o:spid="_x0000_s1026" type="#_x0000_t202" style="position:absolute;margin-left:7.8pt;margin-top:15.05pt;width:473.3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" filled="f" stroked="f">
                <v:textbox>
                  <w:txbxContent>
                    <w:p w14:paraId="6D7CACC6" w14:textId="166F6B1D" w:rsidR="00DC3E45" w:rsidRDefault="00DC3E45" w:rsidP="00207589">
                      <w:pPr>
                        <w:jc w:val="center"/>
                        <w:rPr>
                          <w:rFonts w:ascii="Calibri" w:hAnsi="Calibri" w:cs="Calibri"/>
                          <w:iCs/>
                          <w:color w:val="FFFFFF"/>
                          <w:sz w:val="36"/>
                          <w:szCs w:val="36"/>
                        </w:rPr>
                      </w:pPr>
                      <w:r w:rsidRPr="002D3762">
                        <w:rPr>
                          <w:rFonts w:ascii="Calibri" w:hAnsi="Calibri" w:cs="Calibri"/>
                          <w:iCs/>
                          <w:color w:val="FFFFFF"/>
                          <w:sz w:val="36"/>
                          <w:szCs w:val="36"/>
                        </w:rPr>
                        <w:t xml:space="preserve">OSSERVATORIO </w:t>
                      </w:r>
                      <w:r>
                        <w:rPr>
                          <w:rFonts w:ascii="Calibri" w:hAnsi="Calibri" w:cs="Calibri"/>
                          <w:iCs/>
                          <w:color w:val="FFFFFF"/>
                          <w:sz w:val="36"/>
                          <w:szCs w:val="36"/>
                        </w:rPr>
                        <w:t xml:space="preserve">NAZIONALE </w:t>
                      </w:r>
                      <w:r w:rsidRPr="002D3762">
                        <w:rPr>
                          <w:rFonts w:ascii="Calibri" w:hAnsi="Calibri" w:cs="Calibri"/>
                          <w:iCs/>
                          <w:color w:val="FFFFFF"/>
                          <w:sz w:val="36"/>
                          <w:szCs w:val="36"/>
                        </w:rPr>
                        <w:t>IMMOBILIARE TURISTICO 20</w:t>
                      </w:r>
                      <w:r>
                        <w:rPr>
                          <w:rFonts w:ascii="Calibri" w:hAnsi="Calibri" w:cs="Calibri"/>
                          <w:iCs/>
                          <w:color w:val="FFFFFF"/>
                          <w:sz w:val="36"/>
                          <w:szCs w:val="36"/>
                        </w:rPr>
                        <w:t>20</w:t>
                      </w:r>
                    </w:p>
                    <w:p w14:paraId="62FD2343" w14:textId="77777777" w:rsidR="00DC3E45" w:rsidRDefault="00DC3E45" w:rsidP="00207589">
                      <w:pPr>
                        <w:jc w:val="center"/>
                        <w:rPr>
                          <w:rFonts w:ascii="Calibri" w:hAnsi="Calibri" w:cs="Calibri"/>
                          <w:iCs/>
                          <w:color w:val="FFFFFF"/>
                          <w:sz w:val="36"/>
                          <w:szCs w:val="36"/>
                        </w:rPr>
                      </w:pPr>
                    </w:p>
                    <w:p w14:paraId="243E9A95" w14:textId="77777777" w:rsidR="00DC3E45" w:rsidRPr="002D3762" w:rsidRDefault="00DC3E45" w:rsidP="00207589">
                      <w:pPr>
                        <w:jc w:val="center"/>
                        <w:rPr>
                          <w:rFonts w:ascii="Calibri" w:hAnsi="Calibri" w:cs="Calibri"/>
                          <w:iCs/>
                          <w:color w:val="FFFFFF"/>
                          <w:sz w:val="36"/>
                          <w:szCs w:val="36"/>
                        </w:rPr>
                      </w:pPr>
                      <w:r>
                        <w:rPr>
                          <w:rFonts w:ascii="Calibri" w:hAnsi="Calibri" w:cs="Calibri"/>
                          <w:iCs/>
                          <w:color w:val="FFFFFF"/>
                          <w:sz w:val="36"/>
                          <w:szCs w:val="36"/>
                        </w:rPr>
                        <w:t xml:space="preserve">Il mercato delle case nelle località turistiche </w:t>
                      </w:r>
                    </w:p>
                    <w:p w14:paraId="10BD066C" w14:textId="77777777" w:rsidR="00DC3E45" w:rsidRPr="002D3762" w:rsidRDefault="00DC3E45" w:rsidP="00575691">
                      <w:pPr>
                        <w:jc w:val="right"/>
                        <w:rPr>
                          <w:rFonts w:ascii="Calibri" w:hAnsi="Calibri" w:cs="Calibri"/>
                          <w:iCs/>
                          <w:color w:val="FFFFFF"/>
                          <w:sz w:val="36"/>
                          <w:szCs w:val="36"/>
                        </w:rPr>
                      </w:pPr>
                    </w:p>
                  </w:txbxContent>
                </v:textbox>
              </v:shape>
            </w:pict>
          </mc:Fallback>
        </mc:AlternateContent>
      </w:r>
    </w:p>
    <w:p w14:paraId="4F15BD80" w14:textId="77777777" w:rsidR="002D3762" w:rsidRDefault="002D3762" w:rsidP="00AE50F2">
      <w:pPr>
        <w:tabs>
          <w:tab w:val="left" w:pos="357"/>
        </w:tabs>
        <w:suppressAutoHyphens/>
        <w:rPr>
          <w:rFonts w:ascii="Calibri" w:hAnsi="Calibri" w:cs="Calibri"/>
          <w:color w:val="1F497D"/>
          <w:sz w:val="28"/>
          <w:szCs w:val="28"/>
        </w:rPr>
      </w:pPr>
    </w:p>
    <w:p w14:paraId="1013B683" w14:textId="77777777" w:rsidR="002D3762" w:rsidRDefault="002D3762" w:rsidP="00AE50F2">
      <w:pPr>
        <w:tabs>
          <w:tab w:val="left" w:pos="357"/>
        </w:tabs>
        <w:suppressAutoHyphens/>
        <w:rPr>
          <w:rFonts w:ascii="Calibri" w:hAnsi="Calibri" w:cs="Calibri"/>
          <w:color w:val="1F497D"/>
          <w:sz w:val="28"/>
          <w:szCs w:val="28"/>
        </w:rPr>
      </w:pPr>
    </w:p>
    <w:p w14:paraId="5F4D7F5A" w14:textId="77777777" w:rsidR="002D3762" w:rsidRDefault="002D3762" w:rsidP="00AE50F2">
      <w:pPr>
        <w:tabs>
          <w:tab w:val="left" w:pos="357"/>
        </w:tabs>
        <w:suppressAutoHyphens/>
        <w:rPr>
          <w:rFonts w:ascii="Calibri" w:hAnsi="Calibri" w:cs="Calibri"/>
          <w:color w:val="1F497D"/>
          <w:sz w:val="28"/>
          <w:szCs w:val="28"/>
        </w:rPr>
      </w:pPr>
    </w:p>
    <w:p w14:paraId="3B1B8FA4" w14:textId="77777777" w:rsidR="002D3762" w:rsidRDefault="002D3762" w:rsidP="00AE50F2">
      <w:pPr>
        <w:tabs>
          <w:tab w:val="left" w:pos="357"/>
        </w:tabs>
        <w:suppressAutoHyphens/>
        <w:rPr>
          <w:rFonts w:ascii="Calibri" w:hAnsi="Calibri" w:cs="Calibri"/>
          <w:color w:val="1F497D"/>
          <w:sz w:val="28"/>
          <w:szCs w:val="28"/>
        </w:rPr>
      </w:pPr>
    </w:p>
    <w:p w14:paraId="2B62484B" w14:textId="77777777" w:rsidR="002D3762" w:rsidRDefault="002D3762" w:rsidP="00AE50F2">
      <w:pPr>
        <w:tabs>
          <w:tab w:val="left" w:pos="357"/>
        </w:tabs>
        <w:suppressAutoHyphens/>
        <w:rPr>
          <w:rFonts w:ascii="Calibri" w:hAnsi="Calibri" w:cs="Calibri"/>
          <w:color w:val="1F497D"/>
          <w:sz w:val="28"/>
          <w:szCs w:val="28"/>
        </w:rPr>
      </w:pPr>
    </w:p>
    <w:p w14:paraId="747C242F" w14:textId="77777777" w:rsidR="002D3762" w:rsidRDefault="002D3762" w:rsidP="00AE50F2">
      <w:pPr>
        <w:tabs>
          <w:tab w:val="left" w:pos="357"/>
        </w:tabs>
        <w:suppressAutoHyphens/>
        <w:rPr>
          <w:rFonts w:ascii="Calibri" w:hAnsi="Calibri" w:cs="Calibri"/>
          <w:color w:val="1F497D"/>
          <w:sz w:val="28"/>
          <w:szCs w:val="28"/>
        </w:rPr>
      </w:pPr>
    </w:p>
    <w:p w14:paraId="59850F17" w14:textId="77777777" w:rsidR="002D3762" w:rsidRDefault="002D3762" w:rsidP="00AE50F2">
      <w:pPr>
        <w:tabs>
          <w:tab w:val="left" w:pos="357"/>
        </w:tabs>
        <w:suppressAutoHyphens/>
        <w:rPr>
          <w:rFonts w:ascii="Calibri" w:hAnsi="Calibri" w:cs="Calibri"/>
          <w:color w:val="1F497D"/>
          <w:sz w:val="28"/>
          <w:szCs w:val="28"/>
        </w:rPr>
      </w:pPr>
    </w:p>
    <w:p w14:paraId="60A0D479" w14:textId="77777777" w:rsidR="002D3762" w:rsidRDefault="002D3762" w:rsidP="00AE50F2">
      <w:pPr>
        <w:tabs>
          <w:tab w:val="left" w:pos="357"/>
        </w:tabs>
        <w:suppressAutoHyphens/>
        <w:rPr>
          <w:rFonts w:ascii="Calibri" w:hAnsi="Calibri" w:cs="Calibri"/>
          <w:color w:val="1F497D"/>
          <w:sz w:val="28"/>
          <w:szCs w:val="28"/>
        </w:rPr>
      </w:pPr>
    </w:p>
    <w:p w14:paraId="15040E1C" w14:textId="77777777" w:rsidR="002D3762" w:rsidRDefault="002D3762" w:rsidP="00AE50F2">
      <w:pPr>
        <w:tabs>
          <w:tab w:val="left" w:pos="357"/>
        </w:tabs>
        <w:suppressAutoHyphens/>
        <w:rPr>
          <w:rFonts w:ascii="Calibri" w:hAnsi="Calibri" w:cs="Calibri"/>
          <w:color w:val="1F497D"/>
          <w:sz w:val="28"/>
          <w:szCs w:val="28"/>
        </w:rPr>
      </w:pPr>
    </w:p>
    <w:p w14:paraId="579E0E14" w14:textId="77777777" w:rsidR="00D859D7" w:rsidRPr="00D859D7" w:rsidRDefault="00D859D7" w:rsidP="00D859D7">
      <w:pPr>
        <w:tabs>
          <w:tab w:val="left" w:pos="357"/>
        </w:tabs>
        <w:suppressAutoHyphens/>
        <w:jc w:val="center"/>
        <w:rPr>
          <w:rFonts w:ascii="Calibri" w:hAnsi="Calibri" w:cs="Calibri"/>
          <w:b/>
          <w:color w:val="1F497D"/>
          <w:sz w:val="28"/>
          <w:szCs w:val="28"/>
          <w:u w:val="single"/>
        </w:rPr>
      </w:pPr>
      <w:r w:rsidRPr="00D859D7">
        <w:rPr>
          <w:rFonts w:ascii="Calibri" w:hAnsi="Calibri" w:cs="Calibri"/>
          <w:b/>
          <w:color w:val="1F497D"/>
          <w:sz w:val="28"/>
          <w:szCs w:val="28"/>
          <w:u w:val="single"/>
        </w:rPr>
        <w:t>SINTESI PER LA STAMPA</w:t>
      </w:r>
    </w:p>
    <w:p w14:paraId="0B616592" w14:textId="77777777" w:rsidR="00E133BA" w:rsidRPr="00E133BA" w:rsidRDefault="00E133BA" w:rsidP="00207589">
      <w:pPr>
        <w:tabs>
          <w:tab w:val="left" w:pos="357"/>
        </w:tabs>
        <w:suppressAutoHyphens/>
        <w:jc w:val="center"/>
        <w:rPr>
          <w:rFonts w:ascii="Calibri" w:hAnsi="Calibri" w:cs="Calibri"/>
          <w:color w:val="1F497D"/>
          <w:sz w:val="16"/>
          <w:szCs w:val="28"/>
        </w:rPr>
      </w:pPr>
    </w:p>
    <w:p w14:paraId="658F0129" w14:textId="05E56D1B" w:rsidR="00207589" w:rsidRDefault="00E133BA" w:rsidP="00207589">
      <w:pPr>
        <w:tabs>
          <w:tab w:val="left" w:pos="357"/>
        </w:tabs>
        <w:suppressAutoHyphens/>
        <w:jc w:val="center"/>
        <w:rPr>
          <w:rFonts w:ascii="Calibri" w:hAnsi="Calibri" w:cs="Calibri"/>
          <w:color w:val="1F497D"/>
          <w:sz w:val="28"/>
          <w:szCs w:val="28"/>
        </w:rPr>
      </w:pPr>
      <w:r>
        <w:rPr>
          <w:rFonts w:ascii="Calibri" w:hAnsi="Calibri" w:cs="Calibri"/>
          <w:color w:val="1F497D"/>
          <w:sz w:val="28"/>
          <w:szCs w:val="28"/>
        </w:rPr>
        <w:t xml:space="preserve">Roma, </w:t>
      </w:r>
      <w:r w:rsidR="002B76F5">
        <w:rPr>
          <w:rFonts w:ascii="Calibri" w:hAnsi="Calibri" w:cs="Calibri"/>
          <w:color w:val="1F497D"/>
          <w:sz w:val="28"/>
          <w:szCs w:val="28"/>
        </w:rPr>
        <w:t>2</w:t>
      </w:r>
      <w:r w:rsidR="00E12B72" w:rsidRPr="00E668A5">
        <w:rPr>
          <w:rFonts w:ascii="Calibri" w:hAnsi="Calibri" w:cs="Calibri"/>
          <w:color w:val="1F497D"/>
          <w:sz w:val="28"/>
          <w:szCs w:val="28"/>
        </w:rPr>
        <w:t xml:space="preserve"> </w:t>
      </w:r>
      <w:r>
        <w:rPr>
          <w:rFonts w:ascii="Calibri" w:hAnsi="Calibri" w:cs="Calibri"/>
          <w:color w:val="1F497D"/>
          <w:sz w:val="28"/>
          <w:szCs w:val="28"/>
        </w:rPr>
        <w:t>agosto</w:t>
      </w:r>
      <w:r w:rsidR="00207589" w:rsidRPr="00E668A5">
        <w:rPr>
          <w:rFonts w:ascii="Calibri" w:hAnsi="Calibri" w:cs="Calibri"/>
          <w:color w:val="1F497D"/>
          <w:sz w:val="28"/>
          <w:szCs w:val="28"/>
        </w:rPr>
        <w:t xml:space="preserve"> 2</w:t>
      </w:r>
      <w:r w:rsidR="00E12B72" w:rsidRPr="00E668A5">
        <w:rPr>
          <w:rFonts w:ascii="Calibri" w:hAnsi="Calibri" w:cs="Calibri"/>
          <w:color w:val="1F497D"/>
          <w:sz w:val="28"/>
          <w:szCs w:val="28"/>
        </w:rPr>
        <w:t>020</w:t>
      </w:r>
    </w:p>
    <w:p w14:paraId="3A2C7150" w14:textId="77777777" w:rsidR="002D3762" w:rsidRDefault="002D3762" w:rsidP="002D3762">
      <w:pPr>
        <w:tabs>
          <w:tab w:val="left" w:pos="357"/>
        </w:tabs>
        <w:suppressAutoHyphens/>
        <w:jc w:val="center"/>
        <w:rPr>
          <w:rFonts w:ascii="Calibri" w:hAnsi="Calibri" w:cs="Calibri"/>
          <w:color w:val="1F497D"/>
          <w:sz w:val="28"/>
          <w:szCs w:val="28"/>
        </w:rPr>
      </w:pPr>
    </w:p>
    <w:p w14:paraId="5603E7B9" w14:textId="3AD65D42" w:rsidR="002D3762" w:rsidRPr="00E133BA" w:rsidRDefault="006B068F" w:rsidP="002D3762">
      <w:pPr>
        <w:tabs>
          <w:tab w:val="left" w:pos="357"/>
        </w:tabs>
        <w:suppressAutoHyphens/>
        <w:jc w:val="center"/>
        <w:rPr>
          <w:rFonts w:ascii="Calibri" w:hAnsi="Calibri" w:cs="Calibri"/>
          <w:b/>
          <w:color w:val="1F497D"/>
          <w:sz w:val="36"/>
          <w:szCs w:val="28"/>
        </w:rPr>
      </w:pPr>
      <w:r>
        <w:rPr>
          <w:rFonts w:ascii="Calibri" w:hAnsi="Calibri" w:cs="Calibri"/>
          <w:b/>
          <w:color w:val="1F497D"/>
          <w:sz w:val="36"/>
          <w:szCs w:val="28"/>
        </w:rPr>
        <w:t xml:space="preserve"> </w:t>
      </w:r>
      <w:bookmarkStart w:id="0" w:name="_GoBack"/>
      <w:bookmarkEnd w:id="0"/>
    </w:p>
    <w:p w14:paraId="6EDD7FFE" w14:textId="77777777" w:rsidR="00D859D7" w:rsidRDefault="00D859D7" w:rsidP="002D3762">
      <w:pPr>
        <w:tabs>
          <w:tab w:val="left" w:pos="357"/>
        </w:tabs>
        <w:suppressAutoHyphens/>
        <w:jc w:val="center"/>
        <w:rPr>
          <w:rFonts w:ascii="Calibri" w:hAnsi="Calibri" w:cs="Calibri"/>
          <w:color w:val="1F497D"/>
          <w:sz w:val="28"/>
          <w:szCs w:val="28"/>
        </w:rPr>
      </w:pPr>
    </w:p>
    <w:p w14:paraId="428420AB" w14:textId="77777777" w:rsidR="00207589" w:rsidRDefault="00207589" w:rsidP="002D3762">
      <w:pPr>
        <w:tabs>
          <w:tab w:val="left" w:pos="357"/>
        </w:tabs>
        <w:suppressAutoHyphens/>
        <w:jc w:val="center"/>
        <w:rPr>
          <w:rFonts w:ascii="Calibri" w:hAnsi="Calibri" w:cs="Calibri"/>
          <w:color w:val="1F497D"/>
          <w:sz w:val="28"/>
          <w:szCs w:val="28"/>
        </w:rPr>
      </w:pPr>
    </w:p>
    <w:p w14:paraId="61E62174" w14:textId="77777777" w:rsidR="008A4E21" w:rsidRDefault="008A4E21" w:rsidP="002D3762">
      <w:pPr>
        <w:tabs>
          <w:tab w:val="left" w:pos="357"/>
        </w:tabs>
        <w:suppressAutoHyphens/>
        <w:jc w:val="center"/>
        <w:rPr>
          <w:rFonts w:ascii="Calibri" w:hAnsi="Calibri" w:cs="Calibri"/>
          <w:color w:val="1F497D"/>
          <w:sz w:val="28"/>
          <w:szCs w:val="28"/>
        </w:rPr>
      </w:pPr>
    </w:p>
    <w:p w14:paraId="549E371B" w14:textId="77777777" w:rsidR="008A4E21" w:rsidRDefault="008A4E21" w:rsidP="002D3762">
      <w:pPr>
        <w:tabs>
          <w:tab w:val="left" w:pos="357"/>
        </w:tabs>
        <w:suppressAutoHyphens/>
        <w:jc w:val="center"/>
        <w:rPr>
          <w:rFonts w:ascii="Calibri" w:hAnsi="Calibri" w:cs="Calibri"/>
          <w:color w:val="1F497D"/>
          <w:sz w:val="28"/>
          <w:szCs w:val="28"/>
        </w:rPr>
      </w:pPr>
    </w:p>
    <w:p w14:paraId="54B4EA16" w14:textId="77777777" w:rsidR="008A4E21" w:rsidRDefault="00207589" w:rsidP="002D3762">
      <w:pPr>
        <w:tabs>
          <w:tab w:val="left" w:pos="357"/>
        </w:tabs>
        <w:suppressAutoHyphens/>
        <w:jc w:val="center"/>
        <w:rPr>
          <w:rFonts w:asciiTheme="minorHAnsi" w:hAnsiTheme="minorHAnsi"/>
          <w:b/>
          <w:sz w:val="28"/>
          <w:szCs w:val="28"/>
        </w:rPr>
      </w:pPr>
      <w:r w:rsidRPr="00207589">
        <w:rPr>
          <w:rFonts w:asciiTheme="minorHAnsi" w:hAnsiTheme="minorHAnsi"/>
          <w:sz w:val="28"/>
          <w:szCs w:val="28"/>
        </w:rPr>
        <w:t>Con la collaborazione di</w:t>
      </w:r>
      <w:r>
        <w:rPr>
          <w:rFonts w:asciiTheme="minorHAnsi" w:hAnsiTheme="minorHAnsi"/>
          <w:b/>
          <w:sz w:val="28"/>
          <w:szCs w:val="28"/>
        </w:rPr>
        <w:t xml:space="preserve"> </w:t>
      </w:r>
      <w:r w:rsidRPr="00E4690F">
        <w:rPr>
          <w:noProof/>
        </w:rPr>
        <w:drawing>
          <wp:inline distT="0" distB="0" distL="0" distR="0" wp14:anchorId="2ADA101D" wp14:editId="0AA8F2DE">
            <wp:extent cx="2162610" cy="1074567"/>
            <wp:effectExtent l="0" t="0" r="9525" b="0"/>
            <wp:docPr id="17" name="Immagine 2" descr="C:\Users\margherita.tamburini\Desktop\Nomisma - pant 2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herita.tamburini\Desktop\Nomisma - pant 286.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8921" cy="1077703"/>
                    </a:xfrm>
                    <a:prstGeom prst="rect">
                      <a:avLst/>
                    </a:prstGeom>
                    <a:noFill/>
                    <a:ln>
                      <a:noFill/>
                    </a:ln>
                  </pic:spPr>
                </pic:pic>
              </a:graphicData>
            </a:graphic>
          </wp:inline>
        </w:drawing>
      </w:r>
    </w:p>
    <w:p w14:paraId="02359B70" w14:textId="3065E0B2" w:rsidR="006A0BF2" w:rsidRPr="00AD1FA3" w:rsidRDefault="007A64EE" w:rsidP="00B558AA">
      <w:pPr>
        <w:spacing w:after="120" w:line="276" w:lineRule="auto"/>
        <w:jc w:val="both"/>
        <w:rPr>
          <w:rFonts w:asciiTheme="minorHAnsi" w:eastAsia="Calibri" w:hAnsiTheme="minorHAnsi" w:cstheme="minorHAnsi"/>
        </w:rPr>
      </w:pPr>
      <w:r w:rsidRPr="00AD1FA3">
        <w:rPr>
          <w:rFonts w:asciiTheme="minorHAnsi" w:eastAsia="Calibri" w:hAnsiTheme="minorHAnsi" w:cstheme="minorHAnsi"/>
        </w:rPr>
        <w:lastRenderedPageBreak/>
        <w:t>L’Osser</w:t>
      </w:r>
      <w:r w:rsidR="00693364" w:rsidRPr="00AD1FA3">
        <w:rPr>
          <w:rFonts w:asciiTheme="minorHAnsi" w:eastAsia="Calibri" w:hAnsiTheme="minorHAnsi" w:cstheme="minorHAnsi"/>
        </w:rPr>
        <w:t>v</w:t>
      </w:r>
      <w:r w:rsidRPr="00AD1FA3">
        <w:rPr>
          <w:rFonts w:asciiTheme="minorHAnsi" w:eastAsia="Calibri" w:hAnsiTheme="minorHAnsi" w:cstheme="minorHAnsi"/>
        </w:rPr>
        <w:t>atorio Nazionale Immobiliare Turistico 20</w:t>
      </w:r>
      <w:r w:rsidR="00FE7546">
        <w:rPr>
          <w:rFonts w:asciiTheme="minorHAnsi" w:eastAsia="Calibri" w:hAnsiTheme="minorHAnsi" w:cstheme="minorHAnsi"/>
        </w:rPr>
        <w:t>20</w:t>
      </w:r>
      <w:r w:rsidRPr="00AD1FA3">
        <w:rPr>
          <w:rFonts w:asciiTheme="minorHAnsi" w:eastAsia="Calibri" w:hAnsiTheme="minorHAnsi" w:cstheme="minorHAnsi"/>
        </w:rPr>
        <w:t xml:space="preserve"> di FIMAA-Confcommercio (Federazione Italiana Mediatori Agenti d’Affari) con la collaborazione della Società di Studi Economici NOMISMA ha</w:t>
      </w:r>
      <w:r w:rsidR="006A0BF2" w:rsidRPr="00AD1FA3">
        <w:rPr>
          <w:rFonts w:asciiTheme="minorHAnsi" w:eastAsia="Calibri" w:hAnsiTheme="minorHAnsi" w:cstheme="minorHAnsi"/>
        </w:rPr>
        <w:t xml:space="preserve"> </w:t>
      </w:r>
      <w:r w:rsidRPr="00AD1FA3">
        <w:rPr>
          <w:rFonts w:asciiTheme="minorHAnsi" w:eastAsia="Calibri" w:hAnsiTheme="minorHAnsi" w:cstheme="minorHAnsi"/>
        </w:rPr>
        <w:t>“</w:t>
      </w:r>
      <w:r w:rsidR="006A0BF2" w:rsidRPr="00AD1FA3">
        <w:rPr>
          <w:rFonts w:asciiTheme="minorHAnsi" w:eastAsia="Calibri" w:hAnsiTheme="minorHAnsi" w:cstheme="minorHAnsi"/>
        </w:rPr>
        <w:t>fotogra</w:t>
      </w:r>
      <w:r w:rsidRPr="00AD1FA3">
        <w:rPr>
          <w:rFonts w:asciiTheme="minorHAnsi" w:eastAsia="Calibri" w:hAnsiTheme="minorHAnsi" w:cstheme="minorHAnsi"/>
        </w:rPr>
        <w:t>f</w:t>
      </w:r>
      <w:r w:rsidR="006A0BF2" w:rsidRPr="00AD1FA3">
        <w:rPr>
          <w:rFonts w:asciiTheme="minorHAnsi" w:eastAsia="Calibri" w:hAnsiTheme="minorHAnsi" w:cstheme="minorHAnsi"/>
        </w:rPr>
        <w:t>a</w:t>
      </w:r>
      <w:r w:rsidRPr="00AD1FA3">
        <w:rPr>
          <w:rFonts w:asciiTheme="minorHAnsi" w:eastAsia="Calibri" w:hAnsiTheme="minorHAnsi" w:cstheme="minorHAnsi"/>
        </w:rPr>
        <w:t>to”</w:t>
      </w:r>
      <w:r w:rsidR="006A0BF2" w:rsidRPr="00AD1FA3">
        <w:rPr>
          <w:rFonts w:asciiTheme="minorHAnsi" w:eastAsia="Calibri" w:hAnsiTheme="minorHAnsi" w:cstheme="minorHAnsi"/>
        </w:rPr>
        <w:t xml:space="preserve"> </w:t>
      </w:r>
      <w:r w:rsidR="00864A95" w:rsidRPr="00AD1FA3">
        <w:rPr>
          <w:rFonts w:asciiTheme="minorHAnsi" w:eastAsia="Calibri" w:hAnsiTheme="minorHAnsi" w:cstheme="minorHAnsi"/>
        </w:rPr>
        <w:t>l’andamento del</w:t>
      </w:r>
      <w:r w:rsidR="006A0BF2" w:rsidRPr="00AD1FA3">
        <w:rPr>
          <w:rFonts w:asciiTheme="minorHAnsi" w:eastAsia="Calibri" w:hAnsiTheme="minorHAnsi" w:cstheme="minorHAnsi"/>
        </w:rPr>
        <w:t xml:space="preserve"> m</w:t>
      </w:r>
      <w:r w:rsidR="009C78FC" w:rsidRPr="00AD1FA3">
        <w:rPr>
          <w:rFonts w:asciiTheme="minorHAnsi" w:eastAsia="Calibri" w:hAnsiTheme="minorHAnsi" w:cstheme="minorHAnsi"/>
        </w:rPr>
        <w:t xml:space="preserve">ercato </w:t>
      </w:r>
      <w:r w:rsidR="001534C0" w:rsidRPr="00AD1FA3">
        <w:rPr>
          <w:rFonts w:asciiTheme="minorHAnsi" w:eastAsia="Calibri" w:hAnsiTheme="minorHAnsi" w:cstheme="minorHAnsi"/>
        </w:rPr>
        <w:t>20</w:t>
      </w:r>
      <w:r w:rsidR="00915C63">
        <w:rPr>
          <w:rFonts w:asciiTheme="minorHAnsi" w:eastAsia="Calibri" w:hAnsiTheme="minorHAnsi" w:cstheme="minorHAnsi"/>
        </w:rPr>
        <w:t>20</w:t>
      </w:r>
      <w:r w:rsidR="001534C0" w:rsidRPr="00AD1FA3">
        <w:rPr>
          <w:rFonts w:asciiTheme="minorHAnsi" w:eastAsia="Calibri" w:hAnsiTheme="minorHAnsi" w:cstheme="minorHAnsi"/>
        </w:rPr>
        <w:t xml:space="preserve"> </w:t>
      </w:r>
      <w:r w:rsidR="006A0BF2" w:rsidRPr="00AD1FA3">
        <w:rPr>
          <w:rFonts w:asciiTheme="minorHAnsi" w:eastAsia="Calibri" w:hAnsiTheme="minorHAnsi" w:cstheme="minorHAnsi"/>
        </w:rPr>
        <w:t xml:space="preserve">delle case per vacanza </w:t>
      </w:r>
      <w:r w:rsidR="00864A95" w:rsidRPr="00AD1FA3">
        <w:rPr>
          <w:rFonts w:asciiTheme="minorHAnsi" w:eastAsia="Calibri" w:hAnsiTheme="minorHAnsi" w:cstheme="minorHAnsi"/>
        </w:rPr>
        <w:t xml:space="preserve">in </w:t>
      </w:r>
      <w:r w:rsidR="006A0BF2" w:rsidRPr="00AD1FA3">
        <w:rPr>
          <w:rFonts w:asciiTheme="minorHAnsi" w:eastAsia="Calibri" w:hAnsiTheme="minorHAnsi" w:cstheme="minorHAnsi"/>
        </w:rPr>
        <w:t>Italia</w:t>
      </w:r>
      <w:r w:rsidR="00AF3CF5" w:rsidRPr="00AD1FA3">
        <w:rPr>
          <w:rFonts w:asciiTheme="minorHAnsi" w:eastAsia="Calibri" w:hAnsiTheme="minorHAnsi" w:cstheme="minorHAnsi"/>
        </w:rPr>
        <w:t>,</w:t>
      </w:r>
      <w:r w:rsidR="00864A95" w:rsidRPr="00AD1FA3">
        <w:rPr>
          <w:rFonts w:asciiTheme="minorHAnsi" w:eastAsia="Calibri" w:hAnsiTheme="minorHAnsi" w:cstheme="minorHAnsi"/>
        </w:rPr>
        <w:t xml:space="preserve"> attraverso </w:t>
      </w:r>
      <w:r w:rsidR="00CB772D">
        <w:rPr>
          <w:rFonts w:asciiTheme="minorHAnsi" w:eastAsia="Calibri" w:hAnsiTheme="minorHAnsi" w:cstheme="minorHAnsi"/>
        </w:rPr>
        <w:t xml:space="preserve">la </w:t>
      </w:r>
      <w:r w:rsidR="00864A95" w:rsidRPr="00AD1FA3">
        <w:rPr>
          <w:rFonts w:asciiTheme="minorHAnsi" w:eastAsia="Calibri" w:hAnsiTheme="minorHAnsi" w:cstheme="minorHAnsi"/>
        </w:rPr>
        <w:t xml:space="preserve">l’analisi dei dati </w:t>
      </w:r>
      <w:r w:rsidR="004D2B7B" w:rsidRPr="00AD1FA3">
        <w:rPr>
          <w:rFonts w:asciiTheme="minorHAnsi" w:eastAsia="Calibri" w:hAnsiTheme="minorHAnsi" w:cstheme="minorHAnsi"/>
        </w:rPr>
        <w:t xml:space="preserve">delle </w:t>
      </w:r>
      <w:r w:rsidR="00F72B38" w:rsidRPr="00AD1FA3">
        <w:rPr>
          <w:rFonts w:asciiTheme="minorHAnsi" w:eastAsia="Calibri" w:hAnsiTheme="minorHAnsi" w:cstheme="minorHAnsi"/>
        </w:rPr>
        <w:t xml:space="preserve">compravendite e delle locazioni </w:t>
      </w:r>
      <w:r w:rsidR="0019429B" w:rsidRPr="00AD1FA3">
        <w:rPr>
          <w:rFonts w:asciiTheme="minorHAnsi" w:eastAsia="Calibri" w:hAnsiTheme="minorHAnsi" w:cstheme="minorHAnsi"/>
        </w:rPr>
        <w:t xml:space="preserve">di </w:t>
      </w:r>
      <w:r w:rsidR="00BC5743">
        <w:rPr>
          <w:rFonts w:asciiTheme="minorHAnsi" w:eastAsia="Calibri" w:hAnsiTheme="minorHAnsi" w:cstheme="minorHAnsi"/>
        </w:rPr>
        <w:t>150</w:t>
      </w:r>
      <w:r w:rsidR="00864A95" w:rsidRPr="00AD1FA3">
        <w:rPr>
          <w:rFonts w:asciiTheme="minorHAnsi" w:eastAsia="Calibri" w:hAnsiTheme="minorHAnsi" w:cstheme="minorHAnsi"/>
        </w:rPr>
        <w:t xml:space="preserve"> località di mare e </w:t>
      </w:r>
      <w:r w:rsidR="00BC5743">
        <w:rPr>
          <w:rFonts w:asciiTheme="minorHAnsi" w:eastAsia="Calibri" w:hAnsiTheme="minorHAnsi" w:cstheme="minorHAnsi"/>
        </w:rPr>
        <w:t>55</w:t>
      </w:r>
      <w:r w:rsidR="00864A95" w:rsidRPr="00AD1FA3">
        <w:rPr>
          <w:rFonts w:asciiTheme="minorHAnsi" w:eastAsia="Calibri" w:hAnsiTheme="minorHAnsi" w:cstheme="minorHAnsi"/>
        </w:rPr>
        <w:t xml:space="preserve"> di montagna e lago. </w:t>
      </w:r>
    </w:p>
    <w:p w14:paraId="51B2872F" w14:textId="7D869DEF" w:rsidR="00336585" w:rsidRPr="009F72D4" w:rsidRDefault="00915C63" w:rsidP="00B558AA">
      <w:pPr>
        <w:pStyle w:val="NormaleWeb"/>
        <w:shd w:val="clear" w:color="auto" w:fill="FFFFFF"/>
        <w:spacing w:before="0" w:beforeAutospacing="0" w:after="120" w:afterAutospacing="0" w:line="276" w:lineRule="auto"/>
        <w:jc w:val="both"/>
        <w:rPr>
          <w:rFonts w:asciiTheme="minorHAnsi" w:eastAsia="Calibri" w:hAnsiTheme="minorHAnsi" w:cstheme="minorHAnsi"/>
        </w:rPr>
      </w:pPr>
      <w:r w:rsidRPr="00915C63">
        <w:rPr>
          <w:rFonts w:asciiTheme="minorHAnsi" w:eastAsia="Calibri" w:hAnsiTheme="minorHAnsi" w:cstheme="minorHAnsi"/>
        </w:rPr>
        <w:t xml:space="preserve">Quest’anno le performance che emergono dall’Osservatorio immobiliare turistico risultano </w:t>
      </w:r>
      <w:r w:rsidRPr="009F72D4">
        <w:rPr>
          <w:rFonts w:asciiTheme="minorHAnsi" w:eastAsia="Calibri" w:hAnsiTheme="minorHAnsi" w:cstheme="minorHAnsi"/>
        </w:rPr>
        <w:t xml:space="preserve">estremamente condizionate dagli effetti provocati dalla pandemia da Covid 19 </w:t>
      </w:r>
      <w:r w:rsidR="00336585" w:rsidRPr="009F72D4">
        <w:rPr>
          <w:rFonts w:asciiTheme="minorHAnsi" w:eastAsia="Calibri" w:hAnsiTheme="minorHAnsi" w:cstheme="minorHAnsi"/>
        </w:rPr>
        <w:t>sull’economia</w:t>
      </w:r>
      <w:r w:rsidR="00D71DB2" w:rsidRPr="009F72D4">
        <w:rPr>
          <w:rFonts w:asciiTheme="minorHAnsi" w:eastAsia="Calibri" w:hAnsiTheme="minorHAnsi" w:cstheme="minorHAnsi"/>
        </w:rPr>
        <w:t xml:space="preserve"> nazionale</w:t>
      </w:r>
      <w:r w:rsidR="00336585" w:rsidRPr="009F72D4">
        <w:rPr>
          <w:rFonts w:asciiTheme="minorHAnsi" w:eastAsia="Calibri" w:hAnsiTheme="minorHAnsi" w:cstheme="minorHAnsi"/>
        </w:rPr>
        <w:t xml:space="preserve"> e sul turismo</w:t>
      </w:r>
      <w:r w:rsidRPr="009F72D4">
        <w:rPr>
          <w:rFonts w:asciiTheme="minorHAnsi" w:eastAsia="Calibri" w:hAnsiTheme="minorHAnsi" w:cstheme="minorHAnsi"/>
        </w:rPr>
        <w:t>, anche per effetto delle stringenti restrizioni imposte agli spostamenti.</w:t>
      </w:r>
      <w:r w:rsidR="00336585" w:rsidRPr="009F72D4">
        <w:rPr>
          <w:rFonts w:asciiTheme="minorHAnsi" w:eastAsia="Calibri" w:hAnsiTheme="minorHAnsi" w:cstheme="minorHAnsi"/>
        </w:rPr>
        <w:t xml:space="preserve"> Di conseguenza tendono </w:t>
      </w:r>
      <w:r w:rsidR="00C1406F" w:rsidRPr="009F72D4">
        <w:rPr>
          <w:rFonts w:asciiTheme="minorHAnsi" w:eastAsia="Calibri" w:hAnsiTheme="minorHAnsi" w:cstheme="minorHAnsi"/>
        </w:rPr>
        <w:t xml:space="preserve">a </w:t>
      </w:r>
      <w:r w:rsidR="009F72D4" w:rsidRPr="009F72D4">
        <w:rPr>
          <w:rFonts w:asciiTheme="minorHAnsi" w:eastAsia="Calibri" w:hAnsiTheme="minorHAnsi" w:cstheme="minorHAnsi"/>
        </w:rPr>
        <w:t>modificarsi</w:t>
      </w:r>
      <w:r w:rsidR="001E5073" w:rsidRPr="009F72D4">
        <w:rPr>
          <w:rFonts w:asciiTheme="minorHAnsi" w:eastAsia="Calibri" w:hAnsiTheme="minorHAnsi" w:cstheme="minorHAnsi"/>
        </w:rPr>
        <w:t xml:space="preserve"> </w:t>
      </w:r>
      <w:r w:rsidR="00336585" w:rsidRPr="009F72D4">
        <w:rPr>
          <w:rFonts w:asciiTheme="minorHAnsi" w:eastAsia="Calibri" w:hAnsiTheme="minorHAnsi" w:cstheme="minorHAnsi"/>
        </w:rPr>
        <w:t xml:space="preserve">le scelte degli italiani rispetto alla tipologia di casa vacanza e alla destinazione preferita. </w:t>
      </w:r>
    </w:p>
    <w:p w14:paraId="494C80B8" w14:textId="77777777" w:rsidR="00D859D7" w:rsidRPr="00FB3AD9" w:rsidRDefault="005942A3" w:rsidP="00B558AA">
      <w:pPr>
        <w:spacing w:after="120" w:line="276" w:lineRule="auto"/>
        <w:rPr>
          <w:rFonts w:asciiTheme="minorHAnsi" w:eastAsia="Calibri" w:hAnsiTheme="minorHAnsi" w:cstheme="minorHAnsi"/>
        </w:rPr>
      </w:pPr>
      <w:r w:rsidRPr="00FB3AD9">
        <w:rPr>
          <w:rFonts w:asciiTheme="minorHAnsi" w:eastAsia="Calibri" w:hAnsiTheme="minorHAnsi" w:cstheme="minorHAnsi"/>
        </w:rPr>
        <w:t>I</w:t>
      </w:r>
      <w:r w:rsidR="00D859D7" w:rsidRPr="00FB3AD9">
        <w:rPr>
          <w:rFonts w:asciiTheme="minorHAnsi" w:eastAsia="Calibri" w:hAnsiTheme="minorHAnsi" w:cstheme="minorHAnsi"/>
        </w:rPr>
        <w:t xml:space="preserve"> punti principali dell’analisi:</w:t>
      </w:r>
    </w:p>
    <w:p w14:paraId="682B811E" w14:textId="77777777" w:rsidR="00BA576E" w:rsidRPr="00FB3AD9" w:rsidRDefault="00BC5743" w:rsidP="00A722ED">
      <w:pPr>
        <w:pStyle w:val="NormaleWeb"/>
        <w:numPr>
          <w:ilvl w:val="0"/>
          <w:numId w:val="5"/>
        </w:numPr>
        <w:shd w:val="clear" w:color="auto" w:fill="FFFFFF"/>
        <w:spacing w:before="0" w:beforeAutospacing="0" w:after="120" w:afterAutospacing="0" w:line="276" w:lineRule="auto"/>
        <w:jc w:val="both"/>
        <w:rPr>
          <w:rFonts w:asciiTheme="minorHAnsi" w:eastAsia="Calibri" w:hAnsiTheme="minorHAnsi" w:cstheme="minorHAnsi"/>
          <w:sz w:val="22"/>
          <w:szCs w:val="22"/>
        </w:rPr>
      </w:pPr>
      <w:r w:rsidRPr="00FB3AD9">
        <w:rPr>
          <w:rFonts w:asciiTheme="minorHAnsi" w:eastAsia="Calibri" w:hAnsiTheme="minorHAnsi" w:cstheme="minorHAnsi"/>
          <w:b/>
          <w:spacing w:val="-2"/>
        </w:rPr>
        <w:t xml:space="preserve">Si </w:t>
      </w:r>
      <w:r w:rsidR="00181EC9" w:rsidRPr="00FB3AD9">
        <w:rPr>
          <w:rFonts w:asciiTheme="minorHAnsi" w:eastAsia="Calibri" w:hAnsiTheme="minorHAnsi" w:cstheme="minorHAnsi"/>
          <w:b/>
          <w:spacing w:val="-2"/>
        </w:rPr>
        <w:t>rileva</w:t>
      </w:r>
      <w:r w:rsidRPr="00FB3AD9">
        <w:rPr>
          <w:rFonts w:asciiTheme="minorHAnsi" w:eastAsia="Calibri" w:hAnsiTheme="minorHAnsi" w:cstheme="minorHAnsi"/>
          <w:b/>
          <w:spacing w:val="-2"/>
        </w:rPr>
        <w:t xml:space="preserve"> la preferenza verso le case vacanze situate nelle località montane rispetto a quelle marine e lacuali. </w:t>
      </w:r>
      <w:r w:rsidR="00CB772D" w:rsidRPr="00FB3AD9">
        <w:rPr>
          <w:rFonts w:asciiTheme="minorHAnsi" w:eastAsia="Calibri" w:hAnsiTheme="minorHAnsi" w:cstheme="minorHAnsi"/>
          <w:b/>
          <w:spacing w:val="-2"/>
        </w:rPr>
        <w:t xml:space="preserve">Già </w:t>
      </w:r>
      <w:r w:rsidR="009F72D4" w:rsidRPr="00FB3AD9">
        <w:rPr>
          <w:rFonts w:asciiTheme="minorHAnsi" w:eastAsia="Calibri" w:hAnsiTheme="minorHAnsi" w:cstheme="minorHAnsi"/>
          <w:b/>
          <w:spacing w:val="-2"/>
        </w:rPr>
        <w:t>n</w:t>
      </w:r>
      <w:r w:rsidR="00915C63" w:rsidRPr="00FB3AD9">
        <w:rPr>
          <w:rFonts w:asciiTheme="minorHAnsi" w:eastAsia="Calibri" w:hAnsiTheme="minorHAnsi" w:cstheme="minorHAnsi"/>
          <w:b/>
          <w:spacing w:val="-2"/>
        </w:rPr>
        <w:t>el 2019 le transazioni di abitazioni nelle località montane sono</w:t>
      </w:r>
      <w:r w:rsidR="00E83F8F" w:rsidRPr="00FB3AD9">
        <w:rPr>
          <w:rFonts w:asciiTheme="minorHAnsi" w:eastAsia="Calibri" w:hAnsiTheme="minorHAnsi" w:cstheme="minorHAnsi"/>
          <w:b/>
          <w:spacing w:val="-2"/>
        </w:rPr>
        <w:t xml:space="preserve"> infatti</w:t>
      </w:r>
      <w:r w:rsidR="00915C63" w:rsidRPr="00FB3AD9">
        <w:rPr>
          <w:rFonts w:asciiTheme="minorHAnsi" w:eastAsia="Calibri" w:hAnsiTheme="minorHAnsi" w:cstheme="minorHAnsi"/>
          <w:b/>
          <w:spacing w:val="-2"/>
        </w:rPr>
        <w:t xml:space="preserve">, aumentate dell’11,8% </w:t>
      </w:r>
      <w:r w:rsidR="00E83F8F" w:rsidRPr="00FB3AD9">
        <w:rPr>
          <w:rFonts w:asciiTheme="minorHAnsi" w:eastAsia="Calibri" w:hAnsiTheme="minorHAnsi" w:cstheme="minorHAnsi"/>
          <w:b/>
          <w:spacing w:val="-2"/>
        </w:rPr>
        <w:t>rispetto al 2018</w:t>
      </w:r>
      <w:r w:rsidR="00915C63" w:rsidRPr="00FB3AD9">
        <w:rPr>
          <w:rFonts w:asciiTheme="minorHAnsi" w:eastAsia="Calibri" w:hAnsiTheme="minorHAnsi" w:cstheme="minorHAnsi"/>
          <w:b/>
          <w:spacing w:val="-2"/>
        </w:rPr>
        <w:t>, a fronte di un aumento molto più contenuto nei laghi 2</w:t>
      </w:r>
      <w:r w:rsidR="009B5A9D" w:rsidRPr="00FB3AD9">
        <w:rPr>
          <w:rFonts w:asciiTheme="minorHAnsi" w:eastAsia="Calibri" w:hAnsiTheme="minorHAnsi" w:cstheme="minorHAnsi"/>
          <w:b/>
          <w:spacing w:val="-2"/>
        </w:rPr>
        <w:t>,1</w:t>
      </w:r>
      <w:r w:rsidR="00915C63" w:rsidRPr="00FB3AD9">
        <w:rPr>
          <w:rFonts w:asciiTheme="minorHAnsi" w:eastAsia="Calibri" w:hAnsiTheme="minorHAnsi" w:cstheme="minorHAnsi"/>
          <w:b/>
          <w:spacing w:val="-2"/>
        </w:rPr>
        <w:t>% e nelle località marittime (+3</w:t>
      </w:r>
      <w:r w:rsidR="00E83F8F" w:rsidRPr="00FB3AD9">
        <w:rPr>
          <w:rFonts w:asciiTheme="minorHAnsi" w:eastAsia="Calibri" w:hAnsiTheme="minorHAnsi" w:cstheme="minorHAnsi"/>
          <w:b/>
          <w:spacing w:val="-2"/>
        </w:rPr>
        <w:t>%</w:t>
      </w:r>
      <w:r w:rsidR="00915C63" w:rsidRPr="00FB3AD9">
        <w:rPr>
          <w:rFonts w:asciiTheme="minorHAnsi" w:eastAsia="Calibri" w:hAnsiTheme="minorHAnsi" w:cstheme="minorHAnsi"/>
          <w:b/>
          <w:spacing w:val="-2"/>
        </w:rPr>
        <w:t>)</w:t>
      </w:r>
      <w:r w:rsidRPr="00FB3AD9">
        <w:rPr>
          <w:rFonts w:asciiTheme="minorHAnsi" w:eastAsia="Calibri" w:hAnsiTheme="minorHAnsi" w:cstheme="minorHAnsi"/>
          <w:b/>
          <w:spacing w:val="-2"/>
        </w:rPr>
        <w:t xml:space="preserve"> (tav 1)</w:t>
      </w:r>
      <w:r w:rsidR="00B558AA" w:rsidRPr="00FB3AD9">
        <w:rPr>
          <w:rFonts w:asciiTheme="minorHAnsi" w:eastAsia="Calibri" w:hAnsiTheme="minorHAnsi" w:cstheme="minorHAnsi"/>
          <w:b/>
          <w:spacing w:val="-2"/>
        </w:rPr>
        <w:t>.</w:t>
      </w:r>
      <w:r w:rsidR="00BA576E" w:rsidRPr="00FB3AD9">
        <w:rPr>
          <w:rFonts w:asciiTheme="minorHAnsi" w:eastAsia="Calibri" w:hAnsiTheme="minorHAnsi" w:cstheme="minorHAnsi"/>
          <w:b/>
          <w:spacing w:val="-2"/>
        </w:rPr>
        <w:t xml:space="preserve"> </w:t>
      </w:r>
    </w:p>
    <w:p w14:paraId="70783C58" w14:textId="77A3F644" w:rsidR="00BC5743" w:rsidRPr="00FB3AD9" w:rsidRDefault="00BC5743" w:rsidP="00A722ED">
      <w:pPr>
        <w:pStyle w:val="NormaleWeb"/>
        <w:numPr>
          <w:ilvl w:val="0"/>
          <w:numId w:val="5"/>
        </w:numPr>
        <w:shd w:val="clear" w:color="auto" w:fill="FFFFFF"/>
        <w:spacing w:before="0" w:beforeAutospacing="0" w:after="120" w:afterAutospacing="0" w:line="276" w:lineRule="auto"/>
        <w:jc w:val="both"/>
        <w:rPr>
          <w:rFonts w:asciiTheme="minorHAnsi" w:eastAsia="Calibri" w:hAnsiTheme="minorHAnsi" w:cstheme="minorHAnsi"/>
          <w:sz w:val="22"/>
          <w:szCs w:val="22"/>
        </w:rPr>
      </w:pPr>
      <w:r w:rsidRPr="00FB3AD9">
        <w:rPr>
          <w:rFonts w:asciiTheme="minorHAnsi" w:eastAsia="Calibri" w:hAnsiTheme="minorHAnsi" w:cstheme="minorHAnsi"/>
          <w:b/>
          <w:spacing w:val="-2"/>
        </w:rPr>
        <w:t>Nel 2020 il prezzo medio per l’acquisto di un’abitazione turistica in Italia si attesta a 2.220 euro al mq commerciale, con un trend dei prezzi di vendita delle case per vacanza ancora in contrazione: il dato medio fa segnare una flessione annua pari a -0,8% su base annua</w:t>
      </w:r>
      <w:r w:rsidR="00A75AED" w:rsidRPr="00FB3AD9">
        <w:rPr>
          <w:rFonts w:asciiTheme="minorHAnsi" w:eastAsia="Calibri" w:hAnsiTheme="minorHAnsi" w:cstheme="minorHAnsi"/>
          <w:b/>
          <w:spacing w:val="-2"/>
        </w:rPr>
        <w:t xml:space="preserve"> </w:t>
      </w:r>
      <w:r w:rsidR="00C1406F" w:rsidRPr="00FB3AD9">
        <w:rPr>
          <w:rFonts w:asciiTheme="minorHAnsi" w:eastAsia="Calibri" w:hAnsiTheme="minorHAnsi" w:cstheme="minorHAnsi"/>
          <w:b/>
          <w:spacing w:val="-2"/>
        </w:rPr>
        <w:t>con un campo di oscillazione, in funzione della tipologia abitativa, compreso tra –</w:t>
      </w:r>
      <w:r w:rsidR="00BA576E" w:rsidRPr="00FB3AD9">
        <w:rPr>
          <w:rFonts w:asciiTheme="minorHAnsi" w:eastAsia="Calibri" w:hAnsiTheme="minorHAnsi" w:cstheme="minorHAnsi"/>
          <w:b/>
          <w:spacing w:val="-2"/>
        </w:rPr>
        <w:t>2,8% e +2,4.</w:t>
      </w:r>
    </w:p>
    <w:p w14:paraId="4FAFFDAB" w14:textId="1F8478A0" w:rsidR="00BC5743" w:rsidRPr="00FB3AD9" w:rsidRDefault="008F1F09" w:rsidP="00A722ED">
      <w:pPr>
        <w:pStyle w:val="NormaleWeb"/>
        <w:numPr>
          <w:ilvl w:val="0"/>
          <w:numId w:val="5"/>
        </w:numPr>
        <w:shd w:val="clear" w:color="auto" w:fill="FFFFFF"/>
        <w:spacing w:before="0" w:beforeAutospacing="0" w:after="120" w:afterAutospacing="0" w:line="276" w:lineRule="auto"/>
        <w:jc w:val="both"/>
        <w:rPr>
          <w:rFonts w:asciiTheme="minorHAnsi" w:eastAsia="Calibri" w:hAnsiTheme="minorHAnsi" w:cstheme="minorHAnsi"/>
          <w:b/>
          <w:spacing w:val="-2"/>
        </w:rPr>
      </w:pPr>
      <w:r w:rsidRPr="00FB3AD9">
        <w:rPr>
          <w:rFonts w:asciiTheme="minorHAnsi" w:eastAsia="Calibri" w:hAnsiTheme="minorHAnsi" w:cstheme="minorHAnsi"/>
          <w:b/>
          <w:spacing w:val="-2"/>
        </w:rPr>
        <w:t>Per le</w:t>
      </w:r>
      <w:r w:rsidR="00BC5743" w:rsidRPr="00FB3AD9">
        <w:rPr>
          <w:rFonts w:asciiTheme="minorHAnsi" w:eastAsia="Calibri" w:hAnsiTheme="minorHAnsi" w:cstheme="minorHAnsi"/>
          <w:b/>
          <w:spacing w:val="-2"/>
        </w:rPr>
        <w:t xml:space="preserve"> abitazioni top nuove</w:t>
      </w:r>
      <w:r w:rsidR="00912971" w:rsidRPr="00FB3AD9">
        <w:rPr>
          <w:rFonts w:asciiTheme="minorHAnsi" w:eastAsia="Calibri" w:hAnsiTheme="minorHAnsi" w:cstheme="minorHAnsi"/>
          <w:b/>
          <w:spacing w:val="-2"/>
        </w:rPr>
        <w:t xml:space="preserve"> nelle località turistiche</w:t>
      </w:r>
      <w:r w:rsidR="00BC5743" w:rsidRPr="00FB3AD9">
        <w:rPr>
          <w:rFonts w:asciiTheme="minorHAnsi" w:eastAsia="Calibri" w:hAnsiTheme="minorHAnsi" w:cstheme="minorHAnsi"/>
          <w:b/>
          <w:spacing w:val="-2"/>
        </w:rPr>
        <w:t xml:space="preserve">, le quotazioni medie si attestano su valori che superano i 3.000 al mq, </w:t>
      </w:r>
      <w:r w:rsidR="00B558AA" w:rsidRPr="00FB3AD9">
        <w:rPr>
          <w:rFonts w:asciiTheme="minorHAnsi" w:eastAsia="Calibri" w:hAnsiTheme="minorHAnsi" w:cstheme="minorHAnsi"/>
          <w:b/>
          <w:spacing w:val="-2"/>
        </w:rPr>
        <w:t xml:space="preserve">per </w:t>
      </w:r>
      <w:r w:rsidR="00BC5743" w:rsidRPr="00FB3AD9">
        <w:rPr>
          <w:rFonts w:asciiTheme="minorHAnsi" w:eastAsia="Calibri" w:hAnsiTheme="minorHAnsi" w:cstheme="minorHAnsi"/>
          <w:b/>
          <w:spacing w:val="-2"/>
        </w:rPr>
        <w:t xml:space="preserve">le abitazioni centrali usate </w:t>
      </w:r>
      <w:r w:rsidR="00B558AA" w:rsidRPr="00FB3AD9">
        <w:rPr>
          <w:rFonts w:asciiTheme="minorHAnsi" w:eastAsia="Calibri" w:hAnsiTheme="minorHAnsi" w:cstheme="minorHAnsi"/>
          <w:b/>
          <w:spacing w:val="-2"/>
        </w:rPr>
        <w:t>i</w:t>
      </w:r>
      <w:r w:rsidR="00BC5743" w:rsidRPr="00FB3AD9">
        <w:rPr>
          <w:rFonts w:asciiTheme="minorHAnsi" w:eastAsia="Calibri" w:hAnsiTheme="minorHAnsi" w:cstheme="minorHAnsi"/>
          <w:b/>
          <w:spacing w:val="-2"/>
        </w:rPr>
        <w:t xml:space="preserve"> valori oscillano tra 1.995 e 2.155 euro al mq</w:t>
      </w:r>
      <w:r w:rsidR="00912971" w:rsidRPr="00FB3AD9">
        <w:rPr>
          <w:rFonts w:asciiTheme="minorHAnsi" w:eastAsia="Calibri" w:hAnsiTheme="minorHAnsi" w:cstheme="minorHAnsi"/>
          <w:b/>
          <w:spacing w:val="-2"/>
        </w:rPr>
        <w:t>,</w:t>
      </w:r>
      <w:r w:rsidR="00BC5743" w:rsidRPr="00FB3AD9">
        <w:rPr>
          <w:rFonts w:asciiTheme="minorHAnsi" w:eastAsia="Calibri" w:hAnsiTheme="minorHAnsi" w:cstheme="minorHAnsi"/>
          <w:b/>
          <w:spacing w:val="-2"/>
        </w:rPr>
        <w:t xml:space="preserve"> mentre</w:t>
      </w:r>
      <w:r w:rsidR="00B558AA" w:rsidRPr="00FB3AD9">
        <w:rPr>
          <w:rFonts w:asciiTheme="minorHAnsi" w:eastAsia="Calibri" w:hAnsiTheme="minorHAnsi" w:cstheme="minorHAnsi"/>
          <w:b/>
          <w:spacing w:val="-2"/>
        </w:rPr>
        <w:t xml:space="preserve"> per</w:t>
      </w:r>
      <w:r w:rsidR="00BC5743" w:rsidRPr="00FB3AD9">
        <w:rPr>
          <w:rFonts w:asciiTheme="minorHAnsi" w:eastAsia="Calibri" w:hAnsiTheme="minorHAnsi" w:cstheme="minorHAnsi"/>
          <w:b/>
          <w:spacing w:val="-2"/>
        </w:rPr>
        <w:t xml:space="preserve"> le abitazioni periferiche usate si mantengono tra 1.350 e 1.500 euro al mq</w:t>
      </w:r>
      <w:r w:rsidR="00912971" w:rsidRPr="00FB3AD9">
        <w:rPr>
          <w:rFonts w:asciiTheme="minorHAnsi" w:eastAsia="Calibri" w:hAnsiTheme="minorHAnsi" w:cstheme="minorHAnsi"/>
          <w:b/>
          <w:spacing w:val="-2"/>
        </w:rPr>
        <w:t xml:space="preserve"> (tav 2).</w:t>
      </w:r>
    </w:p>
    <w:p w14:paraId="6DCC393F" w14:textId="07CCD7C9" w:rsidR="008F1F09" w:rsidRPr="00FB3AD9" w:rsidRDefault="008F1F09" w:rsidP="00A722ED">
      <w:pPr>
        <w:pStyle w:val="Paragrafoelenco"/>
        <w:numPr>
          <w:ilvl w:val="0"/>
          <w:numId w:val="5"/>
        </w:numPr>
        <w:spacing w:after="120" w:line="276" w:lineRule="auto"/>
        <w:jc w:val="both"/>
        <w:rPr>
          <w:rFonts w:asciiTheme="minorHAnsi" w:eastAsia="Calibri" w:hAnsiTheme="minorHAnsi" w:cstheme="minorHAnsi"/>
          <w:b/>
          <w:spacing w:val="-2"/>
        </w:rPr>
      </w:pPr>
      <w:r w:rsidRPr="00FB3AD9">
        <w:rPr>
          <w:rFonts w:asciiTheme="minorHAnsi" w:eastAsia="Calibri" w:hAnsiTheme="minorHAnsi" w:cstheme="minorHAnsi"/>
          <w:b/>
          <w:spacing w:val="-2"/>
        </w:rPr>
        <w:t>In cima alla classifica delle principali località turistiche</w:t>
      </w:r>
      <w:r w:rsidR="00B558AA" w:rsidRPr="00FB3AD9">
        <w:rPr>
          <w:rFonts w:asciiTheme="minorHAnsi" w:eastAsia="Calibri" w:hAnsiTheme="minorHAnsi" w:cstheme="minorHAnsi"/>
          <w:b/>
          <w:spacing w:val="-2"/>
        </w:rPr>
        <w:t>,</w:t>
      </w:r>
      <w:r w:rsidRPr="00FB3AD9">
        <w:rPr>
          <w:rFonts w:asciiTheme="minorHAnsi" w:eastAsia="Calibri" w:hAnsiTheme="minorHAnsi" w:cstheme="minorHAnsi"/>
          <w:b/>
          <w:spacing w:val="-2"/>
        </w:rPr>
        <w:t xml:space="preserve"> per quanto riguarda i prezzi massimi di compravendita di appartamenti top o nuovi</w:t>
      </w:r>
      <w:r w:rsidR="00912971" w:rsidRPr="00FB3AD9">
        <w:rPr>
          <w:rFonts w:asciiTheme="minorHAnsi" w:eastAsia="Calibri" w:hAnsiTheme="minorHAnsi" w:cstheme="minorHAnsi"/>
          <w:b/>
          <w:spacing w:val="-2"/>
        </w:rPr>
        <w:t>,</w:t>
      </w:r>
      <w:r w:rsidRPr="00FB3AD9">
        <w:rPr>
          <w:rFonts w:asciiTheme="minorHAnsi" w:eastAsia="Calibri" w:hAnsiTheme="minorHAnsi" w:cstheme="minorHAnsi"/>
          <w:b/>
          <w:spacing w:val="-2"/>
        </w:rPr>
        <w:t xml:space="preserve"> nel 2020 troviamo Madonna di Campiglio (TN) con valori che raggiungono i 13.000 €/mq che guadagna in un anno due posizioni, prendendo il posto di Capri (NA) in terza posizione con una quotazione di 11.600 €/mq. Completa il podio Forte dei Marmi (LU) che si mantiene in seconda posizione con 12.600 €/mq, valore stazionario rispetto allo scorso anno</w:t>
      </w:r>
      <w:r w:rsidR="00912971" w:rsidRPr="00FB3AD9">
        <w:rPr>
          <w:rFonts w:asciiTheme="minorHAnsi" w:eastAsia="Calibri" w:hAnsiTheme="minorHAnsi" w:cstheme="minorHAnsi"/>
          <w:b/>
          <w:spacing w:val="-2"/>
        </w:rPr>
        <w:t xml:space="preserve">. </w:t>
      </w:r>
      <w:r w:rsidRPr="00FB3AD9">
        <w:rPr>
          <w:rFonts w:asciiTheme="minorHAnsi" w:eastAsia="Calibri" w:hAnsiTheme="minorHAnsi" w:cstheme="minorHAnsi"/>
          <w:b/>
          <w:spacing w:val="-2"/>
        </w:rPr>
        <w:t>Avanzano in graduatoria Courmayeur (AO) e Cortina d'Ampezzo (BL), mentre Santa Margherita Ligure (GE), dopo parecchi anni in vetta alla classifica perde due posizioni, seguita da Porto Cervo (SS), Positano (SA), Porto Rotondo (SS), Sirmione (BS).</w:t>
      </w:r>
      <w:r w:rsidR="00912971" w:rsidRPr="00FB3AD9">
        <w:rPr>
          <w:rFonts w:asciiTheme="minorHAnsi" w:eastAsia="Calibri" w:hAnsiTheme="minorHAnsi" w:cstheme="minorHAnsi"/>
          <w:b/>
          <w:spacing w:val="-2"/>
        </w:rPr>
        <w:t xml:space="preserve"> (tav 3).</w:t>
      </w:r>
    </w:p>
    <w:p w14:paraId="0AF20570" w14:textId="77777777" w:rsidR="00B558AA" w:rsidRPr="00FB3AD9" w:rsidRDefault="00B558AA" w:rsidP="00A722ED">
      <w:pPr>
        <w:pStyle w:val="Paragrafoelenco"/>
        <w:spacing w:after="120" w:line="276" w:lineRule="auto"/>
        <w:jc w:val="both"/>
        <w:rPr>
          <w:rFonts w:asciiTheme="minorHAnsi" w:eastAsia="Calibri" w:hAnsiTheme="minorHAnsi" w:cstheme="minorHAnsi"/>
          <w:b/>
          <w:spacing w:val="-2"/>
        </w:rPr>
      </w:pPr>
    </w:p>
    <w:p w14:paraId="7A6D0BBE" w14:textId="0C620176" w:rsidR="00BA576E" w:rsidRPr="00FB3AD9" w:rsidRDefault="00181EC9" w:rsidP="00A722ED">
      <w:pPr>
        <w:pStyle w:val="Paragrafoelenco"/>
        <w:numPr>
          <w:ilvl w:val="0"/>
          <w:numId w:val="5"/>
        </w:numPr>
        <w:jc w:val="both"/>
        <w:rPr>
          <w:rFonts w:asciiTheme="minorHAnsi" w:eastAsia="Calibri" w:hAnsiTheme="minorHAnsi" w:cstheme="minorHAnsi"/>
          <w:sz w:val="22"/>
          <w:szCs w:val="22"/>
        </w:rPr>
      </w:pPr>
      <w:r w:rsidRPr="00FB3AD9">
        <w:rPr>
          <w:rFonts w:asciiTheme="minorHAnsi" w:eastAsia="Calibri" w:hAnsiTheme="minorHAnsi" w:cstheme="minorHAnsi"/>
          <w:b/>
          <w:spacing w:val="-2"/>
        </w:rPr>
        <w:t>Dal comparto locativo emergono segnali di maggiore stabilità in termini di valori</w:t>
      </w:r>
      <w:r w:rsidR="00260B7F" w:rsidRPr="00FB3AD9">
        <w:rPr>
          <w:rFonts w:asciiTheme="minorHAnsi" w:eastAsia="Calibri" w:hAnsiTheme="minorHAnsi" w:cstheme="minorHAnsi"/>
          <w:b/>
          <w:spacing w:val="-2"/>
        </w:rPr>
        <w:t xml:space="preserve"> e contratti</w:t>
      </w:r>
      <w:r w:rsidRPr="00FB3AD9">
        <w:rPr>
          <w:rFonts w:asciiTheme="minorHAnsi" w:eastAsia="Calibri" w:hAnsiTheme="minorHAnsi" w:cstheme="minorHAnsi"/>
          <w:b/>
          <w:spacing w:val="-2"/>
        </w:rPr>
        <w:t xml:space="preserve">. Il dato medio, sintesi dei canoni richiesti in giugno, luglio e agosto nelle singole località turistiche monitorate, evidenzia un +0,2% su base annua, con un campo di oscillazione compreso tra </w:t>
      </w:r>
      <w:r w:rsidR="00BA576E" w:rsidRPr="00FB3AD9">
        <w:rPr>
          <w:rFonts w:asciiTheme="minorHAnsi" w:eastAsia="Calibri" w:hAnsiTheme="minorHAnsi" w:cstheme="minorHAnsi"/>
          <w:b/>
          <w:spacing w:val="-2"/>
        </w:rPr>
        <w:t>-6,7% e +1,4%.</w:t>
      </w:r>
    </w:p>
    <w:p w14:paraId="44685EC0" w14:textId="77777777" w:rsidR="00BA576E" w:rsidRPr="00FB3AD9" w:rsidRDefault="00BA576E" w:rsidP="00A722ED">
      <w:pPr>
        <w:jc w:val="both"/>
        <w:rPr>
          <w:rFonts w:asciiTheme="minorHAnsi" w:eastAsia="Calibri" w:hAnsiTheme="minorHAnsi" w:cstheme="minorHAnsi"/>
          <w:sz w:val="22"/>
          <w:szCs w:val="22"/>
        </w:rPr>
      </w:pPr>
    </w:p>
    <w:p w14:paraId="084A0CC7" w14:textId="45DFB366" w:rsidR="00F23C4C" w:rsidRPr="00FB3AD9" w:rsidRDefault="00F23C4C" w:rsidP="00A722ED">
      <w:pPr>
        <w:pStyle w:val="Paragrafoelenco"/>
        <w:numPr>
          <w:ilvl w:val="0"/>
          <w:numId w:val="5"/>
        </w:numPr>
        <w:shd w:val="clear" w:color="auto" w:fill="FFFFFF" w:themeFill="background1"/>
        <w:spacing w:after="120" w:line="276" w:lineRule="auto"/>
        <w:jc w:val="both"/>
        <w:rPr>
          <w:rFonts w:asciiTheme="minorHAnsi" w:eastAsia="Calibri" w:hAnsiTheme="minorHAnsi" w:cstheme="minorHAnsi"/>
          <w:b/>
          <w:spacing w:val="-2"/>
        </w:rPr>
      </w:pPr>
      <w:r w:rsidRPr="00FB3AD9">
        <w:rPr>
          <w:rFonts w:asciiTheme="minorHAnsi" w:eastAsia="Calibri" w:hAnsiTheme="minorHAnsi" w:cstheme="minorHAnsi"/>
          <w:b/>
          <w:spacing w:val="-2"/>
        </w:rPr>
        <w:t>L</w:t>
      </w:r>
      <w:r w:rsidR="001E5073" w:rsidRPr="00FB3AD9">
        <w:rPr>
          <w:rFonts w:asciiTheme="minorHAnsi" w:eastAsia="Calibri" w:hAnsiTheme="minorHAnsi" w:cstheme="minorHAnsi"/>
          <w:b/>
          <w:spacing w:val="-2"/>
        </w:rPr>
        <w:t>a domanda di</w:t>
      </w:r>
      <w:r w:rsidRPr="00FB3AD9">
        <w:rPr>
          <w:rFonts w:asciiTheme="minorHAnsi" w:eastAsia="Calibri" w:hAnsiTheme="minorHAnsi" w:cstheme="minorHAnsi"/>
          <w:b/>
          <w:spacing w:val="-2"/>
        </w:rPr>
        <w:t xml:space="preserve"> acquisto di</w:t>
      </w:r>
      <w:r w:rsidR="001E5073" w:rsidRPr="00FB3AD9">
        <w:rPr>
          <w:rFonts w:asciiTheme="minorHAnsi" w:eastAsia="Calibri" w:hAnsiTheme="minorHAnsi" w:cstheme="minorHAnsi"/>
          <w:b/>
          <w:spacing w:val="-2"/>
        </w:rPr>
        <w:t xml:space="preserve"> abitazioni per vacanza risulta sostenuta in prevalenza dalla componente domestica nell’85% </w:t>
      </w:r>
      <w:r w:rsidR="005F5BA9" w:rsidRPr="00FB3AD9">
        <w:rPr>
          <w:rFonts w:asciiTheme="minorHAnsi" w:eastAsia="Calibri" w:hAnsiTheme="minorHAnsi" w:cstheme="minorHAnsi"/>
          <w:b/>
          <w:spacing w:val="-2"/>
        </w:rPr>
        <w:t>delle risposte</w:t>
      </w:r>
      <w:r w:rsidR="001E5073" w:rsidRPr="00FB3AD9">
        <w:rPr>
          <w:rFonts w:asciiTheme="minorHAnsi" w:eastAsia="Calibri" w:hAnsiTheme="minorHAnsi" w:cstheme="minorHAnsi"/>
          <w:b/>
          <w:spacing w:val="-2"/>
        </w:rPr>
        <w:t>, mentre nel restante 15% risulta alimentata da soggetti stranieri</w:t>
      </w:r>
      <w:r w:rsidR="00F82B88" w:rsidRPr="00FB3AD9">
        <w:rPr>
          <w:rFonts w:asciiTheme="minorHAnsi" w:eastAsia="Calibri" w:hAnsiTheme="minorHAnsi" w:cstheme="minorHAnsi"/>
          <w:b/>
          <w:spacing w:val="-2"/>
        </w:rPr>
        <w:t xml:space="preserve"> </w:t>
      </w:r>
      <w:r w:rsidR="001E5073" w:rsidRPr="00FB3AD9">
        <w:rPr>
          <w:rFonts w:asciiTheme="minorHAnsi" w:eastAsia="Calibri" w:hAnsiTheme="minorHAnsi" w:cstheme="minorHAnsi"/>
          <w:b/>
          <w:spacing w:val="-2"/>
        </w:rPr>
        <w:t>con percentuali simili allo scorso anno.</w:t>
      </w:r>
      <w:r w:rsidRPr="00FB3AD9">
        <w:rPr>
          <w:rFonts w:asciiTheme="minorHAnsi" w:eastAsia="Calibri" w:hAnsiTheme="minorHAnsi" w:cstheme="minorHAnsi"/>
          <w:b/>
          <w:spacing w:val="-2"/>
        </w:rPr>
        <w:t xml:space="preserve"> Si modifica la domanda di locazione di case vacanze che ha invece risentito più velocemente delle restrizioni imposte ai viaggi internazionali: secondo gli operatori la domanda straniera passa dal 29% al 18%.</w:t>
      </w:r>
    </w:p>
    <w:p w14:paraId="07A38DC9" w14:textId="77777777" w:rsidR="00260B7F" w:rsidRPr="00FB3AD9" w:rsidRDefault="00260B7F" w:rsidP="00A722ED">
      <w:pPr>
        <w:pStyle w:val="Paragrafoelenco"/>
        <w:rPr>
          <w:rFonts w:asciiTheme="minorHAnsi" w:eastAsia="Calibri" w:hAnsiTheme="minorHAnsi" w:cstheme="minorHAnsi"/>
          <w:b/>
          <w:spacing w:val="-2"/>
        </w:rPr>
      </w:pPr>
    </w:p>
    <w:p w14:paraId="17622BDC" w14:textId="77777777" w:rsidR="00CB772D" w:rsidRPr="00FB3AD9" w:rsidRDefault="00260B7F" w:rsidP="00A722ED">
      <w:pPr>
        <w:pStyle w:val="Paragrafoelenco"/>
        <w:numPr>
          <w:ilvl w:val="0"/>
          <w:numId w:val="5"/>
        </w:numPr>
        <w:jc w:val="both"/>
        <w:rPr>
          <w:rFonts w:asciiTheme="minorHAnsi" w:eastAsia="Calibri" w:hAnsiTheme="minorHAnsi" w:cstheme="minorHAnsi"/>
          <w:b/>
          <w:spacing w:val="-2"/>
        </w:rPr>
      </w:pPr>
      <w:r w:rsidRPr="00FB3AD9">
        <w:rPr>
          <w:rFonts w:asciiTheme="minorHAnsi" w:eastAsia="Calibri" w:hAnsiTheme="minorHAnsi" w:cstheme="minorHAnsi"/>
          <w:b/>
          <w:spacing w:val="-2"/>
        </w:rPr>
        <w:t xml:space="preserve">Identikit delle famiglie che prendono in locazione una casa per vacanza per almeno un mese: </w:t>
      </w:r>
      <w:r w:rsidR="00CB772D" w:rsidRPr="00FB3AD9">
        <w:rPr>
          <w:rFonts w:asciiTheme="minorHAnsi" w:eastAsia="Calibri" w:hAnsiTheme="minorHAnsi" w:cstheme="minorHAnsi"/>
          <w:b/>
          <w:spacing w:val="-2"/>
        </w:rPr>
        <w:t>s</w:t>
      </w:r>
      <w:r w:rsidRPr="00FB3AD9">
        <w:rPr>
          <w:rFonts w:asciiTheme="minorHAnsi" w:eastAsia="Calibri" w:hAnsiTheme="minorHAnsi" w:cstheme="minorHAnsi"/>
          <w:b/>
          <w:spacing w:val="-2"/>
        </w:rPr>
        <w:t xml:space="preserve">i tratta, anche quest’anno nella maggioranza dei casi, di famiglie numerose con 4 e più componenti (oltre il 78% delle risposte). </w:t>
      </w:r>
    </w:p>
    <w:p w14:paraId="2C394A19" w14:textId="77777777" w:rsidR="00CB772D" w:rsidRPr="00FB3AD9" w:rsidRDefault="00CB772D" w:rsidP="00A722ED">
      <w:pPr>
        <w:pStyle w:val="Paragrafoelenco"/>
        <w:rPr>
          <w:rFonts w:asciiTheme="minorHAnsi" w:eastAsia="Calibri" w:hAnsiTheme="minorHAnsi" w:cstheme="minorHAnsi"/>
          <w:b/>
          <w:spacing w:val="-2"/>
        </w:rPr>
      </w:pPr>
    </w:p>
    <w:p w14:paraId="43B9D545" w14:textId="72C50D91" w:rsidR="00260B7F" w:rsidRPr="00FB3AD9" w:rsidRDefault="00260B7F" w:rsidP="00A722ED">
      <w:pPr>
        <w:pStyle w:val="Paragrafoelenco"/>
        <w:numPr>
          <w:ilvl w:val="0"/>
          <w:numId w:val="5"/>
        </w:numPr>
        <w:jc w:val="both"/>
        <w:rPr>
          <w:rFonts w:asciiTheme="minorHAnsi" w:eastAsia="Calibri" w:hAnsiTheme="minorHAnsi" w:cstheme="minorHAnsi"/>
          <w:b/>
          <w:spacing w:val="-2"/>
        </w:rPr>
      </w:pPr>
      <w:r w:rsidRPr="00FB3AD9">
        <w:rPr>
          <w:rFonts w:asciiTheme="minorHAnsi" w:eastAsia="Calibri" w:hAnsiTheme="minorHAnsi" w:cstheme="minorHAnsi"/>
          <w:b/>
          <w:spacing w:val="-2"/>
        </w:rPr>
        <w:t xml:space="preserve">Per quanto riguarda le dotazioni, sono richieste in prevalenza abitazioni con balcone o terrazzo abitabile (92% </w:t>
      </w:r>
      <w:r w:rsidR="005F5BA9" w:rsidRPr="00FB3AD9">
        <w:rPr>
          <w:rFonts w:asciiTheme="minorHAnsi" w:eastAsia="Calibri" w:hAnsiTheme="minorHAnsi" w:cstheme="minorHAnsi"/>
          <w:b/>
          <w:spacing w:val="-2"/>
        </w:rPr>
        <w:t>delle risposte</w:t>
      </w:r>
      <w:r w:rsidRPr="00FB3AD9">
        <w:rPr>
          <w:rFonts w:asciiTheme="minorHAnsi" w:eastAsia="Calibri" w:hAnsiTheme="minorHAnsi" w:cstheme="minorHAnsi"/>
          <w:b/>
          <w:spacing w:val="-2"/>
        </w:rPr>
        <w:t>), con una cucina ben attrezzata, in localizzazioni adiacenti all’attrattore turistico e possibilmente con posto auto.</w:t>
      </w:r>
    </w:p>
    <w:p w14:paraId="5D126853" w14:textId="77777777" w:rsidR="00B558AA" w:rsidRPr="00B558AA" w:rsidRDefault="00B558AA" w:rsidP="00B558AA">
      <w:pPr>
        <w:pStyle w:val="Paragrafoelenco"/>
        <w:rPr>
          <w:rFonts w:asciiTheme="minorHAnsi" w:hAnsiTheme="minorHAnsi"/>
          <w:szCs w:val="28"/>
        </w:rPr>
      </w:pPr>
    </w:p>
    <w:p w14:paraId="09E5AE50" w14:textId="79101C8E" w:rsidR="00EA3030" w:rsidRPr="00EA3030" w:rsidRDefault="00EA3030" w:rsidP="00EA3030">
      <w:pPr>
        <w:rPr>
          <w:rFonts w:asciiTheme="minorHAnsi" w:hAnsiTheme="minorHAnsi" w:cstheme="minorHAnsi"/>
          <w:b/>
        </w:rPr>
      </w:pPr>
      <w:r w:rsidRPr="00EA3030">
        <w:rPr>
          <w:rFonts w:asciiTheme="minorHAnsi" w:hAnsiTheme="minorHAnsi" w:cstheme="minorHAnsi"/>
          <w:b/>
        </w:rPr>
        <w:t xml:space="preserve">Il commento di Santino Taverna, Presidente nazionale Fimaa-Confcommercio </w:t>
      </w:r>
    </w:p>
    <w:p w14:paraId="4B5CEC15" w14:textId="77777777" w:rsidR="00EA3030" w:rsidRDefault="00EA3030" w:rsidP="00EA3030">
      <w:pPr>
        <w:jc w:val="both"/>
        <w:rPr>
          <w:rFonts w:asciiTheme="minorHAnsi" w:hAnsiTheme="minorHAnsi" w:cstheme="minorHAnsi"/>
          <w:i/>
          <w:iCs/>
        </w:rPr>
      </w:pPr>
      <w:r w:rsidRPr="00EA3030">
        <w:rPr>
          <w:rFonts w:asciiTheme="minorHAnsi" w:hAnsiTheme="minorHAnsi" w:cstheme="minorHAnsi"/>
          <w:i/>
          <w:iCs/>
        </w:rPr>
        <w:t>“La pandemia da Covid-19 ha bloccato i flussi turistici in tutto il mondo, con un danno economico enorme per le nostre città d’arte, di mare, lago e montagna. Molte località turistiche, gettonatissime fino allo scorso anno, registrano un calo delle presenze soprattutto straniere. Ciò si ripercuote negativamente anche sul</w:t>
      </w:r>
      <w:r w:rsidRPr="00EA3030">
        <w:rPr>
          <w:rFonts w:asciiTheme="minorHAnsi" w:hAnsiTheme="minorHAnsi" w:cstheme="minorHAnsi"/>
          <w:i/>
          <w:iCs/>
          <w:color w:val="1F497D"/>
        </w:rPr>
        <w:t xml:space="preserve">le </w:t>
      </w:r>
      <w:r w:rsidRPr="00EA3030">
        <w:rPr>
          <w:rFonts w:asciiTheme="minorHAnsi" w:hAnsiTheme="minorHAnsi" w:cstheme="minorHAnsi"/>
          <w:i/>
          <w:iCs/>
        </w:rPr>
        <w:t>compravendite delle case per vacanza. Come Fimaa-Confcommercio chiediamo un ministero del turismo dedicato, con deleghe e portafogli, che possa agire e seguire le imprese nel proprio sviluppo e nella propria ridefinizione strategica e che permetta di programmare la ripartenza di un settore che contribuisce al 6% del Pil del Paese”.</w:t>
      </w:r>
    </w:p>
    <w:p w14:paraId="46D9C43C" w14:textId="77777777" w:rsidR="00EA3030" w:rsidRPr="00EA3030" w:rsidRDefault="00EA3030" w:rsidP="00EA3030">
      <w:pPr>
        <w:jc w:val="both"/>
        <w:rPr>
          <w:rFonts w:asciiTheme="minorHAnsi" w:hAnsiTheme="minorHAnsi" w:cstheme="minorHAnsi"/>
          <w:i/>
          <w:iCs/>
          <w:sz w:val="16"/>
        </w:rPr>
      </w:pPr>
    </w:p>
    <w:p w14:paraId="78AC4CAA" w14:textId="77777777" w:rsidR="00EA3030" w:rsidRPr="00EA3030" w:rsidRDefault="00EA3030" w:rsidP="00EA3030">
      <w:pPr>
        <w:rPr>
          <w:rFonts w:asciiTheme="minorHAnsi" w:hAnsiTheme="minorHAnsi" w:cstheme="minorHAnsi"/>
          <w:b/>
        </w:rPr>
      </w:pPr>
      <w:r w:rsidRPr="00EA3030">
        <w:rPr>
          <w:rFonts w:asciiTheme="minorHAnsi" w:hAnsiTheme="minorHAnsi" w:cstheme="minorHAnsi"/>
          <w:b/>
        </w:rPr>
        <w:t>Il commento di Luca Dondi, Amministratore delegato di Nomisma</w:t>
      </w:r>
    </w:p>
    <w:p w14:paraId="050611D8" w14:textId="77777777" w:rsidR="00EA3030" w:rsidRPr="00EA3030" w:rsidRDefault="00EA3030" w:rsidP="00EA3030">
      <w:pPr>
        <w:rPr>
          <w:rFonts w:asciiTheme="minorHAnsi" w:hAnsiTheme="minorHAnsi" w:cstheme="minorHAnsi"/>
          <w:b/>
          <w:sz w:val="6"/>
        </w:rPr>
      </w:pPr>
    </w:p>
    <w:p w14:paraId="54E73727" w14:textId="77777777" w:rsidR="00EA3030" w:rsidRPr="00EA3030" w:rsidRDefault="00EA3030" w:rsidP="00EA3030">
      <w:pPr>
        <w:jc w:val="both"/>
        <w:rPr>
          <w:rFonts w:asciiTheme="minorHAnsi" w:hAnsiTheme="minorHAnsi" w:cstheme="minorHAnsi"/>
        </w:rPr>
      </w:pPr>
      <w:r w:rsidRPr="00EA3030">
        <w:rPr>
          <w:rFonts w:asciiTheme="minorHAnsi" w:hAnsiTheme="minorHAnsi" w:cstheme="minorHAnsi"/>
        </w:rPr>
        <w:t xml:space="preserve">Secondo Luca Dondi, Amministratore delegato di Nomisma </w:t>
      </w:r>
      <w:r w:rsidRPr="00EA3030">
        <w:rPr>
          <w:rFonts w:asciiTheme="minorHAnsi" w:hAnsiTheme="minorHAnsi" w:cstheme="minorHAnsi"/>
          <w:i/>
        </w:rPr>
        <w:t>“Il mercato immobiliare turistico è al centro di spinte contrastanti: da una parte un’inerzia favorevole che proviene dagli anni precedenti, rafforzata dalla inevitabile preferenza contingente della domanda domestica verso le località turistiche italiane; dall’altra la carenza della componente straniera – condizionata dalle stringenti restrizioni imposte agli spostamenti - e, più in generale, il deterioramento congiunturale dell’economia. La risultante di tali forze contrapposte è la sostanziale invarianza dal punto di vista dell’evoluzione dei valori di mercato delle abitazioni, che tuttavia è probabile possa preludere ad una nuova contrazione”</w:t>
      </w:r>
      <w:r w:rsidRPr="00EA3030">
        <w:rPr>
          <w:rFonts w:asciiTheme="minorHAnsi" w:hAnsiTheme="minorHAnsi" w:cstheme="minorHAnsi"/>
        </w:rPr>
        <w:t>.</w:t>
      </w:r>
    </w:p>
    <w:p w14:paraId="453BA909" w14:textId="77777777" w:rsidR="00EA3030" w:rsidRPr="00EA3030" w:rsidRDefault="00EA3030" w:rsidP="00EA3030">
      <w:pPr>
        <w:jc w:val="both"/>
        <w:rPr>
          <w:rFonts w:asciiTheme="minorHAnsi" w:hAnsiTheme="minorHAnsi" w:cstheme="minorHAnsi"/>
          <w:sz w:val="16"/>
        </w:rPr>
      </w:pPr>
    </w:p>
    <w:p w14:paraId="515A91E4" w14:textId="51D1C79F" w:rsidR="00EA3030" w:rsidRPr="00EA3030" w:rsidRDefault="00EA3030" w:rsidP="00EA3030">
      <w:pPr>
        <w:rPr>
          <w:rFonts w:asciiTheme="minorHAnsi" w:hAnsiTheme="minorHAnsi" w:cstheme="minorHAnsi"/>
          <w:b/>
        </w:rPr>
      </w:pPr>
      <w:r w:rsidRPr="00EA3030">
        <w:rPr>
          <w:rFonts w:asciiTheme="minorHAnsi" w:hAnsiTheme="minorHAnsi" w:cstheme="minorHAnsi"/>
          <w:b/>
        </w:rPr>
        <w:t xml:space="preserve">Il commento di Fabrizio Savorani, </w:t>
      </w:r>
      <w:r w:rsidR="00CF6659">
        <w:rPr>
          <w:rFonts w:asciiTheme="minorHAnsi" w:hAnsiTheme="minorHAnsi" w:cstheme="minorHAnsi"/>
          <w:b/>
        </w:rPr>
        <w:t>E</w:t>
      </w:r>
      <w:r w:rsidRPr="00EA3030">
        <w:rPr>
          <w:rFonts w:asciiTheme="minorHAnsi" w:hAnsiTheme="minorHAnsi" w:cstheme="minorHAnsi"/>
          <w:b/>
        </w:rPr>
        <w:t>sperto di turismo immobiliare Fimaa-Confcommercio</w:t>
      </w:r>
    </w:p>
    <w:p w14:paraId="1A9BC4C7" w14:textId="77777777" w:rsidR="00EA3030" w:rsidRPr="00EA3030" w:rsidRDefault="00EA3030" w:rsidP="00EA3030">
      <w:pPr>
        <w:jc w:val="both"/>
        <w:rPr>
          <w:rFonts w:asciiTheme="minorHAnsi" w:hAnsiTheme="minorHAnsi" w:cstheme="minorHAnsi"/>
          <w:i/>
        </w:rPr>
      </w:pPr>
      <w:r w:rsidRPr="00EA3030">
        <w:rPr>
          <w:rFonts w:asciiTheme="minorHAnsi" w:hAnsiTheme="minorHAnsi" w:cstheme="minorHAnsi"/>
          <w:i/>
        </w:rPr>
        <w:t>“Anche nel 2020 la montagna si conferma meta preferita per trascorrere le vacanze. Chi ha comprato una seconda casa da mettere a reddito quest’anno, caratterizzato dall’emergenza da Covid-19, potrà fare affidamento soprattutto su un turismo interno e per un periodo più prolungato. Gli operatori Fimaa-Confcommercio registrano richieste di locazione per periodi più lunghi: un intero mese e talvolta anche un’intera stagione, soprattutto se si ha la possibilità di lavorare in smart working”.</w:t>
      </w:r>
    </w:p>
    <w:p w14:paraId="56C84BD7" w14:textId="77777777" w:rsidR="00B558AA" w:rsidRPr="00912971" w:rsidRDefault="00B558AA" w:rsidP="00B558AA">
      <w:pPr>
        <w:pStyle w:val="Paragrafoelenco"/>
        <w:shd w:val="clear" w:color="auto" w:fill="FFFFFF" w:themeFill="background1"/>
        <w:spacing w:after="120" w:line="276" w:lineRule="auto"/>
        <w:jc w:val="both"/>
        <w:rPr>
          <w:rFonts w:asciiTheme="minorHAnsi" w:hAnsiTheme="minorHAnsi"/>
          <w:szCs w:val="28"/>
        </w:rPr>
      </w:pPr>
    </w:p>
    <w:p w14:paraId="4A2CC9AF" w14:textId="77777777" w:rsidR="009B5A9D" w:rsidRDefault="009B5A9D">
      <w:pPr>
        <w:spacing w:after="200" w:line="276" w:lineRule="auto"/>
        <w:rPr>
          <w:rFonts w:asciiTheme="minorHAnsi" w:hAnsiTheme="minorHAnsi"/>
          <w:b/>
          <w:sz w:val="28"/>
          <w:szCs w:val="28"/>
        </w:rPr>
      </w:pPr>
      <w:r>
        <w:rPr>
          <w:rFonts w:asciiTheme="minorHAnsi" w:hAnsiTheme="minorHAnsi"/>
          <w:b/>
          <w:sz w:val="28"/>
          <w:szCs w:val="28"/>
        </w:rPr>
        <w:br w:type="page"/>
      </w:r>
    </w:p>
    <w:p w14:paraId="6A11BEB3" w14:textId="0D066A68" w:rsidR="00B74650" w:rsidRPr="00A02EB4" w:rsidRDefault="002D3762" w:rsidP="00AE50F2">
      <w:pPr>
        <w:tabs>
          <w:tab w:val="left" w:pos="357"/>
        </w:tabs>
        <w:suppressAutoHyphens/>
        <w:rPr>
          <w:rFonts w:asciiTheme="minorHAnsi" w:hAnsiTheme="minorHAnsi"/>
          <w:b/>
          <w:sz w:val="28"/>
          <w:szCs w:val="28"/>
        </w:rPr>
      </w:pPr>
      <w:r w:rsidRPr="00A02EB4">
        <w:rPr>
          <w:rFonts w:asciiTheme="minorHAnsi" w:hAnsiTheme="minorHAnsi"/>
          <w:b/>
          <w:sz w:val="28"/>
          <w:szCs w:val="28"/>
        </w:rPr>
        <w:lastRenderedPageBreak/>
        <w:t>I</w:t>
      </w:r>
      <w:r w:rsidR="00AE50F2" w:rsidRPr="00A02EB4">
        <w:rPr>
          <w:rFonts w:asciiTheme="minorHAnsi" w:hAnsiTheme="minorHAnsi"/>
          <w:b/>
          <w:sz w:val="28"/>
          <w:szCs w:val="28"/>
        </w:rPr>
        <w:t>l mercato immobiliare in Italia</w:t>
      </w:r>
    </w:p>
    <w:p w14:paraId="45CDD110" w14:textId="31341A3A" w:rsidR="00AE50F2" w:rsidRDefault="00AE50F2" w:rsidP="00364602">
      <w:pPr>
        <w:rPr>
          <w:rFonts w:asciiTheme="minorHAnsi" w:eastAsia="Calibri" w:hAnsiTheme="minorHAnsi" w:cstheme="minorHAnsi"/>
          <w:sz w:val="22"/>
        </w:rPr>
      </w:pPr>
    </w:p>
    <w:p w14:paraId="5C6CD4E2" w14:textId="1ED77DDD" w:rsidR="004F585F" w:rsidRDefault="004F585F" w:rsidP="00915C63">
      <w:pPr>
        <w:spacing w:before="120"/>
        <w:jc w:val="both"/>
        <w:rPr>
          <w:rFonts w:asciiTheme="minorHAnsi" w:hAnsiTheme="minorHAnsi" w:cstheme="minorHAnsi"/>
          <w:sz w:val="22"/>
          <w:szCs w:val="22"/>
        </w:rPr>
      </w:pPr>
      <w:r w:rsidRPr="0055762B">
        <w:rPr>
          <w:rFonts w:asciiTheme="minorHAnsi" w:hAnsiTheme="minorHAnsi" w:cstheme="minorHAnsi"/>
          <w:sz w:val="22"/>
          <w:szCs w:val="22"/>
        </w:rPr>
        <w:t xml:space="preserve">La prospettiva di una recessione di portata </w:t>
      </w:r>
      <w:r>
        <w:rPr>
          <w:rFonts w:asciiTheme="minorHAnsi" w:hAnsiTheme="minorHAnsi" w:cstheme="minorHAnsi"/>
          <w:sz w:val="22"/>
          <w:szCs w:val="22"/>
        </w:rPr>
        <w:t>rilevante</w:t>
      </w:r>
      <w:r w:rsidRPr="0055762B">
        <w:rPr>
          <w:rFonts w:asciiTheme="minorHAnsi" w:hAnsiTheme="minorHAnsi" w:cstheme="minorHAnsi"/>
          <w:sz w:val="22"/>
          <w:szCs w:val="22"/>
        </w:rPr>
        <w:t xml:space="preserve"> rappresenta lo spauracchio con cui il mercato immobiliare italiano si trova a dover fare i conti nella ripartenza post lockdown</w:t>
      </w:r>
      <w:r>
        <w:rPr>
          <w:rFonts w:asciiTheme="minorHAnsi" w:hAnsiTheme="minorHAnsi" w:cstheme="minorHAnsi"/>
          <w:sz w:val="22"/>
          <w:szCs w:val="22"/>
        </w:rPr>
        <w:t xml:space="preserve"> durante la pandemia da Covid 19</w:t>
      </w:r>
      <w:r w:rsidRPr="0055762B">
        <w:rPr>
          <w:rFonts w:asciiTheme="minorHAnsi" w:hAnsiTheme="minorHAnsi" w:cstheme="minorHAnsi"/>
          <w:sz w:val="22"/>
          <w:szCs w:val="22"/>
        </w:rPr>
        <w:t xml:space="preserve">. </w:t>
      </w:r>
    </w:p>
    <w:p w14:paraId="562FBEA3" w14:textId="77777777" w:rsidR="004F585F" w:rsidRDefault="004F585F" w:rsidP="00915C63">
      <w:pPr>
        <w:spacing w:before="120"/>
        <w:jc w:val="both"/>
        <w:rPr>
          <w:rFonts w:asciiTheme="minorHAnsi" w:hAnsiTheme="minorHAnsi" w:cstheme="minorHAnsi"/>
          <w:sz w:val="22"/>
          <w:szCs w:val="22"/>
        </w:rPr>
      </w:pPr>
      <w:r w:rsidRPr="0055762B">
        <w:rPr>
          <w:rFonts w:asciiTheme="minorHAnsi" w:hAnsiTheme="minorHAnsi" w:cstheme="minorHAnsi"/>
          <w:sz w:val="22"/>
          <w:szCs w:val="22"/>
        </w:rPr>
        <w:t>Esaurita bruscamente l’inerzia</w:t>
      </w:r>
      <w:r>
        <w:rPr>
          <w:rFonts w:asciiTheme="minorHAnsi" w:hAnsiTheme="minorHAnsi" w:cstheme="minorHAnsi"/>
          <w:sz w:val="22"/>
          <w:szCs w:val="22"/>
        </w:rPr>
        <w:t>,</w:t>
      </w:r>
      <w:r w:rsidRPr="0055762B">
        <w:rPr>
          <w:rFonts w:asciiTheme="minorHAnsi" w:hAnsiTheme="minorHAnsi" w:cstheme="minorHAnsi"/>
          <w:sz w:val="22"/>
          <w:szCs w:val="22"/>
        </w:rPr>
        <w:t xml:space="preserve"> che aveva consentito di recuperare parte delle posizioni perse nel corso della crisi dello scorso decennio, il settore si trova oggi al centro di spinte contrapposte. Da una parte, il deterioramento senza precedenti degli indicatori macroeconomici - al proposito si consideri che in un solo anno il crollo del PIL sarà analogo a quello registrato nel sessennio 2007-2013 - dall’altra, il permanere della domanda potenziale di acquisto immobiliare su livelli straordinariamente elevati, associata all’irrisorietà attuale e prospettica dei tassi di interesse</w:t>
      </w:r>
      <w:r>
        <w:rPr>
          <w:rFonts w:asciiTheme="minorHAnsi" w:hAnsiTheme="minorHAnsi" w:cstheme="minorHAnsi"/>
          <w:sz w:val="22"/>
          <w:szCs w:val="22"/>
        </w:rPr>
        <w:t xml:space="preserve"> sui mutui ipotecari</w:t>
      </w:r>
      <w:r w:rsidRPr="0055762B">
        <w:rPr>
          <w:rFonts w:asciiTheme="minorHAnsi" w:hAnsiTheme="minorHAnsi" w:cstheme="minorHAnsi"/>
          <w:sz w:val="22"/>
          <w:szCs w:val="22"/>
        </w:rPr>
        <w:t xml:space="preserve">. </w:t>
      </w:r>
    </w:p>
    <w:p w14:paraId="00B15992" w14:textId="77777777" w:rsidR="004F585F" w:rsidRDefault="004F585F" w:rsidP="00915C63">
      <w:pPr>
        <w:spacing w:before="120"/>
        <w:jc w:val="both"/>
        <w:rPr>
          <w:rFonts w:asciiTheme="minorHAnsi" w:hAnsiTheme="minorHAnsi" w:cstheme="minorHAnsi"/>
          <w:sz w:val="22"/>
          <w:szCs w:val="22"/>
        </w:rPr>
      </w:pPr>
      <w:r w:rsidRPr="0055762B">
        <w:rPr>
          <w:rFonts w:asciiTheme="minorHAnsi" w:hAnsiTheme="minorHAnsi" w:cstheme="minorHAnsi"/>
          <w:sz w:val="22"/>
          <w:szCs w:val="22"/>
        </w:rPr>
        <w:t>Se l’esigenza di massiccio e reiterato sostegno d</w:t>
      </w:r>
      <w:r>
        <w:rPr>
          <w:rFonts w:asciiTheme="minorHAnsi" w:hAnsiTheme="minorHAnsi" w:cstheme="minorHAnsi"/>
          <w:sz w:val="22"/>
          <w:szCs w:val="22"/>
        </w:rPr>
        <w:t>ell’</w:t>
      </w:r>
      <w:r w:rsidRPr="0055762B">
        <w:rPr>
          <w:rFonts w:asciiTheme="minorHAnsi" w:hAnsiTheme="minorHAnsi" w:cstheme="minorHAnsi"/>
          <w:sz w:val="22"/>
          <w:szCs w:val="22"/>
        </w:rPr>
        <w:t xml:space="preserve">economia mondiale giustifica una politica monetaria che appare destinata a rimanere espansiva per lungo tempo, a risultare per certi versi sorprendente è </w:t>
      </w:r>
      <w:r>
        <w:rPr>
          <w:rFonts w:asciiTheme="minorHAnsi" w:hAnsiTheme="minorHAnsi" w:cstheme="minorHAnsi"/>
          <w:sz w:val="22"/>
          <w:szCs w:val="22"/>
        </w:rPr>
        <w:t xml:space="preserve">la perdurante </w:t>
      </w:r>
      <w:r w:rsidRPr="0055762B">
        <w:rPr>
          <w:rFonts w:asciiTheme="minorHAnsi" w:hAnsiTheme="minorHAnsi" w:cstheme="minorHAnsi"/>
          <w:sz w:val="22"/>
          <w:szCs w:val="22"/>
        </w:rPr>
        <w:t xml:space="preserve">intensità delle manifestazioni di interesse all’acquisto di abitazioni </w:t>
      </w:r>
      <w:r>
        <w:rPr>
          <w:rFonts w:asciiTheme="minorHAnsi" w:hAnsiTheme="minorHAnsi" w:cstheme="minorHAnsi"/>
          <w:sz w:val="22"/>
          <w:szCs w:val="22"/>
        </w:rPr>
        <w:t xml:space="preserve">espresse </w:t>
      </w:r>
      <w:r w:rsidRPr="0055762B">
        <w:rPr>
          <w:rFonts w:asciiTheme="minorHAnsi" w:hAnsiTheme="minorHAnsi" w:cstheme="minorHAnsi"/>
          <w:sz w:val="22"/>
          <w:szCs w:val="22"/>
        </w:rPr>
        <w:t>d</w:t>
      </w:r>
      <w:r>
        <w:rPr>
          <w:rFonts w:asciiTheme="minorHAnsi" w:hAnsiTheme="minorHAnsi" w:cstheme="minorHAnsi"/>
          <w:sz w:val="22"/>
          <w:szCs w:val="22"/>
        </w:rPr>
        <w:t>a</w:t>
      </w:r>
      <w:r w:rsidRPr="0055762B">
        <w:rPr>
          <w:rFonts w:asciiTheme="minorHAnsi" w:hAnsiTheme="minorHAnsi" w:cstheme="minorHAnsi"/>
          <w:sz w:val="22"/>
          <w:szCs w:val="22"/>
        </w:rPr>
        <w:t xml:space="preserve">lle famiglie italiane. La sostanziale invarianza rispetto ai livelli del 2019 risulta il portato di valutazioni di fabbisogni e opportunità </w:t>
      </w:r>
      <w:r>
        <w:rPr>
          <w:rFonts w:asciiTheme="minorHAnsi" w:hAnsiTheme="minorHAnsi" w:cstheme="minorHAnsi"/>
          <w:sz w:val="22"/>
          <w:szCs w:val="22"/>
        </w:rPr>
        <w:t>effettuate</w:t>
      </w:r>
      <w:r w:rsidRPr="0055762B">
        <w:rPr>
          <w:rFonts w:asciiTheme="minorHAnsi" w:hAnsiTheme="minorHAnsi" w:cstheme="minorHAnsi"/>
          <w:sz w:val="22"/>
          <w:szCs w:val="22"/>
        </w:rPr>
        <w:t xml:space="preserve"> prima della pandemia e da quest’ultima </w:t>
      </w:r>
      <w:r>
        <w:rPr>
          <w:rFonts w:asciiTheme="minorHAnsi" w:hAnsiTheme="minorHAnsi" w:cstheme="minorHAnsi"/>
          <w:sz w:val="22"/>
          <w:szCs w:val="22"/>
        </w:rPr>
        <w:t>in apparenza</w:t>
      </w:r>
      <w:r w:rsidRPr="0055762B">
        <w:rPr>
          <w:rFonts w:asciiTheme="minorHAnsi" w:hAnsiTheme="minorHAnsi" w:cstheme="minorHAnsi"/>
          <w:sz w:val="22"/>
          <w:szCs w:val="22"/>
        </w:rPr>
        <w:t xml:space="preserve"> non modificate. </w:t>
      </w:r>
    </w:p>
    <w:p w14:paraId="2EC5EE29" w14:textId="77777777" w:rsidR="004F585F" w:rsidRDefault="004F585F" w:rsidP="00915C63">
      <w:pPr>
        <w:spacing w:before="120"/>
        <w:jc w:val="both"/>
        <w:rPr>
          <w:rFonts w:asciiTheme="minorHAnsi" w:hAnsiTheme="minorHAnsi" w:cstheme="minorHAnsi"/>
          <w:sz w:val="22"/>
          <w:szCs w:val="22"/>
        </w:rPr>
      </w:pPr>
      <w:r w:rsidRPr="0055762B">
        <w:rPr>
          <w:rFonts w:asciiTheme="minorHAnsi" w:hAnsiTheme="minorHAnsi" w:cstheme="minorHAnsi"/>
          <w:sz w:val="22"/>
          <w:szCs w:val="22"/>
        </w:rPr>
        <w:t xml:space="preserve">Il drastico cambiamento di scenario che </w:t>
      </w:r>
      <w:r>
        <w:rPr>
          <w:rFonts w:asciiTheme="minorHAnsi" w:hAnsiTheme="minorHAnsi" w:cstheme="minorHAnsi"/>
          <w:sz w:val="22"/>
          <w:szCs w:val="22"/>
        </w:rPr>
        <w:t xml:space="preserve">l’insorgenza virale </w:t>
      </w:r>
      <w:r w:rsidRPr="0055762B">
        <w:rPr>
          <w:rFonts w:asciiTheme="minorHAnsi" w:hAnsiTheme="minorHAnsi" w:cstheme="minorHAnsi"/>
          <w:sz w:val="22"/>
          <w:szCs w:val="22"/>
        </w:rPr>
        <w:t>inevitabilmente comporta</w:t>
      </w:r>
      <w:r>
        <w:rPr>
          <w:rFonts w:asciiTheme="minorHAnsi" w:hAnsiTheme="minorHAnsi" w:cstheme="minorHAnsi"/>
          <w:sz w:val="22"/>
          <w:szCs w:val="22"/>
        </w:rPr>
        <w:t>,</w:t>
      </w:r>
      <w:r w:rsidRPr="0055762B">
        <w:rPr>
          <w:rFonts w:asciiTheme="minorHAnsi" w:hAnsiTheme="minorHAnsi" w:cstheme="minorHAnsi"/>
          <w:sz w:val="22"/>
          <w:szCs w:val="22"/>
        </w:rPr>
        <w:t xml:space="preserve"> non pare ancora pienamente interiorizzato nelle </w:t>
      </w:r>
      <w:r>
        <w:rPr>
          <w:rFonts w:asciiTheme="minorHAnsi" w:hAnsiTheme="minorHAnsi" w:cstheme="minorHAnsi"/>
          <w:sz w:val="22"/>
          <w:szCs w:val="22"/>
        </w:rPr>
        <w:t>consapevolezze</w:t>
      </w:r>
      <w:r w:rsidRPr="0055762B">
        <w:rPr>
          <w:rFonts w:asciiTheme="minorHAnsi" w:hAnsiTheme="minorHAnsi" w:cstheme="minorHAnsi"/>
          <w:sz w:val="22"/>
          <w:szCs w:val="22"/>
        </w:rPr>
        <w:t xml:space="preserve"> </w:t>
      </w:r>
      <w:r>
        <w:rPr>
          <w:rFonts w:asciiTheme="minorHAnsi" w:hAnsiTheme="minorHAnsi" w:cstheme="minorHAnsi"/>
          <w:sz w:val="22"/>
          <w:szCs w:val="22"/>
        </w:rPr>
        <w:t>familiari</w:t>
      </w:r>
      <w:r w:rsidRPr="0055762B">
        <w:rPr>
          <w:rFonts w:asciiTheme="minorHAnsi" w:hAnsiTheme="minorHAnsi" w:cstheme="minorHAnsi"/>
          <w:sz w:val="22"/>
          <w:szCs w:val="22"/>
        </w:rPr>
        <w:t xml:space="preserve">, con il conseguente rischio di mancata conversione di una </w:t>
      </w:r>
      <w:r>
        <w:rPr>
          <w:rFonts w:asciiTheme="minorHAnsi" w:hAnsiTheme="minorHAnsi" w:cstheme="minorHAnsi"/>
          <w:sz w:val="22"/>
          <w:szCs w:val="22"/>
        </w:rPr>
        <w:t xml:space="preserve">quota </w:t>
      </w:r>
      <w:r w:rsidRPr="0055762B">
        <w:rPr>
          <w:rFonts w:asciiTheme="minorHAnsi" w:hAnsiTheme="minorHAnsi" w:cstheme="minorHAnsi"/>
          <w:sz w:val="22"/>
          <w:szCs w:val="22"/>
        </w:rPr>
        <w:t>tutt’altro che trascurabile delle</w:t>
      </w:r>
      <w:r>
        <w:rPr>
          <w:rFonts w:asciiTheme="minorHAnsi" w:hAnsiTheme="minorHAnsi" w:cstheme="minorHAnsi"/>
          <w:sz w:val="22"/>
          <w:szCs w:val="22"/>
        </w:rPr>
        <w:t xml:space="preserve"> intenzioni delle stesse</w:t>
      </w:r>
      <w:r w:rsidRPr="0055762B">
        <w:rPr>
          <w:rFonts w:asciiTheme="minorHAnsi" w:hAnsiTheme="minorHAnsi" w:cstheme="minorHAnsi"/>
          <w:sz w:val="22"/>
          <w:szCs w:val="22"/>
        </w:rPr>
        <w:t xml:space="preserve">. </w:t>
      </w:r>
    </w:p>
    <w:p w14:paraId="36DEE1A3" w14:textId="1F82F765" w:rsidR="004F585F" w:rsidRDefault="004F585F" w:rsidP="00364602">
      <w:pPr>
        <w:rPr>
          <w:rFonts w:asciiTheme="minorHAnsi" w:eastAsia="Calibri" w:hAnsiTheme="minorHAnsi" w:cstheme="minorHAnsi"/>
          <w:sz w:val="22"/>
        </w:rPr>
      </w:pPr>
    </w:p>
    <w:p w14:paraId="2D11A539" w14:textId="77777777" w:rsidR="004F585F" w:rsidRPr="002B7CB1" w:rsidRDefault="004F585F" w:rsidP="004F585F">
      <w:pPr>
        <w:suppressAutoHyphens/>
        <w:rPr>
          <w:rFonts w:ascii="Calibri" w:hAnsi="Calibri" w:cs="Calibri"/>
          <w:b/>
          <w:sz w:val="20"/>
        </w:rPr>
      </w:pPr>
      <w:r w:rsidRPr="002B7CB1">
        <w:rPr>
          <w:rFonts w:ascii="Calibri" w:hAnsi="Calibri" w:cs="Calibri"/>
          <w:b/>
          <w:sz w:val="20"/>
        </w:rPr>
        <w:t>Figura 1</w:t>
      </w:r>
    </w:p>
    <w:p w14:paraId="18FC497C" w14:textId="77777777" w:rsidR="004F585F" w:rsidRPr="002B7CB1" w:rsidRDefault="004F585F" w:rsidP="004F585F">
      <w:pPr>
        <w:suppressAutoHyphens/>
        <w:rPr>
          <w:rFonts w:ascii="Calibri" w:hAnsi="Calibri" w:cs="Calibri"/>
          <w:b/>
          <w:sz w:val="20"/>
        </w:rPr>
      </w:pPr>
      <w:r w:rsidRPr="002B7CB1">
        <w:rPr>
          <w:rFonts w:ascii="Calibri" w:hAnsi="Calibri" w:cs="Calibri"/>
          <w:b/>
          <w:sz w:val="20"/>
        </w:rPr>
        <w:t xml:space="preserve">Intenzioni di acquisto, affitto e ristrutturazione dell’abitazione espresse (2d) e ponderate (3d) </w:t>
      </w:r>
    </w:p>
    <w:tbl>
      <w:tblPr>
        <w:tblW w:w="5064" w:type="pct"/>
        <w:tblInd w:w="-35" w:type="dxa"/>
        <w:shd w:val="clear" w:color="auto" w:fill="F2F2F2" w:themeFill="background1" w:themeFillShade="F2"/>
        <w:tblCellMar>
          <w:left w:w="71" w:type="dxa"/>
          <w:right w:w="71" w:type="dxa"/>
        </w:tblCellMar>
        <w:tblLook w:val="0000" w:firstRow="0" w:lastRow="0" w:firstColumn="0" w:lastColumn="0" w:noHBand="0" w:noVBand="0"/>
      </w:tblPr>
      <w:tblGrid>
        <w:gridCol w:w="4830"/>
        <w:gridCol w:w="174"/>
        <w:gridCol w:w="4901"/>
      </w:tblGrid>
      <w:tr w:rsidR="004F585F" w:rsidRPr="009F0330" w14:paraId="791A07A8" w14:textId="77777777" w:rsidTr="00DC3E45">
        <w:trPr>
          <w:trHeight w:val="340"/>
        </w:trPr>
        <w:tc>
          <w:tcPr>
            <w:tcW w:w="2438" w:type="pct"/>
            <w:shd w:val="clear" w:color="auto" w:fill="auto"/>
          </w:tcPr>
          <w:p w14:paraId="219BE25B" w14:textId="77777777" w:rsidR="004F585F" w:rsidRPr="009F0330" w:rsidRDefault="004F585F" w:rsidP="00DC3E45">
            <w:pPr>
              <w:suppressAutoHyphens/>
              <w:spacing w:before="120"/>
              <w:jc w:val="center"/>
              <w:rPr>
                <w:rFonts w:ascii="Calibri" w:hAnsi="Calibri"/>
                <w:b/>
                <w:bCs/>
                <w:spacing w:val="-4"/>
                <w:sz w:val="19"/>
                <w:szCs w:val="19"/>
              </w:rPr>
            </w:pPr>
            <w:r w:rsidRPr="009F0330">
              <w:rPr>
                <w:rFonts w:ascii="Calibri" w:hAnsi="Calibri"/>
                <w:b/>
                <w:bCs/>
                <w:spacing w:val="-4"/>
                <w:sz w:val="19"/>
                <w:szCs w:val="19"/>
              </w:rPr>
              <w:t>Prospettiva intenzioni espresse</w:t>
            </w:r>
          </w:p>
        </w:tc>
        <w:tc>
          <w:tcPr>
            <w:tcW w:w="88" w:type="pct"/>
            <w:shd w:val="clear" w:color="auto" w:fill="auto"/>
            <w:vAlign w:val="center"/>
          </w:tcPr>
          <w:p w14:paraId="74477B65" w14:textId="77777777" w:rsidR="004F585F" w:rsidRPr="009F0330" w:rsidRDefault="004F585F" w:rsidP="00DC3E45">
            <w:pPr>
              <w:suppressAutoHyphens/>
              <w:rPr>
                <w:rFonts w:ascii="Calibri" w:hAnsi="Calibri"/>
                <w:b/>
                <w:bCs/>
                <w:spacing w:val="-4"/>
                <w:sz w:val="19"/>
                <w:szCs w:val="19"/>
              </w:rPr>
            </w:pPr>
          </w:p>
        </w:tc>
        <w:tc>
          <w:tcPr>
            <w:tcW w:w="2474" w:type="pct"/>
            <w:shd w:val="clear" w:color="auto" w:fill="auto"/>
          </w:tcPr>
          <w:p w14:paraId="7555D6B0" w14:textId="77777777" w:rsidR="004F585F" w:rsidRPr="009F0330" w:rsidRDefault="004F585F" w:rsidP="00DC3E45">
            <w:pPr>
              <w:suppressAutoHyphens/>
              <w:spacing w:before="120"/>
              <w:jc w:val="center"/>
              <w:rPr>
                <w:rFonts w:ascii="Calibri" w:hAnsi="Calibri"/>
                <w:b/>
                <w:bCs/>
                <w:spacing w:val="-4"/>
                <w:sz w:val="19"/>
                <w:szCs w:val="19"/>
              </w:rPr>
            </w:pPr>
            <w:r w:rsidRPr="009F0330">
              <w:rPr>
                <w:rFonts w:ascii="Calibri" w:hAnsi="Calibri"/>
                <w:b/>
                <w:bCs/>
                <w:spacing w:val="-4"/>
                <w:sz w:val="19"/>
                <w:szCs w:val="19"/>
              </w:rPr>
              <w:t>Prospettiva intenzioni ponderate</w:t>
            </w:r>
          </w:p>
        </w:tc>
      </w:tr>
    </w:tbl>
    <w:p w14:paraId="76A4C39F" w14:textId="77777777" w:rsidR="004F585F" w:rsidRDefault="004F585F" w:rsidP="004F585F">
      <w:pPr>
        <w:spacing w:before="120"/>
        <w:rPr>
          <w:rFonts w:ascii="Calibri" w:hAnsi="Calibri" w:cs="Calibri"/>
          <w:noProof/>
          <w:color w:val="000000" w:themeColor="text1"/>
          <w:sz w:val="18"/>
        </w:rPr>
      </w:pPr>
      <w:r w:rsidRPr="00C712A3">
        <w:rPr>
          <w:noProof/>
        </w:rPr>
        <w:drawing>
          <wp:inline distT="0" distB="0" distL="0" distR="0" wp14:anchorId="698175DC" wp14:editId="269375E7">
            <wp:extent cx="5580380" cy="2085981"/>
            <wp:effectExtent l="0" t="0" r="127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80380" cy="2085981"/>
                    </a:xfrm>
                    <a:prstGeom prst="rect">
                      <a:avLst/>
                    </a:prstGeom>
                    <a:noFill/>
                    <a:ln>
                      <a:noFill/>
                    </a:ln>
                  </pic:spPr>
                </pic:pic>
              </a:graphicData>
            </a:graphic>
          </wp:inline>
        </w:drawing>
      </w:r>
    </w:p>
    <w:p w14:paraId="29F193E3" w14:textId="77777777" w:rsidR="004F585F" w:rsidRPr="00A30B75" w:rsidRDefault="004F585F" w:rsidP="004F585F">
      <w:pPr>
        <w:spacing w:before="120"/>
        <w:rPr>
          <w:rFonts w:ascii="Calibri" w:hAnsi="Calibri" w:cs="Calibri"/>
          <w:i/>
          <w:iCs/>
          <w:noProof/>
          <w:color w:val="000000" w:themeColor="text1"/>
          <w:sz w:val="18"/>
        </w:rPr>
      </w:pPr>
      <w:bookmarkStart w:id="1" w:name="_Hlk46212013"/>
      <w:r w:rsidRPr="00A30B75">
        <w:rPr>
          <w:rFonts w:ascii="Calibri" w:hAnsi="Calibri" w:cs="Calibri"/>
          <w:noProof/>
          <w:color w:val="000000" w:themeColor="text1"/>
          <w:sz w:val="18"/>
        </w:rPr>
        <w:t>Nota</w:t>
      </w:r>
      <w:r w:rsidRPr="00A30B75">
        <w:rPr>
          <w:rFonts w:ascii="Calibri" w:hAnsi="Calibri" w:cs="Calibri"/>
          <w:i/>
          <w:iCs/>
          <w:noProof/>
          <w:color w:val="000000" w:themeColor="text1"/>
          <w:sz w:val="18"/>
        </w:rPr>
        <w:t xml:space="preserve">: </w:t>
      </w:r>
      <w:r w:rsidRPr="00B060B4">
        <w:rPr>
          <w:rFonts w:ascii="Calibri" w:hAnsi="Calibri" w:cs="Calibri"/>
          <w:i/>
          <w:iCs/>
          <w:noProof/>
          <w:color w:val="000000" w:themeColor="text1"/>
          <w:sz w:val="18"/>
        </w:rPr>
        <w:t>Le intenzioni ponderate (3d) riflettono una valutazione di sostenibilità in relazione all’effettiva capacità reddittuale.</w:t>
      </w:r>
    </w:p>
    <w:bookmarkEnd w:id="1"/>
    <w:p w14:paraId="33C33F50" w14:textId="77777777" w:rsidR="004F585F" w:rsidRPr="00A30B75" w:rsidRDefault="004F585F" w:rsidP="004F585F">
      <w:pPr>
        <w:spacing w:before="120"/>
        <w:rPr>
          <w:rFonts w:ascii="Calibri" w:hAnsi="Calibri" w:cs="Calibri"/>
          <w:noProof/>
          <w:color w:val="000000" w:themeColor="text1"/>
          <w:sz w:val="18"/>
        </w:rPr>
      </w:pPr>
      <w:r w:rsidRPr="00A30B75">
        <w:rPr>
          <w:rFonts w:ascii="Calibri" w:hAnsi="Calibri" w:cs="Calibri"/>
          <w:noProof/>
          <w:color w:val="000000" w:themeColor="text1"/>
          <w:sz w:val="18"/>
        </w:rPr>
        <w:t>*</w:t>
      </w:r>
      <w:r>
        <w:rPr>
          <w:rFonts w:ascii="Calibri" w:hAnsi="Calibri" w:cs="Calibri"/>
          <w:noProof/>
          <w:color w:val="000000" w:themeColor="text1"/>
          <w:sz w:val="18"/>
        </w:rPr>
        <w:t xml:space="preserve"> </w:t>
      </w:r>
      <w:r w:rsidRPr="00A30B75">
        <w:rPr>
          <w:rFonts w:ascii="Calibri" w:hAnsi="Calibri" w:cs="Calibri"/>
          <w:noProof/>
          <w:color w:val="000000" w:themeColor="text1"/>
          <w:sz w:val="18"/>
        </w:rPr>
        <w:t>Domanda potenzialmente incrementale per effetto del Decreto Rilancio (+10,3 milioni di famiglie), rispetto a quella espressa.</w:t>
      </w:r>
    </w:p>
    <w:p w14:paraId="64609D5A" w14:textId="77777777" w:rsidR="004F585F" w:rsidRPr="00BE5DB0" w:rsidRDefault="004F585F" w:rsidP="004F585F">
      <w:pPr>
        <w:spacing w:before="120"/>
        <w:rPr>
          <w:rFonts w:ascii="Calibri" w:hAnsi="Calibri" w:cs="Calibri"/>
          <w:noProof/>
          <w:color w:val="000000" w:themeColor="text1"/>
          <w:sz w:val="18"/>
        </w:rPr>
      </w:pPr>
      <w:r w:rsidRPr="00BE5DB0">
        <w:rPr>
          <w:rFonts w:ascii="Calibri" w:hAnsi="Calibri" w:cs="Calibri"/>
          <w:noProof/>
          <w:color w:val="000000" w:themeColor="text1"/>
          <w:sz w:val="18"/>
        </w:rPr>
        <w:t xml:space="preserve">Fonte: </w:t>
      </w:r>
      <w:r w:rsidRPr="00BE5DB0">
        <w:rPr>
          <w:rFonts w:asciiTheme="minorHAnsi" w:hAnsiTheme="minorHAnsi" w:cstheme="minorHAnsi"/>
          <w:sz w:val="18"/>
          <w:szCs w:val="18"/>
        </w:rPr>
        <w:t>Nomisma, Indagine alle famiglie, maggio 2020</w:t>
      </w:r>
    </w:p>
    <w:p w14:paraId="7E59949C" w14:textId="4DA72A58" w:rsidR="004F585F" w:rsidRDefault="004F585F" w:rsidP="00364602">
      <w:pPr>
        <w:rPr>
          <w:rFonts w:asciiTheme="minorHAnsi" w:eastAsia="Calibri" w:hAnsiTheme="minorHAnsi" w:cstheme="minorHAnsi"/>
          <w:sz w:val="22"/>
        </w:rPr>
      </w:pPr>
    </w:p>
    <w:p w14:paraId="16DFA448" w14:textId="30EC8BD0" w:rsidR="006056D5" w:rsidRDefault="004F585F" w:rsidP="00915C63">
      <w:pPr>
        <w:spacing w:before="240"/>
        <w:jc w:val="both"/>
        <w:rPr>
          <w:rFonts w:asciiTheme="minorHAnsi" w:hAnsiTheme="minorHAnsi" w:cstheme="minorHAnsi"/>
          <w:sz w:val="22"/>
          <w:szCs w:val="22"/>
        </w:rPr>
      </w:pPr>
      <w:r w:rsidRPr="0055762B">
        <w:rPr>
          <w:rFonts w:asciiTheme="minorHAnsi" w:hAnsiTheme="minorHAnsi" w:cstheme="minorHAnsi"/>
          <w:sz w:val="22"/>
          <w:szCs w:val="22"/>
        </w:rPr>
        <w:t xml:space="preserve">La dipendenza da credito di gran parte della domanda </w:t>
      </w:r>
      <w:r>
        <w:rPr>
          <w:rFonts w:asciiTheme="minorHAnsi" w:hAnsiTheme="minorHAnsi" w:cstheme="minorHAnsi"/>
          <w:sz w:val="22"/>
          <w:szCs w:val="22"/>
        </w:rPr>
        <w:t xml:space="preserve">(82%) </w:t>
      </w:r>
      <w:r w:rsidRPr="0055762B">
        <w:rPr>
          <w:rFonts w:asciiTheme="minorHAnsi" w:hAnsiTheme="minorHAnsi" w:cstheme="minorHAnsi"/>
          <w:sz w:val="22"/>
          <w:szCs w:val="22"/>
        </w:rPr>
        <w:t xml:space="preserve">rappresenta il fattore che meglio esemplifica la precarietà della stessa. </w:t>
      </w:r>
      <w:r>
        <w:rPr>
          <w:rFonts w:asciiTheme="minorHAnsi" w:hAnsiTheme="minorHAnsi" w:cstheme="minorHAnsi"/>
          <w:sz w:val="22"/>
          <w:szCs w:val="22"/>
        </w:rPr>
        <w:t>È</w:t>
      </w:r>
      <w:r w:rsidRPr="0055762B">
        <w:rPr>
          <w:rFonts w:asciiTheme="minorHAnsi" w:hAnsiTheme="minorHAnsi" w:cstheme="minorHAnsi"/>
          <w:sz w:val="22"/>
          <w:szCs w:val="22"/>
        </w:rPr>
        <w:t xml:space="preserve">, infatti, dalle valutazioni del sistema bancario che dipenderà la concretizzazione del potenziale </w:t>
      </w:r>
      <w:r>
        <w:rPr>
          <w:rFonts w:asciiTheme="minorHAnsi" w:hAnsiTheme="minorHAnsi" w:cstheme="minorHAnsi"/>
          <w:sz w:val="22"/>
          <w:szCs w:val="22"/>
        </w:rPr>
        <w:t xml:space="preserve">interesse </w:t>
      </w:r>
      <w:r w:rsidRPr="0055762B">
        <w:rPr>
          <w:rFonts w:asciiTheme="minorHAnsi" w:hAnsiTheme="minorHAnsi" w:cstheme="minorHAnsi"/>
          <w:sz w:val="22"/>
          <w:szCs w:val="22"/>
        </w:rPr>
        <w:t xml:space="preserve">e, </w:t>
      </w:r>
      <w:r>
        <w:rPr>
          <w:rFonts w:asciiTheme="minorHAnsi" w:hAnsiTheme="minorHAnsi" w:cstheme="minorHAnsi"/>
          <w:sz w:val="22"/>
          <w:szCs w:val="22"/>
        </w:rPr>
        <w:t xml:space="preserve">di </w:t>
      </w:r>
      <w:r w:rsidRPr="0055762B">
        <w:rPr>
          <w:rFonts w:asciiTheme="minorHAnsi" w:hAnsiTheme="minorHAnsi" w:cstheme="minorHAnsi"/>
          <w:sz w:val="22"/>
          <w:szCs w:val="22"/>
        </w:rPr>
        <w:t>conseguen</w:t>
      </w:r>
      <w:r>
        <w:rPr>
          <w:rFonts w:asciiTheme="minorHAnsi" w:hAnsiTheme="minorHAnsi" w:cstheme="minorHAnsi"/>
          <w:sz w:val="22"/>
          <w:szCs w:val="22"/>
        </w:rPr>
        <w:t>za</w:t>
      </w:r>
      <w:r w:rsidRPr="0055762B">
        <w:rPr>
          <w:rFonts w:asciiTheme="minorHAnsi" w:hAnsiTheme="minorHAnsi" w:cstheme="minorHAnsi"/>
          <w:sz w:val="22"/>
          <w:szCs w:val="22"/>
        </w:rPr>
        <w:t>, la tenuta del mercato. L’esiguità dei riferimenti di costo dei finanziamenti non rappresenta un fattore di per sé sufficiente ad alimentare ottimismo rispetto all</w:t>
      </w:r>
      <w:r>
        <w:rPr>
          <w:rFonts w:asciiTheme="minorHAnsi" w:hAnsiTheme="minorHAnsi" w:cstheme="minorHAnsi"/>
          <w:sz w:val="22"/>
          <w:szCs w:val="22"/>
        </w:rPr>
        <w:t xml:space="preserve">e scelte </w:t>
      </w:r>
      <w:r>
        <w:rPr>
          <w:rFonts w:asciiTheme="minorHAnsi" w:hAnsiTheme="minorHAnsi" w:cstheme="minorHAnsi"/>
          <w:sz w:val="22"/>
          <w:szCs w:val="22"/>
        </w:rPr>
        <w:lastRenderedPageBreak/>
        <w:t>allocative del sistema bancario</w:t>
      </w:r>
      <w:r w:rsidRPr="0055762B">
        <w:rPr>
          <w:rFonts w:asciiTheme="minorHAnsi" w:hAnsiTheme="minorHAnsi" w:cstheme="minorHAnsi"/>
          <w:sz w:val="22"/>
          <w:szCs w:val="22"/>
        </w:rPr>
        <w:t xml:space="preserve">. Il vaglio delle singole istanze da parte degli istituti </w:t>
      </w:r>
      <w:r>
        <w:rPr>
          <w:rFonts w:asciiTheme="minorHAnsi" w:hAnsiTheme="minorHAnsi" w:cstheme="minorHAnsi"/>
          <w:sz w:val="22"/>
          <w:szCs w:val="22"/>
        </w:rPr>
        <w:t>s</w:t>
      </w:r>
      <w:r w:rsidRPr="0055762B">
        <w:rPr>
          <w:rFonts w:asciiTheme="minorHAnsi" w:hAnsiTheme="minorHAnsi" w:cstheme="minorHAnsi"/>
          <w:sz w:val="22"/>
          <w:szCs w:val="22"/>
        </w:rPr>
        <w:t xml:space="preserve">arà rigoroso, coerentemente con il quadro di crescente </w:t>
      </w:r>
      <w:r>
        <w:rPr>
          <w:rFonts w:asciiTheme="minorHAnsi" w:hAnsiTheme="minorHAnsi" w:cstheme="minorHAnsi"/>
          <w:sz w:val="22"/>
          <w:szCs w:val="22"/>
        </w:rPr>
        <w:t xml:space="preserve">fragilità </w:t>
      </w:r>
      <w:r w:rsidRPr="0055762B">
        <w:rPr>
          <w:rFonts w:asciiTheme="minorHAnsi" w:hAnsiTheme="minorHAnsi" w:cstheme="minorHAnsi"/>
          <w:sz w:val="22"/>
          <w:szCs w:val="22"/>
        </w:rPr>
        <w:t xml:space="preserve">delle capacità reddituali dei mutuatari e, </w:t>
      </w:r>
      <w:r>
        <w:rPr>
          <w:rFonts w:asciiTheme="minorHAnsi" w:hAnsiTheme="minorHAnsi" w:cstheme="minorHAnsi"/>
          <w:sz w:val="22"/>
          <w:szCs w:val="22"/>
        </w:rPr>
        <w:t xml:space="preserve">in prospettiva, </w:t>
      </w:r>
      <w:r w:rsidRPr="0055762B">
        <w:rPr>
          <w:rFonts w:asciiTheme="minorHAnsi" w:hAnsiTheme="minorHAnsi" w:cstheme="minorHAnsi"/>
          <w:sz w:val="22"/>
          <w:szCs w:val="22"/>
        </w:rPr>
        <w:t xml:space="preserve">della rischiosità delle esposizioni. </w:t>
      </w:r>
    </w:p>
    <w:p w14:paraId="19C48D99" w14:textId="237CFEC2" w:rsidR="00806746" w:rsidRDefault="00806746" w:rsidP="00915C63">
      <w:pPr>
        <w:spacing w:before="120"/>
        <w:jc w:val="both"/>
        <w:rPr>
          <w:rFonts w:asciiTheme="minorHAnsi" w:hAnsiTheme="minorHAnsi" w:cstheme="minorHAnsi"/>
          <w:sz w:val="22"/>
          <w:szCs w:val="22"/>
        </w:rPr>
      </w:pPr>
      <w:r w:rsidRPr="0055762B">
        <w:rPr>
          <w:rFonts w:asciiTheme="minorHAnsi" w:hAnsiTheme="minorHAnsi" w:cstheme="minorHAnsi"/>
          <w:sz w:val="22"/>
          <w:szCs w:val="22"/>
        </w:rPr>
        <w:t xml:space="preserve">Alla battuta d’arresto del primo trimestre, quantificabile sulla base dei dati ufficiali nell’ordine del 15,5%, si è aggiunta la </w:t>
      </w:r>
      <w:r w:rsidR="008B72BB" w:rsidRPr="0055762B">
        <w:rPr>
          <w:rFonts w:asciiTheme="minorHAnsi" w:hAnsiTheme="minorHAnsi" w:cstheme="minorHAnsi"/>
          <w:sz w:val="22"/>
          <w:szCs w:val="22"/>
        </w:rPr>
        <w:t>débâcle</w:t>
      </w:r>
      <w:r w:rsidRPr="0055762B">
        <w:rPr>
          <w:rFonts w:asciiTheme="minorHAnsi" w:hAnsiTheme="minorHAnsi" w:cstheme="minorHAnsi"/>
          <w:sz w:val="22"/>
          <w:szCs w:val="22"/>
        </w:rPr>
        <w:t xml:space="preserve"> del secondo trimestre, </w:t>
      </w:r>
      <w:r>
        <w:rPr>
          <w:rFonts w:asciiTheme="minorHAnsi" w:hAnsiTheme="minorHAnsi" w:cstheme="minorHAnsi"/>
          <w:sz w:val="22"/>
          <w:szCs w:val="22"/>
        </w:rPr>
        <w:t>che</w:t>
      </w:r>
      <w:r w:rsidRPr="0055762B">
        <w:rPr>
          <w:rFonts w:asciiTheme="minorHAnsi" w:hAnsiTheme="minorHAnsi" w:cstheme="minorHAnsi"/>
          <w:sz w:val="22"/>
          <w:szCs w:val="22"/>
        </w:rPr>
        <w:t xml:space="preserve"> secondo stime preliminari </w:t>
      </w:r>
      <w:r>
        <w:rPr>
          <w:rFonts w:asciiTheme="minorHAnsi" w:hAnsiTheme="minorHAnsi" w:cstheme="minorHAnsi"/>
          <w:sz w:val="22"/>
          <w:szCs w:val="22"/>
        </w:rPr>
        <w:t xml:space="preserve">è possibile dimensionare in circa </w:t>
      </w:r>
      <w:r w:rsidRPr="0055762B">
        <w:rPr>
          <w:rFonts w:asciiTheme="minorHAnsi" w:hAnsiTheme="minorHAnsi" w:cstheme="minorHAnsi"/>
          <w:sz w:val="22"/>
          <w:szCs w:val="22"/>
        </w:rPr>
        <w:t xml:space="preserve">il 40%, nonostante il graduale allentamento delle restrizioni </w:t>
      </w:r>
      <w:r>
        <w:rPr>
          <w:rFonts w:asciiTheme="minorHAnsi" w:hAnsiTheme="minorHAnsi" w:cstheme="minorHAnsi"/>
          <w:sz w:val="22"/>
          <w:szCs w:val="22"/>
        </w:rPr>
        <w:t>avviato</w:t>
      </w:r>
      <w:r w:rsidRPr="0055762B">
        <w:rPr>
          <w:rFonts w:asciiTheme="minorHAnsi" w:hAnsiTheme="minorHAnsi" w:cstheme="minorHAnsi"/>
          <w:sz w:val="22"/>
          <w:szCs w:val="22"/>
        </w:rPr>
        <w:t xml:space="preserve"> nel</w:t>
      </w:r>
      <w:r>
        <w:rPr>
          <w:rFonts w:asciiTheme="minorHAnsi" w:hAnsiTheme="minorHAnsi" w:cstheme="minorHAnsi"/>
          <w:sz w:val="22"/>
          <w:szCs w:val="22"/>
        </w:rPr>
        <w:t xml:space="preserve">la seconda parte del </w:t>
      </w:r>
      <w:r w:rsidRPr="0055762B">
        <w:rPr>
          <w:rFonts w:asciiTheme="minorHAnsi" w:hAnsiTheme="minorHAnsi" w:cstheme="minorHAnsi"/>
          <w:sz w:val="22"/>
          <w:szCs w:val="22"/>
        </w:rPr>
        <w:t xml:space="preserve">periodo. </w:t>
      </w:r>
    </w:p>
    <w:p w14:paraId="2478D9FC" w14:textId="7BCA55BC" w:rsidR="00806746" w:rsidRDefault="00806746" w:rsidP="00915C63">
      <w:pPr>
        <w:spacing w:before="120"/>
        <w:jc w:val="both"/>
        <w:rPr>
          <w:rFonts w:asciiTheme="minorHAnsi" w:hAnsiTheme="minorHAnsi" w:cstheme="minorHAnsi"/>
          <w:sz w:val="22"/>
          <w:szCs w:val="22"/>
        </w:rPr>
      </w:pPr>
      <w:r w:rsidRPr="0055762B">
        <w:rPr>
          <w:rFonts w:asciiTheme="minorHAnsi" w:hAnsiTheme="minorHAnsi" w:cstheme="minorHAnsi"/>
          <w:sz w:val="22"/>
          <w:szCs w:val="22"/>
        </w:rPr>
        <w:t xml:space="preserve">A destare preoccupazione, al di là dell’entità del tracollo complessivo, è l’assenza </w:t>
      </w:r>
      <w:r>
        <w:rPr>
          <w:rFonts w:asciiTheme="minorHAnsi" w:hAnsiTheme="minorHAnsi" w:cstheme="minorHAnsi"/>
          <w:sz w:val="22"/>
          <w:szCs w:val="22"/>
        </w:rPr>
        <w:t xml:space="preserve">nelle ultime </w:t>
      </w:r>
      <w:r w:rsidRPr="0055762B">
        <w:rPr>
          <w:rFonts w:asciiTheme="minorHAnsi" w:hAnsiTheme="minorHAnsi" w:cstheme="minorHAnsi"/>
          <w:sz w:val="22"/>
          <w:szCs w:val="22"/>
        </w:rPr>
        <w:t>settimane di una tendenza univoca al miglioramento</w:t>
      </w:r>
      <w:r>
        <w:rPr>
          <w:rFonts w:asciiTheme="minorHAnsi" w:hAnsiTheme="minorHAnsi" w:cstheme="minorHAnsi"/>
          <w:sz w:val="22"/>
          <w:szCs w:val="22"/>
        </w:rPr>
        <w:t>,</w:t>
      </w:r>
      <w:r w:rsidRPr="0055762B">
        <w:rPr>
          <w:rFonts w:asciiTheme="minorHAnsi" w:hAnsiTheme="minorHAnsi" w:cstheme="minorHAnsi"/>
          <w:sz w:val="22"/>
          <w:szCs w:val="22"/>
        </w:rPr>
        <w:t xml:space="preserve"> </w:t>
      </w:r>
      <w:r>
        <w:rPr>
          <w:rFonts w:asciiTheme="minorHAnsi" w:hAnsiTheme="minorHAnsi" w:cstheme="minorHAnsi"/>
          <w:sz w:val="22"/>
          <w:szCs w:val="22"/>
        </w:rPr>
        <w:t>associata al</w:t>
      </w:r>
      <w:r w:rsidRPr="0055762B">
        <w:rPr>
          <w:rFonts w:asciiTheme="minorHAnsi" w:hAnsiTheme="minorHAnsi" w:cstheme="minorHAnsi"/>
          <w:sz w:val="22"/>
          <w:szCs w:val="22"/>
        </w:rPr>
        <w:t xml:space="preserve">la modestia dei segnali di vitalità provenienti dalle zone del Paese economicamente più fragili. In particolare, il rallentamento rilevato in giugno rispetto a maggio </w:t>
      </w:r>
      <w:r>
        <w:rPr>
          <w:rFonts w:asciiTheme="minorHAnsi" w:hAnsiTheme="minorHAnsi" w:cstheme="minorHAnsi"/>
          <w:sz w:val="22"/>
          <w:szCs w:val="22"/>
        </w:rPr>
        <w:t xml:space="preserve">pare spegnere </w:t>
      </w:r>
      <w:r w:rsidRPr="0055762B">
        <w:rPr>
          <w:rFonts w:asciiTheme="minorHAnsi" w:hAnsiTheme="minorHAnsi" w:cstheme="minorHAnsi"/>
          <w:sz w:val="22"/>
          <w:szCs w:val="22"/>
        </w:rPr>
        <w:t>sul nascere le speranze di pronto recupero</w:t>
      </w:r>
      <w:r>
        <w:rPr>
          <w:rFonts w:asciiTheme="minorHAnsi" w:hAnsiTheme="minorHAnsi" w:cstheme="minorHAnsi"/>
          <w:sz w:val="22"/>
          <w:szCs w:val="22"/>
        </w:rPr>
        <w:t>,</w:t>
      </w:r>
      <w:r w:rsidRPr="0055762B">
        <w:rPr>
          <w:rFonts w:asciiTheme="minorHAnsi" w:hAnsiTheme="minorHAnsi" w:cstheme="minorHAnsi"/>
          <w:sz w:val="22"/>
          <w:szCs w:val="22"/>
        </w:rPr>
        <w:t xml:space="preserve"> che </w:t>
      </w:r>
      <w:r>
        <w:rPr>
          <w:rFonts w:asciiTheme="minorHAnsi" w:hAnsiTheme="minorHAnsi" w:cstheme="minorHAnsi"/>
          <w:sz w:val="22"/>
          <w:szCs w:val="22"/>
        </w:rPr>
        <w:t xml:space="preserve">la fiammata dei </w:t>
      </w:r>
      <w:r w:rsidRPr="0055762B">
        <w:rPr>
          <w:rFonts w:asciiTheme="minorHAnsi" w:hAnsiTheme="minorHAnsi" w:cstheme="minorHAnsi"/>
          <w:sz w:val="22"/>
          <w:szCs w:val="22"/>
        </w:rPr>
        <w:t>cont</w:t>
      </w:r>
      <w:r>
        <w:rPr>
          <w:rFonts w:asciiTheme="minorHAnsi" w:hAnsiTheme="minorHAnsi" w:cstheme="minorHAnsi"/>
          <w:sz w:val="22"/>
          <w:szCs w:val="22"/>
        </w:rPr>
        <w:t>r</w:t>
      </w:r>
      <w:r w:rsidRPr="0055762B">
        <w:rPr>
          <w:rFonts w:asciiTheme="minorHAnsi" w:hAnsiTheme="minorHAnsi" w:cstheme="minorHAnsi"/>
          <w:sz w:val="22"/>
          <w:szCs w:val="22"/>
        </w:rPr>
        <w:t>atti post lockdown aveva contribuito ad alimentare. Esaurita la prima ondata di necessità (</w:t>
      </w:r>
      <w:r>
        <w:rPr>
          <w:rFonts w:asciiTheme="minorHAnsi" w:hAnsiTheme="minorHAnsi" w:cstheme="minorHAnsi"/>
          <w:sz w:val="22"/>
          <w:szCs w:val="22"/>
        </w:rPr>
        <w:t xml:space="preserve">sospinta </w:t>
      </w:r>
      <w:r w:rsidRPr="0055762B">
        <w:rPr>
          <w:rFonts w:asciiTheme="minorHAnsi" w:hAnsiTheme="minorHAnsi" w:cstheme="minorHAnsi"/>
          <w:sz w:val="22"/>
          <w:szCs w:val="22"/>
        </w:rPr>
        <w:t xml:space="preserve">dalle componenti “prima casa” e “sostituzione”), compressasi nella fase di quarantena forzosa e liberatasi alla riapertura, paiono emergere i primi contraccolpi del deterioramento del contesto </w:t>
      </w:r>
      <w:r>
        <w:rPr>
          <w:rFonts w:asciiTheme="minorHAnsi" w:hAnsiTheme="minorHAnsi" w:cstheme="minorHAnsi"/>
          <w:sz w:val="22"/>
          <w:szCs w:val="22"/>
        </w:rPr>
        <w:t xml:space="preserve">economico </w:t>
      </w:r>
      <w:r w:rsidRPr="0055762B">
        <w:rPr>
          <w:rFonts w:asciiTheme="minorHAnsi" w:hAnsiTheme="minorHAnsi" w:cstheme="minorHAnsi"/>
          <w:sz w:val="22"/>
          <w:szCs w:val="22"/>
        </w:rPr>
        <w:t xml:space="preserve">scaturito dalle </w:t>
      </w:r>
      <w:r>
        <w:rPr>
          <w:rFonts w:asciiTheme="minorHAnsi" w:hAnsiTheme="minorHAnsi" w:cstheme="minorHAnsi"/>
          <w:sz w:val="22"/>
          <w:szCs w:val="22"/>
        </w:rPr>
        <w:t xml:space="preserve">reiterate </w:t>
      </w:r>
      <w:r w:rsidRPr="0055762B">
        <w:rPr>
          <w:rFonts w:asciiTheme="minorHAnsi" w:hAnsiTheme="minorHAnsi" w:cstheme="minorHAnsi"/>
          <w:sz w:val="22"/>
          <w:szCs w:val="22"/>
        </w:rPr>
        <w:t xml:space="preserve">misure di contenimento adottate e dai timori di nuove </w:t>
      </w:r>
      <w:r>
        <w:rPr>
          <w:rFonts w:asciiTheme="minorHAnsi" w:hAnsiTheme="minorHAnsi" w:cstheme="minorHAnsi"/>
          <w:sz w:val="22"/>
          <w:szCs w:val="22"/>
        </w:rPr>
        <w:t xml:space="preserve">ondate </w:t>
      </w:r>
      <w:r w:rsidRPr="0055762B">
        <w:rPr>
          <w:rFonts w:asciiTheme="minorHAnsi" w:hAnsiTheme="minorHAnsi" w:cstheme="minorHAnsi"/>
          <w:sz w:val="22"/>
          <w:szCs w:val="22"/>
        </w:rPr>
        <w:t xml:space="preserve">virali. </w:t>
      </w:r>
    </w:p>
    <w:p w14:paraId="1C481897" w14:textId="77777777" w:rsidR="009D6D8D" w:rsidRDefault="009D6D8D" w:rsidP="00915C63">
      <w:pPr>
        <w:spacing w:before="120"/>
        <w:jc w:val="both"/>
        <w:rPr>
          <w:rFonts w:asciiTheme="minorHAnsi" w:hAnsiTheme="minorHAnsi" w:cstheme="minorHAnsi"/>
          <w:sz w:val="22"/>
          <w:szCs w:val="22"/>
        </w:rPr>
      </w:pPr>
    </w:p>
    <w:p w14:paraId="2A739FF3" w14:textId="020BD7B9" w:rsidR="00806746" w:rsidRDefault="006056D5" w:rsidP="00915C63">
      <w:pPr>
        <w:jc w:val="both"/>
        <w:rPr>
          <w:rFonts w:asciiTheme="minorHAnsi" w:hAnsiTheme="minorHAnsi" w:cstheme="minorHAnsi"/>
          <w:sz w:val="22"/>
          <w:szCs w:val="22"/>
        </w:rPr>
      </w:pPr>
      <w:r w:rsidRPr="006056D5">
        <w:rPr>
          <w:rFonts w:asciiTheme="minorHAnsi" w:hAnsiTheme="minorHAnsi" w:cstheme="minorHAnsi"/>
          <w:sz w:val="22"/>
          <w:szCs w:val="22"/>
        </w:rPr>
        <w:t xml:space="preserve">In un quadro di evidente incertezza, la propensione all’investimento risulta inevitabilmente </w:t>
      </w:r>
      <w:r w:rsidR="00806746" w:rsidRPr="0055762B">
        <w:rPr>
          <w:rFonts w:asciiTheme="minorHAnsi" w:hAnsiTheme="minorHAnsi" w:cstheme="minorHAnsi"/>
          <w:sz w:val="22"/>
          <w:szCs w:val="22"/>
        </w:rPr>
        <w:t>attenuata, nonostante la modestia dei ritorni degli impieghi alternativi e la convenienza dell’opzion</w:t>
      </w:r>
      <w:r w:rsidR="00806746">
        <w:rPr>
          <w:rFonts w:asciiTheme="minorHAnsi" w:hAnsiTheme="minorHAnsi" w:cstheme="minorHAnsi"/>
          <w:sz w:val="22"/>
          <w:szCs w:val="22"/>
        </w:rPr>
        <w:t>e</w:t>
      </w:r>
      <w:r w:rsidR="00806746" w:rsidRPr="0055762B">
        <w:rPr>
          <w:rFonts w:asciiTheme="minorHAnsi" w:hAnsiTheme="minorHAnsi" w:cstheme="minorHAnsi"/>
          <w:sz w:val="22"/>
          <w:szCs w:val="22"/>
        </w:rPr>
        <w:t xml:space="preserve"> debitoria. L’attendismo della domanda non orientata all’utilizzo diretto, </w:t>
      </w:r>
      <w:r w:rsidR="00806746">
        <w:rPr>
          <w:rFonts w:asciiTheme="minorHAnsi" w:hAnsiTheme="minorHAnsi" w:cstheme="minorHAnsi"/>
          <w:sz w:val="22"/>
          <w:szCs w:val="22"/>
        </w:rPr>
        <w:t>nelle more</w:t>
      </w:r>
      <w:r w:rsidR="00806746" w:rsidRPr="0055762B">
        <w:rPr>
          <w:rFonts w:asciiTheme="minorHAnsi" w:hAnsiTheme="minorHAnsi" w:cstheme="minorHAnsi"/>
          <w:sz w:val="22"/>
          <w:szCs w:val="22"/>
        </w:rPr>
        <w:t xml:space="preserve"> che si </w:t>
      </w:r>
      <w:r w:rsidR="00806746">
        <w:rPr>
          <w:rFonts w:asciiTheme="minorHAnsi" w:hAnsiTheme="minorHAnsi" w:cstheme="minorHAnsi"/>
          <w:sz w:val="22"/>
          <w:szCs w:val="22"/>
        </w:rPr>
        <w:t xml:space="preserve">dispieghino gli effetti </w:t>
      </w:r>
      <w:r w:rsidR="00806746" w:rsidRPr="0055762B">
        <w:rPr>
          <w:rFonts w:asciiTheme="minorHAnsi" w:hAnsiTheme="minorHAnsi" w:cstheme="minorHAnsi"/>
          <w:sz w:val="22"/>
          <w:szCs w:val="22"/>
        </w:rPr>
        <w:t xml:space="preserve">dell’indebolimento congiunturale sui valori </w:t>
      </w:r>
      <w:r w:rsidR="00806746">
        <w:rPr>
          <w:rFonts w:asciiTheme="minorHAnsi" w:hAnsiTheme="minorHAnsi" w:cstheme="minorHAnsi"/>
          <w:sz w:val="22"/>
          <w:szCs w:val="22"/>
        </w:rPr>
        <w:t>di mercato</w:t>
      </w:r>
      <w:r w:rsidR="00806746" w:rsidRPr="0055762B">
        <w:rPr>
          <w:rFonts w:asciiTheme="minorHAnsi" w:hAnsiTheme="minorHAnsi" w:cstheme="minorHAnsi"/>
          <w:sz w:val="22"/>
          <w:szCs w:val="22"/>
        </w:rPr>
        <w:t xml:space="preserve">, finisce per </w:t>
      </w:r>
      <w:r w:rsidR="00806746">
        <w:rPr>
          <w:rFonts w:asciiTheme="minorHAnsi" w:hAnsiTheme="minorHAnsi" w:cstheme="minorHAnsi"/>
          <w:sz w:val="22"/>
          <w:szCs w:val="22"/>
        </w:rPr>
        <w:t xml:space="preserve">attenuare l’interesse della componente </w:t>
      </w:r>
      <w:r w:rsidR="00806746" w:rsidRPr="0055762B">
        <w:rPr>
          <w:rFonts w:asciiTheme="minorHAnsi" w:hAnsiTheme="minorHAnsi" w:cstheme="minorHAnsi"/>
          <w:sz w:val="22"/>
          <w:szCs w:val="22"/>
        </w:rPr>
        <w:t xml:space="preserve">che aveva contribuito ad un’accentuazione delle dinamiche espansive nella fase </w:t>
      </w:r>
      <w:r w:rsidR="00806746">
        <w:rPr>
          <w:rFonts w:asciiTheme="minorHAnsi" w:hAnsiTheme="minorHAnsi" w:cstheme="minorHAnsi"/>
          <w:sz w:val="22"/>
          <w:szCs w:val="22"/>
        </w:rPr>
        <w:t>pre</w:t>
      </w:r>
      <w:r w:rsidR="008B72BB">
        <w:rPr>
          <w:rFonts w:asciiTheme="minorHAnsi" w:hAnsiTheme="minorHAnsi" w:cstheme="minorHAnsi"/>
          <w:sz w:val="22"/>
          <w:szCs w:val="22"/>
        </w:rPr>
        <w:t>-</w:t>
      </w:r>
      <w:r w:rsidR="00806746">
        <w:rPr>
          <w:rFonts w:asciiTheme="minorHAnsi" w:hAnsiTheme="minorHAnsi" w:cstheme="minorHAnsi"/>
          <w:sz w:val="22"/>
          <w:szCs w:val="22"/>
        </w:rPr>
        <w:t>Covid.</w:t>
      </w:r>
      <w:r w:rsidR="00806746" w:rsidRPr="0055762B">
        <w:rPr>
          <w:rFonts w:asciiTheme="minorHAnsi" w:hAnsiTheme="minorHAnsi" w:cstheme="minorHAnsi"/>
          <w:sz w:val="22"/>
          <w:szCs w:val="22"/>
        </w:rPr>
        <w:t xml:space="preserve"> </w:t>
      </w:r>
    </w:p>
    <w:tbl>
      <w:tblPr>
        <w:tblpPr w:leftFromText="141" w:rightFromText="141" w:vertAnchor="text" w:horzAnchor="margin" w:tblpY="218"/>
        <w:tblOverlap w:val="never"/>
        <w:tblW w:w="2589" w:type="pct"/>
        <w:tblLook w:val="00A0" w:firstRow="1" w:lastRow="0" w:firstColumn="1" w:lastColumn="0" w:noHBand="0" w:noVBand="0"/>
      </w:tblPr>
      <w:tblGrid>
        <w:gridCol w:w="5102"/>
      </w:tblGrid>
      <w:tr w:rsidR="00806746" w:rsidRPr="002B1DBB" w14:paraId="520359B6" w14:textId="77777777" w:rsidTr="00DC3E45">
        <w:trPr>
          <w:trHeight w:val="397"/>
        </w:trPr>
        <w:tc>
          <w:tcPr>
            <w:tcW w:w="5000" w:type="pct"/>
            <w:tcBorders>
              <w:bottom w:val="single" w:sz="4" w:space="0" w:color="5B9BD5" w:themeColor="accent1"/>
            </w:tcBorders>
            <w:vAlign w:val="center"/>
          </w:tcPr>
          <w:p w14:paraId="30CC09AA" w14:textId="2AC0BDED" w:rsidR="00806746" w:rsidRPr="002B7CB1" w:rsidRDefault="00806746" w:rsidP="00915C63">
            <w:pPr>
              <w:keepNext/>
              <w:widowControl w:val="0"/>
              <w:suppressAutoHyphens/>
              <w:jc w:val="both"/>
              <w:rPr>
                <w:rFonts w:ascii="Calibri" w:hAnsi="Calibri" w:cs="Calibri"/>
                <w:b/>
                <w:sz w:val="20"/>
              </w:rPr>
            </w:pPr>
            <w:r w:rsidRPr="002B7CB1">
              <w:rPr>
                <w:rFonts w:ascii="Calibri" w:hAnsi="Calibri" w:cs="Calibri"/>
                <w:b/>
                <w:sz w:val="20"/>
              </w:rPr>
              <w:t xml:space="preserve">Figura </w:t>
            </w:r>
            <w:r w:rsidR="009D6D8D" w:rsidRPr="002B7CB1">
              <w:rPr>
                <w:rFonts w:ascii="Calibri" w:hAnsi="Calibri" w:cs="Calibri"/>
                <w:b/>
                <w:sz w:val="20"/>
              </w:rPr>
              <w:t>2</w:t>
            </w:r>
          </w:p>
          <w:p w14:paraId="1E9B972D" w14:textId="77777777" w:rsidR="00806746" w:rsidRPr="002B1DBB" w:rsidRDefault="00806746" w:rsidP="00915C63">
            <w:pPr>
              <w:keepNext/>
              <w:widowControl w:val="0"/>
              <w:suppressAutoHyphens/>
              <w:spacing w:after="60"/>
              <w:jc w:val="both"/>
              <w:rPr>
                <w:rFonts w:ascii="Calibri" w:hAnsi="Calibri"/>
                <w:b/>
                <w:sz w:val="19"/>
                <w:szCs w:val="19"/>
              </w:rPr>
            </w:pPr>
            <w:r w:rsidRPr="002B7CB1">
              <w:rPr>
                <w:rFonts w:ascii="Calibri" w:hAnsi="Calibri" w:cs="Calibri"/>
                <w:b/>
                <w:sz w:val="20"/>
              </w:rPr>
              <w:t xml:space="preserve">Motivazioni della domanda residenziale </w:t>
            </w:r>
            <w:r w:rsidRPr="002B7CB1">
              <w:rPr>
                <w:rFonts w:ascii="Calibri" w:hAnsi="Calibri" w:cs="Calibri"/>
                <w:sz w:val="20"/>
              </w:rPr>
              <w:t>(% sul totale famiglie che intendono acquistare casa)</w:t>
            </w:r>
          </w:p>
        </w:tc>
      </w:tr>
      <w:tr w:rsidR="00806746" w:rsidRPr="002B1DBB" w14:paraId="31DFCABD" w14:textId="77777777" w:rsidTr="00DC3E45">
        <w:tblPrEx>
          <w:tblCellMar>
            <w:left w:w="70" w:type="dxa"/>
            <w:right w:w="70" w:type="dxa"/>
          </w:tblCellMar>
        </w:tblPrEx>
        <w:tc>
          <w:tcPr>
            <w:tcW w:w="5000" w:type="pct"/>
            <w:tcBorders>
              <w:top w:val="single" w:sz="4" w:space="0" w:color="5B9BD5" w:themeColor="accent1"/>
              <w:bottom w:val="single" w:sz="4" w:space="0" w:color="5B9BD5" w:themeColor="accent1"/>
            </w:tcBorders>
            <w:vAlign w:val="center"/>
          </w:tcPr>
          <w:p w14:paraId="65957614" w14:textId="77777777" w:rsidR="00806746" w:rsidRPr="002B1DBB" w:rsidRDefault="00806746" w:rsidP="00915C63">
            <w:pPr>
              <w:suppressAutoHyphens/>
              <w:spacing w:before="120" w:after="120"/>
              <w:jc w:val="both"/>
              <w:rPr>
                <w:rFonts w:ascii="Calibri" w:hAnsi="Calibri"/>
              </w:rPr>
            </w:pPr>
            <w:r w:rsidRPr="00DF3EE2">
              <w:rPr>
                <w:rFonts w:ascii="Calibri" w:hAnsi="Calibri"/>
                <w:noProof/>
              </w:rPr>
              <w:drawing>
                <wp:inline distT="0" distB="0" distL="0" distR="0" wp14:anchorId="2A393061" wp14:editId="6F01D28D">
                  <wp:extent cx="2800350" cy="16764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0350" cy="1676400"/>
                          </a:xfrm>
                          <a:prstGeom prst="rect">
                            <a:avLst/>
                          </a:prstGeom>
                          <a:noFill/>
                          <a:ln>
                            <a:noFill/>
                          </a:ln>
                        </pic:spPr>
                      </pic:pic>
                    </a:graphicData>
                  </a:graphic>
                </wp:inline>
              </w:drawing>
            </w:r>
          </w:p>
        </w:tc>
      </w:tr>
      <w:tr w:rsidR="00806746" w:rsidRPr="002B1DBB" w14:paraId="28DF9F6E" w14:textId="77777777" w:rsidTr="00DC3E45">
        <w:tblPrEx>
          <w:tblCellMar>
            <w:left w:w="70" w:type="dxa"/>
            <w:right w:w="70" w:type="dxa"/>
          </w:tblCellMar>
        </w:tblPrEx>
        <w:tc>
          <w:tcPr>
            <w:tcW w:w="5000" w:type="pct"/>
            <w:tcBorders>
              <w:top w:val="single" w:sz="4" w:space="0" w:color="5B9BD5" w:themeColor="accent1"/>
            </w:tcBorders>
            <w:vAlign w:val="center"/>
          </w:tcPr>
          <w:p w14:paraId="71717698" w14:textId="77777777" w:rsidR="00806746" w:rsidRPr="007C2D93" w:rsidRDefault="00806746" w:rsidP="00915C63">
            <w:pPr>
              <w:suppressAutoHyphens/>
              <w:spacing w:before="60" w:after="120"/>
              <w:jc w:val="both"/>
              <w:rPr>
                <w:rFonts w:ascii="Calibri" w:hAnsi="Calibri"/>
                <w:noProof/>
              </w:rPr>
            </w:pPr>
            <w:r w:rsidRPr="00FD6E0B">
              <w:rPr>
                <w:rFonts w:ascii="Calibri" w:hAnsi="Calibri" w:cs="Calibri"/>
                <w:noProof/>
                <w:sz w:val="18"/>
              </w:rPr>
              <w:t xml:space="preserve">Fonte: </w:t>
            </w:r>
            <w:r w:rsidRPr="00FD6E0B">
              <w:rPr>
                <w:rFonts w:asciiTheme="minorHAnsi" w:hAnsiTheme="minorHAnsi" w:cstheme="minorHAnsi"/>
                <w:sz w:val="18"/>
                <w:szCs w:val="18"/>
              </w:rPr>
              <w:t>Nomisma, Indagine alle famiglie, maggio 2020</w:t>
            </w:r>
          </w:p>
        </w:tc>
      </w:tr>
    </w:tbl>
    <w:p w14:paraId="25F3FC54" w14:textId="77777777" w:rsidR="00806746" w:rsidRDefault="00806746" w:rsidP="00915C63">
      <w:pPr>
        <w:spacing w:before="120"/>
        <w:jc w:val="both"/>
        <w:rPr>
          <w:rFonts w:asciiTheme="minorHAnsi" w:hAnsiTheme="minorHAnsi" w:cstheme="minorHAnsi"/>
          <w:sz w:val="22"/>
          <w:szCs w:val="22"/>
        </w:rPr>
      </w:pPr>
      <w:r w:rsidRPr="0055762B">
        <w:rPr>
          <w:rFonts w:asciiTheme="minorHAnsi" w:hAnsiTheme="minorHAnsi" w:cstheme="minorHAnsi"/>
          <w:sz w:val="22"/>
          <w:szCs w:val="22"/>
        </w:rPr>
        <w:t xml:space="preserve">Proprio l’accresciuta rilevanza della </w:t>
      </w:r>
      <w:r>
        <w:rPr>
          <w:rFonts w:asciiTheme="minorHAnsi" w:hAnsiTheme="minorHAnsi" w:cstheme="minorHAnsi"/>
          <w:sz w:val="22"/>
          <w:szCs w:val="22"/>
        </w:rPr>
        <w:t xml:space="preserve">domanda </w:t>
      </w:r>
      <w:r w:rsidRPr="0055762B">
        <w:rPr>
          <w:rFonts w:asciiTheme="minorHAnsi" w:hAnsiTheme="minorHAnsi" w:cstheme="minorHAnsi"/>
          <w:sz w:val="22"/>
          <w:szCs w:val="22"/>
        </w:rPr>
        <w:t>di investimento aveva</w:t>
      </w:r>
      <w:r>
        <w:rPr>
          <w:rFonts w:asciiTheme="minorHAnsi" w:hAnsiTheme="minorHAnsi" w:cstheme="minorHAnsi"/>
          <w:sz w:val="22"/>
          <w:szCs w:val="22"/>
        </w:rPr>
        <w:t>, infatti,</w:t>
      </w:r>
      <w:r w:rsidRPr="0055762B">
        <w:rPr>
          <w:rFonts w:asciiTheme="minorHAnsi" w:hAnsiTheme="minorHAnsi" w:cstheme="minorHAnsi"/>
          <w:sz w:val="22"/>
          <w:szCs w:val="22"/>
        </w:rPr>
        <w:t xml:space="preserve"> consentito al comparto di </w:t>
      </w:r>
      <w:r>
        <w:rPr>
          <w:rFonts w:asciiTheme="minorHAnsi" w:hAnsiTheme="minorHAnsi" w:cstheme="minorHAnsi"/>
          <w:sz w:val="22"/>
          <w:szCs w:val="22"/>
        </w:rPr>
        <w:t>mantenere inalterata</w:t>
      </w:r>
      <w:r w:rsidRPr="0055762B">
        <w:rPr>
          <w:rFonts w:asciiTheme="minorHAnsi" w:hAnsiTheme="minorHAnsi" w:cstheme="minorHAnsi"/>
          <w:sz w:val="22"/>
          <w:szCs w:val="22"/>
        </w:rPr>
        <w:t xml:space="preserve"> la spinta rialzista, nonostante già ad inizio anno l’economia </w:t>
      </w:r>
      <w:r>
        <w:rPr>
          <w:rFonts w:asciiTheme="minorHAnsi" w:hAnsiTheme="minorHAnsi" w:cstheme="minorHAnsi"/>
          <w:sz w:val="22"/>
          <w:szCs w:val="22"/>
        </w:rPr>
        <w:t xml:space="preserve">italiana restituisse </w:t>
      </w:r>
      <w:r w:rsidRPr="0055762B">
        <w:rPr>
          <w:rFonts w:asciiTheme="minorHAnsi" w:hAnsiTheme="minorHAnsi" w:cstheme="minorHAnsi"/>
          <w:sz w:val="22"/>
          <w:szCs w:val="22"/>
        </w:rPr>
        <w:t xml:space="preserve">segnali di stagnazione. Il drastico deterioramento delle prospettive </w:t>
      </w:r>
      <w:r>
        <w:rPr>
          <w:rFonts w:asciiTheme="minorHAnsi" w:hAnsiTheme="minorHAnsi" w:cstheme="minorHAnsi"/>
          <w:sz w:val="22"/>
          <w:szCs w:val="22"/>
        </w:rPr>
        <w:t xml:space="preserve">di crescita del Paese </w:t>
      </w:r>
      <w:r w:rsidRPr="0055762B">
        <w:rPr>
          <w:rFonts w:asciiTheme="minorHAnsi" w:hAnsiTheme="minorHAnsi" w:cstheme="minorHAnsi"/>
          <w:sz w:val="22"/>
          <w:szCs w:val="22"/>
        </w:rPr>
        <w:t xml:space="preserve">ha comportato un radicale cambiamento di scenario, anche </w:t>
      </w:r>
      <w:r>
        <w:rPr>
          <w:rFonts w:asciiTheme="minorHAnsi" w:hAnsiTheme="minorHAnsi" w:cstheme="minorHAnsi"/>
          <w:sz w:val="22"/>
          <w:szCs w:val="22"/>
        </w:rPr>
        <w:t xml:space="preserve">per effetto </w:t>
      </w:r>
      <w:r w:rsidRPr="0055762B">
        <w:rPr>
          <w:rFonts w:asciiTheme="minorHAnsi" w:hAnsiTheme="minorHAnsi" w:cstheme="minorHAnsi"/>
          <w:sz w:val="22"/>
          <w:szCs w:val="22"/>
        </w:rPr>
        <w:t>del ridimensionamento della redditività ricavabile dal segmento locativo</w:t>
      </w:r>
      <w:r>
        <w:rPr>
          <w:rFonts w:asciiTheme="minorHAnsi" w:hAnsiTheme="minorHAnsi" w:cstheme="minorHAnsi"/>
          <w:sz w:val="22"/>
          <w:szCs w:val="22"/>
        </w:rPr>
        <w:t>, arrestando di fatto l’inerzia favorevole che si stava gradualmente consolidando</w:t>
      </w:r>
      <w:r w:rsidRPr="0055762B">
        <w:rPr>
          <w:rFonts w:asciiTheme="minorHAnsi" w:hAnsiTheme="minorHAnsi" w:cstheme="minorHAnsi"/>
          <w:sz w:val="22"/>
          <w:szCs w:val="22"/>
        </w:rPr>
        <w:t xml:space="preserve">. </w:t>
      </w:r>
    </w:p>
    <w:p w14:paraId="1C23F34A" w14:textId="238D92E7" w:rsidR="00806746" w:rsidRDefault="00806746" w:rsidP="00915C63">
      <w:pPr>
        <w:spacing w:before="120"/>
        <w:jc w:val="both"/>
        <w:rPr>
          <w:rFonts w:asciiTheme="minorHAnsi" w:hAnsiTheme="minorHAnsi" w:cstheme="minorHAnsi"/>
          <w:sz w:val="22"/>
          <w:szCs w:val="22"/>
        </w:rPr>
      </w:pPr>
      <w:r>
        <w:rPr>
          <w:rFonts w:asciiTheme="minorHAnsi" w:hAnsiTheme="minorHAnsi" w:cstheme="minorHAnsi"/>
          <w:sz w:val="22"/>
          <w:szCs w:val="22"/>
        </w:rPr>
        <w:t xml:space="preserve">Il tracollo, </w:t>
      </w:r>
      <w:r w:rsidRPr="0055762B">
        <w:rPr>
          <w:rFonts w:asciiTheme="minorHAnsi" w:hAnsiTheme="minorHAnsi" w:cstheme="minorHAnsi"/>
          <w:sz w:val="22"/>
          <w:szCs w:val="22"/>
        </w:rPr>
        <w:t>ancorché momentane</w:t>
      </w:r>
      <w:r>
        <w:rPr>
          <w:rFonts w:asciiTheme="minorHAnsi" w:hAnsiTheme="minorHAnsi" w:cstheme="minorHAnsi"/>
          <w:sz w:val="22"/>
          <w:szCs w:val="22"/>
        </w:rPr>
        <w:t>o</w:t>
      </w:r>
      <w:r w:rsidRPr="0055762B">
        <w:rPr>
          <w:rFonts w:asciiTheme="minorHAnsi" w:hAnsiTheme="minorHAnsi" w:cstheme="minorHAnsi"/>
          <w:sz w:val="22"/>
          <w:szCs w:val="22"/>
        </w:rPr>
        <w:t xml:space="preserve">, degli affitti brevi </w:t>
      </w:r>
      <w:r>
        <w:rPr>
          <w:rFonts w:asciiTheme="minorHAnsi" w:hAnsiTheme="minorHAnsi" w:cstheme="minorHAnsi"/>
          <w:sz w:val="22"/>
          <w:szCs w:val="22"/>
        </w:rPr>
        <w:t xml:space="preserve">accentua l’attenzione degli investitori sulla </w:t>
      </w:r>
      <w:r w:rsidRPr="0055762B">
        <w:rPr>
          <w:rFonts w:asciiTheme="minorHAnsi" w:hAnsiTheme="minorHAnsi" w:cstheme="minorHAnsi"/>
          <w:sz w:val="22"/>
          <w:szCs w:val="22"/>
        </w:rPr>
        <w:t xml:space="preserve">capacità degli impieghi di garantire ritorni in conto capitale, valutando con attenzione il timing delle operazioni. Da questo punto di vista, il quadro non </w:t>
      </w:r>
      <w:r>
        <w:rPr>
          <w:rFonts w:asciiTheme="minorHAnsi" w:hAnsiTheme="minorHAnsi" w:cstheme="minorHAnsi"/>
          <w:sz w:val="22"/>
          <w:szCs w:val="22"/>
        </w:rPr>
        <w:t xml:space="preserve">può certo dirsi </w:t>
      </w:r>
      <w:r w:rsidRPr="0055762B">
        <w:rPr>
          <w:rFonts w:asciiTheme="minorHAnsi" w:hAnsiTheme="minorHAnsi" w:cstheme="minorHAnsi"/>
          <w:sz w:val="22"/>
          <w:szCs w:val="22"/>
        </w:rPr>
        <w:t xml:space="preserve">propizio, come si può già </w:t>
      </w:r>
      <w:r>
        <w:rPr>
          <w:rFonts w:asciiTheme="minorHAnsi" w:hAnsiTheme="minorHAnsi" w:cstheme="minorHAnsi"/>
          <w:sz w:val="22"/>
          <w:szCs w:val="22"/>
        </w:rPr>
        <w:t>cogliere</w:t>
      </w:r>
      <w:r w:rsidRPr="0055762B">
        <w:rPr>
          <w:rFonts w:asciiTheme="minorHAnsi" w:hAnsiTheme="minorHAnsi" w:cstheme="minorHAnsi"/>
          <w:sz w:val="22"/>
          <w:szCs w:val="22"/>
        </w:rPr>
        <w:t xml:space="preserve"> dalle evidenze rilevate alla ripresa delle attività.</w:t>
      </w:r>
    </w:p>
    <w:p w14:paraId="3F4E4B83" w14:textId="2D77C2D3" w:rsidR="00B763F2" w:rsidRDefault="00806746" w:rsidP="00915C63">
      <w:pPr>
        <w:spacing w:before="120"/>
        <w:jc w:val="both"/>
        <w:rPr>
          <w:rFonts w:ascii="Calibri" w:hAnsi="Calibri"/>
          <w:b/>
          <w:bCs/>
          <w:color w:val="2E74B5"/>
          <w:spacing w:val="-4"/>
          <w:sz w:val="20"/>
        </w:rPr>
      </w:pPr>
      <w:r w:rsidRPr="0055762B">
        <w:rPr>
          <w:rFonts w:asciiTheme="minorHAnsi" w:hAnsiTheme="minorHAnsi" w:cstheme="minorHAnsi"/>
          <w:sz w:val="22"/>
          <w:szCs w:val="22"/>
        </w:rPr>
        <w:t xml:space="preserve">Pur essendo </w:t>
      </w:r>
      <w:r>
        <w:rPr>
          <w:rFonts w:asciiTheme="minorHAnsi" w:hAnsiTheme="minorHAnsi" w:cstheme="minorHAnsi"/>
          <w:sz w:val="22"/>
          <w:szCs w:val="22"/>
        </w:rPr>
        <w:t>opportuno</w:t>
      </w:r>
      <w:r w:rsidRPr="0055762B">
        <w:rPr>
          <w:rFonts w:asciiTheme="minorHAnsi" w:hAnsiTheme="minorHAnsi" w:cstheme="minorHAnsi"/>
          <w:sz w:val="22"/>
          <w:szCs w:val="22"/>
        </w:rPr>
        <w:t xml:space="preserve"> attendere il consolidamento delle prime risultanze, </w:t>
      </w:r>
      <w:r>
        <w:rPr>
          <w:rFonts w:asciiTheme="minorHAnsi" w:hAnsiTheme="minorHAnsi" w:cstheme="minorHAnsi"/>
          <w:sz w:val="22"/>
          <w:szCs w:val="22"/>
        </w:rPr>
        <w:t xml:space="preserve">è possibile fin d’ora rilevare </w:t>
      </w:r>
      <w:r w:rsidRPr="0055762B">
        <w:rPr>
          <w:rFonts w:asciiTheme="minorHAnsi" w:hAnsiTheme="minorHAnsi" w:cstheme="minorHAnsi"/>
          <w:sz w:val="22"/>
          <w:szCs w:val="22"/>
        </w:rPr>
        <w:t xml:space="preserve">il tendenziale peggioramento dei principali indicatori che </w:t>
      </w:r>
      <w:r>
        <w:rPr>
          <w:rFonts w:asciiTheme="minorHAnsi" w:hAnsiTheme="minorHAnsi" w:cstheme="minorHAnsi"/>
          <w:sz w:val="22"/>
          <w:szCs w:val="22"/>
        </w:rPr>
        <w:t xml:space="preserve">sintetizzano </w:t>
      </w:r>
      <w:r w:rsidRPr="0055762B">
        <w:rPr>
          <w:rFonts w:asciiTheme="minorHAnsi" w:hAnsiTheme="minorHAnsi" w:cstheme="minorHAnsi"/>
          <w:sz w:val="22"/>
          <w:szCs w:val="22"/>
        </w:rPr>
        <w:t>l’andamento del mercato immobiliare. Se per alcuni</w:t>
      </w:r>
      <w:r>
        <w:rPr>
          <w:rFonts w:asciiTheme="minorHAnsi" w:hAnsiTheme="minorHAnsi" w:cstheme="minorHAnsi"/>
          <w:sz w:val="22"/>
          <w:szCs w:val="22"/>
        </w:rPr>
        <w:t xml:space="preserve"> di essi</w:t>
      </w:r>
      <w:r w:rsidRPr="0055762B">
        <w:rPr>
          <w:rFonts w:asciiTheme="minorHAnsi" w:hAnsiTheme="minorHAnsi" w:cstheme="minorHAnsi"/>
          <w:sz w:val="22"/>
          <w:szCs w:val="22"/>
        </w:rPr>
        <w:t xml:space="preserve">, quali i tempi medi di vendita e locazione, </w:t>
      </w:r>
      <w:r>
        <w:rPr>
          <w:rFonts w:asciiTheme="minorHAnsi" w:hAnsiTheme="minorHAnsi" w:cstheme="minorHAnsi"/>
          <w:sz w:val="22"/>
          <w:szCs w:val="22"/>
        </w:rPr>
        <w:t xml:space="preserve">il deterioramento rappresenta </w:t>
      </w:r>
      <w:r w:rsidRPr="0055762B">
        <w:rPr>
          <w:rFonts w:asciiTheme="minorHAnsi" w:hAnsiTheme="minorHAnsi" w:cstheme="minorHAnsi"/>
          <w:sz w:val="22"/>
          <w:szCs w:val="22"/>
        </w:rPr>
        <w:t xml:space="preserve">una conseguenza aritmetica riconducibile alle limitazioni alla mobilità e alla chiusura degli uffici, per altri il calo riflette il mutato orientamento della domanda. L’inevitabile </w:t>
      </w:r>
      <w:r>
        <w:rPr>
          <w:rFonts w:asciiTheme="minorHAnsi" w:hAnsiTheme="minorHAnsi" w:cstheme="minorHAnsi"/>
          <w:sz w:val="22"/>
          <w:szCs w:val="22"/>
        </w:rPr>
        <w:t>prudenza</w:t>
      </w:r>
      <w:r w:rsidRPr="0055762B">
        <w:rPr>
          <w:rFonts w:asciiTheme="minorHAnsi" w:hAnsiTheme="minorHAnsi" w:cstheme="minorHAnsi"/>
          <w:sz w:val="22"/>
          <w:szCs w:val="22"/>
        </w:rPr>
        <w:t xml:space="preserve"> di parte di essa si è rifless</w:t>
      </w:r>
      <w:r>
        <w:rPr>
          <w:rFonts w:asciiTheme="minorHAnsi" w:hAnsiTheme="minorHAnsi" w:cstheme="minorHAnsi"/>
          <w:sz w:val="22"/>
          <w:szCs w:val="22"/>
        </w:rPr>
        <w:t>a</w:t>
      </w:r>
      <w:r w:rsidRPr="0055762B">
        <w:rPr>
          <w:rFonts w:asciiTheme="minorHAnsi" w:hAnsiTheme="minorHAnsi" w:cstheme="minorHAnsi"/>
          <w:sz w:val="22"/>
          <w:szCs w:val="22"/>
        </w:rPr>
        <w:t xml:space="preserve"> in una significativa riduzione dei livelli di attività e in un’inversione di tendenza sul versante dei valori.</w:t>
      </w:r>
    </w:p>
    <w:tbl>
      <w:tblPr>
        <w:tblpPr w:leftFromText="141" w:rightFromText="141" w:vertAnchor="text" w:horzAnchor="margin" w:tblpY="218"/>
        <w:tblOverlap w:val="never"/>
        <w:tblW w:w="2589" w:type="pct"/>
        <w:tblLook w:val="00A0" w:firstRow="1" w:lastRow="0" w:firstColumn="1" w:lastColumn="0" w:noHBand="0" w:noVBand="0"/>
      </w:tblPr>
      <w:tblGrid>
        <w:gridCol w:w="5102"/>
      </w:tblGrid>
      <w:tr w:rsidR="00B763F2" w:rsidRPr="002B1DBB" w14:paraId="2A6EFCAB" w14:textId="77777777" w:rsidTr="00DC3E45">
        <w:trPr>
          <w:trHeight w:val="397"/>
        </w:trPr>
        <w:tc>
          <w:tcPr>
            <w:tcW w:w="5000" w:type="pct"/>
            <w:tcBorders>
              <w:bottom w:val="single" w:sz="4" w:space="0" w:color="5B9BD5" w:themeColor="accent1"/>
            </w:tcBorders>
            <w:vAlign w:val="center"/>
          </w:tcPr>
          <w:p w14:paraId="3A2C1D2A" w14:textId="060CBDCA" w:rsidR="00B763F2" w:rsidRPr="002B7CB1" w:rsidRDefault="00B763F2" w:rsidP="00DC3E45">
            <w:pPr>
              <w:keepNext/>
              <w:widowControl w:val="0"/>
              <w:suppressAutoHyphens/>
              <w:rPr>
                <w:rFonts w:ascii="Calibri" w:hAnsi="Calibri" w:cs="Calibri"/>
                <w:b/>
                <w:sz w:val="20"/>
              </w:rPr>
            </w:pPr>
            <w:r w:rsidRPr="002B7CB1">
              <w:rPr>
                <w:rFonts w:ascii="Calibri" w:hAnsi="Calibri" w:cs="Calibri"/>
                <w:b/>
                <w:sz w:val="20"/>
              </w:rPr>
              <w:lastRenderedPageBreak/>
              <w:t xml:space="preserve">Figura </w:t>
            </w:r>
            <w:r w:rsidR="009D6D8D" w:rsidRPr="002B7CB1">
              <w:rPr>
                <w:rFonts w:ascii="Calibri" w:hAnsi="Calibri" w:cs="Calibri"/>
                <w:b/>
                <w:sz w:val="20"/>
              </w:rPr>
              <w:t>3</w:t>
            </w:r>
          </w:p>
          <w:p w14:paraId="4967B3F1" w14:textId="7C8A54EB" w:rsidR="00B763F2" w:rsidRPr="002B1DBB" w:rsidRDefault="00B763F2" w:rsidP="00DC3E45">
            <w:pPr>
              <w:keepNext/>
              <w:widowControl w:val="0"/>
              <w:suppressAutoHyphens/>
              <w:spacing w:after="60"/>
              <w:rPr>
                <w:rFonts w:ascii="Calibri" w:hAnsi="Calibri"/>
                <w:b/>
                <w:sz w:val="19"/>
                <w:szCs w:val="19"/>
              </w:rPr>
            </w:pPr>
            <w:r w:rsidRPr="002B7CB1">
              <w:rPr>
                <w:rFonts w:ascii="Calibri" w:hAnsi="Calibri"/>
                <w:b/>
                <w:bCs/>
                <w:spacing w:val="-4"/>
                <w:sz w:val="20"/>
              </w:rPr>
              <w:t>Variazioni di prezzi di compravendita di abitazioni usate</w:t>
            </w:r>
            <w:r w:rsidRPr="002B7CB1">
              <w:rPr>
                <w:rFonts w:ascii="Calibri" w:hAnsi="Calibri" w:cs="Calibri"/>
                <w:sz w:val="20"/>
              </w:rPr>
              <w:t xml:space="preserve"> </w:t>
            </w:r>
            <w:r w:rsidRPr="002B7CB1">
              <w:rPr>
                <w:rFonts w:ascii="Calibri" w:hAnsi="Calibri"/>
                <w:spacing w:val="-4"/>
                <w:sz w:val="20"/>
              </w:rPr>
              <w:t>(variazioni % semestrali)</w:t>
            </w:r>
          </w:p>
        </w:tc>
      </w:tr>
      <w:tr w:rsidR="00B763F2" w:rsidRPr="002B1DBB" w14:paraId="711299E7" w14:textId="77777777" w:rsidTr="00DC3E45">
        <w:tblPrEx>
          <w:tblCellMar>
            <w:left w:w="70" w:type="dxa"/>
            <w:right w:w="70" w:type="dxa"/>
          </w:tblCellMar>
        </w:tblPrEx>
        <w:tc>
          <w:tcPr>
            <w:tcW w:w="5000" w:type="pct"/>
            <w:tcBorders>
              <w:top w:val="single" w:sz="4" w:space="0" w:color="5B9BD5" w:themeColor="accent1"/>
              <w:bottom w:val="single" w:sz="4" w:space="0" w:color="5B9BD5" w:themeColor="accent1"/>
            </w:tcBorders>
            <w:vAlign w:val="center"/>
          </w:tcPr>
          <w:p w14:paraId="7EDFF6F9" w14:textId="3D043633" w:rsidR="00B763F2" w:rsidRPr="002B1DBB" w:rsidRDefault="00B763F2" w:rsidP="00DC3E45">
            <w:pPr>
              <w:suppressAutoHyphens/>
              <w:spacing w:before="120" w:after="120"/>
              <w:jc w:val="center"/>
              <w:rPr>
                <w:rFonts w:ascii="Calibri" w:hAnsi="Calibri"/>
              </w:rPr>
            </w:pPr>
            <w:r w:rsidRPr="00767CF0">
              <w:rPr>
                <w:rFonts w:ascii="Calibri" w:hAnsi="Calibri" w:cs="Calibri"/>
                <w:noProof/>
                <w:color w:val="FF0000"/>
                <w:sz w:val="20"/>
              </w:rPr>
              <w:drawing>
                <wp:inline distT="0" distB="0" distL="0" distR="0" wp14:anchorId="65A0140C" wp14:editId="6EF6655E">
                  <wp:extent cx="2632710" cy="1579245"/>
                  <wp:effectExtent l="0" t="0" r="0" b="190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32710" cy="1579245"/>
                          </a:xfrm>
                          <a:prstGeom prst="rect">
                            <a:avLst/>
                          </a:prstGeom>
                          <a:noFill/>
                          <a:ln>
                            <a:noFill/>
                          </a:ln>
                        </pic:spPr>
                      </pic:pic>
                    </a:graphicData>
                  </a:graphic>
                </wp:inline>
              </w:drawing>
            </w:r>
          </w:p>
        </w:tc>
      </w:tr>
      <w:tr w:rsidR="00B763F2" w:rsidRPr="002B1DBB" w14:paraId="335EA0AB" w14:textId="77777777" w:rsidTr="00DC3E45">
        <w:tblPrEx>
          <w:tblCellMar>
            <w:left w:w="70" w:type="dxa"/>
            <w:right w:w="70" w:type="dxa"/>
          </w:tblCellMar>
        </w:tblPrEx>
        <w:tc>
          <w:tcPr>
            <w:tcW w:w="5000" w:type="pct"/>
            <w:tcBorders>
              <w:top w:val="single" w:sz="4" w:space="0" w:color="5B9BD5" w:themeColor="accent1"/>
            </w:tcBorders>
            <w:vAlign w:val="center"/>
          </w:tcPr>
          <w:p w14:paraId="71A71F09" w14:textId="77777777" w:rsidR="00B763F2" w:rsidRPr="007C2D93" w:rsidRDefault="00B763F2" w:rsidP="00DC3E45">
            <w:pPr>
              <w:suppressAutoHyphens/>
              <w:spacing w:before="60" w:after="120"/>
              <w:rPr>
                <w:rFonts w:ascii="Calibri" w:hAnsi="Calibri"/>
                <w:noProof/>
              </w:rPr>
            </w:pPr>
            <w:r w:rsidRPr="00FD6E0B">
              <w:rPr>
                <w:rFonts w:ascii="Calibri" w:hAnsi="Calibri" w:cs="Calibri"/>
                <w:noProof/>
                <w:sz w:val="18"/>
              </w:rPr>
              <w:t xml:space="preserve">Fonte: </w:t>
            </w:r>
            <w:r w:rsidRPr="00FD6E0B">
              <w:rPr>
                <w:rFonts w:asciiTheme="minorHAnsi" w:hAnsiTheme="minorHAnsi" w:cstheme="minorHAnsi"/>
                <w:sz w:val="18"/>
                <w:szCs w:val="18"/>
              </w:rPr>
              <w:t>Nomisma, Indagine alle famiglie, maggio 2020</w:t>
            </w:r>
          </w:p>
        </w:tc>
      </w:tr>
    </w:tbl>
    <w:p w14:paraId="75EB254D" w14:textId="77777777" w:rsidR="00806746" w:rsidRDefault="00806746" w:rsidP="00915C63">
      <w:pPr>
        <w:spacing w:before="120"/>
        <w:jc w:val="both"/>
        <w:rPr>
          <w:rFonts w:asciiTheme="minorHAnsi" w:hAnsiTheme="minorHAnsi" w:cstheme="minorHAnsi"/>
          <w:sz w:val="22"/>
          <w:szCs w:val="22"/>
        </w:rPr>
      </w:pPr>
      <w:r w:rsidRPr="0055762B">
        <w:rPr>
          <w:rFonts w:asciiTheme="minorHAnsi" w:hAnsiTheme="minorHAnsi" w:cstheme="minorHAnsi"/>
          <w:sz w:val="22"/>
          <w:szCs w:val="22"/>
        </w:rPr>
        <w:t xml:space="preserve">Proprio la dinamica dei prezzi rappresenta un fenomeno </w:t>
      </w:r>
      <w:r>
        <w:rPr>
          <w:rFonts w:asciiTheme="minorHAnsi" w:hAnsiTheme="minorHAnsi" w:cstheme="minorHAnsi"/>
          <w:sz w:val="22"/>
          <w:szCs w:val="22"/>
        </w:rPr>
        <w:t xml:space="preserve">di particolare </w:t>
      </w:r>
      <w:r w:rsidRPr="0055762B">
        <w:rPr>
          <w:rFonts w:asciiTheme="minorHAnsi" w:hAnsiTheme="minorHAnsi" w:cstheme="minorHAnsi"/>
          <w:sz w:val="22"/>
          <w:szCs w:val="22"/>
        </w:rPr>
        <w:t>interess</w:t>
      </w:r>
      <w:r>
        <w:rPr>
          <w:rFonts w:asciiTheme="minorHAnsi" w:hAnsiTheme="minorHAnsi" w:cstheme="minorHAnsi"/>
          <w:sz w:val="22"/>
          <w:szCs w:val="22"/>
        </w:rPr>
        <w:t>e,</w:t>
      </w:r>
      <w:r w:rsidRPr="0055762B">
        <w:rPr>
          <w:rFonts w:asciiTheme="minorHAnsi" w:hAnsiTheme="minorHAnsi" w:cstheme="minorHAnsi"/>
          <w:sz w:val="22"/>
          <w:szCs w:val="22"/>
        </w:rPr>
        <w:t xml:space="preserve"> scatur</w:t>
      </w:r>
      <w:r>
        <w:rPr>
          <w:rFonts w:asciiTheme="minorHAnsi" w:hAnsiTheme="minorHAnsi" w:cstheme="minorHAnsi"/>
          <w:sz w:val="22"/>
          <w:szCs w:val="22"/>
        </w:rPr>
        <w:t xml:space="preserve">endo non tanto da una precoce </w:t>
      </w:r>
      <w:r w:rsidRPr="0055762B">
        <w:rPr>
          <w:rFonts w:asciiTheme="minorHAnsi" w:hAnsiTheme="minorHAnsi" w:cstheme="minorHAnsi"/>
          <w:sz w:val="22"/>
          <w:szCs w:val="22"/>
        </w:rPr>
        <w:t xml:space="preserve">disponibilità dell’offerta a riconoscere un ampliamento dello sconto in fase negoziale, quanto piuttosto da una diversa composizione </w:t>
      </w:r>
      <w:r>
        <w:rPr>
          <w:rFonts w:asciiTheme="minorHAnsi" w:hAnsiTheme="minorHAnsi" w:cstheme="minorHAnsi"/>
          <w:sz w:val="22"/>
          <w:szCs w:val="22"/>
        </w:rPr>
        <w:t xml:space="preserve">qualitativa </w:t>
      </w:r>
      <w:r w:rsidRPr="0055762B">
        <w:rPr>
          <w:rFonts w:asciiTheme="minorHAnsi" w:hAnsiTheme="minorHAnsi" w:cstheme="minorHAnsi"/>
          <w:sz w:val="22"/>
          <w:szCs w:val="22"/>
        </w:rPr>
        <w:t xml:space="preserve">del transato. All’interno di ogni </w:t>
      </w:r>
      <w:r>
        <w:rPr>
          <w:rFonts w:asciiTheme="minorHAnsi" w:hAnsiTheme="minorHAnsi" w:cstheme="minorHAnsi"/>
          <w:sz w:val="22"/>
          <w:szCs w:val="22"/>
        </w:rPr>
        <w:t xml:space="preserve">segmento </w:t>
      </w:r>
      <w:r w:rsidRPr="0055762B">
        <w:rPr>
          <w:rFonts w:asciiTheme="minorHAnsi" w:hAnsiTheme="minorHAnsi" w:cstheme="minorHAnsi"/>
          <w:sz w:val="22"/>
          <w:szCs w:val="22"/>
        </w:rPr>
        <w:t xml:space="preserve">territoriale e tipologico, </w:t>
      </w:r>
      <w:r>
        <w:rPr>
          <w:rFonts w:asciiTheme="minorHAnsi" w:hAnsiTheme="minorHAnsi" w:cstheme="minorHAnsi"/>
          <w:sz w:val="22"/>
          <w:szCs w:val="22"/>
        </w:rPr>
        <w:t xml:space="preserve">la vitalità del mercato </w:t>
      </w:r>
      <w:r w:rsidRPr="0055762B">
        <w:rPr>
          <w:rFonts w:asciiTheme="minorHAnsi" w:hAnsiTheme="minorHAnsi" w:cstheme="minorHAnsi"/>
          <w:sz w:val="22"/>
          <w:szCs w:val="22"/>
        </w:rPr>
        <w:t xml:space="preserve">in questa fase </w:t>
      </w:r>
      <w:r>
        <w:rPr>
          <w:rFonts w:asciiTheme="minorHAnsi" w:hAnsiTheme="minorHAnsi" w:cstheme="minorHAnsi"/>
          <w:sz w:val="22"/>
          <w:szCs w:val="22"/>
        </w:rPr>
        <w:t>deve essere in prevalenza ascritta a</w:t>
      </w:r>
      <w:r w:rsidRPr="0055762B">
        <w:rPr>
          <w:rFonts w:asciiTheme="minorHAnsi" w:hAnsiTheme="minorHAnsi" w:cstheme="minorHAnsi"/>
          <w:sz w:val="22"/>
          <w:szCs w:val="22"/>
        </w:rPr>
        <w:t xml:space="preserve">l trasferimento di immobili </w:t>
      </w:r>
      <w:r>
        <w:rPr>
          <w:rFonts w:asciiTheme="minorHAnsi" w:hAnsiTheme="minorHAnsi" w:cstheme="minorHAnsi"/>
          <w:sz w:val="22"/>
          <w:szCs w:val="22"/>
        </w:rPr>
        <w:t>con</w:t>
      </w:r>
      <w:r w:rsidRPr="0055762B">
        <w:rPr>
          <w:rFonts w:asciiTheme="minorHAnsi" w:hAnsiTheme="minorHAnsi" w:cstheme="minorHAnsi"/>
          <w:sz w:val="22"/>
          <w:szCs w:val="22"/>
        </w:rPr>
        <w:t xml:space="preserve"> valori </w:t>
      </w:r>
      <w:r>
        <w:rPr>
          <w:rFonts w:asciiTheme="minorHAnsi" w:hAnsiTheme="minorHAnsi" w:cstheme="minorHAnsi"/>
          <w:sz w:val="22"/>
          <w:szCs w:val="22"/>
        </w:rPr>
        <w:t xml:space="preserve">unitari (euro al metro quadrato) inferiori ai </w:t>
      </w:r>
      <w:r w:rsidRPr="0055762B">
        <w:rPr>
          <w:rFonts w:asciiTheme="minorHAnsi" w:hAnsiTheme="minorHAnsi" w:cstheme="minorHAnsi"/>
          <w:sz w:val="22"/>
          <w:szCs w:val="22"/>
        </w:rPr>
        <w:t xml:space="preserve">riferimenti mediani. Si tratta di un‘evoluzione coerente con il presupposto di necessità e di dipendenza da credito che caratterizza una quota significativa della domanda </w:t>
      </w:r>
      <w:r>
        <w:rPr>
          <w:rFonts w:asciiTheme="minorHAnsi" w:hAnsiTheme="minorHAnsi" w:cstheme="minorHAnsi"/>
          <w:sz w:val="22"/>
          <w:szCs w:val="22"/>
        </w:rPr>
        <w:t>più sollecita a</w:t>
      </w:r>
      <w:r w:rsidRPr="0055762B">
        <w:rPr>
          <w:rFonts w:asciiTheme="minorHAnsi" w:hAnsiTheme="minorHAnsi" w:cstheme="minorHAnsi"/>
          <w:sz w:val="22"/>
          <w:szCs w:val="22"/>
        </w:rPr>
        <w:t xml:space="preserve"> riattiva</w:t>
      </w:r>
      <w:r>
        <w:rPr>
          <w:rFonts w:asciiTheme="minorHAnsi" w:hAnsiTheme="minorHAnsi" w:cstheme="minorHAnsi"/>
          <w:sz w:val="22"/>
          <w:szCs w:val="22"/>
        </w:rPr>
        <w:t>rsi</w:t>
      </w:r>
      <w:r w:rsidRPr="0055762B">
        <w:rPr>
          <w:rFonts w:asciiTheme="minorHAnsi" w:hAnsiTheme="minorHAnsi" w:cstheme="minorHAnsi"/>
          <w:sz w:val="22"/>
          <w:szCs w:val="22"/>
        </w:rPr>
        <w:t xml:space="preserve"> e, per contro, de</w:t>
      </w:r>
      <w:r>
        <w:rPr>
          <w:rFonts w:asciiTheme="minorHAnsi" w:hAnsiTheme="minorHAnsi" w:cstheme="minorHAnsi"/>
          <w:sz w:val="22"/>
          <w:szCs w:val="22"/>
        </w:rPr>
        <w:t xml:space="preserve">l rinnovato attendismo </w:t>
      </w:r>
      <w:r w:rsidRPr="0055762B">
        <w:rPr>
          <w:rFonts w:asciiTheme="minorHAnsi" w:hAnsiTheme="minorHAnsi" w:cstheme="minorHAnsi"/>
          <w:sz w:val="22"/>
          <w:szCs w:val="22"/>
        </w:rPr>
        <w:t xml:space="preserve">della componente di investimento. </w:t>
      </w:r>
    </w:p>
    <w:p w14:paraId="58D0800F" w14:textId="6B3C8CC7" w:rsidR="00B763F2" w:rsidRDefault="00806746" w:rsidP="00915C63">
      <w:pPr>
        <w:spacing w:before="120"/>
        <w:jc w:val="both"/>
        <w:rPr>
          <w:rFonts w:asciiTheme="minorHAnsi" w:hAnsiTheme="minorHAnsi" w:cstheme="minorHAnsi"/>
          <w:sz w:val="22"/>
          <w:szCs w:val="22"/>
        </w:rPr>
      </w:pPr>
      <w:bookmarkStart w:id="2" w:name="_Hlk46133541"/>
      <w:r w:rsidRPr="0055762B">
        <w:rPr>
          <w:rFonts w:asciiTheme="minorHAnsi" w:hAnsiTheme="minorHAnsi" w:cstheme="minorHAnsi"/>
          <w:sz w:val="22"/>
          <w:szCs w:val="22"/>
        </w:rPr>
        <w:t xml:space="preserve">A risultare penalizzate sono state tutte le realtà urbane, con il contraccolpo più marcato </w:t>
      </w:r>
      <w:r>
        <w:rPr>
          <w:rFonts w:asciiTheme="minorHAnsi" w:hAnsiTheme="minorHAnsi" w:cstheme="minorHAnsi"/>
          <w:sz w:val="22"/>
          <w:szCs w:val="22"/>
        </w:rPr>
        <w:t xml:space="preserve">rilevato </w:t>
      </w:r>
      <w:r w:rsidRPr="0055762B">
        <w:rPr>
          <w:rFonts w:asciiTheme="minorHAnsi" w:hAnsiTheme="minorHAnsi" w:cstheme="minorHAnsi"/>
          <w:sz w:val="22"/>
          <w:szCs w:val="22"/>
        </w:rPr>
        <w:t>in corrispondenza di quei contesti che</w:t>
      </w:r>
      <w:r>
        <w:rPr>
          <w:rFonts w:asciiTheme="minorHAnsi" w:hAnsiTheme="minorHAnsi" w:cstheme="minorHAnsi"/>
          <w:sz w:val="22"/>
          <w:szCs w:val="22"/>
        </w:rPr>
        <w:t>,</w:t>
      </w:r>
      <w:r w:rsidRPr="0055762B">
        <w:rPr>
          <w:rFonts w:asciiTheme="minorHAnsi" w:hAnsiTheme="minorHAnsi" w:cstheme="minorHAnsi"/>
          <w:sz w:val="22"/>
          <w:szCs w:val="22"/>
        </w:rPr>
        <w:t xml:space="preserve"> ad inizio 2020</w:t>
      </w:r>
      <w:r>
        <w:rPr>
          <w:rFonts w:asciiTheme="minorHAnsi" w:hAnsiTheme="minorHAnsi" w:cstheme="minorHAnsi"/>
          <w:sz w:val="22"/>
          <w:szCs w:val="22"/>
        </w:rPr>
        <w:t>,</w:t>
      </w:r>
      <w:r w:rsidRPr="0055762B">
        <w:rPr>
          <w:rFonts w:asciiTheme="minorHAnsi" w:hAnsiTheme="minorHAnsi" w:cstheme="minorHAnsi"/>
          <w:sz w:val="22"/>
          <w:szCs w:val="22"/>
        </w:rPr>
        <w:t xml:space="preserve"> mostravano uno slancio espansivo non </w:t>
      </w:r>
      <w:r>
        <w:rPr>
          <w:rFonts w:asciiTheme="minorHAnsi" w:hAnsiTheme="minorHAnsi" w:cstheme="minorHAnsi"/>
          <w:sz w:val="22"/>
          <w:szCs w:val="22"/>
        </w:rPr>
        <w:t>unicamente</w:t>
      </w:r>
      <w:r w:rsidRPr="0055762B">
        <w:rPr>
          <w:rFonts w:asciiTheme="minorHAnsi" w:hAnsiTheme="minorHAnsi" w:cstheme="minorHAnsi"/>
          <w:sz w:val="22"/>
          <w:szCs w:val="22"/>
        </w:rPr>
        <w:t xml:space="preserve"> circoscritto all’intensità dell’attività transattiva. </w:t>
      </w:r>
      <w:bookmarkEnd w:id="2"/>
      <w:r>
        <w:rPr>
          <w:rFonts w:asciiTheme="minorHAnsi" w:hAnsiTheme="minorHAnsi" w:cstheme="minorHAnsi"/>
          <w:sz w:val="22"/>
          <w:szCs w:val="22"/>
        </w:rPr>
        <w:t>Il cambiamento</w:t>
      </w:r>
      <w:r w:rsidRPr="0055762B">
        <w:rPr>
          <w:rFonts w:asciiTheme="minorHAnsi" w:hAnsiTheme="minorHAnsi" w:cstheme="minorHAnsi"/>
          <w:sz w:val="22"/>
          <w:szCs w:val="22"/>
        </w:rPr>
        <w:t xml:space="preserve"> è stat</w:t>
      </w:r>
      <w:r>
        <w:rPr>
          <w:rFonts w:asciiTheme="minorHAnsi" w:hAnsiTheme="minorHAnsi" w:cstheme="minorHAnsi"/>
          <w:sz w:val="22"/>
          <w:szCs w:val="22"/>
        </w:rPr>
        <w:t>o</w:t>
      </w:r>
      <w:r w:rsidRPr="0055762B">
        <w:rPr>
          <w:rFonts w:asciiTheme="minorHAnsi" w:hAnsiTheme="minorHAnsi" w:cstheme="minorHAnsi"/>
          <w:sz w:val="22"/>
          <w:szCs w:val="22"/>
        </w:rPr>
        <w:t xml:space="preserve"> repentin</w:t>
      </w:r>
      <w:r>
        <w:rPr>
          <w:rFonts w:asciiTheme="minorHAnsi" w:hAnsiTheme="minorHAnsi" w:cstheme="minorHAnsi"/>
          <w:sz w:val="22"/>
          <w:szCs w:val="22"/>
        </w:rPr>
        <w:t>o</w:t>
      </w:r>
      <w:r w:rsidRPr="0055762B">
        <w:rPr>
          <w:rFonts w:asciiTheme="minorHAnsi" w:hAnsiTheme="minorHAnsi" w:cstheme="minorHAnsi"/>
          <w:sz w:val="22"/>
          <w:szCs w:val="22"/>
        </w:rPr>
        <w:t xml:space="preserve">, con l’indice di performance del comparto ritornato in territorio negativo per effetto </w:t>
      </w:r>
      <w:r>
        <w:rPr>
          <w:rFonts w:asciiTheme="minorHAnsi" w:hAnsiTheme="minorHAnsi" w:cstheme="minorHAnsi"/>
          <w:sz w:val="22"/>
          <w:szCs w:val="22"/>
        </w:rPr>
        <w:t xml:space="preserve">di </w:t>
      </w:r>
      <w:r w:rsidRPr="0055762B">
        <w:rPr>
          <w:rFonts w:asciiTheme="minorHAnsi" w:hAnsiTheme="minorHAnsi" w:cstheme="minorHAnsi"/>
          <w:sz w:val="22"/>
          <w:szCs w:val="22"/>
        </w:rPr>
        <w:t>un allungamento dei tempi di vendita</w:t>
      </w:r>
      <w:r>
        <w:rPr>
          <w:rFonts w:asciiTheme="minorHAnsi" w:hAnsiTheme="minorHAnsi" w:cstheme="minorHAnsi"/>
          <w:sz w:val="22"/>
          <w:szCs w:val="22"/>
        </w:rPr>
        <w:t xml:space="preserve"> e di una riduzione di compravendite e prezzi</w:t>
      </w:r>
      <w:r w:rsidRPr="0055762B">
        <w:rPr>
          <w:rFonts w:asciiTheme="minorHAnsi" w:hAnsiTheme="minorHAnsi" w:cstheme="minorHAnsi"/>
          <w:sz w:val="22"/>
          <w:szCs w:val="22"/>
        </w:rPr>
        <w:t xml:space="preserve">. </w:t>
      </w:r>
    </w:p>
    <w:tbl>
      <w:tblPr>
        <w:tblpPr w:leftFromText="141" w:rightFromText="141" w:vertAnchor="text" w:horzAnchor="margin" w:tblpY="184"/>
        <w:tblOverlap w:val="never"/>
        <w:tblW w:w="2589" w:type="pct"/>
        <w:tblLook w:val="00A0" w:firstRow="1" w:lastRow="0" w:firstColumn="1" w:lastColumn="0" w:noHBand="0" w:noVBand="0"/>
      </w:tblPr>
      <w:tblGrid>
        <w:gridCol w:w="5102"/>
      </w:tblGrid>
      <w:tr w:rsidR="00806746" w:rsidRPr="002B1DBB" w14:paraId="556DEADD" w14:textId="77777777" w:rsidTr="00DC3E45">
        <w:trPr>
          <w:trHeight w:val="397"/>
        </w:trPr>
        <w:tc>
          <w:tcPr>
            <w:tcW w:w="5000" w:type="pct"/>
            <w:tcBorders>
              <w:bottom w:val="single" w:sz="4" w:space="0" w:color="5B9BD5" w:themeColor="accent1"/>
            </w:tcBorders>
            <w:vAlign w:val="center"/>
          </w:tcPr>
          <w:p w14:paraId="639B7162" w14:textId="06FD9142" w:rsidR="00806746" w:rsidRPr="002B7CB1" w:rsidRDefault="00806746" w:rsidP="00915C63">
            <w:pPr>
              <w:keepNext/>
              <w:widowControl w:val="0"/>
              <w:suppressAutoHyphens/>
              <w:jc w:val="both"/>
              <w:rPr>
                <w:rFonts w:ascii="Calibri" w:hAnsi="Calibri" w:cs="Calibri"/>
                <w:b/>
                <w:sz w:val="20"/>
              </w:rPr>
            </w:pPr>
            <w:r w:rsidRPr="002B7CB1">
              <w:rPr>
                <w:rFonts w:ascii="Calibri" w:hAnsi="Calibri" w:cs="Calibri"/>
                <w:b/>
                <w:sz w:val="20"/>
              </w:rPr>
              <w:t xml:space="preserve">Figura </w:t>
            </w:r>
            <w:r w:rsidR="009D6D8D" w:rsidRPr="002B7CB1">
              <w:rPr>
                <w:rFonts w:ascii="Calibri" w:hAnsi="Calibri" w:cs="Calibri"/>
                <w:b/>
                <w:sz w:val="20"/>
              </w:rPr>
              <w:t>4</w:t>
            </w:r>
          </w:p>
          <w:p w14:paraId="5D59B47C" w14:textId="77777777" w:rsidR="00806746" w:rsidRPr="002B1DBB" w:rsidRDefault="00806746" w:rsidP="00915C63">
            <w:pPr>
              <w:keepNext/>
              <w:widowControl w:val="0"/>
              <w:suppressAutoHyphens/>
              <w:spacing w:after="120"/>
              <w:jc w:val="both"/>
              <w:rPr>
                <w:rFonts w:ascii="Calibri" w:hAnsi="Calibri"/>
                <w:b/>
                <w:sz w:val="19"/>
                <w:szCs w:val="19"/>
              </w:rPr>
            </w:pPr>
            <w:r w:rsidRPr="002B7CB1">
              <w:rPr>
                <w:rFonts w:ascii="Calibri" w:hAnsi="Calibri" w:cs="Calibri"/>
                <w:b/>
                <w:sz w:val="20"/>
              </w:rPr>
              <w:t xml:space="preserve">Indice di performance del settore residenziale </w:t>
            </w:r>
          </w:p>
        </w:tc>
      </w:tr>
      <w:tr w:rsidR="00806746" w:rsidRPr="002B1DBB" w14:paraId="1C22151E" w14:textId="77777777" w:rsidTr="00DC3E45">
        <w:tblPrEx>
          <w:tblCellMar>
            <w:left w:w="70" w:type="dxa"/>
            <w:right w:w="70" w:type="dxa"/>
          </w:tblCellMar>
        </w:tblPrEx>
        <w:tc>
          <w:tcPr>
            <w:tcW w:w="5000" w:type="pct"/>
            <w:tcBorders>
              <w:top w:val="single" w:sz="4" w:space="0" w:color="5B9BD5" w:themeColor="accent1"/>
              <w:bottom w:val="single" w:sz="4" w:space="0" w:color="5B9BD5" w:themeColor="accent1"/>
            </w:tcBorders>
            <w:vAlign w:val="center"/>
          </w:tcPr>
          <w:p w14:paraId="74D7F6C0" w14:textId="77777777" w:rsidR="00806746" w:rsidRPr="002B1DBB" w:rsidRDefault="00806746" w:rsidP="00915C63">
            <w:pPr>
              <w:suppressAutoHyphens/>
              <w:spacing w:before="120" w:after="120"/>
              <w:jc w:val="both"/>
              <w:rPr>
                <w:rFonts w:ascii="Calibri" w:hAnsi="Calibri"/>
              </w:rPr>
            </w:pPr>
            <w:r w:rsidRPr="00210146">
              <w:rPr>
                <w:rFonts w:ascii="Calibri" w:hAnsi="Calibri"/>
                <w:noProof/>
              </w:rPr>
              <w:drawing>
                <wp:inline distT="0" distB="0" distL="0" distR="0" wp14:anchorId="1FE5F3A4" wp14:editId="53C0A19C">
                  <wp:extent cx="2800350" cy="16383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00350" cy="1638300"/>
                          </a:xfrm>
                          <a:prstGeom prst="rect">
                            <a:avLst/>
                          </a:prstGeom>
                          <a:noFill/>
                          <a:ln>
                            <a:noFill/>
                          </a:ln>
                        </pic:spPr>
                      </pic:pic>
                    </a:graphicData>
                  </a:graphic>
                </wp:inline>
              </w:drawing>
            </w:r>
          </w:p>
        </w:tc>
      </w:tr>
      <w:tr w:rsidR="00806746" w:rsidRPr="002B1DBB" w14:paraId="6DC6E4F8" w14:textId="77777777" w:rsidTr="00DC3E45">
        <w:tblPrEx>
          <w:tblCellMar>
            <w:left w:w="70" w:type="dxa"/>
            <w:right w:w="70" w:type="dxa"/>
          </w:tblCellMar>
        </w:tblPrEx>
        <w:tc>
          <w:tcPr>
            <w:tcW w:w="5000" w:type="pct"/>
            <w:tcBorders>
              <w:top w:val="single" w:sz="4" w:space="0" w:color="5B9BD5" w:themeColor="accent1"/>
            </w:tcBorders>
            <w:vAlign w:val="center"/>
          </w:tcPr>
          <w:p w14:paraId="6290F2FE" w14:textId="77777777" w:rsidR="00806746" w:rsidRPr="007C2D93" w:rsidRDefault="00806746" w:rsidP="00915C63">
            <w:pPr>
              <w:suppressAutoHyphens/>
              <w:spacing w:before="60"/>
              <w:jc w:val="both"/>
              <w:rPr>
                <w:rFonts w:ascii="Calibri" w:hAnsi="Calibri"/>
                <w:noProof/>
              </w:rPr>
            </w:pPr>
            <w:r w:rsidRPr="00FD6E0B">
              <w:rPr>
                <w:rFonts w:ascii="Calibri" w:hAnsi="Calibri" w:cs="Calibri"/>
                <w:noProof/>
                <w:sz w:val="18"/>
              </w:rPr>
              <w:t>Fonte: Nomisma</w:t>
            </w:r>
          </w:p>
        </w:tc>
      </w:tr>
    </w:tbl>
    <w:p w14:paraId="024AF11D" w14:textId="77777777" w:rsidR="00806746" w:rsidRDefault="00806746" w:rsidP="00915C63">
      <w:pPr>
        <w:spacing w:before="120"/>
        <w:jc w:val="both"/>
        <w:rPr>
          <w:rFonts w:asciiTheme="minorHAnsi" w:hAnsiTheme="minorHAnsi" w:cstheme="minorHAnsi"/>
          <w:sz w:val="22"/>
          <w:szCs w:val="22"/>
        </w:rPr>
      </w:pPr>
      <w:r w:rsidRPr="0055762B">
        <w:rPr>
          <w:rFonts w:asciiTheme="minorHAnsi" w:hAnsiTheme="minorHAnsi" w:cstheme="minorHAnsi"/>
          <w:sz w:val="22"/>
          <w:szCs w:val="22"/>
        </w:rPr>
        <w:t xml:space="preserve">Se il calo delle transazioni </w:t>
      </w:r>
      <w:r>
        <w:rPr>
          <w:rFonts w:asciiTheme="minorHAnsi" w:hAnsiTheme="minorHAnsi" w:cstheme="minorHAnsi"/>
          <w:sz w:val="22"/>
          <w:szCs w:val="22"/>
        </w:rPr>
        <w:t>era</w:t>
      </w:r>
      <w:r w:rsidRPr="0055762B">
        <w:rPr>
          <w:rFonts w:asciiTheme="minorHAnsi" w:hAnsiTheme="minorHAnsi" w:cstheme="minorHAnsi"/>
          <w:sz w:val="22"/>
          <w:szCs w:val="22"/>
        </w:rPr>
        <w:t xml:space="preserve"> un fenomeno ampiamente pronosticato </w:t>
      </w:r>
      <w:r>
        <w:rPr>
          <w:rFonts w:asciiTheme="minorHAnsi" w:hAnsiTheme="minorHAnsi" w:cstheme="minorHAnsi"/>
          <w:sz w:val="22"/>
          <w:szCs w:val="22"/>
        </w:rPr>
        <w:t>f</w:t>
      </w:r>
      <w:r w:rsidRPr="0055762B">
        <w:rPr>
          <w:rFonts w:asciiTheme="minorHAnsi" w:hAnsiTheme="minorHAnsi" w:cstheme="minorHAnsi"/>
          <w:sz w:val="22"/>
          <w:szCs w:val="22"/>
        </w:rPr>
        <w:t xml:space="preserve">in dalle prime battute della quarantena, a sorprendere è l’immediatezza con cui i valori si sono allineati, quantomeno nell’orientamento, al nuovo contesto. </w:t>
      </w:r>
      <w:r>
        <w:rPr>
          <w:rFonts w:asciiTheme="minorHAnsi" w:hAnsiTheme="minorHAnsi" w:cstheme="minorHAnsi"/>
          <w:sz w:val="22"/>
          <w:szCs w:val="22"/>
        </w:rPr>
        <w:t>Il ridimensionamento</w:t>
      </w:r>
      <w:r w:rsidRPr="0055762B">
        <w:rPr>
          <w:rFonts w:asciiTheme="minorHAnsi" w:hAnsiTheme="minorHAnsi" w:cstheme="minorHAnsi"/>
          <w:sz w:val="22"/>
          <w:szCs w:val="22"/>
        </w:rPr>
        <w:t xml:space="preserve"> che si profila risulta, tuttavia, solo in minima parte interiorizzato ne</w:t>
      </w:r>
      <w:r>
        <w:rPr>
          <w:rFonts w:asciiTheme="minorHAnsi" w:hAnsiTheme="minorHAnsi" w:cstheme="minorHAnsi"/>
          <w:sz w:val="22"/>
          <w:szCs w:val="22"/>
        </w:rPr>
        <w:t xml:space="preserve">gli </w:t>
      </w:r>
      <w:r w:rsidRPr="0055762B">
        <w:rPr>
          <w:rFonts w:asciiTheme="minorHAnsi" w:hAnsiTheme="minorHAnsi" w:cstheme="minorHAnsi"/>
          <w:sz w:val="22"/>
          <w:szCs w:val="22"/>
        </w:rPr>
        <w:t xml:space="preserve">attuali </w:t>
      </w:r>
      <w:r>
        <w:rPr>
          <w:rFonts w:asciiTheme="minorHAnsi" w:hAnsiTheme="minorHAnsi" w:cstheme="minorHAnsi"/>
          <w:sz w:val="22"/>
          <w:szCs w:val="22"/>
        </w:rPr>
        <w:t>riferimenti</w:t>
      </w:r>
      <w:r w:rsidRPr="0055762B">
        <w:rPr>
          <w:rFonts w:asciiTheme="minorHAnsi" w:hAnsiTheme="minorHAnsi" w:cstheme="minorHAnsi"/>
          <w:sz w:val="22"/>
          <w:szCs w:val="22"/>
        </w:rPr>
        <w:t xml:space="preserve">, che rappresentano un’istantanea troppo ravvicinata per restituire una credibile </w:t>
      </w:r>
      <w:r>
        <w:rPr>
          <w:rFonts w:asciiTheme="minorHAnsi" w:hAnsiTheme="minorHAnsi" w:cstheme="minorHAnsi"/>
          <w:sz w:val="22"/>
          <w:szCs w:val="22"/>
        </w:rPr>
        <w:t>prospettiva</w:t>
      </w:r>
      <w:r w:rsidRPr="0055762B">
        <w:rPr>
          <w:rFonts w:asciiTheme="minorHAnsi" w:hAnsiTheme="minorHAnsi" w:cstheme="minorHAnsi"/>
          <w:sz w:val="22"/>
          <w:szCs w:val="22"/>
        </w:rPr>
        <w:t xml:space="preserve"> </w:t>
      </w:r>
      <w:r>
        <w:rPr>
          <w:rFonts w:asciiTheme="minorHAnsi" w:hAnsiTheme="minorHAnsi" w:cstheme="minorHAnsi"/>
          <w:sz w:val="22"/>
          <w:szCs w:val="22"/>
        </w:rPr>
        <w:t>dello scenario che ci attende</w:t>
      </w:r>
      <w:r w:rsidRPr="0055762B">
        <w:rPr>
          <w:rFonts w:asciiTheme="minorHAnsi" w:hAnsiTheme="minorHAnsi" w:cstheme="minorHAnsi"/>
          <w:sz w:val="22"/>
          <w:szCs w:val="22"/>
        </w:rPr>
        <w:t>. Saranno</w:t>
      </w:r>
      <w:r>
        <w:rPr>
          <w:rFonts w:asciiTheme="minorHAnsi" w:hAnsiTheme="minorHAnsi" w:cstheme="minorHAnsi"/>
          <w:sz w:val="22"/>
          <w:szCs w:val="22"/>
        </w:rPr>
        <w:t>, infatti,</w:t>
      </w:r>
      <w:r w:rsidRPr="0055762B">
        <w:rPr>
          <w:rFonts w:asciiTheme="minorHAnsi" w:hAnsiTheme="minorHAnsi" w:cstheme="minorHAnsi"/>
          <w:sz w:val="22"/>
          <w:szCs w:val="22"/>
        </w:rPr>
        <w:t xml:space="preserve"> necessari ancora mesi per </w:t>
      </w:r>
      <w:r>
        <w:rPr>
          <w:rFonts w:asciiTheme="minorHAnsi" w:hAnsiTheme="minorHAnsi" w:cstheme="minorHAnsi"/>
          <w:sz w:val="22"/>
          <w:szCs w:val="22"/>
        </w:rPr>
        <w:t>quantificare</w:t>
      </w:r>
      <w:r w:rsidRPr="0055762B">
        <w:rPr>
          <w:rFonts w:asciiTheme="minorHAnsi" w:hAnsiTheme="minorHAnsi" w:cstheme="minorHAnsi"/>
          <w:sz w:val="22"/>
          <w:szCs w:val="22"/>
        </w:rPr>
        <w:t xml:space="preserve"> le effettive ricadute immobiliari di un tracollo economico senza precedenti, </w:t>
      </w:r>
      <w:r>
        <w:rPr>
          <w:rFonts w:asciiTheme="minorHAnsi" w:hAnsiTheme="minorHAnsi" w:cstheme="minorHAnsi"/>
          <w:sz w:val="22"/>
          <w:szCs w:val="22"/>
        </w:rPr>
        <w:t>nonostante si possa da subito riaffermare l’infondatezza delle professioni di ottimismo di chi vedeva il comparto solo marginalmente interessata da ricadute recessive</w:t>
      </w:r>
      <w:r w:rsidRPr="0055762B">
        <w:rPr>
          <w:rFonts w:asciiTheme="minorHAnsi" w:hAnsiTheme="minorHAnsi" w:cstheme="minorHAnsi"/>
          <w:sz w:val="22"/>
          <w:szCs w:val="22"/>
        </w:rPr>
        <w:t xml:space="preserve">. </w:t>
      </w:r>
    </w:p>
    <w:p w14:paraId="438E103B" w14:textId="4AC8A8DA" w:rsidR="00D64F25" w:rsidRDefault="00806746" w:rsidP="00915C63">
      <w:pPr>
        <w:spacing w:before="120"/>
        <w:jc w:val="both"/>
        <w:rPr>
          <w:rFonts w:asciiTheme="minorHAnsi" w:hAnsiTheme="minorHAnsi" w:cstheme="minorHAnsi"/>
          <w:sz w:val="22"/>
          <w:szCs w:val="22"/>
        </w:rPr>
      </w:pPr>
      <w:r w:rsidRPr="0055762B">
        <w:rPr>
          <w:rFonts w:asciiTheme="minorHAnsi" w:hAnsiTheme="minorHAnsi" w:cstheme="minorHAnsi"/>
          <w:sz w:val="22"/>
          <w:szCs w:val="22"/>
        </w:rPr>
        <w:t xml:space="preserve">L’avvitamento (offerta-domanda-offerta) della crisi economica </w:t>
      </w:r>
      <w:r>
        <w:rPr>
          <w:rFonts w:asciiTheme="minorHAnsi" w:hAnsiTheme="minorHAnsi" w:cstheme="minorHAnsi"/>
          <w:sz w:val="22"/>
          <w:szCs w:val="22"/>
        </w:rPr>
        <w:t xml:space="preserve">è inevitabilmente destinato ad </w:t>
      </w:r>
      <w:r w:rsidRPr="0055762B">
        <w:rPr>
          <w:rFonts w:asciiTheme="minorHAnsi" w:hAnsiTheme="minorHAnsi" w:cstheme="minorHAnsi"/>
          <w:sz w:val="22"/>
          <w:szCs w:val="22"/>
        </w:rPr>
        <w:t>accresce</w:t>
      </w:r>
      <w:r w:rsidR="00ED67AA">
        <w:rPr>
          <w:rFonts w:asciiTheme="minorHAnsi" w:hAnsiTheme="minorHAnsi" w:cstheme="minorHAnsi"/>
          <w:sz w:val="22"/>
          <w:szCs w:val="22"/>
        </w:rPr>
        <w:t>re</w:t>
      </w:r>
      <w:r w:rsidRPr="0055762B">
        <w:rPr>
          <w:rFonts w:asciiTheme="minorHAnsi" w:hAnsiTheme="minorHAnsi" w:cstheme="minorHAnsi"/>
          <w:sz w:val="22"/>
          <w:szCs w:val="22"/>
        </w:rPr>
        <w:t xml:space="preserve"> la precarietà reddituale e </w:t>
      </w:r>
      <w:r>
        <w:rPr>
          <w:rFonts w:asciiTheme="minorHAnsi" w:hAnsiTheme="minorHAnsi" w:cstheme="minorHAnsi"/>
          <w:sz w:val="22"/>
          <w:szCs w:val="22"/>
        </w:rPr>
        <w:t>ad imporre</w:t>
      </w:r>
      <w:r w:rsidRPr="0055762B">
        <w:rPr>
          <w:rFonts w:asciiTheme="minorHAnsi" w:hAnsiTheme="minorHAnsi" w:cstheme="minorHAnsi"/>
          <w:sz w:val="22"/>
          <w:szCs w:val="22"/>
        </w:rPr>
        <w:t xml:space="preserve"> cautele </w:t>
      </w:r>
      <w:r>
        <w:rPr>
          <w:rFonts w:asciiTheme="minorHAnsi" w:hAnsiTheme="minorHAnsi" w:cstheme="minorHAnsi"/>
          <w:sz w:val="22"/>
          <w:szCs w:val="22"/>
        </w:rPr>
        <w:t>agli</w:t>
      </w:r>
      <w:r w:rsidRPr="0055762B">
        <w:rPr>
          <w:rFonts w:asciiTheme="minorHAnsi" w:hAnsiTheme="minorHAnsi" w:cstheme="minorHAnsi"/>
          <w:sz w:val="22"/>
          <w:szCs w:val="22"/>
        </w:rPr>
        <w:t xml:space="preserve"> operatori economici, oltre che </w:t>
      </w:r>
      <w:r>
        <w:rPr>
          <w:rFonts w:asciiTheme="minorHAnsi" w:hAnsiTheme="minorHAnsi" w:cstheme="minorHAnsi"/>
          <w:sz w:val="22"/>
          <w:szCs w:val="22"/>
        </w:rPr>
        <w:t>consapevoli</w:t>
      </w:r>
      <w:r w:rsidRPr="0055762B">
        <w:rPr>
          <w:rFonts w:asciiTheme="minorHAnsi" w:hAnsiTheme="minorHAnsi" w:cstheme="minorHAnsi"/>
          <w:sz w:val="22"/>
          <w:szCs w:val="22"/>
        </w:rPr>
        <w:t xml:space="preserve"> autocensure. </w:t>
      </w:r>
    </w:p>
    <w:p w14:paraId="1010921F" w14:textId="75CC8EC5" w:rsidR="00806746" w:rsidRDefault="00806746" w:rsidP="00912971">
      <w:pPr>
        <w:spacing w:before="120"/>
        <w:jc w:val="both"/>
        <w:rPr>
          <w:rFonts w:asciiTheme="minorHAnsi" w:hAnsiTheme="minorHAnsi" w:cstheme="minorHAnsi"/>
          <w:sz w:val="22"/>
          <w:szCs w:val="22"/>
        </w:rPr>
      </w:pPr>
      <w:r w:rsidRPr="0055762B">
        <w:rPr>
          <w:rFonts w:asciiTheme="minorHAnsi" w:hAnsiTheme="minorHAnsi" w:cstheme="minorHAnsi"/>
          <w:sz w:val="22"/>
          <w:szCs w:val="22"/>
        </w:rPr>
        <w:t>Si pro</w:t>
      </w:r>
      <w:r>
        <w:rPr>
          <w:rFonts w:asciiTheme="minorHAnsi" w:hAnsiTheme="minorHAnsi" w:cstheme="minorHAnsi"/>
          <w:sz w:val="22"/>
          <w:szCs w:val="22"/>
        </w:rPr>
        <w:t xml:space="preserve">spetta, dunque, </w:t>
      </w:r>
      <w:r w:rsidRPr="0055762B">
        <w:rPr>
          <w:rFonts w:asciiTheme="minorHAnsi" w:hAnsiTheme="minorHAnsi" w:cstheme="minorHAnsi"/>
          <w:sz w:val="22"/>
          <w:szCs w:val="22"/>
        </w:rPr>
        <w:t xml:space="preserve">un mercato di possibilità, </w:t>
      </w:r>
      <w:r>
        <w:rPr>
          <w:rFonts w:asciiTheme="minorHAnsi" w:hAnsiTheme="minorHAnsi" w:cstheme="minorHAnsi"/>
          <w:sz w:val="22"/>
          <w:szCs w:val="22"/>
        </w:rPr>
        <w:t>necessariamente</w:t>
      </w:r>
      <w:r w:rsidRPr="0055762B">
        <w:rPr>
          <w:rFonts w:asciiTheme="minorHAnsi" w:hAnsiTheme="minorHAnsi" w:cstheme="minorHAnsi"/>
          <w:sz w:val="22"/>
          <w:szCs w:val="22"/>
        </w:rPr>
        <w:t xml:space="preserve"> più </w:t>
      </w:r>
      <w:r>
        <w:rPr>
          <w:rFonts w:asciiTheme="minorHAnsi" w:hAnsiTheme="minorHAnsi" w:cstheme="minorHAnsi"/>
          <w:sz w:val="22"/>
          <w:szCs w:val="22"/>
        </w:rPr>
        <w:t xml:space="preserve">modesto </w:t>
      </w:r>
      <w:r w:rsidRPr="0055762B">
        <w:rPr>
          <w:rFonts w:asciiTheme="minorHAnsi" w:hAnsiTheme="minorHAnsi" w:cstheme="minorHAnsi"/>
          <w:sz w:val="22"/>
          <w:szCs w:val="22"/>
        </w:rPr>
        <w:t xml:space="preserve">nelle </w:t>
      </w:r>
      <w:r>
        <w:rPr>
          <w:rFonts w:asciiTheme="minorHAnsi" w:hAnsiTheme="minorHAnsi" w:cstheme="minorHAnsi"/>
          <w:sz w:val="22"/>
          <w:szCs w:val="22"/>
        </w:rPr>
        <w:t>effettive manifestazioni di interesse</w:t>
      </w:r>
      <w:r w:rsidRPr="0055762B">
        <w:rPr>
          <w:rFonts w:asciiTheme="minorHAnsi" w:hAnsiTheme="minorHAnsi" w:cstheme="minorHAnsi"/>
          <w:sz w:val="22"/>
          <w:szCs w:val="22"/>
        </w:rPr>
        <w:t xml:space="preserve"> e nell</w:t>
      </w:r>
      <w:r>
        <w:rPr>
          <w:rFonts w:asciiTheme="minorHAnsi" w:hAnsiTheme="minorHAnsi" w:cstheme="minorHAnsi"/>
          <w:sz w:val="22"/>
          <w:szCs w:val="22"/>
        </w:rPr>
        <w:t xml:space="preserve">e disponibilità </w:t>
      </w:r>
      <w:r w:rsidRPr="0055762B">
        <w:rPr>
          <w:rFonts w:asciiTheme="minorHAnsi" w:hAnsiTheme="minorHAnsi" w:cstheme="minorHAnsi"/>
          <w:sz w:val="22"/>
          <w:szCs w:val="22"/>
        </w:rPr>
        <w:t xml:space="preserve">(dimensione e ubicazione degli immobili), in cui la reattività di adeguamento </w:t>
      </w:r>
      <w:r>
        <w:rPr>
          <w:rFonts w:asciiTheme="minorHAnsi" w:hAnsiTheme="minorHAnsi" w:cstheme="minorHAnsi"/>
          <w:sz w:val="22"/>
          <w:szCs w:val="22"/>
        </w:rPr>
        <w:t>in termini di</w:t>
      </w:r>
      <w:r w:rsidRPr="0055762B">
        <w:rPr>
          <w:rFonts w:asciiTheme="minorHAnsi" w:hAnsiTheme="minorHAnsi" w:cstheme="minorHAnsi"/>
          <w:sz w:val="22"/>
          <w:szCs w:val="22"/>
        </w:rPr>
        <w:t xml:space="preserve"> aspettative da parte dell’offerta sarà un fattore cruciale per </w:t>
      </w:r>
      <w:r>
        <w:rPr>
          <w:rFonts w:asciiTheme="minorHAnsi" w:hAnsiTheme="minorHAnsi" w:cstheme="minorHAnsi"/>
          <w:sz w:val="22"/>
          <w:szCs w:val="22"/>
        </w:rPr>
        <w:t xml:space="preserve">limitare </w:t>
      </w:r>
      <w:r w:rsidRPr="0055762B">
        <w:rPr>
          <w:rFonts w:asciiTheme="minorHAnsi" w:hAnsiTheme="minorHAnsi" w:cstheme="minorHAnsi"/>
          <w:sz w:val="22"/>
          <w:szCs w:val="22"/>
        </w:rPr>
        <w:t>la durata della fase negativa. La rigidità dei valori degli immobili rischia di essere</w:t>
      </w:r>
      <w:r>
        <w:rPr>
          <w:rFonts w:asciiTheme="minorHAnsi" w:hAnsiTheme="minorHAnsi" w:cstheme="minorHAnsi"/>
          <w:sz w:val="22"/>
          <w:szCs w:val="22"/>
        </w:rPr>
        <w:t>, anche in questo caso,</w:t>
      </w:r>
      <w:r w:rsidRPr="0055762B">
        <w:rPr>
          <w:rFonts w:asciiTheme="minorHAnsi" w:hAnsiTheme="minorHAnsi" w:cstheme="minorHAnsi"/>
          <w:sz w:val="22"/>
          <w:szCs w:val="22"/>
        </w:rPr>
        <w:t xml:space="preserve"> un fattore di solo teorica salvaguardia delle capacità patrimoniali delle famiglie, </w:t>
      </w:r>
      <w:r>
        <w:rPr>
          <w:rFonts w:asciiTheme="minorHAnsi" w:hAnsiTheme="minorHAnsi" w:cstheme="minorHAnsi"/>
          <w:sz w:val="22"/>
          <w:szCs w:val="22"/>
        </w:rPr>
        <w:t>che in talune fasi contribuisce</w:t>
      </w:r>
      <w:r w:rsidRPr="0055762B">
        <w:rPr>
          <w:rFonts w:asciiTheme="minorHAnsi" w:hAnsiTheme="minorHAnsi" w:cstheme="minorHAnsi"/>
          <w:sz w:val="22"/>
          <w:szCs w:val="22"/>
        </w:rPr>
        <w:t xml:space="preserve"> unicamente ad acuire l’illiquidità del mercato. Il ridimensionamento colpirà senza distinzione tutti i contesti territoriali, </w:t>
      </w:r>
      <w:r>
        <w:rPr>
          <w:rFonts w:asciiTheme="minorHAnsi" w:hAnsiTheme="minorHAnsi" w:cstheme="minorHAnsi"/>
          <w:sz w:val="22"/>
          <w:szCs w:val="22"/>
        </w:rPr>
        <w:t>seppure</w:t>
      </w:r>
      <w:r w:rsidRPr="0055762B">
        <w:rPr>
          <w:rFonts w:asciiTheme="minorHAnsi" w:hAnsiTheme="minorHAnsi" w:cstheme="minorHAnsi"/>
          <w:sz w:val="22"/>
          <w:szCs w:val="22"/>
        </w:rPr>
        <w:t xml:space="preserve"> con tempistiche non necessariamente allineate, mentre saranno ancora una volta i mercati già in epoca pre</w:t>
      </w:r>
      <w:r>
        <w:rPr>
          <w:rFonts w:asciiTheme="minorHAnsi" w:hAnsiTheme="minorHAnsi" w:cstheme="minorHAnsi"/>
          <w:sz w:val="22"/>
          <w:szCs w:val="22"/>
        </w:rPr>
        <w:t>-</w:t>
      </w:r>
      <w:r w:rsidRPr="0055762B">
        <w:rPr>
          <w:rFonts w:asciiTheme="minorHAnsi" w:hAnsiTheme="minorHAnsi" w:cstheme="minorHAnsi"/>
          <w:sz w:val="22"/>
          <w:szCs w:val="22"/>
        </w:rPr>
        <w:t xml:space="preserve">Covid </w:t>
      </w:r>
      <w:r>
        <w:rPr>
          <w:rFonts w:asciiTheme="minorHAnsi" w:hAnsiTheme="minorHAnsi" w:cstheme="minorHAnsi"/>
          <w:sz w:val="22"/>
          <w:szCs w:val="22"/>
        </w:rPr>
        <w:t xml:space="preserve">più dinamici </w:t>
      </w:r>
      <w:r w:rsidRPr="0055762B">
        <w:rPr>
          <w:rFonts w:asciiTheme="minorHAnsi" w:hAnsiTheme="minorHAnsi" w:cstheme="minorHAnsi"/>
          <w:sz w:val="22"/>
          <w:szCs w:val="22"/>
        </w:rPr>
        <w:t xml:space="preserve">a </w:t>
      </w:r>
      <w:r>
        <w:rPr>
          <w:rFonts w:asciiTheme="minorHAnsi" w:hAnsiTheme="minorHAnsi" w:cstheme="minorHAnsi"/>
          <w:sz w:val="22"/>
          <w:szCs w:val="22"/>
        </w:rPr>
        <w:t xml:space="preserve">riprendere </w:t>
      </w:r>
      <w:r w:rsidRPr="0055762B">
        <w:rPr>
          <w:rFonts w:asciiTheme="minorHAnsi" w:hAnsiTheme="minorHAnsi" w:cstheme="minorHAnsi"/>
          <w:sz w:val="22"/>
          <w:szCs w:val="22"/>
        </w:rPr>
        <w:t>prima degli altri</w:t>
      </w:r>
      <w:r>
        <w:rPr>
          <w:rFonts w:asciiTheme="minorHAnsi" w:hAnsiTheme="minorHAnsi" w:cstheme="minorHAnsi"/>
          <w:sz w:val="22"/>
          <w:szCs w:val="22"/>
        </w:rPr>
        <w:t xml:space="preserve"> la strada della risalita</w:t>
      </w:r>
      <w:r w:rsidRPr="0055762B">
        <w:rPr>
          <w:rFonts w:asciiTheme="minorHAnsi" w:hAnsiTheme="minorHAnsi" w:cstheme="minorHAnsi"/>
          <w:sz w:val="22"/>
          <w:szCs w:val="22"/>
        </w:rPr>
        <w:t xml:space="preserve">. </w:t>
      </w:r>
    </w:p>
    <w:p w14:paraId="44A2D2C7" w14:textId="357CF383" w:rsidR="004F585F" w:rsidRDefault="004F585F" w:rsidP="00912971">
      <w:pPr>
        <w:jc w:val="both"/>
        <w:rPr>
          <w:rFonts w:asciiTheme="minorHAnsi" w:eastAsia="Calibri" w:hAnsiTheme="minorHAnsi" w:cstheme="minorHAnsi"/>
          <w:sz w:val="22"/>
        </w:rPr>
      </w:pPr>
    </w:p>
    <w:p w14:paraId="3ABAD66C" w14:textId="77777777" w:rsidR="00806746" w:rsidRDefault="00806746" w:rsidP="00912971">
      <w:pPr>
        <w:spacing w:before="120"/>
        <w:jc w:val="both"/>
        <w:rPr>
          <w:rFonts w:asciiTheme="minorHAnsi" w:hAnsiTheme="minorHAnsi" w:cstheme="minorHAnsi"/>
          <w:sz w:val="22"/>
          <w:szCs w:val="22"/>
        </w:rPr>
      </w:pPr>
      <w:r w:rsidRPr="0055762B">
        <w:rPr>
          <w:rFonts w:asciiTheme="minorHAnsi" w:hAnsiTheme="minorHAnsi" w:cstheme="minorHAnsi"/>
          <w:sz w:val="22"/>
          <w:szCs w:val="22"/>
        </w:rPr>
        <w:t xml:space="preserve">Uno scenario più </w:t>
      </w:r>
      <w:r>
        <w:rPr>
          <w:rFonts w:asciiTheme="minorHAnsi" w:hAnsiTheme="minorHAnsi" w:cstheme="minorHAnsi"/>
          <w:sz w:val="22"/>
          <w:szCs w:val="22"/>
        </w:rPr>
        <w:t>preciso</w:t>
      </w:r>
      <w:r w:rsidRPr="0055762B">
        <w:rPr>
          <w:rFonts w:asciiTheme="minorHAnsi" w:hAnsiTheme="minorHAnsi" w:cstheme="minorHAnsi"/>
          <w:sz w:val="22"/>
          <w:szCs w:val="22"/>
        </w:rPr>
        <w:t xml:space="preserve"> potrà essere tracciato solo al termine di quest’anno, quando sar</w:t>
      </w:r>
      <w:r>
        <w:rPr>
          <w:rFonts w:asciiTheme="minorHAnsi" w:hAnsiTheme="minorHAnsi" w:cstheme="minorHAnsi"/>
          <w:sz w:val="22"/>
          <w:szCs w:val="22"/>
        </w:rPr>
        <w:t>à</w:t>
      </w:r>
      <w:r w:rsidRPr="0055762B">
        <w:rPr>
          <w:rFonts w:asciiTheme="minorHAnsi" w:hAnsiTheme="minorHAnsi" w:cstheme="minorHAnsi"/>
          <w:sz w:val="22"/>
          <w:szCs w:val="22"/>
        </w:rPr>
        <w:t xml:space="preserve"> finalmente</w:t>
      </w:r>
      <w:r>
        <w:rPr>
          <w:rFonts w:asciiTheme="minorHAnsi" w:hAnsiTheme="minorHAnsi" w:cstheme="minorHAnsi"/>
          <w:sz w:val="22"/>
          <w:szCs w:val="22"/>
        </w:rPr>
        <w:t xml:space="preserve"> quantificabile </w:t>
      </w:r>
      <w:r w:rsidRPr="0055762B">
        <w:rPr>
          <w:rFonts w:asciiTheme="minorHAnsi" w:hAnsiTheme="minorHAnsi" w:cstheme="minorHAnsi"/>
          <w:sz w:val="22"/>
          <w:szCs w:val="22"/>
        </w:rPr>
        <w:t>l’entità dell’impatto che la prolungata emergenza avrà prodotto sulle già fragili condizioni dell</w:t>
      </w:r>
      <w:r>
        <w:rPr>
          <w:rFonts w:asciiTheme="minorHAnsi" w:hAnsiTheme="minorHAnsi" w:cstheme="minorHAnsi"/>
          <w:sz w:val="22"/>
          <w:szCs w:val="22"/>
        </w:rPr>
        <w:t>’</w:t>
      </w:r>
      <w:r w:rsidRPr="0055762B">
        <w:rPr>
          <w:rFonts w:asciiTheme="minorHAnsi" w:hAnsiTheme="minorHAnsi" w:cstheme="minorHAnsi"/>
          <w:sz w:val="22"/>
          <w:szCs w:val="22"/>
        </w:rPr>
        <w:t>economia</w:t>
      </w:r>
      <w:r>
        <w:rPr>
          <w:rFonts w:asciiTheme="minorHAnsi" w:hAnsiTheme="minorHAnsi" w:cstheme="minorHAnsi"/>
          <w:sz w:val="22"/>
          <w:szCs w:val="22"/>
        </w:rPr>
        <w:t xml:space="preserve"> italiana</w:t>
      </w:r>
      <w:r w:rsidRPr="0055762B">
        <w:rPr>
          <w:rFonts w:asciiTheme="minorHAnsi" w:hAnsiTheme="minorHAnsi" w:cstheme="minorHAnsi"/>
          <w:sz w:val="22"/>
          <w:szCs w:val="22"/>
        </w:rPr>
        <w:t>. Fino ad allora</w:t>
      </w:r>
      <w:r>
        <w:rPr>
          <w:rFonts w:asciiTheme="minorHAnsi" w:hAnsiTheme="minorHAnsi" w:cstheme="minorHAnsi"/>
          <w:sz w:val="22"/>
          <w:szCs w:val="22"/>
        </w:rPr>
        <w:t>,</w:t>
      </w:r>
      <w:r w:rsidRPr="0055762B">
        <w:rPr>
          <w:rFonts w:asciiTheme="minorHAnsi" w:hAnsiTheme="minorHAnsi" w:cstheme="minorHAnsi"/>
          <w:sz w:val="22"/>
          <w:szCs w:val="22"/>
        </w:rPr>
        <w:t xml:space="preserve"> non si potrà fare altro che </w:t>
      </w:r>
      <w:r>
        <w:rPr>
          <w:rFonts w:asciiTheme="minorHAnsi" w:hAnsiTheme="minorHAnsi" w:cstheme="minorHAnsi"/>
          <w:sz w:val="22"/>
          <w:szCs w:val="22"/>
        </w:rPr>
        <w:t>confidare nella</w:t>
      </w:r>
      <w:r w:rsidRPr="0055762B">
        <w:rPr>
          <w:rFonts w:asciiTheme="minorHAnsi" w:hAnsiTheme="minorHAnsi" w:cstheme="minorHAnsi"/>
          <w:sz w:val="22"/>
          <w:szCs w:val="22"/>
        </w:rPr>
        <w:t xml:space="preserve"> propensione spesso </w:t>
      </w:r>
      <w:r>
        <w:rPr>
          <w:rFonts w:asciiTheme="minorHAnsi" w:hAnsiTheme="minorHAnsi" w:cstheme="minorHAnsi"/>
          <w:sz w:val="22"/>
          <w:szCs w:val="22"/>
        </w:rPr>
        <w:t xml:space="preserve">acritica e </w:t>
      </w:r>
      <w:r w:rsidRPr="0055762B">
        <w:rPr>
          <w:rFonts w:asciiTheme="minorHAnsi" w:hAnsiTheme="minorHAnsi" w:cstheme="minorHAnsi"/>
          <w:sz w:val="22"/>
          <w:szCs w:val="22"/>
        </w:rPr>
        <w:t xml:space="preserve">incondizionata </w:t>
      </w:r>
      <w:r>
        <w:rPr>
          <w:rFonts w:asciiTheme="minorHAnsi" w:hAnsiTheme="minorHAnsi" w:cstheme="minorHAnsi"/>
          <w:sz w:val="22"/>
          <w:szCs w:val="22"/>
        </w:rPr>
        <w:t>all</w:t>
      </w:r>
      <w:r w:rsidRPr="0055762B">
        <w:rPr>
          <w:rFonts w:asciiTheme="minorHAnsi" w:hAnsiTheme="minorHAnsi" w:cstheme="minorHAnsi"/>
          <w:sz w:val="22"/>
          <w:szCs w:val="22"/>
        </w:rPr>
        <w:t xml:space="preserve">’investimento immobiliare </w:t>
      </w:r>
      <w:r>
        <w:rPr>
          <w:rFonts w:asciiTheme="minorHAnsi" w:hAnsiTheme="minorHAnsi" w:cstheme="minorHAnsi"/>
          <w:sz w:val="22"/>
          <w:szCs w:val="22"/>
        </w:rPr>
        <w:t xml:space="preserve">come fattore di </w:t>
      </w:r>
      <w:r w:rsidRPr="0055762B">
        <w:rPr>
          <w:rFonts w:asciiTheme="minorHAnsi" w:hAnsiTheme="minorHAnsi" w:cstheme="minorHAnsi"/>
          <w:sz w:val="22"/>
          <w:szCs w:val="22"/>
        </w:rPr>
        <w:t>salvaguardi</w:t>
      </w:r>
      <w:r>
        <w:rPr>
          <w:rFonts w:asciiTheme="minorHAnsi" w:hAnsiTheme="minorHAnsi" w:cstheme="minorHAnsi"/>
          <w:sz w:val="22"/>
          <w:szCs w:val="22"/>
        </w:rPr>
        <w:t>a</w:t>
      </w:r>
      <w:r w:rsidRPr="0055762B">
        <w:rPr>
          <w:rFonts w:asciiTheme="minorHAnsi" w:hAnsiTheme="minorHAnsi" w:cstheme="minorHAnsi"/>
          <w:sz w:val="22"/>
          <w:szCs w:val="22"/>
        </w:rPr>
        <w:t xml:space="preserve"> da un tracollo che</w:t>
      </w:r>
      <w:r>
        <w:rPr>
          <w:rFonts w:asciiTheme="minorHAnsi" w:hAnsiTheme="minorHAnsi" w:cstheme="minorHAnsi"/>
          <w:sz w:val="22"/>
          <w:szCs w:val="22"/>
        </w:rPr>
        <w:t>,</w:t>
      </w:r>
      <w:r w:rsidRPr="0055762B">
        <w:rPr>
          <w:rFonts w:asciiTheme="minorHAnsi" w:hAnsiTheme="minorHAnsi" w:cstheme="minorHAnsi"/>
          <w:sz w:val="22"/>
          <w:szCs w:val="22"/>
        </w:rPr>
        <w:t xml:space="preserve"> </w:t>
      </w:r>
      <w:r>
        <w:rPr>
          <w:rFonts w:asciiTheme="minorHAnsi" w:hAnsiTheme="minorHAnsi" w:cstheme="minorHAnsi"/>
          <w:sz w:val="22"/>
          <w:szCs w:val="22"/>
        </w:rPr>
        <w:t xml:space="preserve">secondo i responsi </w:t>
      </w:r>
      <w:r w:rsidRPr="0055762B">
        <w:rPr>
          <w:rFonts w:asciiTheme="minorHAnsi" w:hAnsiTheme="minorHAnsi" w:cstheme="minorHAnsi"/>
          <w:sz w:val="22"/>
          <w:szCs w:val="22"/>
        </w:rPr>
        <w:t>dei modelli previsionali</w:t>
      </w:r>
      <w:r>
        <w:rPr>
          <w:rFonts w:asciiTheme="minorHAnsi" w:hAnsiTheme="minorHAnsi" w:cstheme="minorHAnsi"/>
          <w:sz w:val="22"/>
          <w:szCs w:val="22"/>
        </w:rPr>
        <w:t>,</w:t>
      </w:r>
      <w:r w:rsidRPr="0055762B">
        <w:rPr>
          <w:rFonts w:asciiTheme="minorHAnsi" w:hAnsiTheme="minorHAnsi" w:cstheme="minorHAnsi"/>
          <w:sz w:val="22"/>
          <w:szCs w:val="22"/>
        </w:rPr>
        <w:t xml:space="preserve"> </w:t>
      </w:r>
      <w:r>
        <w:rPr>
          <w:rFonts w:asciiTheme="minorHAnsi" w:hAnsiTheme="minorHAnsi" w:cstheme="minorHAnsi"/>
          <w:sz w:val="22"/>
          <w:szCs w:val="22"/>
        </w:rPr>
        <w:t>ap</w:t>
      </w:r>
      <w:r w:rsidRPr="0055762B">
        <w:rPr>
          <w:rFonts w:asciiTheme="minorHAnsi" w:hAnsiTheme="minorHAnsi" w:cstheme="minorHAnsi"/>
          <w:sz w:val="22"/>
          <w:szCs w:val="22"/>
        </w:rPr>
        <w:t xml:space="preserve">pare inevitabile. </w:t>
      </w:r>
    </w:p>
    <w:p w14:paraId="2CC0B0D2" w14:textId="77777777" w:rsidR="00806746" w:rsidRDefault="00806746" w:rsidP="00806746">
      <w:pPr>
        <w:suppressAutoHyphens/>
        <w:spacing w:after="120"/>
        <w:rPr>
          <w:rFonts w:ascii="Calibri" w:hAnsi="Calibri" w:cs="Calibri"/>
          <w:noProof/>
          <w:sz w:val="18"/>
        </w:rPr>
      </w:pPr>
    </w:p>
    <w:p w14:paraId="047FA32C" w14:textId="48BA4E91" w:rsidR="004F585F" w:rsidRDefault="004F585F">
      <w:pPr>
        <w:spacing w:after="200" w:line="276" w:lineRule="auto"/>
        <w:rPr>
          <w:rFonts w:asciiTheme="minorHAnsi" w:eastAsia="Calibri" w:hAnsiTheme="minorHAnsi"/>
          <w:strike/>
          <w:sz w:val="22"/>
          <w:szCs w:val="22"/>
          <w:lang w:eastAsia="en-US"/>
        </w:rPr>
      </w:pPr>
    </w:p>
    <w:p w14:paraId="0C0281CA" w14:textId="77777777" w:rsidR="00464BC2" w:rsidRDefault="00464BC2">
      <w:pPr>
        <w:spacing w:after="200" w:line="276" w:lineRule="auto"/>
        <w:rPr>
          <w:rFonts w:asciiTheme="minorHAnsi" w:eastAsia="Calibri" w:hAnsiTheme="minorHAnsi" w:cs="Calibri"/>
          <w:b/>
          <w:sz w:val="28"/>
          <w:szCs w:val="28"/>
        </w:rPr>
      </w:pPr>
      <w:r>
        <w:rPr>
          <w:rFonts w:asciiTheme="minorHAnsi" w:hAnsiTheme="minorHAnsi" w:cs="Calibri"/>
          <w:b/>
          <w:sz w:val="28"/>
          <w:szCs w:val="28"/>
        </w:rPr>
        <w:br w:type="page"/>
      </w:r>
    </w:p>
    <w:p w14:paraId="409944AE" w14:textId="487357F7" w:rsidR="00170F64" w:rsidRPr="003D3270" w:rsidRDefault="00170F64" w:rsidP="007F37E0">
      <w:pPr>
        <w:pStyle w:val="Paragrafoelenco1"/>
        <w:tabs>
          <w:tab w:val="left" w:pos="1418"/>
        </w:tabs>
        <w:suppressAutoHyphens/>
        <w:ind w:left="0"/>
        <w:rPr>
          <w:rFonts w:asciiTheme="minorHAnsi" w:hAnsiTheme="minorHAnsi" w:cs="Calibri"/>
          <w:b/>
          <w:sz w:val="28"/>
          <w:szCs w:val="28"/>
        </w:rPr>
      </w:pPr>
      <w:r w:rsidRPr="003D3270">
        <w:rPr>
          <w:rFonts w:asciiTheme="minorHAnsi" w:hAnsiTheme="minorHAnsi" w:cs="Calibri"/>
          <w:b/>
          <w:sz w:val="28"/>
          <w:szCs w:val="28"/>
        </w:rPr>
        <w:t xml:space="preserve">Il mercato delle abitazioni per vacanza </w:t>
      </w:r>
    </w:p>
    <w:p w14:paraId="13122586" w14:textId="77777777" w:rsidR="00913D2F" w:rsidRDefault="00913D2F" w:rsidP="00775E1B">
      <w:pPr>
        <w:pStyle w:val="NormaleWeb"/>
        <w:shd w:val="clear" w:color="auto" w:fill="FFFFFF"/>
        <w:spacing w:before="0" w:beforeAutospacing="0" w:after="0" w:afterAutospacing="0"/>
        <w:jc w:val="both"/>
        <w:rPr>
          <w:rFonts w:asciiTheme="minorHAnsi" w:eastAsia="Calibri" w:hAnsiTheme="minorHAnsi" w:cstheme="minorHAnsi"/>
          <w:sz w:val="22"/>
          <w:szCs w:val="22"/>
        </w:rPr>
      </w:pPr>
    </w:p>
    <w:p w14:paraId="633B06A6" w14:textId="2176891F" w:rsidR="007616CF" w:rsidRDefault="004B71AA" w:rsidP="00775E1B">
      <w:pPr>
        <w:pStyle w:val="NormaleWeb"/>
        <w:shd w:val="clear" w:color="auto" w:fill="FFFFFF"/>
        <w:spacing w:before="0" w:beforeAutospacing="0" w:after="0" w:afterAutospacing="0"/>
        <w:jc w:val="both"/>
        <w:rPr>
          <w:rFonts w:asciiTheme="minorHAnsi" w:eastAsia="Calibri" w:hAnsiTheme="minorHAnsi" w:cstheme="minorHAnsi"/>
          <w:sz w:val="22"/>
          <w:szCs w:val="22"/>
        </w:rPr>
      </w:pPr>
      <w:r w:rsidRPr="004B71AA">
        <w:rPr>
          <w:rFonts w:asciiTheme="minorHAnsi" w:eastAsia="Calibri" w:hAnsiTheme="minorHAnsi" w:cstheme="minorHAnsi"/>
          <w:sz w:val="22"/>
          <w:szCs w:val="22"/>
        </w:rPr>
        <w:t>Quest’anno le performance che emergono dall’</w:t>
      </w:r>
      <w:r>
        <w:rPr>
          <w:rFonts w:asciiTheme="minorHAnsi" w:eastAsia="Calibri" w:hAnsiTheme="minorHAnsi" w:cstheme="minorHAnsi"/>
          <w:sz w:val="22"/>
          <w:szCs w:val="22"/>
        </w:rPr>
        <w:t>O</w:t>
      </w:r>
      <w:r w:rsidRPr="004B71AA">
        <w:rPr>
          <w:rFonts w:asciiTheme="minorHAnsi" w:eastAsia="Calibri" w:hAnsiTheme="minorHAnsi" w:cstheme="minorHAnsi"/>
          <w:sz w:val="22"/>
          <w:szCs w:val="22"/>
        </w:rPr>
        <w:t>sservatorio</w:t>
      </w:r>
      <w:r>
        <w:rPr>
          <w:rFonts w:asciiTheme="minorHAnsi" w:eastAsia="Calibri" w:hAnsiTheme="minorHAnsi" w:cstheme="minorHAnsi"/>
          <w:sz w:val="22"/>
          <w:szCs w:val="22"/>
        </w:rPr>
        <w:t xml:space="preserve"> immobiliare</w:t>
      </w:r>
      <w:r w:rsidRPr="004B71AA">
        <w:rPr>
          <w:rFonts w:asciiTheme="minorHAnsi" w:eastAsia="Calibri" w:hAnsiTheme="minorHAnsi" w:cstheme="minorHAnsi"/>
          <w:sz w:val="22"/>
          <w:szCs w:val="22"/>
        </w:rPr>
        <w:t xml:space="preserve"> turistico </w:t>
      </w:r>
      <w:r>
        <w:rPr>
          <w:rFonts w:asciiTheme="minorHAnsi" w:eastAsia="Calibri" w:hAnsiTheme="minorHAnsi" w:cstheme="minorHAnsi"/>
          <w:sz w:val="22"/>
          <w:szCs w:val="22"/>
        </w:rPr>
        <w:t>risultano estrem</w:t>
      </w:r>
      <w:r w:rsidRPr="004B71AA">
        <w:rPr>
          <w:rFonts w:asciiTheme="minorHAnsi" w:eastAsia="Calibri" w:hAnsiTheme="minorHAnsi" w:cstheme="minorHAnsi"/>
          <w:sz w:val="22"/>
          <w:szCs w:val="22"/>
        </w:rPr>
        <w:t xml:space="preserve">amente condizionate dagli effetti provocati dalla pandemia da </w:t>
      </w:r>
      <w:r w:rsidR="00CF4C52" w:rsidRPr="004B71AA">
        <w:rPr>
          <w:rFonts w:asciiTheme="minorHAnsi" w:eastAsia="Calibri" w:hAnsiTheme="minorHAnsi" w:cstheme="minorHAnsi"/>
          <w:sz w:val="22"/>
          <w:szCs w:val="22"/>
        </w:rPr>
        <w:t>Covid 19</w:t>
      </w:r>
      <w:r w:rsidRPr="004B71AA">
        <w:rPr>
          <w:rFonts w:asciiTheme="minorHAnsi" w:eastAsia="Calibri" w:hAnsiTheme="minorHAnsi" w:cstheme="minorHAnsi"/>
          <w:sz w:val="22"/>
          <w:szCs w:val="22"/>
        </w:rPr>
        <w:t xml:space="preserve"> </w:t>
      </w:r>
      <w:r w:rsidR="00912971">
        <w:rPr>
          <w:rFonts w:asciiTheme="minorHAnsi" w:eastAsia="Calibri" w:hAnsiTheme="minorHAnsi" w:cstheme="minorHAnsi"/>
          <w:sz w:val="22"/>
          <w:szCs w:val="22"/>
        </w:rPr>
        <w:t>sull’economia</w:t>
      </w:r>
      <w:r w:rsidR="008A3780">
        <w:rPr>
          <w:rFonts w:asciiTheme="minorHAnsi" w:eastAsia="Calibri" w:hAnsiTheme="minorHAnsi" w:cstheme="minorHAnsi"/>
          <w:sz w:val="22"/>
          <w:szCs w:val="22"/>
        </w:rPr>
        <w:t xml:space="preserve"> nazionale</w:t>
      </w:r>
      <w:r w:rsidR="00296618">
        <w:rPr>
          <w:rFonts w:asciiTheme="minorHAnsi" w:eastAsia="Calibri" w:hAnsiTheme="minorHAnsi" w:cstheme="minorHAnsi"/>
          <w:sz w:val="22"/>
          <w:szCs w:val="22"/>
        </w:rPr>
        <w:t>,</w:t>
      </w:r>
      <w:r w:rsidR="00CF4C52">
        <w:rPr>
          <w:rFonts w:asciiTheme="minorHAnsi" w:eastAsia="Calibri" w:hAnsiTheme="minorHAnsi" w:cstheme="minorHAnsi"/>
          <w:sz w:val="22"/>
          <w:szCs w:val="22"/>
        </w:rPr>
        <w:t xml:space="preserve"> ed in particolare</w:t>
      </w:r>
      <w:r w:rsidR="007616CF">
        <w:rPr>
          <w:rFonts w:asciiTheme="minorHAnsi" w:eastAsia="Calibri" w:hAnsiTheme="minorHAnsi" w:cstheme="minorHAnsi"/>
          <w:sz w:val="22"/>
          <w:szCs w:val="22"/>
        </w:rPr>
        <w:t xml:space="preserve"> </w:t>
      </w:r>
      <w:r w:rsidR="00802B33">
        <w:rPr>
          <w:rFonts w:asciiTheme="minorHAnsi" w:eastAsia="Calibri" w:hAnsiTheme="minorHAnsi" w:cstheme="minorHAnsi"/>
          <w:sz w:val="22"/>
          <w:szCs w:val="22"/>
        </w:rPr>
        <w:t>sul settore turistico</w:t>
      </w:r>
      <w:r w:rsidR="004D15D8">
        <w:rPr>
          <w:rFonts w:asciiTheme="minorHAnsi" w:eastAsia="Calibri" w:hAnsiTheme="minorHAnsi" w:cstheme="minorHAnsi"/>
          <w:sz w:val="22"/>
          <w:szCs w:val="22"/>
        </w:rPr>
        <w:t xml:space="preserve">, anche </w:t>
      </w:r>
      <w:r w:rsidR="00296618">
        <w:rPr>
          <w:rFonts w:asciiTheme="minorHAnsi" w:eastAsia="Calibri" w:hAnsiTheme="minorHAnsi" w:cstheme="minorHAnsi"/>
          <w:sz w:val="22"/>
          <w:szCs w:val="22"/>
        </w:rPr>
        <w:t xml:space="preserve">per effetto </w:t>
      </w:r>
      <w:r w:rsidR="00802B33">
        <w:rPr>
          <w:rFonts w:asciiTheme="minorHAnsi" w:eastAsia="Calibri" w:hAnsiTheme="minorHAnsi" w:cstheme="minorHAnsi"/>
          <w:sz w:val="22"/>
          <w:szCs w:val="22"/>
        </w:rPr>
        <w:t>delle</w:t>
      </w:r>
      <w:r w:rsidR="00296618">
        <w:rPr>
          <w:rFonts w:asciiTheme="minorHAnsi" w:eastAsia="Calibri" w:hAnsiTheme="minorHAnsi" w:cstheme="minorHAnsi"/>
          <w:sz w:val="22"/>
          <w:szCs w:val="22"/>
        </w:rPr>
        <w:t xml:space="preserve"> stringenti</w:t>
      </w:r>
      <w:r w:rsidR="00802B33">
        <w:rPr>
          <w:rFonts w:asciiTheme="minorHAnsi" w:eastAsia="Calibri" w:hAnsiTheme="minorHAnsi" w:cstheme="minorHAnsi"/>
          <w:sz w:val="22"/>
          <w:szCs w:val="22"/>
        </w:rPr>
        <w:t xml:space="preserve"> restrizioni</w:t>
      </w:r>
      <w:r w:rsidR="007616CF">
        <w:rPr>
          <w:rFonts w:asciiTheme="minorHAnsi" w:eastAsia="Calibri" w:hAnsiTheme="minorHAnsi" w:cstheme="minorHAnsi"/>
          <w:sz w:val="22"/>
          <w:szCs w:val="22"/>
        </w:rPr>
        <w:t xml:space="preserve"> imp</w:t>
      </w:r>
      <w:r w:rsidR="002F3ED6">
        <w:rPr>
          <w:rFonts w:asciiTheme="minorHAnsi" w:eastAsia="Calibri" w:hAnsiTheme="minorHAnsi" w:cstheme="minorHAnsi"/>
          <w:sz w:val="22"/>
          <w:szCs w:val="22"/>
        </w:rPr>
        <w:t>o</w:t>
      </w:r>
      <w:r w:rsidR="007616CF">
        <w:rPr>
          <w:rFonts w:asciiTheme="minorHAnsi" w:eastAsia="Calibri" w:hAnsiTheme="minorHAnsi" w:cstheme="minorHAnsi"/>
          <w:sz w:val="22"/>
          <w:szCs w:val="22"/>
        </w:rPr>
        <w:t xml:space="preserve">ste agli </w:t>
      </w:r>
      <w:r w:rsidR="002F3ED6">
        <w:rPr>
          <w:rFonts w:asciiTheme="minorHAnsi" w:eastAsia="Calibri" w:hAnsiTheme="minorHAnsi" w:cstheme="minorHAnsi"/>
          <w:sz w:val="22"/>
          <w:szCs w:val="22"/>
        </w:rPr>
        <w:t>spostament</w:t>
      </w:r>
      <w:r w:rsidR="00296618">
        <w:rPr>
          <w:rFonts w:asciiTheme="minorHAnsi" w:eastAsia="Calibri" w:hAnsiTheme="minorHAnsi" w:cstheme="minorHAnsi"/>
          <w:sz w:val="22"/>
          <w:szCs w:val="22"/>
        </w:rPr>
        <w:t>i</w:t>
      </w:r>
      <w:r w:rsidR="004D15D8">
        <w:rPr>
          <w:rFonts w:asciiTheme="minorHAnsi" w:eastAsia="Calibri" w:hAnsiTheme="minorHAnsi" w:cstheme="minorHAnsi"/>
          <w:sz w:val="22"/>
          <w:szCs w:val="22"/>
        </w:rPr>
        <w:t>.</w:t>
      </w:r>
    </w:p>
    <w:p w14:paraId="7AD4B958" w14:textId="77777777" w:rsidR="004B71AA" w:rsidRDefault="004B71AA" w:rsidP="00775E1B">
      <w:pPr>
        <w:pStyle w:val="NormaleWeb"/>
        <w:shd w:val="clear" w:color="auto" w:fill="FFFFFF"/>
        <w:spacing w:before="0" w:beforeAutospacing="0" w:after="0" w:afterAutospacing="0"/>
        <w:jc w:val="both"/>
        <w:rPr>
          <w:rFonts w:asciiTheme="minorHAnsi" w:eastAsia="Calibri" w:hAnsiTheme="minorHAnsi" w:cstheme="minorHAnsi"/>
          <w:sz w:val="22"/>
          <w:szCs w:val="22"/>
        </w:rPr>
      </w:pPr>
    </w:p>
    <w:p w14:paraId="56B9FB8A" w14:textId="6D920B39" w:rsidR="009E2EBE" w:rsidRDefault="004B71AA" w:rsidP="00AB2412">
      <w:pPr>
        <w:pStyle w:val="NormaleWeb"/>
        <w:shd w:val="clear" w:color="auto" w:fill="FFFFFF"/>
        <w:spacing w:before="0" w:beforeAutospacing="0" w:after="0" w:afterAutospacing="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Basti pensare che per </w:t>
      </w:r>
      <w:r w:rsidR="00296618">
        <w:rPr>
          <w:rFonts w:asciiTheme="minorHAnsi" w:eastAsia="Calibri" w:hAnsiTheme="minorHAnsi" w:cstheme="minorHAnsi"/>
          <w:sz w:val="22"/>
          <w:szCs w:val="22"/>
        </w:rPr>
        <w:t xml:space="preserve">effetto della pandemia in corso, gli arrivi turistici in Italia nel 2020 sono destinati a diminuire del 44% rispetto allo scorso anno (considerando </w:t>
      </w:r>
      <w:r w:rsidR="00296618" w:rsidRPr="00913D2F">
        <w:rPr>
          <w:rFonts w:asciiTheme="minorHAnsi" w:eastAsia="Calibri" w:hAnsiTheme="minorHAnsi" w:cstheme="minorHAnsi"/>
          <w:sz w:val="22"/>
          <w:szCs w:val="22"/>
        </w:rPr>
        <w:t>l'aggregato internazionale e nazionale</w:t>
      </w:r>
      <w:r w:rsidR="00296618">
        <w:rPr>
          <w:rFonts w:asciiTheme="minorHAnsi" w:eastAsia="Calibri" w:hAnsiTheme="minorHAnsi" w:cstheme="minorHAnsi"/>
          <w:sz w:val="22"/>
          <w:szCs w:val="22"/>
        </w:rPr>
        <w:t>), secondo le previsioni de</w:t>
      </w:r>
      <w:r w:rsidR="008A3780">
        <w:rPr>
          <w:rFonts w:asciiTheme="minorHAnsi" w:eastAsia="Calibri" w:hAnsiTheme="minorHAnsi" w:cstheme="minorHAnsi"/>
          <w:sz w:val="22"/>
          <w:szCs w:val="22"/>
        </w:rPr>
        <w:t xml:space="preserve">ll’Osservatorio nazionale del Turismo </w:t>
      </w:r>
      <w:r w:rsidR="00E63002">
        <w:rPr>
          <w:rFonts w:asciiTheme="minorHAnsi" w:eastAsia="Calibri" w:hAnsiTheme="minorHAnsi" w:cstheme="minorHAnsi"/>
          <w:sz w:val="22"/>
          <w:szCs w:val="22"/>
        </w:rPr>
        <w:t>aggiornate al mese di</w:t>
      </w:r>
      <w:r w:rsidR="008A3780">
        <w:rPr>
          <w:rFonts w:asciiTheme="minorHAnsi" w:eastAsia="Calibri" w:hAnsiTheme="minorHAnsi" w:cstheme="minorHAnsi"/>
          <w:sz w:val="22"/>
          <w:szCs w:val="22"/>
        </w:rPr>
        <w:t xml:space="preserve"> luglio 2020</w:t>
      </w:r>
      <w:r w:rsidR="00296618">
        <w:rPr>
          <w:rStyle w:val="Rimandonotaapidipagina"/>
          <w:rFonts w:asciiTheme="minorHAnsi" w:eastAsia="Calibri" w:hAnsiTheme="minorHAnsi" w:cstheme="minorHAnsi"/>
          <w:sz w:val="22"/>
          <w:szCs w:val="22"/>
        </w:rPr>
        <w:footnoteReference w:id="1"/>
      </w:r>
      <w:r w:rsidR="008A3780">
        <w:rPr>
          <w:rFonts w:asciiTheme="minorHAnsi" w:eastAsia="Calibri" w:hAnsiTheme="minorHAnsi" w:cstheme="minorHAnsi"/>
          <w:sz w:val="22"/>
          <w:szCs w:val="22"/>
        </w:rPr>
        <w:t xml:space="preserve"> </w:t>
      </w:r>
      <w:r w:rsidR="00296618">
        <w:rPr>
          <w:rFonts w:asciiTheme="minorHAnsi" w:eastAsia="Calibri" w:hAnsiTheme="minorHAnsi" w:cstheme="minorHAnsi"/>
          <w:sz w:val="22"/>
          <w:szCs w:val="22"/>
        </w:rPr>
        <w:t xml:space="preserve">(fig. 5). </w:t>
      </w:r>
      <w:r w:rsidR="00802B33" w:rsidRPr="00913D2F">
        <w:rPr>
          <w:rFonts w:asciiTheme="minorHAnsi" w:eastAsia="Calibri" w:hAnsiTheme="minorHAnsi" w:cstheme="minorHAnsi"/>
          <w:sz w:val="22"/>
          <w:szCs w:val="22"/>
        </w:rPr>
        <w:t>Ciò equivale in termini assoluti ad una flessione</w:t>
      </w:r>
      <w:r>
        <w:rPr>
          <w:rFonts w:asciiTheme="minorHAnsi" w:eastAsia="Calibri" w:hAnsiTheme="minorHAnsi" w:cstheme="minorHAnsi"/>
          <w:sz w:val="22"/>
          <w:szCs w:val="22"/>
        </w:rPr>
        <w:t xml:space="preserve"> annua</w:t>
      </w:r>
      <w:r w:rsidR="00802B33" w:rsidRPr="00913D2F">
        <w:rPr>
          <w:rFonts w:asciiTheme="minorHAnsi" w:eastAsia="Calibri" w:hAnsiTheme="minorHAnsi" w:cstheme="minorHAnsi"/>
          <w:sz w:val="22"/>
          <w:szCs w:val="22"/>
        </w:rPr>
        <w:t xml:space="preserve"> di 51 milioni di visitatori</w:t>
      </w:r>
      <w:r w:rsidR="00296618">
        <w:rPr>
          <w:rFonts w:asciiTheme="minorHAnsi" w:eastAsia="Calibri" w:hAnsiTheme="minorHAnsi" w:cstheme="minorHAnsi"/>
          <w:sz w:val="22"/>
          <w:szCs w:val="22"/>
        </w:rPr>
        <w:t xml:space="preserve"> e di 165 </w:t>
      </w:r>
      <w:r w:rsidR="00296618" w:rsidRPr="00913D2F">
        <w:rPr>
          <w:rFonts w:asciiTheme="minorHAnsi" w:eastAsia="Calibri" w:hAnsiTheme="minorHAnsi" w:cstheme="minorHAnsi"/>
          <w:sz w:val="22"/>
          <w:szCs w:val="22"/>
        </w:rPr>
        <w:t>milioni</w:t>
      </w:r>
      <w:r w:rsidR="00296618">
        <w:rPr>
          <w:rFonts w:asciiTheme="minorHAnsi" w:eastAsia="Calibri" w:hAnsiTheme="minorHAnsi" w:cstheme="minorHAnsi"/>
          <w:sz w:val="22"/>
          <w:szCs w:val="22"/>
        </w:rPr>
        <w:t xml:space="preserve"> di presenze turis</w:t>
      </w:r>
      <w:r>
        <w:rPr>
          <w:rFonts w:asciiTheme="minorHAnsi" w:eastAsia="Calibri" w:hAnsiTheme="minorHAnsi" w:cstheme="minorHAnsi"/>
          <w:sz w:val="22"/>
          <w:szCs w:val="22"/>
        </w:rPr>
        <w:t>t</w:t>
      </w:r>
      <w:r w:rsidR="00296618">
        <w:rPr>
          <w:rFonts w:asciiTheme="minorHAnsi" w:eastAsia="Calibri" w:hAnsiTheme="minorHAnsi" w:cstheme="minorHAnsi"/>
          <w:sz w:val="22"/>
          <w:szCs w:val="22"/>
        </w:rPr>
        <w:t xml:space="preserve">iche </w:t>
      </w:r>
      <w:r>
        <w:rPr>
          <w:rFonts w:asciiTheme="minorHAnsi" w:eastAsia="Calibri" w:hAnsiTheme="minorHAnsi" w:cstheme="minorHAnsi"/>
          <w:sz w:val="22"/>
          <w:szCs w:val="22"/>
        </w:rPr>
        <w:t>che si traduce</w:t>
      </w:r>
      <w:r w:rsidR="00296618">
        <w:rPr>
          <w:rFonts w:asciiTheme="minorHAnsi" w:eastAsia="Calibri" w:hAnsiTheme="minorHAnsi" w:cstheme="minorHAnsi"/>
          <w:sz w:val="22"/>
          <w:szCs w:val="22"/>
        </w:rPr>
        <w:t xml:space="preserve"> in una perdita di </w:t>
      </w:r>
      <w:r w:rsidRPr="00913D2F">
        <w:rPr>
          <w:rFonts w:asciiTheme="minorHAnsi" w:eastAsia="Calibri" w:hAnsiTheme="minorHAnsi" w:cstheme="minorHAnsi"/>
          <w:sz w:val="22"/>
          <w:szCs w:val="22"/>
        </w:rPr>
        <w:t>67 miliardi di euro</w:t>
      </w:r>
      <w:r>
        <w:rPr>
          <w:rFonts w:asciiTheme="minorHAnsi" w:eastAsia="Calibri" w:hAnsiTheme="minorHAnsi" w:cstheme="minorHAnsi"/>
          <w:sz w:val="22"/>
          <w:szCs w:val="22"/>
        </w:rPr>
        <w:t xml:space="preserve"> </w:t>
      </w:r>
      <w:r w:rsidR="008A3780">
        <w:rPr>
          <w:rFonts w:asciiTheme="minorHAnsi" w:eastAsia="Calibri" w:hAnsiTheme="minorHAnsi" w:cstheme="minorHAnsi"/>
          <w:sz w:val="22"/>
          <w:szCs w:val="22"/>
        </w:rPr>
        <w:t>d</w:t>
      </w:r>
      <w:r w:rsidR="00E63002">
        <w:rPr>
          <w:rFonts w:asciiTheme="minorHAnsi" w:eastAsia="Calibri" w:hAnsiTheme="minorHAnsi" w:cstheme="minorHAnsi"/>
          <w:sz w:val="22"/>
          <w:szCs w:val="22"/>
        </w:rPr>
        <w:t>ovuta a</w:t>
      </w:r>
      <w:r w:rsidR="008A3780">
        <w:rPr>
          <w:rFonts w:asciiTheme="minorHAnsi" w:eastAsia="Calibri" w:hAnsiTheme="minorHAnsi" w:cstheme="minorHAnsi"/>
          <w:sz w:val="22"/>
          <w:szCs w:val="22"/>
        </w:rPr>
        <w:t xml:space="preserve"> minori</w:t>
      </w:r>
      <w:r>
        <w:rPr>
          <w:rFonts w:asciiTheme="minorHAnsi" w:eastAsia="Calibri" w:hAnsiTheme="minorHAnsi" w:cstheme="minorHAnsi"/>
          <w:sz w:val="22"/>
          <w:szCs w:val="22"/>
        </w:rPr>
        <w:t xml:space="preserve"> </w:t>
      </w:r>
      <w:r w:rsidR="00802B33" w:rsidRPr="00913D2F">
        <w:rPr>
          <w:rFonts w:asciiTheme="minorHAnsi" w:eastAsia="Calibri" w:hAnsiTheme="minorHAnsi" w:cstheme="minorHAnsi"/>
          <w:sz w:val="22"/>
          <w:szCs w:val="22"/>
        </w:rPr>
        <w:t>spese turistiche</w:t>
      </w:r>
      <w:r>
        <w:rPr>
          <w:rFonts w:asciiTheme="minorHAnsi" w:eastAsia="Calibri" w:hAnsiTheme="minorHAnsi" w:cstheme="minorHAnsi"/>
          <w:sz w:val="22"/>
          <w:szCs w:val="22"/>
        </w:rPr>
        <w:t>.</w:t>
      </w:r>
    </w:p>
    <w:p w14:paraId="5BD78CAE" w14:textId="77777777" w:rsidR="004B71AA" w:rsidRDefault="004B71AA" w:rsidP="004B71AA">
      <w:pPr>
        <w:pStyle w:val="NormaleWeb"/>
        <w:shd w:val="clear" w:color="auto" w:fill="FFFFFF"/>
        <w:spacing w:before="0" w:beforeAutospacing="0" w:after="0" w:afterAutospacing="0"/>
        <w:jc w:val="both"/>
        <w:rPr>
          <w:rFonts w:asciiTheme="minorHAnsi" w:eastAsia="Calibri" w:hAnsiTheme="minorHAnsi" w:cstheme="minorHAnsi"/>
          <w:sz w:val="22"/>
          <w:szCs w:val="22"/>
        </w:rPr>
      </w:pPr>
    </w:p>
    <w:p w14:paraId="737CC63A" w14:textId="1B53F58D" w:rsidR="00E63002" w:rsidRPr="00E63002" w:rsidRDefault="004B71AA" w:rsidP="008A3780">
      <w:pPr>
        <w:pStyle w:val="NormaleWeb"/>
        <w:shd w:val="clear" w:color="auto" w:fill="FFFFFF"/>
        <w:spacing w:before="0" w:beforeAutospacing="0" w:after="0" w:afterAutospacing="0"/>
        <w:jc w:val="both"/>
        <w:rPr>
          <w:rFonts w:asciiTheme="minorHAnsi" w:eastAsia="Calibri" w:hAnsiTheme="minorHAnsi" w:cstheme="minorHAnsi"/>
          <w:sz w:val="22"/>
          <w:szCs w:val="22"/>
        </w:rPr>
      </w:pPr>
      <w:r w:rsidRPr="00E63002">
        <w:rPr>
          <w:rFonts w:asciiTheme="minorHAnsi" w:eastAsia="Calibri" w:hAnsiTheme="minorHAnsi" w:cstheme="minorHAnsi"/>
          <w:sz w:val="22"/>
          <w:szCs w:val="22"/>
        </w:rPr>
        <w:t>In particolare, ci si aspetta un brusco calo degli stranieri (-55% rispetto al 2019</w:t>
      </w:r>
      <w:r w:rsidR="008A3780" w:rsidRPr="00E63002">
        <w:rPr>
          <w:rFonts w:asciiTheme="minorHAnsi" w:eastAsia="Calibri" w:hAnsiTheme="minorHAnsi" w:cstheme="minorHAnsi"/>
          <w:sz w:val="22"/>
          <w:szCs w:val="22"/>
        </w:rPr>
        <w:t>;</w:t>
      </w:r>
      <w:r w:rsidRPr="00E63002">
        <w:rPr>
          <w:rFonts w:asciiTheme="minorHAnsi" w:eastAsia="Calibri" w:hAnsiTheme="minorHAnsi" w:cstheme="minorHAnsi"/>
          <w:sz w:val="22"/>
          <w:szCs w:val="22"/>
        </w:rPr>
        <w:t xml:space="preserve"> pari a</w:t>
      </w:r>
      <w:r w:rsidR="008A3780" w:rsidRPr="00E63002">
        <w:rPr>
          <w:rFonts w:asciiTheme="minorHAnsi" w:eastAsia="Calibri" w:hAnsiTheme="minorHAnsi" w:cstheme="minorHAnsi"/>
          <w:sz w:val="22"/>
          <w:szCs w:val="22"/>
        </w:rPr>
        <w:t xml:space="preserve"> </w:t>
      </w:r>
      <w:r w:rsidRPr="00E63002">
        <w:rPr>
          <w:rFonts w:asciiTheme="minorHAnsi" w:eastAsia="Calibri" w:hAnsiTheme="minorHAnsi" w:cstheme="minorHAnsi"/>
          <w:sz w:val="22"/>
          <w:szCs w:val="22"/>
        </w:rPr>
        <w:t>35 milioni di visitatori), a causa dalle restrizioni previste per i viaggi internazionali</w:t>
      </w:r>
      <w:r w:rsidR="008A3780" w:rsidRPr="00E63002">
        <w:rPr>
          <w:rFonts w:asciiTheme="minorHAnsi" w:eastAsia="Calibri" w:hAnsiTheme="minorHAnsi" w:cstheme="minorHAnsi"/>
          <w:sz w:val="22"/>
          <w:szCs w:val="22"/>
        </w:rPr>
        <w:t xml:space="preserve"> e di conseguenza della domanda turistica nelle destinazioni </w:t>
      </w:r>
      <w:r w:rsidR="00E63002" w:rsidRPr="00E63002">
        <w:rPr>
          <w:rFonts w:asciiTheme="minorHAnsi" w:eastAsia="Calibri" w:hAnsiTheme="minorHAnsi" w:cstheme="minorHAnsi"/>
          <w:sz w:val="22"/>
          <w:szCs w:val="22"/>
        </w:rPr>
        <w:t>tradizionalmente internazionali, come le città d’arte.</w:t>
      </w:r>
    </w:p>
    <w:p w14:paraId="640903E4" w14:textId="73C23353" w:rsidR="008A3780" w:rsidRDefault="008A3780" w:rsidP="008A3780">
      <w:pPr>
        <w:pStyle w:val="NormaleWeb"/>
        <w:shd w:val="clear" w:color="auto" w:fill="FFFFFF"/>
        <w:spacing w:before="0" w:beforeAutospacing="0" w:after="0" w:afterAutospacing="0"/>
        <w:jc w:val="both"/>
        <w:rPr>
          <w:rFonts w:asciiTheme="minorHAnsi" w:eastAsia="Calibri" w:hAnsiTheme="minorHAnsi" w:cstheme="minorHAnsi"/>
          <w:sz w:val="22"/>
          <w:szCs w:val="22"/>
        </w:rPr>
      </w:pPr>
    </w:p>
    <w:p w14:paraId="554D2926" w14:textId="208D97B7" w:rsidR="008A3780" w:rsidRDefault="00E63002" w:rsidP="008A3780">
      <w:pPr>
        <w:pStyle w:val="NormaleWeb"/>
        <w:shd w:val="clear" w:color="auto" w:fill="FFFFFF"/>
        <w:spacing w:before="0" w:beforeAutospacing="0" w:after="0" w:afterAutospacing="0"/>
        <w:jc w:val="both"/>
        <w:rPr>
          <w:rFonts w:asciiTheme="minorHAnsi" w:eastAsia="Calibri" w:hAnsiTheme="minorHAnsi" w:cstheme="minorHAnsi"/>
          <w:sz w:val="22"/>
          <w:szCs w:val="22"/>
        </w:rPr>
      </w:pPr>
      <w:r>
        <w:rPr>
          <w:rFonts w:asciiTheme="minorHAnsi" w:eastAsia="Calibri" w:hAnsiTheme="minorHAnsi" w:cstheme="minorHAnsi"/>
          <w:sz w:val="22"/>
          <w:szCs w:val="22"/>
        </w:rPr>
        <w:t>Secondo tali previsioni, infatti, le</w:t>
      </w:r>
      <w:r w:rsidRPr="007616CF">
        <w:rPr>
          <w:rFonts w:asciiTheme="minorHAnsi" w:eastAsia="Calibri" w:hAnsiTheme="minorHAnsi" w:cstheme="minorHAnsi"/>
          <w:sz w:val="22"/>
          <w:szCs w:val="22"/>
        </w:rPr>
        <w:t xml:space="preserve"> destinazioni costiere e</w:t>
      </w:r>
      <w:r>
        <w:rPr>
          <w:rFonts w:asciiTheme="minorHAnsi" w:eastAsia="Calibri" w:hAnsiTheme="minorHAnsi" w:cstheme="minorHAnsi"/>
          <w:sz w:val="22"/>
          <w:szCs w:val="22"/>
        </w:rPr>
        <w:t>d in</w:t>
      </w:r>
      <w:r w:rsidRPr="007616CF">
        <w:rPr>
          <w:rFonts w:asciiTheme="minorHAnsi" w:eastAsia="Calibri" w:hAnsiTheme="minorHAnsi" w:cstheme="minorHAnsi"/>
          <w:sz w:val="22"/>
          <w:szCs w:val="22"/>
        </w:rPr>
        <w:t xml:space="preserve"> particolare le città d’arte </w:t>
      </w:r>
      <w:r>
        <w:rPr>
          <w:rFonts w:asciiTheme="minorHAnsi" w:eastAsia="Calibri" w:hAnsiTheme="minorHAnsi" w:cstheme="minorHAnsi"/>
          <w:sz w:val="22"/>
          <w:szCs w:val="22"/>
        </w:rPr>
        <w:t xml:space="preserve">sembrano </w:t>
      </w:r>
      <w:r w:rsidRPr="007616CF">
        <w:rPr>
          <w:rFonts w:asciiTheme="minorHAnsi" w:eastAsia="Calibri" w:hAnsiTheme="minorHAnsi" w:cstheme="minorHAnsi"/>
          <w:sz w:val="22"/>
          <w:szCs w:val="22"/>
        </w:rPr>
        <w:t>risent</w:t>
      </w:r>
      <w:r>
        <w:rPr>
          <w:rFonts w:asciiTheme="minorHAnsi" w:eastAsia="Calibri" w:hAnsiTheme="minorHAnsi" w:cstheme="minorHAnsi"/>
          <w:sz w:val="22"/>
          <w:szCs w:val="22"/>
        </w:rPr>
        <w:t xml:space="preserve">ire </w:t>
      </w:r>
      <w:r w:rsidRPr="007616CF">
        <w:rPr>
          <w:rFonts w:asciiTheme="minorHAnsi" w:eastAsia="Calibri" w:hAnsiTheme="minorHAnsi" w:cstheme="minorHAnsi"/>
          <w:sz w:val="22"/>
          <w:szCs w:val="22"/>
        </w:rPr>
        <w:t xml:space="preserve">in maniera più </w:t>
      </w:r>
      <w:r>
        <w:rPr>
          <w:rFonts w:asciiTheme="minorHAnsi" w:eastAsia="Calibri" w:hAnsiTheme="minorHAnsi" w:cstheme="minorHAnsi"/>
          <w:sz w:val="22"/>
          <w:szCs w:val="22"/>
        </w:rPr>
        <w:t xml:space="preserve">sostenuta </w:t>
      </w:r>
      <w:r w:rsidR="001E5073">
        <w:rPr>
          <w:rFonts w:asciiTheme="minorHAnsi" w:eastAsia="Calibri" w:hAnsiTheme="minorHAnsi" w:cstheme="minorHAnsi"/>
          <w:sz w:val="22"/>
          <w:szCs w:val="22"/>
        </w:rPr>
        <w:t>del</w:t>
      </w:r>
      <w:r>
        <w:rPr>
          <w:rFonts w:asciiTheme="minorHAnsi" w:eastAsia="Calibri" w:hAnsiTheme="minorHAnsi" w:cstheme="minorHAnsi"/>
          <w:sz w:val="22"/>
          <w:szCs w:val="22"/>
        </w:rPr>
        <w:t>la batt</w:t>
      </w:r>
      <w:r w:rsidR="001E5073">
        <w:rPr>
          <w:rFonts w:asciiTheme="minorHAnsi" w:eastAsia="Calibri" w:hAnsiTheme="minorHAnsi" w:cstheme="minorHAnsi"/>
          <w:sz w:val="22"/>
          <w:szCs w:val="22"/>
        </w:rPr>
        <w:t>ut</w:t>
      </w:r>
      <w:r>
        <w:rPr>
          <w:rFonts w:asciiTheme="minorHAnsi" w:eastAsia="Calibri" w:hAnsiTheme="minorHAnsi" w:cstheme="minorHAnsi"/>
          <w:sz w:val="22"/>
          <w:szCs w:val="22"/>
        </w:rPr>
        <w:t>a d’arresto del turismo internazionale,</w:t>
      </w:r>
      <w:r w:rsidRPr="007616CF">
        <w:rPr>
          <w:rFonts w:asciiTheme="minorHAnsi" w:eastAsia="Calibri" w:hAnsiTheme="minorHAnsi" w:cstheme="minorHAnsi"/>
          <w:sz w:val="22"/>
          <w:szCs w:val="22"/>
        </w:rPr>
        <w:t xml:space="preserve"> essendo mete a maggiore incidenza dei visitatori internazionali</w:t>
      </w:r>
      <w:r>
        <w:rPr>
          <w:rFonts w:asciiTheme="minorHAnsi" w:eastAsia="Calibri" w:hAnsiTheme="minorHAnsi" w:cstheme="minorHAnsi"/>
          <w:sz w:val="22"/>
          <w:szCs w:val="22"/>
        </w:rPr>
        <w:t>,</w:t>
      </w:r>
      <w:r w:rsidRPr="00913D2F">
        <w:rPr>
          <w:rFonts w:asciiTheme="minorHAnsi" w:eastAsia="Calibri" w:hAnsiTheme="minorHAnsi" w:cstheme="minorHAnsi"/>
          <w:sz w:val="22"/>
          <w:szCs w:val="22"/>
        </w:rPr>
        <w:t xml:space="preserve"> con una flessione</w:t>
      </w:r>
      <w:r>
        <w:rPr>
          <w:rFonts w:asciiTheme="minorHAnsi" w:eastAsia="Calibri" w:hAnsiTheme="minorHAnsi" w:cstheme="minorHAnsi"/>
          <w:sz w:val="22"/>
          <w:szCs w:val="22"/>
        </w:rPr>
        <w:t xml:space="preserve"> tendenziale degli arrivi previsti nel 2020 </w:t>
      </w:r>
      <w:r w:rsidRPr="00913D2F">
        <w:rPr>
          <w:rFonts w:asciiTheme="minorHAnsi" w:eastAsia="Calibri" w:hAnsiTheme="minorHAnsi" w:cstheme="minorHAnsi"/>
          <w:sz w:val="22"/>
          <w:szCs w:val="22"/>
        </w:rPr>
        <w:t>rispettivamente del - 51%</w:t>
      </w:r>
      <w:r>
        <w:rPr>
          <w:rFonts w:asciiTheme="minorHAnsi" w:eastAsia="Calibri" w:hAnsiTheme="minorHAnsi" w:cstheme="minorHAnsi"/>
          <w:sz w:val="22"/>
          <w:szCs w:val="22"/>
        </w:rPr>
        <w:t xml:space="preserve"> e</w:t>
      </w:r>
      <w:r w:rsidRPr="00913D2F">
        <w:rPr>
          <w:rFonts w:asciiTheme="minorHAnsi" w:eastAsia="Calibri" w:hAnsiTheme="minorHAnsi" w:cstheme="minorHAnsi"/>
          <w:sz w:val="22"/>
          <w:szCs w:val="22"/>
        </w:rPr>
        <w:t xml:space="preserve"> -49%</w:t>
      </w:r>
      <w:r>
        <w:rPr>
          <w:rFonts w:asciiTheme="minorHAnsi" w:eastAsia="Calibri" w:hAnsiTheme="minorHAnsi" w:cstheme="minorHAnsi"/>
          <w:sz w:val="22"/>
          <w:szCs w:val="22"/>
        </w:rPr>
        <w:t>.</w:t>
      </w:r>
      <w:r w:rsidR="00B149FA">
        <w:rPr>
          <w:rFonts w:asciiTheme="minorHAnsi" w:eastAsia="Calibri" w:hAnsiTheme="minorHAnsi" w:cstheme="minorHAnsi"/>
          <w:sz w:val="22"/>
          <w:szCs w:val="22"/>
        </w:rPr>
        <w:t xml:space="preserve"> </w:t>
      </w:r>
      <w:r w:rsidR="008A3780">
        <w:rPr>
          <w:rFonts w:asciiTheme="minorHAnsi" w:eastAsia="Calibri" w:hAnsiTheme="minorHAnsi" w:cstheme="minorHAnsi"/>
          <w:sz w:val="22"/>
          <w:szCs w:val="22"/>
        </w:rPr>
        <w:t>Le</w:t>
      </w:r>
      <w:r w:rsidR="008A3780" w:rsidRPr="00913D2F">
        <w:rPr>
          <w:rFonts w:asciiTheme="minorHAnsi" w:eastAsia="Calibri" w:hAnsiTheme="minorHAnsi" w:cstheme="minorHAnsi"/>
          <w:sz w:val="22"/>
          <w:szCs w:val="22"/>
        </w:rPr>
        <w:t xml:space="preserve"> destinazioni montane </w:t>
      </w:r>
      <w:r w:rsidR="008A3780">
        <w:rPr>
          <w:rFonts w:asciiTheme="minorHAnsi" w:eastAsia="Calibri" w:hAnsiTheme="minorHAnsi" w:cstheme="minorHAnsi"/>
          <w:sz w:val="22"/>
          <w:szCs w:val="22"/>
        </w:rPr>
        <w:t>sembrano</w:t>
      </w:r>
      <w:r w:rsidR="008A3780" w:rsidRPr="00913D2F">
        <w:rPr>
          <w:rFonts w:asciiTheme="minorHAnsi" w:eastAsia="Calibri" w:hAnsiTheme="minorHAnsi" w:cstheme="minorHAnsi"/>
          <w:sz w:val="22"/>
          <w:szCs w:val="22"/>
        </w:rPr>
        <w:t xml:space="preserve"> </w:t>
      </w:r>
      <w:r w:rsidR="008A3780">
        <w:rPr>
          <w:rFonts w:asciiTheme="minorHAnsi" w:eastAsia="Calibri" w:hAnsiTheme="minorHAnsi" w:cstheme="minorHAnsi"/>
          <w:sz w:val="22"/>
          <w:szCs w:val="22"/>
        </w:rPr>
        <w:t xml:space="preserve">invece </w:t>
      </w:r>
      <w:r w:rsidR="008A3780" w:rsidRPr="00913D2F">
        <w:rPr>
          <w:rFonts w:asciiTheme="minorHAnsi" w:eastAsia="Calibri" w:hAnsiTheme="minorHAnsi" w:cstheme="minorHAnsi"/>
          <w:sz w:val="22"/>
          <w:szCs w:val="22"/>
        </w:rPr>
        <w:t xml:space="preserve">essere </w:t>
      </w:r>
      <w:r w:rsidR="008A3780">
        <w:rPr>
          <w:rFonts w:asciiTheme="minorHAnsi" w:eastAsia="Calibri" w:hAnsiTheme="minorHAnsi" w:cstheme="minorHAnsi"/>
          <w:sz w:val="22"/>
          <w:szCs w:val="22"/>
        </w:rPr>
        <w:t xml:space="preserve">più resilienti rispetto alle altre </w:t>
      </w:r>
      <w:r>
        <w:rPr>
          <w:rFonts w:asciiTheme="minorHAnsi" w:eastAsia="Calibri" w:hAnsiTheme="minorHAnsi" w:cstheme="minorHAnsi"/>
          <w:sz w:val="22"/>
          <w:szCs w:val="22"/>
        </w:rPr>
        <w:t>località</w:t>
      </w:r>
      <w:r w:rsidR="008A3780">
        <w:rPr>
          <w:rFonts w:asciiTheme="minorHAnsi" w:eastAsia="Calibri" w:hAnsiTheme="minorHAnsi" w:cstheme="minorHAnsi"/>
          <w:sz w:val="22"/>
          <w:szCs w:val="22"/>
        </w:rPr>
        <w:t>, pur subendo una flessione</w:t>
      </w:r>
      <w:r>
        <w:rPr>
          <w:rFonts w:asciiTheme="minorHAnsi" w:eastAsia="Calibri" w:hAnsiTheme="minorHAnsi" w:cstheme="minorHAnsi"/>
          <w:sz w:val="22"/>
          <w:szCs w:val="22"/>
        </w:rPr>
        <w:t xml:space="preserve"> tendenziale</w:t>
      </w:r>
      <w:r w:rsidR="008A3780">
        <w:rPr>
          <w:rFonts w:asciiTheme="minorHAnsi" w:eastAsia="Calibri" w:hAnsiTheme="minorHAnsi" w:cstheme="minorHAnsi"/>
          <w:sz w:val="22"/>
          <w:szCs w:val="22"/>
        </w:rPr>
        <w:t xml:space="preserve"> degli arrivi del </w:t>
      </w:r>
      <w:r w:rsidR="008A3780" w:rsidRPr="00913D2F">
        <w:rPr>
          <w:rFonts w:asciiTheme="minorHAnsi" w:eastAsia="Calibri" w:hAnsiTheme="minorHAnsi" w:cstheme="minorHAnsi"/>
          <w:sz w:val="22"/>
          <w:szCs w:val="22"/>
        </w:rPr>
        <w:t>39%</w:t>
      </w:r>
      <w:r w:rsidR="008A3780">
        <w:rPr>
          <w:rFonts w:asciiTheme="minorHAnsi" w:eastAsia="Calibri" w:hAnsiTheme="minorHAnsi" w:cstheme="minorHAnsi"/>
          <w:sz w:val="22"/>
          <w:szCs w:val="22"/>
        </w:rPr>
        <w:t xml:space="preserve"> nel 202</w:t>
      </w:r>
      <w:r>
        <w:rPr>
          <w:rFonts w:asciiTheme="minorHAnsi" w:eastAsia="Calibri" w:hAnsiTheme="minorHAnsi" w:cstheme="minorHAnsi"/>
          <w:sz w:val="22"/>
          <w:szCs w:val="22"/>
        </w:rPr>
        <w:t>0. Ciò dipende dalla maggiore presenza d</w:t>
      </w:r>
      <w:r w:rsidR="001E5073">
        <w:rPr>
          <w:rFonts w:asciiTheme="minorHAnsi" w:eastAsia="Calibri" w:hAnsiTheme="minorHAnsi" w:cstheme="minorHAnsi"/>
          <w:sz w:val="22"/>
          <w:szCs w:val="22"/>
        </w:rPr>
        <w:t>i</w:t>
      </w:r>
      <w:r>
        <w:rPr>
          <w:rFonts w:asciiTheme="minorHAnsi" w:eastAsia="Calibri" w:hAnsiTheme="minorHAnsi" w:cstheme="minorHAnsi"/>
          <w:sz w:val="22"/>
          <w:szCs w:val="22"/>
        </w:rPr>
        <w:t xml:space="preserve"> domanda </w:t>
      </w:r>
      <w:r w:rsidR="001E5073">
        <w:rPr>
          <w:rFonts w:asciiTheme="minorHAnsi" w:eastAsia="Calibri" w:hAnsiTheme="minorHAnsi" w:cstheme="minorHAnsi"/>
          <w:sz w:val="22"/>
          <w:szCs w:val="22"/>
        </w:rPr>
        <w:t>interna</w:t>
      </w:r>
      <w:r>
        <w:rPr>
          <w:rFonts w:asciiTheme="minorHAnsi" w:eastAsia="Calibri" w:hAnsiTheme="minorHAnsi" w:cstheme="minorHAnsi"/>
          <w:sz w:val="22"/>
          <w:szCs w:val="22"/>
        </w:rPr>
        <w:t xml:space="preserve">, </w:t>
      </w:r>
      <w:r w:rsidR="008A3780" w:rsidRPr="007616CF">
        <w:rPr>
          <w:rFonts w:asciiTheme="minorHAnsi" w:eastAsia="Calibri" w:hAnsiTheme="minorHAnsi" w:cstheme="minorHAnsi"/>
          <w:sz w:val="22"/>
          <w:szCs w:val="22"/>
        </w:rPr>
        <w:t>confermandosi la destinazione</w:t>
      </w:r>
      <w:r w:rsidR="008A3780">
        <w:rPr>
          <w:rFonts w:asciiTheme="minorHAnsi" w:eastAsia="Calibri" w:hAnsiTheme="minorHAnsi" w:cstheme="minorHAnsi"/>
          <w:sz w:val="22"/>
          <w:szCs w:val="22"/>
        </w:rPr>
        <w:t xml:space="preserve"> più attrattiva</w:t>
      </w:r>
      <w:r w:rsidR="008A3780" w:rsidRPr="007616CF">
        <w:rPr>
          <w:rFonts w:asciiTheme="minorHAnsi" w:eastAsia="Calibri" w:hAnsiTheme="minorHAnsi" w:cstheme="minorHAnsi"/>
          <w:sz w:val="22"/>
          <w:szCs w:val="22"/>
        </w:rPr>
        <w:t xml:space="preserve"> </w:t>
      </w:r>
      <w:r>
        <w:rPr>
          <w:rFonts w:asciiTheme="minorHAnsi" w:eastAsia="Calibri" w:hAnsiTheme="minorHAnsi" w:cstheme="minorHAnsi"/>
          <w:sz w:val="22"/>
          <w:szCs w:val="22"/>
        </w:rPr>
        <w:t>in</w:t>
      </w:r>
      <w:r w:rsidR="008A3780">
        <w:rPr>
          <w:rFonts w:asciiTheme="minorHAnsi" w:eastAsia="Calibri" w:hAnsiTheme="minorHAnsi" w:cstheme="minorHAnsi"/>
          <w:sz w:val="22"/>
          <w:szCs w:val="22"/>
        </w:rPr>
        <w:t xml:space="preserve"> fase pandemica (fig. 5)</w:t>
      </w:r>
      <w:r w:rsidR="008A3780" w:rsidRPr="00913D2F">
        <w:rPr>
          <w:rFonts w:asciiTheme="minorHAnsi" w:eastAsia="Calibri" w:hAnsiTheme="minorHAnsi" w:cstheme="minorHAnsi"/>
          <w:sz w:val="22"/>
          <w:szCs w:val="22"/>
        </w:rPr>
        <w:t xml:space="preserve">.  </w:t>
      </w:r>
    </w:p>
    <w:p w14:paraId="6ECFDAAC" w14:textId="77777777" w:rsidR="004B71AA" w:rsidRDefault="004B71AA" w:rsidP="00AB2412">
      <w:pPr>
        <w:pStyle w:val="NormaleWeb"/>
        <w:shd w:val="clear" w:color="auto" w:fill="FFFFFF"/>
        <w:spacing w:before="0" w:beforeAutospacing="0" w:after="0" w:afterAutospacing="0"/>
        <w:jc w:val="both"/>
        <w:rPr>
          <w:rFonts w:asciiTheme="minorHAnsi" w:eastAsia="Calibri" w:hAnsiTheme="minorHAnsi" w:cstheme="minorHAnsi"/>
          <w:sz w:val="22"/>
          <w:szCs w:val="22"/>
        </w:rPr>
      </w:pPr>
    </w:p>
    <w:p w14:paraId="7C326D26" w14:textId="77777777" w:rsidR="00913D2F" w:rsidRPr="00913D2F" w:rsidRDefault="00913D2F" w:rsidP="00024778">
      <w:pPr>
        <w:pStyle w:val="NormaleWeb"/>
        <w:shd w:val="clear" w:color="auto" w:fill="FFFFFF"/>
        <w:spacing w:before="0" w:beforeAutospacing="0" w:after="0" w:afterAutospacing="0"/>
        <w:jc w:val="center"/>
        <w:rPr>
          <w:rFonts w:asciiTheme="minorHAnsi" w:eastAsia="Calibri" w:hAnsiTheme="minorHAnsi" w:cstheme="minorHAnsi"/>
          <w:sz w:val="22"/>
          <w:szCs w:val="22"/>
        </w:rPr>
      </w:pPr>
    </w:p>
    <w:p w14:paraId="24DBABBC" w14:textId="0311EA13" w:rsidR="00802B33" w:rsidRPr="00426E30" w:rsidRDefault="00FF4622" w:rsidP="00024778">
      <w:pPr>
        <w:pStyle w:val="NormaleWeb"/>
        <w:shd w:val="clear" w:color="auto" w:fill="FFFFFF"/>
        <w:spacing w:before="0" w:beforeAutospacing="0" w:after="0" w:afterAutospacing="0"/>
        <w:jc w:val="center"/>
        <w:rPr>
          <w:rFonts w:ascii="Calibri" w:hAnsi="Calibri" w:cs="Arial"/>
          <w:b/>
          <w:bCs/>
          <w:sz w:val="20"/>
          <w:szCs w:val="20"/>
        </w:rPr>
      </w:pPr>
      <w:r>
        <w:rPr>
          <w:rFonts w:ascii="Calibri" w:hAnsi="Calibri" w:cs="Arial"/>
          <w:b/>
          <w:bCs/>
          <w:sz w:val="20"/>
          <w:szCs w:val="20"/>
        </w:rPr>
        <w:t>Figura 5 - Previsione degli arrivi turistici per destinazione (scenario base), 2020 e 2021</w:t>
      </w:r>
    </w:p>
    <w:p w14:paraId="1A0E48FD" w14:textId="03334CD3" w:rsidR="00904EA0" w:rsidRPr="00426E30" w:rsidRDefault="00904EA0" w:rsidP="00024778">
      <w:pPr>
        <w:pStyle w:val="NormaleWeb"/>
        <w:shd w:val="clear" w:color="auto" w:fill="FFFFFF"/>
        <w:spacing w:before="0" w:beforeAutospacing="0" w:after="0" w:afterAutospacing="0"/>
        <w:jc w:val="center"/>
        <w:rPr>
          <w:rFonts w:ascii="Calibri" w:hAnsi="Calibri" w:cs="Arial"/>
          <w:sz w:val="20"/>
          <w:szCs w:val="20"/>
        </w:rPr>
      </w:pPr>
      <w:r w:rsidRPr="00426E30">
        <w:rPr>
          <w:rFonts w:ascii="Calibri" w:hAnsi="Calibri" w:cs="Arial"/>
          <w:sz w:val="20"/>
          <w:szCs w:val="20"/>
        </w:rPr>
        <w:t xml:space="preserve">Variazione arrivi 2020 sul 2019 </w:t>
      </w:r>
      <w:r w:rsidR="00426E30">
        <w:rPr>
          <w:rFonts w:ascii="Calibri" w:hAnsi="Calibri" w:cs="Arial"/>
          <w:sz w:val="20"/>
          <w:szCs w:val="20"/>
        </w:rPr>
        <w:t>(</w:t>
      </w:r>
      <w:r w:rsidRPr="00426E30">
        <w:rPr>
          <w:rFonts w:ascii="Calibri" w:hAnsi="Calibri" w:cs="Arial"/>
          <w:sz w:val="20"/>
          <w:szCs w:val="20"/>
        </w:rPr>
        <w:t>%</w:t>
      </w:r>
      <w:r w:rsidR="00426E30">
        <w:rPr>
          <w:rFonts w:ascii="Calibri" w:hAnsi="Calibri" w:cs="Arial"/>
          <w:sz w:val="20"/>
          <w:szCs w:val="20"/>
        </w:rPr>
        <w:t>)</w:t>
      </w:r>
    </w:p>
    <w:p w14:paraId="41E62947" w14:textId="3FEF5517" w:rsidR="00802B33" w:rsidRDefault="00904EA0" w:rsidP="00024778">
      <w:pPr>
        <w:pStyle w:val="NormaleWeb"/>
        <w:shd w:val="clear" w:color="auto" w:fill="FFFFFF"/>
        <w:spacing w:before="0" w:beforeAutospacing="0" w:after="0" w:afterAutospacing="0"/>
        <w:jc w:val="center"/>
        <w:rPr>
          <w:sz w:val="23"/>
          <w:szCs w:val="23"/>
        </w:rPr>
      </w:pPr>
      <w:r>
        <w:rPr>
          <w:noProof/>
        </w:rPr>
        <w:drawing>
          <wp:inline distT="0" distB="0" distL="0" distR="0" wp14:anchorId="5BA03B0E" wp14:editId="176DEE00">
            <wp:extent cx="5033175" cy="2202511"/>
            <wp:effectExtent l="0" t="0" r="15240" b="7620"/>
            <wp:docPr id="4" name="Grafico 4">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1953319-3D58-4D5E-ADC7-703950DD0A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D9330EB" w14:textId="141ECAB7" w:rsidR="00802B33" w:rsidRPr="00426E30" w:rsidRDefault="00A5537B" w:rsidP="00024778">
      <w:pPr>
        <w:pStyle w:val="NormaleWeb"/>
        <w:shd w:val="clear" w:color="auto" w:fill="FFFFFF"/>
        <w:spacing w:before="0" w:beforeAutospacing="0" w:after="0" w:afterAutospacing="0"/>
        <w:jc w:val="center"/>
        <w:rPr>
          <w:rFonts w:asciiTheme="minorHAnsi" w:eastAsia="Calibri" w:hAnsiTheme="minorHAnsi" w:cstheme="minorHAnsi"/>
          <w:i/>
          <w:iCs/>
          <w:sz w:val="18"/>
          <w:szCs w:val="18"/>
        </w:rPr>
      </w:pPr>
      <w:r w:rsidRPr="00426E30">
        <w:rPr>
          <w:rFonts w:asciiTheme="minorHAnsi" w:eastAsia="Calibri" w:hAnsiTheme="minorHAnsi" w:cstheme="minorHAnsi"/>
          <w:i/>
          <w:iCs/>
          <w:sz w:val="18"/>
          <w:szCs w:val="18"/>
        </w:rPr>
        <w:t xml:space="preserve">Fonte: </w:t>
      </w:r>
      <w:r w:rsidRPr="00426E30">
        <w:rPr>
          <w:rFonts w:asciiTheme="minorHAnsi" w:hAnsiTheme="minorHAnsi" w:cstheme="minorHAnsi"/>
          <w:i/>
          <w:iCs/>
          <w:sz w:val="18"/>
          <w:szCs w:val="18"/>
        </w:rPr>
        <w:t>Osservatorio Nazionale del Turismo</w:t>
      </w:r>
    </w:p>
    <w:p w14:paraId="26690413" w14:textId="77777777" w:rsidR="00802B33" w:rsidRDefault="00802B33" w:rsidP="00024778">
      <w:pPr>
        <w:pStyle w:val="NormaleWeb"/>
        <w:shd w:val="clear" w:color="auto" w:fill="FFFFFF"/>
        <w:spacing w:before="0" w:beforeAutospacing="0" w:after="0" w:afterAutospacing="0"/>
        <w:jc w:val="center"/>
        <w:rPr>
          <w:rFonts w:asciiTheme="minorHAnsi" w:eastAsia="Calibri" w:hAnsiTheme="minorHAnsi" w:cstheme="minorHAnsi"/>
          <w:sz w:val="22"/>
          <w:szCs w:val="22"/>
        </w:rPr>
      </w:pPr>
    </w:p>
    <w:p w14:paraId="313E2A89" w14:textId="33E36F2C" w:rsidR="004D15D8" w:rsidRDefault="00E63002" w:rsidP="00775E1B">
      <w:pPr>
        <w:pStyle w:val="NormaleWeb"/>
        <w:shd w:val="clear" w:color="auto" w:fill="FFFFFF"/>
        <w:spacing w:before="0" w:beforeAutospacing="0" w:after="0" w:afterAutospacing="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Di conseguenza </w:t>
      </w:r>
      <w:r w:rsidR="001C2A4F">
        <w:rPr>
          <w:rFonts w:asciiTheme="minorHAnsi" w:eastAsia="Calibri" w:hAnsiTheme="minorHAnsi" w:cstheme="minorHAnsi"/>
          <w:sz w:val="22"/>
          <w:szCs w:val="22"/>
        </w:rPr>
        <w:t>tendono a modificarsi</w:t>
      </w:r>
      <w:r w:rsidR="008F185F">
        <w:rPr>
          <w:rFonts w:asciiTheme="minorHAnsi" w:eastAsia="Calibri" w:hAnsiTheme="minorHAnsi" w:cstheme="minorHAnsi"/>
          <w:sz w:val="22"/>
          <w:szCs w:val="22"/>
        </w:rPr>
        <w:t xml:space="preserve"> </w:t>
      </w:r>
      <w:r>
        <w:rPr>
          <w:rFonts w:asciiTheme="minorHAnsi" w:eastAsia="Calibri" w:hAnsiTheme="minorHAnsi" w:cstheme="minorHAnsi"/>
          <w:sz w:val="22"/>
          <w:szCs w:val="22"/>
        </w:rPr>
        <w:t>l</w:t>
      </w:r>
      <w:r w:rsidR="00426E30">
        <w:rPr>
          <w:rFonts w:asciiTheme="minorHAnsi" w:eastAsia="Calibri" w:hAnsiTheme="minorHAnsi" w:cstheme="minorHAnsi"/>
          <w:sz w:val="22"/>
          <w:szCs w:val="22"/>
        </w:rPr>
        <w:t>e scelte degli italiani rispetto alla tipologia di casa vacanza e alla destinazione</w:t>
      </w:r>
      <w:r w:rsidR="00F369DB">
        <w:rPr>
          <w:rFonts w:asciiTheme="minorHAnsi" w:eastAsia="Calibri" w:hAnsiTheme="minorHAnsi" w:cstheme="minorHAnsi"/>
          <w:sz w:val="22"/>
          <w:szCs w:val="22"/>
        </w:rPr>
        <w:t xml:space="preserve"> preferita.</w:t>
      </w:r>
      <w:r w:rsidR="00426E30">
        <w:rPr>
          <w:rFonts w:asciiTheme="minorHAnsi" w:eastAsia="Calibri" w:hAnsiTheme="minorHAnsi" w:cstheme="minorHAnsi"/>
          <w:sz w:val="22"/>
          <w:szCs w:val="22"/>
        </w:rPr>
        <w:t xml:space="preserve"> </w:t>
      </w:r>
    </w:p>
    <w:p w14:paraId="44FA7D54" w14:textId="1580BBD6" w:rsidR="00426E30" w:rsidRDefault="00426E30" w:rsidP="00775E1B">
      <w:pPr>
        <w:pStyle w:val="NormaleWeb"/>
        <w:shd w:val="clear" w:color="auto" w:fill="FFFFFF"/>
        <w:spacing w:before="0" w:beforeAutospacing="0" w:after="0" w:afterAutospacing="0"/>
        <w:jc w:val="both"/>
        <w:rPr>
          <w:rFonts w:asciiTheme="minorHAnsi" w:eastAsia="Calibri" w:hAnsiTheme="minorHAnsi" w:cstheme="minorHAnsi"/>
          <w:sz w:val="22"/>
          <w:szCs w:val="22"/>
        </w:rPr>
      </w:pPr>
    </w:p>
    <w:p w14:paraId="159C36C7" w14:textId="300B5135" w:rsidR="00D92793" w:rsidRPr="00C51BCB" w:rsidRDefault="00F369DB" w:rsidP="00775E1B">
      <w:pPr>
        <w:pStyle w:val="NormaleWeb"/>
        <w:shd w:val="clear" w:color="auto" w:fill="FFFFFF"/>
        <w:spacing w:before="0" w:beforeAutospacing="0" w:after="0" w:afterAutospacing="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Nel </w:t>
      </w:r>
      <w:r w:rsidRPr="00C51BCB">
        <w:rPr>
          <w:rFonts w:asciiTheme="minorHAnsi" w:eastAsia="Calibri" w:hAnsiTheme="minorHAnsi" w:cstheme="minorHAnsi"/>
          <w:sz w:val="22"/>
          <w:szCs w:val="22"/>
        </w:rPr>
        <w:t>dettaglio</w:t>
      </w:r>
      <w:r w:rsidR="008323CE" w:rsidRPr="00C51BCB">
        <w:rPr>
          <w:rFonts w:asciiTheme="minorHAnsi" w:eastAsia="Calibri" w:hAnsiTheme="minorHAnsi" w:cstheme="minorHAnsi"/>
          <w:sz w:val="22"/>
          <w:szCs w:val="22"/>
        </w:rPr>
        <w:t>,</w:t>
      </w:r>
      <w:r w:rsidRPr="00C51BCB">
        <w:rPr>
          <w:rFonts w:asciiTheme="minorHAnsi" w:eastAsia="Calibri" w:hAnsiTheme="minorHAnsi" w:cstheme="minorHAnsi"/>
          <w:sz w:val="22"/>
          <w:szCs w:val="22"/>
        </w:rPr>
        <w:t xml:space="preserve"> per quanto r</w:t>
      </w:r>
      <w:r w:rsidR="008323CE" w:rsidRPr="00C51BCB">
        <w:rPr>
          <w:rFonts w:asciiTheme="minorHAnsi" w:eastAsia="Calibri" w:hAnsiTheme="minorHAnsi" w:cstheme="minorHAnsi"/>
          <w:sz w:val="22"/>
          <w:szCs w:val="22"/>
        </w:rPr>
        <w:t>i</w:t>
      </w:r>
      <w:r w:rsidRPr="00C51BCB">
        <w:rPr>
          <w:rFonts w:asciiTheme="minorHAnsi" w:eastAsia="Calibri" w:hAnsiTheme="minorHAnsi" w:cstheme="minorHAnsi"/>
          <w:sz w:val="22"/>
          <w:szCs w:val="22"/>
        </w:rPr>
        <w:t>guarda le compravendite, i dati dell’Agenzia dell</w:t>
      </w:r>
      <w:r w:rsidR="008323CE" w:rsidRPr="00C51BCB">
        <w:rPr>
          <w:rFonts w:asciiTheme="minorHAnsi" w:eastAsia="Calibri" w:hAnsiTheme="minorHAnsi" w:cstheme="minorHAnsi"/>
          <w:sz w:val="22"/>
          <w:szCs w:val="22"/>
        </w:rPr>
        <w:t>’E</w:t>
      </w:r>
      <w:r w:rsidRPr="00C51BCB">
        <w:rPr>
          <w:rFonts w:asciiTheme="minorHAnsi" w:eastAsia="Calibri" w:hAnsiTheme="minorHAnsi" w:cstheme="minorHAnsi"/>
          <w:sz w:val="22"/>
          <w:szCs w:val="22"/>
        </w:rPr>
        <w:t xml:space="preserve">ntrate riferiti al 2019 </w:t>
      </w:r>
      <w:r w:rsidR="00334A91" w:rsidRPr="00C51BCB">
        <w:rPr>
          <w:rFonts w:asciiTheme="minorHAnsi" w:eastAsia="Calibri" w:hAnsiTheme="minorHAnsi" w:cstheme="minorHAnsi"/>
          <w:sz w:val="22"/>
          <w:szCs w:val="22"/>
        </w:rPr>
        <w:t>rilevano</w:t>
      </w:r>
      <w:r w:rsidR="00C51BCB" w:rsidRPr="00C51BCB">
        <w:rPr>
          <w:rFonts w:asciiTheme="minorHAnsi" w:eastAsia="Calibri" w:hAnsiTheme="minorHAnsi" w:cstheme="minorHAnsi"/>
          <w:sz w:val="22"/>
          <w:szCs w:val="22"/>
        </w:rPr>
        <w:t xml:space="preserve"> la preferenza verso le case vacanze situate nelle località montane rispetto a quelle marine e lacuali. </w:t>
      </w:r>
    </w:p>
    <w:p w14:paraId="08D995B8" w14:textId="45F84130" w:rsidR="008323CE" w:rsidRPr="00C51BCB" w:rsidRDefault="008323CE" w:rsidP="00775E1B">
      <w:pPr>
        <w:pStyle w:val="NormaleWeb"/>
        <w:shd w:val="clear" w:color="auto" w:fill="FFFFFF"/>
        <w:spacing w:before="0" w:beforeAutospacing="0" w:after="0" w:afterAutospacing="0"/>
        <w:jc w:val="both"/>
        <w:rPr>
          <w:rFonts w:asciiTheme="minorHAnsi" w:eastAsia="Calibri" w:hAnsiTheme="minorHAnsi" w:cstheme="minorHAnsi"/>
          <w:sz w:val="22"/>
          <w:szCs w:val="22"/>
        </w:rPr>
      </w:pPr>
    </w:p>
    <w:p w14:paraId="5FE9B6D0" w14:textId="26ABE6EB" w:rsidR="008323CE" w:rsidRPr="00C51BCB" w:rsidRDefault="008323CE" w:rsidP="00775E1B">
      <w:pPr>
        <w:pStyle w:val="NormaleWeb"/>
        <w:shd w:val="clear" w:color="auto" w:fill="FFFFFF"/>
        <w:spacing w:before="0" w:beforeAutospacing="0" w:after="0" w:afterAutospacing="0"/>
        <w:jc w:val="both"/>
        <w:rPr>
          <w:rFonts w:asciiTheme="minorHAnsi" w:eastAsia="Calibri" w:hAnsiTheme="minorHAnsi" w:cstheme="minorHAnsi"/>
          <w:sz w:val="22"/>
          <w:szCs w:val="22"/>
        </w:rPr>
      </w:pPr>
      <w:r w:rsidRPr="00C51BCB">
        <w:rPr>
          <w:rFonts w:asciiTheme="minorHAnsi" w:eastAsia="Calibri" w:hAnsiTheme="minorHAnsi" w:cstheme="minorHAnsi"/>
          <w:sz w:val="22"/>
          <w:szCs w:val="22"/>
        </w:rPr>
        <w:t>Nel 2019 le transazioni di abitazioni nelle località montane sono</w:t>
      </w:r>
      <w:r w:rsidR="00E63002" w:rsidRPr="00C51BCB">
        <w:rPr>
          <w:rFonts w:asciiTheme="minorHAnsi" w:eastAsia="Calibri" w:hAnsiTheme="minorHAnsi" w:cstheme="minorHAnsi"/>
          <w:sz w:val="22"/>
          <w:szCs w:val="22"/>
        </w:rPr>
        <w:t>,</w:t>
      </w:r>
      <w:r w:rsidRPr="00C51BCB">
        <w:rPr>
          <w:rFonts w:asciiTheme="minorHAnsi" w:eastAsia="Calibri" w:hAnsiTheme="minorHAnsi" w:cstheme="minorHAnsi"/>
          <w:sz w:val="22"/>
          <w:szCs w:val="22"/>
        </w:rPr>
        <w:t xml:space="preserve"> infatti</w:t>
      </w:r>
      <w:r w:rsidR="00E63002" w:rsidRPr="00C51BCB">
        <w:rPr>
          <w:rFonts w:asciiTheme="minorHAnsi" w:eastAsia="Calibri" w:hAnsiTheme="minorHAnsi" w:cstheme="minorHAnsi"/>
          <w:sz w:val="22"/>
          <w:szCs w:val="22"/>
        </w:rPr>
        <w:t>,</w:t>
      </w:r>
      <w:r w:rsidRPr="00C51BCB">
        <w:rPr>
          <w:rFonts w:asciiTheme="minorHAnsi" w:eastAsia="Calibri" w:hAnsiTheme="minorHAnsi" w:cstheme="minorHAnsi"/>
          <w:sz w:val="22"/>
          <w:szCs w:val="22"/>
        </w:rPr>
        <w:t xml:space="preserve"> aumentate dell’11,8% su base annua</w:t>
      </w:r>
      <w:r w:rsidR="00DB7FEA" w:rsidRPr="00C51BCB">
        <w:rPr>
          <w:rFonts w:asciiTheme="minorHAnsi" w:eastAsia="Calibri" w:hAnsiTheme="minorHAnsi" w:cstheme="minorHAnsi"/>
          <w:sz w:val="22"/>
          <w:szCs w:val="22"/>
        </w:rPr>
        <w:t xml:space="preserve">, </w:t>
      </w:r>
      <w:r w:rsidRPr="00C51BCB">
        <w:rPr>
          <w:rFonts w:asciiTheme="minorHAnsi" w:eastAsia="Calibri" w:hAnsiTheme="minorHAnsi" w:cstheme="minorHAnsi"/>
          <w:sz w:val="22"/>
          <w:szCs w:val="22"/>
        </w:rPr>
        <w:t>a fronte di un aumento molto più contenuto nei laghi 2% (su base annua) e nelle località maritti</w:t>
      </w:r>
      <w:r w:rsidR="00E82CEE" w:rsidRPr="00C51BCB">
        <w:rPr>
          <w:rFonts w:asciiTheme="minorHAnsi" w:eastAsia="Calibri" w:hAnsiTheme="minorHAnsi" w:cstheme="minorHAnsi"/>
          <w:sz w:val="22"/>
          <w:szCs w:val="22"/>
        </w:rPr>
        <w:t>m</w:t>
      </w:r>
      <w:r w:rsidRPr="00C51BCB">
        <w:rPr>
          <w:rFonts w:asciiTheme="minorHAnsi" w:eastAsia="Calibri" w:hAnsiTheme="minorHAnsi" w:cstheme="minorHAnsi"/>
          <w:sz w:val="22"/>
          <w:szCs w:val="22"/>
        </w:rPr>
        <w:t xml:space="preserve">e (+3% su base annua). </w:t>
      </w:r>
    </w:p>
    <w:p w14:paraId="5D160B1A" w14:textId="77777777" w:rsidR="00DB7FEA" w:rsidRPr="00C51BCB" w:rsidRDefault="00DB7FEA" w:rsidP="00775E1B">
      <w:pPr>
        <w:pStyle w:val="NormaleWeb"/>
        <w:shd w:val="clear" w:color="auto" w:fill="FFFFFF"/>
        <w:spacing w:before="0" w:beforeAutospacing="0" w:after="0" w:afterAutospacing="0"/>
        <w:jc w:val="both"/>
        <w:rPr>
          <w:rFonts w:asciiTheme="minorHAnsi" w:eastAsia="Calibri" w:hAnsiTheme="minorHAnsi" w:cstheme="minorHAnsi"/>
          <w:sz w:val="22"/>
          <w:szCs w:val="22"/>
        </w:rPr>
      </w:pPr>
    </w:p>
    <w:p w14:paraId="26797099" w14:textId="749E4AE7" w:rsidR="00C51BCB" w:rsidRPr="00C51BCB" w:rsidRDefault="008323CE" w:rsidP="00775E1B">
      <w:pPr>
        <w:pStyle w:val="NormaleWeb"/>
        <w:shd w:val="clear" w:color="auto" w:fill="FFFFFF"/>
        <w:spacing w:before="0" w:beforeAutospacing="0" w:after="0" w:afterAutospacing="0"/>
        <w:jc w:val="both"/>
        <w:rPr>
          <w:rFonts w:asciiTheme="minorHAnsi" w:eastAsia="Calibri" w:hAnsiTheme="minorHAnsi" w:cstheme="minorHAnsi"/>
          <w:sz w:val="22"/>
          <w:szCs w:val="22"/>
        </w:rPr>
      </w:pPr>
      <w:r w:rsidRPr="00C51BCB">
        <w:rPr>
          <w:rFonts w:asciiTheme="minorHAnsi" w:eastAsia="Calibri" w:hAnsiTheme="minorHAnsi" w:cstheme="minorHAnsi"/>
          <w:sz w:val="22"/>
          <w:szCs w:val="22"/>
        </w:rPr>
        <w:t>Rispetto al 2018,</w:t>
      </w:r>
      <w:r w:rsidR="00C51BCB" w:rsidRPr="00C51BCB">
        <w:rPr>
          <w:rFonts w:asciiTheme="minorHAnsi" w:eastAsia="Calibri" w:hAnsiTheme="minorHAnsi" w:cstheme="minorHAnsi"/>
          <w:sz w:val="22"/>
          <w:szCs w:val="22"/>
        </w:rPr>
        <w:t xml:space="preserve"> le compravendite sono cresciute, seppur con una intensità minore rispetto agli anni </w:t>
      </w:r>
      <w:r w:rsidR="00C51BCB">
        <w:rPr>
          <w:rFonts w:asciiTheme="minorHAnsi" w:eastAsia="Calibri" w:hAnsiTheme="minorHAnsi" w:cstheme="minorHAnsi"/>
          <w:sz w:val="22"/>
          <w:szCs w:val="22"/>
        </w:rPr>
        <w:t xml:space="preserve">precedenti </w:t>
      </w:r>
      <w:r w:rsidR="00C51BCB" w:rsidRPr="00C51BCB">
        <w:rPr>
          <w:rFonts w:asciiTheme="minorHAnsi" w:eastAsia="Calibri" w:hAnsiTheme="minorHAnsi" w:cstheme="minorHAnsi"/>
          <w:sz w:val="22"/>
          <w:szCs w:val="22"/>
        </w:rPr>
        <w:t>(4,2% rispetto al 2018) analogamente al trend nazionale.</w:t>
      </w:r>
    </w:p>
    <w:p w14:paraId="5F103F45" w14:textId="0D581568" w:rsidR="00864A1E" w:rsidRDefault="00864A1E" w:rsidP="00775E1B">
      <w:pPr>
        <w:pStyle w:val="NormaleWeb"/>
        <w:shd w:val="clear" w:color="auto" w:fill="FFFFFF"/>
        <w:spacing w:before="0" w:beforeAutospacing="0" w:after="0" w:afterAutospacing="0"/>
        <w:jc w:val="both"/>
        <w:rPr>
          <w:rFonts w:asciiTheme="minorHAnsi" w:eastAsia="Calibri" w:hAnsiTheme="minorHAnsi" w:cstheme="minorHAnsi"/>
          <w:sz w:val="22"/>
          <w:szCs w:val="22"/>
        </w:rPr>
      </w:pPr>
    </w:p>
    <w:p w14:paraId="0739FA5F" w14:textId="22BFAC78" w:rsidR="00864A1E" w:rsidRDefault="00864A1E" w:rsidP="00775E1B">
      <w:pPr>
        <w:pStyle w:val="NormaleWeb"/>
        <w:shd w:val="clear" w:color="auto" w:fill="FFFFFF"/>
        <w:spacing w:before="0" w:beforeAutospacing="0" w:after="0" w:afterAutospacing="0"/>
        <w:jc w:val="both"/>
        <w:rPr>
          <w:rFonts w:asciiTheme="minorHAnsi" w:eastAsia="Calibri" w:hAnsiTheme="minorHAnsi" w:cstheme="minorHAnsi"/>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8"/>
        <w:gridCol w:w="1312"/>
        <w:gridCol w:w="1313"/>
        <w:gridCol w:w="1312"/>
        <w:gridCol w:w="1313"/>
        <w:gridCol w:w="1313"/>
        <w:gridCol w:w="1313"/>
      </w:tblGrid>
      <w:tr w:rsidR="008F4BA4" w:rsidRPr="0041716C" w14:paraId="35817C08" w14:textId="77777777" w:rsidTr="00D479D2">
        <w:trPr>
          <w:trHeight w:val="340"/>
        </w:trPr>
        <w:tc>
          <w:tcPr>
            <w:tcW w:w="1978" w:type="dxa"/>
            <w:vAlign w:val="center"/>
          </w:tcPr>
          <w:p w14:paraId="6D5FB65D" w14:textId="724BC730" w:rsidR="008F4BA4" w:rsidRPr="0041716C" w:rsidRDefault="004F2860" w:rsidP="008928E3">
            <w:pPr>
              <w:rPr>
                <w:rFonts w:asciiTheme="minorHAnsi" w:eastAsia="Calibri" w:hAnsiTheme="minorHAnsi" w:cstheme="minorHAnsi"/>
                <w:b w:val="0"/>
                <w:sz w:val="20"/>
              </w:rPr>
            </w:pPr>
            <w:r w:rsidRPr="0041716C">
              <w:rPr>
                <w:rFonts w:asciiTheme="minorHAnsi" w:eastAsia="Calibri" w:hAnsiTheme="minorHAnsi" w:cstheme="minorHAnsi"/>
                <w:b w:val="0"/>
                <w:caps w:val="0"/>
                <w:sz w:val="20"/>
              </w:rPr>
              <w:t xml:space="preserve">Tavola </w:t>
            </w:r>
            <w:r w:rsidR="009D6D8D">
              <w:rPr>
                <w:rFonts w:asciiTheme="minorHAnsi" w:eastAsia="Calibri" w:hAnsiTheme="minorHAnsi" w:cstheme="minorHAnsi"/>
                <w:b w:val="0"/>
                <w:sz w:val="20"/>
              </w:rPr>
              <w:t>1</w:t>
            </w:r>
          </w:p>
        </w:tc>
        <w:tc>
          <w:tcPr>
            <w:tcW w:w="7876" w:type="dxa"/>
            <w:gridSpan w:val="6"/>
            <w:shd w:val="clear" w:color="auto" w:fill="F2F2F2" w:themeFill="background1" w:themeFillShade="F2"/>
            <w:vAlign w:val="center"/>
          </w:tcPr>
          <w:p w14:paraId="0AECB251" w14:textId="17DF013A" w:rsidR="008F4BA4" w:rsidRPr="0041716C" w:rsidRDefault="008F4BA4" w:rsidP="008928E3">
            <w:pPr>
              <w:jc w:val="center"/>
              <w:rPr>
                <w:rFonts w:ascii="Calibri" w:hAnsi="Calibri" w:cs="Arial"/>
                <w:sz w:val="20"/>
              </w:rPr>
            </w:pPr>
            <w:r w:rsidRPr="0041716C">
              <w:rPr>
                <w:rFonts w:ascii="Calibri" w:hAnsi="Calibri" w:cs="Arial"/>
                <w:caps w:val="0"/>
                <w:sz w:val="20"/>
              </w:rPr>
              <w:t>Numero di compravendite di abitazioni – Variazioni % annuali</w:t>
            </w:r>
          </w:p>
        </w:tc>
      </w:tr>
      <w:tr w:rsidR="008928E3" w:rsidRPr="0041716C" w14:paraId="339BF0DD" w14:textId="4A75FDB9" w:rsidTr="00D479D2">
        <w:trPr>
          <w:trHeight w:val="340"/>
        </w:trPr>
        <w:tc>
          <w:tcPr>
            <w:tcW w:w="1978" w:type="dxa"/>
            <w:vAlign w:val="center"/>
          </w:tcPr>
          <w:p w14:paraId="25072444" w14:textId="77777777" w:rsidR="008928E3" w:rsidRPr="0041716C" w:rsidRDefault="008928E3" w:rsidP="008928E3">
            <w:pPr>
              <w:rPr>
                <w:rFonts w:asciiTheme="minorHAnsi" w:eastAsia="Calibri" w:hAnsiTheme="minorHAnsi" w:cstheme="minorHAnsi"/>
                <w:b w:val="0"/>
                <w:sz w:val="20"/>
              </w:rPr>
            </w:pPr>
          </w:p>
        </w:tc>
        <w:tc>
          <w:tcPr>
            <w:tcW w:w="1312" w:type="dxa"/>
            <w:shd w:val="clear" w:color="auto" w:fill="F2F2F2" w:themeFill="background1" w:themeFillShade="F2"/>
            <w:vAlign w:val="center"/>
          </w:tcPr>
          <w:p w14:paraId="1E070345" w14:textId="434B5BA8" w:rsidR="008928E3" w:rsidRPr="0041716C" w:rsidRDefault="008F4BA4" w:rsidP="008928E3">
            <w:pPr>
              <w:jc w:val="center"/>
              <w:rPr>
                <w:rFonts w:ascii="Calibri" w:hAnsi="Calibri" w:cs="Arial"/>
                <w:caps w:val="0"/>
                <w:sz w:val="20"/>
              </w:rPr>
            </w:pPr>
            <w:r w:rsidRPr="0041716C">
              <w:rPr>
                <w:rFonts w:ascii="Calibri" w:hAnsi="Calibri" w:cs="Arial"/>
                <w:caps w:val="0"/>
                <w:sz w:val="20"/>
              </w:rPr>
              <w:t>201</w:t>
            </w:r>
            <w:r>
              <w:rPr>
                <w:rFonts w:ascii="Calibri" w:hAnsi="Calibri" w:cs="Arial"/>
                <w:caps w:val="0"/>
                <w:sz w:val="20"/>
              </w:rPr>
              <w:t>4</w:t>
            </w:r>
            <w:r w:rsidRPr="0041716C">
              <w:rPr>
                <w:rFonts w:ascii="Calibri" w:hAnsi="Calibri" w:cs="Arial"/>
                <w:caps w:val="0"/>
                <w:sz w:val="20"/>
              </w:rPr>
              <w:t>/20</w:t>
            </w:r>
            <w:r>
              <w:rPr>
                <w:rFonts w:ascii="Calibri" w:hAnsi="Calibri" w:cs="Arial"/>
                <w:caps w:val="0"/>
                <w:sz w:val="20"/>
              </w:rPr>
              <w:t>13</w:t>
            </w:r>
          </w:p>
        </w:tc>
        <w:tc>
          <w:tcPr>
            <w:tcW w:w="1313" w:type="dxa"/>
            <w:shd w:val="clear" w:color="auto" w:fill="F2F2F2" w:themeFill="background1" w:themeFillShade="F2"/>
            <w:vAlign w:val="center"/>
          </w:tcPr>
          <w:p w14:paraId="0E153B3F" w14:textId="04490EAC" w:rsidR="008928E3" w:rsidRPr="0041716C" w:rsidRDefault="008928E3" w:rsidP="008928E3">
            <w:pPr>
              <w:jc w:val="center"/>
              <w:rPr>
                <w:rFonts w:ascii="Calibri" w:hAnsi="Calibri" w:cs="Arial"/>
                <w:caps w:val="0"/>
                <w:sz w:val="20"/>
              </w:rPr>
            </w:pPr>
            <w:r w:rsidRPr="0041716C">
              <w:rPr>
                <w:rFonts w:ascii="Calibri" w:hAnsi="Calibri" w:cs="Arial"/>
                <w:caps w:val="0"/>
                <w:sz w:val="20"/>
              </w:rPr>
              <w:t>2015/2014</w:t>
            </w:r>
          </w:p>
        </w:tc>
        <w:tc>
          <w:tcPr>
            <w:tcW w:w="1312" w:type="dxa"/>
            <w:shd w:val="clear" w:color="auto" w:fill="F2F2F2" w:themeFill="background1" w:themeFillShade="F2"/>
            <w:vAlign w:val="center"/>
          </w:tcPr>
          <w:p w14:paraId="5F8E96CF" w14:textId="01C47E6E" w:rsidR="008928E3" w:rsidRPr="0041716C" w:rsidRDefault="008928E3" w:rsidP="008928E3">
            <w:pPr>
              <w:jc w:val="center"/>
              <w:rPr>
                <w:rFonts w:ascii="Calibri" w:hAnsi="Calibri" w:cs="Arial"/>
                <w:caps w:val="0"/>
                <w:sz w:val="20"/>
              </w:rPr>
            </w:pPr>
            <w:r w:rsidRPr="0041716C">
              <w:rPr>
                <w:rFonts w:ascii="Calibri" w:hAnsi="Calibri" w:cs="Arial"/>
                <w:caps w:val="0"/>
                <w:sz w:val="20"/>
              </w:rPr>
              <w:t>2016/2015</w:t>
            </w:r>
          </w:p>
        </w:tc>
        <w:tc>
          <w:tcPr>
            <w:tcW w:w="1313" w:type="dxa"/>
            <w:shd w:val="clear" w:color="auto" w:fill="F2F2F2" w:themeFill="background1" w:themeFillShade="F2"/>
            <w:vAlign w:val="center"/>
          </w:tcPr>
          <w:p w14:paraId="7C3C6281" w14:textId="6A33004D" w:rsidR="008928E3" w:rsidRPr="0041716C" w:rsidRDefault="008928E3" w:rsidP="008928E3">
            <w:pPr>
              <w:jc w:val="center"/>
              <w:rPr>
                <w:rFonts w:ascii="Calibri" w:hAnsi="Calibri" w:cs="Arial"/>
                <w:caps w:val="0"/>
                <w:sz w:val="20"/>
              </w:rPr>
            </w:pPr>
            <w:r w:rsidRPr="0041716C">
              <w:rPr>
                <w:rFonts w:ascii="Calibri" w:hAnsi="Calibri" w:cs="Arial"/>
                <w:caps w:val="0"/>
                <w:sz w:val="20"/>
              </w:rPr>
              <w:t>2017/2016</w:t>
            </w:r>
          </w:p>
        </w:tc>
        <w:tc>
          <w:tcPr>
            <w:tcW w:w="1313" w:type="dxa"/>
            <w:shd w:val="clear" w:color="auto" w:fill="F2F2F2" w:themeFill="background1" w:themeFillShade="F2"/>
            <w:vAlign w:val="center"/>
          </w:tcPr>
          <w:p w14:paraId="03455794" w14:textId="419F689C" w:rsidR="008928E3" w:rsidRPr="0041716C" w:rsidRDefault="008928E3" w:rsidP="008928E3">
            <w:pPr>
              <w:jc w:val="center"/>
              <w:rPr>
                <w:rFonts w:ascii="Calibri" w:hAnsi="Calibri" w:cs="Arial"/>
                <w:caps w:val="0"/>
                <w:sz w:val="20"/>
              </w:rPr>
            </w:pPr>
            <w:r w:rsidRPr="0041716C">
              <w:rPr>
                <w:rFonts w:ascii="Calibri" w:hAnsi="Calibri" w:cs="Arial"/>
                <w:caps w:val="0"/>
                <w:sz w:val="20"/>
              </w:rPr>
              <w:t>201</w:t>
            </w:r>
            <w:r>
              <w:rPr>
                <w:rFonts w:ascii="Calibri" w:hAnsi="Calibri" w:cs="Arial"/>
                <w:caps w:val="0"/>
                <w:sz w:val="20"/>
              </w:rPr>
              <w:t>8</w:t>
            </w:r>
            <w:r w:rsidRPr="0041716C">
              <w:rPr>
                <w:rFonts w:ascii="Calibri" w:hAnsi="Calibri" w:cs="Arial"/>
                <w:caps w:val="0"/>
                <w:sz w:val="20"/>
              </w:rPr>
              <w:t>/201</w:t>
            </w:r>
            <w:r>
              <w:rPr>
                <w:rFonts w:ascii="Calibri" w:hAnsi="Calibri" w:cs="Arial"/>
                <w:caps w:val="0"/>
                <w:sz w:val="20"/>
              </w:rPr>
              <w:t>7</w:t>
            </w:r>
          </w:p>
        </w:tc>
        <w:tc>
          <w:tcPr>
            <w:tcW w:w="1313" w:type="dxa"/>
            <w:shd w:val="clear" w:color="auto" w:fill="F2F2F2" w:themeFill="background1" w:themeFillShade="F2"/>
          </w:tcPr>
          <w:p w14:paraId="2B937873" w14:textId="485F0DB8" w:rsidR="008928E3" w:rsidRPr="0041716C" w:rsidRDefault="008928E3" w:rsidP="008928E3">
            <w:pPr>
              <w:jc w:val="center"/>
              <w:rPr>
                <w:rFonts w:ascii="Calibri" w:hAnsi="Calibri" w:cs="Arial"/>
                <w:caps w:val="0"/>
                <w:sz w:val="20"/>
              </w:rPr>
            </w:pPr>
            <w:r w:rsidRPr="0041716C">
              <w:rPr>
                <w:rFonts w:ascii="Calibri" w:hAnsi="Calibri" w:cs="Arial"/>
                <w:caps w:val="0"/>
                <w:sz w:val="20"/>
              </w:rPr>
              <w:t>201</w:t>
            </w:r>
            <w:r>
              <w:rPr>
                <w:rFonts w:ascii="Calibri" w:hAnsi="Calibri" w:cs="Arial"/>
                <w:caps w:val="0"/>
                <w:sz w:val="20"/>
              </w:rPr>
              <w:t>9</w:t>
            </w:r>
            <w:r w:rsidRPr="0041716C">
              <w:rPr>
                <w:rFonts w:ascii="Calibri" w:hAnsi="Calibri" w:cs="Arial"/>
                <w:caps w:val="0"/>
                <w:sz w:val="20"/>
              </w:rPr>
              <w:t>/201</w:t>
            </w:r>
            <w:r>
              <w:rPr>
                <w:rFonts w:ascii="Calibri" w:hAnsi="Calibri" w:cs="Arial"/>
                <w:caps w:val="0"/>
                <w:sz w:val="20"/>
              </w:rPr>
              <w:t>8</w:t>
            </w:r>
          </w:p>
        </w:tc>
      </w:tr>
      <w:tr w:rsidR="004F2860" w:rsidRPr="00DD1D71" w14:paraId="12CD7515" w14:textId="5380B03D" w:rsidTr="00D479D2">
        <w:trPr>
          <w:trHeight w:val="340"/>
        </w:trPr>
        <w:tc>
          <w:tcPr>
            <w:tcW w:w="1978" w:type="dxa"/>
            <w:shd w:val="clear" w:color="auto" w:fill="DEEAF6" w:themeFill="accent1" w:themeFillTint="33"/>
            <w:vAlign w:val="center"/>
          </w:tcPr>
          <w:p w14:paraId="00742DD3" w14:textId="77777777" w:rsidR="004F2860" w:rsidRPr="0041716C" w:rsidRDefault="004F2860" w:rsidP="004F2860">
            <w:pPr>
              <w:rPr>
                <w:rFonts w:asciiTheme="minorHAnsi" w:eastAsia="Calibri" w:hAnsiTheme="minorHAnsi" w:cstheme="minorHAnsi"/>
                <w:sz w:val="20"/>
              </w:rPr>
            </w:pPr>
            <w:r w:rsidRPr="0041716C">
              <w:rPr>
                <w:rFonts w:asciiTheme="minorHAnsi" w:eastAsia="Calibri" w:hAnsiTheme="minorHAnsi" w:cstheme="minorHAnsi"/>
                <w:caps w:val="0"/>
                <w:sz w:val="20"/>
              </w:rPr>
              <w:t xml:space="preserve">Località lacuali </w:t>
            </w:r>
            <w:r w:rsidRPr="00534399">
              <w:rPr>
                <w:rFonts w:asciiTheme="minorHAnsi" w:eastAsia="Calibri" w:hAnsiTheme="minorHAnsi" w:cstheme="minorHAnsi"/>
                <w:b w:val="0"/>
                <w:caps w:val="0"/>
                <w:sz w:val="16"/>
              </w:rPr>
              <w:t>(13)</w:t>
            </w:r>
          </w:p>
        </w:tc>
        <w:tc>
          <w:tcPr>
            <w:tcW w:w="1312" w:type="dxa"/>
            <w:shd w:val="clear" w:color="auto" w:fill="DEEAF6" w:themeFill="accent1" w:themeFillTint="33"/>
            <w:vAlign w:val="bottom"/>
          </w:tcPr>
          <w:p w14:paraId="040E9B79" w14:textId="66FF130F" w:rsidR="004F2860" w:rsidRPr="00DD1D71" w:rsidRDefault="004F2860" w:rsidP="004F2860">
            <w:pPr>
              <w:jc w:val="center"/>
              <w:rPr>
                <w:rFonts w:ascii="Calibri" w:hAnsi="Calibri" w:cs="Arial"/>
                <w:b w:val="0"/>
                <w:color w:val="FF0000"/>
                <w:sz w:val="20"/>
              </w:rPr>
            </w:pPr>
            <w:r w:rsidRPr="004F2860">
              <w:rPr>
                <w:rFonts w:ascii="Calibri" w:hAnsi="Calibri" w:cs="Arial"/>
                <w:b w:val="0"/>
                <w:color w:val="FF0000"/>
                <w:sz w:val="20"/>
              </w:rPr>
              <w:t>-4,7</w:t>
            </w:r>
          </w:p>
        </w:tc>
        <w:tc>
          <w:tcPr>
            <w:tcW w:w="1313" w:type="dxa"/>
            <w:shd w:val="clear" w:color="auto" w:fill="DEEAF6" w:themeFill="accent1" w:themeFillTint="33"/>
            <w:vAlign w:val="bottom"/>
          </w:tcPr>
          <w:p w14:paraId="3F6F1DB1" w14:textId="628B21C8" w:rsidR="004F2860" w:rsidRPr="00DD1D71" w:rsidRDefault="004F2860" w:rsidP="004F2860">
            <w:pPr>
              <w:jc w:val="center"/>
              <w:rPr>
                <w:rFonts w:ascii="Calibri" w:hAnsi="Calibri" w:cs="Arial"/>
                <w:b w:val="0"/>
                <w:color w:val="FF0000"/>
                <w:sz w:val="20"/>
              </w:rPr>
            </w:pPr>
            <w:r w:rsidRPr="004F2860">
              <w:rPr>
                <w:rFonts w:ascii="Calibri" w:hAnsi="Calibri" w:cs="Arial"/>
                <w:b w:val="0"/>
                <w:color w:val="FF0000"/>
                <w:sz w:val="20"/>
              </w:rPr>
              <w:t>16,7</w:t>
            </w:r>
          </w:p>
        </w:tc>
        <w:tc>
          <w:tcPr>
            <w:tcW w:w="1312" w:type="dxa"/>
            <w:shd w:val="clear" w:color="auto" w:fill="DEEAF6" w:themeFill="accent1" w:themeFillTint="33"/>
            <w:vAlign w:val="bottom"/>
          </w:tcPr>
          <w:p w14:paraId="24D2DF22" w14:textId="0E9BCEC0" w:rsidR="004F2860" w:rsidRPr="00DD1D71" w:rsidRDefault="004F2860" w:rsidP="004F2860">
            <w:pPr>
              <w:jc w:val="center"/>
              <w:rPr>
                <w:rFonts w:ascii="Calibri" w:hAnsi="Calibri" w:cs="Arial"/>
                <w:b w:val="0"/>
                <w:color w:val="FF0000"/>
                <w:sz w:val="20"/>
              </w:rPr>
            </w:pPr>
            <w:r w:rsidRPr="004F2860">
              <w:rPr>
                <w:rFonts w:ascii="Calibri" w:hAnsi="Calibri" w:cs="Arial"/>
                <w:b w:val="0"/>
                <w:color w:val="FF0000"/>
                <w:sz w:val="20"/>
              </w:rPr>
              <w:t>15,2</w:t>
            </w:r>
          </w:p>
        </w:tc>
        <w:tc>
          <w:tcPr>
            <w:tcW w:w="1313" w:type="dxa"/>
            <w:shd w:val="clear" w:color="auto" w:fill="DEEAF6" w:themeFill="accent1" w:themeFillTint="33"/>
            <w:vAlign w:val="bottom"/>
          </w:tcPr>
          <w:p w14:paraId="48C6EF0C" w14:textId="6C0E2A17" w:rsidR="004F2860" w:rsidRPr="00DD1D71" w:rsidRDefault="004F2860" w:rsidP="004F2860">
            <w:pPr>
              <w:jc w:val="center"/>
              <w:rPr>
                <w:rFonts w:ascii="Calibri" w:hAnsi="Calibri" w:cs="Arial"/>
                <w:b w:val="0"/>
                <w:color w:val="FF0000"/>
                <w:sz w:val="20"/>
              </w:rPr>
            </w:pPr>
            <w:r w:rsidRPr="004F2860">
              <w:rPr>
                <w:rFonts w:ascii="Calibri" w:hAnsi="Calibri" w:cs="Arial"/>
                <w:b w:val="0"/>
                <w:color w:val="FF0000"/>
                <w:sz w:val="20"/>
              </w:rPr>
              <w:t>8,0</w:t>
            </w:r>
          </w:p>
        </w:tc>
        <w:tc>
          <w:tcPr>
            <w:tcW w:w="1313" w:type="dxa"/>
            <w:shd w:val="clear" w:color="auto" w:fill="DEEAF6" w:themeFill="accent1" w:themeFillTint="33"/>
            <w:vAlign w:val="bottom"/>
          </w:tcPr>
          <w:p w14:paraId="4F6F8CB9" w14:textId="7671A50B" w:rsidR="004F2860" w:rsidRPr="00DD1D71" w:rsidRDefault="004F2860" w:rsidP="004F2860">
            <w:pPr>
              <w:jc w:val="center"/>
              <w:rPr>
                <w:rFonts w:ascii="Calibri" w:hAnsi="Calibri" w:cs="Arial"/>
                <w:b w:val="0"/>
                <w:color w:val="FF0000"/>
                <w:sz w:val="20"/>
              </w:rPr>
            </w:pPr>
            <w:r w:rsidRPr="004F2860">
              <w:rPr>
                <w:rFonts w:ascii="Calibri" w:hAnsi="Calibri" w:cs="Arial"/>
                <w:b w:val="0"/>
                <w:color w:val="FF0000"/>
                <w:sz w:val="20"/>
              </w:rPr>
              <w:t>7,6</w:t>
            </w:r>
          </w:p>
        </w:tc>
        <w:tc>
          <w:tcPr>
            <w:tcW w:w="1313" w:type="dxa"/>
            <w:shd w:val="clear" w:color="auto" w:fill="DEEAF6" w:themeFill="accent1" w:themeFillTint="33"/>
            <w:vAlign w:val="bottom"/>
          </w:tcPr>
          <w:p w14:paraId="0AF5F38C" w14:textId="00D59E65" w:rsidR="004F2860" w:rsidRPr="00DD1D71" w:rsidRDefault="004F2860" w:rsidP="004F2860">
            <w:pPr>
              <w:jc w:val="center"/>
              <w:rPr>
                <w:rFonts w:ascii="Calibri" w:hAnsi="Calibri" w:cs="Arial"/>
                <w:b w:val="0"/>
                <w:color w:val="FF0000"/>
                <w:sz w:val="20"/>
              </w:rPr>
            </w:pPr>
            <w:r w:rsidRPr="004F2860">
              <w:rPr>
                <w:rFonts w:ascii="Calibri" w:hAnsi="Calibri" w:cs="Arial"/>
                <w:b w:val="0"/>
                <w:color w:val="FF0000"/>
                <w:sz w:val="20"/>
              </w:rPr>
              <w:t>2,1</w:t>
            </w:r>
          </w:p>
        </w:tc>
      </w:tr>
      <w:tr w:rsidR="004F2860" w:rsidRPr="00DD1D71" w14:paraId="24FFA623" w14:textId="188CFE1B" w:rsidTr="00D479D2">
        <w:trPr>
          <w:trHeight w:val="340"/>
        </w:trPr>
        <w:tc>
          <w:tcPr>
            <w:tcW w:w="1978" w:type="dxa"/>
            <w:shd w:val="clear" w:color="auto" w:fill="DEEAF6" w:themeFill="accent1" w:themeFillTint="33"/>
            <w:vAlign w:val="center"/>
          </w:tcPr>
          <w:p w14:paraId="6F11524F" w14:textId="77777777" w:rsidR="004F2860" w:rsidRPr="0041716C" w:rsidRDefault="004F2860" w:rsidP="004F2860">
            <w:pPr>
              <w:rPr>
                <w:rFonts w:asciiTheme="minorHAnsi" w:eastAsia="Calibri" w:hAnsiTheme="minorHAnsi" w:cstheme="minorHAnsi"/>
                <w:sz w:val="20"/>
              </w:rPr>
            </w:pPr>
            <w:r w:rsidRPr="0041716C">
              <w:rPr>
                <w:rFonts w:asciiTheme="minorHAnsi" w:eastAsia="Calibri" w:hAnsiTheme="minorHAnsi" w:cstheme="minorHAnsi"/>
                <w:caps w:val="0"/>
                <w:sz w:val="20"/>
              </w:rPr>
              <w:t xml:space="preserve">Località marine </w:t>
            </w:r>
            <w:r w:rsidRPr="00534399">
              <w:rPr>
                <w:rFonts w:asciiTheme="minorHAnsi" w:eastAsia="Calibri" w:hAnsiTheme="minorHAnsi" w:cstheme="minorHAnsi"/>
                <w:b w:val="0"/>
                <w:caps w:val="0"/>
                <w:sz w:val="16"/>
              </w:rPr>
              <w:t>(132)</w:t>
            </w:r>
          </w:p>
        </w:tc>
        <w:tc>
          <w:tcPr>
            <w:tcW w:w="1312" w:type="dxa"/>
            <w:shd w:val="clear" w:color="auto" w:fill="DEEAF6" w:themeFill="accent1" w:themeFillTint="33"/>
            <w:vAlign w:val="bottom"/>
          </w:tcPr>
          <w:p w14:paraId="068F9CEF" w14:textId="131C64B2" w:rsidR="004F2860" w:rsidRPr="00DD1D71" w:rsidRDefault="004F2860" w:rsidP="004F2860">
            <w:pPr>
              <w:jc w:val="center"/>
              <w:rPr>
                <w:rFonts w:ascii="Calibri" w:hAnsi="Calibri" w:cs="Arial"/>
                <w:b w:val="0"/>
                <w:color w:val="FF0000"/>
                <w:sz w:val="20"/>
              </w:rPr>
            </w:pPr>
            <w:r w:rsidRPr="004F2860">
              <w:rPr>
                <w:rFonts w:ascii="Calibri" w:hAnsi="Calibri" w:cs="Arial"/>
                <w:b w:val="0"/>
                <w:color w:val="FF0000"/>
                <w:sz w:val="20"/>
              </w:rPr>
              <w:t>4,7</w:t>
            </w:r>
          </w:p>
        </w:tc>
        <w:tc>
          <w:tcPr>
            <w:tcW w:w="1313" w:type="dxa"/>
            <w:shd w:val="clear" w:color="auto" w:fill="DEEAF6" w:themeFill="accent1" w:themeFillTint="33"/>
            <w:vAlign w:val="bottom"/>
          </w:tcPr>
          <w:p w14:paraId="4E843698" w14:textId="434FB484" w:rsidR="004F2860" w:rsidRPr="00DD1D71" w:rsidRDefault="004F2860" w:rsidP="004F2860">
            <w:pPr>
              <w:jc w:val="center"/>
              <w:rPr>
                <w:rFonts w:ascii="Calibri" w:hAnsi="Calibri" w:cs="Arial"/>
                <w:b w:val="0"/>
                <w:color w:val="FF0000"/>
                <w:sz w:val="20"/>
              </w:rPr>
            </w:pPr>
            <w:r w:rsidRPr="004F2860">
              <w:rPr>
                <w:rFonts w:ascii="Calibri" w:hAnsi="Calibri" w:cs="Arial"/>
                <w:b w:val="0"/>
                <w:color w:val="FF0000"/>
                <w:sz w:val="20"/>
              </w:rPr>
              <w:t>6,6</w:t>
            </w:r>
          </w:p>
        </w:tc>
        <w:tc>
          <w:tcPr>
            <w:tcW w:w="1312" w:type="dxa"/>
            <w:shd w:val="clear" w:color="auto" w:fill="DEEAF6" w:themeFill="accent1" w:themeFillTint="33"/>
            <w:vAlign w:val="bottom"/>
          </w:tcPr>
          <w:p w14:paraId="412F40C8" w14:textId="63CCFA1A" w:rsidR="004F2860" w:rsidRPr="00DD1D71" w:rsidRDefault="004F2860" w:rsidP="004F2860">
            <w:pPr>
              <w:jc w:val="center"/>
              <w:rPr>
                <w:rFonts w:ascii="Calibri" w:hAnsi="Calibri" w:cs="Arial"/>
                <w:b w:val="0"/>
                <w:color w:val="FF0000"/>
                <w:sz w:val="20"/>
              </w:rPr>
            </w:pPr>
            <w:r w:rsidRPr="004F2860">
              <w:rPr>
                <w:rFonts w:ascii="Calibri" w:hAnsi="Calibri" w:cs="Arial"/>
                <w:b w:val="0"/>
                <w:color w:val="FF0000"/>
                <w:sz w:val="20"/>
              </w:rPr>
              <w:t>19,9</w:t>
            </w:r>
          </w:p>
        </w:tc>
        <w:tc>
          <w:tcPr>
            <w:tcW w:w="1313" w:type="dxa"/>
            <w:shd w:val="clear" w:color="auto" w:fill="DEEAF6" w:themeFill="accent1" w:themeFillTint="33"/>
            <w:vAlign w:val="bottom"/>
          </w:tcPr>
          <w:p w14:paraId="4CD51125" w14:textId="1E2A44DC" w:rsidR="004F2860" w:rsidRPr="00DD1D71" w:rsidRDefault="004F2860" w:rsidP="004F2860">
            <w:pPr>
              <w:jc w:val="center"/>
              <w:rPr>
                <w:rFonts w:ascii="Calibri" w:hAnsi="Calibri" w:cs="Arial"/>
                <w:b w:val="0"/>
                <w:color w:val="FF0000"/>
                <w:sz w:val="20"/>
              </w:rPr>
            </w:pPr>
            <w:r w:rsidRPr="004F2860">
              <w:rPr>
                <w:rFonts w:ascii="Calibri" w:hAnsi="Calibri" w:cs="Arial"/>
                <w:b w:val="0"/>
                <w:color w:val="FF0000"/>
                <w:sz w:val="20"/>
              </w:rPr>
              <w:t>4,8</w:t>
            </w:r>
          </w:p>
        </w:tc>
        <w:tc>
          <w:tcPr>
            <w:tcW w:w="1313" w:type="dxa"/>
            <w:shd w:val="clear" w:color="auto" w:fill="DEEAF6" w:themeFill="accent1" w:themeFillTint="33"/>
            <w:vAlign w:val="bottom"/>
          </w:tcPr>
          <w:p w14:paraId="2D8E9A03" w14:textId="56A0804B" w:rsidR="004F2860" w:rsidRPr="00DD1D71" w:rsidRDefault="004F2860" w:rsidP="004F2860">
            <w:pPr>
              <w:jc w:val="center"/>
              <w:rPr>
                <w:rFonts w:ascii="Calibri" w:hAnsi="Calibri" w:cs="Arial"/>
                <w:b w:val="0"/>
                <w:color w:val="FF0000"/>
                <w:sz w:val="20"/>
              </w:rPr>
            </w:pPr>
            <w:r w:rsidRPr="004F2860">
              <w:rPr>
                <w:rFonts w:ascii="Calibri" w:hAnsi="Calibri" w:cs="Arial"/>
                <w:b w:val="0"/>
                <w:color w:val="FF0000"/>
                <w:sz w:val="20"/>
              </w:rPr>
              <w:t>6,4</w:t>
            </w:r>
          </w:p>
        </w:tc>
        <w:tc>
          <w:tcPr>
            <w:tcW w:w="1313" w:type="dxa"/>
            <w:shd w:val="clear" w:color="auto" w:fill="DEEAF6" w:themeFill="accent1" w:themeFillTint="33"/>
            <w:vAlign w:val="bottom"/>
          </w:tcPr>
          <w:p w14:paraId="73FD06C8" w14:textId="66669074" w:rsidR="004F2860" w:rsidRPr="00DD1D71" w:rsidRDefault="004F2860" w:rsidP="004F2860">
            <w:pPr>
              <w:jc w:val="center"/>
              <w:rPr>
                <w:rFonts w:ascii="Calibri" w:hAnsi="Calibri" w:cs="Arial"/>
                <w:b w:val="0"/>
                <w:color w:val="FF0000"/>
                <w:sz w:val="20"/>
              </w:rPr>
            </w:pPr>
            <w:r w:rsidRPr="004F2860">
              <w:rPr>
                <w:rFonts w:ascii="Calibri" w:hAnsi="Calibri" w:cs="Arial"/>
                <w:b w:val="0"/>
                <w:color w:val="FF0000"/>
                <w:sz w:val="20"/>
              </w:rPr>
              <w:t>3,0</w:t>
            </w:r>
          </w:p>
        </w:tc>
      </w:tr>
      <w:tr w:rsidR="004F2860" w:rsidRPr="00DD1D71" w14:paraId="3E1E5A9D" w14:textId="4CFA109B" w:rsidTr="00D479D2">
        <w:trPr>
          <w:trHeight w:val="340"/>
        </w:trPr>
        <w:tc>
          <w:tcPr>
            <w:tcW w:w="1978" w:type="dxa"/>
            <w:shd w:val="clear" w:color="auto" w:fill="DEEAF6" w:themeFill="accent1" w:themeFillTint="33"/>
            <w:vAlign w:val="center"/>
          </w:tcPr>
          <w:p w14:paraId="7E95638E" w14:textId="422C21F4" w:rsidR="004F2860" w:rsidRPr="0041716C" w:rsidRDefault="004F2860" w:rsidP="004F2860">
            <w:pPr>
              <w:rPr>
                <w:rFonts w:asciiTheme="minorHAnsi" w:eastAsia="Calibri" w:hAnsiTheme="minorHAnsi" w:cstheme="minorHAnsi"/>
                <w:sz w:val="20"/>
              </w:rPr>
            </w:pPr>
            <w:r w:rsidRPr="0041716C">
              <w:rPr>
                <w:rFonts w:asciiTheme="minorHAnsi" w:eastAsia="Calibri" w:hAnsiTheme="minorHAnsi" w:cstheme="minorHAnsi"/>
                <w:caps w:val="0"/>
                <w:sz w:val="20"/>
              </w:rPr>
              <w:t xml:space="preserve">Località montane </w:t>
            </w:r>
            <w:r w:rsidRPr="0041716C">
              <w:rPr>
                <w:rFonts w:asciiTheme="minorHAnsi" w:eastAsia="Calibri" w:hAnsiTheme="minorHAnsi" w:cstheme="minorHAnsi"/>
                <w:b w:val="0"/>
                <w:caps w:val="0"/>
                <w:sz w:val="16"/>
              </w:rPr>
              <w:t>(</w:t>
            </w:r>
            <w:r w:rsidR="00534399">
              <w:rPr>
                <w:rFonts w:asciiTheme="minorHAnsi" w:eastAsia="Calibri" w:hAnsiTheme="minorHAnsi" w:cstheme="minorHAnsi"/>
                <w:b w:val="0"/>
                <w:caps w:val="0"/>
                <w:sz w:val="16"/>
              </w:rPr>
              <w:t>51</w:t>
            </w:r>
            <w:r w:rsidRPr="0041716C">
              <w:rPr>
                <w:rFonts w:asciiTheme="minorHAnsi" w:eastAsia="Calibri" w:hAnsiTheme="minorHAnsi" w:cstheme="minorHAnsi"/>
                <w:b w:val="0"/>
                <w:caps w:val="0"/>
                <w:sz w:val="16"/>
              </w:rPr>
              <w:t>)</w:t>
            </w:r>
          </w:p>
        </w:tc>
        <w:tc>
          <w:tcPr>
            <w:tcW w:w="1312" w:type="dxa"/>
            <w:shd w:val="clear" w:color="auto" w:fill="DEEAF6" w:themeFill="accent1" w:themeFillTint="33"/>
            <w:vAlign w:val="bottom"/>
          </w:tcPr>
          <w:p w14:paraId="44192C6E" w14:textId="3D8510EF" w:rsidR="004F2860" w:rsidRPr="00DD1D71" w:rsidRDefault="004F2860" w:rsidP="004F2860">
            <w:pPr>
              <w:jc w:val="center"/>
              <w:rPr>
                <w:rFonts w:ascii="Calibri" w:hAnsi="Calibri" w:cs="Arial"/>
                <w:b w:val="0"/>
                <w:color w:val="FF0000"/>
                <w:sz w:val="20"/>
              </w:rPr>
            </w:pPr>
            <w:r w:rsidRPr="004F2860">
              <w:rPr>
                <w:rFonts w:ascii="Calibri" w:hAnsi="Calibri" w:cs="Arial"/>
                <w:b w:val="0"/>
                <w:color w:val="FF0000"/>
                <w:sz w:val="20"/>
              </w:rPr>
              <w:t>-2,1</w:t>
            </w:r>
          </w:p>
        </w:tc>
        <w:tc>
          <w:tcPr>
            <w:tcW w:w="1313" w:type="dxa"/>
            <w:shd w:val="clear" w:color="auto" w:fill="DEEAF6" w:themeFill="accent1" w:themeFillTint="33"/>
            <w:vAlign w:val="bottom"/>
          </w:tcPr>
          <w:p w14:paraId="14CA5CE4" w14:textId="34E778DE" w:rsidR="004F2860" w:rsidRPr="00DD1D71" w:rsidRDefault="004F2860" w:rsidP="004F2860">
            <w:pPr>
              <w:jc w:val="center"/>
              <w:rPr>
                <w:rFonts w:ascii="Calibri" w:hAnsi="Calibri" w:cs="Arial"/>
                <w:b w:val="0"/>
                <w:color w:val="FF0000"/>
                <w:sz w:val="20"/>
              </w:rPr>
            </w:pPr>
            <w:r w:rsidRPr="004F2860">
              <w:rPr>
                <w:rFonts w:ascii="Calibri" w:hAnsi="Calibri" w:cs="Arial"/>
                <w:b w:val="0"/>
                <w:color w:val="FF0000"/>
                <w:sz w:val="20"/>
              </w:rPr>
              <w:t>8,3</w:t>
            </w:r>
          </w:p>
        </w:tc>
        <w:tc>
          <w:tcPr>
            <w:tcW w:w="1312" w:type="dxa"/>
            <w:shd w:val="clear" w:color="auto" w:fill="DEEAF6" w:themeFill="accent1" w:themeFillTint="33"/>
            <w:vAlign w:val="bottom"/>
          </w:tcPr>
          <w:p w14:paraId="325A6401" w14:textId="2F14A089" w:rsidR="004F2860" w:rsidRPr="00DD1D71" w:rsidRDefault="004F2860" w:rsidP="004F2860">
            <w:pPr>
              <w:jc w:val="center"/>
              <w:rPr>
                <w:rFonts w:ascii="Calibri" w:hAnsi="Calibri" w:cs="Arial"/>
                <w:b w:val="0"/>
                <w:color w:val="FF0000"/>
                <w:sz w:val="20"/>
              </w:rPr>
            </w:pPr>
            <w:r w:rsidRPr="004F2860">
              <w:rPr>
                <w:rFonts w:ascii="Calibri" w:hAnsi="Calibri" w:cs="Arial"/>
                <w:b w:val="0"/>
                <w:color w:val="FF0000"/>
                <w:sz w:val="20"/>
              </w:rPr>
              <w:t>23,5</w:t>
            </w:r>
          </w:p>
        </w:tc>
        <w:tc>
          <w:tcPr>
            <w:tcW w:w="1313" w:type="dxa"/>
            <w:shd w:val="clear" w:color="auto" w:fill="DEEAF6" w:themeFill="accent1" w:themeFillTint="33"/>
            <w:vAlign w:val="bottom"/>
          </w:tcPr>
          <w:p w14:paraId="50BB57A6" w14:textId="02003FC3" w:rsidR="004F2860" w:rsidRPr="00DD1D71" w:rsidRDefault="004F2860" w:rsidP="004F2860">
            <w:pPr>
              <w:jc w:val="center"/>
              <w:rPr>
                <w:rFonts w:ascii="Calibri" w:hAnsi="Calibri" w:cs="Arial"/>
                <w:b w:val="0"/>
                <w:color w:val="FF0000"/>
                <w:sz w:val="20"/>
              </w:rPr>
            </w:pPr>
            <w:r w:rsidRPr="004F2860">
              <w:rPr>
                <w:rFonts w:ascii="Calibri" w:hAnsi="Calibri" w:cs="Arial"/>
                <w:b w:val="0"/>
                <w:color w:val="FF0000"/>
                <w:sz w:val="20"/>
              </w:rPr>
              <w:t>-4,3</w:t>
            </w:r>
          </w:p>
        </w:tc>
        <w:tc>
          <w:tcPr>
            <w:tcW w:w="1313" w:type="dxa"/>
            <w:shd w:val="clear" w:color="auto" w:fill="DEEAF6" w:themeFill="accent1" w:themeFillTint="33"/>
            <w:vAlign w:val="bottom"/>
          </w:tcPr>
          <w:p w14:paraId="5A328AED" w14:textId="5E9ADA07" w:rsidR="004F2860" w:rsidRPr="00DD1D71" w:rsidRDefault="004F2860" w:rsidP="004F2860">
            <w:pPr>
              <w:jc w:val="center"/>
              <w:rPr>
                <w:rFonts w:ascii="Calibri" w:hAnsi="Calibri" w:cs="Arial"/>
                <w:b w:val="0"/>
                <w:color w:val="FF0000"/>
                <w:sz w:val="20"/>
              </w:rPr>
            </w:pPr>
            <w:r w:rsidRPr="004F2860">
              <w:rPr>
                <w:rFonts w:ascii="Calibri" w:hAnsi="Calibri" w:cs="Arial"/>
                <w:b w:val="0"/>
                <w:color w:val="FF0000"/>
                <w:sz w:val="20"/>
              </w:rPr>
              <w:t>4,0</w:t>
            </w:r>
          </w:p>
        </w:tc>
        <w:tc>
          <w:tcPr>
            <w:tcW w:w="1313" w:type="dxa"/>
            <w:shd w:val="clear" w:color="auto" w:fill="DEEAF6" w:themeFill="accent1" w:themeFillTint="33"/>
            <w:vAlign w:val="bottom"/>
          </w:tcPr>
          <w:p w14:paraId="305BDE28" w14:textId="75AB359A" w:rsidR="004F2860" w:rsidRPr="00DD1D71" w:rsidRDefault="004F2860" w:rsidP="004F2860">
            <w:pPr>
              <w:jc w:val="center"/>
              <w:rPr>
                <w:rFonts w:ascii="Calibri" w:hAnsi="Calibri" w:cs="Arial"/>
                <w:b w:val="0"/>
                <w:color w:val="FF0000"/>
                <w:sz w:val="20"/>
              </w:rPr>
            </w:pPr>
            <w:r w:rsidRPr="004F2860">
              <w:rPr>
                <w:rFonts w:ascii="Calibri" w:hAnsi="Calibri" w:cs="Arial"/>
                <w:b w:val="0"/>
                <w:color w:val="FF0000"/>
                <w:sz w:val="20"/>
              </w:rPr>
              <w:t>11,8</w:t>
            </w:r>
          </w:p>
        </w:tc>
      </w:tr>
      <w:tr w:rsidR="004F2860" w:rsidRPr="00C420B9" w14:paraId="331B3423" w14:textId="4F6661D2" w:rsidTr="00D479D2">
        <w:trPr>
          <w:trHeight w:val="340"/>
        </w:trPr>
        <w:tc>
          <w:tcPr>
            <w:tcW w:w="1978" w:type="dxa"/>
            <w:shd w:val="clear" w:color="auto" w:fill="F2F2F2" w:themeFill="background1" w:themeFillShade="F2"/>
            <w:vAlign w:val="center"/>
          </w:tcPr>
          <w:p w14:paraId="2D8714AD" w14:textId="77777777" w:rsidR="004F2860" w:rsidRPr="0041716C" w:rsidRDefault="004F2860" w:rsidP="004F2860">
            <w:pPr>
              <w:rPr>
                <w:rFonts w:asciiTheme="minorHAnsi" w:eastAsia="Calibri" w:hAnsiTheme="minorHAnsi" w:cstheme="minorHAnsi"/>
                <w:caps w:val="0"/>
                <w:sz w:val="20"/>
              </w:rPr>
            </w:pPr>
            <w:r w:rsidRPr="0041716C">
              <w:rPr>
                <w:rFonts w:asciiTheme="minorHAnsi" w:eastAsia="Calibri" w:hAnsiTheme="minorHAnsi" w:cstheme="minorHAnsi"/>
                <w:caps w:val="0"/>
                <w:sz w:val="20"/>
              </w:rPr>
              <w:t>Totale località turistiche</w:t>
            </w:r>
          </w:p>
        </w:tc>
        <w:tc>
          <w:tcPr>
            <w:tcW w:w="1312" w:type="dxa"/>
            <w:shd w:val="clear" w:color="auto" w:fill="F2F2F2" w:themeFill="background1" w:themeFillShade="F2"/>
            <w:vAlign w:val="bottom"/>
          </w:tcPr>
          <w:p w14:paraId="3230E9F2" w14:textId="1B00EA15" w:rsidR="004F2860" w:rsidRPr="0041716C" w:rsidRDefault="004F2860" w:rsidP="004F2860">
            <w:pPr>
              <w:jc w:val="center"/>
              <w:rPr>
                <w:rFonts w:ascii="Calibri" w:hAnsi="Calibri" w:cs="Arial"/>
                <w:bCs w:val="0"/>
                <w:sz w:val="20"/>
              </w:rPr>
            </w:pPr>
            <w:r w:rsidRPr="004F2860">
              <w:rPr>
                <w:rFonts w:ascii="Calibri" w:hAnsi="Calibri" w:cs="Arial"/>
                <w:bCs w:val="0"/>
                <w:sz w:val="20"/>
              </w:rPr>
              <w:t>3,1</w:t>
            </w:r>
          </w:p>
        </w:tc>
        <w:tc>
          <w:tcPr>
            <w:tcW w:w="1313" w:type="dxa"/>
            <w:shd w:val="clear" w:color="auto" w:fill="F2F2F2" w:themeFill="background1" w:themeFillShade="F2"/>
            <w:vAlign w:val="bottom"/>
          </w:tcPr>
          <w:p w14:paraId="198BAC21" w14:textId="0D20EAD8" w:rsidR="004F2860" w:rsidRPr="0041716C" w:rsidRDefault="004F2860" w:rsidP="004F2860">
            <w:pPr>
              <w:jc w:val="center"/>
              <w:rPr>
                <w:rFonts w:ascii="Calibri" w:hAnsi="Calibri" w:cs="Arial"/>
                <w:bCs w:val="0"/>
                <w:sz w:val="20"/>
              </w:rPr>
            </w:pPr>
            <w:r w:rsidRPr="004F2860">
              <w:rPr>
                <w:rFonts w:ascii="Calibri" w:hAnsi="Calibri" w:cs="Arial"/>
                <w:bCs w:val="0"/>
                <w:sz w:val="20"/>
              </w:rPr>
              <w:t>7,3</w:t>
            </w:r>
          </w:p>
        </w:tc>
        <w:tc>
          <w:tcPr>
            <w:tcW w:w="1312" w:type="dxa"/>
            <w:shd w:val="clear" w:color="auto" w:fill="F2F2F2" w:themeFill="background1" w:themeFillShade="F2"/>
            <w:vAlign w:val="bottom"/>
          </w:tcPr>
          <w:p w14:paraId="1E571ED8" w14:textId="42DE1152" w:rsidR="004F2860" w:rsidRPr="0041716C" w:rsidRDefault="004F2860" w:rsidP="004F2860">
            <w:pPr>
              <w:jc w:val="center"/>
              <w:rPr>
                <w:rFonts w:ascii="Calibri" w:hAnsi="Calibri" w:cs="Arial"/>
                <w:bCs w:val="0"/>
                <w:sz w:val="20"/>
              </w:rPr>
            </w:pPr>
            <w:r w:rsidRPr="004F2860">
              <w:rPr>
                <w:rFonts w:ascii="Calibri" w:hAnsi="Calibri" w:cs="Arial"/>
                <w:bCs w:val="0"/>
                <w:sz w:val="20"/>
              </w:rPr>
              <w:t>20,2</w:t>
            </w:r>
          </w:p>
        </w:tc>
        <w:tc>
          <w:tcPr>
            <w:tcW w:w="1313" w:type="dxa"/>
            <w:shd w:val="clear" w:color="auto" w:fill="F2F2F2" w:themeFill="background1" w:themeFillShade="F2"/>
            <w:vAlign w:val="bottom"/>
          </w:tcPr>
          <w:p w14:paraId="0F47086F" w14:textId="44345DD7" w:rsidR="004F2860" w:rsidRPr="004F2860" w:rsidRDefault="004F2860" w:rsidP="004F2860">
            <w:pPr>
              <w:jc w:val="center"/>
              <w:rPr>
                <w:rFonts w:ascii="Calibri" w:hAnsi="Calibri" w:cs="Arial"/>
                <w:bCs w:val="0"/>
                <w:sz w:val="20"/>
              </w:rPr>
            </w:pPr>
            <w:r w:rsidRPr="004F2860">
              <w:rPr>
                <w:rFonts w:ascii="Calibri" w:hAnsi="Calibri" w:cs="Arial"/>
                <w:bCs w:val="0"/>
                <w:sz w:val="20"/>
              </w:rPr>
              <w:t>3,5</w:t>
            </w:r>
          </w:p>
        </w:tc>
        <w:tc>
          <w:tcPr>
            <w:tcW w:w="1313" w:type="dxa"/>
            <w:shd w:val="clear" w:color="auto" w:fill="F2F2F2" w:themeFill="background1" w:themeFillShade="F2"/>
            <w:vAlign w:val="bottom"/>
          </w:tcPr>
          <w:p w14:paraId="42D01876" w14:textId="2800D58D" w:rsidR="004F2860" w:rsidRPr="004F2860" w:rsidRDefault="004F2860" w:rsidP="004F2860">
            <w:pPr>
              <w:jc w:val="center"/>
              <w:rPr>
                <w:rFonts w:ascii="Calibri" w:hAnsi="Calibri" w:cs="Arial"/>
                <w:bCs w:val="0"/>
                <w:sz w:val="20"/>
              </w:rPr>
            </w:pPr>
            <w:r w:rsidRPr="004F2860">
              <w:rPr>
                <w:rFonts w:ascii="Calibri" w:hAnsi="Calibri" w:cs="Arial"/>
                <w:bCs w:val="0"/>
                <w:sz w:val="20"/>
              </w:rPr>
              <w:t>6,1</w:t>
            </w:r>
          </w:p>
        </w:tc>
        <w:tc>
          <w:tcPr>
            <w:tcW w:w="1313" w:type="dxa"/>
            <w:shd w:val="clear" w:color="auto" w:fill="F2F2F2" w:themeFill="background1" w:themeFillShade="F2"/>
            <w:vAlign w:val="bottom"/>
          </w:tcPr>
          <w:p w14:paraId="25C3A575" w14:textId="430D50E6" w:rsidR="004F2860" w:rsidRPr="004F2860" w:rsidRDefault="004F2860" w:rsidP="004F2860">
            <w:pPr>
              <w:jc w:val="center"/>
              <w:rPr>
                <w:rFonts w:ascii="Calibri" w:hAnsi="Calibri" w:cs="Arial"/>
                <w:bCs w:val="0"/>
                <w:sz w:val="20"/>
              </w:rPr>
            </w:pPr>
            <w:r w:rsidRPr="004F2860">
              <w:rPr>
                <w:rFonts w:ascii="Calibri" w:hAnsi="Calibri" w:cs="Arial"/>
                <w:bCs w:val="0"/>
                <w:sz w:val="20"/>
              </w:rPr>
              <w:t>4,2</w:t>
            </w:r>
          </w:p>
        </w:tc>
      </w:tr>
    </w:tbl>
    <w:p w14:paraId="28B2A85D" w14:textId="77777777" w:rsidR="004F2860" w:rsidRPr="0041716C" w:rsidRDefault="004F2860" w:rsidP="004F2860">
      <w:pPr>
        <w:spacing w:before="60"/>
        <w:rPr>
          <w:rFonts w:asciiTheme="minorHAnsi" w:eastAsia="Calibri" w:hAnsiTheme="minorHAnsi" w:cstheme="minorHAnsi"/>
          <w:sz w:val="18"/>
        </w:rPr>
      </w:pPr>
      <w:r w:rsidRPr="0041716C">
        <w:rPr>
          <w:rFonts w:asciiTheme="minorHAnsi" w:eastAsia="Calibri" w:hAnsiTheme="minorHAnsi" w:cstheme="minorHAnsi"/>
          <w:sz w:val="18"/>
        </w:rPr>
        <w:t>Fonte: elaborazioni Nomisma su dati Agenzia delle Entrate</w:t>
      </w:r>
    </w:p>
    <w:p w14:paraId="2E482E98" w14:textId="7E0025C6" w:rsidR="008928E3" w:rsidRDefault="008928E3" w:rsidP="00775E1B">
      <w:pPr>
        <w:pStyle w:val="NormaleWeb"/>
        <w:shd w:val="clear" w:color="auto" w:fill="FFFFFF"/>
        <w:spacing w:before="0" w:beforeAutospacing="0" w:after="0" w:afterAutospacing="0"/>
        <w:jc w:val="both"/>
        <w:rPr>
          <w:rFonts w:asciiTheme="minorHAnsi" w:eastAsia="Calibri" w:hAnsiTheme="minorHAnsi" w:cstheme="minorHAnsi"/>
          <w:sz w:val="22"/>
          <w:szCs w:val="22"/>
        </w:rPr>
      </w:pPr>
    </w:p>
    <w:p w14:paraId="58CE7AF3" w14:textId="7BC0CB9F" w:rsidR="009425A3" w:rsidRPr="009425A3" w:rsidRDefault="008F185F" w:rsidP="008130D6">
      <w:pPr>
        <w:jc w:val="both"/>
        <w:rPr>
          <w:rFonts w:asciiTheme="minorHAnsi" w:eastAsia="Calibri" w:hAnsiTheme="minorHAnsi" w:cstheme="minorHAnsi"/>
          <w:sz w:val="22"/>
          <w:szCs w:val="22"/>
        </w:rPr>
      </w:pPr>
      <w:r>
        <w:rPr>
          <w:rFonts w:asciiTheme="minorHAnsi" w:eastAsia="Calibri" w:hAnsiTheme="minorHAnsi" w:cstheme="minorHAnsi"/>
          <w:sz w:val="22"/>
          <w:szCs w:val="22"/>
        </w:rPr>
        <w:t>Per quanto riguarda le quotazioni</w:t>
      </w:r>
      <w:r w:rsidR="00B925E3">
        <w:rPr>
          <w:rFonts w:asciiTheme="minorHAnsi" w:eastAsia="Calibri" w:hAnsiTheme="minorHAnsi" w:cstheme="minorHAnsi"/>
          <w:sz w:val="22"/>
          <w:szCs w:val="22"/>
        </w:rPr>
        <w:t xml:space="preserve"> del</w:t>
      </w:r>
      <w:r w:rsidR="00B925E3" w:rsidRPr="009425A3">
        <w:rPr>
          <w:rFonts w:asciiTheme="minorHAnsi" w:eastAsia="Calibri" w:hAnsiTheme="minorHAnsi" w:cstheme="minorHAnsi"/>
          <w:sz w:val="22"/>
          <w:szCs w:val="22"/>
        </w:rPr>
        <w:t>le case per vacanza</w:t>
      </w:r>
      <w:r w:rsidR="00B925E3">
        <w:rPr>
          <w:rFonts w:asciiTheme="minorHAnsi" w:eastAsia="Calibri" w:hAnsiTheme="minorHAnsi" w:cstheme="minorHAnsi"/>
          <w:sz w:val="22"/>
          <w:szCs w:val="22"/>
        </w:rPr>
        <w:t xml:space="preserve"> nelle località turistiche</w:t>
      </w:r>
      <w:r>
        <w:rPr>
          <w:rFonts w:asciiTheme="minorHAnsi" w:eastAsia="Calibri" w:hAnsiTheme="minorHAnsi" w:cstheme="minorHAnsi"/>
          <w:sz w:val="22"/>
          <w:szCs w:val="22"/>
        </w:rPr>
        <w:t xml:space="preserve">, </w:t>
      </w:r>
      <w:r w:rsidR="00B925E3">
        <w:rPr>
          <w:rFonts w:asciiTheme="minorHAnsi" w:eastAsia="Calibri" w:hAnsiTheme="minorHAnsi" w:cstheme="minorHAnsi"/>
          <w:sz w:val="22"/>
          <w:szCs w:val="22"/>
        </w:rPr>
        <w:t>l’Osservatorio rileva una ulteriore flessione</w:t>
      </w:r>
      <w:r w:rsidR="00334A91">
        <w:rPr>
          <w:rFonts w:asciiTheme="minorHAnsi" w:eastAsia="Calibri" w:hAnsiTheme="minorHAnsi" w:cstheme="minorHAnsi"/>
          <w:sz w:val="22"/>
          <w:szCs w:val="22"/>
        </w:rPr>
        <w:t xml:space="preserve"> nell’ultimo anno monitorato</w:t>
      </w:r>
      <w:r>
        <w:rPr>
          <w:rFonts w:asciiTheme="minorHAnsi" w:eastAsia="Calibri" w:hAnsiTheme="minorHAnsi" w:cstheme="minorHAnsi"/>
          <w:sz w:val="22"/>
          <w:szCs w:val="22"/>
        </w:rPr>
        <w:t xml:space="preserve">, pur </w:t>
      </w:r>
      <w:r w:rsidRPr="009425A3">
        <w:rPr>
          <w:rFonts w:asciiTheme="minorHAnsi" w:eastAsia="Calibri" w:hAnsiTheme="minorHAnsi" w:cstheme="minorHAnsi"/>
          <w:sz w:val="22"/>
          <w:szCs w:val="22"/>
        </w:rPr>
        <w:t>con intonazioni differenti rispetto alle localizzazioni e alla tipologia di abitazioni</w:t>
      </w:r>
      <w:r>
        <w:rPr>
          <w:rFonts w:asciiTheme="minorHAnsi" w:eastAsia="Calibri" w:hAnsiTheme="minorHAnsi" w:cstheme="minorHAnsi"/>
          <w:sz w:val="22"/>
          <w:szCs w:val="22"/>
        </w:rPr>
        <w:t>, non solo per effetto della debolezza del mercato immobiliare come negli anni precedenti, ma anche per la</w:t>
      </w:r>
      <w:r w:rsidR="009425A3" w:rsidRPr="009425A3">
        <w:rPr>
          <w:rFonts w:asciiTheme="minorHAnsi" w:eastAsia="Calibri" w:hAnsiTheme="minorHAnsi" w:cstheme="minorHAnsi"/>
          <w:sz w:val="22"/>
          <w:szCs w:val="22"/>
        </w:rPr>
        <w:t xml:space="preserve"> profonda incertezza </w:t>
      </w:r>
      <w:r w:rsidR="00B925E3">
        <w:rPr>
          <w:rFonts w:asciiTheme="minorHAnsi" w:eastAsia="Calibri" w:hAnsiTheme="minorHAnsi" w:cstheme="minorHAnsi"/>
          <w:sz w:val="22"/>
          <w:szCs w:val="22"/>
        </w:rPr>
        <w:t>dettata</w:t>
      </w:r>
      <w:r w:rsidR="008130D6">
        <w:rPr>
          <w:rFonts w:asciiTheme="minorHAnsi" w:eastAsia="Calibri" w:hAnsiTheme="minorHAnsi" w:cstheme="minorHAnsi"/>
          <w:sz w:val="22"/>
          <w:szCs w:val="22"/>
        </w:rPr>
        <w:t xml:space="preserve"> dall</w:t>
      </w:r>
      <w:r w:rsidR="009425A3" w:rsidRPr="009425A3">
        <w:rPr>
          <w:rFonts w:asciiTheme="minorHAnsi" w:eastAsia="Calibri" w:hAnsiTheme="minorHAnsi" w:cstheme="minorHAnsi"/>
          <w:sz w:val="22"/>
          <w:szCs w:val="22"/>
        </w:rPr>
        <w:t xml:space="preserve">’attuale congiuntura. </w:t>
      </w:r>
    </w:p>
    <w:p w14:paraId="70A4D5F1" w14:textId="77777777" w:rsidR="0074764C" w:rsidRPr="00325BF0" w:rsidRDefault="0074764C" w:rsidP="008130D6">
      <w:pPr>
        <w:jc w:val="both"/>
        <w:rPr>
          <w:rFonts w:asciiTheme="minorHAnsi" w:eastAsia="Calibri" w:hAnsiTheme="minorHAnsi" w:cstheme="minorHAnsi"/>
          <w:sz w:val="22"/>
          <w:szCs w:val="22"/>
        </w:rPr>
      </w:pPr>
    </w:p>
    <w:p w14:paraId="07BED8EA" w14:textId="7EC5AC8C" w:rsidR="00B7239C" w:rsidRPr="00325BF0" w:rsidRDefault="0027617D" w:rsidP="008130D6">
      <w:pPr>
        <w:jc w:val="both"/>
        <w:rPr>
          <w:rFonts w:asciiTheme="minorHAnsi" w:eastAsia="Calibri" w:hAnsiTheme="minorHAnsi" w:cstheme="minorHAnsi"/>
          <w:sz w:val="22"/>
          <w:szCs w:val="22"/>
          <w:highlight w:val="yellow"/>
        </w:rPr>
      </w:pPr>
      <w:r w:rsidRPr="00325BF0">
        <w:rPr>
          <w:rFonts w:asciiTheme="minorHAnsi" w:eastAsia="Calibri" w:hAnsiTheme="minorHAnsi" w:cstheme="minorHAnsi"/>
          <w:sz w:val="22"/>
          <w:szCs w:val="22"/>
        </w:rPr>
        <w:t>La variazione media, sintesi dei mercati top, centrali e periferici delle singole località turistiche monitorate</w:t>
      </w:r>
      <w:r w:rsidR="00FF4622" w:rsidRPr="00325BF0">
        <w:rPr>
          <w:rFonts w:asciiTheme="minorHAnsi" w:eastAsia="Calibri" w:hAnsiTheme="minorHAnsi" w:cstheme="minorHAnsi"/>
          <w:sz w:val="22"/>
          <w:szCs w:val="22"/>
        </w:rPr>
        <w:t xml:space="preserve"> </w:t>
      </w:r>
      <w:r w:rsidR="00432049" w:rsidRPr="00325BF0">
        <w:rPr>
          <w:rFonts w:asciiTheme="minorHAnsi" w:eastAsia="Calibri" w:hAnsiTheme="minorHAnsi" w:cstheme="minorHAnsi"/>
          <w:sz w:val="22"/>
          <w:szCs w:val="22"/>
        </w:rPr>
        <w:t>manifesta</w:t>
      </w:r>
      <w:r w:rsidR="00FF4622" w:rsidRPr="00325BF0">
        <w:rPr>
          <w:rFonts w:asciiTheme="minorHAnsi" w:eastAsia="Calibri" w:hAnsiTheme="minorHAnsi" w:cstheme="minorHAnsi"/>
          <w:sz w:val="22"/>
          <w:szCs w:val="22"/>
        </w:rPr>
        <w:t xml:space="preserve"> una riduzione dei valori di mercato dello 0,8% su base annua,</w:t>
      </w:r>
      <w:r w:rsidR="00C205F9" w:rsidRPr="00325BF0">
        <w:rPr>
          <w:rFonts w:asciiTheme="minorHAnsi" w:eastAsia="Calibri" w:hAnsiTheme="minorHAnsi" w:cstheme="minorHAnsi"/>
          <w:sz w:val="22"/>
          <w:szCs w:val="22"/>
        </w:rPr>
        <w:t xml:space="preserve"> </w:t>
      </w:r>
      <w:r w:rsidR="00B7239C" w:rsidRPr="00325BF0">
        <w:rPr>
          <w:rFonts w:asciiTheme="minorHAnsi" w:eastAsia="Calibri" w:hAnsiTheme="minorHAnsi" w:cstheme="minorHAnsi"/>
          <w:sz w:val="22"/>
          <w:szCs w:val="22"/>
        </w:rPr>
        <w:t>con un campo di oscillazione, in funzione della tipologia abitativa, compreso tra</w:t>
      </w:r>
      <w:r w:rsidR="00FF047F" w:rsidRPr="00325BF0">
        <w:rPr>
          <w:rFonts w:asciiTheme="minorHAnsi" w:eastAsia="Calibri" w:hAnsiTheme="minorHAnsi" w:cstheme="minorHAnsi"/>
          <w:sz w:val="22"/>
          <w:szCs w:val="22"/>
        </w:rPr>
        <w:t>-2,8% e</w:t>
      </w:r>
      <w:r w:rsidR="00B7239C" w:rsidRPr="00325BF0">
        <w:rPr>
          <w:rFonts w:asciiTheme="minorHAnsi" w:eastAsia="Calibri" w:hAnsiTheme="minorHAnsi" w:cstheme="minorHAnsi"/>
          <w:sz w:val="22"/>
          <w:szCs w:val="22"/>
        </w:rPr>
        <w:t xml:space="preserve"> </w:t>
      </w:r>
      <w:r w:rsidR="00535AEF" w:rsidRPr="00325BF0">
        <w:rPr>
          <w:rFonts w:asciiTheme="minorHAnsi" w:eastAsia="Calibri" w:hAnsiTheme="minorHAnsi" w:cstheme="minorHAnsi"/>
          <w:sz w:val="22"/>
          <w:szCs w:val="22"/>
        </w:rPr>
        <w:t>+2,4</w:t>
      </w:r>
      <w:r w:rsidR="00B7239C" w:rsidRPr="00325BF0">
        <w:rPr>
          <w:rFonts w:asciiTheme="minorHAnsi" w:eastAsia="Calibri" w:hAnsiTheme="minorHAnsi" w:cstheme="minorHAnsi"/>
          <w:sz w:val="22"/>
          <w:szCs w:val="22"/>
        </w:rPr>
        <w:t>%</w:t>
      </w:r>
      <w:r w:rsidR="00FF047F" w:rsidRPr="00325BF0">
        <w:rPr>
          <w:rFonts w:asciiTheme="minorHAnsi" w:eastAsia="Calibri" w:hAnsiTheme="minorHAnsi" w:cstheme="minorHAnsi"/>
          <w:sz w:val="22"/>
          <w:szCs w:val="22"/>
        </w:rPr>
        <w:t>.</w:t>
      </w:r>
      <w:r w:rsidR="001155CE" w:rsidRPr="00325BF0">
        <w:rPr>
          <w:rFonts w:asciiTheme="minorHAnsi" w:eastAsia="Calibri" w:hAnsiTheme="minorHAnsi" w:cstheme="minorHAnsi"/>
          <w:sz w:val="22"/>
          <w:szCs w:val="22"/>
        </w:rPr>
        <w:t xml:space="preserve"> </w:t>
      </w:r>
    </w:p>
    <w:p w14:paraId="302E5470" w14:textId="196280DF" w:rsidR="005B6FD4" w:rsidRPr="00325BF0" w:rsidRDefault="005B6FD4" w:rsidP="008130D6">
      <w:pPr>
        <w:jc w:val="both"/>
        <w:rPr>
          <w:rFonts w:asciiTheme="minorHAnsi" w:eastAsia="Calibri" w:hAnsiTheme="minorHAnsi" w:cstheme="minorHAnsi"/>
          <w:sz w:val="22"/>
          <w:szCs w:val="22"/>
        </w:rPr>
      </w:pPr>
    </w:p>
    <w:p w14:paraId="1A628E66" w14:textId="457F1D4A" w:rsidR="00FD203F" w:rsidRPr="00325BF0" w:rsidRDefault="0074764C" w:rsidP="008130D6">
      <w:pPr>
        <w:jc w:val="both"/>
        <w:rPr>
          <w:rFonts w:asciiTheme="minorHAnsi" w:eastAsia="Calibri" w:hAnsiTheme="minorHAnsi" w:cstheme="minorHAnsi"/>
          <w:sz w:val="22"/>
          <w:szCs w:val="22"/>
        </w:rPr>
      </w:pPr>
      <w:r w:rsidRPr="00325BF0">
        <w:rPr>
          <w:rFonts w:asciiTheme="minorHAnsi" w:eastAsia="Calibri" w:hAnsiTheme="minorHAnsi" w:cstheme="minorHAnsi"/>
          <w:sz w:val="22"/>
          <w:szCs w:val="22"/>
        </w:rPr>
        <w:t xml:space="preserve">La flessione dei valori </w:t>
      </w:r>
      <w:r w:rsidR="00432049" w:rsidRPr="00325BF0">
        <w:rPr>
          <w:rFonts w:asciiTheme="minorHAnsi" w:eastAsia="Calibri" w:hAnsiTheme="minorHAnsi" w:cstheme="minorHAnsi"/>
          <w:sz w:val="22"/>
          <w:szCs w:val="22"/>
        </w:rPr>
        <w:t>riguarda</w:t>
      </w:r>
      <w:r w:rsidRPr="00325BF0">
        <w:rPr>
          <w:rFonts w:asciiTheme="minorHAnsi" w:eastAsia="Calibri" w:hAnsiTheme="minorHAnsi" w:cstheme="minorHAnsi"/>
          <w:sz w:val="22"/>
          <w:szCs w:val="22"/>
        </w:rPr>
        <w:t xml:space="preserve"> </w:t>
      </w:r>
      <w:r w:rsidR="008130D6" w:rsidRPr="00325BF0">
        <w:rPr>
          <w:rFonts w:asciiTheme="minorHAnsi" w:eastAsia="Calibri" w:hAnsiTheme="minorHAnsi" w:cstheme="minorHAnsi"/>
          <w:sz w:val="22"/>
          <w:szCs w:val="22"/>
        </w:rPr>
        <w:t xml:space="preserve">- </w:t>
      </w:r>
      <w:r w:rsidRPr="00325BF0">
        <w:rPr>
          <w:rFonts w:asciiTheme="minorHAnsi" w:eastAsia="Calibri" w:hAnsiTheme="minorHAnsi" w:cstheme="minorHAnsi"/>
          <w:sz w:val="22"/>
          <w:szCs w:val="22"/>
        </w:rPr>
        <w:t xml:space="preserve">come accennato </w:t>
      </w:r>
      <w:r w:rsidR="008130D6" w:rsidRPr="00325BF0">
        <w:rPr>
          <w:rFonts w:asciiTheme="minorHAnsi" w:eastAsia="Calibri" w:hAnsiTheme="minorHAnsi" w:cstheme="minorHAnsi"/>
          <w:sz w:val="22"/>
          <w:szCs w:val="22"/>
        </w:rPr>
        <w:t xml:space="preserve">- </w:t>
      </w:r>
      <w:r w:rsidR="00605517" w:rsidRPr="00325BF0">
        <w:rPr>
          <w:rFonts w:asciiTheme="minorHAnsi" w:eastAsia="Calibri" w:hAnsiTheme="minorHAnsi" w:cstheme="minorHAnsi"/>
          <w:sz w:val="22"/>
          <w:szCs w:val="22"/>
        </w:rPr>
        <w:t xml:space="preserve">tutte le tipologie </w:t>
      </w:r>
      <w:r w:rsidR="009B5A9D" w:rsidRPr="00325BF0">
        <w:rPr>
          <w:rFonts w:asciiTheme="minorHAnsi" w:eastAsia="Calibri" w:hAnsiTheme="minorHAnsi" w:cstheme="minorHAnsi"/>
          <w:sz w:val="22"/>
          <w:szCs w:val="22"/>
        </w:rPr>
        <w:t xml:space="preserve">seppur </w:t>
      </w:r>
      <w:r w:rsidR="00605517" w:rsidRPr="00325BF0">
        <w:rPr>
          <w:rFonts w:asciiTheme="minorHAnsi" w:eastAsia="Calibri" w:hAnsiTheme="minorHAnsi" w:cstheme="minorHAnsi"/>
          <w:sz w:val="22"/>
          <w:szCs w:val="22"/>
        </w:rPr>
        <w:t xml:space="preserve">con </w:t>
      </w:r>
      <w:r w:rsidR="008130D6" w:rsidRPr="00325BF0">
        <w:rPr>
          <w:rFonts w:asciiTheme="minorHAnsi" w:eastAsia="Calibri" w:hAnsiTheme="minorHAnsi" w:cstheme="minorHAnsi"/>
          <w:sz w:val="22"/>
          <w:szCs w:val="22"/>
        </w:rPr>
        <w:t>intensità diverse</w:t>
      </w:r>
      <w:r w:rsidR="00FF047F" w:rsidRPr="00325BF0">
        <w:rPr>
          <w:rFonts w:asciiTheme="minorHAnsi" w:eastAsia="Calibri" w:hAnsiTheme="minorHAnsi" w:cstheme="minorHAnsi"/>
          <w:sz w:val="22"/>
          <w:szCs w:val="22"/>
        </w:rPr>
        <w:t>. L</w:t>
      </w:r>
      <w:r w:rsidRPr="00325BF0">
        <w:rPr>
          <w:rFonts w:asciiTheme="minorHAnsi" w:eastAsia="Calibri" w:hAnsiTheme="minorHAnsi" w:cstheme="minorHAnsi"/>
          <w:sz w:val="22"/>
          <w:szCs w:val="22"/>
        </w:rPr>
        <w:t>e case vacanze “top nuove”</w:t>
      </w:r>
      <w:r w:rsidR="00605517" w:rsidRPr="00325BF0">
        <w:rPr>
          <w:rFonts w:asciiTheme="minorHAnsi" w:eastAsia="Calibri" w:hAnsiTheme="minorHAnsi" w:cstheme="minorHAnsi"/>
          <w:sz w:val="22"/>
          <w:szCs w:val="22"/>
        </w:rPr>
        <w:t xml:space="preserve"> segnano</w:t>
      </w:r>
      <w:r w:rsidR="00FF047F" w:rsidRPr="00325BF0">
        <w:rPr>
          <w:rFonts w:asciiTheme="minorHAnsi" w:eastAsia="Calibri" w:hAnsiTheme="minorHAnsi" w:cstheme="minorHAnsi"/>
          <w:sz w:val="22"/>
          <w:szCs w:val="22"/>
        </w:rPr>
        <w:t xml:space="preserve"> una variazione</w:t>
      </w:r>
      <w:r w:rsidR="00AD72E6" w:rsidRPr="00325BF0">
        <w:rPr>
          <w:rFonts w:asciiTheme="minorHAnsi" w:eastAsia="Calibri" w:hAnsiTheme="minorHAnsi" w:cstheme="minorHAnsi"/>
          <w:sz w:val="22"/>
          <w:szCs w:val="22"/>
        </w:rPr>
        <w:t xml:space="preserve"> </w:t>
      </w:r>
      <w:r w:rsidR="00FF047F" w:rsidRPr="00325BF0">
        <w:rPr>
          <w:rFonts w:asciiTheme="minorHAnsi" w:eastAsia="Calibri" w:hAnsiTheme="minorHAnsi" w:cstheme="minorHAnsi"/>
          <w:sz w:val="22"/>
          <w:szCs w:val="22"/>
        </w:rPr>
        <w:t>minim</w:t>
      </w:r>
      <w:r w:rsidR="00277CAD" w:rsidRPr="00325BF0">
        <w:rPr>
          <w:rFonts w:asciiTheme="minorHAnsi" w:eastAsia="Calibri" w:hAnsiTheme="minorHAnsi" w:cstheme="minorHAnsi"/>
          <w:sz w:val="22"/>
          <w:szCs w:val="22"/>
        </w:rPr>
        <w:t>a</w:t>
      </w:r>
      <w:r w:rsidR="00FF047F" w:rsidRPr="00325BF0">
        <w:rPr>
          <w:rFonts w:asciiTheme="minorHAnsi" w:eastAsia="Calibri" w:hAnsiTheme="minorHAnsi" w:cstheme="minorHAnsi"/>
          <w:sz w:val="22"/>
          <w:szCs w:val="22"/>
        </w:rPr>
        <w:t xml:space="preserve"> e massim</w:t>
      </w:r>
      <w:r w:rsidR="00277CAD" w:rsidRPr="00325BF0">
        <w:rPr>
          <w:rFonts w:asciiTheme="minorHAnsi" w:eastAsia="Calibri" w:hAnsiTheme="minorHAnsi" w:cstheme="minorHAnsi"/>
          <w:sz w:val="22"/>
          <w:szCs w:val="22"/>
        </w:rPr>
        <w:t>a</w:t>
      </w:r>
      <w:r w:rsidR="00FF047F" w:rsidRPr="00325BF0">
        <w:rPr>
          <w:rFonts w:asciiTheme="minorHAnsi" w:eastAsia="Calibri" w:hAnsiTheme="minorHAnsi" w:cstheme="minorHAnsi"/>
          <w:sz w:val="22"/>
          <w:szCs w:val="22"/>
        </w:rPr>
        <w:t xml:space="preserve"> che oscilla tra </w:t>
      </w:r>
      <w:r w:rsidR="00277CAD" w:rsidRPr="00325BF0">
        <w:rPr>
          <w:rFonts w:asciiTheme="minorHAnsi" w:eastAsia="Calibri" w:hAnsiTheme="minorHAnsi" w:cstheme="minorHAnsi"/>
          <w:sz w:val="22"/>
          <w:szCs w:val="22"/>
        </w:rPr>
        <w:t>-2,8% a +1,6%</w:t>
      </w:r>
      <w:r w:rsidR="00605517" w:rsidRPr="00325BF0">
        <w:rPr>
          <w:rFonts w:asciiTheme="minorHAnsi" w:eastAsia="Calibri" w:hAnsiTheme="minorHAnsi" w:cstheme="minorHAnsi"/>
          <w:sz w:val="22"/>
          <w:szCs w:val="22"/>
        </w:rPr>
        <w:t xml:space="preserve"> </w:t>
      </w:r>
      <w:r w:rsidR="00334A91" w:rsidRPr="00325BF0">
        <w:rPr>
          <w:rFonts w:asciiTheme="minorHAnsi" w:eastAsia="Calibri" w:hAnsiTheme="minorHAnsi" w:cstheme="minorHAnsi"/>
          <w:sz w:val="22"/>
          <w:szCs w:val="22"/>
        </w:rPr>
        <w:t xml:space="preserve">mentre le abitazioni </w:t>
      </w:r>
      <w:r w:rsidR="00277CAD" w:rsidRPr="00325BF0">
        <w:rPr>
          <w:rFonts w:asciiTheme="minorHAnsi" w:eastAsia="Calibri" w:hAnsiTheme="minorHAnsi" w:cstheme="minorHAnsi"/>
          <w:sz w:val="22"/>
          <w:szCs w:val="22"/>
        </w:rPr>
        <w:t>periferiche</w:t>
      </w:r>
      <w:r w:rsidR="00334A91" w:rsidRPr="00325BF0">
        <w:rPr>
          <w:rFonts w:asciiTheme="minorHAnsi" w:eastAsia="Calibri" w:hAnsiTheme="minorHAnsi" w:cstheme="minorHAnsi"/>
          <w:sz w:val="22"/>
          <w:szCs w:val="22"/>
        </w:rPr>
        <w:t xml:space="preserve"> segnano una </w:t>
      </w:r>
      <w:r w:rsidR="00277CAD" w:rsidRPr="00325BF0">
        <w:rPr>
          <w:rFonts w:asciiTheme="minorHAnsi" w:eastAsia="Calibri" w:hAnsiTheme="minorHAnsi" w:cstheme="minorHAnsi"/>
          <w:sz w:val="22"/>
          <w:szCs w:val="22"/>
        </w:rPr>
        <w:t>variazione</w:t>
      </w:r>
      <w:r w:rsidR="00334A91" w:rsidRPr="00325BF0">
        <w:rPr>
          <w:rFonts w:asciiTheme="minorHAnsi" w:eastAsia="Calibri" w:hAnsiTheme="minorHAnsi" w:cstheme="minorHAnsi"/>
          <w:sz w:val="22"/>
          <w:szCs w:val="22"/>
        </w:rPr>
        <w:t xml:space="preserve"> che oscilla tra </w:t>
      </w:r>
      <w:r w:rsidR="00277CAD" w:rsidRPr="00325BF0">
        <w:rPr>
          <w:rFonts w:asciiTheme="minorHAnsi" w:eastAsia="Calibri" w:hAnsiTheme="minorHAnsi" w:cstheme="minorHAnsi"/>
          <w:sz w:val="22"/>
          <w:szCs w:val="22"/>
        </w:rPr>
        <w:t>-1,6% e +1,5%</w:t>
      </w:r>
      <w:r w:rsidR="00910C43" w:rsidRPr="00325BF0">
        <w:rPr>
          <w:rFonts w:asciiTheme="minorHAnsi" w:eastAsia="Calibri" w:hAnsiTheme="minorHAnsi" w:cstheme="minorHAnsi"/>
          <w:sz w:val="22"/>
          <w:szCs w:val="22"/>
        </w:rPr>
        <w:t>.</w:t>
      </w:r>
    </w:p>
    <w:p w14:paraId="7BD37004" w14:textId="2076D7B3" w:rsidR="0074764C" w:rsidRPr="00FD203F" w:rsidRDefault="0074764C" w:rsidP="008130D6">
      <w:pPr>
        <w:jc w:val="both"/>
        <w:rPr>
          <w:rFonts w:asciiTheme="minorHAnsi" w:eastAsia="Calibri" w:hAnsiTheme="minorHAnsi" w:cstheme="minorHAnsi"/>
          <w:sz w:val="22"/>
          <w:szCs w:val="22"/>
        </w:rPr>
      </w:pPr>
    </w:p>
    <w:p w14:paraId="20866E12" w14:textId="45F2E821" w:rsidR="00FC7BBB" w:rsidRPr="006F56DA" w:rsidRDefault="00FD203F" w:rsidP="00432049">
      <w:pPr>
        <w:jc w:val="both"/>
        <w:rPr>
          <w:rFonts w:asciiTheme="minorHAnsi" w:eastAsia="Calibri" w:hAnsiTheme="minorHAnsi" w:cstheme="minorHAnsi"/>
          <w:sz w:val="22"/>
          <w:szCs w:val="22"/>
        </w:rPr>
      </w:pPr>
      <w:r w:rsidRPr="00FD203F">
        <w:rPr>
          <w:rFonts w:asciiTheme="minorHAnsi" w:eastAsia="Calibri" w:hAnsiTheme="minorHAnsi" w:cstheme="minorHAnsi"/>
          <w:sz w:val="22"/>
          <w:szCs w:val="22"/>
        </w:rPr>
        <w:t>Se consideriamo la media delle destinazioni turistiche monitorate,</w:t>
      </w:r>
      <w:r w:rsidR="00FE7546">
        <w:rPr>
          <w:rFonts w:asciiTheme="minorHAnsi" w:eastAsia="Calibri" w:hAnsiTheme="minorHAnsi" w:cstheme="minorHAnsi"/>
          <w:sz w:val="22"/>
          <w:szCs w:val="22"/>
        </w:rPr>
        <w:t xml:space="preserve"> </w:t>
      </w:r>
      <w:r w:rsidR="00FE7546" w:rsidRPr="006F56DA">
        <w:rPr>
          <w:rFonts w:asciiTheme="minorHAnsi" w:eastAsia="Calibri" w:hAnsiTheme="minorHAnsi" w:cstheme="minorHAnsi"/>
          <w:sz w:val="22"/>
          <w:szCs w:val="22"/>
        </w:rPr>
        <w:t>i</w:t>
      </w:r>
      <w:r w:rsidR="00161EC2" w:rsidRPr="006F56DA">
        <w:rPr>
          <w:rFonts w:asciiTheme="minorHAnsi" w:eastAsia="Calibri" w:hAnsiTheme="minorHAnsi" w:cstheme="minorHAnsi"/>
          <w:sz w:val="22"/>
          <w:szCs w:val="22"/>
        </w:rPr>
        <w:t xml:space="preserve">l prezzo medio di un’abitazione turistica in Italia </w:t>
      </w:r>
      <w:r w:rsidRPr="006F56DA">
        <w:rPr>
          <w:rFonts w:asciiTheme="minorHAnsi" w:eastAsia="Calibri" w:hAnsiTheme="minorHAnsi" w:cstheme="minorHAnsi"/>
          <w:sz w:val="22"/>
          <w:szCs w:val="22"/>
        </w:rPr>
        <w:t>viene quotato intorno a</w:t>
      </w:r>
      <w:r w:rsidR="00633F06" w:rsidRPr="006F56DA">
        <w:rPr>
          <w:rFonts w:asciiTheme="minorHAnsi" w:eastAsia="Calibri" w:hAnsiTheme="minorHAnsi" w:cstheme="minorHAnsi"/>
          <w:sz w:val="22"/>
          <w:szCs w:val="22"/>
        </w:rPr>
        <w:t xml:space="preserve"> 2.</w:t>
      </w:r>
      <w:r w:rsidR="00043214" w:rsidRPr="006F56DA">
        <w:rPr>
          <w:rFonts w:asciiTheme="minorHAnsi" w:eastAsia="Calibri" w:hAnsiTheme="minorHAnsi" w:cstheme="minorHAnsi"/>
          <w:sz w:val="22"/>
          <w:szCs w:val="22"/>
        </w:rPr>
        <w:t>22</w:t>
      </w:r>
      <w:r w:rsidR="005340B5" w:rsidRPr="006F56DA">
        <w:rPr>
          <w:rFonts w:asciiTheme="minorHAnsi" w:eastAsia="Calibri" w:hAnsiTheme="minorHAnsi" w:cstheme="minorHAnsi"/>
          <w:sz w:val="22"/>
          <w:szCs w:val="22"/>
        </w:rPr>
        <w:t>0</w:t>
      </w:r>
      <w:r w:rsidR="00161EC2" w:rsidRPr="006F56DA">
        <w:rPr>
          <w:rFonts w:asciiTheme="minorHAnsi" w:eastAsia="Calibri" w:hAnsiTheme="minorHAnsi" w:cstheme="minorHAnsi"/>
          <w:sz w:val="22"/>
          <w:szCs w:val="22"/>
        </w:rPr>
        <w:t xml:space="preserve"> euro al mq commerciale</w:t>
      </w:r>
      <w:r w:rsidR="00853E99" w:rsidRPr="006F56DA">
        <w:rPr>
          <w:rFonts w:asciiTheme="minorHAnsi" w:eastAsia="Calibri" w:hAnsiTheme="minorHAnsi" w:cstheme="minorHAnsi"/>
          <w:sz w:val="22"/>
          <w:szCs w:val="22"/>
        </w:rPr>
        <w:t>,</w:t>
      </w:r>
      <w:r w:rsidR="00737747" w:rsidRPr="006F56DA">
        <w:rPr>
          <w:rFonts w:asciiTheme="minorHAnsi" w:eastAsia="Calibri" w:hAnsiTheme="minorHAnsi" w:cstheme="minorHAnsi"/>
          <w:sz w:val="22"/>
          <w:szCs w:val="22"/>
        </w:rPr>
        <w:t xml:space="preserve"> </w:t>
      </w:r>
      <w:r w:rsidR="00A22364" w:rsidRPr="006F56DA">
        <w:rPr>
          <w:rFonts w:asciiTheme="minorHAnsi" w:eastAsia="Calibri" w:hAnsiTheme="minorHAnsi" w:cstheme="minorHAnsi"/>
          <w:sz w:val="22"/>
          <w:szCs w:val="22"/>
        </w:rPr>
        <w:t xml:space="preserve">che rappresenta la </w:t>
      </w:r>
      <w:r w:rsidR="00161EC2" w:rsidRPr="006F56DA">
        <w:rPr>
          <w:rFonts w:asciiTheme="minorHAnsi" w:eastAsia="Calibri" w:hAnsiTheme="minorHAnsi" w:cstheme="minorHAnsi"/>
          <w:sz w:val="22"/>
          <w:szCs w:val="22"/>
        </w:rPr>
        <w:t xml:space="preserve">sintesi </w:t>
      </w:r>
      <w:r w:rsidR="00334A91" w:rsidRPr="006F56DA">
        <w:rPr>
          <w:rFonts w:asciiTheme="minorHAnsi" w:eastAsia="Calibri" w:hAnsiTheme="minorHAnsi" w:cstheme="minorHAnsi"/>
          <w:sz w:val="22"/>
          <w:szCs w:val="22"/>
        </w:rPr>
        <w:t>dei</w:t>
      </w:r>
      <w:r w:rsidR="00161EC2" w:rsidRPr="006F56DA">
        <w:rPr>
          <w:rFonts w:asciiTheme="minorHAnsi" w:eastAsia="Calibri" w:hAnsiTheme="minorHAnsi" w:cstheme="minorHAnsi"/>
          <w:sz w:val="22"/>
          <w:szCs w:val="22"/>
        </w:rPr>
        <w:t xml:space="preserve"> valori differenziati per tipologia</w:t>
      </w:r>
      <w:r w:rsidR="00A22364" w:rsidRPr="006F56DA">
        <w:rPr>
          <w:rFonts w:asciiTheme="minorHAnsi" w:eastAsia="Calibri" w:hAnsiTheme="minorHAnsi" w:cstheme="minorHAnsi"/>
          <w:sz w:val="22"/>
          <w:szCs w:val="22"/>
        </w:rPr>
        <w:t xml:space="preserve"> abitativa e</w:t>
      </w:r>
      <w:r w:rsidR="00161EC2" w:rsidRPr="006F56DA">
        <w:rPr>
          <w:rFonts w:asciiTheme="minorHAnsi" w:eastAsia="Calibri" w:hAnsiTheme="minorHAnsi" w:cstheme="minorHAnsi"/>
          <w:sz w:val="22"/>
          <w:szCs w:val="22"/>
        </w:rPr>
        <w:t xml:space="preserve"> località turistica.</w:t>
      </w:r>
    </w:p>
    <w:p w14:paraId="0DBBE179" w14:textId="218EA674" w:rsidR="005340B5" w:rsidRPr="00EF523C" w:rsidRDefault="005340B5" w:rsidP="00432049">
      <w:pPr>
        <w:jc w:val="both"/>
        <w:rPr>
          <w:rFonts w:asciiTheme="minorHAnsi" w:eastAsia="Calibri" w:hAnsiTheme="minorHAnsi" w:cstheme="minorHAnsi"/>
          <w:color w:val="FF0000"/>
          <w:sz w:val="22"/>
          <w:szCs w:val="22"/>
        </w:rPr>
      </w:pPr>
      <w:r w:rsidRPr="006F56DA">
        <w:rPr>
          <w:rFonts w:asciiTheme="minorHAnsi" w:eastAsia="Calibri" w:hAnsiTheme="minorHAnsi" w:cstheme="minorHAnsi"/>
          <w:sz w:val="22"/>
          <w:szCs w:val="22"/>
        </w:rPr>
        <w:t>Concentrandosi sulle abitazioni top nuove, le quotazioni medie si attestano su valori che superano i 3.000</w:t>
      </w:r>
      <w:r w:rsidR="00334A91" w:rsidRPr="006F56DA">
        <w:rPr>
          <w:rFonts w:asciiTheme="minorHAnsi" w:eastAsia="Calibri" w:hAnsiTheme="minorHAnsi" w:cstheme="minorHAnsi"/>
          <w:sz w:val="22"/>
          <w:szCs w:val="22"/>
        </w:rPr>
        <w:t xml:space="preserve"> euro</w:t>
      </w:r>
      <w:r w:rsidRPr="006F56DA">
        <w:rPr>
          <w:rFonts w:asciiTheme="minorHAnsi" w:eastAsia="Calibri" w:hAnsiTheme="minorHAnsi" w:cstheme="minorHAnsi"/>
          <w:sz w:val="22"/>
          <w:szCs w:val="22"/>
        </w:rPr>
        <w:t xml:space="preserve"> al mq, le abitazioni </w:t>
      </w:r>
      <w:r w:rsidR="00EF523C" w:rsidRPr="006F56DA">
        <w:rPr>
          <w:rFonts w:asciiTheme="minorHAnsi" w:eastAsia="Calibri" w:hAnsiTheme="minorHAnsi" w:cstheme="minorHAnsi"/>
          <w:sz w:val="22"/>
          <w:szCs w:val="22"/>
        </w:rPr>
        <w:t>centrali usate presentano valori che oscillano tra 1</w:t>
      </w:r>
      <w:r w:rsidR="00413D5E" w:rsidRPr="006F56DA">
        <w:rPr>
          <w:rFonts w:asciiTheme="minorHAnsi" w:eastAsia="Calibri" w:hAnsiTheme="minorHAnsi" w:cstheme="minorHAnsi"/>
          <w:sz w:val="22"/>
          <w:szCs w:val="22"/>
        </w:rPr>
        <w:t>.</w:t>
      </w:r>
      <w:r w:rsidR="00EF523C" w:rsidRPr="006F56DA">
        <w:rPr>
          <w:rFonts w:asciiTheme="minorHAnsi" w:eastAsia="Calibri" w:hAnsiTheme="minorHAnsi" w:cstheme="minorHAnsi"/>
          <w:sz w:val="22"/>
          <w:szCs w:val="22"/>
        </w:rPr>
        <w:t>995 e 2</w:t>
      </w:r>
      <w:r w:rsidR="00413D5E" w:rsidRPr="006F56DA">
        <w:rPr>
          <w:rFonts w:asciiTheme="minorHAnsi" w:eastAsia="Calibri" w:hAnsiTheme="minorHAnsi" w:cstheme="minorHAnsi"/>
          <w:sz w:val="22"/>
          <w:szCs w:val="22"/>
        </w:rPr>
        <w:t>.</w:t>
      </w:r>
      <w:r w:rsidR="00EF523C" w:rsidRPr="006F56DA">
        <w:rPr>
          <w:rFonts w:asciiTheme="minorHAnsi" w:eastAsia="Calibri" w:hAnsiTheme="minorHAnsi" w:cstheme="minorHAnsi"/>
          <w:sz w:val="22"/>
          <w:szCs w:val="22"/>
        </w:rPr>
        <w:t>155 euro al mq mentre</w:t>
      </w:r>
      <w:r w:rsidR="00EF523C" w:rsidRPr="00D86C72">
        <w:rPr>
          <w:rFonts w:asciiTheme="minorHAnsi" w:eastAsia="Calibri" w:hAnsiTheme="minorHAnsi" w:cstheme="minorHAnsi"/>
          <w:sz w:val="22"/>
          <w:szCs w:val="22"/>
        </w:rPr>
        <w:t xml:space="preserve"> le abitazioni periferiche usate si mantengono tra 1</w:t>
      </w:r>
      <w:r w:rsidR="00413D5E">
        <w:rPr>
          <w:rFonts w:asciiTheme="minorHAnsi" w:eastAsia="Calibri" w:hAnsiTheme="minorHAnsi" w:cstheme="minorHAnsi"/>
          <w:sz w:val="22"/>
          <w:szCs w:val="22"/>
        </w:rPr>
        <w:t>.</w:t>
      </w:r>
      <w:r w:rsidR="00EF523C" w:rsidRPr="00D86C72">
        <w:rPr>
          <w:rFonts w:asciiTheme="minorHAnsi" w:eastAsia="Calibri" w:hAnsiTheme="minorHAnsi" w:cstheme="minorHAnsi"/>
          <w:sz w:val="22"/>
          <w:szCs w:val="22"/>
        </w:rPr>
        <w:t>350 e 1</w:t>
      </w:r>
      <w:r w:rsidR="00413D5E">
        <w:rPr>
          <w:rFonts w:asciiTheme="minorHAnsi" w:eastAsia="Calibri" w:hAnsiTheme="minorHAnsi" w:cstheme="minorHAnsi"/>
          <w:sz w:val="22"/>
          <w:szCs w:val="22"/>
        </w:rPr>
        <w:t>.</w:t>
      </w:r>
      <w:r w:rsidR="00EF523C" w:rsidRPr="00D86C72">
        <w:rPr>
          <w:rFonts w:asciiTheme="minorHAnsi" w:eastAsia="Calibri" w:hAnsiTheme="minorHAnsi" w:cstheme="minorHAnsi"/>
          <w:sz w:val="22"/>
          <w:szCs w:val="22"/>
        </w:rPr>
        <w:t xml:space="preserve">500 euro al mq. </w:t>
      </w:r>
    </w:p>
    <w:p w14:paraId="05CBDD75" w14:textId="77777777" w:rsidR="00043214" w:rsidRPr="004B6802" w:rsidRDefault="00043214" w:rsidP="00853E99">
      <w:pPr>
        <w:rPr>
          <w:rFonts w:asciiTheme="minorHAnsi" w:eastAsia="Calibri" w:hAnsiTheme="minorHAnsi" w:cstheme="minorHAnsi"/>
          <w:sz w:val="22"/>
          <w:szCs w:val="22"/>
        </w:rPr>
      </w:pPr>
    </w:p>
    <w:p w14:paraId="603978C9" w14:textId="7C538241" w:rsidR="00695100" w:rsidRDefault="00695100" w:rsidP="00853E99">
      <w:pPr>
        <w:rPr>
          <w:rFonts w:asciiTheme="minorHAnsi" w:eastAsia="Calibri" w:hAnsiTheme="minorHAnsi" w:cstheme="minorHAnsi"/>
          <w:sz w:val="22"/>
          <w:szCs w:val="22"/>
        </w:rPr>
      </w:pPr>
    </w:p>
    <w:p w14:paraId="2AB8E529" w14:textId="1E50CE22" w:rsidR="00024778" w:rsidRDefault="00024778" w:rsidP="00853E99">
      <w:pPr>
        <w:rPr>
          <w:rFonts w:asciiTheme="minorHAnsi" w:eastAsia="Calibri" w:hAnsiTheme="minorHAnsi" w:cstheme="minorHAnsi"/>
          <w:sz w:val="22"/>
          <w:szCs w:val="22"/>
        </w:rPr>
      </w:pPr>
    </w:p>
    <w:p w14:paraId="1D00AE1E" w14:textId="2838DD4A" w:rsidR="00897CAF" w:rsidRDefault="00897CAF" w:rsidP="00853E99">
      <w:pPr>
        <w:rPr>
          <w:rFonts w:asciiTheme="minorHAnsi" w:eastAsia="Calibri" w:hAnsiTheme="minorHAnsi" w:cstheme="minorHAnsi"/>
          <w:sz w:val="22"/>
          <w:szCs w:val="22"/>
        </w:rPr>
      </w:pPr>
    </w:p>
    <w:p w14:paraId="288E1F6C" w14:textId="6F584D45" w:rsidR="00325BF0" w:rsidRDefault="00325BF0" w:rsidP="00853E99">
      <w:pPr>
        <w:rPr>
          <w:rFonts w:asciiTheme="minorHAnsi" w:eastAsia="Calibri" w:hAnsiTheme="minorHAnsi" w:cstheme="minorHAnsi"/>
          <w:sz w:val="22"/>
          <w:szCs w:val="22"/>
        </w:rPr>
      </w:pPr>
    </w:p>
    <w:p w14:paraId="29994482" w14:textId="77777777" w:rsidR="00325BF0" w:rsidRDefault="00325BF0" w:rsidP="00853E99">
      <w:pPr>
        <w:rPr>
          <w:rFonts w:asciiTheme="minorHAnsi" w:eastAsia="Calibri" w:hAnsiTheme="minorHAnsi" w:cstheme="minorHAnsi"/>
          <w:sz w:val="22"/>
          <w:szCs w:val="22"/>
        </w:rPr>
      </w:pPr>
    </w:p>
    <w:p w14:paraId="1914F666" w14:textId="77777777" w:rsidR="00897CAF" w:rsidRDefault="00897CAF" w:rsidP="00853E99">
      <w:pPr>
        <w:rPr>
          <w:rFonts w:asciiTheme="minorHAnsi" w:eastAsia="Calibri" w:hAnsiTheme="minorHAnsi" w:cstheme="minorHAnsi"/>
          <w:sz w:val="22"/>
          <w:szCs w:val="22"/>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5"/>
        <w:gridCol w:w="2126"/>
        <w:gridCol w:w="2693"/>
        <w:gridCol w:w="2904"/>
      </w:tblGrid>
      <w:tr w:rsidR="0041716C" w:rsidRPr="0041716C" w14:paraId="00F3758B" w14:textId="77777777" w:rsidTr="00C72373">
        <w:trPr>
          <w:trHeight w:val="340"/>
          <w:jc w:val="center"/>
        </w:trPr>
        <w:tc>
          <w:tcPr>
            <w:tcW w:w="2055" w:type="dxa"/>
            <w:vAlign w:val="center"/>
          </w:tcPr>
          <w:p w14:paraId="17DBA577" w14:textId="061AAD34" w:rsidR="00FC7BBB" w:rsidRPr="0041716C" w:rsidRDefault="00B23B9D" w:rsidP="000D7640">
            <w:pPr>
              <w:rPr>
                <w:rFonts w:asciiTheme="minorHAnsi" w:eastAsia="Calibri" w:hAnsiTheme="minorHAnsi" w:cstheme="minorHAnsi"/>
                <w:b w:val="0"/>
                <w:sz w:val="20"/>
              </w:rPr>
            </w:pPr>
            <w:r w:rsidRPr="0041716C">
              <w:rPr>
                <w:rFonts w:asciiTheme="minorHAnsi" w:eastAsia="Calibri" w:hAnsiTheme="minorHAnsi" w:cstheme="minorHAnsi"/>
                <w:b w:val="0"/>
                <w:caps w:val="0"/>
                <w:sz w:val="20"/>
              </w:rPr>
              <w:t xml:space="preserve">Tavola </w:t>
            </w:r>
            <w:r w:rsidR="00464BC2">
              <w:rPr>
                <w:rFonts w:asciiTheme="minorHAnsi" w:eastAsia="Calibri" w:hAnsiTheme="minorHAnsi" w:cstheme="minorHAnsi"/>
                <w:b w:val="0"/>
                <w:caps w:val="0"/>
                <w:sz w:val="20"/>
              </w:rPr>
              <w:t>2</w:t>
            </w:r>
          </w:p>
        </w:tc>
        <w:tc>
          <w:tcPr>
            <w:tcW w:w="7723" w:type="dxa"/>
            <w:gridSpan w:val="3"/>
            <w:shd w:val="clear" w:color="auto" w:fill="D9D9D9" w:themeFill="background1" w:themeFillShade="D9"/>
            <w:vAlign w:val="center"/>
          </w:tcPr>
          <w:p w14:paraId="60679607" w14:textId="729DDDF2" w:rsidR="00FC7BBB" w:rsidRPr="0041716C" w:rsidRDefault="00FC7BBB" w:rsidP="00633F06">
            <w:pPr>
              <w:jc w:val="center"/>
              <w:rPr>
                <w:rFonts w:asciiTheme="minorHAnsi" w:eastAsia="Calibri" w:hAnsiTheme="minorHAnsi" w:cstheme="minorHAnsi"/>
                <w:caps w:val="0"/>
                <w:sz w:val="20"/>
              </w:rPr>
            </w:pPr>
            <w:r w:rsidRPr="0041716C">
              <w:rPr>
                <w:rFonts w:asciiTheme="minorHAnsi" w:eastAsia="Calibri" w:hAnsiTheme="minorHAnsi" w:cstheme="minorHAnsi"/>
                <w:caps w:val="0"/>
                <w:sz w:val="20"/>
              </w:rPr>
              <w:t>Prezz</w:t>
            </w:r>
            <w:r w:rsidR="00161EC2" w:rsidRPr="0041716C">
              <w:rPr>
                <w:rFonts w:asciiTheme="minorHAnsi" w:eastAsia="Calibri" w:hAnsiTheme="minorHAnsi" w:cstheme="minorHAnsi"/>
                <w:caps w:val="0"/>
                <w:sz w:val="20"/>
              </w:rPr>
              <w:t>i</w:t>
            </w:r>
            <w:r w:rsidRPr="0041716C">
              <w:rPr>
                <w:rFonts w:asciiTheme="minorHAnsi" w:eastAsia="Calibri" w:hAnsiTheme="minorHAnsi" w:cstheme="minorHAnsi"/>
                <w:caps w:val="0"/>
                <w:sz w:val="20"/>
              </w:rPr>
              <w:t xml:space="preserve"> medi</w:t>
            </w:r>
            <w:r w:rsidR="00F02CF0" w:rsidRPr="0041716C">
              <w:rPr>
                <w:rFonts w:asciiTheme="minorHAnsi" w:eastAsia="Calibri" w:hAnsiTheme="minorHAnsi" w:cstheme="minorHAnsi"/>
                <w:caps w:val="0"/>
                <w:sz w:val="20"/>
              </w:rPr>
              <w:t xml:space="preserve"> 20</w:t>
            </w:r>
            <w:r w:rsidR="00043214">
              <w:rPr>
                <w:rFonts w:asciiTheme="minorHAnsi" w:eastAsia="Calibri" w:hAnsiTheme="minorHAnsi" w:cstheme="minorHAnsi"/>
                <w:caps w:val="0"/>
                <w:sz w:val="20"/>
              </w:rPr>
              <w:t>20</w:t>
            </w:r>
            <w:r w:rsidR="00C04B49" w:rsidRPr="0041716C">
              <w:rPr>
                <w:rFonts w:asciiTheme="minorHAnsi" w:eastAsia="Calibri" w:hAnsiTheme="minorHAnsi" w:cstheme="minorHAnsi"/>
                <w:caps w:val="0"/>
                <w:sz w:val="20"/>
              </w:rPr>
              <w:t xml:space="preserve"> (€/mq)</w:t>
            </w:r>
          </w:p>
        </w:tc>
      </w:tr>
      <w:tr w:rsidR="0041716C" w:rsidRPr="0041716C" w14:paraId="7BB7A374" w14:textId="77777777" w:rsidTr="00C72373">
        <w:trPr>
          <w:trHeight w:val="340"/>
          <w:jc w:val="center"/>
        </w:trPr>
        <w:tc>
          <w:tcPr>
            <w:tcW w:w="2055" w:type="dxa"/>
            <w:vAlign w:val="center"/>
          </w:tcPr>
          <w:p w14:paraId="16F117A9" w14:textId="77777777" w:rsidR="00FC7BBB" w:rsidRPr="0041716C" w:rsidRDefault="00FC7BBB" w:rsidP="00C72373">
            <w:pPr>
              <w:rPr>
                <w:rFonts w:asciiTheme="minorHAnsi" w:eastAsia="Calibri" w:hAnsiTheme="minorHAnsi" w:cstheme="minorHAnsi"/>
                <w:sz w:val="20"/>
              </w:rPr>
            </w:pPr>
          </w:p>
        </w:tc>
        <w:tc>
          <w:tcPr>
            <w:tcW w:w="2126" w:type="dxa"/>
            <w:shd w:val="clear" w:color="auto" w:fill="F2F2F2" w:themeFill="background1" w:themeFillShade="F2"/>
            <w:vAlign w:val="center"/>
          </w:tcPr>
          <w:p w14:paraId="3A2570C8" w14:textId="77777777" w:rsidR="00FC7BBB" w:rsidRPr="0041716C" w:rsidRDefault="00F63B06" w:rsidP="00C72373">
            <w:pPr>
              <w:jc w:val="center"/>
              <w:rPr>
                <w:rFonts w:asciiTheme="minorHAnsi" w:eastAsia="Calibri" w:hAnsiTheme="minorHAnsi" w:cstheme="minorHAnsi"/>
                <w:sz w:val="20"/>
              </w:rPr>
            </w:pPr>
            <w:r w:rsidRPr="0041716C">
              <w:rPr>
                <w:rFonts w:asciiTheme="minorHAnsi" w:eastAsia="Calibri" w:hAnsiTheme="minorHAnsi" w:cstheme="minorHAnsi"/>
                <w:caps w:val="0"/>
                <w:sz w:val="20"/>
              </w:rPr>
              <w:t xml:space="preserve">Abitazioni </w:t>
            </w:r>
            <w:r w:rsidR="00FC7BBB" w:rsidRPr="0041716C">
              <w:rPr>
                <w:rFonts w:asciiTheme="minorHAnsi" w:eastAsia="Calibri" w:hAnsiTheme="minorHAnsi" w:cstheme="minorHAnsi"/>
                <w:caps w:val="0"/>
                <w:sz w:val="20"/>
              </w:rPr>
              <w:t>top nuove</w:t>
            </w:r>
          </w:p>
        </w:tc>
        <w:tc>
          <w:tcPr>
            <w:tcW w:w="2693" w:type="dxa"/>
            <w:shd w:val="clear" w:color="auto" w:fill="F2F2F2" w:themeFill="background1" w:themeFillShade="F2"/>
            <w:vAlign w:val="center"/>
          </w:tcPr>
          <w:p w14:paraId="49648B73" w14:textId="77777777" w:rsidR="00FC7BBB" w:rsidRPr="0041716C" w:rsidRDefault="00F63B06" w:rsidP="00C72373">
            <w:pPr>
              <w:jc w:val="center"/>
              <w:rPr>
                <w:rFonts w:asciiTheme="minorHAnsi" w:eastAsia="Calibri" w:hAnsiTheme="minorHAnsi" w:cstheme="minorHAnsi"/>
                <w:sz w:val="20"/>
              </w:rPr>
            </w:pPr>
            <w:r w:rsidRPr="0041716C">
              <w:rPr>
                <w:rFonts w:asciiTheme="minorHAnsi" w:eastAsia="Calibri" w:hAnsiTheme="minorHAnsi" w:cstheme="minorHAnsi"/>
                <w:caps w:val="0"/>
                <w:sz w:val="20"/>
              </w:rPr>
              <w:t>Abitazioni centrali usate</w:t>
            </w:r>
          </w:p>
        </w:tc>
        <w:tc>
          <w:tcPr>
            <w:tcW w:w="2904" w:type="dxa"/>
            <w:shd w:val="clear" w:color="auto" w:fill="F2F2F2" w:themeFill="background1" w:themeFillShade="F2"/>
            <w:vAlign w:val="center"/>
          </w:tcPr>
          <w:p w14:paraId="31469465" w14:textId="77777777" w:rsidR="00FC7BBB" w:rsidRPr="0041716C" w:rsidRDefault="00F63B06" w:rsidP="00C72373">
            <w:pPr>
              <w:jc w:val="center"/>
              <w:rPr>
                <w:rFonts w:asciiTheme="minorHAnsi" w:eastAsia="Calibri" w:hAnsiTheme="minorHAnsi" w:cstheme="minorHAnsi"/>
                <w:sz w:val="20"/>
              </w:rPr>
            </w:pPr>
            <w:r w:rsidRPr="0041716C">
              <w:rPr>
                <w:rFonts w:asciiTheme="minorHAnsi" w:eastAsia="Calibri" w:hAnsiTheme="minorHAnsi" w:cstheme="minorHAnsi"/>
                <w:caps w:val="0"/>
                <w:sz w:val="20"/>
              </w:rPr>
              <w:t>Abitazioni periferiche usate</w:t>
            </w:r>
          </w:p>
        </w:tc>
      </w:tr>
      <w:tr w:rsidR="003251EF" w:rsidRPr="0041716C" w14:paraId="07E84B9F" w14:textId="77777777" w:rsidTr="00DC3E45">
        <w:trPr>
          <w:trHeight w:val="340"/>
          <w:jc w:val="center"/>
        </w:trPr>
        <w:tc>
          <w:tcPr>
            <w:tcW w:w="2055" w:type="dxa"/>
            <w:shd w:val="clear" w:color="auto" w:fill="DEEAF6" w:themeFill="accent1" w:themeFillTint="33"/>
            <w:vAlign w:val="center"/>
          </w:tcPr>
          <w:p w14:paraId="4F06A542" w14:textId="77777777" w:rsidR="003251EF" w:rsidRPr="0041716C" w:rsidRDefault="003251EF" w:rsidP="003251EF">
            <w:pPr>
              <w:rPr>
                <w:rFonts w:asciiTheme="minorHAnsi" w:eastAsia="Calibri" w:hAnsiTheme="minorHAnsi" w:cstheme="minorHAnsi"/>
                <w:caps w:val="0"/>
                <w:sz w:val="20"/>
              </w:rPr>
            </w:pPr>
            <w:r w:rsidRPr="0041716C">
              <w:rPr>
                <w:rFonts w:asciiTheme="minorHAnsi" w:eastAsia="Calibri" w:hAnsiTheme="minorHAnsi" w:cstheme="minorHAnsi"/>
                <w:caps w:val="0"/>
                <w:sz w:val="20"/>
              </w:rPr>
              <w:t>Località lacuali</w:t>
            </w:r>
          </w:p>
        </w:tc>
        <w:tc>
          <w:tcPr>
            <w:tcW w:w="2126" w:type="dxa"/>
            <w:shd w:val="clear" w:color="auto" w:fill="DEEAF6" w:themeFill="accent1" w:themeFillTint="33"/>
            <w:vAlign w:val="bottom"/>
          </w:tcPr>
          <w:p w14:paraId="4CFEA23A" w14:textId="20AC4216" w:rsidR="003251EF" w:rsidRPr="00043214" w:rsidRDefault="003251EF" w:rsidP="003251EF">
            <w:pPr>
              <w:jc w:val="center"/>
              <w:rPr>
                <w:rFonts w:ascii="Calibri" w:hAnsi="Calibri" w:cs="Arial"/>
                <w:b w:val="0"/>
                <w:bCs w:val="0"/>
                <w:color w:val="000000"/>
                <w:sz w:val="20"/>
              </w:rPr>
            </w:pPr>
            <w:r>
              <w:rPr>
                <w:rFonts w:ascii="Calibri" w:hAnsi="Calibri" w:cs="Calibri"/>
                <w:color w:val="000000"/>
                <w:sz w:val="20"/>
              </w:rPr>
              <w:t>3</w:t>
            </w:r>
            <w:r w:rsidR="005340B5">
              <w:rPr>
                <w:rFonts w:ascii="Calibri" w:hAnsi="Calibri" w:cs="Calibri"/>
                <w:color w:val="000000"/>
                <w:sz w:val="20"/>
              </w:rPr>
              <w:t>.</w:t>
            </w:r>
            <w:r>
              <w:rPr>
                <w:rFonts w:ascii="Calibri" w:hAnsi="Calibri" w:cs="Calibri"/>
                <w:color w:val="000000"/>
                <w:sz w:val="20"/>
              </w:rPr>
              <w:t>290</w:t>
            </w:r>
          </w:p>
        </w:tc>
        <w:tc>
          <w:tcPr>
            <w:tcW w:w="2693" w:type="dxa"/>
            <w:shd w:val="clear" w:color="auto" w:fill="DEEAF6" w:themeFill="accent1" w:themeFillTint="33"/>
            <w:vAlign w:val="bottom"/>
          </w:tcPr>
          <w:p w14:paraId="5FA26F53" w14:textId="629C50E0" w:rsidR="003251EF" w:rsidRPr="00043214" w:rsidRDefault="003251EF" w:rsidP="003251EF">
            <w:pPr>
              <w:jc w:val="center"/>
              <w:rPr>
                <w:rFonts w:ascii="Calibri" w:hAnsi="Calibri" w:cs="Arial"/>
                <w:b w:val="0"/>
                <w:bCs w:val="0"/>
                <w:color w:val="000000"/>
                <w:sz w:val="20"/>
              </w:rPr>
            </w:pPr>
            <w:r>
              <w:rPr>
                <w:rFonts w:ascii="Calibri" w:hAnsi="Calibri" w:cs="Calibri"/>
                <w:color w:val="000000"/>
                <w:sz w:val="20"/>
              </w:rPr>
              <w:t>1</w:t>
            </w:r>
            <w:r w:rsidR="005340B5">
              <w:rPr>
                <w:rFonts w:ascii="Calibri" w:hAnsi="Calibri" w:cs="Calibri"/>
                <w:color w:val="000000"/>
                <w:sz w:val="20"/>
              </w:rPr>
              <w:t>.</w:t>
            </w:r>
            <w:r>
              <w:rPr>
                <w:rFonts w:ascii="Calibri" w:hAnsi="Calibri" w:cs="Calibri"/>
                <w:color w:val="000000"/>
                <w:sz w:val="20"/>
              </w:rPr>
              <w:t>995</w:t>
            </w:r>
          </w:p>
        </w:tc>
        <w:tc>
          <w:tcPr>
            <w:tcW w:w="2904" w:type="dxa"/>
            <w:shd w:val="clear" w:color="auto" w:fill="DEEAF6" w:themeFill="accent1" w:themeFillTint="33"/>
            <w:vAlign w:val="bottom"/>
          </w:tcPr>
          <w:p w14:paraId="75959E56" w14:textId="612748EC" w:rsidR="003251EF" w:rsidRPr="00043214" w:rsidRDefault="003251EF" w:rsidP="003251EF">
            <w:pPr>
              <w:jc w:val="center"/>
              <w:rPr>
                <w:rFonts w:ascii="Calibri" w:hAnsi="Calibri" w:cs="Arial"/>
                <w:b w:val="0"/>
                <w:bCs w:val="0"/>
                <w:color w:val="000000"/>
                <w:sz w:val="20"/>
              </w:rPr>
            </w:pPr>
            <w:r>
              <w:rPr>
                <w:rFonts w:ascii="Calibri" w:hAnsi="Calibri" w:cs="Calibri"/>
                <w:color w:val="000000"/>
                <w:sz w:val="20"/>
              </w:rPr>
              <w:t>1</w:t>
            </w:r>
            <w:r w:rsidR="005340B5">
              <w:rPr>
                <w:rFonts w:ascii="Calibri" w:hAnsi="Calibri" w:cs="Calibri"/>
                <w:color w:val="000000"/>
                <w:sz w:val="20"/>
              </w:rPr>
              <w:t>.</w:t>
            </w:r>
            <w:r>
              <w:rPr>
                <w:rFonts w:ascii="Calibri" w:hAnsi="Calibri" w:cs="Calibri"/>
                <w:color w:val="000000"/>
                <w:sz w:val="20"/>
              </w:rPr>
              <w:t>325</w:t>
            </w:r>
          </w:p>
        </w:tc>
      </w:tr>
      <w:tr w:rsidR="003251EF" w:rsidRPr="0041716C" w14:paraId="32F6139D" w14:textId="77777777" w:rsidTr="00DC3E45">
        <w:trPr>
          <w:trHeight w:val="340"/>
          <w:jc w:val="center"/>
        </w:trPr>
        <w:tc>
          <w:tcPr>
            <w:tcW w:w="2055" w:type="dxa"/>
            <w:shd w:val="clear" w:color="auto" w:fill="DEEAF6" w:themeFill="accent1" w:themeFillTint="33"/>
            <w:vAlign w:val="center"/>
          </w:tcPr>
          <w:p w14:paraId="75A9C855" w14:textId="77777777" w:rsidR="003251EF" w:rsidRPr="0041716C" w:rsidRDefault="003251EF" w:rsidP="003251EF">
            <w:pPr>
              <w:rPr>
                <w:rFonts w:asciiTheme="minorHAnsi" w:eastAsia="Calibri" w:hAnsiTheme="minorHAnsi" w:cstheme="minorHAnsi"/>
                <w:sz w:val="20"/>
              </w:rPr>
            </w:pPr>
            <w:r w:rsidRPr="0041716C">
              <w:rPr>
                <w:rFonts w:asciiTheme="minorHAnsi" w:eastAsia="Calibri" w:hAnsiTheme="minorHAnsi" w:cstheme="minorHAnsi"/>
                <w:caps w:val="0"/>
                <w:sz w:val="20"/>
              </w:rPr>
              <w:t>Località marine</w:t>
            </w:r>
          </w:p>
        </w:tc>
        <w:tc>
          <w:tcPr>
            <w:tcW w:w="2126" w:type="dxa"/>
            <w:shd w:val="clear" w:color="auto" w:fill="DEEAF6" w:themeFill="accent1" w:themeFillTint="33"/>
            <w:vAlign w:val="bottom"/>
          </w:tcPr>
          <w:p w14:paraId="0D776037" w14:textId="0B6FFE6B" w:rsidR="003251EF" w:rsidRPr="00043214" w:rsidRDefault="003251EF" w:rsidP="003251EF">
            <w:pPr>
              <w:jc w:val="center"/>
              <w:rPr>
                <w:rFonts w:ascii="Calibri" w:hAnsi="Calibri" w:cs="Arial"/>
                <w:b w:val="0"/>
                <w:bCs w:val="0"/>
                <w:color w:val="000000"/>
                <w:sz w:val="20"/>
              </w:rPr>
            </w:pPr>
            <w:r>
              <w:rPr>
                <w:rFonts w:ascii="Calibri" w:hAnsi="Calibri" w:cs="Calibri"/>
                <w:color w:val="000000"/>
                <w:sz w:val="20"/>
              </w:rPr>
              <w:t>3</w:t>
            </w:r>
            <w:r w:rsidR="005340B5">
              <w:rPr>
                <w:rFonts w:ascii="Calibri" w:hAnsi="Calibri" w:cs="Calibri"/>
                <w:color w:val="000000"/>
                <w:sz w:val="20"/>
              </w:rPr>
              <w:t>.</w:t>
            </w:r>
            <w:r>
              <w:rPr>
                <w:rFonts w:ascii="Calibri" w:hAnsi="Calibri" w:cs="Calibri"/>
                <w:color w:val="000000"/>
                <w:sz w:val="20"/>
              </w:rPr>
              <w:t>010</w:t>
            </w:r>
          </w:p>
        </w:tc>
        <w:tc>
          <w:tcPr>
            <w:tcW w:w="2693" w:type="dxa"/>
            <w:shd w:val="clear" w:color="auto" w:fill="DEEAF6" w:themeFill="accent1" w:themeFillTint="33"/>
            <w:vAlign w:val="bottom"/>
          </w:tcPr>
          <w:p w14:paraId="37B2D0DC" w14:textId="21D78854" w:rsidR="003251EF" w:rsidRPr="00043214" w:rsidRDefault="003251EF" w:rsidP="003251EF">
            <w:pPr>
              <w:jc w:val="center"/>
              <w:rPr>
                <w:rFonts w:ascii="Calibri" w:hAnsi="Calibri" w:cs="Arial"/>
                <w:b w:val="0"/>
                <w:bCs w:val="0"/>
                <w:color w:val="000000"/>
                <w:sz w:val="20"/>
              </w:rPr>
            </w:pPr>
            <w:r>
              <w:rPr>
                <w:rFonts w:ascii="Calibri" w:hAnsi="Calibri" w:cs="Calibri"/>
                <w:color w:val="000000"/>
                <w:sz w:val="20"/>
              </w:rPr>
              <w:t>2</w:t>
            </w:r>
            <w:r w:rsidR="005340B5">
              <w:rPr>
                <w:rFonts w:ascii="Calibri" w:hAnsi="Calibri" w:cs="Calibri"/>
                <w:color w:val="000000"/>
                <w:sz w:val="20"/>
              </w:rPr>
              <w:t>.</w:t>
            </w:r>
            <w:r>
              <w:rPr>
                <w:rFonts w:ascii="Calibri" w:hAnsi="Calibri" w:cs="Calibri"/>
                <w:color w:val="000000"/>
                <w:sz w:val="20"/>
              </w:rPr>
              <w:t>140</w:t>
            </w:r>
          </w:p>
        </w:tc>
        <w:tc>
          <w:tcPr>
            <w:tcW w:w="2904" w:type="dxa"/>
            <w:shd w:val="clear" w:color="auto" w:fill="DEEAF6" w:themeFill="accent1" w:themeFillTint="33"/>
            <w:vAlign w:val="bottom"/>
          </w:tcPr>
          <w:p w14:paraId="62034835" w14:textId="3B256F29" w:rsidR="003251EF" w:rsidRPr="00043214" w:rsidRDefault="003251EF" w:rsidP="003251EF">
            <w:pPr>
              <w:jc w:val="center"/>
              <w:rPr>
                <w:rFonts w:ascii="Calibri" w:hAnsi="Calibri" w:cs="Arial"/>
                <w:b w:val="0"/>
                <w:bCs w:val="0"/>
                <w:color w:val="000000"/>
                <w:sz w:val="20"/>
              </w:rPr>
            </w:pPr>
            <w:r>
              <w:rPr>
                <w:rFonts w:ascii="Calibri" w:hAnsi="Calibri" w:cs="Calibri"/>
                <w:color w:val="000000"/>
                <w:sz w:val="20"/>
              </w:rPr>
              <w:t>1</w:t>
            </w:r>
            <w:r w:rsidR="005340B5">
              <w:rPr>
                <w:rFonts w:ascii="Calibri" w:hAnsi="Calibri" w:cs="Calibri"/>
                <w:color w:val="000000"/>
                <w:sz w:val="20"/>
              </w:rPr>
              <w:t>.</w:t>
            </w:r>
            <w:r>
              <w:rPr>
                <w:rFonts w:ascii="Calibri" w:hAnsi="Calibri" w:cs="Calibri"/>
                <w:color w:val="000000"/>
                <w:sz w:val="20"/>
              </w:rPr>
              <w:t>525</w:t>
            </w:r>
          </w:p>
        </w:tc>
      </w:tr>
      <w:tr w:rsidR="003251EF" w:rsidRPr="0041716C" w14:paraId="39410F9F" w14:textId="77777777" w:rsidTr="00DC3E45">
        <w:trPr>
          <w:trHeight w:val="340"/>
          <w:jc w:val="center"/>
        </w:trPr>
        <w:tc>
          <w:tcPr>
            <w:tcW w:w="2055" w:type="dxa"/>
            <w:shd w:val="clear" w:color="auto" w:fill="DEEAF6" w:themeFill="accent1" w:themeFillTint="33"/>
            <w:vAlign w:val="center"/>
          </w:tcPr>
          <w:p w14:paraId="255B3944" w14:textId="77777777" w:rsidR="003251EF" w:rsidRPr="0041716C" w:rsidRDefault="003251EF" w:rsidP="003251EF">
            <w:pPr>
              <w:rPr>
                <w:rFonts w:asciiTheme="minorHAnsi" w:eastAsia="Calibri" w:hAnsiTheme="minorHAnsi" w:cstheme="minorHAnsi"/>
                <w:sz w:val="20"/>
              </w:rPr>
            </w:pPr>
            <w:r w:rsidRPr="0041716C">
              <w:rPr>
                <w:rFonts w:asciiTheme="minorHAnsi" w:eastAsia="Calibri" w:hAnsiTheme="minorHAnsi" w:cstheme="minorHAnsi"/>
                <w:caps w:val="0"/>
                <w:sz w:val="20"/>
              </w:rPr>
              <w:t>Località montane</w:t>
            </w:r>
          </w:p>
        </w:tc>
        <w:tc>
          <w:tcPr>
            <w:tcW w:w="2126" w:type="dxa"/>
            <w:shd w:val="clear" w:color="auto" w:fill="DEEAF6" w:themeFill="accent1" w:themeFillTint="33"/>
            <w:vAlign w:val="bottom"/>
          </w:tcPr>
          <w:p w14:paraId="37B0A744" w14:textId="627FF9BA" w:rsidR="003251EF" w:rsidRPr="00043214" w:rsidRDefault="003251EF" w:rsidP="003251EF">
            <w:pPr>
              <w:jc w:val="center"/>
              <w:rPr>
                <w:rFonts w:ascii="Calibri" w:hAnsi="Calibri" w:cs="Arial"/>
                <w:b w:val="0"/>
                <w:bCs w:val="0"/>
                <w:color w:val="000000"/>
                <w:sz w:val="20"/>
              </w:rPr>
            </w:pPr>
            <w:r>
              <w:rPr>
                <w:rFonts w:ascii="Calibri" w:hAnsi="Calibri" w:cs="Calibri"/>
                <w:color w:val="000000"/>
                <w:sz w:val="20"/>
              </w:rPr>
              <w:t>3</w:t>
            </w:r>
            <w:r w:rsidR="005340B5">
              <w:rPr>
                <w:rFonts w:ascii="Calibri" w:hAnsi="Calibri" w:cs="Calibri"/>
                <w:color w:val="000000"/>
                <w:sz w:val="20"/>
              </w:rPr>
              <w:t>.</w:t>
            </w:r>
            <w:r>
              <w:rPr>
                <w:rFonts w:ascii="Calibri" w:hAnsi="Calibri" w:cs="Calibri"/>
                <w:color w:val="000000"/>
                <w:sz w:val="20"/>
              </w:rPr>
              <w:t>180</w:t>
            </w:r>
          </w:p>
        </w:tc>
        <w:tc>
          <w:tcPr>
            <w:tcW w:w="2693" w:type="dxa"/>
            <w:shd w:val="clear" w:color="auto" w:fill="DEEAF6" w:themeFill="accent1" w:themeFillTint="33"/>
            <w:vAlign w:val="bottom"/>
          </w:tcPr>
          <w:p w14:paraId="0F0DB313" w14:textId="6495C805" w:rsidR="003251EF" w:rsidRPr="00043214" w:rsidRDefault="003251EF" w:rsidP="003251EF">
            <w:pPr>
              <w:jc w:val="center"/>
              <w:rPr>
                <w:rFonts w:ascii="Calibri" w:hAnsi="Calibri" w:cs="Arial"/>
                <w:b w:val="0"/>
                <w:bCs w:val="0"/>
                <w:color w:val="000000"/>
                <w:sz w:val="20"/>
              </w:rPr>
            </w:pPr>
            <w:r>
              <w:rPr>
                <w:rFonts w:ascii="Calibri" w:hAnsi="Calibri" w:cs="Calibri"/>
                <w:color w:val="000000"/>
                <w:sz w:val="20"/>
              </w:rPr>
              <w:t>2</w:t>
            </w:r>
            <w:r w:rsidR="005340B5">
              <w:rPr>
                <w:rFonts w:ascii="Calibri" w:hAnsi="Calibri" w:cs="Calibri"/>
                <w:color w:val="000000"/>
                <w:sz w:val="20"/>
              </w:rPr>
              <w:t>.</w:t>
            </w:r>
            <w:r>
              <w:rPr>
                <w:rFonts w:ascii="Calibri" w:hAnsi="Calibri" w:cs="Calibri"/>
                <w:color w:val="000000"/>
                <w:sz w:val="20"/>
              </w:rPr>
              <w:t>155</w:t>
            </w:r>
          </w:p>
        </w:tc>
        <w:tc>
          <w:tcPr>
            <w:tcW w:w="2904" w:type="dxa"/>
            <w:shd w:val="clear" w:color="auto" w:fill="DEEAF6" w:themeFill="accent1" w:themeFillTint="33"/>
            <w:vAlign w:val="bottom"/>
          </w:tcPr>
          <w:p w14:paraId="1B9B8B70" w14:textId="2626412D" w:rsidR="003251EF" w:rsidRPr="00043214" w:rsidRDefault="003251EF" w:rsidP="003251EF">
            <w:pPr>
              <w:jc w:val="center"/>
              <w:rPr>
                <w:rFonts w:ascii="Calibri" w:hAnsi="Calibri" w:cs="Arial"/>
                <w:b w:val="0"/>
                <w:bCs w:val="0"/>
                <w:color w:val="000000"/>
                <w:sz w:val="20"/>
              </w:rPr>
            </w:pPr>
            <w:r>
              <w:rPr>
                <w:rFonts w:ascii="Calibri" w:hAnsi="Calibri" w:cs="Calibri"/>
                <w:color w:val="000000"/>
                <w:sz w:val="20"/>
              </w:rPr>
              <w:t>1</w:t>
            </w:r>
            <w:r w:rsidR="005340B5">
              <w:rPr>
                <w:rFonts w:ascii="Calibri" w:hAnsi="Calibri" w:cs="Calibri"/>
                <w:color w:val="000000"/>
                <w:sz w:val="20"/>
              </w:rPr>
              <w:t>.</w:t>
            </w:r>
            <w:r>
              <w:rPr>
                <w:rFonts w:ascii="Calibri" w:hAnsi="Calibri" w:cs="Calibri"/>
                <w:color w:val="000000"/>
                <w:sz w:val="20"/>
              </w:rPr>
              <w:t>350</w:t>
            </w:r>
          </w:p>
        </w:tc>
      </w:tr>
    </w:tbl>
    <w:p w14:paraId="100108A0" w14:textId="77777777" w:rsidR="008D7331" w:rsidRPr="0041716C" w:rsidRDefault="008D7331" w:rsidP="008D7331">
      <w:pPr>
        <w:spacing w:before="60"/>
        <w:rPr>
          <w:rFonts w:asciiTheme="minorHAnsi" w:eastAsia="Calibri" w:hAnsiTheme="minorHAnsi" w:cstheme="minorHAnsi"/>
          <w:sz w:val="18"/>
        </w:rPr>
      </w:pPr>
      <w:r w:rsidRPr="0041716C">
        <w:rPr>
          <w:rFonts w:asciiTheme="minorHAnsi" w:eastAsia="Calibri" w:hAnsiTheme="minorHAnsi" w:cstheme="minorHAnsi"/>
          <w:sz w:val="18"/>
        </w:rPr>
        <w:t>Fonte: Nomisma e Fimaa</w:t>
      </w:r>
      <w:r w:rsidR="00AC5889" w:rsidRPr="0041716C">
        <w:rPr>
          <w:rFonts w:asciiTheme="minorHAnsi" w:eastAsia="Calibri" w:hAnsiTheme="minorHAnsi" w:cstheme="minorHAnsi"/>
          <w:sz w:val="18"/>
        </w:rPr>
        <w:t>-Confcommercio</w:t>
      </w:r>
    </w:p>
    <w:p w14:paraId="12B4AF01" w14:textId="57DF064A" w:rsidR="00FC7BBB" w:rsidRPr="00043214" w:rsidRDefault="00FC7BBB" w:rsidP="00364602">
      <w:pPr>
        <w:rPr>
          <w:rFonts w:asciiTheme="minorHAnsi" w:eastAsia="Calibri" w:hAnsiTheme="minorHAnsi" w:cstheme="minorHAnsi"/>
          <w:strike/>
          <w:sz w:val="22"/>
        </w:rPr>
      </w:pPr>
    </w:p>
    <w:p w14:paraId="17EBE62D" w14:textId="24019A7A" w:rsidR="00E11451" w:rsidRPr="00E11451" w:rsidRDefault="00E11451" w:rsidP="00413D5E">
      <w:pPr>
        <w:pStyle w:val="Paragrafoelenco"/>
        <w:ind w:left="0"/>
        <w:jc w:val="both"/>
        <w:rPr>
          <w:rFonts w:asciiTheme="minorHAnsi" w:eastAsia="Calibri" w:hAnsiTheme="minorHAnsi" w:cstheme="minorHAnsi"/>
          <w:sz w:val="22"/>
          <w:szCs w:val="22"/>
        </w:rPr>
      </w:pPr>
      <w:r w:rsidRPr="00E11451">
        <w:rPr>
          <w:rFonts w:asciiTheme="minorHAnsi" w:eastAsia="Calibri" w:hAnsiTheme="minorHAnsi" w:cstheme="minorHAnsi"/>
          <w:sz w:val="22"/>
          <w:szCs w:val="22"/>
        </w:rPr>
        <w:t xml:space="preserve">In cima alla classifica delle principali località turistiche </w:t>
      </w:r>
      <w:r w:rsidR="00413D5E">
        <w:rPr>
          <w:rFonts w:asciiTheme="minorHAnsi" w:eastAsia="Calibri" w:hAnsiTheme="minorHAnsi" w:cstheme="minorHAnsi"/>
          <w:sz w:val="22"/>
          <w:szCs w:val="22"/>
        </w:rPr>
        <w:t xml:space="preserve">- </w:t>
      </w:r>
      <w:r w:rsidRPr="00E11451">
        <w:rPr>
          <w:rFonts w:asciiTheme="minorHAnsi" w:eastAsia="Calibri" w:hAnsiTheme="minorHAnsi" w:cstheme="minorHAnsi"/>
          <w:sz w:val="22"/>
          <w:szCs w:val="22"/>
        </w:rPr>
        <w:t>per quanto riguarda i prezzi massimi di compravendita di appartamenti top o nuovi</w:t>
      </w:r>
      <w:r w:rsidRPr="00E11451">
        <w:rPr>
          <w:rFonts w:asciiTheme="minorHAnsi" w:eastAsia="Calibri" w:hAnsiTheme="minorHAnsi"/>
          <w:sz w:val="22"/>
          <w:szCs w:val="22"/>
          <w:vertAlign w:val="superscript"/>
        </w:rPr>
        <w:footnoteReference w:id="2"/>
      </w:r>
      <w:r w:rsidRPr="00E11451">
        <w:rPr>
          <w:rFonts w:asciiTheme="minorHAnsi" w:eastAsia="Calibri" w:hAnsiTheme="minorHAnsi" w:cstheme="minorHAnsi"/>
          <w:sz w:val="22"/>
          <w:szCs w:val="22"/>
        </w:rPr>
        <w:t xml:space="preserve"> </w:t>
      </w:r>
      <w:r w:rsidR="00413D5E">
        <w:rPr>
          <w:rFonts w:asciiTheme="minorHAnsi" w:eastAsia="Calibri" w:hAnsiTheme="minorHAnsi" w:cstheme="minorHAnsi"/>
          <w:sz w:val="22"/>
          <w:szCs w:val="22"/>
        </w:rPr>
        <w:t>-</w:t>
      </w:r>
      <w:r w:rsidRPr="00E11451">
        <w:rPr>
          <w:rFonts w:asciiTheme="minorHAnsi" w:eastAsia="Calibri" w:hAnsiTheme="minorHAnsi" w:cstheme="minorHAnsi"/>
          <w:sz w:val="22"/>
          <w:szCs w:val="22"/>
        </w:rPr>
        <w:t xml:space="preserve"> troviamo, quest’anno una destinazione montana, plausibilmente anche per effetto della maggiore attrattività della montagna in questo periodo che sopravanza le località marittime.</w:t>
      </w:r>
    </w:p>
    <w:p w14:paraId="067BB7FB" w14:textId="79E8B02C" w:rsidR="008E7FB9" w:rsidRPr="00FB7E09" w:rsidRDefault="00727DC7" w:rsidP="00413D5E">
      <w:pPr>
        <w:pStyle w:val="Paragrafoelenco"/>
        <w:ind w:left="0"/>
        <w:jc w:val="both"/>
        <w:rPr>
          <w:rFonts w:asciiTheme="minorHAnsi" w:eastAsia="Calibri" w:hAnsiTheme="minorHAnsi" w:cstheme="minorHAnsi"/>
          <w:sz w:val="22"/>
          <w:szCs w:val="22"/>
        </w:rPr>
      </w:pPr>
      <w:r>
        <w:rPr>
          <w:rFonts w:asciiTheme="minorHAnsi" w:eastAsia="Calibri" w:hAnsiTheme="minorHAnsi" w:cstheme="minorHAnsi"/>
          <w:sz w:val="22"/>
          <w:szCs w:val="22"/>
        </w:rPr>
        <w:t>È</w:t>
      </w:r>
      <w:r w:rsidR="00E11451" w:rsidRPr="00FB7E09">
        <w:rPr>
          <w:rFonts w:asciiTheme="minorHAnsi" w:eastAsia="Calibri" w:hAnsiTheme="minorHAnsi" w:cstheme="minorHAnsi"/>
          <w:sz w:val="22"/>
          <w:szCs w:val="22"/>
        </w:rPr>
        <w:t xml:space="preserve"> il caso di Madonna di Campiglio (TN) con </w:t>
      </w:r>
      <w:r w:rsidR="008E7FB9" w:rsidRPr="00FB7E09">
        <w:rPr>
          <w:rFonts w:asciiTheme="minorHAnsi" w:eastAsia="Calibri" w:hAnsiTheme="minorHAnsi" w:cstheme="minorHAnsi"/>
          <w:sz w:val="22"/>
          <w:szCs w:val="22"/>
        </w:rPr>
        <w:t>valori che raggiungono i</w:t>
      </w:r>
      <w:r w:rsidR="00E11451" w:rsidRPr="00FB7E09">
        <w:rPr>
          <w:rFonts w:asciiTheme="minorHAnsi" w:eastAsia="Calibri" w:hAnsiTheme="minorHAnsi" w:cstheme="minorHAnsi"/>
          <w:sz w:val="22"/>
          <w:szCs w:val="22"/>
        </w:rPr>
        <w:t xml:space="preserve"> 13.000 €/mq</w:t>
      </w:r>
      <w:r w:rsidR="00413D5E" w:rsidRPr="00FB7E09">
        <w:rPr>
          <w:rFonts w:asciiTheme="minorHAnsi" w:eastAsia="Calibri" w:hAnsiTheme="minorHAnsi" w:cstheme="minorHAnsi"/>
          <w:sz w:val="22"/>
          <w:szCs w:val="22"/>
        </w:rPr>
        <w:t xml:space="preserve"> che guadagna in un anno due posizioni, prendendo</w:t>
      </w:r>
      <w:r w:rsidR="008E7FB9" w:rsidRPr="00FB7E09">
        <w:rPr>
          <w:rFonts w:asciiTheme="minorHAnsi" w:eastAsia="Calibri" w:hAnsiTheme="minorHAnsi" w:cstheme="minorHAnsi"/>
          <w:sz w:val="22"/>
          <w:szCs w:val="22"/>
        </w:rPr>
        <w:t xml:space="preserve"> il posto di Capri (NA) in terza posizione con una quotazione di </w:t>
      </w:r>
      <w:r w:rsidR="008E7FB9" w:rsidRPr="00FB7E09">
        <w:rPr>
          <w:rFonts w:ascii="Calibri" w:hAnsi="Calibri" w:cs="Calibri"/>
          <w:color w:val="000000"/>
          <w:sz w:val="22"/>
          <w:szCs w:val="22"/>
        </w:rPr>
        <w:t xml:space="preserve">11.600 </w:t>
      </w:r>
      <w:r w:rsidR="008E7FB9" w:rsidRPr="00FB7E09">
        <w:rPr>
          <w:rFonts w:asciiTheme="minorHAnsi" w:eastAsia="Calibri" w:hAnsiTheme="minorHAnsi" w:cstheme="minorHAnsi"/>
          <w:sz w:val="22"/>
          <w:szCs w:val="22"/>
        </w:rPr>
        <w:t xml:space="preserve">€/mq. </w:t>
      </w:r>
      <w:r w:rsidR="00E11451" w:rsidRPr="00FB7E09">
        <w:rPr>
          <w:rFonts w:asciiTheme="minorHAnsi" w:eastAsia="Calibri" w:hAnsiTheme="minorHAnsi" w:cstheme="minorHAnsi"/>
          <w:sz w:val="22"/>
          <w:szCs w:val="22"/>
        </w:rPr>
        <w:t>Completa</w:t>
      </w:r>
      <w:r w:rsidR="008E7FB9" w:rsidRPr="00FB7E09">
        <w:rPr>
          <w:rFonts w:asciiTheme="minorHAnsi" w:eastAsia="Calibri" w:hAnsiTheme="minorHAnsi" w:cstheme="minorHAnsi"/>
          <w:sz w:val="22"/>
          <w:szCs w:val="22"/>
        </w:rPr>
        <w:t xml:space="preserve"> i</w:t>
      </w:r>
      <w:r w:rsidR="00E11451" w:rsidRPr="00FB7E09">
        <w:rPr>
          <w:rFonts w:asciiTheme="minorHAnsi" w:eastAsia="Calibri" w:hAnsiTheme="minorHAnsi" w:cstheme="minorHAnsi"/>
          <w:sz w:val="22"/>
          <w:szCs w:val="22"/>
        </w:rPr>
        <w:t xml:space="preserve">l podio Forte dei Marmi (LU) </w:t>
      </w:r>
      <w:r w:rsidR="008E7FB9" w:rsidRPr="00FB7E09">
        <w:rPr>
          <w:rFonts w:asciiTheme="minorHAnsi" w:eastAsia="Calibri" w:hAnsiTheme="minorHAnsi" w:cstheme="minorHAnsi"/>
          <w:sz w:val="22"/>
          <w:szCs w:val="22"/>
        </w:rPr>
        <w:t xml:space="preserve">che si mantiene in seconda posizione </w:t>
      </w:r>
      <w:r w:rsidR="00E11451" w:rsidRPr="00FB7E09">
        <w:rPr>
          <w:rFonts w:asciiTheme="minorHAnsi" w:eastAsia="Calibri" w:hAnsiTheme="minorHAnsi" w:cstheme="minorHAnsi"/>
          <w:sz w:val="22"/>
          <w:szCs w:val="22"/>
        </w:rPr>
        <w:t>con 12.600 €/mq</w:t>
      </w:r>
      <w:r w:rsidR="008E7FB9" w:rsidRPr="00FB7E09">
        <w:rPr>
          <w:rFonts w:asciiTheme="minorHAnsi" w:eastAsia="Calibri" w:hAnsiTheme="minorHAnsi" w:cstheme="minorHAnsi"/>
          <w:sz w:val="22"/>
          <w:szCs w:val="22"/>
        </w:rPr>
        <w:t>, valore stazionario rispetto allo scorso anno.</w:t>
      </w:r>
    </w:p>
    <w:p w14:paraId="7B467A44" w14:textId="15BFDEF0" w:rsidR="005A1B07" w:rsidRPr="00FB7E09" w:rsidRDefault="00C55E33" w:rsidP="00413D5E">
      <w:pPr>
        <w:pStyle w:val="Paragrafoelenco"/>
        <w:ind w:left="0"/>
        <w:jc w:val="both"/>
        <w:rPr>
          <w:rFonts w:ascii="Calibri" w:hAnsi="Calibri" w:cs="Arial"/>
          <w:sz w:val="22"/>
          <w:szCs w:val="22"/>
        </w:rPr>
      </w:pPr>
      <w:r w:rsidRPr="00FB7E09">
        <w:rPr>
          <w:rFonts w:asciiTheme="minorHAnsi" w:eastAsia="Calibri" w:hAnsiTheme="minorHAnsi" w:cstheme="minorHAnsi"/>
          <w:sz w:val="22"/>
          <w:szCs w:val="22"/>
        </w:rPr>
        <w:t>Avanzano in graduatoria</w:t>
      </w:r>
      <w:r w:rsidR="005A1B07" w:rsidRPr="00FB7E09">
        <w:rPr>
          <w:rFonts w:asciiTheme="minorHAnsi" w:eastAsia="Calibri" w:hAnsiTheme="minorHAnsi" w:cstheme="minorHAnsi"/>
          <w:sz w:val="22"/>
          <w:szCs w:val="22"/>
        </w:rPr>
        <w:t xml:space="preserve"> </w:t>
      </w:r>
      <w:r w:rsidR="005A1B07" w:rsidRPr="00FB7E09">
        <w:rPr>
          <w:rFonts w:ascii="Calibri" w:hAnsi="Calibri" w:cs="Calibri"/>
          <w:color w:val="000000"/>
          <w:sz w:val="22"/>
          <w:szCs w:val="22"/>
        </w:rPr>
        <w:t>Courmayeur (AO)</w:t>
      </w:r>
      <w:r w:rsidRPr="00FB7E09">
        <w:rPr>
          <w:rFonts w:ascii="Calibri" w:hAnsi="Calibri" w:cs="Calibri"/>
          <w:color w:val="000000"/>
          <w:sz w:val="22"/>
          <w:szCs w:val="22"/>
        </w:rPr>
        <w:t xml:space="preserve"> e </w:t>
      </w:r>
      <w:r w:rsidR="005A1B07" w:rsidRPr="00FB7E09">
        <w:rPr>
          <w:rFonts w:ascii="Calibri" w:hAnsi="Calibri" w:cs="Calibri"/>
          <w:color w:val="000000"/>
          <w:sz w:val="22"/>
          <w:szCs w:val="22"/>
        </w:rPr>
        <w:t xml:space="preserve">Cortina d'Ampezzo (BL), </w:t>
      </w:r>
      <w:r w:rsidRPr="00FB7E09">
        <w:rPr>
          <w:rFonts w:ascii="Calibri" w:hAnsi="Calibri" w:cs="Calibri"/>
          <w:color w:val="000000"/>
          <w:sz w:val="22"/>
          <w:szCs w:val="22"/>
        </w:rPr>
        <w:t xml:space="preserve">mentre </w:t>
      </w:r>
      <w:r w:rsidR="005A1B07" w:rsidRPr="00FB7E09">
        <w:rPr>
          <w:rFonts w:ascii="Calibri" w:hAnsi="Calibri" w:cs="Calibri"/>
          <w:color w:val="000000"/>
          <w:sz w:val="22"/>
          <w:szCs w:val="22"/>
        </w:rPr>
        <w:t>Santa Margherita Ligure (GE)</w:t>
      </w:r>
      <w:r w:rsidR="00FB7E09" w:rsidRPr="00FB7E09">
        <w:rPr>
          <w:rFonts w:ascii="Calibri" w:hAnsi="Calibri" w:cs="Calibri"/>
          <w:color w:val="000000"/>
          <w:sz w:val="22"/>
          <w:szCs w:val="22"/>
        </w:rPr>
        <w:t>,</w:t>
      </w:r>
      <w:r w:rsidRPr="00FB7E09">
        <w:rPr>
          <w:rFonts w:ascii="Calibri" w:hAnsi="Calibri" w:cs="Calibri"/>
          <w:color w:val="000000"/>
          <w:sz w:val="22"/>
          <w:szCs w:val="22"/>
        </w:rPr>
        <w:t xml:space="preserve"> </w:t>
      </w:r>
      <w:r w:rsidRPr="00FB7E09">
        <w:rPr>
          <w:rFonts w:asciiTheme="minorHAnsi" w:eastAsia="Calibri" w:hAnsiTheme="minorHAnsi" w:cstheme="minorHAnsi"/>
          <w:sz w:val="22"/>
          <w:szCs w:val="22"/>
        </w:rPr>
        <w:t xml:space="preserve">dopo parecchi anni in vetta alla classifica perde </w:t>
      </w:r>
      <w:r w:rsidR="00FB7E09" w:rsidRPr="00FB7E09">
        <w:rPr>
          <w:rFonts w:asciiTheme="minorHAnsi" w:eastAsia="Calibri" w:hAnsiTheme="minorHAnsi" w:cstheme="minorHAnsi"/>
          <w:sz w:val="22"/>
          <w:szCs w:val="22"/>
        </w:rPr>
        <w:t xml:space="preserve">altre </w:t>
      </w:r>
      <w:r w:rsidRPr="00FB7E09">
        <w:rPr>
          <w:rFonts w:asciiTheme="minorHAnsi" w:eastAsia="Calibri" w:hAnsiTheme="minorHAnsi" w:cstheme="minorHAnsi"/>
          <w:sz w:val="22"/>
          <w:szCs w:val="22"/>
        </w:rPr>
        <w:t>due posizioni</w:t>
      </w:r>
      <w:r w:rsidR="005A1B07" w:rsidRPr="00FB7E09">
        <w:rPr>
          <w:rFonts w:ascii="Calibri" w:hAnsi="Calibri" w:cs="Calibri"/>
          <w:color w:val="000000"/>
          <w:sz w:val="22"/>
          <w:szCs w:val="22"/>
        </w:rPr>
        <w:t>,</w:t>
      </w:r>
      <w:r w:rsidRPr="00FB7E09">
        <w:rPr>
          <w:rFonts w:ascii="Calibri" w:hAnsi="Calibri" w:cs="Calibri"/>
          <w:color w:val="000000"/>
          <w:sz w:val="22"/>
          <w:szCs w:val="22"/>
        </w:rPr>
        <w:t xml:space="preserve"> seguita da</w:t>
      </w:r>
      <w:r w:rsidR="005A1B07" w:rsidRPr="00FB7E09">
        <w:rPr>
          <w:rFonts w:ascii="Calibri" w:hAnsi="Calibri" w:cs="Calibri"/>
          <w:color w:val="000000"/>
          <w:sz w:val="22"/>
          <w:szCs w:val="22"/>
        </w:rPr>
        <w:t xml:space="preserve"> Porto Cervo (SS), Positano </w:t>
      </w:r>
      <w:r w:rsidRPr="00FB7E09">
        <w:rPr>
          <w:rFonts w:ascii="Calibri" w:hAnsi="Calibri" w:cs="Calibri"/>
          <w:color w:val="000000"/>
          <w:sz w:val="22"/>
          <w:szCs w:val="22"/>
        </w:rPr>
        <w:t xml:space="preserve">(SA), </w:t>
      </w:r>
      <w:r w:rsidR="005A1B07" w:rsidRPr="00FB7E09">
        <w:rPr>
          <w:rFonts w:ascii="Calibri" w:hAnsi="Calibri" w:cs="Calibri"/>
          <w:color w:val="000000"/>
          <w:sz w:val="22"/>
          <w:szCs w:val="22"/>
        </w:rPr>
        <w:t>Porto Rotondo (SS)</w:t>
      </w:r>
      <w:r w:rsidRPr="00FB7E09">
        <w:rPr>
          <w:rFonts w:ascii="Calibri" w:hAnsi="Calibri" w:cs="Calibri"/>
          <w:color w:val="000000"/>
          <w:sz w:val="22"/>
          <w:szCs w:val="22"/>
        </w:rPr>
        <w:t xml:space="preserve">, </w:t>
      </w:r>
      <w:r w:rsidR="005A1B07" w:rsidRPr="00FB7E09">
        <w:rPr>
          <w:rFonts w:ascii="Calibri" w:hAnsi="Calibri" w:cs="Calibri"/>
          <w:color w:val="000000"/>
          <w:sz w:val="22"/>
          <w:szCs w:val="22"/>
        </w:rPr>
        <w:t>Sirmione (BS)</w:t>
      </w:r>
      <w:r w:rsidRPr="00FB7E09">
        <w:rPr>
          <w:rFonts w:ascii="Calibri" w:hAnsi="Calibri" w:cs="Calibri"/>
          <w:color w:val="000000"/>
          <w:sz w:val="22"/>
          <w:szCs w:val="22"/>
        </w:rPr>
        <w:t>.</w:t>
      </w:r>
    </w:p>
    <w:p w14:paraId="51332A57" w14:textId="32EC2E4A" w:rsidR="00D66DCD" w:rsidRDefault="00D66DCD" w:rsidP="007816E7">
      <w:pPr>
        <w:rPr>
          <w:rFonts w:asciiTheme="minorHAnsi" w:eastAsia="Calibri" w:hAnsiTheme="minorHAnsi" w:cstheme="minorHAnsi"/>
          <w:sz w:val="22"/>
          <w:szCs w:val="22"/>
          <w:highlight w:val="yellow"/>
        </w:rPr>
      </w:pPr>
    </w:p>
    <w:p w14:paraId="5C233E9C" w14:textId="77777777" w:rsidR="00D66DCD" w:rsidRPr="0041716C" w:rsidRDefault="00D66DCD" w:rsidP="00D66DCD">
      <w:pPr>
        <w:jc w:val="center"/>
        <w:rPr>
          <w:rFonts w:asciiTheme="minorHAnsi" w:hAnsiTheme="minorHAnsi" w:cstheme="minorHAnsi"/>
          <w:iCs/>
          <w:sz w:val="16"/>
          <w:szCs w:val="16"/>
        </w:rPr>
      </w:pPr>
    </w:p>
    <w:tbl>
      <w:tblPr>
        <w:tblW w:w="5000" w:type="pct"/>
        <w:jc w:val="center"/>
        <w:tblLook w:val="04A0" w:firstRow="1" w:lastRow="0" w:firstColumn="1" w:lastColumn="0" w:noHBand="0" w:noVBand="1"/>
      </w:tblPr>
      <w:tblGrid>
        <w:gridCol w:w="3758"/>
        <w:gridCol w:w="2507"/>
        <w:gridCol w:w="3589"/>
      </w:tblGrid>
      <w:tr w:rsidR="00D66DCD" w:rsidRPr="0041716C" w14:paraId="4243D629" w14:textId="77777777" w:rsidTr="00D66DCD">
        <w:trPr>
          <w:trHeight w:val="283"/>
          <w:jc w:val="center"/>
        </w:trPr>
        <w:tc>
          <w:tcPr>
            <w:tcW w:w="1907" w:type="pct"/>
            <w:tcBorders>
              <w:left w:val="nil"/>
              <w:right w:val="nil"/>
            </w:tcBorders>
            <w:shd w:val="clear" w:color="auto" w:fill="auto"/>
            <w:vAlign w:val="center"/>
          </w:tcPr>
          <w:p w14:paraId="6381E2D6" w14:textId="5D3F56B3" w:rsidR="00D66DCD" w:rsidRPr="0041716C" w:rsidRDefault="00464BC2" w:rsidP="00DC3E45">
            <w:pPr>
              <w:autoSpaceDE w:val="0"/>
              <w:autoSpaceDN w:val="0"/>
              <w:adjustRightInd w:val="0"/>
              <w:spacing w:line="276" w:lineRule="auto"/>
              <w:rPr>
                <w:rFonts w:asciiTheme="minorHAnsi" w:hAnsiTheme="minorHAnsi" w:cstheme="minorHAnsi"/>
                <w:b/>
                <w:bCs/>
                <w:sz w:val="20"/>
                <w:lang w:eastAsia="en-US"/>
              </w:rPr>
            </w:pPr>
            <w:r w:rsidRPr="0041716C">
              <w:rPr>
                <w:rFonts w:asciiTheme="minorHAnsi" w:eastAsia="Calibri" w:hAnsiTheme="minorHAnsi" w:cstheme="minorHAnsi"/>
                <w:b/>
                <w:caps/>
                <w:sz w:val="20"/>
              </w:rPr>
              <w:t xml:space="preserve">Tavola </w:t>
            </w:r>
            <w:r>
              <w:rPr>
                <w:rFonts w:asciiTheme="minorHAnsi" w:eastAsia="Calibri" w:hAnsiTheme="minorHAnsi" w:cstheme="minorHAnsi"/>
                <w:b/>
                <w:caps/>
                <w:sz w:val="20"/>
              </w:rPr>
              <w:t>3</w:t>
            </w:r>
          </w:p>
        </w:tc>
        <w:tc>
          <w:tcPr>
            <w:tcW w:w="3093" w:type="pct"/>
            <w:gridSpan w:val="2"/>
            <w:tcBorders>
              <w:left w:val="nil"/>
              <w:right w:val="nil"/>
            </w:tcBorders>
            <w:shd w:val="clear" w:color="auto" w:fill="D9D9D9" w:themeFill="background1" w:themeFillShade="D9"/>
            <w:vAlign w:val="center"/>
          </w:tcPr>
          <w:p w14:paraId="4CDC80BE" w14:textId="7B8258F8" w:rsidR="00D66DCD" w:rsidRPr="0041716C" w:rsidRDefault="00D66DCD" w:rsidP="00D66DCD">
            <w:pPr>
              <w:jc w:val="center"/>
              <w:rPr>
                <w:rFonts w:asciiTheme="minorHAnsi" w:hAnsiTheme="minorHAnsi" w:cstheme="minorHAnsi"/>
                <w:b/>
                <w:bCs/>
                <w:sz w:val="20"/>
                <w:lang w:eastAsia="en-US"/>
              </w:rPr>
            </w:pPr>
            <w:r w:rsidRPr="00853818">
              <w:rPr>
                <w:rFonts w:asciiTheme="minorHAnsi" w:hAnsiTheme="minorHAnsi" w:cstheme="minorHAnsi"/>
                <w:b/>
                <w:bCs/>
                <w:sz w:val="22"/>
                <w:szCs w:val="22"/>
              </w:rPr>
              <w:t>Prime 1</w:t>
            </w:r>
            <w:r w:rsidR="00853818" w:rsidRPr="00853818">
              <w:rPr>
                <w:rFonts w:asciiTheme="minorHAnsi" w:hAnsiTheme="minorHAnsi" w:cstheme="minorHAnsi"/>
                <w:b/>
                <w:bCs/>
                <w:sz w:val="22"/>
                <w:szCs w:val="22"/>
              </w:rPr>
              <w:t>0</w:t>
            </w:r>
            <w:r w:rsidRPr="00853818">
              <w:rPr>
                <w:rFonts w:asciiTheme="minorHAnsi" w:hAnsiTheme="minorHAnsi" w:cstheme="minorHAnsi"/>
                <w:b/>
                <w:bCs/>
                <w:sz w:val="22"/>
                <w:szCs w:val="22"/>
              </w:rPr>
              <w:t xml:space="preserve"> località </w:t>
            </w:r>
            <w:r w:rsidRPr="0041716C">
              <w:rPr>
                <w:rFonts w:asciiTheme="minorHAnsi" w:hAnsiTheme="minorHAnsi" w:cstheme="minorHAnsi"/>
                <w:b/>
                <w:bCs/>
                <w:sz w:val="22"/>
                <w:szCs w:val="22"/>
              </w:rPr>
              <w:t>per prezzi massimi di compravendita di appartamenti top o nuovi</w:t>
            </w:r>
          </w:p>
        </w:tc>
      </w:tr>
      <w:tr w:rsidR="00D66DCD" w:rsidRPr="0041716C" w14:paraId="30E98E11" w14:textId="77777777" w:rsidTr="00D66DCD">
        <w:trPr>
          <w:trHeight w:val="283"/>
          <w:jc w:val="center"/>
        </w:trPr>
        <w:tc>
          <w:tcPr>
            <w:tcW w:w="1907" w:type="pct"/>
            <w:tcBorders>
              <w:left w:val="nil"/>
              <w:right w:val="nil"/>
            </w:tcBorders>
            <w:shd w:val="clear" w:color="auto" w:fill="F2F2F2" w:themeFill="background1" w:themeFillShade="F2"/>
            <w:vAlign w:val="center"/>
            <w:hideMark/>
          </w:tcPr>
          <w:p w14:paraId="4F25C36F" w14:textId="77777777" w:rsidR="00D66DCD" w:rsidRPr="0041716C" w:rsidRDefault="00D66DCD" w:rsidP="00DC3E45">
            <w:pPr>
              <w:autoSpaceDE w:val="0"/>
              <w:autoSpaceDN w:val="0"/>
              <w:adjustRightInd w:val="0"/>
              <w:spacing w:line="276" w:lineRule="auto"/>
              <w:rPr>
                <w:rFonts w:asciiTheme="minorHAnsi" w:hAnsiTheme="minorHAnsi" w:cstheme="minorHAnsi"/>
                <w:sz w:val="20"/>
                <w:lang w:eastAsia="en-US"/>
              </w:rPr>
            </w:pPr>
            <w:r w:rsidRPr="0041716C">
              <w:rPr>
                <w:rFonts w:asciiTheme="minorHAnsi" w:hAnsiTheme="minorHAnsi" w:cstheme="minorHAnsi"/>
                <w:b/>
                <w:bCs/>
                <w:sz w:val="20"/>
                <w:lang w:eastAsia="en-US"/>
              </w:rPr>
              <w:t>Località</w:t>
            </w:r>
          </w:p>
        </w:tc>
        <w:tc>
          <w:tcPr>
            <w:tcW w:w="1272" w:type="pct"/>
            <w:tcBorders>
              <w:left w:val="nil"/>
              <w:right w:val="nil"/>
            </w:tcBorders>
            <w:shd w:val="clear" w:color="auto" w:fill="F2F2F2" w:themeFill="background1" w:themeFillShade="F2"/>
            <w:vAlign w:val="center"/>
            <w:hideMark/>
          </w:tcPr>
          <w:p w14:paraId="76C74E37" w14:textId="77777777" w:rsidR="00D66DCD" w:rsidRPr="0041716C" w:rsidRDefault="00D66DCD" w:rsidP="00DC3E45">
            <w:pPr>
              <w:autoSpaceDE w:val="0"/>
              <w:autoSpaceDN w:val="0"/>
              <w:adjustRightInd w:val="0"/>
              <w:spacing w:line="276" w:lineRule="auto"/>
              <w:jc w:val="center"/>
              <w:rPr>
                <w:rFonts w:asciiTheme="minorHAnsi" w:hAnsiTheme="minorHAnsi" w:cstheme="minorHAnsi"/>
                <w:sz w:val="20"/>
                <w:lang w:eastAsia="en-US"/>
              </w:rPr>
            </w:pPr>
            <w:r w:rsidRPr="0041716C">
              <w:rPr>
                <w:rFonts w:asciiTheme="minorHAnsi" w:hAnsiTheme="minorHAnsi" w:cstheme="minorHAnsi"/>
                <w:b/>
                <w:bCs/>
                <w:sz w:val="20"/>
                <w:lang w:eastAsia="en-US"/>
              </w:rPr>
              <w:t>Prezzi</w:t>
            </w:r>
            <w:r w:rsidRPr="0041716C">
              <w:rPr>
                <w:rFonts w:asciiTheme="minorHAnsi" w:hAnsiTheme="minorHAnsi" w:cstheme="minorHAnsi"/>
                <w:b/>
                <w:bCs/>
                <w:sz w:val="20"/>
                <w:lang w:eastAsia="en-US"/>
              </w:rPr>
              <w:br/>
            </w:r>
            <w:r w:rsidRPr="0041716C">
              <w:rPr>
                <w:rFonts w:asciiTheme="minorHAnsi" w:hAnsiTheme="minorHAnsi" w:cstheme="minorHAnsi"/>
                <w:bCs/>
                <w:i/>
                <w:sz w:val="20"/>
                <w:lang w:eastAsia="en-US"/>
              </w:rPr>
              <w:t>(€/mq)</w:t>
            </w:r>
          </w:p>
        </w:tc>
        <w:tc>
          <w:tcPr>
            <w:tcW w:w="1821" w:type="pct"/>
            <w:tcBorders>
              <w:left w:val="nil"/>
              <w:right w:val="nil"/>
            </w:tcBorders>
            <w:shd w:val="clear" w:color="auto" w:fill="F2F2F2" w:themeFill="background1" w:themeFillShade="F2"/>
            <w:vAlign w:val="center"/>
            <w:hideMark/>
          </w:tcPr>
          <w:p w14:paraId="57108C77" w14:textId="77777777" w:rsidR="00D66DCD" w:rsidRPr="0041716C" w:rsidRDefault="00D66DCD" w:rsidP="00DC3E45">
            <w:pPr>
              <w:autoSpaceDE w:val="0"/>
              <w:autoSpaceDN w:val="0"/>
              <w:adjustRightInd w:val="0"/>
              <w:spacing w:line="276" w:lineRule="auto"/>
              <w:jc w:val="center"/>
              <w:rPr>
                <w:rFonts w:asciiTheme="minorHAnsi" w:hAnsiTheme="minorHAnsi" w:cstheme="minorHAnsi"/>
                <w:sz w:val="20"/>
                <w:lang w:eastAsia="en-US"/>
              </w:rPr>
            </w:pPr>
            <w:r w:rsidRPr="0041716C">
              <w:rPr>
                <w:rFonts w:asciiTheme="minorHAnsi" w:hAnsiTheme="minorHAnsi" w:cstheme="minorHAnsi"/>
                <w:b/>
                <w:bCs/>
                <w:sz w:val="20"/>
                <w:lang w:eastAsia="en-US"/>
              </w:rPr>
              <w:t>Movimento rispetto alla posizione occupata nel 201</w:t>
            </w:r>
            <w:r>
              <w:rPr>
                <w:rFonts w:asciiTheme="minorHAnsi" w:hAnsiTheme="minorHAnsi" w:cstheme="minorHAnsi"/>
                <w:b/>
                <w:bCs/>
                <w:sz w:val="20"/>
                <w:lang w:eastAsia="en-US"/>
              </w:rPr>
              <w:t>9</w:t>
            </w:r>
          </w:p>
        </w:tc>
      </w:tr>
      <w:tr w:rsidR="00D66DCD" w:rsidRPr="0041716C" w14:paraId="2A54BD28" w14:textId="77777777" w:rsidTr="00D66DCD">
        <w:trPr>
          <w:trHeight w:val="283"/>
          <w:jc w:val="center"/>
        </w:trPr>
        <w:tc>
          <w:tcPr>
            <w:tcW w:w="1907" w:type="pct"/>
            <w:tcBorders>
              <w:left w:val="nil"/>
              <w:bottom w:val="nil"/>
              <w:right w:val="nil"/>
            </w:tcBorders>
            <w:shd w:val="clear" w:color="auto" w:fill="DEEAF6"/>
            <w:vAlign w:val="center"/>
          </w:tcPr>
          <w:p w14:paraId="0AFBFE0B" w14:textId="77777777" w:rsidR="00D66DCD" w:rsidRPr="0041716C" w:rsidRDefault="00D66DCD" w:rsidP="00DC3E45">
            <w:pPr>
              <w:rPr>
                <w:rFonts w:ascii="Calibri" w:hAnsi="Calibri" w:cs="Arial"/>
                <w:sz w:val="20"/>
              </w:rPr>
            </w:pPr>
            <w:r>
              <w:rPr>
                <w:rFonts w:ascii="Calibri" w:hAnsi="Calibri" w:cs="Calibri"/>
                <w:color w:val="000000"/>
                <w:sz w:val="20"/>
              </w:rPr>
              <w:t>1. Madonna di Campiglio (TN)</w:t>
            </w:r>
          </w:p>
        </w:tc>
        <w:tc>
          <w:tcPr>
            <w:tcW w:w="1272" w:type="pct"/>
            <w:tcBorders>
              <w:left w:val="nil"/>
              <w:bottom w:val="nil"/>
              <w:right w:val="nil"/>
            </w:tcBorders>
            <w:shd w:val="clear" w:color="auto" w:fill="DEEAF6"/>
            <w:vAlign w:val="center"/>
          </w:tcPr>
          <w:p w14:paraId="004D93A3" w14:textId="77777777" w:rsidR="00D66DCD" w:rsidRDefault="00D66DCD" w:rsidP="00DC3E45">
            <w:pPr>
              <w:ind w:right="680"/>
              <w:jc w:val="right"/>
              <w:rPr>
                <w:rFonts w:ascii="Calibri" w:hAnsi="Calibri" w:cs="Arial"/>
                <w:color w:val="000000"/>
                <w:sz w:val="20"/>
              </w:rPr>
            </w:pPr>
            <w:r>
              <w:rPr>
                <w:rFonts w:ascii="Calibri" w:hAnsi="Calibri" w:cs="Calibri"/>
                <w:color w:val="000000"/>
                <w:sz w:val="20"/>
              </w:rPr>
              <w:t>13.000</w:t>
            </w:r>
          </w:p>
        </w:tc>
        <w:tc>
          <w:tcPr>
            <w:tcW w:w="1821" w:type="pct"/>
            <w:tcBorders>
              <w:left w:val="nil"/>
              <w:bottom w:val="nil"/>
              <w:right w:val="nil"/>
            </w:tcBorders>
            <w:shd w:val="clear" w:color="auto" w:fill="DEEAF6"/>
            <w:vAlign w:val="center"/>
          </w:tcPr>
          <w:p w14:paraId="3B258B10" w14:textId="77777777" w:rsidR="00D66DCD" w:rsidRPr="0041716C" w:rsidRDefault="00D66DCD" w:rsidP="00DC3E45">
            <w:pPr>
              <w:jc w:val="center"/>
              <w:rPr>
                <w:rFonts w:ascii="Calibri" w:hAnsi="Calibri" w:cs="Arial"/>
                <w:sz w:val="20"/>
              </w:rPr>
            </w:pPr>
            <w:r>
              <w:rPr>
                <w:rFonts w:ascii="Calibri" w:hAnsi="Calibri" w:cs="Calibri"/>
                <w:color w:val="000000"/>
                <w:sz w:val="20"/>
              </w:rPr>
              <w:t>2</w:t>
            </w:r>
          </w:p>
        </w:tc>
      </w:tr>
      <w:tr w:rsidR="00D66DCD" w:rsidRPr="0041716C" w14:paraId="0D447998" w14:textId="77777777" w:rsidTr="00D66DCD">
        <w:trPr>
          <w:trHeight w:val="283"/>
          <w:jc w:val="center"/>
        </w:trPr>
        <w:tc>
          <w:tcPr>
            <w:tcW w:w="1907" w:type="pct"/>
            <w:tcBorders>
              <w:top w:val="nil"/>
              <w:left w:val="nil"/>
              <w:bottom w:val="nil"/>
              <w:right w:val="nil"/>
            </w:tcBorders>
            <w:shd w:val="clear" w:color="auto" w:fill="DEEAF6"/>
            <w:vAlign w:val="center"/>
          </w:tcPr>
          <w:p w14:paraId="0FE96F51" w14:textId="77777777" w:rsidR="00D66DCD" w:rsidRPr="0041716C" w:rsidRDefault="00D66DCD" w:rsidP="00DC3E45">
            <w:pPr>
              <w:rPr>
                <w:rFonts w:ascii="Calibri" w:hAnsi="Calibri" w:cs="Arial"/>
                <w:sz w:val="20"/>
              </w:rPr>
            </w:pPr>
            <w:r>
              <w:rPr>
                <w:rFonts w:ascii="Calibri" w:hAnsi="Calibri" w:cs="Calibri"/>
                <w:color w:val="000000"/>
                <w:sz w:val="20"/>
              </w:rPr>
              <w:t>2. Forte dei Marmi (LU)</w:t>
            </w:r>
          </w:p>
        </w:tc>
        <w:tc>
          <w:tcPr>
            <w:tcW w:w="1272" w:type="pct"/>
            <w:tcBorders>
              <w:top w:val="nil"/>
              <w:left w:val="nil"/>
              <w:bottom w:val="nil"/>
              <w:right w:val="nil"/>
            </w:tcBorders>
            <w:shd w:val="clear" w:color="auto" w:fill="DEEAF6"/>
            <w:vAlign w:val="center"/>
          </w:tcPr>
          <w:p w14:paraId="09602A5B" w14:textId="77777777" w:rsidR="00D66DCD" w:rsidRDefault="00D66DCD" w:rsidP="00DC3E45">
            <w:pPr>
              <w:ind w:right="680"/>
              <w:jc w:val="right"/>
              <w:rPr>
                <w:rFonts w:ascii="Calibri" w:hAnsi="Calibri" w:cs="Arial"/>
                <w:color w:val="000000"/>
                <w:sz w:val="20"/>
              </w:rPr>
            </w:pPr>
            <w:r>
              <w:rPr>
                <w:rFonts w:ascii="Calibri" w:hAnsi="Calibri" w:cs="Calibri"/>
                <w:color w:val="000000"/>
                <w:sz w:val="20"/>
              </w:rPr>
              <w:t>12.600</w:t>
            </w:r>
          </w:p>
        </w:tc>
        <w:tc>
          <w:tcPr>
            <w:tcW w:w="1821" w:type="pct"/>
            <w:tcBorders>
              <w:top w:val="nil"/>
              <w:left w:val="nil"/>
              <w:bottom w:val="nil"/>
              <w:right w:val="nil"/>
            </w:tcBorders>
            <w:shd w:val="clear" w:color="auto" w:fill="DEEAF6"/>
            <w:vAlign w:val="center"/>
          </w:tcPr>
          <w:p w14:paraId="494593D0" w14:textId="77777777" w:rsidR="00D66DCD" w:rsidRPr="0041716C" w:rsidRDefault="00D66DCD" w:rsidP="00DC3E45">
            <w:pPr>
              <w:jc w:val="center"/>
              <w:rPr>
                <w:rFonts w:ascii="Calibri" w:hAnsi="Calibri" w:cs="Arial"/>
                <w:sz w:val="20"/>
              </w:rPr>
            </w:pPr>
            <w:r>
              <w:rPr>
                <w:rFonts w:ascii="Calibri" w:hAnsi="Calibri" w:cs="Calibri"/>
                <w:color w:val="000000"/>
                <w:sz w:val="20"/>
              </w:rPr>
              <w:t>0</w:t>
            </w:r>
          </w:p>
        </w:tc>
      </w:tr>
      <w:tr w:rsidR="00D66DCD" w:rsidRPr="0041716C" w14:paraId="73C250BA" w14:textId="77777777" w:rsidTr="00D66DCD">
        <w:trPr>
          <w:trHeight w:val="283"/>
          <w:jc w:val="center"/>
        </w:trPr>
        <w:tc>
          <w:tcPr>
            <w:tcW w:w="1907" w:type="pct"/>
            <w:tcBorders>
              <w:top w:val="nil"/>
              <w:left w:val="nil"/>
              <w:bottom w:val="nil"/>
              <w:right w:val="nil"/>
            </w:tcBorders>
            <w:shd w:val="clear" w:color="auto" w:fill="DEEAF6"/>
            <w:vAlign w:val="center"/>
          </w:tcPr>
          <w:p w14:paraId="16F96655" w14:textId="77777777" w:rsidR="00D66DCD" w:rsidRPr="0041716C" w:rsidRDefault="00D66DCD" w:rsidP="00DC3E45">
            <w:pPr>
              <w:rPr>
                <w:rFonts w:ascii="Calibri" w:hAnsi="Calibri" w:cs="Arial"/>
                <w:sz w:val="20"/>
              </w:rPr>
            </w:pPr>
            <w:r>
              <w:rPr>
                <w:rFonts w:ascii="Calibri" w:hAnsi="Calibri" w:cs="Calibri"/>
                <w:color w:val="000000"/>
                <w:sz w:val="20"/>
              </w:rPr>
              <w:t>3. Capri (NA)</w:t>
            </w:r>
          </w:p>
        </w:tc>
        <w:tc>
          <w:tcPr>
            <w:tcW w:w="1272" w:type="pct"/>
            <w:tcBorders>
              <w:top w:val="nil"/>
              <w:left w:val="nil"/>
              <w:bottom w:val="nil"/>
              <w:right w:val="nil"/>
            </w:tcBorders>
            <w:shd w:val="clear" w:color="auto" w:fill="DEEAF6"/>
            <w:vAlign w:val="center"/>
          </w:tcPr>
          <w:p w14:paraId="78D78180" w14:textId="77777777" w:rsidR="00D66DCD" w:rsidRDefault="00D66DCD" w:rsidP="00DC3E45">
            <w:pPr>
              <w:ind w:right="680"/>
              <w:jc w:val="right"/>
              <w:rPr>
                <w:rFonts w:ascii="Calibri" w:hAnsi="Calibri" w:cs="Arial"/>
                <w:color w:val="000000"/>
                <w:sz w:val="20"/>
              </w:rPr>
            </w:pPr>
            <w:r>
              <w:rPr>
                <w:rFonts w:ascii="Calibri" w:hAnsi="Calibri" w:cs="Calibri"/>
                <w:color w:val="000000"/>
                <w:sz w:val="20"/>
              </w:rPr>
              <w:t>11.600</w:t>
            </w:r>
          </w:p>
        </w:tc>
        <w:tc>
          <w:tcPr>
            <w:tcW w:w="1821" w:type="pct"/>
            <w:tcBorders>
              <w:top w:val="nil"/>
              <w:left w:val="nil"/>
              <w:bottom w:val="nil"/>
              <w:right w:val="nil"/>
            </w:tcBorders>
            <w:shd w:val="clear" w:color="auto" w:fill="DEEAF6"/>
            <w:vAlign w:val="center"/>
          </w:tcPr>
          <w:p w14:paraId="7E8FF54C" w14:textId="77777777" w:rsidR="00D66DCD" w:rsidRPr="0041716C" w:rsidRDefault="00D66DCD" w:rsidP="00DC3E45">
            <w:pPr>
              <w:jc w:val="center"/>
              <w:rPr>
                <w:rFonts w:ascii="Calibri" w:hAnsi="Calibri" w:cs="Arial"/>
                <w:sz w:val="20"/>
              </w:rPr>
            </w:pPr>
            <w:r>
              <w:rPr>
                <w:rFonts w:ascii="Calibri" w:hAnsi="Calibri" w:cs="Calibri"/>
                <w:color w:val="000000"/>
                <w:sz w:val="20"/>
              </w:rPr>
              <w:t>-2</w:t>
            </w:r>
          </w:p>
        </w:tc>
      </w:tr>
      <w:tr w:rsidR="00D66DCD" w:rsidRPr="0041716C" w14:paraId="5BC99B37" w14:textId="77777777" w:rsidTr="00D66DCD">
        <w:trPr>
          <w:trHeight w:val="283"/>
          <w:jc w:val="center"/>
        </w:trPr>
        <w:tc>
          <w:tcPr>
            <w:tcW w:w="1907" w:type="pct"/>
            <w:tcBorders>
              <w:top w:val="nil"/>
              <w:left w:val="nil"/>
              <w:bottom w:val="nil"/>
              <w:right w:val="nil"/>
            </w:tcBorders>
            <w:shd w:val="clear" w:color="auto" w:fill="DEEAF6"/>
            <w:vAlign w:val="center"/>
          </w:tcPr>
          <w:p w14:paraId="009FF3F9" w14:textId="77777777" w:rsidR="00D66DCD" w:rsidRPr="0041716C" w:rsidRDefault="00D66DCD" w:rsidP="00DC3E45">
            <w:pPr>
              <w:rPr>
                <w:rFonts w:ascii="Calibri" w:hAnsi="Calibri" w:cs="Arial"/>
                <w:sz w:val="20"/>
              </w:rPr>
            </w:pPr>
            <w:r>
              <w:rPr>
                <w:rFonts w:ascii="Calibri" w:hAnsi="Calibri" w:cs="Calibri"/>
                <w:color w:val="000000"/>
                <w:sz w:val="20"/>
              </w:rPr>
              <w:t>4. Courmayeur (AO)</w:t>
            </w:r>
          </w:p>
        </w:tc>
        <w:tc>
          <w:tcPr>
            <w:tcW w:w="1272" w:type="pct"/>
            <w:tcBorders>
              <w:top w:val="nil"/>
              <w:left w:val="nil"/>
              <w:bottom w:val="nil"/>
              <w:right w:val="nil"/>
            </w:tcBorders>
            <w:shd w:val="clear" w:color="auto" w:fill="DEEAF6"/>
            <w:vAlign w:val="center"/>
          </w:tcPr>
          <w:p w14:paraId="135F4970" w14:textId="77777777" w:rsidR="00D66DCD" w:rsidRDefault="00D66DCD" w:rsidP="00DC3E45">
            <w:pPr>
              <w:ind w:right="680"/>
              <w:jc w:val="right"/>
              <w:rPr>
                <w:rFonts w:ascii="Calibri" w:hAnsi="Calibri" w:cs="Arial"/>
                <w:color w:val="000000"/>
                <w:sz w:val="20"/>
              </w:rPr>
            </w:pPr>
            <w:r>
              <w:rPr>
                <w:rFonts w:ascii="Calibri" w:hAnsi="Calibri" w:cs="Calibri"/>
                <w:color w:val="000000"/>
                <w:sz w:val="20"/>
              </w:rPr>
              <w:t>11.000</w:t>
            </w:r>
          </w:p>
        </w:tc>
        <w:tc>
          <w:tcPr>
            <w:tcW w:w="1821" w:type="pct"/>
            <w:tcBorders>
              <w:top w:val="nil"/>
              <w:left w:val="nil"/>
              <w:bottom w:val="nil"/>
              <w:right w:val="nil"/>
            </w:tcBorders>
            <w:shd w:val="clear" w:color="auto" w:fill="DEEAF6"/>
            <w:vAlign w:val="center"/>
          </w:tcPr>
          <w:p w14:paraId="49910715" w14:textId="77777777" w:rsidR="00D66DCD" w:rsidRPr="0041716C" w:rsidRDefault="00D66DCD" w:rsidP="00DC3E45">
            <w:pPr>
              <w:jc w:val="center"/>
              <w:rPr>
                <w:rFonts w:ascii="Calibri" w:hAnsi="Calibri" w:cs="Arial"/>
                <w:sz w:val="20"/>
              </w:rPr>
            </w:pPr>
            <w:r>
              <w:rPr>
                <w:rFonts w:ascii="Calibri" w:hAnsi="Calibri" w:cs="Calibri"/>
                <w:color w:val="000000"/>
                <w:sz w:val="20"/>
              </w:rPr>
              <w:t>1</w:t>
            </w:r>
          </w:p>
        </w:tc>
      </w:tr>
      <w:tr w:rsidR="00D66DCD" w:rsidRPr="0041716C" w14:paraId="7CA6D1BC" w14:textId="77777777" w:rsidTr="00D66DCD">
        <w:trPr>
          <w:trHeight w:val="283"/>
          <w:jc w:val="center"/>
        </w:trPr>
        <w:tc>
          <w:tcPr>
            <w:tcW w:w="1907" w:type="pct"/>
            <w:tcBorders>
              <w:top w:val="nil"/>
              <w:left w:val="nil"/>
              <w:bottom w:val="nil"/>
              <w:right w:val="nil"/>
            </w:tcBorders>
            <w:shd w:val="clear" w:color="auto" w:fill="DEEAF6"/>
            <w:vAlign w:val="center"/>
          </w:tcPr>
          <w:p w14:paraId="60546266" w14:textId="77777777" w:rsidR="00D66DCD" w:rsidRPr="0041716C" w:rsidRDefault="00D66DCD" w:rsidP="00DC3E45">
            <w:pPr>
              <w:rPr>
                <w:rFonts w:ascii="Calibri" w:hAnsi="Calibri" w:cs="Arial"/>
                <w:sz w:val="20"/>
              </w:rPr>
            </w:pPr>
            <w:r>
              <w:rPr>
                <w:rFonts w:ascii="Calibri" w:hAnsi="Calibri" w:cs="Calibri"/>
                <w:color w:val="000000"/>
                <w:sz w:val="20"/>
              </w:rPr>
              <w:t>5. Cortina d'Ampezzo (BL)</w:t>
            </w:r>
          </w:p>
        </w:tc>
        <w:tc>
          <w:tcPr>
            <w:tcW w:w="1272" w:type="pct"/>
            <w:tcBorders>
              <w:top w:val="nil"/>
              <w:left w:val="nil"/>
              <w:bottom w:val="nil"/>
              <w:right w:val="nil"/>
            </w:tcBorders>
            <w:shd w:val="clear" w:color="auto" w:fill="DEEAF6"/>
            <w:vAlign w:val="center"/>
          </w:tcPr>
          <w:p w14:paraId="204FBF98" w14:textId="77777777" w:rsidR="00D66DCD" w:rsidRDefault="00D66DCD" w:rsidP="00DC3E45">
            <w:pPr>
              <w:ind w:right="680"/>
              <w:jc w:val="right"/>
              <w:rPr>
                <w:rFonts w:ascii="Calibri" w:hAnsi="Calibri" w:cs="Arial"/>
                <w:color w:val="000000"/>
                <w:sz w:val="20"/>
              </w:rPr>
            </w:pPr>
            <w:r>
              <w:rPr>
                <w:rFonts w:ascii="Calibri" w:hAnsi="Calibri" w:cs="Calibri"/>
                <w:color w:val="000000"/>
                <w:sz w:val="20"/>
              </w:rPr>
              <w:t>10.700</w:t>
            </w:r>
          </w:p>
        </w:tc>
        <w:tc>
          <w:tcPr>
            <w:tcW w:w="1821" w:type="pct"/>
            <w:tcBorders>
              <w:top w:val="nil"/>
              <w:left w:val="nil"/>
              <w:bottom w:val="nil"/>
              <w:right w:val="nil"/>
            </w:tcBorders>
            <w:shd w:val="clear" w:color="auto" w:fill="DEEAF6"/>
            <w:vAlign w:val="center"/>
          </w:tcPr>
          <w:p w14:paraId="2E75EA35" w14:textId="77777777" w:rsidR="00D66DCD" w:rsidRPr="0041716C" w:rsidRDefault="00D66DCD" w:rsidP="00DC3E45">
            <w:pPr>
              <w:jc w:val="center"/>
              <w:rPr>
                <w:rFonts w:ascii="Calibri" w:hAnsi="Calibri" w:cs="Arial"/>
                <w:sz w:val="20"/>
              </w:rPr>
            </w:pPr>
            <w:r>
              <w:rPr>
                <w:rFonts w:ascii="Calibri" w:hAnsi="Calibri" w:cs="Calibri"/>
                <w:color w:val="000000"/>
                <w:sz w:val="20"/>
              </w:rPr>
              <w:t>1</w:t>
            </w:r>
          </w:p>
        </w:tc>
      </w:tr>
      <w:tr w:rsidR="00D66DCD" w:rsidRPr="0041716C" w14:paraId="0AFA902C" w14:textId="77777777" w:rsidTr="00D66DCD">
        <w:trPr>
          <w:trHeight w:val="283"/>
          <w:jc w:val="center"/>
        </w:trPr>
        <w:tc>
          <w:tcPr>
            <w:tcW w:w="1907" w:type="pct"/>
            <w:tcBorders>
              <w:top w:val="nil"/>
              <w:left w:val="nil"/>
              <w:bottom w:val="nil"/>
              <w:right w:val="nil"/>
            </w:tcBorders>
            <w:shd w:val="clear" w:color="auto" w:fill="DEEAF6"/>
            <w:vAlign w:val="center"/>
          </w:tcPr>
          <w:p w14:paraId="26C91B60" w14:textId="77777777" w:rsidR="00D66DCD" w:rsidRPr="0041716C" w:rsidRDefault="00D66DCD" w:rsidP="00DC3E45">
            <w:pPr>
              <w:rPr>
                <w:rFonts w:ascii="Calibri" w:hAnsi="Calibri" w:cs="Arial"/>
                <w:sz w:val="20"/>
              </w:rPr>
            </w:pPr>
            <w:r>
              <w:rPr>
                <w:rFonts w:ascii="Calibri" w:hAnsi="Calibri" w:cs="Calibri"/>
                <w:color w:val="000000"/>
                <w:sz w:val="20"/>
              </w:rPr>
              <w:t>6. Santa Margherita Ligure (GE)</w:t>
            </w:r>
          </w:p>
        </w:tc>
        <w:tc>
          <w:tcPr>
            <w:tcW w:w="1272" w:type="pct"/>
            <w:tcBorders>
              <w:top w:val="nil"/>
              <w:left w:val="nil"/>
              <w:bottom w:val="nil"/>
              <w:right w:val="nil"/>
            </w:tcBorders>
            <w:shd w:val="clear" w:color="auto" w:fill="DEEAF6"/>
            <w:vAlign w:val="center"/>
          </w:tcPr>
          <w:p w14:paraId="0C2BF1F1" w14:textId="77777777" w:rsidR="00D66DCD" w:rsidRDefault="00D66DCD" w:rsidP="00DC3E45">
            <w:pPr>
              <w:ind w:right="680"/>
              <w:jc w:val="right"/>
              <w:rPr>
                <w:rFonts w:ascii="Calibri" w:hAnsi="Calibri" w:cs="Arial"/>
                <w:color w:val="000000"/>
                <w:sz w:val="20"/>
              </w:rPr>
            </w:pPr>
            <w:r>
              <w:rPr>
                <w:rFonts w:ascii="Calibri" w:hAnsi="Calibri" w:cs="Calibri"/>
                <w:color w:val="000000"/>
                <w:sz w:val="20"/>
              </w:rPr>
              <w:t>10.500</w:t>
            </w:r>
          </w:p>
        </w:tc>
        <w:tc>
          <w:tcPr>
            <w:tcW w:w="1821" w:type="pct"/>
            <w:tcBorders>
              <w:top w:val="nil"/>
              <w:left w:val="nil"/>
              <w:bottom w:val="nil"/>
              <w:right w:val="nil"/>
            </w:tcBorders>
            <w:shd w:val="clear" w:color="auto" w:fill="DEEAF6"/>
            <w:vAlign w:val="center"/>
          </w:tcPr>
          <w:p w14:paraId="0CED69A5" w14:textId="77777777" w:rsidR="00D66DCD" w:rsidRPr="0041716C" w:rsidRDefault="00D66DCD" w:rsidP="00DC3E45">
            <w:pPr>
              <w:jc w:val="center"/>
              <w:rPr>
                <w:rFonts w:ascii="Calibri" w:hAnsi="Calibri" w:cs="Arial"/>
                <w:sz w:val="20"/>
              </w:rPr>
            </w:pPr>
            <w:r>
              <w:rPr>
                <w:rFonts w:ascii="Calibri" w:hAnsi="Calibri" w:cs="Calibri"/>
                <w:color w:val="000000"/>
                <w:sz w:val="20"/>
              </w:rPr>
              <w:t>-2</w:t>
            </w:r>
          </w:p>
        </w:tc>
      </w:tr>
      <w:tr w:rsidR="00D66DCD" w:rsidRPr="0041716C" w14:paraId="2BD5A7FC" w14:textId="77777777" w:rsidTr="00D66DCD">
        <w:trPr>
          <w:trHeight w:val="283"/>
          <w:jc w:val="center"/>
        </w:trPr>
        <w:tc>
          <w:tcPr>
            <w:tcW w:w="1907" w:type="pct"/>
            <w:tcBorders>
              <w:top w:val="nil"/>
              <w:left w:val="nil"/>
              <w:bottom w:val="nil"/>
              <w:right w:val="nil"/>
            </w:tcBorders>
            <w:shd w:val="clear" w:color="auto" w:fill="DEEAF6"/>
            <w:vAlign w:val="center"/>
          </w:tcPr>
          <w:p w14:paraId="4979A86C" w14:textId="77777777" w:rsidR="00D66DCD" w:rsidRPr="0041716C" w:rsidRDefault="00D66DCD" w:rsidP="00DC3E45">
            <w:pPr>
              <w:rPr>
                <w:rFonts w:ascii="Calibri" w:hAnsi="Calibri" w:cs="Arial"/>
                <w:sz w:val="20"/>
              </w:rPr>
            </w:pPr>
            <w:r>
              <w:rPr>
                <w:rFonts w:ascii="Calibri" w:hAnsi="Calibri" w:cs="Calibri"/>
                <w:color w:val="000000"/>
                <w:sz w:val="20"/>
              </w:rPr>
              <w:t>7. Porto Cervo (SS)</w:t>
            </w:r>
          </w:p>
        </w:tc>
        <w:tc>
          <w:tcPr>
            <w:tcW w:w="1272" w:type="pct"/>
            <w:tcBorders>
              <w:top w:val="nil"/>
              <w:left w:val="nil"/>
              <w:bottom w:val="nil"/>
              <w:right w:val="nil"/>
            </w:tcBorders>
            <w:shd w:val="clear" w:color="auto" w:fill="DEEAF6"/>
            <w:vAlign w:val="center"/>
          </w:tcPr>
          <w:p w14:paraId="5B3F192A" w14:textId="77777777" w:rsidR="00D66DCD" w:rsidRDefault="00D66DCD" w:rsidP="00DC3E45">
            <w:pPr>
              <w:ind w:right="680"/>
              <w:jc w:val="right"/>
              <w:rPr>
                <w:rFonts w:ascii="Calibri" w:hAnsi="Calibri" w:cs="Arial"/>
                <w:color w:val="000000"/>
                <w:sz w:val="20"/>
              </w:rPr>
            </w:pPr>
            <w:r>
              <w:rPr>
                <w:rFonts w:ascii="Calibri" w:hAnsi="Calibri" w:cs="Calibri"/>
                <w:color w:val="000000"/>
                <w:sz w:val="20"/>
              </w:rPr>
              <w:t>9.400</w:t>
            </w:r>
          </w:p>
        </w:tc>
        <w:tc>
          <w:tcPr>
            <w:tcW w:w="1821" w:type="pct"/>
            <w:tcBorders>
              <w:top w:val="nil"/>
              <w:left w:val="nil"/>
              <w:bottom w:val="nil"/>
              <w:right w:val="nil"/>
            </w:tcBorders>
            <w:shd w:val="clear" w:color="auto" w:fill="DEEAF6"/>
            <w:vAlign w:val="center"/>
          </w:tcPr>
          <w:p w14:paraId="1EB5499C" w14:textId="77777777" w:rsidR="00D66DCD" w:rsidRPr="0041716C" w:rsidRDefault="00D66DCD" w:rsidP="00DC3E45">
            <w:pPr>
              <w:jc w:val="center"/>
              <w:rPr>
                <w:rFonts w:ascii="Calibri" w:hAnsi="Calibri" w:cs="Arial"/>
                <w:sz w:val="20"/>
              </w:rPr>
            </w:pPr>
            <w:r>
              <w:rPr>
                <w:rFonts w:ascii="Calibri" w:hAnsi="Calibri" w:cs="Calibri"/>
                <w:color w:val="000000"/>
                <w:sz w:val="20"/>
              </w:rPr>
              <w:t>0</w:t>
            </w:r>
          </w:p>
        </w:tc>
      </w:tr>
      <w:tr w:rsidR="00D66DCD" w:rsidRPr="0041716C" w14:paraId="427B33C8" w14:textId="77777777" w:rsidTr="00D66DCD">
        <w:trPr>
          <w:trHeight w:val="283"/>
          <w:jc w:val="center"/>
        </w:trPr>
        <w:tc>
          <w:tcPr>
            <w:tcW w:w="1907" w:type="pct"/>
            <w:tcBorders>
              <w:top w:val="nil"/>
              <w:left w:val="nil"/>
              <w:bottom w:val="nil"/>
              <w:right w:val="nil"/>
            </w:tcBorders>
            <w:shd w:val="clear" w:color="auto" w:fill="DEEAF6"/>
            <w:vAlign w:val="center"/>
          </w:tcPr>
          <w:p w14:paraId="3E9A3EDF" w14:textId="350053B1" w:rsidR="00D66DCD" w:rsidRPr="0041716C" w:rsidRDefault="00D66DCD" w:rsidP="00DC3E45">
            <w:pPr>
              <w:rPr>
                <w:rFonts w:ascii="Calibri" w:hAnsi="Calibri" w:cs="Arial"/>
                <w:sz w:val="20"/>
              </w:rPr>
            </w:pPr>
            <w:r>
              <w:rPr>
                <w:rFonts w:ascii="Calibri" w:hAnsi="Calibri" w:cs="Calibri"/>
                <w:color w:val="000000"/>
                <w:sz w:val="20"/>
              </w:rPr>
              <w:t>8. Positano</w:t>
            </w:r>
            <w:r w:rsidR="005A1B07">
              <w:rPr>
                <w:rFonts w:ascii="Calibri" w:hAnsi="Calibri" w:cs="Calibri"/>
                <w:color w:val="000000"/>
                <w:sz w:val="20"/>
              </w:rPr>
              <w:t xml:space="preserve"> (SA)</w:t>
            </w:r>
          </w:p>
        </w:tc>
        <w:tc>
          <w:tcPr>
            <w:tcW w:w="1272" w:type="pct"/>
            <w:tcBorders>
              <w:top w:val="nil"/>
              <w:left w:val="nil"/>
              <w:bottom w:val="nil"/>
              <w:right w:val="nil"/>
            </w:tcBorders>
            <w:shd w:val="clear" w:color="auto" w:fill="DEEAF6"/>
            <w:vAlign w:val="center"/>
          </w:tcPr>
          <w:p w14:paraId="3E6AC010" w14:textId="77777777" w:rsidR="00D66DCD" w:rsidRDefault="00D66DCD" w:rsidP="00DC3E45">
            <w:pPr>
              <w:ind w:right="680"/>
              <w:jc w:val="right"/>
              <w:rPr>
                <w:rFonts w:ascii="Calibri" w:hAnsi="Calibri" w:cs="Arial"/>
                <w:color w:val="000000"/>
                <w:sz w:val="20"/>
              </w:rPr>
            </w:pPr>
            <w:r>
              <w:rPr>
                <w:rFonts w:ascii="Calibri" w:hAnsi="Calibri" w:cs="Calibri"/>
                <w:color w:val="000000"/>
                <w:sz w:val="20"/>
              </w:rPr>
              <w:t>8.500</w:t>
            </w:r>
          </w:p>
        </w:tc>
        <w:tc>
          <w:tcPr>
            <w:tcW w:w="1821" w:type="pct"/>
            <w:tcBorders>
              <w:top w:val="nil"/>
              <w:left w:val="nil"/>
              <w:bottom w:val="nil"/>
              <w:right w:val="nil"/>
            </w:tcBorders>
            <w:shd w:val="clear" w:color="auto" w:fill="DEEAF6"/>
            <w:vAlign w:val="center"/>
          </w:tcPr>
          <w:p w14:paraId="2056F17E" w14:textId="77777777" w:rsidR="00D66DCD" w:rsidRPr="0041716C" w:rsidRDefault="00D66DCD" w:rsidP="00DC3E45">
            <w:pPr>
              <w:jc w:val="center"/>
              <w:rPr>
                <w:rFonts w:ascii="Calibri" w:hAnsi="Calibri" w:cs="Arial"/>
                <w:sz w:val="20"/>
              </w:rPr>
            </w:pPr>
            <w:r>
              <w:rPr>
                <w:rFonts w:ascii="Calibri" w:hAnsi="Calibri" w:cs="Calibri"/>
                <w:color w:val="000000"/>
                <w:sz w:val="20"/>
              </w:rPr>
              <w:t>4</w:t>
            </w:r>
          </w:p>
        </w:tc>
      </w:tr>
      <w:tr w:rsidR="00D66DCD" w:rsidRPr="0041716C" w14:paraId="68A7E14A" w14:textId="77777777" w:rsidTr="00D66DCD">
        <w:trPr>
          <w:trHeight w:val="283"/>
          <w:jc w:val="center"/>
        </w:trPr>
        <w:tc>
          <w:tcPr>
            <w:tcW w:w="1907" w:type="pct"/>
            <w:tcBorders>
              <w:top w:val="nil"/>
              <w:left w:val="nil"/>
              <w:bottom w:val="nil"/>
              <w:right w:val="nil"/>
            </w:tcBorders>
            <w:shd w:val="clear" w:color="auto" w:fill="DEEAF6"/>
            <w:vAlign w:val="center"/>
          </w:tcPr>
          <w:p w14:paraId="0B7E64AA" w14:textId="77777777" w:rsidR="00D66DCD" w:rsidRPr="0041716C" w:rsidRDefault="00D66DCD" w:rsidP="00DC3E45">
            <w:pPr>
              <w:rPr>
                <w:rFonts w:ascii="Calibri" w:hAnsi="Calibri" w:cs="Arial"/>
                <w:sz w:val="20"/>
              </w:rPr>
            </w:pPr>
            <w:r>
              <w:rPr>
                <w:rFonts w:ascii="Calibri" w:hAnsi="Calibri" w:cs="Calibri"/>
                <w:color w:val="000000"/>
                <w:sz w:val="20"/>
              </w:rPr>
              <w:t>9. Porto Rotondo (SS)</w:t>
            </w:r>
          </w:p>
        </w:tc>
        <w:tc>
          <w:tcPr>
            <w:tcW w:w="1272" w:type="pct"/>
            <w:tcBorders>
              <w:top w:val="nil"/>
              <w:left w:val="nil"/>
              <w:bottom w:val="nil"/>
              <w:right w:val="nil"/>
            </w:tcBorders>
            <w:shd w:val="clear" w:color="auto" w:fill="DEEAF6"/>
            <w:vAlign w:val="center"/>
          </w:tcPr>
          <w:p w14:paraId="0AE87B8B" w14:textId="77777777" w:rsidR="00D66DCD" w:rsidRDefault="00D66DCD" w:rsidP="00DC3E45">
            <w:pPr>
              <w:ind w:right="680"/>
              <w:jc w:val="right"/>
              <w:rPr>
                <w:rFonts w:ascii="Calibri" w:hAnsi="Calibri" w:cs="Arial"/>
                <w:color w:val="000000"/>
                <w:sz w:val="20"/>
              </w:rPr>
            </w:pPr>
            <w:r>
              <w:rPr>
                <w:rFonts w:ascii="Calibri" w:hAnsi="Calibri" w:cs="Calibri"/>
                <w:color w:val="000000"/>
                <w:sz w:val="20"/>
              </w:rPr>
              <w:t>8.500</w:t>
            </w:r>
          </w:p>
        </w:tc>
        <w:tc>
          <w:tcPr>
            <w:tcW w:w="1821" w:type="pct"/>
            <w:tcBorders>
              <w:top w:val="nil"/>
              <w:left w:val="nil"/>
              <w:bottom w:val="nil"/>
              <w:right w:val="nil"/>
            </w:tcBorders>
            <w:shd w:val="clear" w:color="auto" w:fill="DEEAF6"/>
            <w:vAlign w:val="center"/>
          </w:tcPr>
          <w:p w14:paraId="13D8364D" w14:textId="77777777" w:rsidR="00D66DCD" w:rsidRPr="0041716C" w:rsidRDefault="00D66DCD" w:rsidP="00DC3E45">
            <w:pPr>
              <w:jc w:val="center"/>
              <w:rPr>
                <w:rFonts w:ascii="Calibri" w:hAnsi="Calibri" w:cs="Arial"/>
                <w:sz w:val="20"/>
              </w:rPr>
            </w:pPr>
            <w:r>
              <w:rPr>
                <w:rFonts w:ascii="Calibri" w:hAnsi="Calibri" w:cs="Calibri"/>
                <w:color w:val="000000"/>
                <w:sz w:val="20"/>
              </w:rPr>
              <w:t>0</w:t>
            </w:r>
          </w:p>
        </w:tc>
      </w:tr>
      <w:tr w:rsidR="00D66DCD" w:rsidRPr="0041716C" w14:paraId="0F8B5B5F" w14:textId="77777777" w:rsidTr="00D66DCD">
        <w:trPr>
          <w:trHeight w:val="283"/>
          <w:jc w:val="center"/>
        </w:trPr>
        <w:tc>
          <w:tcPr>
            <w:tcW w:w="1907" w:type="pct"/>
            <w:tcBorders>
              <w:top w:val="nil"/>
              <w:left w:val="nil"/>
              <w:right w:val="nil"/>
            </w:tcBorders>
            <w:shd w:val="clear" w:color="auto" w:fill="DEEAF6"/>
            <w:vAlign w:val="bottom"/>
          </w:tcPr>
          <w:p w14:paraId="0B7AD25E" w14:textId="77777777" w:rsidR="00D66DCD" w:rsidRPr="0041716C" w:rsidRDefault="00D66DCD" w:rsidP="00DC3E45">
            <w:pPr>
              <w:rPr>
                <w:rFonts w:ascii="Calibri" w:hAnsi="Calibri" w:cs="Arial"/>
                <w:sz w:val="20"/>
              </w:rPr>
            </w:pPr>
            <w:r>
              <w:rPr>
                <w:rFonts w:ascii="Calibri" w:hAnsi="Calibri" w:cs="Calibri"/>
                <w:color w:val="000000"/>
                <w:sz w:val="20"/>
              </w:rPr>
              <w:t>10. Sirmione (BS)</w:t>
            </w:r>
          </w:p>
        </w:tc>
        <w:tc>
          <w:tcPr>
            <w:tcW w:w="1272" w:type="pct"/>
            <w:tcBorders>
              <w:top w:val="nil"/>
              <w:left w:val="nil"/>
              <w:right w:val="nil"/>
            </w:tcBorders>
            <w:shd w:val="clear" w:color="auto" w:fill="DEEAF6"/>
            <w:vAlign w:val="center"/>
          </w:tcPr>
          <w:p w14:paraId="01E504A5" w14:textId="77777777" w:rsidR="00D66DCD" w:rsidRDefault="00D66DCD" w:rsidP="00DC3E45">
            <w:pPr>
              <w:ind w:right="680"/>
              <w:jc w:val="right"/>
              <w:rPr>
                <w:rFonts w:ascii="Calibri" w:hAnsi="Calibri" w:cs="Arial"/>
                <w:color w:val="000000"/>
                <w:sz w:val="20"/>
              </w:rPr>
            </w:pPr>
            <w:r>
              <w:rPr>
                <w:rFonts w:ascii="Calibri" w:hAnsi="Calibri" w:cs="Calibri"/>
                <w:color w:val="000000"/>
                <w:sz w:val="20"/>
              </w:rPr>
              <w:t>8.100</w:t>
            </w:r>
          </w:p>
        </w:tc>
        <w:tc>
          <w:tcPr>
            <w:tcW w:w="1821" w:type="pct"/>
            <w:tcBorders>
              <w:top w:val="nil"/>
              <w:left w:val="nil"/>
              <w:right w:val="nil"/>
            </w:tcBorders>
            <w:shd w:val="clear" w:color="auto" w:fill="DEEAF6"/>
            <w:vAlign w:val="center"/>
          </w:tcPr>
          <w:p w14:paraId="49EFCCA9" w14:textId="77777777" w:rsidR="00D66DCD" w:rsidRPr="0041716C" w:rsidRDefault="00D66DCD" w:rsidP="00DC3E45">
            <w:pPr>
              <w:jc w:val="center"/>
              <w:rPr>
                <w:rFonts w:ascii="Calibri" w:hAnsi="Calibri" w:cs="Arial"/>
                <w:sz w:val="20"/>
              </w:rPr>
            </w:pPr>
            <w:r>
              <w:rPr>
                <w:rFonts w:ascii="Calibri" w:hAnsi="Calibri" w:cs="Calibri"/>
                <w:color w:val="000000"/>
                <w:sz w:val="20"/>
              </w:rPr>
              <w:t>0</w:t>
            </w:r>
          </w:p>
        </w:tc>
      </w:tr>
    </w:tbl>
    <w:p w14:paraId="703D0C2C" w14:textId="77777777" w:rsidR="00D66DCD" w:rsidRPr="0041716C" w:rsidRDefault="00D66DCD" w:rsidP="00D66DCD">
      <w:pPr>
        <w:ind w:firstLine="708"/>
        <w:rPr>
          <w:rFonts w:asciiTheme="minorHAnsi" w:eastAsia="Calibri" w:hAnsiTheme="minorHAnsi" w:cstheme="minorHAnsi"/>
          <w:sz w:val="2"/>
          <w:szCs w:val="2"/>
        </w:rPr>
      </w:pPr>
    </w:p>
    <w:p w14:paraId="7108EAD1" w14:textId="77777777" w:rsidR="00D66DCD" w:rsidRDefault="00D66DCD" w:rsidP="00D66DCD">
      <w:pPr>
        <w:spacing w:before="60"/>
        <w:ind w:firstLine="709"/>
        <w:rPr>
          <w:rFonts w:asciiTheme="minorHAnsi" w:eastAsia="Calibri" w:hAnsiTheme="minorHAnsi" w:cstheme="minorHAnsi"/>
          <w:sz w:val="18"/>
        </w:rPr>
      </w:pPr>
      <w:r w:rsidRPr="0041716C">
        <w:rPr>
          <w:rFonts w:asciiTheme="minorHAnsi" w:eastAsia="Calibri" w:hAnsiTheme="minorHAnsi" w:cstheme="minorHAnsi"/>
          <w:sz w:val="18"/>
        </w:rPr>
        <w:t>Fonte: Nomis</w:t>
      </w:r>
      <w:r w:rsidRPr="003D3270">
        <w:rPr>
          <w:rFonts w:asciiTheme="minorHAnsi" w:eastAsia="Calibri" w:hAnsiTheme="minorHAnsi" w:cstheme="minorHAnsi"/>
          <w:sz w:val="18"/>
        </w:rPr>
        <w:t>ma e Fimaa-Confcommercio</w:t>
      </w:r>
    </w:p>
    <w:p w14:paraId="152FFE6F" w14:textId="77777777" w:rsidR="00D66DCD" w:rsidRPr="00906704" w:rsidRDefault="00D66DCD" w:rsidP="007816E7">
      <w:pPr>
        <w:rPr>
          <w:rFonts w:asciiTheme="minorHAnsi" w:eastAsia="Calibri" w:hAnsiTheme="minorHAnsi" w:cstheme="minorHAnsi"/>
          <w:sz w:val="22"/>
          <w:szCs w:val="22"/>
          <w:highlight w:val="yellow"/>
        </w:rPr>
      </w:pPr>
    </w:p>
    <w:p w14:paraId="05129252" w14:textId="54449C9E" w:rsidR="00E20979" w:rsidRPr="00325BF0" w:rsidRDefault="007816E7" w:rsidP="00A3405C">
      <w:pPr>
        <w:jc w:val="both"/>
        <w:rPr>
          <w:rFonts w:asciiTheme="minorHAnsi" w:eastAsia="Calibri" w:hAnsiTheme="minorHAnsi" w:cstheme="minorHAnsi"/>
          <w:sz w:val="22"/>
          <w:szCs w:val="22"/>
        </w:rPr>
      </w:pPr>
      <w:r w:rsidRPr="00E20979">
        <w:rPr>
          <w:rFonts w:asciiTheme="minorHAnsi" w:eastAsia="Calibri" w:hAnsiTheme="minorHAnsi" w:cstheme="minorHAnsi"/>
          <w:sz w:val="22"/>
          <w:szCs w:val="22"/>
        </w:rPr>
        <w:t xml:space="preserve">Dal comparto locativo emergono segnali di maggiore stabilità in termini di valori. Il dato medio, sintesi dei </w:t>
      </w:r>
      <w:r w:rsidRPr="00325BF0">
        <w:rPr>
          <w:rFonts w:asciiTheme="minorHAnsi" w:eastAsia="Calibri" w:hAnsiTheme="minorHAnsi" w:cstheme="minorHAnsi"/>
          <w:sz w:val="22"/>
          <w:szCs w:val="22"/>
        </w:rPr>
        <w:t>canoni richiesti in giugno, luglio e agosto nelle singole località turistiche monitorate, evidenzia un +</w:t>
      </w:r>
      <w:r w:rsidR="00E20979" w:rsidRPr="00325BF0">
        <w:rPr>
          <w:rFonts w:asciiTheme="minorHAnsi" w:eastAsia="Calibri" w:hAnsiTheme="minorHAnsi" w:cstheme="minorHAnsi"/>
          <w:sz w:val="22"/>
          <w:szCs w:val="22"/>
        </w:rPr>
        <w:t>0,2</w:t>
      </w:r>
      <w:r w:rsidRPr="00325BF0">
        <w:rPr>
          <w:rFonts w:asciiTheme="minorHAnsi" w:eastAsia="Calibri" w:hAnsiTheme="minorHAnsi" w:cstheme="minorHAnsi"/>
          <w:sz w:val="22"/>
          <w:szCs w:val="22"/>
        </w:rPr>
        <w:t>% su base annua</w:t>
      </w:r>
      <w:r w:rsidR="00E20979" w:rsidRPr="00325BF0">
        <w:rPr>
          <w:rFonts w:asciiTheme="minorHAnsi" w:eastAsia="Calibri" w:hAnsiTheme="minorHAnsi" w:cstheme="minorHAnsi"/>
          <w:sz w:val="22"/>
          <w:szCs w:val="22"/>
        </w:rPr>
        <w:t>, con un campo di oscillazione, in funzione del mese</w:t>
      </w:r>
      <w:r w:rsidR="00910C43" w:rsidRPr="00325BF0">
        <w:rPr>
          <w:rFonts w:asciiTheme="minorHAnsi" w:eastAsia="Calibri" w:hAnsiTheme="minorHAnsi" w:cstheme="minorHAnsi"/>
          <w:sz w:val="22"/>
          <w:szCs w:val="22"/>
        </w:rPr>
        <w:t xml:space="preserve"> e delle località turistiche</w:t>
      </w:r>
      <w:r w:rsidR="00E20979" w:rsidRPr="00325BF0">
        <w:rPr>
          <w:rFonts w:asciiTheme="minorHAnsi" w:eastAsia="Calibri" w:hAnsiTheme="minorHAnsi" w:cstheme="minorHAnsi"/>
          <w:sz w:val="22"/>
          <w:szCs w:val="22"/>
        </w:rPr>
        <w:t>, compreso tra -</w:t>
      </w:r>
      <w:r w:rsidR="00910C43" w:rsidRPr="00325BF0">
        <w:rPr>
          <w:rFonts w:asciiTheme="minorHAnsi" w:eastAsia="Calibri" w:hAnsiTheme="minorHAnsi" w:cstheme="minorHAnsi"/>
          <w:sz w:val="22"/>
          <w:szCs w:val="22"/>
        </w:rPr>
        <w:t>6,7</w:t>
      </w:r>
      <w:r w:rsidR="00E20979" w:rsidRPr="00325BF0">
        <w:rPr>
          <w:rFonts w:asciiTheme="minorHAnsi" w:eastAsia="Calibri" w:hAnsiTheme="minorHAnsi" w:cstheme="minorHAnsi"/>
          <w:sz w:val="22"/>
          <w:szCs w:val="22"/>
        </w:rPr>
        <w:t>% e +1</w:t>
      </w:r>
      <w:r w:rsidR="00910C43" w:rsidRPr="00325BF0">
        <w:rPr>
          <w:rFonts w:asciiTheme="minorHAnsi" w:eastAsia="Calibri" w:hAnsiTheme="minorHAnsi" w:cstheme="minorHAnsi"/>
          <w:sz w:val="22"/>
          <w:szCs w:val="22"/>
        </w:rPr>
        <w:t>,4</w:t>
      </w:r>
      <w:r w:rsidR="00E20979" w:rsidRPr="00325BF0">
        <w:rPr>
          <w:rFonts w:asciiTheme="minorHAnsi" w:eastAsia="Calibri" w:hAnsiTheme="minorHAnsi" w:cstheme="minorHAnsi"/>
          <w:sz w:val="22"/>
          <w:szCs w:val="22"/>
        </w:rPr>
        <w:t>%.</w:t>
      </w:r>
    </w:p>
    <w:p w14:paraId="4480E9FC" w14:textId="77777777" w:rsidR="00085517" w:rsidRPr="00325BF0" w:rsidRDefault="00085517" w:rsidP="00A3405C">
      <w:pPr>
        <w:jc w:val="both"/>
        <w:rPr>
          <w:rFonts w:asciiTheme="minorHAnsi" w:eastAsia="Calibri" w:hAnsiTheme="minorHAnsi" w:cstheme="minorHAnsi"/>
          <w:sz w:val="22"/>
          <w:szCs w:val="22"/>
        </w:rPr>
      </w:pPr>
    </w:p>
    <w:p w14:paraId="748105BA" w14:textId="0F121A20" w:rsidR="007816E7" w:rsidRPr="00BA5F1B" w:rsidRDefault="007816E7" w:rsidP="00A3405C">
      <w:pPr>
        <w:jc w:val="both"/>
        <w:rPr>
          <w:rFonts w:asciiTheme="minorHAnsi" w:eastAsia="Calibri" w:hAnsiTheme="minorHAnsi" w:cstheme="minorHAnsi"/>
          <w:sz w:val="22"/>
          <w:szCs w:val="22"/>
        </w:rPr>
      </w:pPr>
      <w:r w:rsidRPr="00BA5F1B">
        <w:rPr>
          <w:rFonts w:asciiTheme="minorHAnsi" w:eastAsia="Calibri" w:hAnsiTheme="minorHAnsi" w:cstheme="minorHAnsi"/>
          <w:sz w:val="22"/>
          <w:szCs w:val="22"/>
        </w:rPr>
        <w:t xml:space="preserve">Il </w:t>
      </w:r>
      <w:r w:rsidR="00365FA6" w:rsidRPr="00BA5F1B">
        <w:rPr>
          <w:rFonts w:asciiTheme="minorHAnsi" w:eastAsia="Calibri" w:hAnsiTheme="minorHAnsi" w:cstheme="minorHAnsi"/>
          <w:sz w:val="22"/>
          <w:szCs w:val="22"/>
        </w:rPr>
        <w:t xml:space="preserve">mercato </w:t>
      </w:r>
      <w:r w:rsidRPr="00BA5F1B">
        <w:rPr>
          <w:rFonts w:asciiTheme="minorHAnsi" w:eastAsia="Calibri" w:hAnsiTheme="minorHAnsi" w:cstheme="minorHAnsi"/>
          <w:sz w:val="22"/>
          <w:szCs w:val="22"/>
        </w:rPr>
        <w:t xml:space="preserve">della locazione delle </w:t>
      </w:r>
      <w:r w:rsidR="00102954">
        <w:rPr>
          <w:rFonts w:asciiTheme="minorHAnsi" w:eastAsia="Calibri" w:hAnsiTheme="minorHAnsi" w:cstheme="minorHAnsi"/>
          <w:sz w:val="22"/>
          <w:szCs w:val="22"/>
        </w:rPr>
        <w:t>destinazioni</w:t>
      </w:r>
      <w:r w:rsidRPr="00BA5F1B">
        <w:rPr>
          <w:rFonts w:asciiTheme="minorHAnsi" w:eastAsia="Calibri" w:hAnsiTheme="minorHAnsi" w:cstheme="minorHAnsi"/>
          <w:sz w:val="22"/>
          <w:szCs w:val="22"/>
        </w:rPr>
        <w:t xml:space="preserve"> turistiche è caratterizzato da un canone medio settimanale ordinario (valore di massima frequenza per un appartamento con camera matrimoniale, cameretta, cucina e bagno, 4 posti letto spese incluse) di </w:t>
      </w:r>
      <w:r w:rsidR="00F25710" w:rsidRPr="00BA5F1B">
        <w:rPr>
          <w:rFonts w:asciiTheme="minorHAnsi" w:eastAsia="Calibri" w:hAnsiTheme="minorHAnsi" w:cstheme="minorHAnsi"/>
          <w:sz w:val="22"/>
          <w:szCs w:val="22"/>
        </w:rPr>
        <w:t>4</w:t>
      </w:r>
      <w:r w:rsidR="00365FA6" w:rsidRPr="00BA5F1B">
        <w:rPr>
          <w:rFonts w:asciiTheme="minorHAnsi" w:eastAsia="Calibri" w:hAnsiTheme="minorHAnsi" w:cstheme="minorHAnsi"/>
          <w:sz w:val="22"/>
          <w:szCs w:val="22"/>
        </w:rPr>
        <w:t>34</w:t>
      </w:r>
      <w:r w:rsidRPr="00BA5F1B">
        <w:rPr>
          <w:rFonts w:asciiTheme="minorHAnsi" w:eastAsia="Calibri" w:hAnsiTheme="minorHAnsi" w:cstheme="minorHAnsi"/>
          <w:sz w:val="22"/>
          <w:szCs w:val="22"/>
        </w:rPr>
        <w:t xml:space="preserve"> € per il mese di giugno, </w:t>
      </w:r>
      <w:r w:rsidR="00365FA6" w:rsidRPr="00BA5F1B">
        <w:rPr>
          <w:rFonts w:asciiTheme="minorHAnsi" w:eastAsia="Calibri" w:hAnsiTheme="minorHAnsi" w:cstheme="minorHAnsi"/>
          <w:sz w:val="22"/>
          <w:szCs w:val="22"/>
        </w:rPr>
        <w:t>615</w:t>
      </w:r>
      <w:r w:rsidRPr="00BA5F1B">
        <w:rPr>
          <w:rFonts w:asciiTheme="minorHAnsi" w:eastAsia="Calibri" w:hAnsiTheme="minorHAnsi" w:cstheme="minorHAnsi"/>
          <w:sz w:val="22"/>
          <w:szCs w:val="22"/>
        </w:rPr>
        <w:t xml:space="preserve"> € per luglio e 7</w:t>
      </w:r>
      <w:r w:rsidR="00365FA6" w:rsidRPr="00BA5F1B">
        <w:rPr>
          <w:rFonts w:asciiTheme="minorHAnsi" w:eastAsia="Calibri" w:hAnsiTheme="minorHAnsi" w:cstheme="minorHAnsi"/>
          <w:sz w:val="22"/>
          <w:szCs w:val="22"/>
        </w:rPr>
        <w:t>94</w:t>
      </w:r>
      <w:r w:rsidRPr="00BA5F1B">
        <w:rPr>
          <w:rFonts w:asciiTheme="minorHAnsi" w:eastAsia="Calibri" w:hAnsiTheme="minorHAnsi" w:cstheme="minorHAnsi"/>
          <w:sz w:val="22"/>
          <w:szCs w:val="22"/>
        </w:rPr>
        <w:t xml:space="preserve"> € per agosto.</w:t>
      </w:r>
    </w:p>
    <w:p w14:paraId="4956C0AD" w14:textId="77777777" w:rsidR="00085517" w:rsidRDefault="00085517" w:rsidP="00102954">
      <w:pPr>
        <w:jc w:val="both"/>
        <w:rPr>
          <w:rFonts w:asciiTheme="minorHAnsi" w:eastAsia="Calibri" w:hAnsiTheme="minorHAnsi" w:cstheme="minorHAnsi"/>
          <w:sz w:val="22"/>
          <w:szCs w:val="22"/>
        </w:rPr>
      </w:pPr>
    </w:p>
    <w:p w14:paraId="7CF9463F" w14:textId="209D3068" w:rsidR="00B057C6" w:rsidRPr="00F25710" w:rsidRDefault="007816E7" w:rsidP="00102954">
      <w:pPr>
        <w:jc w:val="both"/>
        <w:rPr>
          <w:rFonts w:asciiTheme="minorHAnsi" w:eastAsia="Calibri" w:hAnsiTheme="minorHAnsi" w:cstheme="minorHAnsi"/>
          <w:sz w:val="22"/>
          <w:szCs w:val="22"/>
        </w:rPr>
      </w:pPr>
      <w:r w:rsidRPr="00BA5F1B">
        <w:rPr>
          <w:rFonts w:asciiTheme="minorHAnsi" w:eastAsia="Calibri" w:hAnsiTheme="minorHAnsi" w:cstheme="minorHAnsi"/>
          <w:sz w:val="22"/>
          <w:szCs w:val="22"/>
        </w:rPr>
        <w:t>In questo segmento del mercato si riscontrano differenze tra le località lacuali e quelle marine/montane:</w:t>
      </w:r>
    </w:p>
    <w:p w14:paraId="0BD10DBC" w14:textId="202A7DD9" w:rsidR="00365FA6" w:rsidRDefault="00365FA6" w:rsidP="007816E7">
      <w:pPr>
        <w:rPr>
          <w:rFonts w:asciiTheme="minorHAnsi" w:eastAsia="Calibri" w:hAnsiTheme="minorHAnsi" w:cstheme="minorHAnsi"/>
          <w:sz w:val="22"/>
          <w:szCs w:val="22"/>
        </w:rPr>
      </w:pPr>
    </w:p>
    <w:p w14:paraId="192AAEDF" w14:textId="77777777" w:rsidR="00085517" w:rsidRDefault="00085517" w:rsidP="007816E7">
      <w:pPr>
        <w:rPr>
          <w:rFonts w:asciiTheme="minorHAnsi" w:eastAsia="Calibri" w:hAnsiTheme="minorHAnsi" w:cstheme="minorHAnsi"/>
          <w:sz w:val="22"/>
          <w:szCs w:val="22"/>
        </w:rPr>
      </w:pPr>
    </w:p>
    <w:p w14:paraId="47F85948" w14:textId="1518FC85" w:rsidR="003251EF" w:rsidRPr="00F25710" w:rsidRDefault="003251EF" w:rsidP="007816E7">
      <w:pPr>
        <w:rPr>
          <w:rFonts w:asciiTheme="minorHAnsi" w:eastAsia="Calibri" w:hAnsiTheme="minorHAnsi" w:cstheme="minorHAnsi"/>
          <w:sz w:val="22"/>
          <w:szCs w:val="22"/>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4"/>
        <w:gridCol w:w="2444"/>
        <w:gridCol w:w="2445"/>
        <w:gridCol w:w="2445"/>
      </w:tblGrid>
      <w:tr w:rsidR="0041716C" w:rsidRPr="00F25710" w14:paraId="7D814A74" w14:textId="77777777" w:rsidTr="002D78BD">
        <w:trPr>
          <w:trHeight w:val="340"/>
          <w:jc w:val="center"/>
        </w:trPr>
        <w:tc>
          <w:tcPr>
            <w:tcW w:w="2444" w:type="dxa"/>
            <w:vAlign w:val="center"/>
          </w:tcPr>
          <w:p w14:paraId="26F942D6" w14:textId="042940D8" w:rsidR="00CC3C69" w:rsidRPr="00F25710" w:rsidRDefault="00B23B9D" w:rsidP="000D7640">
            <w:pPr>
              <w:rPr>
                <w:rFonts w:asciiTheme="minorHAnsi" w:eastAsia="Calibri" w:hAnsiTheme="minorHAnsi" w:cstheme="minorHAnsi"/>
                <w:b w:val="0"/>
                <w:sz w:val="20"/>
              </w:rPr>
            </w:pPr>
            <w:r w:rsidRPr="00F25710">
              <w:rPr>
                <w:rFonts w:asciiTheme="minorHAnsi" w:eastAsia="Calibri" w:hAnsiTheme="minorHAnsi" w:cstheme="minorHAnsi"/>
                <w:b w:val="0"/>
                <w:caps w:val="0"/>
                <w:sz w:val="20"/>
              </w:rPr>
              <w:t xml:space="preserve">Tavola </w:t>
            </w:r>
            <w:r w:rsidR="00464BC2">
              <w:rPr>
                <w:rFonts w:asciiTheme="minorHAnsi" w:eastAsia="Calibri" w:hAnsiTheme="minorHAnsi" w:cstheme="minorHAnsi"/>
                <w:b w:val="0"/>
                <w:caps w:val="0"/>
                <w:sz w:val="20"/>
              </w:rPr>
              <w:t>4</w:t>
            </w:r>
          </w:p>
        </w:tc>
        <w:tc>
          <w:tcPr>
            <w:tcW w:w="7334" w:type="dxa"/>
            <w:gridSpan w:val="3"/>
            <w:shd w:val="clear" w:color="auto" w:fill="D9D9D9" w:themeFill="background1" w:themeFillShade="D9"/>
            <w:vAlign w:val="center"/>
          </w:tcPr>
          <w:p w14:paraId="4385C271" w14:textId="341C0D60" w:rsidR="00B34199" w:rsidRPr="00F25710" w:rsidRDefault="00CC3C69" w:rsidP="00853E99">
            <w:pPr>
              <w:jc w:val="center"/>
              <w:rPr>
                <w:rFonts w:asciiTheme="minorHAnsi" w:eastAsia="Calibri" w:hAnsiTheme="minorHAnsi" w:cstheme="minorHAnsi"/>
                <w:caps w:val="0"/>
                <w:sz w:val="20"/>
              </w:rPr>
            </w:pPr>
            <w:r w:rsidRPr="00F25710">
              <w:rPr>
                <w:rFonts w:asciiTheme="minorHAnsi" w:eastAsia="Calibri" w:hAnsiTheme="minorHAnsi" w:cstheme="minorHAnsi"/>
                <w:caps w:val="0"/>
                <w:sz w:val="20"/>
              </w:rPr>
              <w:t>Canone medio</w:t>
            </w:r>
            <w:r w:rsidR="00856627" w:rsidRPr="00F25710">
              <w:rPr>
                <w:rFonts w:asciiTheme="minorHAnsi" w:eastAsia="Calibri" w:hAnsiTheme="minorHAnsi" w:cstheme="minorHAnsi"/>
                <w:caps w:val="0"/>
                <w:sz w:val="20"/>
              </w:rPr>
              <w:t xml:space="preserve"> </w:t>
            </w:r>
            <w:r w:rsidR="003D3270" w:rsidRPr="00F25710">
              <w:rPr>
                <w:rFonts w:asciiTheme="minorHAnsi" w:eastAsia="Calibri" w:hAnsiTheme="minorHAnsi" w:cstheme="minorHAnsi"/>
                <w:caps w:val="0"/>
                <w:sz w:val="20"/>
              </w:rPr>
              <w:t>settimanale</w:t>
            </w:r>
            <w:r w:rsidR="00F02CF0" w:rsidRPr="00F25710">
              <w:rPr>
                <w:rFonts w:asciiTheme="minorHAnsi" w:eastAsia="Calibri" w:hAnsiTheme="minorHAnsi" w:cstheme="minorHAnsi"/>
                <w:caps w:val="0"/>
                <w:sz w:val="20"/>
              </w:rPr>
              <w:t xml:space="preserve"> 20</w:t>
            </w:r>
            <w:r w:rsidR="003251EF">
              <w:rPr>
                <w:rFonts w:asciiTheme="minorHAnsi" w:eastAsia="Calibri" w:hAnsiTheme="minorHAnsi" w:cstheme="minorHAnsi"/>
                <w:caps w:val="0"/>
                <w:sz w:val="20"/>
              </w:rPr>
              <w:t>20</w:t>
            </w:r>
          </w:p>
        </w:tc>
      </w:tr>
      <w:tr w:rsidR="0041716C" w:rsidRPr="00F25710" w14:paraId="69C307D5" w14:textId="77777777" w:rsidTr="002D78BD">
        <w:trPr>
          <w:trHeight w:val="340"/>
          <w:jc w:val="center"/>
        </w:trPr>
        <w:tc>
          <w:tcPr>
            <w:tcW w:w="2444" w:type="dxa"/>
            <w:vAlign w:val="center"/>
          </w:tcPr>
          <w:p w14:paraId="64124970" w14:textId="77777777" w:rsidR="00CC3C69" w:rsidRPr="00F25710" w:rsidRDefault="00CC3C69" w:rsidP="002D78BD">
            <w:pPr>
              <w:rPr>
                <w:rFonts w:asciiTheme="minorHAnsi" w:eastAsia="Calibri" w:hAnsiTheme="minorHAnsi" w:cstheme="minorHAnsi"/>
                <w:sz w:val="20"/>
              </w:rPr>
            </w:pPr>
          </w:p>
        </w:tc>
        <w:tc>
          <w:tcPr>
            <w:tcW w:w="2444" w:type="dxa"/>
            <w:shd w:val="clear" w:color="auto" w:fill="F2F2F2" w:themeFill="background1" w:themeFillShade="F2"/>
            <w:vAlign w:val="center"/>
          </w:tcPr>
          <w:p w14:paraId="2C982CEC" w14:textId="77777777" w:rsidR="00CC3C69" w:rsidRPr="00F25710" w:rsidRDefault="00CC3C69" w:rsidP="002D78BD">
            <w:pPr>
              <w:jc w:val="center"/>
              <w:rPr>
                <w:rFonts w:asciiTheme="minorHAnsi" w:eastAsia="Calibri" w:hAnsiTheme="minorHAnsi" w:cstheme="minorHAnsi"/>
                <w:sz w:val="20"/>
              </w:rPr>
            </w:pPr>
            <w:r w:rsidRPr="00F25710">
              <w:rPr>
                <w:rFonts w:asciiTheme="minorHAnsi" w:eastAsia="Calibri" w:hAnsiTheme="minorHAnsi" w:cstheme="minorHAnsi"/>
                <w:caps w:val="0"/>
                <w:sz w:val="20"/>
              </w:rPr>
              <w:t>Mese di giugno</w:t>
            </w:r>
          </w:p>
        </w:tc>
        <w:tc>
          <w:tcPr>
            <w:tcW w:w="2445" w:type="dxa"/>
            <w:shd w:val="clear" w:color="auto" w:fill="F2F2F2" w:themeFill="background1" w:themeFillShade="F2"/>
            <w:vAlign w:val="center"/>
          </w:tcPr>
          <w:p w14:paraId="65002E67" w14:textId="77777777" w:rsidR="00CC3C69" w:rsidRPr="00F25710" w:rsidRDefault="00CC3C69" w:rsidP="002D78BD">
            <w:pPr>
              <w:jc w:val="center"/>
              <w:rPr>
                <w:rFonts w:asciiTheme="minorHAnsi" w:eastAsia="Calibri" w:hAnsiTheme="minorHAnsi" w:cstheme="minorHAnsi"/>
                <w:sz w:val="20"/>
              </w:rPr>
            </w:pPr>
            <w:r w:rsidRPr="00F25710">
              <w:rPr>
                <w:rFonts w:asciiTheme="minorHAnsi" w:eastAsia="Calibri" w:hAnsiTheme="minorHAnsi" w:cstheme="minorHAnsi"/>
                <w:caps w:val="0"/>
                <w:sz w:val="20"/>
              </w:rPr>
              <w:t>Mese di luglio</w:t>
            </w:r>
          </w:p>
        </w:tc>
        <w:tc>
          <w:tcPr>
            <w:tcW w:w="2445" w:type="dxa"/>
            <w:shd w:val="clear" w:color="auto" w:fill="F2F2F2" w:themeFill="background1" w:themeFillShade="F2"/>
            <w:vAlign w:val="center"/>
          </w:tcPr>
          <w:p w14:paraId="530108FF" w14:textId="77777777" w:rsidR="00CC3C69" w:rsidRPr="00F25710" w:rsidRDefault="00CC3C69" w:rsidP="002D78BD">
            <w:pPr>
              <w:jc w:val="center"/>
              <w:rPr>
                <w:rFonts w:asciiTheme="minorHAnsi" w:eastAsia="Calibri" w:hAnsiTheme="minorHAnsi" w:cstheme="minorHAnsi"/>
                <w:sz w:val="20"/>
              </w:rPr>
            </w:pPr>
            <w:r w:rsidRPr="00F25710">
              <w:rPr>
                <w:rFonts w:asciiTheme="minorHAnsi" w:eastAsia="Calibri" w:hAnsiTheme="minorHAnsi" w:cstheme="minorHAnsi"/>
                <w:caps w:val="0"/>
                <w:sz w:val="20"/>
              </w:rPr>
              <w:t>Mese di agosto</w:t>
            </w:r>
          </w:p>
        </w:tc>
      </w:tr>
      <w:tr w:rsidR="003251EF" w:rsidRPr="00F25710" w14:paraId="28B1FD8E" w14:textId="77777777" w:rsidTr="00DC3E45">
        <w:trPr>
          <w:trHeight w:val="340"/>
          <w:jc w:val="center"/>
        </w:trPr>
        <w:tc>
          <w:tcPr>
            <w:tcW w:w="2444" w:type="dxa"/>
            <w:shd w:val="clear" w:color="auto" w:fill="DEEAF6" w:themeFill="accent1" w:themeFillTint="33"/>
            <w:vAlign w:val="center"/>
          </w:tcPr>
          <w:p w14:paraId="7A10777A" w14:textId="77777777" w:rsidR="003251EF" w:rsidRPr="00F25710" w:rsidRDefault="003251EF" w:rsidP="003251EF">
            <w:pPr>
              <w:rPr>
                <w:rFonts w:asciiTheme="minorHAnsi" w:eastAsia="Calibri" w:hAnsiTheme="minorHAnsi" w:cstheme="minorHAnsi"/>
                <w:caps w:val="0"/>
                <w:sz w:val="20"/>
              </w:rPr>
            </w:pPr>
            <w:r w:rsidRPr="00F25710">
              <w:rPr>
                <w:rFonts w:asciiTheme="minorHAnsi" w:eastAsia="Calibri" w:hAnsiTheme="minorHAnsi" w:cstheme="minorHAnsi"/>
                <w:caps w:val="0"/>
                <w:sz w:val="20"/>
              </w:rPr>
              <w:t>Località lacuali</w:t>
            </w:r>
          </w:p>
        </w:tc>
        <w:tc>
          <w:tcPr>
            <w:tcW w:w="2444" w:type="dxa"/>
            <w:shd w:val="clear" w:color="auto" w:fill="DEEAF6" w:themeFill="accent1" w:themeFillTint="33"/>
            <w:vAlign w:val="bottom"/>
          </w:tcPr>
          <w:p w14:paraId="64C4823F" w14:textId="7EEA7361" w:rsidR="003251EF" w:rsidRPr="00F25710" w:rsidRDefault="003251EF" w:rsidP="003251EF">
            <w:pPr>
              <w:jc w:val="center"/>
              <w:rPr>
                <w:rFonts w:ascii="Calibri" w:hAnsi="Calibri" w:cs="Arial"/>
                <w:b w:val="0"/>
                <w:sz w:val="20"/>
              </w:rPr>
            </w:pPr>
            <w:r>
              <w:rPr>
                <w:rFonts w:ascii="Calibri" w:hAnsi="Calibri" w:cs="Calibri"/>
                <w:color w:val="000000"/>
                <w:sz w:val="20"/>
              </w:rPr>
              <w:t xml:space="preserve">575 </w:t>
            </w:r>
          </w:p>
        </w:tc>
        <w:tc>
          <w:tcPr>
            <w:tcW w:w="2445" w:type="dxa"/>
            <w:shd w:val="clear" w:color="auto" w:fill="DEEAF6" w:themeFill="accent1" w:themeFillTint="33"/>
            <w:vAlign w:val="bottom"/>
          </w:tcPr>
          <w:p w14:paraId="61C59FB3" w14:textId="495E81D6" w:rsidR="003251EF" w:rsidRPr="00F25710" w:rsidRDefault="003251EF" w:rsidP="003251EF">
            <w:pPr>
              <w:jc w:val="center"/>
              <w:rPr>
                <w:rFonts w:ascii="Calibri" w:hAnsi="Calibri" w:cs="Arial"/>
                <w:b w:val="0"/>
                <w:sz w:val="20"/>
              </w:rPr>
            </w:pPr>
            <w:r>
              <w:rPr>
                <w:rFonts w:ascii="Calibri" w:hAnsi="Calibri" w:cs="Calibri"/>
                <w:color w:val="000000"/>
                <w:sz w:val="20"/>
              </w:rPr>
              <w:t xml:space="preserve">720 </w:t>
            </w:r>
          </w:p>
        </w:tc>
        <w:tc>
          <w:tcPr>
            <w:tcW w:w="2445" w:type="dxa"/>
            <w:shd w:val="clear" w:color="auto" w:fill="DEEAF6" w:themeFill="accent1" w:themeFillTint="33"/>
            <w:vAlign w:val="bottom"/>
          </w:tcPr>
          <w:p w14:paraId="758C76AF" w14:textId="2FB98950" w:rsidR="003251EF" w:rsidRPr="00F25710" w:rsidRDefault="003251EF" w:rsidP="003251EF">
            <w:pPr>
              <w:jc w:val="center"/>
              <w:rPr>
                <w:rFonts w:ascii="Calibri" w:hAnsi="Calibri" w:cs="Arial"/>
                <w:b w:val="0"/>
                <w:sz w:val="20"/>
              </w:rPr>
            </w:pPr>
            <w:r>
              <w:rPr>
                <w:rFonts w:ascii="Calibri" w:hAnsi="Calibri" w:cs="Calibri"/>
                <w:color w:val="000000"/>
                <w:sz w:val="20"/>
              </w:rPr>
              <w:t xml:space="preserve">885 </w:t>
            </w:r>
          </w:p>
        </w:tc>
      </w:tr>
      <w:tr w:rsidR="003251EF" w:rsidRPr="00F25710" w14:paraId="0EC57A5A" w14:textId="77777777" w:rsidTr="00DC3E45">
        <w:trPr>
          <w:trHeight w:val="340"/>
          <w:jc w:val="center"/>
        </w:trPr>
        <w:tc>
          <w:tcPr>
            <w:tcW w:w="2444" w:type="dxa"/>
            <w:shd w:val="clear" w:color="auto" w:fill="DEEAF6" w:themeFill="accent1" w:themeFillTint="33"/>
            <w:vAlign w:val="center"/>
          </w:tcPr>
          <w:p w14:paraId="4F58EC4E" w14:textId="77777777" w:rsidR="003251EF" w:rsidRPr="00F25710" w:rsidRDefault="003251EF" w:rsidP="003251EF">
            <w:pPr>
              <w:rPr>
                <w:rFonts w:asciiTheme="minorHAnsi" w:eastAsia="Calibri" w:hAnsiTheme="minorHAnsi" w:cstheme="minorHAnsi"/>
                <w:sz w:val="20"/>
              </w:rPr>
            </w:pPr>
            <w:r w:rsidRPr="00F25710">
              <w:rPr>
                <w:rFonts w:asciiTheme="minorHAnsi" w:eastAsia="Calibri" w:hAnsiTheme="minorHAnsi" w:cstheme="minorHAnsi"/>
                <w:caps w:val="0"/>
                <w:sz w:val="20"/>
              </w:rPr>
              <w:t>Località marine</w:t>
            </w:r>
          </w:p>
        </w:tc>
        <w:tc>
          <w:tcPr>
            <w:tcW w:w="2444" w:type="dxa"/>
            <w:shd w:val="clear" w:color="auto" w:fill="DEEAF6" w:themeFill="accent1" w:themeFillTint="33"/>
            <w:vAlign w:val="bottom"/>
          </w:tcPr>
          <w:p w14:paraId="216E3D43" w14:textId="03595DC8" w:rsidR="003251EF" w:rsidRPr="00F25710" w:rsidRDefault="003251EF" w:rsidP="003251EF">
            <w:pPr>
              <w:jc w:val="center"/>
              <w:rPr>
                <w:rFonts w:ascii="Calibri" w:hAnsi="Calibri" w:cs="Arial"/>
                <w:b w:val="0"/>
                <w:sz w:val="20"/>
              </w:rPr>
            </w:pPr>
            <w:r>
              <w:rPr>
                <w:rFonts w:ascii="Calibri" w:hAnsi="Calibri" w:cs="Calibri"/>
                <w:color w:val="000000"/>
                <w:sz w:val="20"/>
              </w:rPr>
              <w:t xml:space="preserve">420 </w:t>
            </w:r>
          </w:p>
        </w:tc>
        <w:tc>
          <w:tcPr>
            <w:tcW w:w="2445" w:type="dxa"/>
            <w:shd w:val="clear" w:color="auto" w:fill="DEEAF6" w:themeFill="accent1" w:themeFillTint="33"/>
            <w:vAlign w:val="bottom"/>
          </w:tcPr>
          <w:p w14:paraId="1D30ED69" w14:textId="49A7C656" w:rsidR="003251EF" w:rsidRPr="00F25710" w:rsidRDefault="003251EF" w:rsidP="003251EF">
            <w:pPr>
              <w:jc w:val="center"/>
              <w:rPr>
                <w:rFonts w:ascii="Calibri" w:hAnsi="Calibri" w:cs="Arial"/>
                <w:b w:val="0"/>
                <w:sz w:val="20"/>
              </w:rPr>
            </w:pPr>
            <w:r>
              <w:rPr>
                <w:rFonts w:ascii="Calibri" w:hAnsi="Calibri" w:cs="Calibri"/>
                <w:color w:val="000000"/>
                <w:sz w:val="20"/>
              </w:rPr>
              <w:t xml:space="preserve">610 </w:t>
            </w:r>
          </w:p>
        </w:tc>
        <w:tc>
          <w:tcPr>
            <w:tcW w:w="2445" w:type="dxa"/>
            <w:shd w:val="clear" w:color="auto" w:fill="DEEAF6" w:themeFill="accent1" w:themeFillTint="33"/>
            <w:vAlign w:val="bottom"/>
          </w:tcPr>
          <w:p w14:paraId="7910A637" w14:textId="7BD5936E" w:rsidR="003251EF" w:rsidRPr="00F25710" w:rsidRDefault="003251EF" w:rsidP="003251EF">
            <w:pPr>
              <w:jc w:val="center"/>
              <w:rPr>
                <w:rFonts w:ascii="Calibri" w:hAnsi="Calibri" w:cs="Arial"/>
                <w:b w:val="0"/>
                <w:sz w:val="20"/>
              </w:rPr>
            </w:pPr>
            <w:r>
              <w:rPr>
                <w:rFonts w:ascii="Calibri" w:hAnsi="Calibri" w:cs="Calibri"/>
                <w:color w:val="000000"/>
                <w:sz w:val="20"/>
              </w:rPr>
              <w:t xml:space="preserve">790 </w:t>
            </w:r>
          </w:p>
        </w:tc>
      </w:tr>
      <w:tr w:rsidR="003251EF" w:rsidRPr="00F25710" w14:paraId="0BB1E428" w14:textId="77777777" w:rsidTr="00DC3E45">
        <w:trPr>
          <w:trHeight w:val="340"/>
          <w:jc w:val="center"/>
        </w:trPr>
        <w:tc>
          <w:tcPr>
            <w:tcW w:w="2444" w:type="dxa"/>
            <w:shd w:val="clear" w:color="auto" w:fill="DEEAF6" w:themeFill="accent1" w:themeFillTint="33"/>
            <w:vAlign w:val="center"/>
          </w:tcPr>
          <w:p w14:paraId="48F3979A" w14:textId="77777777" w:rsidR="003251EF" w:rsidRPr="00F25710" w:rsidRDefault="003251EF" w:rsidP="003251EF">
            <w:pPr>
              <w:rPr>
                <w:rFonts w:asciiTheme="minorHAnsi" w:eastAsia="Calibri" w:hAnsiTheme="minorHAnsi" w:cstheme="minorHAnsi"/>
                <w:sz w:val="20"/>
              </w:rPr>
            </w:pPr>
            <w:r w:rsidRPr="00F25710">
              <w:rPr>
                <w:rFonts w:asciiTheme="minorHAnsi" w:eastAsia="Calibri" w:hAnsiTheme="minorHAnsi" w:cstheme="minorHAnsi"/>
                <w:caps w:val="0"/>
                <w:sz w:val="20"/>
              </w:rPr>
              <w:t>Località montane</w:t>
            </w:r>
          </w:p>
        </w:tc>
        <w:tc>
          <w:tcPr>
            <w:tcW w:w="2444" w:type="dxa"/>
            <w:shd w:val="clear" w:color="auto" w:fill="DEEAF6" w:themeFill="accent1" w:themeFillTint="33"/>
            <w:vAlign w:val="bottom"/>
          </w:tcPr>
          <w:p w14:paraId="440BBEAB" w14:textId="166F79C8" w:rsidR="003251EF" w:rsidRPr="00F25710" w:rsidRDefault="003251EF" w:rsidP="003251EF">
            <w:pPr>
              <w:jc w:val="center"/>
              <w:rPr>
                <w:rFonts w:ascii="Calibri" w:hAnsi="Calibri" w:cs="Arial"/>
                <w:b w:val="0"/>
                <w:sz w:val="20"/>
              </w:rPr>
            </w:pPr>
            <w:r>
              <w:rPr>
                <w:rFonts w:ascii="Calibri" w:hAnsi="Calibri" w:cs="Calibri"/>
                <w:color w:val="000000"/>
                <w:sz w:val="20"/>
              </w:rPr>
              <w:t xml:space="preserve">400 </w:t>
            </w:r>
          </w:p>
        </w:tc>
        <w:tc>
          <w:tcPr>
            <w:tcW w:w="2445" w:type="dxa"/>
            <w:shd w:val="clear" w:color="auto" w:fill="DEEAF6" w:themeFill="accent1" w:themeFillTint="33"/>
            <w:vAlign w:val="bottom"/>
          </w:tcPr>
          <w:p w14:paraId="119E8A27" w14:textId="4470A011" w:rsidR="003251EF" w:rsidRPr="00F25710" w:rsidRDefault="003251EF" w:rsidP="003251EF">
            <w:pPr>
              <w:jc w:val="center"/>
              <w:rPr>
                <w:rFonts w:ascii="Calibri" w:hAnsi="Calibri" w:cs="Arial"/>
                <w:b w:val="0"/>
                <w:sz w:val="20"/>
              </w:rPr>
            </w:pPr>
            <w:r>
              <w:rPr>
                <w:rFonts w:ascii="Calibri" w:hAnsi="Calibri" w:cs="Calibri"/>
                <w:color w:val="000000"/>
                <w:sz w:val="20"/>
              </w:rPr>
              <w:t xml:space="preserve">585 </w:t>
            </w:r>
          </w:p>
        </w:tc>
        <w:tc>
          <w:tcPr>
            <w:tcW w:w="2445" w:type="dxa"/>
            <w:shd w:val="clear" w:color="auto" w:fill="DEEAF6" w:themeFill="accent1" w:themeFillTint="33"/>
            <w:vAlign w:val="bottom"/>
          </w:tcPr>
          <w:p w14:paraId="0A26C074" w14:textId="4B85ED34" w:rsidR="003251EF" w:rsidRPr="00F25710" w:rsidRDefault="003251EF" w:rsidP="003251EF">
            <w:pPr>
              <w:jc w:val="center"/>
              <w:rPr>
                <w:rFonts w:ascii="Calibri" w:hAnsi="Calibri" w:cs="Arial"/>
                <w:b w:val="0"/>
                <w:sz w:val="20"/>
              </w:rPr>
            </w:pPr>
            <w:r>
              <w:rPr>
                <w:rFonts w:ascii="Calibri" w:hAnsi="Calibri" w:cs="Calibri"/>
                <w:color w:val="000000"/>
                <w:sz w:val="20"/>
              </w:rPr>
              <w:t xml:space="preserve">765 </w:t>
            </w:r>
          </w:p>
        </w:tc>
      </w:tr>
    </w:tbl>
    <w:p w14:paraId="428A86FB" w14:textId="77777777" w:rsidR="008D7331" w:rsidRPr="00F25710" w:rsidRDefault="008D7331" w:rsidP="008D7331">
      <w:pPr>
        <w:spacing w:before="60"/>
        <w:rPr>
          <w:rFonts w:asciiTheme="minorHAnsi" w:eastAsia="Calibri" w:hAnsiTheme="minorHAnsi" w:cstheme="minorHAnsi"/>
          <w:sz w:val="18"/>
        </w:rPr>
      </w:pPr>
      <w:r w:rsidRPr="00F25710">
        <w:rPr>
          <w:rFonts w:asciiTheme="minorHAnsi" w:eastAsia="Calibri" w:hAnsiTheme="minorHAnsi" w:cstheme="minorHAnsi"/>
          <w:sz w:val="18"/>
        </w:rPr>
        <w:t>Fonte: Nomisma e Fimaa</w:t>
      </w:r>
      <w:r w:rsidR="00AC5889" w:rsidRPr="00F25710">
        <w:rPr>
          <w:rFonts w:asciiTheme="minorHAnsi" w:eastAsia="Calibri" w:hAnsiTheme="minorHAnsi" w:cstheme="minorHAnsi"/>
          <w:sz w:val="18"/>
        </w:rPr>
        <w:t>-Confcommercio</w:t>
      </w:r>
    </w:p>
    <w:p w14:paraId="709737A8" w14:textId="743F28AE" w:rsidR="00E20979" w:rsidRDefault="00E20979" w:rsidP="00364602">
      <w:pPr>
        <w:rPr>
          <w:rFonts w:asciiTheme="minorHAnsi" w:eastAsia="Calibri" w:hAnsiTheme="minorHAnsi" w:cstheme="minorHAnsi"/>
          <w:sz w:val="22"/>
        </w:rPr>
      </w:pPr>
    </w:p>
    <w:p w14:paraId="2A019400" w14:textId="5EAA2B3B" w:rsidR="00E24062" w:rsidRPr="00E24062" w:rsidRDefault="00E24062" w:rsidP="00A3405C">
      <w:pPr>
        <w:jc w:val="both"/>
        <w:rPr>
          <w:rFonts w:asciiTheme="minorHAnsi" w:eastAsia="Calibri" w:hAnsiTheme="minorHAnsi" w:cstheme="minorHAnsi"/>
          <w:sz w:val="22"/>
          <w:szCs w:val="22"/>
        </w:rPr>
      </w:pPr>
      <w:r w:rsidRPr="00E24062">
        <w:rPr>
          <w:rFonts w:asciiTheme="minorHAnsi" w:eastAsia="Calibri" w:hAnsiTheme="minorHAnsi" w:cstheme="minorHAnsi"/>
          <w:sz w:val="22"/>
          <w:szCs w:val="22"/>
        </w:rPr>
        <w:t xml:space="preserve">Secondo gli operatori del settore, anche quest’anno il mercato residenziale nelle località turistiche è alimentato principalmente dagli acquisti per utilizzo diretto (55%), sebbene </w:t>
      </w:r>
      <w:r w:rsidR="005F0839">
        <w:rPr>
          <w:rFonts w:asciiTheme="minorHAnsi" w:eastAsia="Calibri" w:hAnsiTheme="minorHAnsi" w:cstheme="minorHAnsi"/>
          <w:sz w:val="22"/>
          <w:szCs w:val="22"/>
        </w:rPr>
        <w:t>c</w:t>
      </w:r>
      <w:r w:rsidRPr="00E24062">
        <w:rPr>
          <w:rFonts w:asciiTheme="minorHAnsi" w:eastAsia="Calibri" w:hAnsiTheme="minorHAnsi" w:cstheme="minorHAnsi"/>
          <w:sz w:val="22"/>
          <w:szCs w:val="22"/>
        </w:rPr>
        <w:t xml:space="preserve">on minore intensità rispetto allo scorso anno, a fronte di un aumento </w:t>
      </w:r>
      <w:r w:rsidR="004C1B57">
        <w:rPr>
          <w:rFonts w:asciiTheme="minorHAnsi" w:eastAsia="Calibri" w:hAnsiTheme="minorHAnsi" w:cstheme="minorHAnsi"/>
          <w:sz w:val="22"/>
          <w:szCs w:val="22"/>
        </w:rPr>
        <w:t>della componente che esprime la duplice finalità</w:t>
      </w:r>
      <w:r w:rsidRPr="00E24062">
        <w:rPr>
          <w:rFonts w:asciiTheme="minorHAnsi" w:eastAsia="Calibri" w:hAnsiTheme="minorHAnsi" w:cstheme="minorHAnsi"/>
          <w:sz w:val="22"/>
          <w:szCs w:val="22"/>
        </w:rPr>
        <w:t xml:space="preserve"> (investimento e</w:t>
      </w:r>
      <w:r w:rsidR="004C1B57">
        <w:rPr>
          <w:rFonts w:asciiTheme="minorHAnsi" w:eastAsia="Calibri" w:hAnsiTheme="minorHAnsi" w:cstheme="minorHAnsi"/>
          <w:sz w:val="22"/>
          <w:szCs w:val="22"/>
        </w:rPr>
        <w:t xml:space="preserve">d </w:t>
      </w:r>
      <w:r w:rsidRPr="00E24062">
        <w:rPr>
          <w:rFonts w:asciiTheme="minorHAnsi" w:eastAsia="Calibri" w:hAnsiTheme="minorHAnsi" w:cstheme="minorHAnsi"/>
          <w:sz w:val="22"/>
          <w:szCs w:val="22"/>
        </w:rPr>
        <w:t>uso personale) che arriva al 26%. La quot</w:t>
      </w:r>
      <w:r w:rsidR="004C1B57">
        <w:rPr>
          <w:rFonts w:asciiTheme="minorHAnsi" w:eastAsia="Calibri" w:hAnsiTheme="minorHAnsi" w:cstheme="minorHAnsi"/>
          <w:sz w:val="22"/>
          <w:szCs w:val="22"/>
        </w:rPr>
        <w:t>a</w:t>
      </w:r>
      <w:r w:rsidRPr="00E24062">
        <w:rPr>
          <w:rFonts w:asciiTheme="minorHAnsi" w:eastAsia="Calibri" w:hAnsiTheme="minorHAnsi" w:cstheme="minorHAnsi"/>
          <w:sz w:val="22"/>
          <w:szCs w:val="22"/>
        </w:rPr>
        <w:t xml:space="preserve"> restante è riconducib</w:t>
      </w:r>
      <w:r w:rsidR="004C1B57">
        <w:rPr>
          <w:rFonts w:asciiTheme="minorHAnsi" w:eastAsia="Calibri" w:hAnsiTheme="minorHAnsi" w:cstheme="minorHAnsi"/>
          <w:sz w:val="22"/>
          <w:szCs w:val="22"/>
        </w:rPr>
        <w:t>ile</w:t>
      </w:r>
      <w:r w:rsidRPr="00E24062">
        <w:rPr>
          <w:rFonts w:asciiTheme="minorHAnsi" w:eastAsia="Calibri" w:hAnsiTheme="minorHAnsi" w:cstheme="minorHAnsi"/>
          <w:sz w:val="22"/>
          <w:szCs w:val="22"/>
        </w:rPr>
        <w:t xml:space="preserve"> a finalità di investimento (19%)</w:t>
      </w:r>
      <w:r w:rsidR="003D2414">
        <w:rPr>
          <w:rFonts w:asciiTheme="minorHAnsi" w:eastAsia="Calibri" w:hAnsiTheme="minorHAnsi" w:cstheme="minorHAnsi"/>
          <w:sz w:val="22"/>
          <w:szCs w:val="22"/>
        </w:rPr>
        <w:t>.</w:t>
      </w:r>
    </w:p>
    <w:p w14:paraId="6A207699" w14:textId="77777777" w:rsidR="00E24062" w:rsidRPr="00E24062" w:rsidRDefault="00E24062" w:rsidP="00A3405C">
      <w:pPr>
        <w:jc w:val="both"/>
        <w:rPr>
          <w:rFonts w:asciiTheme="minorHAnsi" w:eastAsia="Calibri" w:hAnsiTheme="minorHAnsi" w:cstheme="minorHAnsi"/>
          <w:sz w:val="22"/>
          <w:szCs w:val="22"/>
        </w:rPr>
      </w:pPr>
    </w:p>
    <w:p w14:paraId="3A2E3803" w14:textId="344EF011" w:rsidR="005F0839" w:rsidRDefault="005F0839" w:rsidP="00E31129">
      <w:pPr>
        <w:jc w:val="both"/>
        <w:rPr>
          <w:rFonts w:asciiTheme="minorHAnsi" w:eastAsia="Calibri" w:hAnsiTheme="minorHAnsi" w:cstheme="minorHAnsi"/>
          <w:sz w:val="22"/>
          <w:szCs w:val="22"/>
        </w:rPr>
      </w:pPr>
      <w:r>
        <w:rPr>
          <w:rFonts w:asciiTheme="minorHAnsi" w:eastAsia="Calibri" w:hAnsiTheme="minorHAnsi" w:cstheme="minorHAnsi"/>
          <w:sz w:val="22"/>
          <w:szCs w:val="22"/>
        </w:rPr>
        <w:t>Rispetto alla</w:t>
      </w:r>
      <w:r w:rsidR="007C4B27" w:rsidRPr="00E24062">
        <w:rPr>
          <w:rFonts w:asciiTheme="minorHAnsi" w:eastAsia="Calibri" w:hAnsiTheme="minorHAnsi" w:cstheme="minorHAnsi"/>
          <w:sz w:val="22"/>
          <w:szCs w:val="22"/>
        </w:rPr>
        <w:t xml:space="preserve"> distribuzione delle intenzioni di acquisto tra italiani e stranieri, la domanda di abitazioni per vacanza</w:t>
      </w:r>
      <w:r w:rsidR="00E24062" w:rsidRPr="00E24062">
        <w:rPr>
          <w:rFonts w:asciiTheme="minorHAnsi" w:eastAsia="Calibri" w:hAnsiTheme="minorHAnsi" w:cstheme="minorHAnsi"/>
          <w:sz w:val="22"/>
          <w:szCs w:val="22"/>
        </w:rPr>
        <w:t xml:space="preserve"> </w:t>
      </w:r>
      <w:r>
        <w:rPr>
          <w:rFonts w:asciiTheme="minorHAnsi" w:eastAsia="Calibri" w:hAnsiTheme="minorHAnsi" w:cstheme="minorHAnsi"/>
          <w:sz w:val="22"/>
          <w:szCs w:val="22"/>
        </w:rPr>
        <w:t>risulta</w:t>
      </w:r>
      <w:r w:rsidR="00E24062" w:rsidRPr="00E24062">
        <w:rPr>
          <w:rFonts w:asciiTheme="minorHAnsi" w:eastAsia="Calibri" w:hAnsiTheme="minorHAnsi" w:cstheme="minorHAnsi"/>
          <w:sz w:val="22"/>
          <w:szCs w:val="22"/>
        </w:rPr>
        <w:t xml:space="preserve"> sostenuta</w:t>
      </w:r>
      <w:r>
        <w:rPr>
          <w:rFonts w:asciiTheme="minorHAnsi" w:eastAsia="Calibri" w:hAnsiTheme="minorHAnsi" w:cstheme="minorHAnsi"/>
          <w:sz w:val="22"/>
          <w:szCs w:val="22"/>
        </w:rPr>
        <w:t xml:space="preserve"> in prevalenza</w:t>
      </w:r>
      <w:r w:rsidR="00E24062" w:rsidRPr="00E24062">
        <w:rPr>
          <w:rFonts w:asciiTheme="minorHAnsi" w:eastAsia="Calibri" w:hAnsiTheme="minorHAnsi" w:cstheme="minorHAnsi"/>
          <w:sz w:val="22"/>
          <w:szCs w:val="22"/>
        </w:rPr>
        <w:t xml:space="preserve"> dalla componente domestica </w:t>
      </w:r>
      <w:r w:rsidR="007C4B27" w:rsidRPr="00853818">
        <w:rPr>
          <w:rFonts w:asciiTheme="minorHAnsi" w:eastAsia="Calibri" w:hAnsiTheme="minorHAnsi" w:cstheme="minorHAnsi"/>
          <w:sz w:val="22"/>
          <w:szCs w:val="22"/>
        </w:rPr>
        <w:t>nell’8</w:t>
      </w:r>
      <w:r w:rsidR="00D45EFA" w:rsidRPr="00853818">
        <w:rPr>
          <w:rFonts w:asciiTheme="minorHAnsi" w:eastAsia="Calibri" w:hAnsiTheme="minorHAnsi" w:cstheme="minorHAnsi"/>
          <w:sz w:val="22"/>
          <w:szCs w:val="22"/>
        </w:rPr>
        <w:t>5</w:t>
      </w:r>
      <w:r w:rsidR="007C4B27" w:rsidRPr="00853818">
        <w:rPr>
          <w:rFonts w:asciiTheme="minorHAnsi" w:eastAsia="Calibri" w:hAnsiTheme="minorHAnsi" w:cstheme="minorHAnsi"/>
          <w:sz w:val="22"/>
          <w:szCs w:val="22"/>
        </w:rPr>
        <w:t xml:space="preserve">% </w:t>
      </w:r>
      <w:r w:rsidR="00853818" w:rsidRPr="00853818">
        <w:rPr>
          <w:rFonts w:asciiTheme="minorHAnsi" w:eastAsia="Calibri" w:hAnsiTheme="minorHAnsi" w:cstheme="minorHAnsi"/>
          <w:sz w:val="22"/>
          <w:szCs w:val="22"/>
        </w:rPr>
        <w:t>delle risposte</w:t>
      </w:r>
      <w:r w:rsidR="007C4B27" w:rsidRPr="00853818">
        <w:rPr>
          <w:rFonts w:asciiTheme="minorHAnsi" w:eastAsia="Calibri" w:hAnsiTheme="minorHAnsi" w:cstheme="minorHAnsi"/>
          <w:sz w:val="22"/>
          <w:szCs w:val="22"/>
        </w:rPr>
        <w:t xml:space="preserve">, mentre </w:t>
      </w:r>
      <w:r w:rsidRPr="00853818">
        <w:rPr>
          <w:rFonts w:asciiTheme="minorHAnsi" w:eastAsia="Calibri" w:hAnsiTheme="minorHAnsi" w:cstheme="minorHAnsi"/>
          <w:sz w:val="22"/>
          <w:szCs w:val="22"/>
        </w:rPr>
        <w:t>nel restante</w:t>
      </w:r>
      <w:r w:rsidR="007C4B27" w:rsidRPr="00853818">
        <w:rPr>
          <w:rFonts w:asciiTheme="minorHAnsi" w:eastAsia="Calibri" w:hAnsiTheme="minorHAnsi" w:cstheme="minorHAnsi"/>
          <w:sz w:val="22"/>
          <w:szCs w:val="22"/>
        </w:rPr>
        <w:t xml:space="preserve"> 1</w:t>
      </w:r>
      <w:r w:rsidR="00D45EFA" w:rsidRPr="00853818">
        <w:rPr>
          <w:rFonts w:asciiTheme="minorHAnsi" w:eastAsia="Calibri" w:hAnsiTheme="minorHAnsi" w:cstheme="minorHAnsi"/>
          <w:sz w:val="22"/>
          <w:szCs w:val="22"/>
        </w:rPr>
        <w:t>5</w:t>
      </w:r>
      <w:r w:rsidR="007C4B27" w:rsidRPr="00853818">
        <w:rPr>
          <w:rFonts w:asciiTheme="minorHAnsi" w:eastAsia="Calibri" w:hAnsiTheme="minorHAnsi" w:cstheme="minorHAnsi"/>
          <w:sz w:val="22"/>
          <w:szCs w:val="22"/>
        </w:rPr>
        <w:t>% risulta alimentata da soggetti stranieri</w:t>
      </w:r>
      <w:r w:rsidR="00F82B88">
        <w:rPr>
          <w:rFonts w:asciiTheme="minorHAnsi" w:eastAsia="Calibri" w:hAnsiTheme="minorHAnsi" w:cstheme="minorHAnsi"/>
          <w:sz w:val="22"/>
          <w:szCs w:val="22"/>
        </w:rPr>
        <w:t xml:space="preserve"> </w:t>
      </w:r>
      <w:r w:rsidR="00E24062" w:rsidRPr="00853818">
        <w:rPr>
          <w:rFonts w:asciiTheme="minorHAnsi" w:eastAsia="Calibri" w:hAnsiTheme="minorHAnsi" w:cstheme="minorHAnsi"/>
          <w:sz w:val="22"/>
          <w:szCs w:val="22"/>
        </w:rPr>
        <w:t>con percentuali simil</w:t>
      </w:r>
      <w:r w:rsidR="00E24062" w:rsidRPr="00E24062">
        <w:rPr>
          <w:rFonts w:asciiTheme="minorHAnsi" w:eastAsia="Calibri" w:hAnsiTheme="minorHAnsi" w:cstheme="minorHAnsi"/>
          <w:sz w:val="22"/>
          <w:szCs w:val="22"/>
        </w:rPr>
        <w:t>i allo s</w:t>
      </w:r>
      <w:r>
        <w:rPr>
          <w:rFonts w:asciiTheme="minorHAnsi" w:eastAsia="Calibri" w:hAnsiTheme="minorHAnsi" w:cstheme="minorHAnsi"/>
          <w:sz w:val="22"/>
          <w:szCs w:val="22"/>
        </w:rPr>
        <w:t>corso</w:t>
      </w:r>
      <w:r w:rsidR="00E24062" w:rsidRPr="00E24062">
        <w:rPr>
          <w:rFonts w:asciiTheme="minorHAnsi" w:eastAsia="Calibri" w:hAnsiTheme="minorHAnsi" w:cstheme="minorHAnsi"/>
          <w:sz w:val="22"/>
          <w:szCs w:val="22"/>
        </w:rPr>
        <w:t xml:space="preserve"> anno.</w:t>
      </w:r>
      <w:r w:rsidR="00171FBA">
        <w:rPr>
          <w:rFonts w:asciiTheme="minorHAnsi" w:eastAsia="Calibri" w:hAnsiTheme="minorHAnsi" w:cstheme="minorHAnsi"/>
          <w:sz w:val="22"/>
          <w:szCs w:val="22"/>
        </w:rPr>
        <w:t xml:space="preserve"> </w:t>
      </w:r>
      <w:r>
        <w:rPr>
          <w:rFonts w:asciiTheme="minorHAnsi" w:eastAsia="Calibri" w:hAnsiTheme="minorHAnsi" w:cstheme="minorHAnsi"/>
          <w:sz w:val="22"/>
          <w:szCs w:val="22"/>
        </w:rPr>
        <w:t>L</w:t>
      </w:r>
      <w:r w:rsidR="0095060A" w:rsidRPr="0095060A">
        <w:rPr>
          <w:rFonts w:asciiTheme="minorHAnsi" w:eastAsia="Calibri" w:hAnsiTheme="minorHAnsi" w:cstheme="minorHAnsi"/>
          <w:sz w:val="22"/>
          <w:szCs w:val="22"/>
        </w:rPr>
        <w:t>a domanda di locazione</w:t>
      </w:r>
      <w:r>
        <w:rPr>
          <w:rFonts w:asciiTheme="minorHAnsi" w:eastAsia="Calibri" w:hAnsiTheme="minorHAnsi" w:cstheme="minorHAnsi"/>
          <w:sz w:val="22"/>
          <w:szCs w:val="22"/>
        </w:rPr>
        <w:t xml:space="preserve"> di case vacanze ha invece risentito </w:t>
      </w:r>
      <w:r w:rsidR="00E31129">
        <w:rPr>
          <w:rFonts w:asciiTheme="minorHAnsi" w:eastAsia="Calibri" w:hAnsiTheme="minorHAnsi" w:cstheme="minorHAnsi"/>
          <w:sz w:val="22"/>
          <w:szCs w:val="22"/>
        </w:rPr>
        <w:t>più velocemente</w:t>
      </w:r>
      <w:r>
        <w:rPr>
          <w:rFonts w:asciiTheme="minorHAnsi" w:eastAsia="Calibri" w:hAnsiTheme="minorHAnsi" w:cstheme="minorHAnsi"/>
          <w:sz w:val="22"/>
          <w:szCs w:val="22"/>
        </w:rPr>
        <w:t xml:space="preserve"> delle restrizioni imposte ai viaggi internazionali: secondo gli operatori la domanda straniera </w:t>
      </w:r>
      <w:r w:rsidR="00E31129">
        <w:rPr>
          <w:rFonts w:asciiTheme="minorHAnsi" w:eastAsia="Calibri" w:hAnsiTheme="minorHAnsi" w:cstheme="minorHAnsi"/>
          <w:sz w:val="22"/>
          <w:szCs w:val="22"/>
        </w:rPr>
        <w:t>passa dal 29% al 18%.</w:t>
      </w:r>
    </w:p>
    <w:p w14:paraId="2A2DE2BC" w14:textId="77777777" w:rsidR="0095060A" w:rsidRPr="0095060A" w:rsidRDefault="0095060A" w:rsidP="007C4B27">
      <w:pPr>
        <w:rPr>
          <w:rFonts w:asciiTheme="minorHAnsi" w:eastAsia="Calibri" w:hAnsiTheme="minorHAnsi" w:cstheme="minorHAnsi"/>
          <w:sz w:val="22"/>
          <w:szCs w:val="22"/>
        </w:rPr>
      </w:pPr>
    </w:p>
    <w:p w14:paraId="34BFE1D9" w14:textId="4EF1FC71" w:rsidR="007C4B27" w:rsidRPr="003D2414" w:rsidRDefault="00A65ED0" w:rsidP="00E31129">
      <w:pPr>
        <w:jc w:val="both"/>
        <w:rPr>
          <w:rFonts w:asciiTheme="minorHAnsi" w:eastAsia="Calibri" w:hAnsiTheme="minorHAnsi" w:cstheme="minorHAnsi"/>
          <w:sz w:val="22"/>
          <w:szCs w:val="22"/>
        </w:rPr>
      </w:pPr>
      <w:r>
        <w:rPr>
          <w:rFonts w:asciiTheme="minorHAnsi" w:eastAsia="Calibri" w:hAnsiTheme="minorHAnsi" w:cstheme="minorHAnsi"/>
          <w:sz w:val="22"/>
          <w:szCs w:val="22"/>
        </w:rPr>
        <w:t>È</w:t>
      </w:r>
      <w:r w:rsidR="00B02028">
        <w:rPr>
          <w:rFonts w:asciiTheme="minorHAnsi" w:eastAsia="Calibri" w:hAnsiTheme="minorHAnsi" w:cstheme="minorHAnsi"/>
          <w:sz w:val="22"/>
          <w:szCs w:val="22"/>
        </w:rPr>
        <w:t xml:space="preserve"> stato poi</w:t>
      </w:r>
      <w:r w:rsidR="007C4B27" w:rsidRPr="00B02028">
        <w:rPr>
          <w:rFonts w:asciiTheme="minorHAnsi" w:eastAsia="Calibri" w:hAnsiTheme="minorHAnsi" w:cstheme="minorHAnsi"/>
          <w:sz w:val="22"/>
          <w:szCs w:val="22"/>
        </w:rPr>
        <w:t xml:space="preserve"> chiesto agli operatori di descrivere il profilo delle famiglie che prendono in locazione una casa per vacanza per almeno un mese e le dotazioni richieste.</w:t>
      </w:r>
      <w:r w:rsidR="00E31129">
        <w:rPr>
          <w:rFonts w:asciiTheme="minorHAnsi" w:eastAsia="Calibri" w:hAnsiTheme="minorHAnsi" w:cstheme="minorHAnsi"/>
          <w:sz w:val="22"/>
          <w:szCs w:val="22"/>
        </w:rPr>
        <w:t xml:space="preserve"> </w:t>
      </w:r>
      <w:r w:rsidR="007C4B27" w:rsidRPr="00B02028">
        <w:rPr>
          <w:rFonts w:asciiTheme="minorHAnsi" w:eastAsia="Calibri" w:hAnsiTheme="minorHAnsi" w:cstheme="minorHAnsi"/>
          <w:sz w:val="22"/>
          <w:szCs w:val="22"/>
        </w:rPr>
        <w:t>Si tratta,</w:t>
      </w:r>
      <w:r w:rsidR="00B02028" w:rsidRPr="00B02028">
        <w:rPr>
          <w:rFonts w:asciiTheme="minorHAnsi" w:eastAsia="Calibri" w:hAnsiTheme="minorHAnsi" w:cstheme="minorHAnsi"/>
          <w:sz w:val="22"/>
          <w:szCs w:val="22"/>
        </w:rPr>
        <w:t xml:space="preserve"> anche quest’anno</w:t>
      </w:r>
      <w:r w:rsidR="007C4B27" w:rsidRPr="00B02028">
        <w:rPr>
          <w:rFonts w:asciiTheme="minorHAnsi" w:eastAsia="Calibri" w:hAnsiTheme="minorHAnsi" w:cstheme="minorHAnsi"/>
          <w:sz w:val="22"/>
          <w:szCs w:val="22"/>
        </w:rPr>
        <w:t xml:space="preserve"> nella maggioranza dei casi, di famiglie numerose con 4 e più componenti (</w:t>
      </w:r>
      <w:r w:rsidR="00061E35" w:rsidRPr="00B02028">
        <w:rPr>
          <w:rFonts w:asciiTheme="minorHAnsi" w:eastAsia="Calibri" w:hAnsiTheme="minorHAnsi" w:cstheme="minorHAnsi"/>
          <w:sz w:val="22"/>
          <w:szCs w:val="22"/>
        </w:rPr>
        <w:t xml:space="preserve">oltre il </w:t>
      </w:r>
      <w:r w:rsidR="007C4B27" w:rsidRPr="00B02028">
        <w:rPr>
          <w:rFonts w:asciiTheme="minorHAnsi" w:eastAsia="Calibri" w:hAnsiTheme="minorHAnsi" w:cstheme="minorHAnsi"/>
          <w:sz w:val="22"/>
          <w:szCs w:val="22"/>
        </w:rPr>
        <w:t>7</w:t>
      </w:r>
      <w:r w:rsidR="00B02028" w:rsidRPr="00B02028">
        <w:rPr>
          <w:rFonts w:asciiTheme="minorHAnsi" w:eastAsia="Calibri" w:hAnsiTheme="minorHAnsi" w:cstheme="minorHAnsi"/>
          <w:sz w:val="22"/>
          <w:szCs w:val="22"/>
        </w:rPr>
        <w:t>8</w:t>
      </w:r>
      <w:r w:rsidR="007C4B27" w:rsidRPr="00B02028">
        <w:rPr>
          <w:rFonts w:asciiTheme="minorHAnsi" w:eastAsia="Calibri" w:hAnsiTheme="minorHAnsi" w:cstheme="minorHAnsi"/>
          <w:sz w:val="22"/>
          <w:szCs w:val="22"/>
        </w:rPr>
        <w:t>% delle risposte) e, in misura minore, con 3 componenti (</w:t>
      </w:r>
      <w:r w:rsidR="00B02028" w:rsidRPr="00B02028">
        <w:rPr>
          <w:rFonts w:asciiTheme="minorHAnsi" w:eastAsia="Calibri" w:hAnsiTheme="minorHAnsi" w:cstheme="minorHAnsi"/>
          <w:sz w:val="22"/>
          <w:szCs w:val="22"/>
        </w:rPr>
        <w:t>18,4</w:t>
      </w:r>
      <w:r w:rsidR="007C4B27" w:rsidRPr="00B02028">
        <w:rPr>
          <w:rFonts w:asciiTheme="minorHAnsi" w:eastAsia="Calibri" w:hAnsiTheme="minorHAnsi" w:cstheme="minorHAnsi"/>
          <w:sz w:val="22"/>
          <w:szCs w:val="22"/>
        </w:rPr>
        <w:t>%). Solo in piccola parte la domanda di locazione proviene da f</w:t>
      </w:r>
      <w:r w:rsidR="00061E35" w:rsidRPr="00B02028">
        <w:rPr>
          <w:rFonts w:asciiTheme="minorHAnsi" w:eastAsia="Calibri" w:hAnsiTheme="minorHAnsi" w:cstheme="minorHAnsi"/>
          <w:sz w:val="22"/>
          <w:szCs w:val="22"/>
        </w:rPr>
        <w:t>amiglie con 2 componenti (</w:t>
      </w:r>
      <w:r w:rsidR="00B02028" w:rsidRPr="00B02028">
        <w:rPr>
          <w:rFonts w:asciiTheme="minorHAnsi" w:eastAsia="Calibri" w:hAnsiTheme="minorHAnsi" w:cstheme="minorHAnsi"/>
          <w:sz w:val="22"/>
          <w:szCs w:val="22"/>
        </w:rPr>
        <w:t>2,6</w:t>
      </w:r>
      <w:r w:rsidR="00853E99" w:rsidRPr="00B02028">
        <w:rPr>
          <w:rFonts w:asciiTheme="minorHAnsi" w:eastAsia="Calibri" w:hAnsiTheme="minorHAnsi" w:cstheme="minorHAnsi"/>
          <w:sz w:val="22"/>
          <w:szCs w:val="22"/>
        </w:rPr>
        <w:t>%).</w:t>
      </w:r>
      <w:r w:rsidR="00E31129">
        <w:rPr>
          <w:rFonts w:asciiTheme="minorHAnsi" w:eastAsia="Calibri" w:hAnsiTheme="minorHAnsi" w:cstheme="minorHAnsi"/>
          <w:sz w:val="22"/>
          <w:szCs w:val="22"/>
        </w:rPr>
        <w:t xml:space="preserve"> </w:t>
      </w:r>
      <w:r w:rsidR="00B02028" w:rsidRPr="002671F5">
        <w:rPr>
          <w:rFonts w:asciiTheme="minorHAnsi" w:eastAsia="Calibri" w:hAnsiTheme="minorHAnsi" w:cstheme="minorHAnsi"/>
          <w:sz w:val="22"/>
          <w:szCs w:val="22"/>
        </w:rPr>
        <w:t>Si modifica invece la prov</w:t>
      </w:r>
      <w:r w:rsidR="00E31129">
        <w:rPr>
          <w:rFonts w:asciiTheme="minorHAnsi" w:eastAsia="Calibri" w:hAnsiTheme="minorHAnsi" w:cstheme="minorHAnsi"/>
          <w:sz w:val="22"/>
          <w:szCs w:val="22"/>
        </w:rPr>
        <w:t>enie</w:t>
      </w:r>
      <w:r w:rsidR="00B02028" w:rsidRPr="002671F5">
        <w:rPr>
          <w:rFonts w:asciiTheme="minorHAnsi" w:eastAsia="Calibri" w:hAnsiTheme="minorHAnsi" w:cstheme="minorHAnsi"/>
          <w:sz w:val="22"/>
          <w:szCs w:val="22"/>
        </w:rPr>
        <w:t xml:space="preserve">nza degli affittuari: cala la domanda </w:t>
      </w:r>
      <w:r w:rsidR="00E31129">
        <w:rPr>
          <w:rFonts w:asciiTheme="minorHAnsi" w:eastAsia="Calibri" w:hAnsiTheme="minorHAnsi" w:cstheme="minorHAnsi"/>
          <w:sz w:val="22"/>
          <w:szCs w:val="22"/>
        </w:rPr>
        <w:t>estera</w:t>
      </w:r>
      <w:r w:rsidR="00B02028" w:rsidRPr="002671F5">
        <w:rPr>
          <w:rFonts w:asciiTheme="minorHAnsi" w:eastAsia="Calibri" w:hAnsiTheme="minorHAnsi" w:cstheme="minorHAnsi"/>
          <w:sz w:val="22"/>
          <w:szCs w:val="22"/>
        </w:rPr>
        <w:t xml:space="preserve"> (dal 16% al 6,7%) e aumenta la domanda di locazione</w:t>
      </w:r>
      <w:r w:rsidR="00215E90">
        <w:rPr>
          <w:rFonts w:asciiTheme="minorHAnsi" w:eastAsia="Calibri" w:hAnsiTheme="minorHAnsi" w:cstheme="minorHAnsi"/>
          <w:sz w:val="22"/>
          <w:szCs w:val="22"/>
        </w:rPr>
        <w:t xml:space="preserve"> che</w:t>
      </w:r>
      <w:r w:rsidR="00B02028" w:rsidRPr="002671F5">
        <w:rPr>
          <w:rFonts w:asciiTheme="minorHAnsi" w:eastAsia="Calibri" w:hAnsiTheme="minorHAnsi" w:cstheme="minorHAnsi"/>
          <w:sz w:val="22"/>
          <w:szCs w:val="22"/>
        </w:rPr>
        <w:t xml:space="preserve"> proviene dalla stessa regione (dal 30% al 3</w:t>
      </w:r>
      <w:r w:rsidR="002671F5" w:rsidRPr="002671F5">
        <w:rPr>
          <w:rFonts w:asciiTheme="minorHAnsi" w:eastAsia="Calibri" w:hAnsiTheme="minorHAnsi" w:cstheme="minorHAnsi"/>
          <w:sz w:val="22"/>
          <w:szCs w:val="22"/>
        </w:rPr>
        <w:t>7</w:t>
      </w:r>
      <w:r w:rsidR="00B02028" w:rsidRPr="002671F5">
        <w:rPr>
          <w:rFonts w:asciiTheme="minorHAnsi" w:eastAsia="Calibri" w:hAnsiTheme="minorHAnsi" w:cstheme="minorHAnsi"/>
          <w:sz w:val="22"/>
          <w:szCs w:val="22"/>
        </w:rPr>
        <w:t>,8%)</w:t>
      </w:r>
      <w:r w:rsidR="00E31129">
        <w:rPr>
          <w:rFonts w:asciiTheme="minorHAnsi" w:eastAsia="Calibri" w:hAnsiTheme="minorHAnsi" w:cstheme="minorHAnsi"/>
          <w:sz w:val="22"/>
          <w:szCs w:val="22"/>
        </w:rPr>
        <w:t xml:space="preserve">, </w:t>
      </w:r>
      <w:r w:rsidR="002671F5" w:rsidRPr="002671F5">
        <w:rPr>
          <w:rFonts w:asciiTheme="minorHAnsi" w:eastAsia="Calibri" w:hAnsiTheme="minorHAnsi" w:cstheme="minorHAnsi"/>
          <w:sz w:val="22"/>
          <w:szCs w:val="22"/>
        </w:rPr>
        <w:t>mentre si mantiene quasi stazionaria la domanda proveniente da altre regioni (dal 54% al 55,6%)</w:t>
      </w:r>
      <w:r w:rsidR="00171FBA">
        <w:rPr>
          <w:rFonts w:asciiTheme="minorHAnsi" w:eastAsia="Calibri" w:hAnsiTheme="minorHAnsi" w:cstheme="minorHAnsi"/>
          <w:sz w:val="22"/>
          <w:szCs w:val="22"/>
        </w:rPr>
        <w:t xml:space="preserve">. </w:t>
      </w:r>
      <w:r w:rsidR="007C4B27" w:rsidRPr="00CA70F7">
        <w:rPr>
          <w:rFonts w:asciiTheme="minorHAnsi" w:eastAsia="Calibri" w:hAnsiTheme="minorHAnsi" w:cstheme="minorHAnsi"/>
          <w:sz w:val="22"/>
          <w:szCs w:val="22"/>
        </w:rPr>
        <w:t xml:space="preserve">Per quanto riguarda le dotazioni, sono richieste in prevalenza abitazioni </w:t>
      </w:r>
      <w:r w:rsidR="003D2414" w:rsidRPr="00CA70F7">
        <w:rPr>
          <w:rFonts w:asciiTheme="minorHAnsi" w:eastAsia="Calibri" w:hAnsiTheme="minorHAnsi" w:cstheme="minorHAnsi"/>
          <w:sz w:val="22"/>
          <w:szCs w:val="22"/>
        </w:rPr>
        <w:t xml:space="preserve">con </w:t>
      </w:r>
      <w:r w:rsidR="007C4B27" w:rsidRPr="00CA70F7">
        <w:rPr>
          <w:rFonts w:asciiTheme="minorHAnsi" w:eastAsia="Calibri" w:hAnsiTheme="minorHAnsi" w:cstheme="minorHAnsi"/>
          <w:sz w:val="22"/>
          <w:szCs w:val="22"/>
        </w:rPr>
        <w:t>balcone o terrazzo abitabile</w:t>
      </w:r>
      <w:r w:rsidR="003D2414" w:rsidRPr="003D2414">
        <w:rPr>
          <w:rFonts w:asciiTheme="minorHAnsi" w:eastAsia="Calibri" w:hAnsiTheme="minorHAnsi" w:cstheme="minorHAnsi"/>
          <w:sz w:val="22"/>
          <w:szCs w:val="22"/>
        </w:rPr>
        <w:t xml:space="preserve"> (92% </w:t>
      </w:r>
      <w:r w:rsidR="00317268">
        <w:rPr>
          <w:rFonts w:asciiTheme="minorHAnsi" w:eastAsia="Calibri" w:hAnsiTheme="minorHAnsi" w:cstheme="minorHAnsi"/>
          <w:sz w:val="22"/>
          <w:szCs w:val="22"/>
        </w:rPr>
        <w:t>delle risposte</w:t>
      </w:r>
      <w:r w:rsidR="003D2414" w:rsidRPr="003D2414">
        <w:rPr>
          <w:rFonts w:asciiTheme="minorHAnsi" w:eastAsia="Calibri" w:hAnsiTheme="minorHAnsi" w:cstheme="minorHAnsi"/>
          <w:sz w:val="22"/>
          <w:szCs w:val="22"/>
        </w:rPr>
        <w:t>)</w:t>
      </w:r>
      <w:r w:rsidR="007C4B27" w:rsidRPr="003D2414">
        <w:rPr>
          <w:rFonts w:asciiTheme="minorHAnsi" w:eastAsia="Calibri" w:hAnsiTheme="minorHAnsi" w:cstheme="minorHAnsi"/>
          <w:sz w:val="22"/>
          <w:szCs w:val="22"/>
        </w:rPr>
        <w:t xml:space="preserve">, </w:t>
      </w:r>
      <w:r w:rsidR="003D2414" w:rsidRPr="003D2414">
        <w:rPr>
          <w:rFonts w:asciiTheme="minorHAnsi" w:eastAsia="Calibri" w:hAnsiTheme="minorHAnsi" w:cstheme="minorHAnsi"/>
          <w:sz w:val="22"/>
          <w:szCs w:val="22"/>
        </w:rPr>
        <w:t xml:space="preserve">con una cucina ben attrezzata, </w:t>
      </w:r>
      <w:r w:rsidR="007C4B27" w:rsidRPr="003D2414">
        <w:rPr>
          <w:rFonts w:asciiTheme="minorHAnsi" w:eastAsia="Calibri" w:hAnsiTheme="minorHAnsi" w:cstheme="minorHAnsi"/>
          <w:sz w:val="22"/>
          <w:szCs w:val="22"/>
        </w:rPr>
        <w:t>in localizzazioni adiacenti a</w:t>
      </w:r>
      <w:r w:rsidR="00853E99" w:rsidRPr="003D2414">
        <w:rPr>
          <w:rFonts w:asciiTheme="minorHAnsi" w:eastAsia="Calibri" w:hAnsiTheme="minorHAnsi" w:cstheme="minorHAnsi"/>
          <w:sz w:val="22"/>
          <w:szCs w:val="22"/>
        </w:rPr>
        <w:t>ll’a</w:t>
      </w:r>
      <w:r w:rsidR="007C4B27" w:rsidRPr="003D2414">
        <w:rPr>
          <w:rFonts w:asciiTheme="minorHAnsi" w:eastAsia="Calibri" w:hAnsiTheme="minorHAnsi" w:cstheme="minorHAnsi"/>
          <w:sz w:val="22"/>
          <w:szCs w:val="22"/>
        </w:rPr>
        <w:t>ttrattor</w:t>
      </w:r>
      <w:r w:rsidR="00853E99" w:rsidRPr="003D2414">
        <w:rPr>
          <w:rFonts w:asciiTheme="minorHAnsi" w:eastAsia="Calibri" w:hAnsiTheme="minorHAnsi" w:cstheme="minorHAnsi"/>
          <w:sz w:val="22"/>
          <w:szCs w:val="22"/>
        </w:rPr>
        <w:t>e</w:t>
      </w:r>
      <w:r w:rsidR="007C4B27" w:rsidRPr="003D2414">
        <w:rPr>
          <w:rFonts w:asciiTheme="minorHAnsi" w:eastAsia="Calibri" w:hAnsiTheme="minorHAnsi" w:cstheme="minorHAnsi"/>
          <w:sz w:val="22"/>
          <w:szCs w:val="22"/>
        </w:rPr>
        <w:t xml:space="preserve"> turistic</w:t>
      </w:r>
      <w:r w:rsidR="00853E99" w:rsidRPr="003D2414">
        <w:rPr>
          <w:rFonts w:asciiTheme="minorHAnsi" w:eastAsia="Calibri" w:hAnsiTheme="minorHAnsi" w:cstheme="minorHAnsi"/>
          <w:sz w:val="22"/>
          <w:szCs w:val="22"/>
        </w:rPr>
        <w:t>o</w:t>
      </w:r>
      <w:r w:rsidR="007C4B27" w:rsidRPr="003D2414">
        <w:rPr>
          <w:rFonts w:asciiTheme="minorHAnsi" w:eastAsia="Calibri" w:hAnsiTheme="minorHAnsi" w:cstheme="minorHAnsi"/>
          <w:sz w:val="22"/>
          <w:szCs w:val="22"/>
        </w:rPr>
        <w:t xml:space="preserve"> e possibilmente con posto auto.</w:t>
      </w:r>
    </w:p>
    <w:p w14:paraId="40481E4B" w14:textId="199EB63A" w:rsidR="00853E99" w:rsidRDefault="00853E99" w:rsidP="007C4B27">
      <w:pPr>
        <w:rPr>
          <w:rFonts w:asciiTheme="minorHAnsi" w:eastAsia="Calibri" w:hAnsiTheme="minorHAnsi" w:cstheme="minorHAnsi"/>
          <w:sz w:val="22"/>
          <w:szCs w:val="22"/>
          <w:highlight w:val="yellow"/>
        </w:rPr>
      </w:pPr>
    </w:p>
    <w:p w14:paraId="06F9C1E4" w14:textId="5D397FB1" w:rsidR="00F55E07" w:rsidRDefault="003D2414" w:rsidP="00CA70F7">
      <w:pPr>
        <w:jc w:val="both"/>
        <w:rPr>
          <w:rFonts w:asciiTheme="minorHAnsi" w:eastAsia="Calibri" w:hAnsiTheme="minorHAnsi" w:cstheme="minorHAnsi"/>
          <w:sz w:val="22"/>
          <w:szCs w:val="22"/>
        </w:rPr>
      </w:pPr>
      <w:r w:rsidRPr="00F55E07">
        <w:rPr>
          <w:rFonts w:asciiTheme="minorHAnsi" w:eastAsia="Calibri" w:hAnsiTheme="minorHAnsi" w:cstheme="minorHAnsi"/>
          <w:sz w:val="22"/>
          <w:szCs w:val="22"/>
        </w:rPr>
        <w:t xml:space="preserve">In conclusione, </w:t>
      </w:r>
      <w:r w:rsidR="00CA70F7">
        <w:rPr>
          <w:rFonts w:asciiTheme="minorHAnsi" w:eastAsia="Calibri" w:hAnsiTheme="minorHAnsi" w:cstheme="minorHAnsi"/>
          <w:sz w:val="22"/>
          <w:szCs w:val="22"/>
        </w:rPr>
        <w:t>i</w:t>
      </w:r>
      <w:r w:rsidRPr="00F55E07">
        <w:rPr>
          <w:rFonts w:asciiTheme="minorHAnsi" w:eastAsia="Calibri" w:hAnsiTheme="minorHAnsi" w:cstheme="minorHAnsi"/>
          <w:sz w:val="22"/>
          <w:szCs w:val="22"/>
        </w:rPr>
        <w:t xml:space="preserve">l quadro </w:t>
      </w:r>
      <w:r>
        <w:rPr>
          <w:rFonts w:asciiTheme="minorHAnsi" w:eastAsia="Calibri" w:hAnsiTheme="minorHAnsi" w:cstheme="minorHAnsi"/>
          <w:sz w:val="22"/>
          <w:szCs w:val="22"/>
        </w:rPr>
        <w:t>che emer</w:t>
      </w:r>
      <w:r w:rsidR="00F55E07">
        <w:rPr>
          <w:rFonts w:asciiTheme="minorHAnsi" w:eastAsia="Calibri" w:hAnsiTheme="minorHAnsi" w:cstheme="minorHAnsi"/>
          <w:sz w:val="22"/>
          <w:szCs w:val="22"/>
        </w:rPr>
        <w:t>ge in quest’ult</w:t>
      </w:r>
      <w:r w:rsidR="00CA70F7">
        <w:rPr>
          <w:rFonts w:asciiTheme="minorHAnsi" w:eastAsia="Calibri" w:hAnsiTheme="minorHAnsi" w:cstheme="minorHAnsi"/>
          <w:sz w:val="22"/>
          <w:szCs w:val="22"/>
        </w:rPr>
        <w:t>imo</w:t>
      </w:r>
      <w:r>
        <w:rPr>
          <w:rFonts w:asciiTheme="minorHAnsi" w:eastAsia="Calibri" w:hAnsiTheme="minorHAnsi" w:cstheme="minorHAnsi"/>
          <w:sz w:val="22"/>
          <w:szCs w:val="22"/>
        </w:rPr>
        <w:t xml:space="preserve"> anno</w:t>
      </w:r>
      <w:r w:rsidR="00CA70F7">
        <w:rPr>
          <w:rFonts w:asciiTheme="minorHAnsi" w:eastAsia="Calibri" w:hAnsiTheme="minorHAnsi" w:cstheme="minorHAnsi"/>
          <w:sz w:val="22"/>
          <w:szCs w:val="22"/>
        </w:rPr>
        <w:t xml:space="preserve"> risulta</w:t>
      </w:r>
      <w:r>
        <w:rPr>
          <w:rFonts w:asciiTheme="minorHAnsi" w:eastAsia="Calibri" w:hAnsiTheme="minorHAnsi" w:cstheme="minorHAnsi"/>
          <w:sz w:val="22"/>
          <w:szCs w:val="22"/>
        </w:rPr>
        <w:t xml:space="preserve"> </w:t>
      </w:r>
      <w:r w:rsidR="00CA70F7">
        <w:rPr>
          <w:rFonts w:asciiTheme="minorHAnsi" w:eastAsia="Calibri" w:hAnsiTheme="minorHAnsi" w:cstheme="minorHAnsi"/>
          <w:sz w:val="22"/>
          <w:szCs w:val="22"/>
        </w:rPr>
        <w:t>estremamente</w:t>
      </w:r>
      <w:r>
        <w:rPr>
          <w:rFonts w:asciiTheme="minorHAnsi" w:eastAsia="Calibri" w:hAnsiTheme="minorHAnsi" w:cstheme="minorHAnsi"/>
          <w:sz w:val="22"/>
          <w:szCs w:val="22"/>
        </w:rPr>
        <w:t xml:space="preserve"> condizio</w:t>
      </w:r>
      <w:r w:rsidR="00CA70F7">
        <w:rPr>
          <w:rFonts w:asciiTheme="minorHAnsi" w:eastAsia="Calibri" w:hAnsiTheme="minorHAnsi" w:cstheme="minorHAnsi"/>
          <w:sz w:val="22"/>
          <w:szCs w:val="22"/>
        </w:rPr>
        <w:t>na</w:t>
      </w:r>
      <w:r>
        <w:rPr>
          <w:rFonts w:asciiTheme="minorHAnsi" w:eastAsia="Calibri" w:hAnsiTheme="minorHAnsi" w:cstheme="minorHAnsi"/>
          <w:sz w:val="22"/>
          <w:szCs w:val="22"/>
        </w:rPr>
        <w:t xml:space="preserve">to dagli effetti della pandemia da Covid 19 </w:t>
      </w:r>
      <w:r w:rsidR="00F55E07">
        <w:rPr>
          <w:rFonts w:asciiTheme="minorHAnsi" w:eastAsia="Calibri" w:hAnsiTheme="minorHAnsi" w:cstheme="minorHAnsi"/>
          <w:sz w:val="22"/>
          <w:szCs w:val="22"/>
        </w:rPr>
        <w:t xml:space="preserve">e dalla </w:t>
      </w:r>
      <w:r w:rsidR="00CA70F7">
        <w:rPr>
          <w:rFonts w:asciiTheme="minorHAnsi" w:eastAsia="Calibri" w:hAnsiTheme="minorHAnsi" w:cstheme="minorHAnsi"/>
          <w:sz w:val="22"/>
          <w:szCs w:val="22"/>
        </w:rPr>
        <w:t>flessione della domanda turistica nazionale ed internazionale</w:t>
      </w:r>
      <w:r w:rsidR="00F55E07">
        <w:rPr>
          <w:rFonts w:asciiTheme="minorHAnsi" w:eastAsia="Calibri" w:hAnsiTheme="minorHAnsi" w:cstheme="minorHAnsi"/>
          <w:sz w:val="22"/>
          <w:szCs w:val="22"/>
        </w:rPr>
        <w:t>, sebbene stia le</w:t>
      </w:r>
      <w:r w:rsidR="00CA70F7">
        <w:rPr>
          <w:rFonts w:asciiTheme="minorHAnsi" w:eastAsia="Calibri" w:hAnsiTheme="minorHAnsi" w:cstheme="minorHAnsi"/>
          <w:sz w:val="22"/>
          <w:szCs w:val="22"/>
        </w:rPr>
        <w:t>ntamente</w:t>
      </w:r>
      <w:r w:rsidR="00F55E07">
        <w:rPr>
          <w:rFonts w:asciiTheme="minorHAnsi" w:eastAsia="Calibri" w:hAnsiTheme="minorHAnsi" w:cstheme="minorHAnsi"/>
          <w:sz w:val="22"/>
          <w:szCs w:val="22"/>
        </w:rPr>
        <w:t xml:space="preserve"> recuperando </w:t>
      </w:r>
      <w:r w:rsidR="00CA70F7">
        <w:rPr>
          <w:rFonts w:asciiTheme="minorHAnsi" w:eastAsia="Calibri" w:hAnsiTheme="minorHAnsi" w:cstheme="minorHAnsi"/>
          <w:sz w:val="22"/>
          <w:szCs w:val="22"/>
        </w:rPr>
        <w:t>in questi mesi estivi.</w:t>
      </w:r>
    </w:p>
    <w:p w14:paraId="4267A311" w14:textId="77777777" w:rsidR="00CA70F7" w:rsidRDefault="00CA70F7" w:rsidP="00CA70F7">
      <w:pPr>
        <w:jc w:val="both"/>
        <w:rPr>
          <w:rFonts w:asciiTheme="minorHAnsi" w:eastAsia="Calibri" w:hAnsiTheme="minorHAnsi" w:cstheme="minorHAnsi"/>
          <w:sz w:val="22"/>
          <w:szCs w:val="22"/>
        </w:rPr>
      </w:pPr>
    </w:p>
    <w:p w14:paraId="7E59BEC8" w14:textId="19F0CBCD" w:rsidR="00CA70F7" w:rsidRPr="006C5475" w:rsidRDefault="00CA70F7" w:rsidP="00CA70F7">
      <w:pPr>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Per quanto riguarda il segmento delle compravendite, la percezione degli operatori </w:t>
      </w:r>
      <w:r w:rsidR="00A52DDF">
        <w:rPr>
          <w:rFonts w:asciiTheme="minorHAnsi" w:eastAsia="Calibri" w:hAnsiTheme="minorHAnsi" w:cstheme="minorHAnsi"/>
          <w:sz w:val="22"/>
          <w:szCs w:val="22"/>
        </w:rPr>
        <w:t>rispecchia</w:t>
      </w:r>
      <w:r>
        <w:rPr>
          <w:rFonts w:asciiTheme="minorHAnsi" w:eastAsia="Calibri" w:hAnsiTheme="minorHAnsi" w:cstheme="minorHAnsi"/>
          <w:sz w:val="22"/>
          <w:szCs w:val="22"/>
        </w:rPr>
        <w:t xml:space="preserve"> l’incertezza </w:t>
      </w:r>
      <w:r w:rsidR="00171FBA">
        <w:rPr>
          <w:rFonts w:asciiTheme="minorHAnsi" w:eastAsia="Calibri" w:hAnsiTheme="minorHAnsi" w:cstheme="minorHAnsi"/>
          <w:sz w:val="22"/>
          <w:szCs w:val="22"/>
        </w:rPr>
        <w:t>dell’attuale congiuntura</w:t>
      </w:r>
      <w:r>
        <w:rPr>
          <w:rFonts w:asciiTheme="minorHAnsi" w:eastAsia="Calibri" w:hAnsiTheme="minorHAnsi" w:cstheme="minorHAnsi"/>
          <w:sz w:val="22"/>
          <w:szCs w:val="22"/>
        </w:rPr>
        <w:t xml:space="preserve"> ed il clima di attesa rispetto all’evolversi della situazione da un punto di vista economico e sanitario. Tutto ciò</w:t>
      </w:r>
      <w:r w:rsidR="00F55E07" w:rsidRPr="00F55E07">
        <w:rPr>
          <w:rFonts w:asciiTheme="minorHAnsi" w:eastAsia="Calibri" w:hAnsiTheme="minorHAnsi" w:cstheme="minorHAnsi"/>
          <w:sz w:val="22"/>
          <w:szCs w:val="22"/>
        </w:rPr>
        <w:t xml:space="preserve"> si riflette in un ulte</w:t>
      </w:r>
      <w:r w:rsidR="00965758">
        <w:rPr>
          <w:rFonts w:asciiTheme="minorHAnsi" w:eastAsia="Calibri" w:hAnsiTheme="minorHAnsi" w:cstheme="minorHAnsi"/>
          <w:sz w:val="22"/>
          <w:szCs w:val="22"/>
        </w:rPr>
        <w:t>r</w:t>
      </w:r>
      <w:r w:rsidR="00F55E07" w:rsidRPr="00F55E07">
        <w:rPr>
          <w:rFonts w:asciiTheme="minorHAnsi" w:eastAsia="Calibri" w:hAnsiTheme="minorHAnsi" w:cstheme="minorHAnsi"/>
          <w:sz w:val="22"/>
          <w:szCs w:val="22"/>
        </w:rPr>
        <w:t>iore ridimensionamento dei valori di mercato</w:t>
      </w:r>
      <w:r w:rsidR="00317268">
        <w:rPr>
          <w:rFonts w:asciiTheme="minorHAnsi" w:eastAsia="Calibri" w:hAnsiTheme="minorHAnsi" w:cstheme="minorHAnsi"/>
          <w:sz w:val="22"/>
          <w:szCs w:val="22"/>
        </w:rPr>
        <w:t>,</w:t>
      </w:r>
      <w:r w:rsidR="00F55E07" w:rsidRPr="00F55E07">
        <w:rPr>
          <w:rFonts w:asciiTheme="minorHAnsi" w:eastAsia="Calibri" w:hAnsiTheme="minorHAnsi" w:cstheme="minorHAnsi"/>
          <w:sz w:val="22"/>
          <w:szCs w:val="22"/>
        </w:rPr>
        <w:t xml:space="preserve"> </w:t>
      </w:r>
      <w:r w:rsidR="006C5475" w:rsidRPr="00C1293C">
        <w:rPr>
          <w:rFonts w:asciiTheme="minorHAnsi" w:eastAsia="Calibri" w:hAnsiTheme="minorHAnsi" w:cstheme="minorHAnsi"/>
          <w:sz w:val="22"/>
          <w:szCs w:val="22"/>
        </w:rPr>
        <w:t xml:space="preserve">con </w:t>
      </w:r>
      <w:r w:rsidR="006C5475" w:rsidRPr="006C5475">
        <w:rPr>
          <w:rFonts w:asciiTheme="minorHAnsi" w:eastAsia="Calibri" w:hAnsiTheme="minorHAnsi" w:cstheme="minorHAnsi"/>
          <w:sz w:val="22"/>
          <w:szCs w:val="22"/>
        </w:rPr>
        <w:t>un</w:t>
      </w:r>
      <w:r w:rsidR="006C5475">
        <w:rPr>
          <w:rFonts w:asciiTheme="minorHAnsi" w:eastAsia="Calibri" w:hAnsiTheme="minorHAnsi" w:cstheme="minorHAnsi"/>
          <w:sz w:val="22"/>
          <w:szCs w:val="22"/>
        </w:rPr>
        <w:t>’</w:t>
      </w:r>
      <w:r w:rsidR="006C5475" w:rsidRPr="006C5475">
        <w:rPr>
          <w:rFonts w:asciiTheme="minorHAnsi" w:eastAsia="Calibri" w:hAnsiTheme="minorHAnsi" w:cstheme="minorHAnsi"/>
          <w:sz w:val="22"/>
          <w:szCs w:val="22"/>
        </w:rPr>
        <w:t>intensità che dipenderà dell’evolversi della pandemia.</w:t>
      </w:r>
    </w:p>
    <w:p w14:paraId="19F1AC0D" w14:textId="77777777" w:rsidR="006C5475" w:rsidRDefault="006C5475" w:rsidP="00CA70F7">
      <w:pPr>
        <w:jc w:val="both"/>
        <w:rPr>
          <w:rFonts w:asciiTheme="minorHAnsi" w:eastAsia="Calibri" w:hAnsiTheme="minorHAnsi" w:cstheme="minorHAnsi"/>
          <w:sz w:val="22"/>
          <w:szCs w:val="22"/>
        </w:rPr>
      </w:pPr>
    </w:p>
    <w:p w14:paraId="60F2E1EC" w14:textId="74534EA1" w:rsidR="003D2414" w:rsidRPr="00FD203F" w:rsidRDefault="00F55E07" w:rsidP="00E668A5">
      <w:pPr>
        <w:jc w:val="both"/>
        <w:rPr>
          <w:rFonts w:asciiTheme="minorHAnsi" w:eastAsia="Calibri" w:hAnsiTheme="minorHAnsi" w:cstheme="minorHAnsi"/>
          <w:sz w:val="22"/>
          <w:szCs w:val="22"/>
        </w:rPr>
      </w:pPr>
      <w:bookmarkStart w:id="3" w:name="_Hlk46760834"/>
      <w:r w:rsidRPr="00F55E07">
        <w:rPr>
          <w:rFonts w:asciiTheme="minorHAnsi" w:eastAsia="Calibri" w:hAnsiTheme="minorHAnsi" w:cstheme="minorHAnsi"/>
          <w:sz w:val="22"/>
          <w:szCs w:val="22"/>
        </w:rPr>
        <w:t>Il mercato della</w:t>
      </w:r>
      <w:r w:rsidR="00CA70F7">
        <w:rPr>
          <w:rFonts w:asciiTheme="minorHAnsi" w:eastAsia="Calibri" w:hAnsiTheme="minorHAnsi" w:cstheme="minorHAnsi"/>
          <w:sz w:val="22"/>
          <w:szCs w:val="22"/>
        </w:rPr>
        <w:t xml:space="preserve"> </w:t>
      </w:r>
      <w:r w:rsidRPr="00F55E07">
        <w:rPr>
          <w:rFonts w:asciiTheme="minorHAnsi" w:eastAsia="Calibri" w:hAnsiTheme="minorHAnsi" w:cstheme="minorHAnsi"/>
          <w:sz w:val="22"/>
          <w:szCs w:val="22"/>
        </w:rPr>
        <w:t>locazione</w:t>
      </w:r>
      <w:r w:rsidR="00965758">
        <w:rPr>
          <w:rFonts w:asciiTheme="minorHAnsi" w:eastAsia="Calibri" w:hAnsiTheme="minorHAnsi" w:cstheme="minorHAnsi"/>
          <w:sz w:val="22"/>
          <w:szCs w:val="22"/>
        </w:rPr>
        <w:t xml:space="preserve"> viene </w:t>
      </w:r>
      <w:r w:rsidR="00CA70F7">
        <w:rPr>
          <w:rFonts w:asciiTheme="minorHAnsi" w:eastAsia="Calibri" w:hAnsiTheme="minorHAnsi" w:cstheme="minorHAnsi"/>
          <w:sz w:val="22"/>
          <w:szCs w:val="22"/>
        </w:rPr>
        <w:t xml:space="preserve">invece </w:t>
      </w:r>
      <w:r w:rsidR="00965758">
        <w:rPr>
          <w:rFonts w:asciiTheme="minorHAnsi" w:eastAsia="Calibri" w:hAnsiTheme="minorHAnsi" w:cstheme="minorHAnsi"/>
          <w:sz w:val="22"/>
          <w:szCs w:val="22"/>
        </w:rPr>
        <w:t xml:space="preserve">percepito più stabile, sia </w:t>
      </w:r>
      <w:r w:rsidR="00CA70F7">
        <w:rPr>
          <w:rFonts w:asciiTheme="minorHAnsi" w:eastAsia="Calibri" w:hAnsiTheme="minorHAnsi" w:cstheme="minorHAnsi"/>
          <w:sz w:val="22"/>
          <w:szCs w:val="22"/>
        </w:rPr>
        <w:t>rispetto ai</w:t>
      </w:r>
      <w:r w:rsidR="00965758">
        <w:rPr>
          <w:rFonts w:asciiTheme="minorHAnsi" w:eastAsia="Calibri" w:hAnsiTheme="minorHAnsi" w:cstheme="minorHAnsi"/>
          <w:sz w:val="22"/>
          <w:szCs w:val="22"/>
        </w:rPr>
        <w:t xml:space="preserve"> contratti che </w:t>
      </w:r>
      <w:r w:rsidR="00CA70F7">
        <w:rPr>
          <w:rFonts w:asciiTheme="minorHAnsi" w:eastAsia="Calibri" w:hAnsiTheme="minorHAnsi" w:cstheme="minorHAnsi"/>
          <w:sz w:val="22"/>
          <w:szCs w:val="22"/>
        </w:rPr>
        <w:t>a</w:t>
      </w:r>
      <w:r w:rsidR="00965758">
        <w:rPr>
          <w:rFonts w:asciiTheme="minorHAnsi" w:eastAsia="Calibri" w:hAnsiTheme="minorHAnsi" w:cstheme="minorHAnsi"/>
          <w:sz w:val="22"/>
          <w:szCs w:val="22"/>
        </w:rPr>
        <w:t>i canoni</w:t>
      </w:r>
      <w:r w:rsidR="00CA70F7">
        <w:rPr>
          <w:rFonts w:asciiTheme="minorHAnsi" w:eastAsia="Calibri" w:hAnsiTheme="minorHAnsi" w:cstheme="minorHAnsi"/>
          <w:sz w:val="22"/>
          <w:szCs w:val="22"/>
        </w:rPr>
        <w:t xml:space="preserve"> applicati</w:t>
      </w:r>
      <w:r w:rsidR="00965758">
        <w:rPr>
          <w:rFonts w:asciiTheme="minorHAnsi" w:eastAsia="Calibri" w:hAnsiTheme="minorHAnsi" w:cstheme="minorHAnsi"/>
          <w:sz w:val="22"/>
          <w:szCs w:val="22"/>
        </w:rPr>
        <w:t>, anche per effetto di una maggiore prefe</w:t>
      </w:r>
      <w:r w:rsidR="00CA70F7">
        <w:rPr>
          <w:rFonts w:asciiTheme="minorHAnsi" w:eastAsia="Calibri" w:hAnsiTheme="minorHAnsi" w:cstheme="minorHAnsi"/>
          <w:sz w:val="22"/>
          <w:szCs w:val="22"/>
        </w:rPr>
        <w:t>r</w:t>
      </w:r>
      <w:r w:rsidR="00965758">
        <w:rPr>
          <w:rFonts w:asciiTheme="minorHAnsi" w:eastAsia="Calibri" w:hAnsiTheme="minorHAnsi" w:cstheme="minorHAnsi"/>
          <w:sz w:val="22"/>
          <w:szCs w:val="22"/>
        </w:rPr>
        <w:t xml:space="preserve">enza </w:t>
      </w:r>
      <w:r w:rsidR="00CA70F7">
        <w:rPr>
          <w:rFonts w:asciiTheme="minorHAnsi" w:eastAsia="Calibri" w:hAnsiTheme="minorHAnsi" w:cstheme="minorHAnsi"/>
          <w:sz w:val="22"/>
          <w:szCs w:val="22"/>
        </w:rPr>
        <w:t xml:space="preserve">del turista </w:t>
      </w:r>
      <w:r w:rsidR="00317268">
        <w:rPr>
          <w:rFonts w:asciiTheme="minorHAnsi" w:eastAsia="Calibri" w:hAnsiTheme="minorHAnsi" w:cstheme="minorHAnsi"/>
          <w:sz w:val="22"/>
          <w:szCs w:val="22"/>
        </w:rPr>
        <w:t>verso la casa vacanza soprattutto in questo periodo di pandemia da Covid 19.</w:t>
      </w:r>
      <w:bookmarkEnd w:id="3"/>
    </w:p>
    <w:sectPr w:rsidR="003D2414" w:rsidRPr="00FD203F" w:rsidSect="00851093">
      <w:headerReference w:type="default" r:id="rId17"/>
      <w:footerReference w:type="default" r:id="rId18"/>
      <w:headerReference w:type="first" r:id="rId19"/>
      <w:pgSz w:w="11906" w:h="16838" w:code="9"/>
      <w:pgMar w:top="2092" w:right="1134" w:bottom="1701"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CCB26" w14:textId="77777777" w:rsidR="00232D6C" w:rsidRDefault="00232D6C" w:rsidP="00AE50F2">
      <w:r>
        <w:separator/>
      </w:r>
    </w:p>
  </w:endnote>
  <w:endnote w:type="continuationSeparator" w:id="0">
    <w:p w14:paraId="478D1995" w14:textId="77777777" w:rsidR="00232D6C" w:rsidRDefault="00232D6C" w:rsidP="00AE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elleyAndante BT">
    <w:altName w:val="Mistral"/>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rPr>
      <w:id w:val="-654989620"/>
      <w:docPartObj>
        <w:docPartGallery w:val="Page Numbers (Bottom of Page)"/>
        <w:docPartUnique/>
      </w:docPartObj>
    </w:sdtPr>
    <w:sdtEndPr/>
    <w:sdtContent>
      <w:p w14:paraId="01BA4437" w14:textId="1430522D" w:rsidR="00DC3E45" w:rsidRPr="00E65333" w:rsidRDefault="00DC3E45" w:rsidP="00207589">
        <w:pPr>
          <w:pStyle w:val="Pidipagina"/>
          <w:pBdr>
            <w:top w:val="single" w:sz="4" w:space="1" w:color="auto"/>
          </w:pBdr>
          <w:rPr>
            <w:rFonts w:asciiTheme="minorHAnsi" w:hAnsiTheme="minorHAnsi"/>
            <w:sz w:val="20"/>
          </w:rPr>
        </w:pPr>
        <w:r w:rsidRPr="0004761A">
          <w:rPr>
            <w:rFonts w:ascii="ShelleyAndante BT" w:hAnsi="ShelleyAndante BT"/>
            <w:i/>
            <w:sz w:val="36"/>
            <w:szCs w:val="60"/>
          </w:rPr>
          <w:t>Nomisma</w:t>
        </w:r>
        <w:r w:rsidRPr="00CB214E">
          <w:rPr>
            <w:rFonts w:asciiTheme="minorHAnsi" w:hAnsiTheme="minorHAnsi"/>
            <w:sz w:val="20"/>
          </w:rPr>
          <w:t xml:space="preserve"> </w:t>
        </w:r>
        <w:r>
          <w:rPr>
            <w:rFonts w:asciiTheme="minorHAnsi" w:hAnsiTheme="minorHAnsi"/>
            <w:sz w:val="20"/>
          </w:rPr>
          <w:tab/>
        </w:r>
        <w:r w:rsidRPr="00CB214E">
          <w:rPr>
            <w:rFonts w:asciiTheme="minorHAnsi" w:hAnsiTheme="minorHAnsi"/>
            <w:sz w:val="20"/>
          </w:rPr>
          <w:t xml:space="preserve">Osservatorio Turistico, </w:t>
        </w:r>
        <w:r w:rsidR="002B76F5">
          <w:rPr>
            <w:rFonts w:asciiTheme="minorHAnsi" w:hAnsiTheme="minorHAnsi"/>
            <w:sz w:val="20"/>
          </w:rPr>
          <w:t>2</w:t>
        </w:r>
        <w:r>
          <w:rPr>
            <w:rFonts w:asciiTheme="minorHAnsi" w:hAnsiTheme="minorHAnsi"/>
            <w:sz w:val="20"/>
          </w:rPr>
          <w:t xml:space="preserve"> </w:t>
        </w:r>
        <w:r w:rsidR="00E133BA">
          <w:rPr>
            <w:rFonts w:asciiTheme="minorHAnsi" w:hAnsiTheme="minorHAnsi"/>
            <w:sz w:val="20"/>
          </w:rPr>
          <w:t>agosto</w:t>
        </w:r>
        <w:r>
          <w:rPr>
            <w:rFonts w:asciiTheme="minorHAnsi" w:hAnsiTheme="minorHAnsi"/>
            <w:sz w:val="20"/>
          </w:rPr>
          <w:t xml:space="preserve"> 2020</w:t>
        </w:r>
        <w:r w:rsidRPr="00CB214E">
          <w:rPr>
            <w:rFonts w:asciiTheme="minorHAnsi" w:hAnsiTheme="minorHAnsi"/>
            <w:sz w:val="20"/>
          </w:rPr>
          <w:tab/>
        </w:r>
        <w:r w:rsidRPr="00CB214E">
          <w:rPr>
            <w:rFonts w:asciiTheme="minorHAnsi" w:hAnsiTheme="minorHAnsi"/>
            <w:sz w:val="20"/>
          </w:rPr>
          <w:fldChar w:fldCharType="begin"/>
        </w:r>
        <w:r w:rsidRPr="00CB214E">
          <w:rPr>
            <w:rFonts w:asciiTheme="minorHAnsi" w:hAnsiTheme="minorHAnsi"/>
            <w:sz w:val="20"/>
          </w:rPr>
          <w:instrText>PAGE   \* MERGEFORMAT</w:instrText>
        </w:r>
        <w:r w:rsidRPr="00CB214E">
          <w:rPr>
            <w:rFonts w:asciiTheme="minorHAnsi" w:hAnsiTheme="minorHAnsi"/>
            <w:sz w:val="20"/>
          </w:rPr>
          <w:fldChar w:fldCharType="separate"/>
        </w:r>
        <w:r w:rsidR="006B068F">
          <w:rPr>
            <w:rFonts w:asciiTheme="minorHAnsi" w:hAnsiTheme="minorHAnsi"/>
            <w:noProof/>
            <w:sz w:val="20"/>
          </w:rPr>
          <w:t>2</w:t>
        </w:r>
        <w:r w:rsidRPr="00CB214E">
          <w:rPr>
            <w:rFonts w:asciiTheme="minorHAnsi" w:hAnsiTheme="minorHAnsi"/>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AB3EF" w14:textId="77777777" w:rsidR="00232D6C" w:rsidRDefault="00232D6C" w:rsidP="00AE50F2">
      <w:r>
        <w:separator/>
      </w:r>
    </w:p>
  </w:footnote>
  <w:footnote w:type="continuationSeparator" w:id="0">
    <w:p w14:paraId="3118BCA4" w14:textId="77777777" w:rsidR="00232D6C" w:rsidRDefault="00232D6C" w:rsidP="00AE50F2">
      <w:r>
        <w:continuationSeparator/>
      </w:r>
    </w:p>
  </w:footnote>
  <w:footnote w:id="1">
    <w:p w14:paraId="4D2115F8" w14:textId="30433D7B" w:rsidR="00DC3E45" w:rsidRDefault="00DC3E45" w:rsidP="00296618">
      <w:pPr>
        <w:pStyle w:val="Testonotaapidipagina"/>
      </w:pPr>
      <w:r>
        <w:rPr>
          <w:rStyle w:val="Rimandonotaapidipagina"/>
        </w:rPr>
        <w:footnoteRef/>
      </w:r>
      <w:r>
        <w:t xml:space="preserve"> </w:t>
      </w:r>
      <w:r w:rsidRPr="00A5537B">
        <w:rPr>
          <w:rFonts w:asciiTheme="minorHAnsi" w:hAnsiTheme="minorHAnsi" w:cstheme="minorHAnsi"/>
        </w:rPr>
        <w:t>Osservatorio Nazionale del Turismo, Bollettino n. 6, luglio 2020, ENIT</w:t>
      </w:r>
      <w:r>
        <w:rPr>
          <w:rFonts w:asciiTheme="minorHAnsi" w:hAnsiTheme="minorHAnsi" w:cstheme="minorHAnsi"/>
        </w:rPr>
        <w:t xml:space="preserve"> - </w:t>
      </w:r>
      <w:r w:rsidRPr="00913D2F">
        <w:rPr>
          <w:rFonts w:asciiTheme="minorHAnsi" w:eastAsia="Calibri" w:hAnsiTheme="minorHAnsi" w:cstheme="minorHAnsi"/>
          <w:sz w:val="22"/>
          <w:szCs w:val="22"/>
        </w:rPr>
        <w:t>Agenzia Nazionale del Turismo</w:t>
      </w:r>
      <w:r w:rsidR="001C241E">
        <w:rPr>
          <w:rFonts w:asciiTheme="minorHAnsi" w:eastAsia="Calibri" w:hAnsiTheme="minorHAnsi" w:cstheme="minorHAnsi"/>
          <w:sz w:val="22"/>
          <w:szCs w:val="22"/>
        </w:rPr>
        <w:t>, p.13</w:t>
      </w:r>
      <w:r>
        <w:rPr>
          <w:rFonts w:asciiTheme="minorHAnsi" w:hAnsiTheme="minorHAnsi" w:cstheme="minorHAnsi"/>
        </w:rPr>
        <w:t>.</w:t>
      </w:r>
      <w:r w:rsidR="001C241E">
        <w:rPr>
          <w:rFonts w:asciiTheme="minorHAnsi" w:hAnsiTheme="minorHAnsi" w:cstheme="minorHAnsi"/>
        </w:rPr>
        <w:t xml:space="preserve"> </w:t>
      </w:r>
      <w:r w:rsidR="001C241E" w:rsidRPr="001C241E">
        <w:rPr>
          <w:rFonts w:asciiTheme="minorHAnsi" w:hAnsiTheme="minorHAnsi" w:cstheme="minorHAnsi"/>
        </w:rPr>
        <w:t>https://enit.it/wwwenit/images/amministrazionetrasparenteepe/bollettini/bollettino%206/BOLLETTINO%20ENIT%20N6.pdf</w:t>
      </w:r>
    </w:p>
  </w:footnote>
  <w:footnote w:id="2">
    <w:p w14:paraId="6F1EBED2" w14:textId="77777777" w:rsidR="00DC3E45" w:rsidRPr="00273307" w:rsidRDefault="00DC3E45" w:rsidP="00E11451">
      <w:pPr>
        <w:pStyle w:val="Testonotaapidipagina"/>
        <w:rPr>
          <w:rFonts w:asciiTheme="minorHAnsi" w:hAnsiTheme="minorHAnsi"/>
          <w:spacing w:val="-2"/>
          <w:szCs w:val="17"/>
        </w:rPr>
      </w:pPr>
      <w:r w:rsidRPr="00273307">
        <w:rPr>
          <w:rStyle w:val="Rimandonotaapidipagina"/>
          <w:rFonts w:asciiTheme="minorHAnsi" w:hAnsiTheme="minorHAnsi"/>
          <w:sz w:val="24"/>
        </w:rPr>
        <w:footnoteRef/>
      </w:r>
      <w:r w:rsidRPr="00273307">
        <w:rPr>
          <w:rFonts w:asciiTheme="minorHAnsi" w:hAnsiTheme="minorHAnsi"/>
          <w:sz w:val="24"/>
        </w:rPr>
        <w:t xml:space="preserve"> </w:t>
      </w:r>
      <w:r w:rsidRPr="00273307">
        <w:rPr>
          <w:rFonts w:asciiTheme="minorHAnsi" w:hAnsiTheme="minorHAnsi"/>
          <w:spacing w:val="-2"/>
          <w:szCs w:val="17"/>
        </w:rPr>
        <w:t>I valori prime sono da intendersi quali massimi medi</w:t>
      </w:r>
      <w:r>
        <w:rPr>
          <w:rFonts w:asciiTheme="minorHAnsi" w:hAnsiTheme="minorHAnsi"/>
          <w:spacing w:val="-2"/>
          <w:szCs w:val="17"/>
        </w:rPr>
        <w:t>,</w:t>
      </w:r>
      <w:r w:rsidRPr="00273307">
        <w:rPr>
          <w:rFonts w:asciiTheme="minorHAnsi" w:hAnsiTheme="minorHAnsi"/>
          <w:spacing w:val="-2"/>
          <w:szCs w:val="17"/>
        </w:rPr>
        <w:t xml:space="preserve"> non quali massimi assoluti.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772F4" w14:textId="77777777" w:rsidR="00DC3E45" w:rsidRDefault="00DC3E45" w:rsidP="00851093">
    <w:pPr>
      <w:pStyle w:val="Intestazione"/>
      <w:pBdr>
        <w:bottom w:val="single" w:sz="2" w:space="1" w:color="auto"/>
      </w:pBdr>
      <w:tabs>
        <w:tab w:val="left" w:pos="2613"/>
        <w:tab w:val="left" w:pos="3200"/>
      </w:tabs>
    </w:pPr>
    <w:r>
      <w:rPr>
        <w:noProof/>
      </w:rPr>
      <w:drawing>
        <wp:anchor distT="0" distB="0" distL="114300" distR="114300" simplePos="0" relativeHeight="251657216" behindDoc="0" locked="0" layoutInCell="1" allowOverlap="1" wp14:anchorId="5C923913" wp14:editId="70A47FF1">
          <wp:simplePos x="0" y="0"/>
          <wp:positionH relativeFrom="column">
            <wp:posOffset>5417820</wp:posOffset>
          </wp:positionH>
          <wp:positionV relativeFrom="paragraph">
            <wp:posOffset>-84878</wp:posOffset>
          </wp:positionV>
          <wp:extent cx="641237" cy="702734"/>
          <wp:effectExtent l="0" t="0" r="6985" b="2540"/>
          <wp:wrapNone/>
          <wp:docPr id="11" name="Immagine 11" descr="F:\Aree\OssImm\Francesca Pagnini\2PROGETTI IN CORSO\2014\Turistico 2014\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ree\OssImm\Francesca Pagnini\2PROGETTI IN CORSO\2014\Turistico 2014\image0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237" cy="70273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1CD2BEC" wp14:editId="671AE1D0">
          <wp:extent cx="1344438" cy="626534"/>
          <wp:effectExtent l="0" t="0" r="8255" b="2540"/>
          <wp:docPr id="16" name="Immagine 9" descr="LOGO CONFCOMMER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CONFCOMMERCI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4438" cy="626534"/>
                  </a:xfrm>
                  <a:prstGeom prst="rect">
                    <a:avLst/>
                  </a:prstGeom>
                  <a:noFill/>
                  <a:ln>
                    <a:noFill/>
                  </a:ln>
                </pic:spPr>
              </pic:pic>
            </a:graphicData>
          </a:graphic>
        </wp:inline>
      </w:drawing>
    </w:r>
    <w:r>
      <w:tab/>
    </w:r>
    <w:r>
      <w:tab/>
    </w:r>
    <w:r>
      <w:tab/>
    </w:r>
    <w:r>
      <w:tab/>
    </w:r>
  </w:p>
  <w:p w14:paraId="7261F179" w14:textId="77777777" w:rsidR="00DC3E45" w:rsidRPr="00851093" w:rsidRDefault="00DC3E45" w:rsidP="00851093">
    <w:pPr>
      <w:pStyle w:val="Intestazione"/>
      <w:pBdr>
        <w:bottom w:val="single" w:sz="2" w:space="1" w:color="auto"/>
      </w:pBdr>
      <w:tabs>
        <w:tab w:val="left" w:pos="2613"/>
        <w:tab w:val="left" w:pos="3200"/>
      </w:tabs>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C41D0" w14:textId="77777777" w:rsidR="00DC3E45" w:rsidRDefault="00DC3E45">
    <w:pPr>
      <w:pStyle w:val="Intestazione"/>
    </w:pPr>
    <w:r w:rsidRPr="002D3762">
      <w:rPr>
        <w:snapToGrid w:val="0"/>
        <w:color w:val="000000"/>
        <w:w w:val="0"/>
        <w:sz w:val="0"/>
        <w:szCs w:val="0"/>
        <w:u w:color="000000"/>
        <w:bdr w:val="none" w:sz="0" w:space="0" w:color="000000"/>
        <w:shd w:val="clear" w:color="000000" w:fil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9192D"/>
    <w:multiLevelType w:val="hybridMultilevel"/>
    <w:tmpl w:val="9D648C6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534830E9"/>
    <w:multiLevelType w:val="hybridMultilevel"/>
    <w:tmpl w:val="4DD073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AB63258"/>
    <w:multiLevelType w:val="hybridMultilevel"/>
    <w:tmpl w:val="1E7A9F12"/>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63E92459"/>
    <w:multiLevelType w:val="hybridMultilevel"/>
    <w:tmpl w:val="7780ED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1DC5FC3"/>
    <w:multiLevelType w:val="hybridMultilevel"/>
    <w:tmpl w:val="2CAE82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ocumentProtection w:edit="trackedChanges" w:enforcement="0"/>
  <w:defaultTabStop w:val="708"/>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602"/>
    <w:rsid w:val="0000195A"/>
    <w:rsid w:val="00002C12"/>
    <w:rsid w:val="00002E27"/>
    <w:rsid w:val="00003318"/>
    <w:rsid w:val="00012DFB"/>
    <w:rsid w:val="0001380B"/>
    <w:rsid w:val="000149FE"/>
    <w:rsid w:val="00024778"/>
    <w:rsid w:val="000251ED"/>
    <w:rsid w:val="000268C1"/>
    <w:rsid w:val="00032A42"/>
    <w:rsid w:val="00043214"/>
    <w:rsid w:val="000435ED"/>
    <w:rsid w:val="000458CF"/>
    <w:rsid w:val="00047369"/>
    <w:rsid w:val="00050CD5"/>
    <w:rsid w:val="00052395"/>
    <w:rsid w:val="00061089"/>
    <w:rsid w:val="00061E35"/>
    <w:rsid w:val="0006589D"/>
    <w:rsid w:val="00067970"/>
    <w:rsid w:val="00073A23"/>
    <w:rsid w:val="00073B14"/>
    <w:rsid w:val="00077198"/>
    <w:rsid w:val="000828A6"/>
    <w:rsid w:val="00085517"/>
    <w:rsid w:val="0009207A"/>
    <w:rsid w:val="0009610F"/>
    <w:rsid w:val="0009799C"/>
    <w:rsid w:val="00097E9A"/>
    <w:rsid w:val="000A0406"/>
    <w:rsid w:val="000A553E"/>
    <w:rsid w:val="000A733A"/>
    <w:rsid w:val="000B0BCD"/>
    <w:rsid w:val="000B575C"/>
    <w:rsid w:val="000C003A"/>
    <w:rsid w:val="000C1555"/>
    <w:rsid w:val="000D203E"/>
    <w:rsid w:val="000D359B"/>
    <w:rsid w:val="000D69E5"/>
    <w:rsid w:val="000D7640"/>
    <w:rsid w:val="000E17D1"/>
    <w:rsid w:val="000E6955"/>
    <w:rsid w:val="000F2F22"/>
    <w:rsid w:val="000F3862"/>
    <w:rsid w:val="00100F8E"/>
    <w:rsid w:val="00102954"/>
    <w:rsid w:val="0010768A"/>
    <w:rsid w:val="00107D4A"/>
    <w:rsid w:val="001155CE"/>
    <w:rsid w:val="00115CDF"/>
    <w:rsid w:val="00126AC8"/>
    <w:rsid w:val="001313C1"/>
    <w:rsid w:val="00146BCD"/>
    <w:rsid w:val="00147009"/>
    <w:rsid w:val="001510F4"/>
    <w:rsid w:val="001534C0"/>
    <w:rsid w:val="0015563B"/>
    <w:rsid w:val="0015611C"/>
    <w:rsid w:val="001572CE"/>
    <w:rsid w:val="00160368"/>
    <w:rsid w:val="00161EC2"/>
    <w:rsid w:val="00164485"/>
    <w:rsid w:val="00167778"/>
    <w:rsid w:val="00170F64"/>
    <w:rsid w:val="00171FBA"/>
    <w:rsid w:val="00176583"/>
    <w:rsid w:val="00181EC9"/>
    <w:rsid w:val="001845DF"/>
    <w:rsid w:val="00184DB4"/>
    <w:rsid w:val="0019429B"/>
    <w:rsid w:val="001A3468"/>
    <w:rsid w:val="001A35B3"/>
    <w:rsid w:val="001A5409"/>
    <w:rsid w:val="001A7245"/>
    <w:rsid w:val="001B3F93"/>
    <w:rsid w:val="001C12EE"/>
    <w:rsid w:val="001C1DB8"/>
    <w:rsid w:val="001C241E"/>
    <w:rsid w:val="001C2A4F"/>
    <w:rsid w:val="001C2E22"/>
    <w:rsid w:val="001C4A04"/>
    <w:rsid w:val="001D4F5C"/>
    <w:rsid w:val="001E437C"/>
    <w:rsid w:val="001E5073"/>
    <w:rsid w:val="001E789B"/>
    <w:rsid w:val="001F0AA4"/>
    <w:rsid w:val="001F1801"/>
    <w:rsid w:val="00202F6E"/>
    <w:rsid w:val="0020605F"/>
    <w:rsid w:val="00207589"/>
    <w:rsid w:val="0021460A"/>
    <w:rsid w:val="00215E90"/>
    <w:rsid w:val="00216F93"/>
    <w:rsid w:val="00224C40"/>
    <w:rsid w:val="00232D6C"/>
    <w:rsid w:val="00233F7C"/>
    <w:rsid w:val="00254BE2"/>
    <w:rsid w:val="00260B7F"/>
    <w:rsid w:val="00261881"/>
    <w:rsid w:val="00262584"/>
    <w:rsid w:val="00264809"/>
    <w:rsid w:val="002671F5"/>
    <w:rsid w:val="00270392"/>
    <w:rsid w:val="00273307"/>
    <w:rsid w:val="0027617D"/>
    <w:rsid w:val="00277CAD"/>
    <w:rsid w:val="00283E96"/>
    <w:rsid w:val="00284BD6"/>
    <w:rsid w:val="00286A17"/>
    <w:rsid w:val="0028773A"/>
    <w:rsid w:val="002929BC"/>
    <w:rsid w:val="00295F1B"/>
    <w:rsid w:val="00296618"/>
    <w:rsid w:val="002979BE"/>
    <w:rsid w:val="00297FEB"/>
    <w:rsid w:val="002B5B2F"/>
    <w:rsid w:val="002B76F5"/>
    <w:rsid w:val="002B7CB1"/>
    <w:rsid w:val="002C1088"/>
    <w:rsid w:val="002C1729"/>
    <w:rsid w:val="002D3762"/>
    <w:rsid w:val="002D7597"/>
    <w:rsid w:val="002D78BD"/>
    <w:rsid w:val="002E37C5"/>
    <w:rsid w:val="002E4D47"/>
    <w:rsid w:val="002F0AF4"/>
    <w:rsid w:val="002F0FC7"/>
    <w:rsid w:val="002F3ED6"/>
    <w:rsid w:val="002F6528"/>
    <w:rsid w:val="002F6F6E"/>
    <w:rsid w:val="00317268"/>
    <w:rsid w:val="003175D9"/>
    <w:rsid w:val="00321D49"/>
    <w:rsid w:val="003251EF"/>
    <w:rsid w:val="00325A69"/>
    <w:rsid w:val="00325BF0"/>
    <w:rsid w:val="00326F01"/>
    <w:rsid w:val="00334A91"/>
    <w:rsid w:val="00336585"/>
    <w:rsid w:val="00346450"/>
    <w:rsid w:val="00346ABC"/>
    <w:rsid w:val="003516B6"/>
    <w:rsid w:val="0035263B"/>
    <w:rsid w:val="0035696B"/>
    <w:rsid w:val="0036139B"/>
    <w:rsid w:val="0036368C"/>
    <w:rsid w:val="00364602"/>
    <w:rsid w:val="0036506C"/>
    <w:rsid w:val="00365FA6"/>
    <w:rsid w:val="003678A4"/>
    <w:rsid w:val="00375A39"/>
    <w:rsid w:val="003825B1"/>
    <w:rsid w:val="003A1659"/>
    <w:rsid w:val="003A7274"/>
    <w:rsid w:val="003A7623"/>
    <w:rsid w:val="003A7A09"/>
    <w:rsid w:val="003B50D9"/>
    <w:rsid w:val="003B5CE0"/>
    <w:rsid w:val="003B604D"/>
    <w:rsid w:val="003C060B"/>
    <w:rsid w:val="003C205E"/>
    <w:rsid w:val="003C2AEC"/>
    <w:rsid w:val="003D2414"/>
    <w:rsid w:val="003D3270"/>
    <w:rsid w:val="003D3670"/>
    <w:rsid w:val="003D57BF"/>
    <w:rsid w:val="003E6C72"/>
    <w:rsid w:val="003F450A"/>
    <w:rsid w:val="004064F6"/>
    <w:rsid w:val="0040695F"/>
    <w:rsid w:val="0041163B"/>
    <w:rsid w:val="004134AE"/>
    <w:rsid w:val="004134FF"/>
    <w:rsid w:val="00413D5E"/>
    <w:rsid w:val="00415A4B"/>
    <w:rsid w:val="0041716C"/>
    <w:rsid w:val="00420626"/>
    <w:rsid w:val="00421BD4"/>
    <w:rsid w:val="00424593"/>
    <w:rsid w:val="00425598"/>
    <w:rsid w:val="00426E30"/>
    <w:rsid w:val="00430EC9"/>
    <w:rsid w:val="00432049"/>
    <w:rsid w:val="004334B9"/>
    <w:rsid w:val="00433ED5"/>
    <w:rsid w:val="0043545C"/>
    <w:rsid w:val="00447C1C"/>
    <w:rsid w:val="00452138"/>
    <w:rsid w:val="004527F2"/>
    <w:rsid w:val="004626C7"/>
    <w:rsid w:val="00464424"/>
    <w:rsid w:val="00464BC2"/>
    <w:rsid w:val="004670CE"/>
    <w:rsid w:val="0047062A"/>
    <w:rsid w:val="004738DE"/>
    <w:rsid w:val="00474E67"/>
    <w:rsid w:val="004757A1"/>
    <w:rsid w:val="00477C41"/>
    <w:rsid w:val="00480222"/>
    <w:rsid w:val="00483277"/>
    <w:rsid w:val="00484BC8"/>
    <w:rsid w:val="0048635A"/>
    <w:rsid w:val="00486B1F"/>
    <w:rsid w:val="00491036"/>
    <w:rsid w:val="00495B02"/>
    <w:rsid w:val="004A01CD"/>
    <w:rsid w:val="004A09C9"/>
    <w:rsid w:val="004A177A"/>
    <w:rsid w:val="004A29DB"/>
    <w:rsid w:val="004A4F2A"/>
    <w:rsid w:val="004B224E"/>
    <w:rsid w:val="004B5739"/>
    <w:rsid w:val="004B6802"/>
    <w:rsid w:val="004B71AA"/>
    <w:rsid w:val="004B735C"/>
    <w:rsid w:val="004C1B57"/>
    <w:rsid w:val="004D15D8"/>
    <w:rsid w:val="004D2B7B"/>
    <w:rsid w:val="004D6035"/>
    <w:rsid w:val="004E2076"/>
    <w:rsid w:val="004E3938"/>
    <w:rsid w:val="004F2860"/>
    <w:rsid w:val="004F2E63"/>
    <w:rsid w:val="004F585F"/>
    <w:rsid w:val="004F63F3"/>
    <w:rsid w:val="0050113E"/>
    <w:rsid w:val="005013C2"/>
    <w:rsid w:val="005014C9"/>
    <w:rsid w:val="005025ED"/>
    <w:rsid w:val="00504513"/>
    <w:rsid w:val="0050454B"/>
    <w:rsid w:val="00504879"/>
    <w:rsid w:val="00507476"/>
    <w:rsid w:val="0051067D"/>
    <w:rsid w:val="00514FB7"/>
    <w:rsid w:val="0052432E"/>
    <w:rsid w:val="0052757E"/>
    <w:rsid w:val="00527B68"/>
    <w:rsid w:val="005340B5"/>
    <w:rsid w:val="00534399"/>
    <w:rsid w:val="00535AEF"/>
    <w:rsid w:val="00536C7A"/>
    <w:rsid w:val="0054605D"/>
    <w:rsid w:val="00562B16"/>
    <w:rsid w:val="00562F3E"/>
    <w:rsid w:val="0056531D"/>
    <w:rsid w:val="005658BD"/>
    <w:rsid w:val="00571016"/>
    <w:rsid w:val="005750E9"/>
    <w:rsid w:val="005751CB"/>
    <w:rsid w:val="00575691"/>
    <w:rsid w:val="00582B11"/>
    <w:rsid w:val="00583877"/>
    <w:rsid w:val="00584EB0"/>
    <w:rsid w:val="005873E3"/>
    <w:rsid w:val="005904AF"/>
    <w:rsid w:val="00592D6A"/>
    <w:rsid w:val="005933D1"/>
    <w:rsid w:val="005942A3"/>
    <w:rsid w:val="005960B6"/>
    <w:rsid w:val="005A0D42"/>
    <w:rsid w:val="005A1207"/>
    <w:rsid w:val="005A1B07"/>
    <w:rsid w:val="005A6382"/>
    <w:rsid w:val="005B3ACD"/>
    <w:rsid w:val="005B6FD4"/>
    <w:rsid w:val="005C11B2"/>
    <w:rsid w:val="005D0767"/>
    <w:rsid w:val="005D35E9"/>
    <w:rsid w:val="005D4569"/>
    <w:rsid w:val="005D5EEF"/>
    <w:rsid w:val="005E066B"/>
    <w:rsid w:val="005E16C0"/>
    <w:rsid w:val="005E3971"/>
    <w:rsid w:val="005F0839"/>
    <w:rsid w:val="005F14C8"/>
    <w:rsid w:val="005F49BD"/>
    <w:rsid w:val="005F4B9A"/>
    <w:rsid w:val="005F5BA9"/>
    <w:rsid w:val="00603976"/>
    <w:rsid w:val="00605517"/>
    <w:rsid w:val="006056D5"/>
    <w:rsid w:val="00612ABB"/>
    <w:rsid w:val="0061393C"/>
    <w:rsid w:val="00623961"/>
    <w:rsid w:val="00624298"/>
    <w:rsid w:val="00625A1A"/>
    <w:rsid w:val="00625A85"/>
    <w:rsid w:val="00633F06"/>
    <w:rsid w:val="006344E1"/>
    <w:rsid w:val="0064021F"/>
    <w:rsid w:val="006432F2"/>
    <w:rsid w:val="00650E22"/>
    <w:rsid w:val="0065373E"/>
    <w:rsid w:val="00654DB9"/>
    <w:rsid w:val="006561E7"/>
    <w:rsid w:val="0066700F"/>
    <w:rsid w:val="00670B5F"/>
    <w:rsid w:val="00671323"/>
    <w:rsid w:val="0068237F"/>
    <w:rsid w:val="00682625"/>
    <w:rsid w:val="00684FCF"/>
    <w:rsid w:val="00691109"/>
    <w:rsid w:val="00693364"/>
    <w:rsid w:val="00695100"/>
    <w:rsid w:val="00695C61"/>
    <w:rsid w:val="00697AAF"/>
    <w:rsid w:val="006A0BF2"/>
    <w:rsid w:val="006A10E4"/>
    <w:rsid w:val="006A383C"/>
    <w:rsid w:val="006A427A"/>
    <w:rsid w:val="006B068F"/>
    <w:rsid w:val="006C0255"/>
    <w:rsid w:val="006C0271"/>
    <w:rsid w:val="006C36D3"/>
    <w:rsid w:val="006C3B5C"/>
    <w:rsid w:val="006C4DF4"/>
    <w:rsid w:val="006C5475"/>
    <w:rsid w:val="006C6DE9"/>
    <w:rsid w:val="006C6E61"/>
    <w:rsid w:val="006D3C3D"/>
    <w:rsid w:val="006D6509"/>
    <w:rsid w:val="006E2E9E"/>
    <w:rsid w:val="006E4643"/>
    <w:rsid w:val="006E4A48"/>
    <w:rsid w:val="006F56DA"/>
    <w:rsid w:val="006F6E3E"/>
    <w:rsid w:val="00703E28"/>
    <w:rsid w:val="00707A17"/>
    <w:rsid w:val="007130ED"/>
    <w:rsid w:val="007237D6"/>
    <w:rsid w:val="00724440"/>
    <w:rsid w:val="00727DC7"/>
    <w:rsid w:val="00730030"/>
    <w:rsid w:val="00732720"/>
    <w:rsid w:val="00733D27"/>
    <w:rsid w:val="007351F6"/>
    <w:rsid w:val="00737747"/>
    <w:rsid w:val="00740A87"/>
    <w:rsid w:val="00741D79"/>
    <w:rsid w:val="00743303"/>
    <w:rsid w:val="007443E9"/>
    <w:rsid w:val="007469F5"/>
    <w:rsid w:val="0074764C"/>
    <w:rsid w:val="00753C86"/>
    <w:rsid w:val="00760BF0"/>
    <w:rsid w:val="007616CF"/>
    <w:rsid w:val="00763EF7"/>
    <w:rsid w:val="00771EF7"/>
    <w:rsid w:val="00775E1B"/>
    <w:rsid w:val="007816E7"/>
    <w:rsid w:val="007922E6"/>
    <w:rsid w:val="007A3992"/>
    <w:rsid w:val="007A4858"/>
    <w:rsid w:val="007A64EE"/>
    <w:rsid w:val="007B1694"/>
    <w:rsid w:val="007B44FF"/>
    <w:rsid w:val="007B6950"/>
    <w:rsid w:val="007C0B66"/>
    <w:rsid w:val="007C20FE"/>
    <w:rsid w:val="007C3223"/>
    <w:rsid w:val="007C3764"/>
    <w:rsid w:val="007C4B27"/>
    <w:rsid w:val="007D1EDF"/>
    <w:rsid w:val="007D32E8"/>
    <w:rsid w:val="007D5AA4"/>
    <w:rsid w:val="007E13FF"/>
    <w:rsid w:val="007F37E0"/>
    <w:rsid w:val="00802A5B"/>
    <w:rsid w:val="00802B33"/>
    <w:rsid w:val="00806746"/>
    <w:rsid w:val="008130D6"/>
    <w:rsid w:val="0081339A"/>
    <w:rsid w:val="00813DE3"/>
    <w:rsid w:val="00823B23"/>
    <w:rsid w:val="00831C9D"/>
    <w:rsid w:val="008323CE"/>
    <w:rsid w:val="0083793A"/>
    <w:rsid w:val="00851093"/>
    <w:rsid w:val="00853818"/>
    <w:rsid w:val="00853E99"/>
    <w:rsid w:val="0085601D"/>
    <w:rsid w:val="00856627"/>
    <w:rsid w:val="00864A1E"/>
    <w:rsid w:val="00864A95"/>
    <w:rsid w:val="00870C19"/>
    <w:rsid w:val="00875043"/>
    <w:rsid w:val="008858C8"/>
    <w:rsid w:val="008928E3"/>
    <w:rsid w:val="00893C10"/>
    <w:rsid w:val="0089484C"/>
    <w:rsid w:val="00896EB3"/>
    <w:rsid w:val="008972E6"/>
    <w:rsid w:val="00897A38"/>
    <w:rsid w:val="00897CAF"/>
    <w:rsid w:val="008A1AEB"/>
    <w:rsid w:val="008A3780"/>
    <w:rsid w:val="008A4E21"/>
    <w:rsid w:val="008A6E01"/>
    <w:rsid w:val="008B72BB"/>
    <w:rsid w:val="008B7E41"/>
    <w:rsid w:val="008D062F"/>
    <w:rsid w:val="008D2645"/>
    <w:rsid w:val="008D2F7D"/>
    <w:rsid w:val="008D3071"/>
    <w:rsid w:val="008D7331"/>
    <w:rsid w:val="008E050B"/>
    <w:rsid w:val="008E6306"/>
    <w:rsid w:val="008E7FB9"/>
    <w:rsid w:val="008F185F"/>
    <w:rsid w:val="008F1F09"/>
    <w:rsid w:val="008F3A38"/>
    <w:rsid w:val="008F4BA4"/>
    <w:rsid w:val="0090056D"/>
    <w:rsid w:val="00900FA7"/>
    <w:rsid w:val="00904EA0"/>
    <w:rsid w:val="00906704"/>
    <w:rsid w:val="00910C43"/>
    <w:rsid w:val="00912971"/>
    <w:rsid w:val="00913D2F"/>
    <w:rsid w:val="00915C63"/>
    <w:rsid w:val="00915F00"/>
    <w:rsid w:val="00922C6E"/>
    <w:rsid w:val="00930457"/>
    <w:rsid w:val="009315CD"/>
    <w:rsid w:val="009334E3"/>
    <w:rsid w:val="009425A3"/>
    <w:rsid w:val="009464EE"/>
    <w:rsid w:val="0095060A"/>
    <w:rsid w:val="009526CE"/>
    <w:rsid w:val="009611F1"/>
    <w:rsid w:val="00965758"/>
    <w:rsid w:val="00973C53"/>
    <w:rsid w:val="00991B0A"/>
    <w:rsid w:val="0099794E"/>
    <w:rsid w:val="009A328E"/>
    <w:rsid w:val="009B5A9D"/>
    <w:rsid w:val="009B610A"/>
    <w:rsid w:val="009B6F34"/>
    <w:rsid w:val="009C0E72"/>
    <w:rsid w:val="009C42A8"/>
    <w:rsid w:val="009C5CE1"/>
    <w:rsid w:val="009C78FC"/>
    <w:rsid w:val="009D1C10"/>
    <w:rsid w:val="009D59AA"/>
    <w:rsid w:val="009D67DC"/>
    <w:rsid w:val="009D6D8D"/>
    <w:rsid w:val="009D7668"/>
    <w:rsid w:val="009E0F23"/>
    <w:rsid w:val="009E20FD"/>
    <w:rsid w:val="009E2EBE"/>
    <w:rsid w:val="009E7B3C"/>
    <w:rsid w:val="009F3C49"/>
    <w:rsid w:val="009F72D4"/>
    <w:rsid w:val="00A02EB4"/>
    <w:rsid w:val="00A13210"/>
    <w:rsid w:val="00A20A33"/>
    <w:rsid w:val="00A21056"/>
    <w:rsid w:val="00A22364"/>
    <w:rsid w:val="00A22BB0"/>
    <w:rsid w:val="00A23258"/>
    <w:rsid w:val="00A236E2"/>
    <w:rsid w:val="00A301AA"/>
    <w:rsid w:val="00A337CE"/>
    <w:rsid w:val="00A3405C"/>
    <w:rsid w:val="00A43CB5"/>
    <w:rsid w:val="00A50864"/>
    <w:rsid w:val="00A52092"/>
    <w:rsid w:val="00A52DDF"/>
    <w:rsid w:val="00A5537B"/>
    <w:rsid w:val="00A611E3"/>
    <w:rsid w:val="00A63275"/>
    <w:rsid w:val="00A65ED0"/>
    <w:rsid w:val="00A66A5A"/>
    <w:rsid w:val="00A722ED"/>
    <w:rsid w:val="00A730BA"/>
    <w:rsid w:val="00A75AED"/>
    <w:rsid w:val="00A76782"/>
    <w:rsid w:val="00A848E5"/>
    <w:rsid w:val="00A866E7"/>
    <w:rsid w:val="00A9014F"/>
    <w:rsid w:val="00AB2412"/>
    <w:rsid w:val="00AC0956"/>
    <w:rsid w:val="00AC5889"/>
    <w:rsid w:val="00AD1FA3"/>
    <w:rsid w:val="00AD3815"/>
    <w:rsid w:val="00AD72E6"/>
    <w:rsid w:val="00AE3F5D"/>
    <w:rsid w:val="00AE50F2"/>
    <w:rsid w:val="00AE7B86"/>
    <w:rsid w:val="00AF06EB"/>
    <w:rsid w:val="00AF3CF5"/>
    <w:rsid w:val="00B02028"/>
    <w:rsid w:val="00B04350"/>
    <w:rsid w:val="00B057C6"/>
    <w:rsid w:val="00B133B9"/>
    <w:rsid w:val="00B138D3"/>
    <w:rsid w:val="00B149FA"/>
    <w:rsid w:val="00B176F1"/>
    <w:rsid w:val="00B21983"/>
    <w:rsid w:val="00B23B9D"/>
    <w:rsid w:val="00B245A3"/>
    <w:rsid w:val="00B246EF"/>
    <w:rsid w:val="00B25BF8"/>
    <w:rsid w:val="00B26CA5"/>
    <w:rsid w:val="00B34199"/>
    <w:rsid w:val="00B341AE"/>
    <w:rsid w:val="00B37398"/>
    <w:rsid w:val="00B41D26"/>
    <w:rsid w:val="00B53EB9"/>
    <w:rsid w:val="00B558AA"/>
    <w:rsid w:val="00B605A0"/>
    <w:rsid w:val="00B66678"/>
    <w:rsid w:val="00B71BD3"/>
    <w:rsid w:val="00B7239C"/>
    <w:rsid w:val="00B74650"/>
    <w:rsid w:val="00B763F2"/>
    <w:rsid w:val="00B76E47"/>
    <w:rsid w:val="00B925E3"/>
    <w:rsid w:val="00B93A50"/>
    <w:rsid w:val="00B9680F"/>
    <w:rsid w:val="00BA0EBD"/>
    <w:rsid w:val="00BA12B8"/>
    <w:rsid w:val="00BA576E"/>
    <w:rsid w:val="00BA5F1B"/>
    <w:rsid w:val="00BA6A81"/>
    <w:rsid w:val="00BA738C"/>
    <w:rsid w:val="00BB1615"/>
    <w:rsid w:val="00BB583E"/>
    <w:rsid w:val="00BC0139"/>
    <w:rsid w:val="00BC4B97"/>
    <w:rsid w:val="00BC5743"/>
    <w:rsid w:val="00BC5846"/>
    <w:rsid w:val="00BD452D"/>
    <w:rsid w:val="00BE5970"/>
    <w:rsid w:val="00BF39B4"/>
    <w:rsid w:val="00BF3C11"/>
    <w:rsid w:val="00C04B49"/>
    <w:rsid w:val="00C07801"/>
    <w:rsid w:val="00C1293C"/>
    <w:rsid w:val="00C1406F"/>
    <w:rsid w:val="00C16F93"/>
    <w:rsid w:val="00C205F9"/>
    <w:rsid w:val="00C226E9"/>
    <w:rsid w:val="00C25B34"/>
    <w:rsid w:val="00C347B9"/>
    <w:rsid w:val="00C35CC4"/>
    <w:rsid w:val="00C420B9"/>
    <w:rsid w:val="00C50228"/>
    <w:rsid w:val="00C51BCB"/>
    <w:rsid w:val="00C51F61"/>
    <w:rsid w:val="00C52CB7"/>
    <w:rsid w:val="00C55E33"/>
    <w:rsid w:val="00C60566"/>
    <w:rsid w:val="00C61B0B"/>
    <w:rsid w:val="00C705C4"/>
    <w:rsid w:val="00C71A77"/>
    <w:rsid w:val="00C720C6"/>
    <w:rsid w:val="00C72373"/>
    <w:rsid w:val="00C73A6B"/>
    <w:rsid w:val="00C765C8"/>
    <w:rsid w:val="00C77547"/>
    <w:rsid w:val="00C77B57"/>
    <w:rsid w:val="00C82DCF"/>
    <w:rsid w:val="00C83ACE"/>
    <w:rsid w:val="00C86D36"/>
    <w:rsid w:val="00CA1B28"/>
    <w:rsid w:val="00CA2679"/>
    <w:rsid w:val="00CA2C0B"/>
    <w:rsid w:val="00CA70F7"/>
    <w:rsid w:val="00CB04C1"/>
    <w:rsid w:val="00CB214E"/>
    <w:rsid w:val="00CB4779"/>
    <w:rsid w:val="00CB57EC"/>
    <w:rsid w:val="00CB59D0"/>
    <w:rsid w:val="00CB772D"/>
    <w:rsid w:val="00CC3C69"/>
    <w:rsid w:val="00CC41FA"/>
    <w:rsid w:val="00CC76A7"/>
    <w:rsid w:val="00CC79B6"/>
    <w:rsid w:val="00CD4EBB"/>
    <w:rsid w:val="00CE0B0C"/>
    <w:rsid w:val="00CF182C"/>
    <w:rsid w:val="00CF1C82"/>
    <w:rsid w:val="00CF2ECA"/>
    <w:rsid w:val="00CF4C52"/>
    <w:rsid w:val="00CF6659"/>
    <w:rsid w:val="00D06810"/>
    <w:rsid w:val="00D1515D"/>
    <w:rsid w:val="00D3198C"/>
    <w:rsid w:val="00D335AF"/>
    <w:rsid w:val="00D346D7"/>
    <w:rsid w:val="00D3726F"/>
    <w:rsid w:val="00D44743"/>
    <w:rsid w:val="00D45EFA"/>
    <w:rsid w:val="00D479D2"/>
    <w:rsid w:val="00D5008E"/>
    <w:rsid w:val="00D50CA5"/>
    <w:rsid w:val="00D5490D"/>
    <w:rsid w:val="00D55F64"/>
    <w:rsid w:val="00D61316"/>
    <w:rsid w:val="00D64F25"/>
    <w:rsid w:val="00D66DCD"/>
    <w:rsid w:val="00D67779"/>
    <w:rsid w:val="00D71DB2"/>
    <w:rsid w:val="00D756F5"/>
    <w:rsid w:val="00D77732"/>
    <w:rsid w:val="00D859D7"/>
    <w:rsid w:val="00D86C72"/>
    <w:rsid w:val="00D8778F"/>
    <w:rsid w:val="00D92793"/>
    <w:rsid w:val="00D972E6"/>
    <w:rsid w:val="00DA215B"/>
    <w:rsid w:val="00DA3DB3"/>
    <w:rsid w:val="00DB0182"/>
    <w:rsid w:val="00DB5FBA"/>
    <w:rsid w:val="00DB782A"/>
    <w:rsid w:val="00DB7FEA"/>
    <w:rsid w:val="00DC0FC2"/>
    <w:rsid w:val="00DC3E45"/>
    <w:rsid w:val="00DD1D71"/>
    <w:rsid w:val="00DE0DFB"/>
    <w:rsid w:val="00DE3B5B"/>
    <w:rsid w:val="00DE53A9"/>
    <w:rsid w:val="00DF00F7"/>
    <w:rsid w:val="00DF1E84"/>
    <w:rsid w:val="00DF36A5"/>
    <w:rsid w:val="00DF52F5"/>
    <w:rsid w:val="00DF5534"/>
    <w:rsid w:val="00DF5BB0"/>
    <w:rsid w:val="00DF6093"/>
    <w:rsid w:val="00DF7D06"/>
    <w:rsid w:val="00E029FB"/>
    <w:rsid w:val="00E04C12"/>
    <w:rsid w:val="00E07925"/>
    <w:rsid w:val="00E11451"/>
    <w:rsid w:val="00E116C8"/>
    <w:rsid w:val="00E12B72"/>
    <w:rsid w:val="00E133BA"/>
    <w:rsid w:val="00E13F8E"/>
    <w:rsid w:val="00E20979"/>
    <w:rsid w:val="00E22790"/>
    <w:rsid w:val="00E24062"/>
    <w:rsid w:val="00E27478"/>
    <w:rsid w:val="00E31129"/>
    <w:rsid w:val="00E349C4"/>
    <w:rsid w:val="00E350F0"/>
    <w:rsid w:val="00E44897"/>
    <w:rsid w:val="00E550E3"/>
    <w:rsid w:val="00E56A7C"/>
    <w:rsid w:val="00E63002"/>
    <w:rsid w:val="00E6358B"/>
    <w:rsid w:val="00E65333"/>
    <w:rsid w:val="00E668A5"/>
    <w:rsid w:val="00E7663C"/>
    <w:rsid w:val="00E80022"/>
    <w:rsid w:val="00E814EA"/>
    <w:rsid w:val="00E82CEE"/>
    <w:rsid w:val="00E839AF"/>
    <w:rsid w:val="00E83F8F"/>
    <w:rsid w:val="00E9116D"/>
    <w:rsid w:val="00E9333A"/>
    <w:rsid w:val="00E93DED"/>
    <w:rsid w:val="00EA3030"/>
    <w:rsid w:val="00EA36C5"/>
    <w:rsid w:val="00EA4E01"/>
    <w:rsid w:val="00EB055B"/>
    <w:rsid w:val="00EB20F7"/>
    <w:rsid w:val="00EB3AE3"/>
    <w:rsid w:val="00EB4499"/>
    <w:rsid w:val="00EB6E74"/>
    <w:rsid w:val="00EC43DB"/>
    <w:rsid w:val="00EC45EC"/>
    <w:rsid w:val="00EC469A"/>
    <w:rsid w:val="00ED0C7F"/>
    <w:rsid w:val="00ED334A"/>
    <w:rsid w:val="00ED4CD8"/>
    <w:rsid w:val="00ED67AA"/>
    <w:rsid w:val="00EE325E"/>
    <w:rsid w:val="00EE4042"/>
    <w:rsid w:val="00EE766C"/>
    <w:rsid w:val="00EE7E50"/>
    <w:rsid w:val="00EF12C4"/>
    <w:rsid w:val="00EF2F69"/>
    <w:rsid w:val="00EF314B"/>
    <w:rsid w:val="00EF4800"/>
    <w:rsid w:val="00EF523C"/>
    <w:rsid w:val="00EF74F0"/>
    <w:rsid w:val="00F02CF0"/>
    <w:rsid w:val="00F0365C"/>
    <w:rsid w:val="00F04F63"/>
    <w:rsid w:val="00F07FAE"/>
    <w:rsid w:val="00F13CF1"/>
    <w:rsid w:val="00F171FB"/>
    <w:rsid w:val="00F21E09"/>
    <w:rsid w:val="00F23C4C"/>
    <w:rsid w:val="00F23EA6"/>
    <w:rsid w:val="00F25710"/>
    <w:rsid w:val="00F27DE3"/>
    <w:rsid w:val="00F27FA9"/>
    <w:rsid w:val="00F335F2"/>
    <w:rsid w:val="00F34283"/>
    <w:rsid w:val="00F369DB"/>
    <w:rsid w:val="00F36BB9"/>
    <w:rsid w:val="00F4759C"/>
    <w:rsid w:val="00F5371D"/>
    <w:rsid w:val="00F537B5"/>
    <w:rsid w:val="00F55E07"/>
    <w:rsid w:val="00F56574"/>
    <w:rsid w:val="00F617BC"/>
    <w:rsid w:val="00F63B06"/>
    <w:rsid w:val="00F72B38"/>
    <w:rsid w:val="00F74930"/>
    <w:rsid w:val="00F82B88"/>
    <w:rsid w:val="00F84A1F"/>
    <w:rsid w:val="00F9000B"/>
    <w:rsid w:val="00F90D56"/>
    <w:rsid w:val="00F910D0"/>
    <w:rsid w:val="00FA4D09"/>
    <w:rsid w:val="00FA77A6"/>
    <w:rsid w:val="00FB1AED"/>
    <w:rsid w:val="00FB3AD9"/>
    <w:rsid w:val="00FB75B8"/>
    <w:rsid w:val="00FB7E09"/>
    <w:rsid w:val="00FC30BB"/>
    <w:rsid w:val="00FC4118"/>
    <w:rsid w:val="00FC4DF6"/>
    <w:rsid w:val="00FC569A"/>
    <w:rsid w:val="00FC7BBB"/>
    <w:rsid w:val="00FD0C4A"/>
    <w:rsid w:val="00FD183D"/>
    <w:rsid w:val="00FD19E5"/>
    <w:rsid w:val="00FD203F"/>
    <w:rsid w:val="00FD5589"/>
    <w:rsid w:val="00FD65F8"/>
    <w:rsid w:val="00FE0AD1"/>
    <w:rsid w:val="00FE7546"/>
    <w:rsid w:val="00FF047F"/>
    <w:rsid w:val="00FF4622"/>
  </w:rsids>
  <m:mathPr>
    <m:mathFont m:val="Cambria Math"/>
    <m:brkBin m:val="before"/>
    <m:brkBinSub m:val="--"/>
    <m:smallFrac m:val="0"/>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9594F57"/>
  <w15:docId w15:val="{5C294B56-4AA6-4BD2-9550-9B783BF90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5FA6"/>
    <w:pPr>
      <w:spacing w:after="0" w:line="240" w:lineRule="auto"/>
    </w:pPr>
    <w:rPr>
      <w:rFonts w:ascii="Times New Roman" w:eastAsia="Times New Roman" w:hAnsi="Times New Roman" w:cs="Times New Roman"/>
      <w:sz w:val="24"/>
      <w:szCs w:val="24"/>
      <w:lang w:eastAsia="it-IT"/>
    </w:rPr>
  </w:style>
  <w:style w:type="paragraph" w:styleId="Titolo7">
    <w:name w:val="heading 7"/>
    <w:basedOn w:val="Normale"/>
    <w:next w:val="Normale"/>
    <w:link w:val="Titolo7Carattere"/>
    <w:uiPriority w:val="99"/>
    <w:unhideWhenUsed/>
    <w:qFormat/>
    <w:rsid w:val="00E24062"/>
    <w:pPr>
      <w:spacing w:before="240" w:after="60"/>
      <w:jc w:val="both"/>
      <w:outlineLvl w:val="6"/>
    </w:pPr>
    <w:rPr>
      <w:rFonts w:ascii="Calibri" w:hAnsi="Calibri" w:cstheme="minorHAns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6D3C3D"/>
    <w:pPr>
      <w:spacing w:after="0" w:line="240" w:lineRule="auto"/>
    </w:pPr>
    <w:rPr>
      <w:rFonts w:ascii="Calibri" w:hAnsi="Calibri" w:cs="Times New Roman"/>
      <w:b/>
      <w:bCs/>
      <w: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D3C3D"/>
    <w:pPr>
      <w:ind w:left="720"/>
      <w:contextualSpacing/>
    </w:pPr>
  </w:style>
  <w:style w:type="paragraph" w:customStyle="1" w:styleId="Paragrafoelenco1">
    <w:name w:val="Paragrafo elenco1"/>
    <w:basedOn w:val="Normale"/>
    <w:uiPriority w:val="99"/>
    <w:rsid w:val="006D3C3D"/>
    <w:pPr>
      <w:ind w:left="720"/>
    </w:pPr>
    <w:rPr>
      <w:rFonts w:eastAsia="Calibri"/>
    </w:rPr>
  </w:style>
  <w:style w:type="paragraph" w:customStyle="1" w:styleId="testo2">
    <w:name w:val="testo2"/>
    <w:basedOn w:val="Normale"/>
    <w:uiPriority w:val="99"/>
    <w:rsid w:val="006D3C3D"/>
    <w:pPr>
      <w:widowControl w:val="0"/>
      <w:spacing w:before="120" w:line="360" w:lineRule="auto"/>
    </w:pPr>
  </w:style>
  <w:style w:type="paragraph" w:styleId="Intestazione">
    <w:name w:val="header"/>
    <w:basedOn w:val="Normale"/>
    <w:link w:val="IntestazioneCarattere"/>
    <w:uiPriority w:val="99"/>
    <w:unhideWhenUsed/>
    <w:rsid w:val="00AE50F2"/>
    <w:pPr>
      <w:tabs>
        <w:tab w:val="center" w:pos="4819"/>
        <w:tab w:val="right" w:pos="9638"/>
      </w:tabs>
    </w:pPr>
  </w:style>
  <w:style w:type="character" w:customStyle="1" w:styleId="IntestazioneCarattere">
    <w:name w:val="Intestazione Carattere"/>
    <w:basedOn w:val="Carpredefinitoparagrafo"/>
    <w:link w:val="Intestazione"/>
    <w:uiPriority w:val="99"/>
    <w:rsid w:val="00AE50F2"/>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AE50F2"/>
    <w:pPr>
      <w:tabs>
        <w:tab w:val="center" w:pos="4819"/>
        <w:tab w:val="right" w:pos="9638"/>
      </w:tabs>
    </w:pPr>
  </w:style>
  <w:style w:type="character" w:customStyle="1" w:styleId="PidipaginaCarattere">
    <w:name w:val="Piè di pagina Carattere"/>
    <w:basedOn w:val="Carpredefinitoparagrafo"/>
    <w:link w:val="Pidipagina"/>
    <w:uiPriority w:val="99"/>
    <w:rsid w:val="00AE50F2"/>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F63B0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63B06"/>
    <w:rPr>
      <w:rFonts w:ascii="Tahoma" w:eastAsia="Times New Roman" w:hAnsi="Tahoma" w:cs="Tahoma"/>
      <w:sz w:val="16"/>
      <w:szCs w:val="16"/>
      <w:lang w:eastAsia="it-IT"/>
    </w:rPr>
  </w:style>
  <w:style w:type="paragraph" w:customStyle="1" w:styleId="Default">
    <w:name w:val="Default"/>
    <w:uiPriority w:val="99"/>
    <w:rsid w:val="00575691"/>
    <w:pPr>
      <w:autoSpaceDE w:val="0"/>
      <w:autoSpaceDN w:val="0"/>
      <w:adjustRightInd w:val="0"/>
      <w:spacing w:after="0" w:line="240" w:lineRule="auto"/>
    </w:pPr>
    <w:rPr>
      <w:rFonts w:ascii="Calibri" w:hAnsi="Calibri" w:cs="Calibri"/>
      <w:color w:val="000000"/>
      <w:sz w:val="24"/>
      <w:szCs w:val="24"/>
    </w:rPr>
  </w:style>
  <w:style w:type="paragraph" w:styleId="Revisione">
    <w:name w:val="Revision"/>
    <w:hidden/>
    <w:uiPriority w:val="99"/>
    <w:semiHidden/>
    <w:rsid w:val="00FC4DF6"/>
    <w:pPr>
      <w:spacing w:after="0" w:line="240" w:lineRule="auto"/>
    </w:pPr>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uiPriority w:val="99"/>
    <w:semiHidden/>
    <w:unhideWhenUsed/>
    <w:rsid w:val="0068237F"/>
    <w:rPr>
      <w:sz w:val="20"/>
    </w:rPr>
  </w:style>
  <w:style w:type="character" w:customStyle="1" w:styleId="TestonotaapidipaginaCarattere">
    <w:name w:val="Testo nota a piè di pagina Carattere"/>
    <w:basedOn w:val="Carpredefinitoparagrafo"/>
    <w:link w:val="Testonotaapidipagina"/>
    <w:uiPriority w:val="99"/>
    <w:semiHidden/>
    <w:rsid w:val="0068237F"/>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68237F"/>
    <w:rPr>
      <w:vertAlign w:val="superscript"/>
    </w:rPr>
  </w:style>
  <w:style w:type="paragraph" w:styleId="NormaleWeb">
    <w:name w:val="Normal (Web)"/>
    <w:basedOn w:val="Normale"/>
    <w:uiPriority w:val="99"/>
    <w:unhideWhenUsed/>
    <w:rsid w:val="00775E1B"/>
    <w:pPr>
      <w:spacing w:before="100" w:beforeAutospacing="1" w:after="100" w:afterAutospacing="1"/>
    </w:pPr>
  </w:style>
  <w:style w:type="character" w:customStyle="1" w:styleId="Titolo7Carattere">
    <w:name w:val="Titolo 7 Carattere"/>
    <w:basedOn w:val="Carpredefinitoparagrafo"/>
    <w:link w:val="Titolo7"/>
    <w:uiPriority w:val="99"/>
    <w:rsid w:val="00E24062"/>
    <w:rPr>
      <w:rFonts w:ascii="Calibri" w:eastAsia="Times New Roman" w:hAnsi="Calibri"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668221">
      <w:bodyDiv w:val="1"/>
      <w:marLeft w:val="0"/>
      <w:marRight w:val="0"/>
      <w:marTop w:val="0"/>
      <w:marBottom w:val="0"/>
      <w:divBdr>
        <w:top w:val="none" w:sz="0" w:space="0" w:color="auto"/>
        <w:left w:val="none" w:sz="0" w:space="0" w:color="auto"/>
        <w:bottom w:val="none" w:sz="0" w:space="0" w:color="auto"/>
        <w:right w:val="none" w:sz="0" w:space="0" w:color="auto"/>
      </w:divBdr>
    </w:div>
    <w:div w:id="379549862">
      <w:bodyDiv w:val="1"/>
      <w:marLeft w:val="0"/>
      <w:marRight w:val="0"/>
      <w:marTop w:val="0"/>
      <w:marBottom w:val="0"/>
      <w:divBdr>
        <w:top w:val="none" w:sz="0" w:space="0" w:color="auto"/>
        <w:left w:val="none" w:sz="0" w:space="0" w:color="auto"/>
        <w:bottom w:val="none" w:sz="0" w:space="0" w:color="auto"/>
        <w:right w:val="none" w:sz="0" w:space="0" w:color="auto"/>
      </w:divBdr>
    </w:div>
    <w:div w:id="491220476">
      <w:bodyDiv w:val="1"/>
      <w:marLeft w:val="0"/>
      <w:marRight w:val="0"/>
      <w:marTop w:val="0"/>
      <w:marBottom w:val="0"/>
      <w:divBdr>
        <w:top w:val="none" w:sz="0" w:space="0" w:color="auto"/>
        <w:left w:val="none" w:sz="0" w:space="0" w:color="auto"/>
        <w:bottom w:val="none" w:sz="0" w:space="0" w:color="auto"/>
        <w:right w:val="none" w:sz="0" w:space="0" w:color="auto"/>
      </w:divBdr>
    </w:div>
    <w:div w:id="562714191">
      <w:bodyDiv w:val="1"/>
      <w:marLeft w:val="0"/>
      <w:marRight w:val="0"/>
      <w:marTop w:val="0"/>
      <w:marBottom w:val="0"/>
      <w:divBdr>
        <w:top w:val="none" w:sz="0" w:space="0" w:color="auto"/>
        <w:left w:val="none" w:sz="0" w:space="0" w:color="auto"/>
        <w:bottom w:val="none" w:sz="0" w:space="0" w:color="auto"/>
        <w:right w:val="none" w:sz="0" w:space="0" w:color="auto"/>
      </w:divBdr>
    </w:div>
    <w:div w:id="584846817">
      <w:bodyDiv w:val="1"/>
      <w:marLeft w:val="0"/>
      <w:marRight w:val="0"/>
      <w:marTop w:val="0"/>
      <w:marBottom w:val="0"/>
      <w:divBdr>
        <w:top w:val="none" w:sz="0" w:space="0" w:color="auto"/>
        <w:left w:val="none" w:sz="0" w:space="0" w:color="auto"/>
        <w:bottom w:val="none" w:sz="0" w:space="0" w:color="auto"/>
        <w:right w:val="none" w:sz="0" w:space="0" w:color="auto"/>
      </w:divBdr>
    </w:div>
    <w:div w:id="585966754">
      <w:bodyDiv w:val="1"/>
      <w:marLeft w:val="0"/>
      <w:marRight w:val="0"/>
      <w:marTop w:val="0"/>
      <w:marBottom w:val="0"/>
      <w:divBdr>
        <w:top w:val="none" w:sz="0" w:space="0" w:color="auto"/>
        <w:left w:val="none" w:sz="0" w:space="0" w:color="auto"/>
        <w:bottom w:val="none" w:sz="0" w:space="0" w:color="auto"/>
        <w:right w:val="none" w:sz="0" w:space="0" w:color="auto"/>
      </w:divBdr>
    </w:div>
    <w:div w:id="597451133">
      <w:bodyDiv w:val="1"/>
      <w:marLeft w:val="0"/>
      <w:marRight w:val="0"/>
      <w:marTop w:val="0"/>
      <w:marBottom w:val="0"/>
      <w:divBdr>
        <w:top w:val="none" w:sz="0" w:space="0" w:color="auto"/>
        <w:left w:val="none" w:sz="0" w:space="0" w:color="auto"/>
        <w:bottom w:val="none" w:sz="0" w:space="0" w:color="auto"/>
        <w:right w:val="none" w:sz="0" w:space="0" w:color="auto"/>
      </w:divBdr>
    </w:div>
    <w:div w:id="717629182">
      <w:bodyDiv w:val="1"/>
      <w:marLeft w:val="0"/>
      <w:marRight w:val="0"/>
      <w:marTop w:val="0"/>
      <w:marBottom w:val="0"/>
      <w:divBdr>
        <w:top w:val="none" w:sz="0" w:space="0" w:color="auto"/>
        <w:left w:val="none" w:sz="0" w:space="0" w:color="auto"/>
        <w:bottom w:val="none" w:sz="0" w:space="0" w:color="auto"/>
        <w:right w:val="none" w:sz="0" w:space="0" w:color="auto"/>
      </w:divBdr>
    </w:div>
    <w:div w:id="757212766">
      <w:bodyDiv w:val="1"/>
      <w:marLeft w:val="0"/>
      <w:marRight w:val="0"/>
      <w:marTop w:val="0"/>
      <w:marBottom w:val="0"/>
      <w:divBdr>
        <w:top w:val="none" w:sz="0" w:space="0" w:color="auto"/>
        <w:left w:val="none" w:sz="0" w:space="0" w:color="auto"/>
        <w:bottom w:val="none" w:sz="0" w:space="0" w:color="auto"/>
        <w:right w:val="none" w:sz="0" w:space="0" w:color="auto"/>
      </w:divBdr>
    </w:div>
    <w:div w:id="771055119">
      <w:bodyDiv w:val="1"/>
      <w:marLeft w:val="0"/>
      <w:marRight w:val="0"/>
      <w:marTop w:val="0"/>
      <w:marBottom w:val="0"/>
      <w:divBdr>
        <w:top w:val="none" w:sz="0" w:space="0" w:color="auto"/>
        <w:left w:val="none" w:sz="0" w:space="0" w:color="auto"/>
        <w:bottom w:val="none" w:sz="0" w:space="0" w:color="auto"/>
        <w:right w:val="none" w:sz="0" w:space="0" w:color="auto"/>
      </w:divBdr>
    </w:div>
    <w:div w:id="893201504">
      <w:bodyDiv w:val="1"/>
      <w:marLeft w:val="0"/>
      <w:marRight w:val="0"/>
      <w:marTop w:val="0"/>
      <w:marBottom w:val="0"/>
      <w:divBdr>
        <w:top w:val="none" w:sz="0" w:space="0" w:color="auto"/>
        <w:left w:val="none" w:sz="0" w:space="0" w:color="auto"/>
        <w:bottom w:val="none" w:sz="0" w:space="0" w:color="auto"/>
        <w:right w:val="none" w:sz="0" w:space="0" w:color="auto"/>
      </w:divBdr>
    </w:div>
    <w:div w:id="935551748">
      <w:bodyDiv w:val="1"/>
      <w:marLeft w:val="0"/>
      <w:marRight w:val="0"/>
      <w:marTop w:val="0"/>
      <w:marBottom w:val="0"/>
      <w:divBdr>
        <w:top w:val="none" w:sz="0" w:space="0" w:color="auto"/>
        <w:left w:val="none" w:sz="0" w:space="0" w:color="auto"/>
        <w:bottom w:val="none" w:sz="0" w:space="0" w:color="auto"/>
        <w:right w:val="none" w:sz="0" w:space="0" w:color="auto"/>
      </w:divBdr>
    </w:div>
    <w:div w:id="1016998825">
      <w:bodyDiv w:val="1"/>
      <w:marLeft w:val="0"/>
      <w:marRight w:val="0"/>
      <w:marTop w:val="0"/>
      <w:marBottom w:val="0"/>
      <w:divBdr>
        <w:top w:val="none" w:sz="0" w:space="0" w:color="auto"/>
        <w:left w:val="none" w:sz="0" w:space="0" w:color="auto"/>
        <w:bottom w:val="none" w:sz="0" w:space="0" w:color="auto"/>
        <w:right w:val="none" w:sz="0" w:space="0" w:color="auto"/>
      </w:divBdr>
    </w:div>
    <w:div w:id="1117024108">
      <w:bodyDiv w:val="1"/>
      <w:marLeft w:val="0"/>
      <w:marRight w:val="0"/>
      <w:marTop w:val="0"/>
      <w:marBottom w:val="0"/>
      <w:divBdr>
        <w:top w:val="none" w:sz="0" w:space="0" w:color="auto"/>
        <w:left w:val="none" w:sz="0" w:space="0" w:color="auto"/>
        <w:bottom w:val="none" w:sz="0" w:space="0" w:color="auto"/>
        <w:right w:val="none" w:sz="0" w:space="0" w:color="auto"/>
      </w:divBdr>
    </w:div>
    <w:div w:id="1367562018">
      <w:bodyDiv w:val="1"/>
      <w:marLeft w:val="0"/>
      <w:marRight w:val="0"/>
      <w:marTop w:val="0"/>
      <w:marBottom w:val="0"/>
      <w:divBdr>
        <w:top w:val="none" w:sz="0" w:space="0" w:color="auto"/>
        <w:left w:val="none" w:sz="0" w:space="0" w:color="auto"/>
        <w:bottom w:val="none" w:sz="0" w:space="0" w:color="auto"/>
        <w:right w:val="none" w:sz="0" w:space="0" w:color="auto"/>
      </w:divBdr>
    </w:div>
    <w:div w:id="1476336424">
      <w:bodyDiv w:val="1"/>
      <w:marLeft w:val="0"/>
      <w:marRight w:val="0"/>
      <w:marTop w:val="0"/>
      <w:marBottom w:val="0"/>
      <w:divBdr>
        <w:top w:val="none" w:sz="0" w:space="0" w:color="auto"/>
        <w:left w:val="none" w:sz="0" w:space="0" w:color="auto"/>
        <w:bottom w:val="none" w:sz="0" w:space="0" w:color="auto"/>
        <w:right w:val="none" w:sz="0" w:space="0" w:color="auto"/>
      </w:divBdr>
      <w:divsChild>
        <w:div w:id="1313177061">
          <w:marLeft w:val="0"/>
          <w:marRight w:val="0"/>
          <w:marTop w:val="0"/>
          <w:marBottom w:val="0"/>
          <w:divBdr>
            <w:top w:val="none" w:sz="0" w:space="0" w:color="auto"/>
            <w:left w:val="none" w:sz="0" w:space="0" w:color="auto"/>
            <w:bottom w:val="none" w:sz="0" w:space="0" w:color="auto"/>
            <w:right w:val="none" w:sz="0" w:space="0" w:color="auto"/>
          </w:divBdr>
          <w:divsChild>
            <w:div w:id="360978642">
              <w:marLeft w:val="0"/>
              <w:marRight w:val="0"/>
              <w:marTop w:val="0"/>
              <w:marBottom w:val="0"/>
              <w:divBdr>
                <w:top w:val="none" w:sz="0" w:space="0" w:color="auto"/>
                <w:left w:val="none" w:sz="0" w:space="0" w:color="auto"/>
                <w:bottom w:val="none" w:sz="0" w:space="0" w:color="auto"/>
                <w:right w:val="none" w:sz="0" w:space="0" w:color="auto"/>
              </w:divBdr>
              <w:divsChild>
                <w:div w:id="55082347">
                  <w:marLeft w:val="0"/>
                  <w:marRight w:val="0"/>
                  <w:marTop w:val="0"/>
                  <w:marBottom w:val="0"/>
                  <w:divBdr>
                    <w:top w:val="none" w:sz="0" w:space="0" w:color="auto"/>
                    <w:left w:val="none" w:sz="0" w:space="0" w:color="auto"/>
                    <w:bottom w:val="none" w:sz="0" w:space="0" w:color="auto"/>
                    <w:right w:val="none" w:sz="0" w:space="0" w:color="auto"/>
                  </w:divBdr>
                  <w:divsChild>
                    <w:div w:id="215822586">
                      <w:marLeft w:val="0"/>
                      <w:marRight w:val="0"/>
                      <w:marTop w:val="0"/>
                      <w:marBottom w:val="0"/>
                      <w:divBdr>
                        <w:top w:val="none" w:sz="0" w:space="0" w:color="auto"/>
                        <w:left w:val="none" w:sz="0" w:space="0" w:color="auto"/>
                        <w:bottom w:val="none" w:sz="0" w:space="0" w:color="auto"/>
                        <w:right w:val="none" w:sz="0" w:space="0" w:color="auto"/>
                      </w:divBdr>
                      <w:divsChild>
                        <w:div w:id="1174103761">
                          <w:marLeft w:val="165"/>
                          <w:marRight w:val="0"/>
                          <w:marTop w:val="0"/>
                          <w:marBottom w:val="0"/>
                          <w:divBdr>
                            <w:top w:val="none" w:sz="0" w:space="0" w:color="auto"/>
                            <w:left w:val="single" w:sz="6" w:space="8" w:color="999999"/>
                            <w:bottom w:val="none" w:sz="0" w:space="0" w:color="auto"/>
                            <w:right w:val="none" w:sz="0" w:space="0" w:color="auto"/>
                          </w:divBdr>
                          <w:divsChild>
                            <w:div w:id="1696273661">
                              <w:marLeft w:val="0"/>
                              <w:marRight w:val="0"/>
                              <w:marTop w:val="0"/>
                              <w:marBottom w:val="0"/>
                              <w:divBdr>
                                <w:top w:val="none" w:sz="0" w:space="0" w:color="auto"/>
                                <w:left w:val="none" w:sz="0" w:space="0" w:color="auto"/>
                                <w:bottom w:val="none" w:sz="0" w:space="0" w:color="auto"/>
                                <w:right w:val="none" w:sz="0" w:space="0" w:color="auto"/>
                              </w:divBdr>
                              <w:divsChild>
                                <w:div w:id="1341086062">
                                  <w:marLeft w:val="0"/>
                                  <w:marRight w:val="0"/>
                                  <w:marTop w:val="0"/>
                                  <w:marBottom w:val="0"/>
                                  <w:divBdr>
                                    <w:top w:val="none" w:sz="0" w:space="0" w:color="auto"/>
                                    <w:left w:val="none" w:sz="0" w:space="0" w:color="auto"/>
                                    <w:bottom w:val="none" w:sz="0" w:space="0" w:color="auto"/>
                                    <w:right w:val="none" w:sz="0" w:space="0" w:color="auto"/>
                                  </w:divBdr>
                                  <w:divsChild>
                                    <w:div w:id="35153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1707510">
      <w:bodyDiv w:val="1"/>
      <w:marLeft w:val="0"/>
      <w:marRight w:val="0"/>
      <w:marTop w:val="0"/>
      <w:marBottom w:val="0"/>
      <w:divBdr>
        <w:top w:val="none" w:sz="0" w:space="0" w:color="auto"/>
        <w:left w:val="none" w:sz="0" w:space="0" w:color="auto"/>
        <w:bottom w:val="none" w:sz="0" w:space="0" w:color="auto"/>
        <w:right w:val="none" w:sz="0" w:space="0" w:color="auto"/>
      </w:divBdr>
    </w:div>
    <w:div w:id="1681227415">
      <w:bodyDiv w:val="1"/>
      <w:marLeft w:val="0"/>
      <w:marRight w:val="0"/>
      <w:marTop w:val="0"/>
      <w:marBottom w:val="0"/>
      <w:divBdr>
        <w:top w:val="none" w:sz="0" w:space="0" w:color="auto"/>
        <w:left w:val="none" w:sz="0" w:space="0" w:color="auto"/>
        <w:bottom w:val="none" w:sz="0" w:space="0" w:color="auto"/>
        <w:right w:val="none" w:sz="0" w:space="0" w:color="auto"/>
      </w:divBdr>
    </w:div>
    <w:div w:id="1712068703">
      <w:bodyDiv w:val="1"/>
      <w:marLeft w:val="0"/>
      <w:marRight w:val="0"/>
      <w:marTop w:val="0"/>
      <w:marBottom w:val="0"/>
      <w:divBdr>
        <w:top w:val="none" w:sz="0" w:space="0" w:color="auto"/>
        <w:left w:val="none" w:sz="0" w:space="0" w:color="auto"/>
        <w:bottom w:val="none" w:sz="0" w:space="0" w:color="auto"/>
        <w:right w:val="none" w:sz="0" w:space="0" w:color="auto"/>
      </w:divBdr>
    </w:div>
    <w:div w:id="1902592278">
      <w:bodyDiv w:val="1"/>
      <w:marLeft w:val="0"/>
      <w:marRight w:val="0"/>
      <w:marTop w:val="0"/>
      <w:marBottom w:val="0"/>
      <w:divBdr>
        <w:top w:val="none" w:sz="0" w:space="0" w:color="auto"/>
        <w:left w:val="none" w:sz="0" w:space="0" w:color="auto"/>
        <w:bottom w:val="none" w:sz="0" w:space="0" w:color="auto"/>
        <w:right w:val="none" w:sz="0" w:space="0" w:color="auto"/>
      </w:divBdr>
    </w:div>
    <w:div w:id="1919291746">
      <w:bodyDiv w:val="1"/>
      <w:marLeft w:val="0"/>
      <w:marRight w:val="0"/>
      <w:marTop w:val="0"/>
      <w:marBottom w:val="0"/>
      <w:divBdr>
        <w:top w:val="none" w:sz="0" w:space="0" w:color="auto"/>
        <w:left w:val="none" w:sz="0" w:space="0" w:color="auto"/>
        <w:bottom w:val="none" w:sz="0" w:space="0" w:color="auto"/>
        <w:right w:val="none" w:sz="0" w:space="0" w:color="auto"/>
      </w:divBdr>
    </w:div>
    <w:div w:id="2052874344">
      <w:bodyDiv w:val="1"/>
      <w:marLeft w:val="0"/>
      <w:marRight w:val="0"/>
      <w:marTop w:val="0"/>
      <w:marBottom w:val="0"/>
      <w:divBdr>
        <w:top w:val="none" w:sz="0" w:space="0" w:color="auto"/>
        <w:left w:val="none" w:sz="0" w:space="0" w:color="auto"/>
        <w:bottom w:val="none" w:sz="0" w:space="0" w:color="auto"/>
        <w:right w:val="none" w:sz="0" w:space="0" w:color="auto"/>
      </w:divBdr>
    </w:div>
    <w:div w:id="2093771933">
      <w:bodyDiv w:val="1"/>
      <w:marLeft w:val="0"/>
      <w:marRight w:val="0"/>
      <w:marTop w:val="0"/>
      <w:marBottom w:val="0"/>
      <w:divBdr>
        <w:top w:val="none" w:sz="0" w:space="0" w:color="auto"/>
        <w:left w:val="none" w:sz="0" w:space="0" w:color="auto"/>
        <w:bottom w:val="none" w:sz="0" w:space="0" w:color="auto"/>
        <w:right w:val="none" w:sz="0" w:space="0" w:color="auto"/>
      </w:divBdr>
    </w:div>
    <w:div w:id="2095079366">
      <w:bodyDiv w:val="1"/>
      <w:marLeft w:val="0"/>
      <w:marRight w:val="0"/>
      <w:marTop w:val="0"/>
      <w:marBottom w:val="0"/>
      <w:divBdr>
        <w:top w:val="none" w:sz="0" w:space="0" w:color="auto"/>
        <w:left w:val="none" w:sz="0" w:space="0" w:color="auto"/>
        <w:bottom w:val="none" w:sz="0" w:space="0" w:color="auto"/>
        <w:right w:val="none" w:sz="0" w:space="0" w:color="auto"/>
      </w:divBdr>
    </w:div>
    <w:div w:id="2112774550">
      <w:bodyDiv w:val="1"/>
      <w:marLeft w:val="0"/>
      <w:marRight w:val="0"/>
      <w:marTop w:val="0"/>
      <w:marBottom w:val="0"/>
      <w:divBdr>
        <w:top w:val="none" w:sz="0" w:space="0" w:color="auto"/>
        <w:left w:val="none" w:sz="0" w:space="0" w:color="auto"/>
        <w:bottom w:val="none" w:sz="0" w:space="0" w:color="auto"/>
        <w:right w:val="none" w:sz="0" w:space="0" w:color="auto"/>
      </w:divBdr>
    </w:div>
    <w:div w:id="2131706145">
      <w:bodyDiv w:val="1"/>
      <w:marLeft w:val="0"/>
      <w:marRight w:val="0"/>
      <w:marTop w:val="0"/>
      <w:marBottom w:val="0"/>
      <w:divBdr>
        <w:top w:val="none" w:sz="0" w:space="0" w:color="auto"/>
        <w:left w:val="none" w:sz="0" w:space="0" w:color="auto"/>
        <w:bottom w:val="none" w:sz="0" w:space="0" w:color="auto"/>
        <w:right w:val="none" w:sz="0" w:space="0" w:color="auto"/>
      </w:divBdr>
    </w:div>
    <w:div w:id="2137406574">
      <w:bodyDiv w:val="1"/>
      <w:marLeft w:val="0"/>
      <w:marRight w:val="0"/>
      <w:marTop w:val="0"/>
      <w:marBottom w:val="0"/>
      <w:divBdr>
        <w:top w:val="none" w:sz="0" w:space="0" w:color="auto"/>
        <w:left w:val="none" w:sz="0" w:space="0" w:color="auto"/>
        <w:bottom w:val="none" w:sz="0" w:space="0" w:color="auto"/>
        <w:right w:val="none" w:sz="0" w:space="0" w:color="auto"/>
      </w:divBdr>
    </w:div>
    <w:div w:id="214685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charts/_rels/chart1.xml.rels><?xml version="1.0" encoding="UTF-8" standalone="yes"?>
<Relationships xmlns="http://schemas.openxmlformats.org/package/2006/relationships"><Relationship Id="rId3" Type="http://schemas.openxmlformats.org/officeDocument/2006/relationships/oleObject" Target="file:///D:\Osservatorio%20turistico\turismo%20previsioni.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Foglio1!$A$4</c:f>
              <c:strCache>
                <c:ptCount val="1"/>
                <c:pt idx="0">
                  <c:v>Italia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Foglio1!$B$3:$C$3</c:f>
              <c:numCache>
                <c:formatCode>General</c:formatCode>
                <c:ptCount val="2"/>
                <c:pt idx="0">
                  <c:v>2020</c:v>
                </c:pt>
                <c:pt idx="1">
                  <c:v>2021</c:v>
                </c:pt>
              </c:numCache>
            </c:numRef>
          </c:cat>
          <c:val>
            <c:numRef>
              <c:f>Foglio1!$B$4:$C$4</c:f>
              <c:numCache>
                <c:formatCode>0%</c:formatCode>
                <c:ptCount val="2"/>
                <c:pt idx="0">
                  <c:v>-0.44</c:v>
                </c:pt>
                <c:pt idx="1">
                  <c:v>-0.24</c:v>
                </c:pt>
              </c:numCache>
            </c:numRef>
          </c:val>
          <c:extLst xmlns:c16r2="http://schemas.microsoft.com/office/drawing/2015/06/chart">
            <c:ext xmlns:c16="http://schemas.microsoft.com/office/drawing/2014/chart" uri="{C3380CC4-5D6E-409C-BE32-E72D297353CC}">
              <c16:uniqueId val="{00000000-2D28-49DE-9DA0-EC890C4249C9}"/>
            </c:ext>
          </c:extLst>
        </c:ser>
        <c:ser>
          <c:idx val="1"/>
          <c:order val="1"/>
          <c:tx>
            <c:strRef>
              <c:f>Foglio1!$A$5</c:f>
              <c:strCache>
                <c:ptCount val="1"/>
                <c:pt idx="0">
                  <c:v>Montagna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Foglio1!$B$3:$C$3</c:f>
              <c:numCache>
                <c:formatCode>General</c:formatCode>
                <c:ptCount val="2"/>
                <c:pt idx="0">
                  <c:v>2020</c:v>
                </c:pt>
                <c:pt idx="1">
                  <c:v>2021</c:v>
                </c:pt>
              </c:numCache>
            </c:numRef>
          </c:cat>
          <c:val>
            <c:numRef>
              <c:f>Foglio1!$B$5:$C$5</c:f>
              <c:numCache>
                <c:formatCode>0%</c:formatCode>
                <c:ptCount val="2"/>
                <c:pt idx="0">
                  <c:v>-0.39</c:v>
                </c:pt>
                <c:pt idx="1">
                  <c:v>-0.21</c:v>
                </c:pt>
              </c:numCache>
            </c:numRef>
          </c:val>
          <c:extLst xmlns:c16r2="http://schemas.microsoft.com/office/drawing/2015/06/chart">
            <c:ext xmlns:c16="http://schemas.microsoft.com/office/drawing/2014/chart" uri="{C3380CC4-5D6E-409C-BE32-E72D297353CC}">
              <c16:uniqueId val="{00000001-2D28-49DE-9DA0-EC890C4249C9}"/>
            </c:ext>
          </c:extLst>
        </c:ser>
        <c:ser>
          <c:idx val="2"/>
          <c:order val="2"/>
          <c:tx>
            <c:strRef>
              <c:f>Foglio1!$A$6</c:f>
              <c:strCache>
                <c:ptCount val="1"/>
                <c:pt idx="0">
                  <c:v>Costa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Foglio1!$B$3:$C$3</c:f>
              <c:numCache>
                <c:formatCode>General</c:formatCode>
                <c:ptCount val="2"/>
                <c:pt idx="0">
                  <c:v>2020</c:v>
                </c:pt>
                <c:pt idx="1">
                  <c:v>2021</c:v>
                </c:pt>
              </c:numCache>
            </c:numRef>
          </c:cat>
          <c:val>
            <c:numRef>
              <c:f>Foglio1!$B$6:$C$6</c:f>
              <c:numCache>
                <c:formatCode>0%</c:formatCode>
                <c:ptCount val="2"/>
                <c:pt idx="0">
                  <c:v>-0.51</c:v>
                </c:pt>
                <c:pt idx="1">
                  <c:v>-0.28000000000000003</c:v>
                </c:pt>
              </c:numCache>
            </c:numRef>
          </c:val>
          <c:extLst xmlns:c16r2="http://schemas.microsoft.com/office/drawing/2015/06/chart">
            <c:ext xmlns:c16="http://schemas.microsoft.com/office/drawing/2014/chart" uri="{C3380CC4-5D6E-409C-BE32-E72D297353CC}">
              <c16:uniqueId val="{00000002-2D28-49DE-9DA0-EC890C4249C9}"/>
            </c:ext>
          </c:extLst>
        </c:ser>
        <c:ser>
          <c:idx val="3"/>
          <c:order val="3"/>
          <c:tx>
            <c:strRef>
              <c:f>Foglio1!$A$7</c:f>
              <c:strCache>
                <c:ptCount val="1"/>
                <c:pt idx="0">
                  <c:v>Città d'arte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Foglio1!$B$3:$C$3</c:f>
              <c:numCache>
                <c:formatCode>General</c:formatCode>
                <c:ptCount val="2"/>
                <c:pt idx="0">
                  <c:v>2020</c:v>
                </c:pt>
                <c:pt idx="1">
                  <c:v>2021</c:v>
                </c:pt>
              </c:numCache>
            </c:numRef>
          </c:cat>
          <c:val>
            <c:numRef>
              <c:f>Foglio1!$B$7:$C$7</c:f>
              <c:numCache>
                <c:formatCode>0%</c:formatCode>
                <c:ptCount val="2"/>
                <c:pt idx="0">
                  <c:v>-0.49</c:v>
                </c:pt>
                <c:pt idx="1">
                  <c:v>-0.27</c:v>
                </c:pt>
              </c:numCache>
            </c:numRef>
          </c:val>
          <c:extLst xmlns:c16r2="http://schemas.microsoft.com/office/drawing/2015/06/chart">
            <c:ext xmlns:c16="http://schemas.microsoft.com/office/drawing/2014/chart" uri="{C3380CC4-5D6E-409C-BE32-E72D297353CC}">
              <c16:uniqueId val="{00000003-2D28-49DE-9DA0-EC890C4249C9}"/>
            </c:ext>
          </c:extLst>
        </c:ser>
        <c:dLbls>
          <c:showLegendKey val="0"/>
          <c:showVal val="0"/>
          <c:showCatName val="0"/>
          <c:showSerName val="0"/>
          <c:showPercent val="0"/>
          <c:showBubbleSize val="0"/>
        </c:dLbls>
        <c:gapWidth val="219"/>
        <c:overlap val="-27"/>
        <c:axId val="137224336"/>
        <c:axId val="137220024"/>
      </c:barChart>
      <c:catAx>
        <c:axId val="13722433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7220024"/>
        <c:crosses val="autoZero"/>
        <c:auto val="1"/>
        <c:lblAlgn val="ctr"/>
        <c:lblOffset val="100"/>
        <c:noMultiLvlLbl val="0"/>
      </c:catAx>
      <c:valAx>
        <c:axId val="137220024"/>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7224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71898-E391-47CC-AE17-0B9908745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Pages>
  <Words>3909</Words>
  <Characters>22283</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26140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Molignoni</dc:creator>
  <cp:lastModifiedBy>UfficioStampa</cp:lastModifiedBy>
  <cp:revision>47</cp:revision>
  <cp:lastPrinted>2020-07-28T08:33:00Z</cp:lastPrinted>
  <dcterms:created xsi:type="dcterms:W3CDTF">2020-07-27T14:31:00Z</dcterms:created>
  <dcterms:modified xsi:type="dcterms:W3CDTF">2020-07-31T15:35:00Z</dcterms:modified>
</cp:coreProperties>
</file>