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61480" w:rsidRPr="002E5A21" w:rsidRDefault="00961480" w:rsidP="00961480">
      <w:pPr>
        <w:jc w:val="both"/>
        <w:rPr>
          <w:rFonts w:ascii="Calibri" w:eastAsia="Times New Roman" w:hAnsi="Calibri" w:cs="Times New Roman"/>
          <w:bCs/>
          <w:color w:val="FFFFFF" w:themeColor="background1"/>
          <w:sz w:val="20"/>
          <w:szCs w:val="22"/>
        </w:rPr>
      </w:pPr>
    </w:p>
    <w:p w:rsidR="00A53B82" w:rsidRDefault="00961480" w:rsidP="00450DBD">
      <w:pPr>
        <w:jc w:val="center"/>
        <w:rPr>
          <w:rFonts w:ascii="Calibri" w:eastAsia="Times New Roman" w:hAnsi="Calibri" w:cs="Times New Roman"/>
          <w:b/>
          <w:sz w:val="31"/>
          <w:szCs w:val="31"/>
        </w:rPr>
      </w:pPr>
      <w:r w:rsidRPr="00961480">
        <w:rPr>
          <w:rFonts w:ascii="Calibri" w:eastAsia="Times New Roman" w:hAnsi="Calibri" w:cs="Times New Roman"/>
          <w:b/>
          <w:sz w:val="31"/>
          <w:szCs w:val="31"/>
        </w:rPr>
        <w:t xml:space="preserve">SIGEST: </w:t>
      </w:r>
      <w:r w:rsidR="00D601DE">
        <w:rPr>
          <w:rFonts w:ascii="Calibri" w:eastAsia="Times New Roman" w:hAnsi="Calibri" w:cs="Times New Roman"/>
          <w:b/>
          <w:sz w:val="31"/>
          <w:szCs w:val="31"/>
        </w:rPr>
        <w:t>NONOSTANTE IL LOCKDOWN,</w:t>
      </w:r>
      <w:r w:rsidR="00A53B82">
        <w:rPr>
          <w:rFonts w:ascii="Calibri" w:eastAsia="Times New Roman" w:hAnsi="Calibri" w:cs="Times New Roman"/>
          <w:b/>
          <w:sz w:val="31"/>
          <w:szCs w:val="31"/>
        </w:rPr>
        <w:t xml:space="preserve"> </w:t>
      </w:r>
      <w:r w:rsidR="00D601DE">
        <w:rPr>
          <w:rFonts w:ascii="Calibri" w:eastAsia="Times New Roman" w:hAnsi="Calibri" w:cs="Times New Roman"/>
          <w:b/>
          <w:sz w:val="31"/>
          <w:szCs w:val="31"/>
        </w:rPr>
        <w:t xml:space="preserve">LA DOMANDA </w:t>
      </w:r>
      <w:r w:rsidR="00D601DE" w:rsidRPr="00961480">
        <w:rPr>
          <w:rFonts w:ascii="Calibri" w:eastAsia="Times New Roman" w:hAnsi="Calibri" w:cs="Times New Roman"/>
          <w:b/>
          <w:sz w:val="31"/>
          <w:szCs w:val="31"/>
        </w:rPr>
        <w:t>A MILANO</w:t>
      </w:r>
      <w:r w:rsidR="003361EF">
        <w:rPr>
          <w:rFonts w:ascii="Calibri" w:eastAsia="Times New Roman" w:hAnsi="Calibri" w:cs="Times New Roman"/>
          <w:b/>
          <w:sz w:val="31"/>
          <w:szCs w:val="31"/>
        </w:rPr>
        <w:t xml:space="preserve"> CONTINUA A </w:t>
      </w:r>
      <w:r w:rsidR="00D601DE" w:rsidRPr="00961480">
        <w:rPr>
          <w:rFonts w:ascii="Calibri" w:eastAsia="Times New Roman" w:hAnsi="Calibri" w:cs="Times New Roman"/>
          <w:b/>
          <w:sz w:val="31"/>
          <w:szCs w:val="31"/>
        </w:rPr>
        <w:t xml:space="preserve"> </w:t>
      </w:r>
      <w:r w:rsidR="00D601DE">
        <w:rPr>
          <w:rFonts w:ascii="Calibri" w:eastAsia="Times New Roman" w:hAnsi="Calibri" w:cs="Times New Roman"/>
          <w:b/>
          <w:sz w:val="31"/>
          <w:szCs w:val="31"/>
        </w:rPr>
        <w:t>SUPERA</w:t>
      </w:r>
      <w:r w:rsidR="003361EF">
        <w:rPr>
          <w:rFonts w:ascii="Calibri" w:eastAsia="Times New Roman" w:hAnsi="Calibri" w:cs="Times New Roman"/>
          <w:b/>
          <w:sz w:val="31"/>
          <w:szCs w:val="31"/>
        </w:rPr>
        <w:t>RE</w:t>
      </w:r>
      <w:r w:rsidR="00D601DE">
        <w:rPr>
          <w:rFonts w:ascii="Calibri" w:eastAsia="Times New Roman" w:hAnsi="Calibri" w:cs="Times New Roman"/>
          <w:b/>
          <w:sz w:val="31"/>
          <w:szCs w:val="31"/>
        </w:rPr>
        <w:t xml:space="preserve"> L’OFFERTA.</w:t>
      </w:r>
      <w:r w:rsidR="00A53B82">
        <w:rPr>
          <w:rFonts w:ascii="Calibri" w:eastAsia="Times New Roman" w:hAnsi="Calibri" w:cs="Times New Roman"/>
          <w:b/>
          <w:sz w:val="31"/>
          <w:szCs w:val="31"/>
        </w:rPr>
        <w:t xml:space="preserve"> </w:t>
      </w:r>
    </w:p>
    <w:p w:rsidR="00F51E6B" w:rsidRPr="00961480" w:rsidRDefault="00F51118" w:rsidP="00450DBD">
      <w:pPr>
        <w:jc w:val="center"/>
        <w:rPr>
          <w:rFonts w:ascii="Calibri" w:eastAsia="Times New Roman" w:hAnsi="Calibri" w:cs="Times New Roman"/>
          <w:b/>
          <w:sz w:val="31"/>
          <w:szCs w:val="31"/>
        </w:rPr>
      </w:pPr>
      <w:r w:rsidRPr="00961480">
        <w:rPr>
          <w:rFonts w:ascii="Calibri" w:eastAsia="Times New Roman" w:hAnsi="Calibri" w:cs="Times New Roman"/>
          <w:b/>
          <w:sz w:val="31"/>
          <w:szCs w:val="31"/>
        </w:rPr>
        <w:t>38.000 NUOV</w:t>
      </w:r>
      <w:r>
        <w:rPr>
          <w:rFonts w:ascii="Calibri" w:eastAsia="Times New Roman" w:hAnsi="Calibri" w:cs="Times New Roman"/>
          <w:b/>
          <w:sz w:val="31"/>
          <w:szCs w:val="31"/>
        </w:rPr>
        <w:t>E CASE</w:t>
      </w:r>
      <w:r w:rsidRPr="00961480">
        <w:rPr>
          <w:rFonts w:ascii="Calibri" w:eastAsia="Times New Roman" w:hAnsi="Calibri" w:cs="Times New Roman"/>
          <w:b/>
          <w:sz w:val="31"/>
          <w:szCs w:val="31"/>
        </w:rPr>
        <w:t xml:space="preserve"> IN ARRIVO </w:t>
      </w:r>
      <w:r w:rsidR="00961480" w:rsidRPr="00961480">
        <w:rPr>
          <w:rFonts w:ascii="Calibri" w:eastAsia="Times New Roman" w:hAnsi="Calibri" w:cs="Times New Roman"/>
          <w:b/>
          <w:sz w:val="31"/>
          <w:szCs w:val="31"/>
        </w:rPr>
        <w:t>NEI PROSSIMI 10 ANNI</w:t>
      </w:r>
      <w:r w:rsidR="00D601DE">
        <w:rPr>
          <w:rFonts w:ascii="Calibri" w:eastAsia="Times New Roman" w:hAnsi="Calibri" w:cs="Times New Roman"/>
          <w:b/>
          <w:sz w:val="31"/>
          <w:szCs w:val="31"/>
        </w:rPr>
        <w:t>.</w:t>
      </w:r>
      <w:r w:rsidR="00961480" w:rsidRPr="00961480">
        <w:rPr>
          <w:rFonts w:ascii="Calibri" w:eastAsia="Times New Roman" w:hAnsi="Calibri" w:cs="Times New Roman"/>
          <w:b/>
          <w:sz w:val="31"/>
          <w:szCs w:val="31"/>
        </w:rPr>
        <w:t xml:space="preserve"> </w:t>
      </w:r>
    </w:p>
    <w:p w:rsidR="00961480" w:rsidRPr="00450DBD" w:rsidRDefault="00961480" w:rsidP="00961480">
      <w:pPr>
        <w:jc w:val="center"/>
        <w:rPr>
          <w:i/>
          <w:iCs/>
        </w:rPr>
      </w:pPr>
    </w:p>
    <w:p w:rsidR="00DD08BC" w:rsidRDefault="00450DBD" w:rsidP="00F26429">
      <w:pPr>
        <w:pStyle w:val="Corpo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eastAsia="Times New Roman" w:hAnsiTheme="minorHAnsi" w:cstheme="minorHAnsi"/>
          <w:lang w:val="it-IT"/>
        </w:rPr>
        <w:t>È stata</w:t>
      </w:r>
      <w:r w:rsidR="00961480" w:rsidRPr="00450DBD">
        <w:rPr>
          <w:rFonts w:asciiTheme="minorHAnsi" w:eastAsia="Times New Roman" w:hAnsiTheme="minorHAnsi" w:cstheme="minorHAnsi"/>
          <w:lang w:val="it-IT"/>
        </w:rPr>
        <w:t xml:space="preserve"> pubblicata la settima edizione della ricerca annuale </w:t>
      </w:r>
      <w:r w:rsidR="000771CF" w:rsidRPr="00450DBD">
        <w:rPr>
          <w:rFonts w:asciiTheme="minorHAnsi" w:eastAsia="Times New Roman" w:hAnsiTheme="minorHAnsi" w:cstheme="minorHAnsi"/>
          <w:lang w:val="it-IT"/>
        </w:rPr>
        <w:t>“</w:t>
      </w:r>
      <w:r w:rsidR="000771CF" w:rsidRPr="00450DBD">
        <w:rPr>
          <w:rFonts w:asciiTheme="minorHAnsi" w:eastAsia="Times New Roman" w:hAnsiTheme="minorHAnsi" w:cstheme="minorHAnsi"/>
          <w:b/>
          <w:lang w:val="it-IT"/>
        </w:rPr>
        <w:t xml:space="preserve">Residenziale a Milano: mercato immobiliare e trend emergenti” </w:t>
      </w:r>
      <w:r w:rsidR="00961480" w:rsidRPr="00450DBD">
        <w:rPr>
          <w:rFonts w:asciiTheme="minorHAnsi" w:eastAsia="Times New Roman" w:hAnsiTheme="minorHAnsi" w:cstheme="minorHAnsi"/>
          <w:lang w:val="it-IT"/>
        </w:rPr>
        <w:t xml:space="preserve">a cura del Centro Studi </w:t>
      </w:r>
      <w:r w:rsidR="000771CF" w:rsidRPr="00450DBD">
        <w:rPr>
          <w:rFonts w:asciiTheme="minorHAnsi" w:eastAsia="Times New Roman" w:hAnsiTheme="minorHAnsi" w:cstheme="minorHAnsi"/>
          <w:lang w:val="it-IT"/>
        </w:rPr>
        <w:t xml:space="preserve">di </w:t>
      </w:r>
      <w:r w:rsidR="00DD08BC">
        <w:rPr>
          <w:rFonts w:asciiTheme="minorHAnsi" w:eastAsia="Times New Roman" w:hAnsiTheme="minorHAnsi" w:cstheme="minorHAnsi"/>
          <w:lang w:val="it-IT"/>
        </w:rPr>
        <w:t xml:space="preserve">GVA Redilco &amp; </w:t>
      </w:r>
      <w:r w:rsidR="00961480" w:rsidRPr="00450DBD">
        <w:rPr>
          <w:rFonts w:asciiTheme="minorHAnsi" w:eastAsia="Times New Roman" w:hAnsiTheme="minorHAnsi" w:cstheme="minorHAnsi"/>
          <w:lang w:val="it-IT"/>
        </w:rPr>
        <w:t>Sigest</w:t>
      </w:r>
      <w:r w:rsidR="000771CF" w:rsidRPr="00450DBD">
        <w:rPr>
          <w:rFonts w:asciiTheme="minorHAnsi" w:eastAsia="Times New Roman" w:hAnsiTheme="minorHAnsi" w:cstheme="minorHAnsi"/>
          <w:lang w:val="it-IT"/>
        </w:rPr>
        <w:t xml:space="preserve">, </w:t>
      </w:r>
      <w:r w:rsidR="000771CF" w:rsidRPr="00450DBD">
        <w:rPr>
          <w:rFonts w:asciiTheme="minorHAnsi" w:hAnsiTheme="minorHAnsi" w:cstheme="minorHAnsi"/>
          <w:lang w:val="it-IT"/>
        </w:rPr>
        <w:t xml:space="preserve">player Real Estate attivo da </w:t>
      </w:r>
      <w:r w:rsidR="00DD08BC">
        <w:rPr>
          <w:rFonts w:asciiTheme="minorHAnsi" w:hAnsiTheme="minorHAnsi" w:cstheme="minorHAnsi"/>
          <w:lang w:val="it-IT"/>
        </w:rPr>
        <w:t xml:space="preserve">quasi </w:t>
      </w:r>
      <w:r w:rsidR="00620A31">
        <w:rPr>
          <w:rFonts w:asciiTheme="minorHAnsi" w:hAnsiTheme="minorHAnsi" w:cstheme="minorHAnsi"/>
          <w:lang w:val="it-IT"/>
        </w:rPr>
        <w:t>cinquan</w:t>
      </w:r>
      <w:r w:rsidR="00AD7F68">
        <w:rPr>
          <w:rFonts w:asciiTheme="minorHAnsi" w:hAnsiTheme="minorHAnsi" w:cstheme="minorHAnsi"/>
          <w:lang w:val="it-IT"/>
        </w:rPr>
        <w:t>t</w:t>
      </w:r>
      <w:r w:rsidR="00620A31">
        <w:rPr>
          <w:rFonts w:asciiTheme="minorHAnsi" w:hAnsiTheme="minorHAnsi" w:cstheme="minorHAnsi"/>
          <w:lang w:val="it-IT"/>
        </w:rPr>
        <w:t>’anni</w:t>
      </w:r>
      <w:r w:rsidR="000771CF" w:rsidRPr="00450DBD">
        <w:rPr>
          <w:rFonts w:asciiTheme="minorHAnsi" w:hAnsiTheme="minorHAnsi" w:cstheme="minorHAnsi"/>
          <w:lang w:val="it-IT"/>
        </w:rPr>
        <w:t xml:space="preserve"> ne</w:t>
      </w:r>
      <w:r w:rsidR="00DD08BC">
        <w:rPr>
          <w:rFonts w:asciiTheme="minorHAnsi" w:hAnsiTheme="minorHAnsi" w:cstheme="minorHAnsi"/>
          <w:lang w:val="it-IT"/>
        </w:rPr>
        <w:t>i settori uffici, retail, logistica e residenziale.</w:t>
      </w:r>
    </w:p>
    <w:p w:rsidR="00961480" w:rsidRPr="00450DBD" w:rsidRDefault="00961480" w:rsidP="00F26429">
      <w:pPr>
        <w:pStyle w:val="Corpo"/>
        <w:jc w:val="both"/>
        <w:rPr>
          <w:lang w:val="it-IT"/>
        </w:rPr>
      </w:pPr>
      <w:r w:rsidRPr="00450DBD">
        <w:rPr>
          <w:bCs/>
          <w:noProof/>
          <w:lang w:val="it-IT"/>
        </w:rPr>
        <w:t xml:space="preserve">Lo </w:t>
      </w:r>
      <w:r w:rsidRPr="00450DBD">
        <w:rPr>
          <w:lang w:val="it-IT"/>
        </w:rPr>
        <w:t>studio rappresenta</w:t>
      </w:r>
      <w:r w:rsidR="000643A5" w:rsidRPr="00450DBD">
        <w:rPr>
          <w:lang w:val="it-IT"/>
        </w:rPr>
        <w:t xml:space="preserve"> </w:t>
      </w:r>
      <w:r w:rsidRPr="00450DBD">
        <w:rPr>
          <w:lang w:val="it-IT"/>
        </w:rPr>
        <w:t xml:space="preserve">uno strumento per conoscere </w:t>
      </w:r>
      <w:r w:rsidR="000643A5" w:rsidRPr="00450DBD">
        <w:rPr>
          <w:lang w:val="it-IT"/>
        </w:rPr>
        <w:t xml:space="preserve">e comprendere non solo </w:t>
      </w:r>
      <w:r w:rsidRPr="00450DBD">
        <w:rPr>
          <w:lang w:val="it-IT"/>
        </w:rPr>
        <w:t>le dinamiche del mercato residenziale a Milano</w:t>
      </w:r>
      <w:r w:rsidR="000643A5" w:rsidRPr="00450DBD">
        <w:rPr>
          <w:lang w:val="it-IT"/>
        </w:rPr>
        <w:t xml:space="preserve">, ma anche </w:t>
      </w:r>
      <w:r w:rsidRPr="00450DBD">
        <w:rPr>
          <w:lang w:val="it-IT"/>
        </w:rPr>
        <w:t xml:space="preserve">i più innovativi trend dell’abitare. </w:t>
      </w:r>
    </w:p>
    <w:p w:rsidR="00961480" w:rsidRDefault="00961480" w:rsidP="00961480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:rsidR="00A82958" w:rsidRDefault="000643A5" w:rsidP="00A82958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Il tema chiave scelto per</w:t>
      </w:r>
      <w:r w:rsidR="00961480">
        <w:rPr>
          <w:rFonts w:asciiTheme="minorHAnsi" w:hAnsiTheme="minorHAnsi" w:cstheme="minorHAnsi"/>
          <w:color w:val="000000"/>
          <w:sz w:val="22"/>
          <w:szCs w:val="22"/>
        </w:rPr>
        <w:t xml:space="preserve"> questa edizione è </w:t>
      </w:r>
      <w:r w:rsidR="00961480" w:rsidRPr="00DC016C">
        <w:rPr>
          <w:rFonts w:asciiTheme="minorHAnsi" w:hAnsiTheme="minorHAnsi" w:cstheme="minorHAnsi"/>
          <w:color w:val="000000"/>
          <w:sz w:val="22"/>
          <w:szCs w:val="22"/>
        </w:rPr>
        <w:t>“</w:t>
      </w:r>
      <w:r w:rsidR="00961480">
        <w:rPr>
          <w:rFonts w:asciiTheme="minorHAnsi" w:hAnsiTheme="minorHAnsi" w:cstheme="minorHAnsi"/>
          <w:b/>
          <w:bCs/>
          <w:color w:val="000000"/>
          <w:sz w:val="22"/>
          <w:szCs w:val="22"/>
        </w:rPr>
        <w:t>a</w:t>
      </w:r>
      <w:r w:rsidR="00961480" w:rsidRPr="00DC016C">
        <w:rPr>
          <w:rFonts w:asciiTheme="minorHAnsi" w:hAnsiTheme="minorHAnsi" w:cstheme="minorHAnsi"/>
          <w:b/>
          <w:bCs/>
          <w:color w:val="000000"/>
          <w:sz w:val="22"/>
          <w:szCs w:val="22"/>
        </w:rPr>
        <w:t>bitare i quartieri del futuro</w:t>
      </w:r>
      <w:r w:rsidR="00961480" w:rsidRPr="00DC016C">
        <w:rPr>
          <w:rFonts w:asciiTheme="minorHAnsi" w:hAnsiTheme="minorHAnsi" w:cstheme="minorHAnsi"/>
          <w:color w:val="000000"/>
          <w:sz w:val="22"/>
          <w:szCs w:val="22"/>
        </w:rPr>
        <w:t xml:space="preserve">”, </w:t>
      </w:r>
      <w:r w:rsidR="00F22258">
        <w:rPr>
          <w:rFonts w:asciiTheme="minorHAnsi" w:hAnsiTheme="minorHAnsi" w:cstheme="minorHAnsi"/>
          <w:color w:val="000000"/>
          <w:sz w:val="22"/>
          <w:szCs w:val="22"/>
        </w:rPr>
        <w:t xml:space="preserve">ribadendo </w:t>
      </w:r>
      <w:r w:rsidR="00961480" w:rsidRPr="00DC016C">
        <w:rPr>
          <w:rFonts w:asciiTheme="minorHAnsi" w:hAnsiTheme="minorHAnsi" w:cstheme="minorHAnsi"/>
          <w:color w:val="000000"/>
          <w:sz w:val="22"/>
          <w:szCs w:val="22"/>
        </w:rPr>
        <w:t xml:space="preserve">la valenza strategica </w:t>
      </w:r>
      <w:r w:rsidR="00961480">
        <w:rPr>
          <w:rFonts w:asciiTheme="minorHAnsi" w:hAnsiTheme="minorHAnsi" w:cstheme="minorHAnsi"/>
          <w:color w:val="000000"/>
          <w:sz w:val="22"/>
          <w:szCs w:val="22"/>
        </w:rPr>
        <w:t>del</w:t>
      </w:r>
      <w:r w:rsidR="00961480" w:rsidRPr="00DC016C">
        <w:rPr>
          <w:rFonts w:asciiTheme="minorHAnsi" w:hAnsiTheme="minorHAnsi" w:cstheme="minorHAnsi"/>
          <w:color w:val="000000"/>
          <w:sz w:val="22"/>
          <w:szCs w:val="22"/>
        </w:rPr>
        <w:t xml:space="preserve">la comunità e </w:t>
      </w:r>
      <w:r w:rsidR="00961480">
        <w:rPr>
          <w:rFonts w:asciiTheme="minorHAnsi" w:hAnsiTheme="minorHAnsi" w:cstheme="minorHAnsi"/>
          <w:color w:val="000000"/>
          <w:sz w:val="22"/>
          <w:szCs w:val="22"/>
        </w:rPr>
        <w:t>de</w:t>
      </w:r>
      <w:r w:rsidR="00961480" w:rsidRPr="00DC016C">
        <w:rPr>
          <w:rFonts w:asciiTheme="minorHAnsi" w:hAnsiTheme="minorHAnsi" w:cstheme="minorHAnsi"/>
          <w:color w:val="000000"/>
          <w:sz w:val="22"/>
          <w:szCs w:val="22"/>
        </w:rPr>
        <w:t xml:space="preserve">l quartiere </w:t>
      </w:r>
      <w:r w:rsidR="00961480">
        <w:rPr>
          <w:rFonts w:asciiTheme="minorHAnsi" w:hAnsiTheme="minorHAnsi" w:cstheme="minorHAnsi"/>
          <w:color w:val="000000"/>
          <w:sz w:val="22"/>
          <w:szCs w:val="22"/>
        </w:rPr>
        <w:t>nella determinazione della qualità dell’abitare</w:t>
      </w:r>
      <w:r w:rsidR="00961480" w:rsidRPr="00DC016C">
        <w:rPr>
          <w:rFonts w:asciiTheme="minorHAnsi" w:hAnsiTheme="minorHAnsi" w:cstheme="minorHAnsi"/>
          <w:color w:val="000000"/>
          <w:sz w:val="22"/>
          <w:szCs w:val="22"/>
        </w:rPr>
        <w:t>, soprattutto dopo l</w:t>
      </w:r>
      <w:r w:rsidR="00DD08BC">
        <w:rPr>
          <w:rFonts w:asciiTheme="minorHAnsi" w:hAnsiTheme="minorHAnsi" w:cstheme="minorHAnsi"/>
          <w:color w:val="000000"/>
          <w:sz w:val="22"/>
          <w:szCs w:val="22"/>
        </w:rPr>
        <w:t>’inizio dell</w:t>
      </w:r>
      <w:r w:rsidR="00961480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961480" w:rsidRPr="0069388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961480" w:rsidRPr="00F26429">
        <w:rPr>
          <w:rFonts w:asciiTheme="minorHAnsi" w:hAnsiTheme="minorHAnsi" w:cstheme="minorHAnsi"/>
          <w:bCs/>
          <w:sz w:val="22"/>
          <w:szCs w:val="22"/>
        </w:rPr>
        <w:t xml:space="preserve">pandemia </w:t>
      </w:r>
      <w:r w:rsidR="00961480" w:rsidRPr="00F51118">
        <w:rPr>
          <w:rFonts w:asciiTheme="minorHAnsi" w:hAnsiTheme="minorHAnsi" w:cstheme="minorHAnsi"/>
          <w:bCs/>
          <w:color w:val="000000"/>
          <w:sz w:val="22"/>
          <w:szCs w:val="22"/>
        </w:rPr>
        <w:t>e la conseguente diffusione dello</w:t>
      </w:r>
      <w:r w:rsidR="00961480" w:rsidRPr="00F51118">
        <w:rPr>
          <w:rStyle w:val="apple-converted-space"/>
          <w:rFonts w:asciiTheme="minorHAnsi" w:hAnsiTheme="minorHAnsi" w:cstheme="minorHAnsi"/>
          <w:bCs/>
          <w:color w:val="000000"/>
          <w:sz w:val="22"/>
          <w:szCs w:val="22"/>
        </w:rPr>
        <w:t> </w:t>
      </w:r>
      <w:r w:rsidR="00961480" w:rsidRPr="00F26429">
        <w:rPr>
          <w:rFonts w:asciiTheme="minorHAnsi" w:hAnsiTheme="minorHAnsi" w:cstheme="minorHAnsi"/>
          <w:bCs/>
          <w:sz w:val="22"/>
          <w:szCs w:val="22"/>
        </w:rPr>
        <w:t>smart working</w:t>
      </w:r>
      <w:r w:rsidR="00961480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:rsidR="00A82958" w:rsidRDefault="00A82958" w:rsidP="00A82958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:rsidR="00DD08BC" w:rsidRDefault="00E26611" w:rsidP="00A82958">
      <w:pPr>
        <w:jc w:val="both"/>
        <w:rPr>
          <w:rFonts w:asciiTheme="minorHAnsi" w:eastAsia="Times New Roman" w:hAnsiTheme="minorHAnsi" w:cstheme="minorHAnsi"/>
          <w:i/>
          <w:iCs/>
          <w:sz w:val="22"/>
          <w:szCs w:val="22"/>
          <w:bdr w:val="none" w:sz="0" w:space="0" w:color="auto"/>
        </w:rPr>
      </w:pPr>
      <w:r>
        <w:rPr>
          <w:rFonts w:asciiTheme="minorHAnsi" w:eastAsia="Times New Roman" w:hAnsiTheme="minorHAnsi" w:cstheme="minorHAnsi"/>
          <w:b/>
          <w:noProof/>
          <w:sz w:val="22"/>
          <w:szCs w:val="22"/>
          <w:bdr w:val="none" w:sz="0" w:space="0" w:color="auto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4844415</wp:posOffset>
            </wp:positionH>
            <wp:positionV relativeFrom="paragraph">
              <wp:posOffset>870585</wp:posOffset>
            </wp:positionV>
            <wp:extent cx="1219835" cy="1785620"/>
            <wp:effectExtent l="0" t="0" r="0" b="5080"/>
            <wp:wrapSquare wrapText="bothSides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ertina 20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835" cy="1785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2958" w:rsidRPr="00784306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“</w:t>
      </w:r>
      <w:r w:rsidR="00A82958" w:rsidRPr="00784306">
        <w:rPr>
          <w:rFonts w:asciiTheme="minorHAnsi" w:eastAsia="Times New Roman" w:hAnsiTheme="minorHAnsi" w:cstheme="minorHAnsi"/>
          <w:i/>
          <w:iCs/>
          <w:sz w:val="22"/>
          <w:szCs w:val="22"/>
          <w:bdr w:val="none" w:sz="0" w:space="0" w:color="auto"/>
        </w:rPr>
        <w:t xml:space="preserve">Il 2020 è un anno molto particolare, che sta mettendo a dura prova </w:t>
      </w:r>
      <w:r w:rsidR="0033396F">
        <w:rPr>
          <w:rFonts w:asciiTheme="minorHAnsi" w:eastAsia="Times New Roman" w:hAnsiTheme="minorHAnsi" w:cstheme="minorHAnsi"/>
          <w:i/>
          <w:iCs/>
          <w:sz w:val="22"/>
          <w:szCs w:val="22"/>
          <w:bdr w:val="none" w:sz="0" w:space="0" w:color="auto"/>
        </w:rPr>
        <w:t xml:space="preserve">i </w:t>
      </w:r>
      <w:r w:rsidR="00A82958" w:rsidRPr="00784306">
        <w:rPr>
          <w:rFonts w:asciiTheme="minorHAnsi" w:eastAsia="Times New Roman" w:hAnsiTheme="minorHAnsi" w:cstheme="minorHAnsi"/>
          <w:i/>
          <w:iCs/>
          <w:sz w:val="22"/>
          <w:szCs w:val="22"/>
          <w:bdr w:val="none" w:sz="0" w:space="0" w:color="auto"/>
        </w:rPr>
        <w:t>diversi settori dell’economia, compreso quello immobiliare</w:t>
      </w:r>
      <w:r w:rsidR="00A82958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 –</w:t>
      </w:r>
      <w:r w:rsidR="00A82958" w:rsidRPr="00784306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 commenta</w:t>
      </w:r>
      <w:r w:rsidR="00A82958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 </w:t>
      </w:r>
      <w:r w:rsidR="00A82958" w:rsidRPr="00784306">
        <w:rPr>
          <w:rFonts w:asciiTheme="minorHAnsi" w:eastAsia="Times New Roman" w:hAnsiTheme="minorHAnsi" w:cstheme="minorHAnsi"/>
          <w:b/>
          <w:bCs/>
          <w:sz w:val="22"/>
          <w:szCs w:val="22"/>
          <w:bdr w:val="none" w:sz="0" w:space="0" w:color="auto"/>
        </w:rPr>
        <w:t>Enzo Albanese, presidente di Sigest</w:t>
      </w:r>
      <w:r w:rsidR="00A82958" w:rsidRPr="00784306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 –</w:t>
      </w:r>
      <w:r w:rsidR="00A82958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, </w:t>
      </w:r>
      <w:r w:rsidR="00A82958" w:rsidRPr="00784306">
        <w:rPr>
          <w:rFonts w:asciiTheme="minorHAnsi" w:eastAsia="Times New Roman" w:hAnsiTheme="minorHAnsi" w:cstheme="minorHAnsi"/>
          <w:i/>
          <w:iCs/>
          <w:sz w:val="22"/>
          <w:szCs w:val="22"/>
          <w:bdr w:val="none" w:sz="0" w:space="0" w:color="auto"/>
        </w:rPr>
        <w:t xml:space="preserve">eppure la bella notizia è che Milano </w:t>
      </w:r>
      <w:r w:rsidR="00000BBE" w:rsidRPr="00784306">
        <w:rPr>
          <w:rFonts w:asciiTheme="minorHAnsi" w:eastAsia="Times New Roman" w:hAnsiTheme="minorHAnsi" w:cstheme="minorHAnsi"/>
          <w:i/>
          <w:iCs/>
          <w:sz w:val="22"/>
          <w:szCs w:val="22"/>
          <w:bdr w:val="none" w:sz="0" w:space="0" w:color="auto"/>
        </w:rPr>
        <w:t>sembr</w:t>
      </w:r>
      <w:r w:rsidR="00000BBE">
        <w:rPr>
          <w:rFonts w:asciiTheme="minorHAnsi" w:eastAsia="Times New Roman" w:hAnsiTheme="minorHAnsi" w:cstheme="minorHAnsi"/>
          <w:i/>
          <w:iCs/>
          <w:sz w:val="22"/>
          <w:szCs w:val="22"/>
          <w:bdr w:val="none" w:sz="0" w:space="0" w:color="auto"/>
        </w:rPr>
        <w:t>a</w:t>
      </w:r>
      <w:r w:rsidR="00000BBE" w:rsidRPr="00784306">
        <w:rPr>
          <w:rFonts w:asciiTheme="minorHAnsi" w:eastAsia="Times New Roman" w:hAnsiTheme="minorHAnsi" w:cstheme="minorHAnsi"/>
          <w:i/>
          <w:iCs/>
          <w:sz w:val="22"/>
          <w:szCs w:val="22"/>
          <w:bdr w:val="none" w:sz="0" w:space="0" w:color="auto"/>
        </w:rPr>
        <w:t xml:space="preserve"> </w:t>
      </w:r>
      <w:r w:rsidR="00A82958" w:rsidRPr="00784306">
        <w:rPr>
          <w:rFonts w:asciiTheme="minorHAnsi" w:eastAsia="Times New Roman" w:hAnsiTheme="minorHAnsi" w:cstheme="minorHAnsi"/>
          <w:i/>
          <w:iCs/>
          <w:sz w:val="22"/>
          <w:szCs w:val="22"/>
          <w:bdr w:val="none" w:sz="0" w:space="0" w:color="auto"/>
        </w:rPr>
        <w:t xml:space="preserve">resistere ai contraccolpi della pandemia a suon di vendite e progetti. Nonostante la Milano semideserta alla quale ci siamo abituati nella prima metà dell’anno, </w:t>
      </w:r>
      <w:r w:rsidR="00A82958" w:rsidRPr="009A5184"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  <w:bdr w:val="none" w:sz="0" w:space="0" w:color="auto"/>
        </w:rPr>
        <w:t>l</w:t>
      </w:r>
      <w:r w:rsidR="00A82958" w:rsidRPr="00FF1933">
        <w:rPr>
          <w:rFonts w:asciiTheme="minorHAnsi" w:eastAsia="Times New Roman" w:hAnsiTheme="minorHAnsi" w:cstheme="minorHAnsi"/>
          <w:b/>
          <w:i/>
          <w:iCs/>
          <w:sz w:val="22"/>
          <w:szCs w:val="22"/>
          <w:bdr w:val="none" w:sz="0" w:space="0" w:color="auto"/>
        </w:rPr>
        <w:t>a domanda di abitazioni</w:t>
      </w:r>
      <w:r w:rsidR="00A82958" w:rsidRPr="00784306">
        <w:rPr>
          <w:rFonts w:asciiTheme="minorHAnsi" w:eastAsia="Times New Roman" w:hAnsiTheme="minorHAnsi" w:cstheme="minorHAnsi"/>
          <w:i/>
          <w:iCs/>
          <w:sz w:val="22"/>
          <w:szCs w:val="22"/>
          <w:bdr w:val="none" w:sz="0" w:space="0" w:color="auto"/>
        </w:rPr>
        <w:t xml:space="preserve">, stando alle ultime rilevazioni, </w:t>
      </w:r>
      <w:r w:rsidR="00A82958" w:rsidRPr="00FF1933">
        <w:rPr>
          <w:rFonts w:asciiTheme="minorHAnsi" w:eastAsia="Times New Roman" w:hAnsiTheme="minorHAnsi" w:cstheme="minorHAnsi"/>
          <w:b/>
          <w:i/>
          <w:iCs/>
          <w:sz w:val="22"/>
          <w:szCs w:val="22"/>
          <w:bdr w:val="none" w:sz="0" w:space="0" w:color="auto"/>
        </w:rPr>
        <w:t xml:space="preserve">supera </w:t>
      </w:r>
      <w:r w:rsidR="003361EF" w:rsidRPr="00FF1933">
        <w:rPr>
          <w:rFonts w:asciiTheme="minorHAnsi" w:eastAsia="Times New Roman" w:hAnsiTheme="minorHAnsi" w:cstheme="minorHAnsi"/>
          <w:b/>
          <w:i/>
          <w:iCs/>
          <w:sz w:val="22"/>
          <w:szCs w:val="22"/>
          <w:bdr w:val="none" w:sz="0" w:space="0" w:color="auto"/>
        </w:rPr>
        <w:t>abbondantemente</w:t>
      </w:r>
      <w:r w:rsidR="00A82958" w:rsidRPr="00784306">
        <w:rPr>
          <w:rFonts w:asciiTheme="minorHAnsi" w:eastAsia="Times New Roman" w:hAnsiTheme="minorHAnsi" w:cstheme="minorHAnsi"/>
          <w:i/>
          <w:iCs/>
          <w:sz w:val="22"/>
          <w:szCs w:val="22"/>
          <w:bdr w:val="none" w:sz="0" w:space="0" w:color="auto"/>
        </w:rPr>
        <w:t xml:space="preserve"> </w:t>
      </w:r>
      <w:r w:rsidR="00A82958" w:rsidRPr="00FF1933">
        <w:rPr>
          <w:rFonts w:asciiTheme="minorHAnsi" w:eastAsia="Times New Roman" w:hAnsiTheme="minorHAnsi" w:cstheme="minorHAnsi"/>
          <w:b/>
          <w:i/>
          <w:iCs/>
          <w:sz w:val="22"/>
          <w:szCs w:val="22"/>
          <w:bdr w:val="none" w:sz="0" w:space="0" w:color="auto"/>
        </w:rPr>
        <w:t>l’offerta</w:t>
      </w:r>
      <w:r w:rsidR="00A82958" w:rsidRPr="00784306">
        <w:rPr>
          <w:rFonts w:asciiTheme="minorHAnsi" w:eastAsia="Times New Roman" w:hAnsiTheme="minorHAnsi" w:cstheme="minorHAnsi"/>
          <w:i/>
          <w:iCs/>
          <w:sz w:val="22"/>
          <w:szCs w:val="22"/>
          <w:bdr w:val="none" w:sz="0" w:space="0" w:color="auto"/>
        </w:rPr>
        <w:t>, affermandosi così una città estremamente attraente</w:t>
      </w:r>
      <w:r w:rsidR="00DD08BC">
        <w:rPr>
          <w:rFonts w:asciiTheme="minorHAnsi" w:eastAsia="Times New Roman" w:hAnsiTheme="minorHAnsi" w:cstheme="minorHAnsi"/>
          <w:i/>
          <w:iCs/>
          <w:sz w:val="22"/>
          <w:szCs w:val="22"/>
          <w:bdr w:val="none" w:sz="0" w:space="0" w:color="auto"/>
        </w:rPr>
        <w:t>”</w:t>
      </w:r>
      <w:r w:rsidR="00A82958" w:rsidRPr="00784306">
        <w:rPr>
          <w:rFonts w:asciiTheme="minorHAnsi" w:eastAsia="Times New Roman" w:hAnsiTheme="minorHAnsi" w:cstheme="minorHAnsi"/>
          <w:i/>
          <w:iCs/>
          <w:sz w:val="22"/>
          <w:szCs w:val="22"/>
          <w:bdr w:val="none" w:sz="0" w:space="0" w:color="auto"/>
        </w:rPr>
        <w:t xml:space="preserve">. </w:t>
      </w:r>
    </w:p>
    <w:p w:rsidR="00A82958" w:rsidRDefault="00E26611" w:rsidP="00A82958">
      <w:pPr>
        <w:jc w:val="both"/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</w:pPr>
      <w:r>
        <w:rPr>
          <w:rFonts w:asciiTheme="minorHAnsi" w:eastAsia="Times New Roman" w:hAnsiTheme="minorHAnsi" w:cstheme="minorHAnsi"/>
          <w:i/>
          <w:iCs/>
          <w:sz w:val="22"/>
          <w:szCs w:val="22"/>
          <w:bdr w:val="none" w:sz="0" w:space="0" w:color="auto"/>
        </w:rPr>
        <w:t xml:space="preserve"> </w:t>
      </w:r>
      <w:r w:rsidR="00DD08BC">
        <w:rPr>
          <w:rFonts w:asciiTheme="minorHAnsi" w:eastAsia="Times New Roman" w:hAnsiTheme="minorHAnsi" w:cstheme="minorHAnsi"/>
          <w:i/>
          <w:iCs/>
          <w:sz w:val="22"/>
          <w:szCs w:val="22"/>
          <w:bdr w:val="none" w:sz="0" w:space="0" w:color="auto"/>
        </w:rPr>
        <w:t>“</w:t>
      </w:r>
      <w:r w:rsidR="00A82958" w:rsidRPr="00784306">
        <w:rPr>
          <w:rFonts w:asciiTheme="minorHAnsi" w:eastAsia="Times New Roman" w:hAnsiTheme="minorHAnsi" w:cstheme="minorHAnsi"/>
          <w:i/>
          <w:iCs/>
          <w:sz w:val="22"/>
          <w:szCs w:val="22"/>
          <w:bdr w:val="none" w:sz="0" w:space="0" w:color="auto"/>
        </w:rPr>
        <w:t>Un</w:t>
      </w:r>
      <w:r w:rsidR="00591C42">
        <w:rPr>
          <w:rFonts w:asciiTheme="minorHAnsi" w:eastAsia="Times New Roman" w:hAnsiTheme="minorHAnsi" w:cstheme="minorHAnsi"/>
          <w:i/>
          <w:iCs/>
          <w:sz w:val="22"/>
          <w:szCs w:val="22"/>
          <w:bdr w:val="none" w:sz="0" w:space="0" w:color="auto"/>
        </w:rPr>
        <w:t xml:space="preserve"> </w:t>
      </w:r>
      <w:r w:rsidR="00A82958" w:rsidRPr="00784306">
        <w:rPr>
          <w:rFonts w:asciiTheme="minorHAnsi" w:eastAsia="Times New Roman" w:hAnsiTheme="minorHAnsi" w:cstheme="minorHAnsi"/>
          <w:i/>
          <w:iCs/>
          <w:sz w:val="22"/>
          <w:szCs w:val="22"/>
          <w:bdr w:val="none" w:sz="0" w:space="0" w:color="auto"/>
        </w:rPr>
        <w:t xml:space="preserve">ulteriore elemento che </w:t>
      </w:r>
      <w:r w:rsidR="003361EF">
        <w:rPr>
          <w:rFonts w:asciiTheme="minorHAnsi" w:eastAsia="Times New Roman" w:hAnsiTheme="minorHAnsi" w:cstheme="minorHAnsi"/>
          <w:i/>
          <w:iCs/>
          <w:sz w:val="22"/>
          <w:szCs w:val="22"/>
          <w:bdr w:val="none" w:sz="0" w:space="0" w:color="auto"/>
        </w:rPr>
        <w:t xml:space="preserve">ci </w:t>
      </w:r>
      <w:r w:rsidR="00A82958" w:rsidRPr="00784306">
        <w:rPr>
          <w:rFonts w:asciiTheme="minorHAnsi" w:eastAsia="Times New Roman" w:hAnsiTheme="minorHAnsi" w:cstheme="minorHAnsi"/>
          <w:i/>
          <w:iCs/>
          <w:sz w:val="22"/>
          <w:szCs w:val="22"/>
          <w:bdr w:val="none" w:sz="0" w:space="0" w:color="auto"/>
        </w:rPr>
        <w:t xml:space="preserve">spinge a guardare il futuro con fiducia </w:t>
      </w:r>
      <w:r w:rsidR="00A82958" w:rsidRPr="008863E7">
        <w:rPr>
          <w:rFonts w:asciiTheme="minorHAnsi" w:eastAsia="Times New Roman" w:hAnsiTheme="minorHAnsi" w:cstheme="minorHAnsi"/>
          <w:i/>
          <w:iCs/>
          <w:sz w:val="22"/>
          <w:szCs w:val="22"/>
          <w:bdr w:val="none" w:sz="0" w:space="0" w:color="auto"/>
        </w:rPr>
        <w:t xml:space="preserve">– </w:t>
      </w:r>
      <w:r w:rsidR="00DD08BC" w:rsidRPr="008863E7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sottolinea</w:t>
      </w:r>
      <w:r w:rsidR="00DD08BC" w:rsidRPr="00DD08BC">
        <w:rPr>
          <w:rFonts w:asciiTheme="minorHAnsi" w:eastAsia="Times New Roman" w:hAnsiTheme="minorHAnsi" w:cstheme="minorHAnsi"/>
          <w:b/>
          <w:sz w:val="22"/>
          <w:szCs w:val="22"/>
          <w:bdr w:val="none" w:sz="0" w:space="0" w:color="auto"/>
        </w:rPr>
        <w:t xml:space="preserve"> Giuseppe Amitrano, CEO di GVA Redilco &amp; Sigest</w:t>
      </w:r>
      <w:r w:rsidR="00A82958">
        <w:rPr>
          <w:rFonts w:asciiTheme="minorHAnsi" w:eastAsia="Times New Roman" w:hAnsiTheme="minorHAnsi" w:cstheme="minorHAnsi"/>
          <w:i/>
          <w:iCs/>
          <w:sz w:val="22"/>
          <w:szCs w:val="22"/>
          <w:bdr w:val="none" w:sz="0" w:space="0" w:color="auto"/>
        </w:rPr>
        <w:t xml:space="preserve"> </w:t>
      </w:r>
      <w:r w:rsidR="00450DBD">
        <w:rPr>
          <w:rFonts w:asciiTheme="minorHAnsi" w:eastAsia="Times New Roman" w:hAnsiTheme="minorHAnsi" w:cstheme="minorHAnsi"/>
          <w:i/>
          <w:iCs/>
          <w:sz w:val="22"/>
          <w:szCs w:val="22"/>
          <w:bdr w:val="none" w:sz="0" w:space="0" w:color="auto"/>
        </w:rPr>
        <w:t>–</w:t>
      </w:r>
      <w:r w:rsidR="00A82958">
        <w:rPr>
          <w:rFonts w:asciiTheme="minorHAnsi" w:eastAsia="Times New Roman" w:hAnsiTheme="minorHAnsi" w:cstheme="minorHAnsi"/>
          <w:i/>
          <w:iCs/>
          <w:sz w:val="22"/>
          <w:szCs w:val="22"/>
          <w:bdr w:val="none" w:sz="0" w:space="0" w:color="auto"/>
        </w:rPr>
        <w:t xml:space="preserve"> </w:t>
      </w:r>
      <w:r w:rsidR="00A82958" w:rsidRPr="00784306">
        <w:rPr>
          <w:rFonts w:asciiTheme="minorHAnsi" w:eastAsia="Times New Roman" w:hAnsiTheme="minorHAnsi" w:cstheme="minorHAnsi"/>
          <w:i/>
          <w:iCs/>
          <w:sz w:val="22"/>
          <w:szCs w:val="22"/>
          <w:bdr w:val="none" w:sz="0" w:space="0" w:color="auto"/>
        </w:rPr>
        <w:t xml:space="preserve">sono </w:t>
      </w:r>
      <w:r w:rsidR="00A82958" w:rsidRPr="00FF1933">
        <w:rPr>
          <w:rFonts w:asciiTheme="minorHAnsi" w:eastAsia="Times New Roman" w:hAnsiTheme="minorHAnsi" w:cstheme="minorHAnsi"/>
          <w:b/>
          <w:i/>
          <w:iCs/>
          <w:sz w:val="22"/>
          <w:szCs w:val="22"/>
          <w:bdr w:val="none" w:sz="0" w:space="0" w:color="auto"/>
        </w:rPr>
        <w:t>i nuovi progetti come Symbiosis e SeiMilano</w:t>
      </w:r>
      <w:r w:rsidR="00DD08BC">
        <w:rPr>
          <w:rFonts w:asciiTheme="minorHAnsi" w:eastAsia="Times New Roman" w:hAnsiTheme="minorHAnsi" w:cstheme="minorHAnsi"/>
          <w:b/>
          <w:i/>
          <w:iCs/>
          <w:sz w:val="22"/>
          <w:szCs w:val="22"/>
          <w:bdr w:val="none" w:sz="0" w:space="0" w:color="auto"/>
        </w:rPr>
        <w:t xml:space="preserve"> </w:t>
      </w:r>
      <w:r w:rsidR="00DD08BC" w:rsidRPr="00DD08BC">
        <w:rPr>
          <w:rFonts w:asciiTheme="minorHAnsi" w:eastAsia="Times New Roman" w:hAnsiTheme="minorHAnsi" w:cstheme="minorHAnsi"/>
          <w:i/>
          <w:iCs/>
          <w:sz w:val="22"/>
          <w:szCs w:val="22"/>
          <w:bdr w:val="none" w:sz="0" w:space="0" w:color="auto"/>
        </w:rPr>
        <w:t>che ci vedono coinvolti in prima persona: si tratta di iniziative</w:t>
      </w:r>
      <w:r w:rsidR="00A82958" w:rsidRPr="00784306">
        <w:rPr>
          <w:rFonts w:asciiTheme="minorHAnsi" w:eastAsia="Times New Roman" w:hAnsiTheme="minorHAnsi" w:cstheme="minorHAnsi"/>
          <w:i/>
          <w:iCs/>
          <w:sz w:val="22"/>
          <w:szCs w:val="22"/>
          <w:bdr w:val="none" w:sz="0" w:space="0" w:color="auto"/>
        </w:rPr>
        <w:t xml:space="preserve"> destinat</w:t>
      </w:r>
      <w:r w:rsidR="00DD08BC">
        <w:rPr>
          <w:rFonts w:asciiTheme="minorHAnsi" w:eastAsia="Times New Roman" w:hAnsiTheme="minorHAnsi" w:cstheme="minorHAnsi"/>
          <w:i/>
          <w:iCs/>
          <w:sz w:val="22"/>
          <w:szCs w:val="22"/>
          <w:bdr w:val="none" w:sz="0" w:space="0" w:color="auto"/>
        </w:rPr>
        <w:t>e</w:t>
      </w:r>
      <w:r w:rsidR="00A82958" w:rsidRPr="00784306">
        <w:rPr>
          <w:rFonts w:asciiTheme="minorHAnsi" w:eastAsia="Times New Roman" w:hAnsiTheme="minorHAnsi" w:cstheme="minorHAnsi"/>
          <w:i/>
          <w:iCs/>
          <w:sz w:val="22"/>
          <w:szCs w:val="22"/>
          <w:bdr w:val="none" w:sz="0" w:space="0" w:color="auto"/>
        </w:rPr>
        <w:t xml:space="preserve"> a diventare </w:t>
      </w:r>
      <w:r w:rsidR="00D9583E">
        <w:rPr>
          <w:rFonts w:asciiTheme="minorHAnsi" w:eastAsia="Times New Roman" w:hAnsiTheme="minorHAnsi" w:cstheme="minorHAnsi"/>
          <w:i/>
          <w:iCs/>
          <w:sz w:val="22"/>
          <w:szCs w:val="22"/>
          <w:bdr w:val="none" w:sz="0" w:space="0" w:color="auto"/>
        </w:rPr>
        <w:t xml:space="preserve">dei </w:t>
      </w:r>
      <w:r w:rsidR="00A82958" w:rsidRPr="00FF1933">
        <w:rPr>
          <w:rFonts w:asciiTheme="minorHAnsi" w:eastAsia="Times New Roman" w:hAnsiTheme="minorHAnsi" w:cstheme="minorHAnsi"/>
          <w:b/>
          <w:i/>
          <w:iCs/>
          <w:sz w:val="22"/>
          <w:szCs w:val="22"/>
          <w:bdr w:val="none" w:sz="0" w:space="0" w:color="auto"/>
        </w:rPr>
        <w:t>benchmark</w:t>
      </w:r>
      <w:r w:rsidR="00A82958" w:rsidRPr="00784306">
        <w:rPr>
          <w:rFonts w:asciiTheme="minorHAnsi" w:eastAsia="Times New Roman" w:hAnsiTheme="minorHAnsi" w:cstheme="minorHAnsi"/>
          <w:i/>
          <w:iCs/>
          <w:sz w:val="22"/>
          <w:szCs w:val="22"/>
          <w:bdr w:val="none" w:sz="0" w:space="0" w:color="auto"/>
        </w:rPr>
        <w:t xml:space="preserve"> che incarnano</w:t>
      </w:r>
      <w:r w:rsidR="00D9583E">
        <w:rPr>
          <w:rFonts w:asciiTheme="minorHAnsi" w:eastAsia="Times New Roman" w:hAnsiTheme="minorHAnsi" w:cstheme="minorHAnsi"/>
          <w:i/>
          <w:iCs/>
          <w:sz w:val="22"/>
          <w:szCs w:val="22"/>
          <w:bdr w:val="none" w:sz="0" w:space="0" w:color="auto"/>
        </w:rPr>
        <w:t>,</w:t>
      </w:r>
      <w:r w:rsidR="00A82958" w:rsidRPr="00784306">
        <w:rPr>
          <w:rFonts w:asciiTheme="minorHAnsi" w:eastAsia="Times New Roman" w:hAnsiTheme="minorHAnsi" w:cstheme="minorHAnsi"/>
          <w:i/>
          <w:iCs/>
          <w:sz w:val="22"/>
          <w:szCs w:val="22"/>
          <w:bdr w:val="none" w:sz="0" w:space="0" w:color="auto"/>
        </w:rPr>
        <w:t xml:space="preserve"> con il loro concept</w:t>
      </w:r>
      <w:r w:rsidR="00D9583E">
        <w:rPr>
          <w:rFonts w:asciiTheme="minorHAnsi" w:eastAsia="Times New Roman" w:hAnsiTheme="minorHAnsi" w:cstheme="minorHAnsi"/>
          <w:i/>
          <w:iCs/>
          <w:sz w:val="22"/>
          <w:szCs w:val="22"/>
          <w:bdr w:val="none" w:sz="0" w:space="0" w:color="auto"/>
        </w:rPr>
        <w:t xml:space="preserve">, </w:t>
      </w:r>
      <w:r w:rsidR="00A82958" w:rsidRPr="00784306">
        <w:rPr>
          <w:rFonts w:asciiTheme="minorHAnsi" w:eastAsia="Times New Roman" w:hAnsiTheme="minorHAnsi" w:cstheme="minorHAnsi"/>
          <w:i/>
          <w:iCs/>
          <w:sz w:val="22"/>
          <w:szCs w:val="22"/>
          <w:bdr w:val="none" w:sz="0" w:space="0" w:color="auto"/>
        </w:rPr>
        <w:t xml:space="preserve">i </w:t>
      </w:r>
      <w:r w:rsidR="00A82958" w:rsidRPr="00FF1933">
        <w:rPr>
          <w:rFonts w:asciiTheme="minorHAnsi" w:eastAsia="Times New Roman" w:hAnsiTheme="minorHAnsi" w:cstheme="minorHAnsi"/>
          <w:b/>
          <w:i/>
          <w:iCs/>
          <w:sz w:val="22"/>
          <w:szCs w:val="22"/>
          <w:bdr w:val="none" w:sz="0" w:space="0" w:color="auto"/>
        </w:rPr>
        <w:t>trend più contemporanei del</w:t>
      </w:r>
      <w:r w:rsidR="00DD08BC">
        <w:rPr>
          <w:rFonts w:asciiTheme="minorHAnsi" w:eastAsia="Times New Roman" w:hAnsiTheme="minorHAnsi" w:cstheme="minorHAnsi"/>
          <w:b/>
          <w:i/>
          <w:iCs/>
          <w:sz w:val="22"/>
          <w:szCs w:val="22"/>
          <w:bdr w:val="none" w:sz="0" w:space="0" w:color="auto"/>
        </w:rPr>
        <w:t xml:space="preserve"> vivere</w:t>
      </w:r>
      <w:r w:rsidR="002E5A21">
        <w:rPr>
          <w:rFonts w:asciiTheme="minorHAnsi" w:eastAsia="Times New Roman" w:hAnsiTheme="minorHAnsi" w:cstheme="minorHAnsi"/>
          <w:b/>
          <w:i/>
          <w:iCs/>
          <w:sz w:val="22"/>
          <w:szCs w:val="22"/>
          <w:bdr w:val="none" w:sz="0" w:space="0" w:color="auto"/>
        </w:rPr>
        <w:t xml:space="preserve"> in città</w:t>
      </w:r>
      <w:r w:rsidR="00267373" w:rsidRPr="00267373">
        <w:rPr>
          <w:rFonts w:asciiTheme="minorHAnsi" w:eastAsia="Times New Roman" w:hAnsiTheme="minorHAnsi" w:cstheme="minorHAnsi"/>
          <w:i/>
          <w:iCs/>
          <w:sz w:val="22"/>
          <w:szCs w:val="22"/>
          <w:bdr w:val="none" w:sz="0" w:space="0" w:color="auto"/>
        </w:rPr>
        <w:t>,</w:t>
      </w:r>
      <w:r w:rsidR="00DD08BC" w:rsidRPr="00267373">
        <w:rPr>
          <w:rFonts w:asciiTheme="minorHAnsi" w:eastAsia="Times New Roman" w:hAnsiTheme="minorHAnsi" w:cstheme="minorHAnsi"/>
          <w:i/>
          <w:iCs/>
          <w:sz w:val="22"/>
          <w:szCs w:val="22"/>
          <w:bdr w:val="none" w:sz="0" w:space="0" w:color="auto"/>
        </w:rPr>
        <w:t xml:space="preserve"> </w:t>
      </w:r>
      <w:r w:rsidR="00FF1933" w:rsidRPr="00267373">
        <w:rPr>
          <w:rFonts w:asciiTheme="minorHAnsi" w:eastAsia="Times New Roman" w:hAnsiTheme="minorHAnsi" w:cstheme="minorHAnsi"/>
          <w:i/>
          <w:iCs/>
          <w:sz w:val="22"/>
          <w:szCs w:val="22"/>
          <w:bdr w:val="none" w:sz="0" w:space="0" w:color="auto"/>
        </w:rPr>
        <w:t>sempre</w:t>
      </w:r>
      <w:r w:rsidR="00FF1933">
        <w:rPr>
          <w:rFonts w:asciiTheme="minorHAnsi" w:eastAsia="Times New Roman" w:hAnsiTheme="minorHAnsi" w:cstheme="minorHAnsi"/>
          <w:i/>
          <w:iCs/>
          <w:sz w:val="22"/>
          <w:szCs w:val="22"/>
          <w:bdr w:val="none" w:sz="0" w:space="0" w:color="auto"/>
        </w:rPr>
        <w:t xml:space="preserve"> più improntati al “mixed </w:t>
      </w:r>
      <w:r w:rsidR="00D9583E">
        <w:rPr>
          <w:rFonts w:asciiTheme="minorHAnsi" w:eastAsia="Times New Roman" w:hAnsiTheme="minorHAnsi" w:cstheme="minorHAnsi"/>
          <w:i/>
          <w:iCs/>
          <w:sz w:val="22"/>
          <w:szCs w:val="22"/>
          <w:bdr w:val="none" w:sz="0" w:space="0" w:color="auto"/>
        </w:rPr>
        <w:t xml:space="preserve">use”. Si tratta di luoghi </w:t>
      </w:r>
      <w:r w:rsidR="00C3682C">
        <w:rPr>
          <w:rFonts w:asciiTheme="minorHAnsi" w:eastAsia="Times New Roman" w:hAnsiTheme="minorHAnsi" w:cstheme="minorHAnsi"/>
          <w:i/>
          <w:iCs/>
          <w:sz w:val="22"/>
          <w:szCs w:val="22"/>
          <w:bdr w:val="none" w:sz="0" w:space="0" w:color="auto"/>
        </w:rPr>
        <w:t xml:space="preserve">dalla </w:t>
      </w:r>
      <w:r w:rsidR="00C3682C" w:rsidRPr="00FF1933">
        <w:rPr>
          <w:rFonts w:asciiTheme="minorHAnsi" w:eastAsia="Times New Roman" w:hAnsiTheme="minorHAnsi" w:cstheme="minorHAnsi"/>
          <w:b/>
          <w:i/>
          <w:iCs/>
          <w:sz w:val="22"/>
          <w:szCs w:val="22"/>
          <w:bdr w:val="none" w:sz="0" w:space="0" w:color="auto"/>
        </w:rPr>
        <w:t>forte identità</w:t>
      </w:r>
      <w:r w:rsidR="00C3682C">
        <w:rPr>
          <w:rFonts w:asciiTheme="minorHAnsi" w:eastAsia="Times New Roman" w:hAnsiTheme="minorHAnsi" w:cstheme="minorHAnsi"/>
          <w:i/>
          <w:iCs/>
          <w:sz w:val="22"/>
          <w:szCs w:val="22"/>
          <w:bdr w:val="none" w:sz="0" w:space="0" w:color="auto"/>
        </w:rPr>
        <w:t xml:space="preserve">, </w:t>
      </w:r>
      <w:r w:rsidR="00D9583E">
        <w:rPr>
          <w:rFonts w:asciiTheme="minorHAnsi" w:eastAsia="Times New Roman" w:hAnsiTheme="minorHAnsi" w:cstheme="minorHAnsi"/>
          <w:i/>
          <w:iCs/>
          <w:sz w:val="22"/>
          <w:szCs w:val="22"/>
          <w:bdr w:val="none" w:sz="0" w:space="0" w:color="auto"/>
        </w:rPr>
        <w:t xml:space="preserve">nei quali </w:t>
      </w:r>
      <w:r w:rsidR="00C3682C">
        <w:rPr>
          <w:rFonts w:asciiTheme="minorHAnsi" w:eastAsia="Times New Roman" w:hAnsiTheme="minorHAnsi" w:cstheme="minorHAnsi"/>
          <w:i/>
          <w:iCs/>
          <w:sz w:val="22"/>
          <w:szCs w:val="22"/>
          <w:bdr w:val="none" w:sz="0" w:space="0" w:color="auto"/>
        </w:rPr>
        <w:t xml:space="preserve">le diverse destinazioni (residenziale, commerciale, </w:t>
      </w:r>
      <w:r w:rsidR="00DD08BC">
        <w:rPr>
          <w:rFonts w:asciiTheme="minorHAnsi" w:eastAsia="Times New Roman" w:hAnsiTheme="minorHAnsi" w:cstheme="minorHAnsi"/>
          <w:i/>
          <w:iCs/>
          <w:sz w:val="22"/>
          <w:szCs w:val="22"/>
          <w:bdr w:val="none" w:sz="0" w:space="0" w:color="auto"/>
        </w:rPr>
        <w:t xml:space="preserve">uffici </w:t>
      </w:r>
      <w:r w:rsidR="00C3682C">
        <w:rPr>
          <w:rFonts w:asciiTheme="minorHAnsi" w:eastAsia="Times New Roman" w:hAnsiTheme="minorHAnsi" w:cstheme="minorHAnsi"/>
          <w:i/>
          <w:iCs/>
          <w:sz w:val="22"/>
          <w:szCs w:val="22"/>
          <w:bdr w:val="none" w:sz="0" w:space="0" w:color="auto"/>
        </w:rPr>
        <w:t xml:space="preserve">e leisure) </w:t>
      </w:r>
      <w:r w:rsidR="00591C42">
        <w:rPr>
          <w:rFonts w:asciiTheme="minorHAnsi" w:eastAsia="Times New Roman" w:hAnsiTheme="minorHAnsi" w:cstheme="minorHAnsi"/>
          <w:i/>
          <w:iCs/>
          <w:sz w:val="22"/>
          <w:szCs w:val="22"/>
          <w:bdr w:val="none" w:sz="0" w:space="0" w:color="auto"/>
        </w:rPr>
        <w:t>si integrano</w:t>
      </w:r>
      <w:r w:rsidR="00C3682C">
        <w:rPr>
          <w:rFonts w:asciiTheme="minorHAnsi" w:eastAsia="Times New Roman" w:hAnsiTheme="minorHAnsi" w:cstheme="minorHAnsi"/>
          <w:i/>
          <w:iCs/>
          <w:sz w:val="22"/>
          <w:szCs w:val="22"/>
          <w:bdr w:val="none" w:sz="0" w:space="0" w:color="auto"/>
        </w:rPr>
        <w:t xml:space="preserve"> per promuovere i </w:t>
      </w:r>
      <w:r w:rsidR="00C3682C" w:rsidRPr="00FF1933">
        <w:rPr>
          <w:rFonts w:asciiTheme="minorHAnsi" w:eastAsia="Times New Roman" w:hAnsiTheme="minorHAnsi" w:cstheme="minorHAnsi"/>
          <w:b/>
          <w:i/>
          <w:iCs/>
          <w:sz w:val="22"/>
          <w:szCs w:val="22"/>
          <w:bdr w:val="none" w:sz="0" w:space="0" w:color="auto"/>
        </w:rPr>
        <w:t>luoghi dell’incontro e della condivisione</w:t>
      </w:r>
      <w:r w:rsidR="00C3682C">
        <w:rPr>
          <w:rFonts w:asciiTheme="minorHAnsi" w:eastAsia="Times New Roman" w:hAnsiTheme="minorHAnsi" w:cstheme="minorHAnsi"/>
          <w:i/>
          <w:iCs/>
          <w:sz w:val="22"/>
          <w:szCs w:val="22"/>
          <w:bdr w:val="none" w:sz="0" w:space="0" w:color="auto"/>
        </w:rPr>
        <w:t xml:space="preserve">. </w:t>
      </w:r>
      <w:r w:rsidR="00A82958" w:rsidRPr="00784306">
        <w:rPr>
          <w:rFonts w:asciiTheme="minorHAnsi" w:eastAsia="Times New Roman" w:hAnsiTheme="minorHAnsi" w:cstheme="minorHAnsi"/>
          <w:i/>
          <w:iCs/>
          <w:sz w:val="22"/>
          <w:szCs w:val="22"/>
          <w:bdr w:val="none" w:sz="0" w:space="0" w:color="auto"/>
        </w:rPr>
        <w:t>Riteniamo che questi quartieri “autosufficienti” e interconnessi</w:t>
      </w:r>
      <w:r w:rsidR="00C3682C">
        <w:rPr>
          <w:rFonts w:asciiTheme="minorHAnsi" w:eastAsia="Times New Roman" w:hAnsiTheme="minorHAnsi" w:cstheme="minorHAnsi"/>
          <w:i/>
          <w:iCs/>
          <w:sz w:val="22"/>
          <w:szCs w:val="22"/>
          <w:bdr w:val="none" w:sz="0" w:space="0" w:color="auto"/>
        </w:rPr>
        <w:t xml:space="preserve"> saranno capaci di </w:t>
      </w:r>
      <w:r w:rsidR="00D9583E">
        <w:rPr>
          <w:rFonts w:asciiTheme="minorHAnsi" w:eastAsia="Times New Roman" w:hAnsiTheme="minorHAnsi" w:cstheme="minorHAnsi"/>
          <w:i/>
          <w:iCs/>
          <w:sz w:val="22"/>
          <w:szCs w:val="22"/>
          <w:bdr w:val="none" w:sz="0" w:space="0" w:color="auto"/>
        </w:rPr>
        <w:t>rivitalizza</w:t>
      </w:r>
      <w:r w:rsidR="00C3682C">
        <w:rPr>
          <w:rFonts w:asciiTheme="minorHAnsi" w:eastAsia="Times New Roman" w:hAnsiTheme="minorHAnsi" w:cstheme="minorHAnsi"/>
          <w:i/>
          <w:iCs/>
          <w:sz w:val="22"/>
          <w:szCs w:val="22"/>
          <w:bdr w:val="none" w:sz="0" w:space="0" w:color="auto"/>
        </w:rPr>
        <w:t>re</w:t>
      </w:r>
      <w:r w:rsidR="00D9583E">
        <w:rPr>
          <w:rFonts w:asciiTheme="minorHAnsi" w:eastAsia="Times New Roman" w:hAnsiTheme="minorHAnsi" w:cstheme="minorHAnsi"/>
          <w:i/>
          <w:iCs/>
          <w:sz w:val="22"/>
          <w:szCs w:val="22"/>
          <w:bdr w:val="none" w:sz="0" w:space="0" w:color="auto"/>
        </w:rPr>
        <w:t xml:space="preserve"> </w:t>
      </w:r>
      <w:r w:rsidR="00FF1933">
        <w:rPr>
          <w:rFonts w:asciiTheme="minorHAnsi" w:eastAsia="Times New Roman" w:hAnsiTheme="minorHAnsi" w:cstheme="minorHAnsi"/>
          <w:i/>
          <w:iCs/>
          <w:sz w:val="22"/>
          <w:szCs w:val="22"/>
          <w:bdr w:val="none" w:sz="0" w:space="0" w:color="auto"/>
        </w:rPr>
        <w:t>Milano</w:t>
      </w:r>
      <w:r w:rsidR="00C3682C">
        <w:rPr>
          <w:rFonts w:asciiTheme="minorHAnsi" w:eastAsia="Times New Roman" w:hAnsiTheme="minorHAnsi" w:cstheme="minorHAnsi"/>
          <w:i/>
          <w:iCs/>
          <w:sz w:val="22"/>
          <w:szCs w:val="22"/>
          <w:bdr w:val="none" w:sz="0" w:space="0" w:color="auto"/>
        </w:rPr>
        <w:t xml:space="preserve"> e le permetteranno di trovare la strada </w:t>
      </w:r>
      <w:r w:rsidR="0016602B">
        <w:rPr>
          <w:rFonts w:asciiTheme="minorHAnsi" w:eastAsia="Times New Roman" w:hAnsiTheme="minorHAnsi" w:cstheme="minorHAnsi"/>
          <w:i/>
          <w:iCs/>
          <w:sz w:val="22"/>
          <w:szCs w:val="22"/>
          <w:bdr w:val="none" w:sz="0" w:space="0" w:color="auto"/>
        </w:rPr>
        <w:t xml:space="preserve">per </w:t>
      </w:r>
      <w:r w:rsidR="00C3682C">
        <w:rPr>
          <w:rFonts w:asciiTheme="minorHAnsi" w:eastAsia="Times New Roman" w:hAnsiTheme="minorHAnsi" w:cstheme="minorHAnsi"/>
          <w:i/>
          <w:iCs/>
          <w:sz w:val="22"/>
          <w:szCs w:val="22"/>
          <w:bdr w:val="none" w:sz="0" w:space="0" w:color="auto"/>
        </w:rPr>
        <w:t>rialzarsi</w:t>
      </w:r>
      <w:r w:rsidR="00154463">
        <w:rPr>
          <w:rFonts w:asciiTheme="minorHAnsi" w:eastAsia="Times New Roman" w:hAnsiTheme="minorHAnsi" w:cstheme="minorHAnsi"/>
          <w:i/>
          <w:iCs/>
          <w:sz w:val="22"/>
          <w:szCs w:val="22"/>
          <w:bdr w:val="none" w:sz="0" w:space="0" w:color="auto"/>
        </w:rPr>
        <w:t>,</w:t>
      </w:r>
      <w:r w:rsidR="00C3682C">
        <w:rPr>
          <w:rFonts w:asciiTheme="minorHAnsi" w:eastAsia="Times New Roman" w:hAnsiTheme="minorHAnsi" w:cstheme="minorHAnsi"/>
          <w:i/>
          <w:iCs/>
          <w:sz w:val="22"/>
          <w:szCs w:val="22"/>
          <w:bdr w:val="none" w:sz="0" w:space="0" w:color="auto"/>
        </w:rPr>
        <w:t xml:space="preserve"> </w:t>
      </w:r>
      <w:r w:rsidR="0016602B">
        <w:rPr>
          <w:rFonts w:asciiTheme="minorHAnsi" w:eastAsia="Times New Roman" w:hAnsiTheme="minorHAnsi" w:cstheme="minorHAnsi"/>
          <w:i/>
          <w:iCs/>
          <w:sz w:val="22"/>
          <w:szCs w:val="22"/>
          <w:bdr w:val="none" w:sz="0" w:space="0" w:color="auto"/>
        </w:rPr>
        <w:t>come ha sempre saputo fare</w:t>
      </w:r>
      <w:r w:rsidR="00FF1933">
        <w:rPr>
          <w:rFonts w:asciiTheme="minorHAnsi" w:eastAsia="Times New Roman" w:hAnsiTheme="minorHAnsi" w:cstheme="minorHAnsi"/>
          <w:i/>
          <w:iCs/>
          <w:sz w:val="22"/>
          <w:szCs w:val="22"/>
          <w:bdr w:val="none" w:sz="0" w:space="0" w:color="auto"/>
        </w:rPr>
        <w:t xml:space="preserve">, perché fa parte del suo </w:t>
      </w:r>
      <w:r w:rsidR="0016602B">
        <w:rPr>
          <w:rFonts w:asciiTheme="minorHAnsi" w:eastAsia="Times New Roman" w:hAnsiTheme="minorHAnsi" w:cstheme="minorHAnsi"/>
          <w:i/>
          <w:iCs/>
          <w:sz w:val="22"/>
          <w:szCs w:val="22"/>
          <w:bdr w:val="none" w:sz="0" w:space="0" w:color="auto"/>
        </w:rPr>
        <w:t>DNA</w:t>
      </w:r>
      <w:r w:rsidR="00D9583E">
        <w:rPr>
          <w:rFonts w:asciiTheme="minorHAnsi" w:eastAsia="Times New Roman" w:hAnsiTheme="minorHAnsi" w:cstheme="minorHAnsi"/>
          <w:i/>
          <w:iCs/>
          <w:sz w:val="22"/>
          <w:szCs w:val="22"/>
          <w:bdr w:val="none" w:sz="0" w:space="0" w:color="auto"/>
        </w:rPr>
        <w:t>”.</w:t>
      </w:r>
      <w:r w:rsidR="00A82958" w:rsidRPr="00784306">
        <w:rPr>
          <w:rFonts w:asciiTheme="minorHAnsi" w:eastAsia="Times New Roman" w:hAnsiTheme="minorHAnsi" w:cstheme="minorHAnsi"/>
          <w:i/>
          <w:iCs/>
          <w:sz w:val="22"/>
          <w:szCs w:val="22"/>
          <w:bdr w:val="none" w:sz="0" w:space="0" w:color="auto"/>
        </w:rPr>
        <w:t xml:space="preserve"> </w:t>
      </w:r>
    </w:p>
    <w:p w:rsidR="00A82958" w:rsidRDefault="00A82958" w:rsidP="00A82958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:rsidR="00E26611" w:rsidRDefault="00E26611" w:rsidP="00A82958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:rsidR="00CB6F67" w:rsidRDefault="00E26611" w:rsidP="00A82958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3333750</wp:posOffset>
            </wp:positionH>
            <wp:positionV relativeFrom="paragraph">
              <wp:posOffset>145415</wp:posOffset>
            </wp:positionV>
            <wp:extent cx="2856230" cy="2852420"/>
            <wp:effectExtent l="0" t="0" r="1270" b="508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6230" cy="285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6F67" w:rsidRPr="00F2642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LA RICERCA</w:t>
      </w:r>
    </w:p>
    <w:p w:rsidR="003127A1" w:rsidRPr="00F17990" w:rsidRDefault="00F17990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6"/>
          <w:szCs w:val="22"/>
          <w:u w:val="single"/>
        </w:rPr>
      </w:pPr>
      <w:r w:rsidRPr="00F17990">
        <w:rPr>
          <w:rFonts w:asciiTheme="minorHAnsi" w:hAnsiTheme="minorHAnsi" w:cstheme="minorHAnsi"/>
          <w:b/>
          <w:bCs/>
          <w:sz w:val="26"/>
          <w:szCs w:val="22"/>
        </w:rPr>
        <w:t>Il mercato o</w:t>
      </w:r>
      <w:r w:rsidR="00CB6F67" w:rsidRPr="00F17990">
        <w:rPr>
          <w:rFonts w:asciiTheme="minorHAnsi" w:hAnsiTheme="minorHAnsi" w:cstheme="minorHAnsi"/>
          <w:b/>
          <w:bCs/>
          <w:sz w:val="26"/>
          <w:szCs w:val="22"/>
        </w:rPr>
        <w:t>ltre la Circonvallazione</w:t>
      </w:r>
      <w:r>
        <w:rPr>
          <w:rFonts w:asciiTheme="minorHAnsi" w:hAnsiTheme="minorHAnsi" w:cstheme="minorHAnsi"/>
          <w:b/>
          <w:bCs/>
          <w:sz w:val="26"/>
          <w:szCs w:val="22"/>
        </w:rPr>
        <w:t xml:space="preserve"> </w:t>
      </w:r>
    </w:p>
    <w:p w:rsidR="00A152D8" w:rsidRDefault="00A152D8" w:rsidP="00961480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L’edizione 2020 introduce l’analisi delle iniziative residenziali oltre la Circonvallazione: l</w:t>
      </w:r>
      <w:r w:rsidR="00F51118">
        <w:rPr>
          <w:rFonts w:asciiTheme="minorHAnsi" w:hAnsiTheme="minorHAnsi" w:cstheme="minorHAnsi"/>
          <w:color w:val="000000"/>
          <w:sz w:val="22"/>
          <w:szCs w:val="22"/>
        </w:rPr>
        <w:t xml:space="preserve">’obiettivo del </w:t>
      </w:r>
      <w:r w:rsidR="00F51118" w:rsidRPr="00DC016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monitoraggio dei </w:t>
      </w:r>
      <w:r w:rsidR="00F5111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principali </w:t>
      </w:r>
      <w:r w:rsidR="00F51118" w:rsidRPr="00DC016C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progetti</w:t>
      </w:r>
      <w:r w:rsidR="00F51118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 xml:space="preserve">è quello di comprendere quali trasformazioni cambieranno il volto di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Milano nell’orizzonte temporale delle </w:t>
      </w:r>
      <w:r w:rsidRPr="00F26429">
        <w:rPr>
          <w:rFonts w:asciiTheme="minorHAnsi" w:hAnsiTheme="minorHAnsi" w:cstheme="minorHAnsi"/>
          <w:color w:val="000000"/>
          <w:sz w:val="22"/>
          <w:szCs w:val="22"/>
        </w:rPr>
        <w:t>Olimpiadi 2030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e </w:t>
      </w:r>
      <w:r w:rsidR="00267373">
        <w:rPr>
          <w:rFonts w:asciiTheme="minorHAnsi" w:hAnsiTheme="minorHAnsi" w:cstheme="minorHAnsi"/>
          <w:color w:val="000000"/>
          <w:sz w:val="22"/>
          <w:szCs w:val="22"/>
        </w:rPr>
        <w:t xml:space="preserve">di </w:t>
      </w:r>
      <w:r>
        <w:rPr>
          <w:rFonts w:asciiTheme="minorHAnsi" w:hAnsiTheme="minorHAnsi" w:cstheme="minorHAnsi"/>
          <w:color w:val="000000"/>
          <w:sz w:val="22"/>
          <w:szCs w:val="22"/>
        </w:rPr>
        <w:t>provare a quantificarne le dimensioni.</w:t>
      </w:r>
    </w:p>
    <w:p w:rsidR="00F51118" w:rsidRDefault="00A152D8" w:rsidP="00961480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C</w:t>
      </w:r>
      <w:r w:rsidR="00F51118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 xml:space="preserve">on la riconversione degli </w:t>
      </w:r>
      <w:r w:rsidR="00F51118" w:rsidRPr="00DC016C">
        <w:rPr>
          <w:rFonts w:asciiTheme="minorHAnsi" w:hAnsiTheme="minorHAnsi" w:cstheme="minorHAnsi"/>
          <w:color w:val="000000"/>
          <w:sz w:val="22"/>
          <w:szCs w:val="22"/>
        </w:rPr>
        <w:t>ex</w:t>
      </w:r>
      <w:r w:rsidR="00F51118" w:rsidRPr="00DC016C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="00F51118" w:rsidRPr="00F26429">
        <w:rPr>
          <w:rFonts w:asciiTheme="minorHAnsi" w:hAnsiTheme="minorHAnsi" w:cstheme="minorHAnsi"/>
          <w:color w:val="000000"/>
          <w:sz w:val="22"/>
          <w:szCs w:val="22"/>
        </w:rPr>
        <w:t xml:space="preserve">Scali </w:t>
      </w:r>
      <w:r w:rsidR="00F51118" w:rsidRPr="00F51118">
        <w:rPr>
          <w:rFonts w:asciiTheme="minorHAnsi" w:hAnsiTheme="minorHAnsi" w:cstheme="minorHAnsi"/>
          <w:color w:val="000000"/>
          <w:sz w:val="22"/>
          <w:szCs w:val="22"/>
        </w:rPr>
        <w:t xml:space="preserve">ferroviari e con il concorso </w:t>
      </w:r>
      <w:r w:rsidR="00F51118" w:rsidRPr="00F26429">
        <w:rPr>
          <w:rFonts w:asciiTheme="minorHAnsi" w:hAnsiTheme="minorHAnsi" w:cstheme="minorHAnsi"/>
          <w:color w:val="000000"/>
          <w:sz w:val="22"/>
          <w:szCs w:val="22"/>
        </w:rPr>
        <w:t>Reinventing Cities</w:t>
      </w:r>
      <w:r w:rsidR="00F51118" w:rsidRPr="00DC016C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C0161E">
        <w:rPr>
          <w:rStyle w:val="apple-converted-space"/>
          <w:rFonts w:asciiTheme="minorHAnsi" w:hAnsiTheme="minorHAnsi" w:cstheme="minorHAnsi"/>
          <w:i/>
          <w:iCs/>
          <w:color w:val="000000"/>
          <w:sz w:val="22"/>
          <w:szCs w:val="22"/>
        </w:rPr>
        <w:t>in primis</w:t>
      </w:r>
      <w:r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, si d</w:t>
      </w:r>
      <w:r w:rsidR="00C0161E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e</w:t>
      </w:r>
      <w:r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linea un</w:t>
      </w:r>
      <w:r w:rsidR="00C0161E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’</w:t>
      </w:r>
      <w:r w:rsidR="00F51118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 xml:space="preserve">opportunità unica </w:t>
      </w:r>
      <w:r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per la città</w:t>
      </w:r>
      <w:r w:rsidR="00DC07A8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,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C07A8">
        <w:rPr>
          <w:rFonts w:asciiTheme="minorHAnsi" w:hAnsiTheme="minorHAnsi" w:cstheme="minorHAnsi"/>
          <w:color w:val="000000"/>
          <w:sz w:val="22"/>
          <w:szCs w:val="22"/>
        </w:rPr>
        <w:t>sia</w:t>
      </w:r>
      <w:r w:rsidR="006917D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per ricucire territori </w:t>
      </w:r>
      <w:r w:rsidR="006917D8">
        <w:rPr>
          <w:rFonts w:asciiTheme="minorHAnsi" w:hAnsiTheme="minorHAnsi" w:cstheme="minorHAnsi"/>
          <w:color w:val="000000"/>
          <w:sz w:val="22"/>
          <w:szCs w:val="22"/>
        </w:rPr>
        <w:t>degradati</w:t>
      </w:r>
      <w:r w:rsidR="00DC07A8">
        <w:rPr>
          <w:rFonts w:asciiTheme="minorHAnsi" w:hAnsiTheme="minorHAnsi" w:cstheme="minorHAnsi"/>
          <w:color w:val="000000"/>
          <w:sz w:val="22"/>
          <w:szCs w:val="22"/>
        </w:rPr>
        <w:t>, sia</w:t>
      </w:r>
      <w:r w:rsidR="006917D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C07A8">
        <w:rPr>
          <w:rFonts w:asciiTheme="minorHAnsi" w:hAnsiTheme="minorHAnsi" w:cstheme="minorHAnsi"/>
          <w:color w:val="000000"/>
          <w:sz w:val="22"/>
          <w:szCs w:val="22"/>
        </w:rPr>
        <w:t>per</w:t>
      </w:r>
      <w:r w:rsidR="006917D8">
        <w:rPr>
          <w:rFonts w:asciiTheme="minorHAnsi" w:hAnsiTheme="minorHAnsi" w:cstheme="minorHAnsi"/>
          <w:color w:val="000000"/>
          <w:sz w:val="22"/>
          <w:szCs w:val="22"/>
        </w:rPr>
        <w:t xml:space="preserve"> rispondere alla domanda abitativa.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961480" w:rsidRDefault="00C84062" w:rsidP="00961480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 xml:space="preserve">Il dato più significativo </w:t>
      </w:r>
      <w:r w:rsidR="00C0161E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 xml:space="preserve">riguarda </w:t>
      </w:r>
      <w:r w:rsidR="00961480" w:rsidRPr="00455439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 xml:space="preserve">la superficie residenziale che </w:t>
      </w:r>
      <w:r w:rsidR="004F2416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 xml:space="preserve">potrebbe </w:t>
      </w:r>
      <w:r w:rsidR="004F2416" w:rsidRPr="00455439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essere</w:t>
      </w:r>
      <w:r w:rsidR="00961480" w:rsidRPr="00455439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 xml:space="preserve"> messa in commercio</w:t>
      </w:r>
      <w:r w:rsidR="00020537" w:rsidRPr="00020537"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020537" w:rsidRPr="00F26429"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entro il </w:t>
      </w:r>
      <w:r w:rsidR="00020537"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</w:rPr>
        <w:t>2030</w:t>
      </w:r>
      <w:r w:rsidR="00C0161E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:</w:t>
      </w:r>
      <w:r w:rsidR="00961480" w:rsidRPr="00455439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20537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 xml:space="preserve">si tratta di </w:t>
      </w:r>
      <w:r w:rsidR="00961480" w:rsidRPr="00F26429"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</w:rPr>
        <w:t>oltre 2 milioni e mezzo di metri quadrati</w:t>
      </w:r>
      <w:r w:rsidR="00961480" w:rsidRPr="00455439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 xml:space="preserve">, che corrispondono a circa </w:t>
      </w:r>
      <w:r w:rsidR="00961480" w:rsidRPr="00F26429"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</w:rPr>
        <w:t>38.000 nuovi appartamenti</w:t>
      </w:r>
      <w:r w:rsidR="00B519E3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.</w:t>
      </w:r>
    </w:p>
    <w:p w:rsidR="00FC0623" w:rsidRDefault="00FC0623" w:rsidP="00961480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cs="Calibri"/>
          <w:color w:val="000000"/>
          <w:sz w:val="22"/>
          <w:szCs w:val="22"/>
        </w:rPr>
      </w:pPr>
    </w:p>
    <w:p w:rsidR="00D601DE" w:rsidRDefault="00D601DE" w:rsidP="0061621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F2ED1">
        <w:rPr>
          <w:rFonts w:asciiTheme="minorHAnsi" w:eastAsia="Times New Roman" w:hAnsiTheme="minorHAnsi" w:cstheme="minorHAnsi"/>
          <w:b/>
          <w:bCs/>
          <w:color w:val="auto"/>
          <w:sz w:val="26"/>
          <w:szCs w:val="22"/>
          <w:bdr w:val="none" w:sz="0" w:space="0" w:color="auto"/>
        </w:rPr>
        <w:t>Il residenziale entro la Circonvallazione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F2ED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961480" w:rsidRPr="00F26429" w:rsidRDefault="00961480" w:rsidP="00F26429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30A6F">
        <w:rPr>
          <w:rFonts w:asciiTheme="minorHAnsi" w:hAnsiTheme="minorHAnsi" w:cstheme="minorHAnsi"/>
          <w:color w:val="000000"/>
          <w:sz w:val="22"/>
          <w:szCs w:val="22"/>
        </w:rPr>
        <w:t xml:space="preserve">Il monitoraggio </w:t>
      </w:r>
      <w:r w:rsidR="00AF0B02">
        <w:rPr>
          <w:rFonts w:asciiTheme="minorHAnsi" w:hAnsiTheme="minorHAnsi" w:cstheme="minorHAnsi"/>
          <w:color w:val="000000"/>
          <w:sz w:val="22"/>
          <w:szCs w:val="22"/>
        </w:rPr>
        <w:t>dei progetti</w:t>
      </w:r>
      <w:r w:rsidRPr="00730A6F">
        <w:rPr>
          <w:rFonts w:asciiTheme="minorHAnsi" w:hAnsiTheme="minorHAnsi" w:cstheme="minorHAnsi"/>
          <w:color w:val="000000"/>
          <w:sz w:val="22"/>
          <w:szCs w:val="22"/>
        </w:rPr>
        <w:t xml:space="preserve"> di nuova costruzione</w:t>
      </w:r>
      <w:r w:rsidRPr="00F26429">
        <w:rPr>
          <w:rFonts w:asciiTheme="minorHAnsi" w:hAnsiTheme="minorHAnsi" w:cstheme="minorHAnsi"/>
          <w:color w:val="000000"/>
          <w:sz w:val="22"/>
          <w:szCs w:val="22"/>
        </w:rPr>
        <w:t xml:space="preserve"> effettuato </w:t>
      </w:r>
      <w:r w:rsidR="00F22258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F26429">
        <w:rPr>
          <w:rFonts w:asciiTheme="minorHAnsi" w:hAnsiTheme="minorHAnsi" w:cstheme="minorHAnsi"/>
          <w:color w:val="000000"/>
          <w:sz w:val="22"/>
          <w:szCs w:val="22"/>
        </w:rPr>
        <w:t xml:space="preserve"> giugno 2020</w:t>
      </w:r>
      <w:r w:rsidR="00C0161E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F26429">
        <w:rPr>
          <w:rFonts w:asciiTheme="minorHAnsi" w:hAnsiTheme="minorHAnsi" w:cstheme="minorHAnsi"/>
          <w:color w:val="000000"/>
          <w:sz w:val="22"/>
          <w:szCs w:val="22"/>
        </w:rPr>
        <w:t xml:space="preserve"> e relativo ai 12 mesi </w:t>
      </w:r>
      <w:r w:rsidRPr="00EC0CCB">
        <w:rPr>
          <w:rFonts w:asciiTheme="minorHAnsi" w:hAnsiTheme="minorHAnsi" w:cstheme="minorHAnsi"/>
          <w:color w:val="000000"/>
          <w:sz w:val="22"/>
          <w:szCs w:val="22"/>
        </w:rPr>
        <w:t>precedenti (</w:t>
      </w:r>
      <w:r w:rsidR="00F22258">
        <w:rPr>
          <w:rFonts w:asciiTheme="minorHAnsi" w:hAnsiTheme="minorHAnsi" w:cstheme="minorHAnsi"/>
          <w:color w:val="000000"/>
          <w:sz w:val="22"/>
          <w:szCs w:val="22"/>
        </w:rPr>
        <w:t>06/19</w:t>
      </w:r>
      <w:r w:rsidRPr="00EC0CC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22258">
        <w:rPr>
          <w:rFonts w:asciiTheme="minorHAnsi" w:hAnsiTheme="minorHAnsi" w:cstheme="minorHAnsi"/>
          <w:color w:val="000000"/>
          <w:sz w:val="22"/>
          <w:szCs w:val="22"/>
        </w:rPr>
        <w:t>–</w:t>
      </w:r>
      <w:r w:rsidRPr="00EC0CC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22258">
        <w:rPr>
          <w:rFonts w:asciiTheme="minorHAnsi" w:hAnsiTheme="minorHAnsi" w:cstheme="minorHAnsi"/>
          <w:color w:val="000000"/>
          <w:sz w:val="22"/>
          <w:szCs w:val="22"/>
        </w:rPr>
        <w:t>05/</w:t>
      </w:r>
      <w:r w:rsidRPr="00EC0CCB">
        <w:rPr>
          <w:rFonts w:asciiTheme="minorHAnsi" w:hAnsiTheme="minorHAnsi" w:cstheme="minorHAnsi"/>
          <w:color w:val="000000"/>
          <w:sz w:val="22"/>
          <w:szCs w:val="22"/>
        </w:rPr>
        <w:t>20)</w:t>
      </w:r>
      <w:r w:rsidR="00C0161E" w:rsidRPr="00EC0CCB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EC0CCB">
        <w:rPr>
          <w:rFonts w:asciiTheme="minorHAnsi" w:hAnsiTheme="minorHAnsi" w:cstheme="minorHAnsi"/>
          <w:color w:val="000000"/>
          <w:sz w:val="22"/>
          <w:szCs w:val="22"/>
        </w:rPr>
        <w:t xml:space="preserve"> ha</w:t>
      </w:r>
      <w:r w:rsidRPr="00F26429">
        <w:rPr>
          <w:rFonts w:asciiTheme="minorHAnsi" w:hAnsiTheme="minorHAnsi" w:cstheme="minorHAnsi"/>
          <w:color w:val="000000"/>
          <w:sz w:val="22"/>
          <w:szCs w:val="22"/>
        </w:rPr>
        <w:t xml:space="preserve"> rilevato un totale di </w:t>
      </w:r>
      <w:r w:rsidRPr="00F26429">
        <w:rPr>
          <w:rFonts w:asciiTheme="minorHAnsi" w:hAnsiTheme="minorHAnsi" w:cstheme="minorHAnsi"/>
          <w:b/>
          <w:bCs/>
          <w:color w:val="000000"/>
          <w:sz w:val="22"/>
          <w:szCs w:val="22"/>
        </w:rPr>
        <w:t>117 operazioni residenziali entro la Circonvallazione</w:t>
      </w:r>
      <w:r w:rsidRPr="00F26429">
        <w:rPr>
          <w:rFonts w:asciiTheme="minorHAnsi" w:hAnsiTheme="minorHAnsi" w:cstheme="minorHAnsi"/>
          <w:color w:val="000000"/>
          <w:sz w:val="22"/>
          <w:szCs w:val="22"/>
        </w:rPr>
        <w:t>. Nei 12 mesi</w:t>
      </w:r>
      <w:r w:rsidR="00A53B8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53B82">
        <w:rPr>
          <w:rFonts w:asciiTheme="minorHAnsi" w:hAnsiTheme="minorHAnsi" w:cstheme="minorHAnsi"/>
          <w:color w:val="000000"/>
          <w:sz w:val="22"/>
          <w:szCs w:val="22"/>
        </w:rPr>
        <w:lastRenderedPageBreak/>
        <w:t>analizzati</w:t>
      </w:r>
      <w:r w:rsidRPr="00F26429">
        <w:rPr>
          <w:rFonts w:asciiTheme="minorHAnsi" w:hAnsiTheme="minorHAnsi" w:cstheme="minorHAnsi"/>
          <w:color w:val="000000"/>
          <w:sz w:val="22"/>
          <w:szCs w:val="22"/>
        </w:rPr>
        <w:t xml:space="preserve"> si sono </w:t>
      </w:r>
      <w:r w:rsidR="00A53B82">
        <w:rPr>
          <w:rFonts w:asciiTheme="minorHAnsi" w:hAnsiTheme="minorHAnsi" w:cstheme="minorHAnsi"/>
          <w:color w:val="000000"/>
          <w:sz w:val="22"/>
          <w:szCs w:val="22"/>
        </w:rPr>
        <w:t xml:space="preserve">concluse le vendite di </w:t>
      </w:r>
      <w:r w:rsidRPr="00F26429">
        <w:rPr>
          <w:rFonts w:asciiTheme="minorHAnsi" w:hAnsiTheme="minorHAnsi" w:cstheme="minorHAnsi"/>
          <w:color w:val="000000"/>
          <w:sz w:val="22"/>
          <w:szCs w:val="22"/>
        </w:rPr>
        <w:t xml:space="preserve">47 operazioni </w:t>
      </w:r>
      <w:r w:rsidR="00FC0623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FC0623" w:rsidRPr="00F2642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53B82">
        <w:rPr>
          <w:rFonts w:asciiTheme="minorHAnsi" w:hAnsiTheme="minorHAnsi" w:cstheme="minorHAnsi"/>
          <w:color w:val="000000"/>
          <w:sz w:val="22"/>
          <w:szCs w:val="22"/>
        </w:rPr>
        <w:t xml:space="preserve">36 </w:t>
      </w:r>
      <w:r w:rsidR="00AF0B02">
        <w:rPr>
          <w:rFonts w:asciiTheme="minorHAnsi" w:hAnsiTheme="minorHAnsi" w:cstheme="minorHAnsi"/>
          <w:color w:val="000000"/>
          <w:sz w:val="22"/>
          <w:szCs w:val="22"/>
        </w:rPr>
        <w:t xml:space="preserve">nuove </w:t>
      </w:r>
      <w:r w:rsidR="00A53B82">
        <w:rPr>
          <w:rFonts w:asciiTheme="minorHAnsi" w:hAnsiTheme="minorHAnsi" w:cstheme="minorHAnsi"/>
          <w:color w:val="000000"/>
          <w:sz w:val="22"/>
          <w:szCs w:val="22"/>
        </w:rPr>
        <w:t>iniziative sono state messe sul mercato. A</w:t>
      </w:r>
      <w:r w:rsidRPr="00F26429">
        <w:rPr>
          <w:rFonts w:asciiTheme="minorHAnsi" w:hAnsiTheme="minorHAnsi" w:cstheme="minorHAnsi"/>
          <w:color w:val="000000"/>
          <w:sz w:val="22"/>
          <w:szCs w:val="22"/>
        </w:rPr>
        <w:t xml:space="preserve"> fine rilevazione</w:t>
      </w:r>
      <w:r w:rsidR="00267373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F2642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F0B02">
        <w:rPr>
          <w:rFonts w:asciiTheme="minorHAnsi" w:hAnsiTheme="minorHAnsi" w:cstheme="minorHAnsi"/>
          <w:color w:val="000000"/>
          <w:sz w:val="22"/>
          <w:szCs w:val="22"/>
        </w:rPr>
        <w:t>gli sviluppi</w:t>
      </w:r>
      <w:r w:rsidRPr="00F26429">
        <w:rPr>
          <w:rFonts w:asciiTheme="minorHAnsi" w:hAnsiTheme="minorHAnsi" w:cstheme="minorHAnsi"/>
          <w:color w:val="000000"/>
          <w:sz w:val="22"/>
          <w:szCs w:val="22"/>
        </w:rPr>
        <w:t xml:space="preserve"> che presentano </w:t>
      </w:r>
      <w:r w:rsidR="00A53B82">
        <w:rPr>
          <w:rFonts w:asciiTheme="minorHAnsi" w:hAnsiTheme="minorHAnsi" w:cstheme="minorHAnsi"/>
          <w:color w:val="000000"/>
          <w:sz w:val="22"/>
          <w:szCs w:val="22"/>
        </w:rPr>
        <w:t xml:space="preserve">ancora </w:t>
      </w:r>
      <w:r w:rsidRPr="00F26429">
        <w:rPr>
          <w:rFonts w:asciiTheme="minorHAnsi" w:hAnsiTheme="minorHAnsi" w:cstheme="minorHAnsi"/>
          <w:color w:val="000000"/>
          <w:sz w:val="22"/>
          <w:szCs w:val="22"/>
        </w:rPr>
        <w:t>appartamenti in vendita sono 72</w:t>
      </w:r>
      <w:r w:rsidR="00DC07A8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F26429">
        <w:rPr>
          <w:rFonts w:asciiTheme="minorHAnsi" w:hAnsiTheme="minorHAnsi" w:cstheme="minorHAnsi"/>
          <w:color w:val="000000"/>
          <w:sz w:val="22"/>
          <w:szCs w:val="22"/>
        </w:rPr>
        <w:t xml:space="preserve"> per un totale di </w:t>
      </w:r>
      <w:r w:rsidRPr="00F26429">
        <w:rPr>
          <w:rFonts w:asciiTheme="minorHAnsi" w:hAnsiTheme="minorHAnsi" w:cstheme="minorHAnsi"/>
          <w:b/>
          <w:bCs/>
          <w:color w:val="000000"/>
          <w:sz w:val="22"/>
          <w:szCs w:val="22"/>
        </w:rPr>
        <w:t>825 unità effettivamente disponibili</w:t>
      </w:r>
      <w:r w:rsidRPr="00F2642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616217" w:rsidRDefault="00616217" w:rsidP="00616217">
      <w:pPr>
        <w:jc w:val="both"/>
        <w:rPr>
          <w:rFonts w:asciiTheme="minorHAnsi" w:eastAsia="Times New Roman" w:hAnsiTheme="minorHAnsi" w:cstheme="minorHAnsi"/>
          <w:sz w:val="22"/>
          <w:szCs w:val="22"/>
          <w:u w:val="single"/>
          <w:bdr w:val="none" w:sz="0" w:space="0" w:color="auto"/>
        </w:rPr>
      </w:pPr>
    </w:p>
    <w:p w:rsidR="00616217" w:rsidRPr="00450DBD" w:rsidRDefault="00616217" w:rsidP="00616217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F26429">
        <w:rPr>
          <w:rFonts w:asciiTheme="minorHAnsi" w:eastAsia="Times New Roman" w:hAnsiTheme="minorHAnsi" w:cstheme="minorHAnsi"/>
          <w:sz w:val="22"/>
          <w:szCs w:val="22"/>
          <w:u w:val="single"/>
          <w:bdr w:val="none" w:sz="0" w:space="0" w:color="auto"/>
        </w:rPr>
        <w:t>Prodotto degli ultimi 12 mesi</w:t>
      </w:r>
    </w:p>
    <w:p w:rsidR="003127A1" w:rsidRPr="006E44BC" w:rsidRDefault="00616217">
      <w:pPr>
        <w:pStyle w:val="Corpo"/>
        <w:jc w:val="both"/>
        <w:rPr>
          <w:rFonts w:asciiTheme="minorHAnsi" w:eastAsia="Times New Roman" w:hAnsiTheme="minorHAnsi" w:cstheme="minorHAnsi"/>
          <w:lang w:val="it-IT"/>
        </w:rPr>
      </w:pPr>
      <w:r w:rsidRPr="006E44BC">
        <w:rPr>
          <w:rFonts w:asciiTheme="minorHAnsi" w:eastAsia="Times New Roman" w:hAnsiTheme="minorHAnsi" w:cstheme="minorHAnsi"/>
          <w:lang w:val="it-IT"/>
        </w:rPr>
        <w:t>Il prodotto “ultimi 12 mesi”, ossia quello messo in commercio nel periodo di rilevazione</w:t>
      </w:r>
      <w:r w:rsidR="00C0161E" w:rsidRPr="006E44BC">
        <w:rPr>
          <w:rFonts w:asciiTheme="minorHAnsi" w:eastAsia="Times New Roman" w:hAnsiTheme="minorHAnsi" w:cstheme="minorHAnsi"/>
          <w:lang w:val="it-IT"/>
        </w:rPr>
        <w:t xml:space="preserve">, </w:t>
      </w:r>
      <w:r w:rsidRPr="006E44BC">
        <w:rPr>
          <w:rFonts w:asciiTheme="minorHAnsi" w:eastAsia="Times New Roman" w:hAnsiTheme="minorHAnsi" w:cstheme="minorHAnsi"/>
          <w:lang w:val="it-IT"/>
        </w:rPr>
        <w:t xml:space="preserve">evidenzia </w:t>
      </w:r>
      <w:r w:rsidRPr="006E44BC">
        <w:rPr>
          <w:rFonts w:asciiTheme="minorHAnsi" w:eastAsia="Times New Roman" w:hAnsiTheme="minorHAnsi" w:cstheme="minorHAnsi"/>
          <w:b/>
          <w:lang w:val="it-IT"/>
        </w:rPr>
        <w:t>un incremento</w:t>
      </w:r>
      <w:r w:rsidRPr="006E44BC">
        <w:rPr>
          <w:rFonts w:asciiTheme="minorHAnsi" w:eastAsia="Times New Roman" w:hAnsiTheme="minorHAnsi" w:cstheme="minorHAnsi"/>
          <w:lang w:val="it-IT"/>
        </w:rPr>
        <w:t xml:space="preserve"> delle iniziative del 64%</w:t>
      </w:r>
      <w:r w:rsidR="00C0161E" w:rsidRPr="006E44BC">
        <w:rPr>
          <w:rFonts w:asciiTheme="minorHAnsi" w:eastAsia="Times New Roman" w:hAnsiTheme="minorHAnsi" w:cstheme="minorHAnsi"/>
          <w:lang w:val="it-IT"/>
        </w:rPr>
        <w:t xml:space="preserve"> (n. 36) </w:t>
      </w:r>
      <w:r w:rsidRPr="006E44BC">
        <w:rPr>
          <w:rFonts w:asciiTheme="minorHAnsi" w:eastAsia="Times New Roman" w:hAnsiTheme="minorHAnsi" w:cstheme="minorHAnsi"/>
          <w:lang w:val="it-IT"/>
        </w:rPr>
        <w:t xml:space="preserve">e delle </w:t>
      </w:r>
      <w:r w:rsidRPr="006E44BC">
        <w:rPr>
          <w:rFonts w:asciiTheme="minorHAnsi" w:eastAsia="Times New Roman" w:hAnsiTheme="minorHAnsi" w:cstheme="minorHAnsi"/>
          <w:b/>
          <w:lang w:val="it-IT"/>
        </w:rPr>
        <w:t>unità del 50% (n. 1.354).</w:t>
      </w:r>
    </w:p>
    <w:p w:rsidR="00616217" w:rsidRPr="001D7DA1" w:rsidRDefault="00616217">
      <w:pPr>
        <w:pStyle w:val="Corpo"/>
        <w:jc w:val="both"/>
        <w:rPr>
          <w:rFonts w:asciiTheme="minorHAnsi" w:eastAsia="Times New Roman" w:hAnsiTheme="minorHAnsi" w:cstheme="minorHAnsi"/>
          <w:u w:val="single"/>
          <w:lang w:val="it-IT"/>
        </w:rPr>
      </w:pPr>
    </w:p>
    <w:p w:rsidR="00616217" w:rsidRDefault="00616217" w:rsidP="00450DBD">
      <w:pPr>
        <w:pStyle w:val="Corpo"/>
        <w:jc w:val="both"/>
        <w:rPr>
          <w:rFonts w:asciiTheme="minorHAnsi" w:eastAsia="Times New Roman" w:hAnsiTheme="minorHAnsi" w:cstheme="minorHAnsi"/>
          <w:u w:val="single"/>
          <w:lang w:val="it-IT"/>
        </w:rPr>
      </w:pPr>
      <w:r w:rsidRPr="001D7DA1">
        <w:rPr>
          <w:rFonts w:asciiTheme="minorHAnsi" w:eastAsia="Times New Roman" w:hAnsiTheme="minorHAnsi" w:cstheme="minorHAnsi"/>
          <w:u w:val="single"/>
          <w:lang w:val="it-IT"/>
        </w:rPr>
        <w:t>Vendite</w:t>
      </w:r>
    </w:p>
    <w:p w:rsidR="00961480" w:rsidRPr="001D7DA1" w:rsidRDefault="00961480" w:rsidP="00450DBD">
      <w:pPr>
        <w:pStyle w:val="Corpo"/>
        <w:jc w:val="both"/>
        <w:rPr>
          <w:b/>
          <w:bCs/>
          <w:noProof/>
          <w:lang w:val="it-IT"/>
        </w:rPr>
      </w:pPr>
      <w:r w:rsidRPr="001D7DA1">
        <w:rPr>
          <w:rFonts w:asciiTheme="minorHAnsi" w:eastAsia="Times New Roman" w:hAnsiTheme="minorHAnsi" w:cstheme="minorHAnsi"/>
          <w:u w:color="000000"/>
          <w:lang w:val="it-IT"/>
        </w:rPr>
        <w:t>Ne</w:t>
      </w:r>
      <w:r w:rsidR="00A53B82">
        <w:rPr>
          <w:rFonts w:asciiTheme="minorHAnsi" w:eastAsia="Times New Roman" w:hAnsiTheme="minorHAnsi" w:cstheme="minorHAnsi"/>
          <w:u w:color="000000"/>
          <w:lang w:val="it-IT"/>
        </w:rPr>
        <w:t xml:space="preserve">i </w:t>
      </w:r>
      <w:r w:rsidRPr="001D7DA1">
        <w:rPr>
          <w:rFonts w:asciiTheme="minorHAnsi" w:eastAsia="Times New Roman" w:hAnsiTheme="minorHAnsi" w:cstheme="minorHAnsi"/>
          <w:u w:color="000000"/>
          <w:lang w:val="it-IT"/>
        </w:rPr>
        <w:t xml:space="preserve">12 mesi </w:t>
      </w:r>
      <w:r w:rsidR="00A53B82">
        <w:rPr>
          <w:rFonts w:asciiTheme="minorHAnsi" w:eastAsia="Times New Roman" w:hAnsiTheme="minorHAnsi" w:cstheme="minorHAnsi"/>
          <w:u w:color="000000"/>
          <w:lang w:val="it-IT"/>
        </w:rPr>
        <w:t xml:space="preserve">di indagine </w:t>
      </w:r>
      <w:r w:rsidRPr="001D7DA1">
        <w:rPr>
          <w:rFonts w:asciiTheme="minorHAnsi" w:eastAsia="Times New Roman" w:hAnsiTheme="minorHAnsi" w:cstheme="minorHAnsi"/>
          <w:u w:color="000000"/>
          <w:lang w:val="it-IT"/>
        </w:rPr>
        <w:t xml:space="preserve">le </w:t>
      </w:r>
      <w:r w:rsidRPr="001D7DA1">
        <w:rPr>
          <w:rFonts w:asciiTheme="minorHAnsi" w:eastAsia="Times New Roman" w:hAnsiTheme="minorHAnsi" w:cstheme="minorHAnsi"/>
          <w:b/>
          <w:bCs/>
          <w:u w:color="000000"/>
          <w:lang w:val="it-IT"/>
        </w:rPr>
        <w:t>vendite sono state 1.292</w:t>
      </w:r>
      <w:r w:rsidR="00FC0623" w:rsidRPr="001D7DA1">
        <w:rPr>
          <w:rFonts w:asciiTheme="minorHAnsi" w:eastAsia="Times New Roman" w:hAnsiTheme="minorHAnsi" w:cstheme="minorHAnsi"/>
          <w:u w:color="000000"/>
          <w:lang w:val="it-IT"/>
        </w:rPr>
        <w:t xml:space="preserve">, </w:t>
      </w:r>
      <w:r w:rsidRPr="001D7DA1">
        <w:rPr>
          <w:rFonts w:asciiTheme="minorHAnsi" w:eastAsia="Times New Roman" w:hAnsiTheme="minorHAnsi" w:cstheme="minorHAnsi"/>
          <w:u w:color="000000"/>
          <w:lang w:val="it-IT"/>
        </w:rPr>
        <w:t>con un incremento del 13% rispetto al</w:t>
      </w:r>
      <w:r w:rsidR="00A53B82">
        <w:rPr>
          <w:rFonts w:asciiTheme="minorHAnsi" w:eastAsia="Times New Roman" w:hAnsiTheme="minorHAnsi" w:cstheme="minorHAnsi"/>
          <w:u w:color="000000"/>
          <w:lang w:val="it-IT"/>
        </w:rPr>
        <w:t>la Ricerca del</w:t>
      </w:r>
      <w:r w:rsidRPr="001D7DA1">
        <w:rPr>
          <w:rFonts w:asciiTheme="minorHAnsi" w:eastAsia="Times New Roman" w:hAnsiTheme="minorHAnsi" w:cstheme="minorHAnsi"/>
          <w:u w:color="000000"/>
          <w:lang w:val="it-IT"/>
        </w:rPr>
        <w:t xml:space="preserve"> 2019</w:t>
      </w:r>
      <w:r w:rsidR="00FC0623" w:rsidRPr="001D7DA1">
        <w:rPr>
          <w:rFonts w:asciiTheme="minorHAnsi" w:eastAsia="Times New Roman" w:hAnsiTheme="minorHAnsi" w:cstheme="minorHAnsi"/>
          <w:u w:color="000000"/>
          <w:lang w:val="it-IT"/>
        </w:rPr>
        <w:t>. Inoltre,</w:t>
      </w:r>
      <w:r w:rsidRPr="001D7DA1">
        <w:rPr>
          <w:rFonts w:asciiTheme="minorHAnsi" w:eastAsia="Times New Roman" w:hAnsiTheme="minorHAnsi" w:cstheme="minorHAnsi"/>
          <w:u w:color="000000"/>
          <w:lang w:val="it-IT"/>
        </w:rPr>
        <w:t xml:space="preserve"> il </w:t>
      </w:r>
      <w:r w:rsidRPr="001D7DA1">
        <w:rPr>
          <w:rFonts w:asciiTheme="minorHAnsi" w:eastAsia="Times New Roman" w:hAnsiTheme="minorHAnsi" w:cstheme="minorHAnsi"/>
          <w:b/>
          <w:u w:color="000000"/>
          <w:lang w:val="it-IT"/>
        </w:rPr>
        <w:t>58%</w:t>
      </w:r>
      <w:r w:rsidRPr="001D7DA1">
        <w:rPr>
          <w:rFonts w:asciiTheme="minorHAnsi" w:eastAsia="Times New Roman" w:hAnsiTheme="minorHAnsi" w:cstheme="minorHAnsi"/>
          <w:u w:color="000000"/>
          <w:lang w:val="it-IT"/>
        </w:rPr>
        <w:t xml:space="preserve"> del</w:t>
      </w:r>
      <w:r w:rsidR="00A53B82">
        <w:rPr>
          <w:rFonts w:asciiTheme="minorHAnsi" w:eastAsia="Times New Roman" w:hAnsiTheme="minorHAnsi" w:cstheme="minorHAnsi"/>
          <w:u w:color="000000"/>
          <w:lang w:val="it-IT"/>
        </w:rPr>
        <w:t xml:space="preserve">le vendite totali </w:t>
      </w:r>
      <w:r w:rsidRPr="001D7DA1">
        <w:rPr>
          <w:rFonts w:asciiTheme="minorHAnsi" w:eastAsia="Times New Roman" w:hAnsiTheme="minorHAnsi" w:cstheme="minorHAnsi"/>
          <w:u w:color="000000"/>
          <w:lang w:val="it-IT"/>
        </w:rPr>
        <w:t>è rappresentato da abitazioni recentissime</w:t>
      </w:r>
      <w:r w:rsidR="00FC0623" w:rsidRPr="001D7DA1">
        <w:rPr>
          <w:rFonts w:asciiTheme="minorHAnsi" w:eastAsia="Times New Roman" w:hAnsiTheme="minorHAnsi" w:cstheme="minorHAnsi"/>
          <w:u w:color="000000"/>
          <w:lang w:val="it-IT"/>
        </w:rPr>
        <w:t xml:space="preserve">: </w:t>
      </w:r>
      <w:r w:rsidRPr="001D7DA1">
        <w:rPr>
          <w:rFonts w:asciiTheme="minorHAnsi" w:eastAsia="Times New Roman" w:hAnsiTheme="minorHAnsi" w:cstheme="minorHAnsi"/>
          <w:u w:color="000000"/>
          <w:lang w:val="it-IT"/>
        </w:rPr>
        <w:t xml:space="preserve">quasi </w:t>
      </w:r>
      <w:r w:rsidRPr="001D7DA1">
        <w:rPr>
          <w:rFonts w:asciiTheme="minorHAnsi" w:eastAsia="Times New Roman" w:hAnsiTheme="minorHAnsi" w:cstheme="minorHAnsi"/>
          <w:b/>
          <w:u w:color="000000"/>
          <w:lang w:val="it-IT"/>
        </w:rPr>
        <w:t xml:space="preserve">6 case su 10 sono </w:t>
      </w:r>
      <w:r w:rsidR="00FC0623" w:rsidRPr="001D7DA1">
        <w:rPr>
          <w:rFonts w:asciiTheme="minorHAnsi" w:eastAsia="Times New Roman" w:hAnsiTheme="minorHAnsi" w:cstheme="minorHAnsi"/>
          <w:b/>
          <w:u w:color="000000"/>
          <w:lang w:val="it-IT"/>
        </w:rPr>
        <w:t xml:space="preserve">state </w:t>
      </w:r>
      <w:r w:rsidRPr="001D7DA1">
        <w:rPr>
          <w:rFonts w:asciiTheme="minorHAnsi" w:eastAsia="Times New Roman" w:hAnsiTheme="minorHAnsi" w:cstheme="minorHAnsi"/>
          <w:b/>
          <w:u w:color="000000"/>
          <w:lang w:val="it-IT"/>
        </w:rPr>
        <w:t>messe sul mercato negli ultimi 12 mesi</w:t>
      </w:r>
      <w:r w:rsidR="00A53B82">
        <w:rPr>
          <w:rFonts w:asciiTheme="minorHAnsi" w:eastAsia="Times New Roman" w:hAnsiTheme="minorHAnsi" w:cstheme="minorHAnsi"/>
          <w:b/>
          <w:u w:color="000000"/>
          <w:lang w:val="it-IT"/>
        </w:rPr>
        <w:t xml:space="preserve"> </w:t>
      </w:r>
      <w:r w:rsidR="00A53B82" w:rsidRPr="006E44BC">
        <w:rPr>
          <w:rFonts w:asciiTheme="minorHAnsi" w:eastAsia="Times New Roman" w:hAnsiTheme="minorHAnsi" w:cstheme="minorHAnsi"/>
          <w:bCs/>
          <w:u w:color="000000"/>
          <w:lang w:val="it-IT"/>
        </w:rPr>
        <w:t>(</w:t>
      </w:r>
      <w:r w:rsidR="00A53B82" w:rsidRPr="006E44BC">
        <w:rPr>
          <w:rFonts w:asciiTheme="minorHAnsi" w:hAnsiTheme="minorHAnsi" w:cstheme="minorHAnsi"/>
          <w:lang w:val="it-IT"/>
        </w:rPr>
        <w:t>06/19 – 05/20)</w:t>
      </w:r>
      <w:r w:rsidRPr="00A53B82">
        <w:rPr>
          <w:bCs/>
          <w:noProof/>
          <w:lang w:val="it-IT"/>
        </w:rPr>
        <w:t>.</w:t>
      </w:r>
    </w:p>
    <w:p w:rsidR="00961480" w:rsidRPr="00F26429" w:rsidRDefault="006917D8" w:rsidP="001D7DA1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</w:pPr>
      <w:r w:rsidRPr="001D7DA1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Le </w:t>
      </w:r>
      <w:r w:rsidR="00961480" w:rsidRPr="001D7DA1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vendite si sono concentrate nella fascia della Circonvallazione</w:t>
      </w:r>
      <w:r w:rsidR="00616217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 e il </w:t>
      </w:r>
      <w:r w:rsidR="00961480" w:rsidRPr="001D7DA1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picco </w:t>
      </w:r>
      <w:r w:rsidRPr="001D7DA1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si registra </w:t>
      </w:r>
      <w:r w:rsidR="00961480" w:rsidRPr="001D7DA1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nel quartiere </w:t>
      </w:r>
      <w:r w:rsidRPr="001D7DA1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Navigli</w:t>
      </w:r>
      <w:r w:rsidR="00E73E64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 </w:t>
      </w:r>
      <w:r w:rsidRPr="001D7DA1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- Tortona</w:t>
      </w:r>
      <w:r w:rsidR="00D601DE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 (</w:t>
      </w:r>
      <w:r w:rsidRPr="001D7DA1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microzona </w:t>
      </w:r>
      <w:r w:rsidR="00961480" w:rsidRPr="001D7DA1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Q)</w:t>
      </w:r>
      <w:r w:rsidRPr="001D7DA1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.</w:t>
      </w:r>
      <w:r w:rsidR="001D7DA1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 </w:t>
      </w:r>
    </w:p>
    <w:p w:rsidR="000F2ED1" w:rsidRDefault="000F2ED1" w:rsidP="001D7DA1">
      <w:pPr>
        <w:jc w:val="both"/>
        <w:rPr>
          <w:rFonts w:asciiTheme="minorHAnsi" w:eastAsia="Times New Roman" w:hAnsiTheme="minorHAnsi" w:cstheme="minorHAnsi"/>
          <w:sz w:val="22"/>
          <w:szCs w:val="22"/>
          <w:u w:val="single"/>
          <w:bdr w:val="none" w:sz="0" w:space="0" w:color="auto"/>
        </w:rPr>
      </w:pPr>
    </w:p>
    <w:p w:rsidR="00E26611" w:rsidRDefault="00E26611" w:rsidP="001D7DA1">
      <w:pPr>
        <w:jc w:val="both"/>
        <w:rPr>
          <w:rFonts w:asciiTheme="minorHAnsi" w:eastAsia="Times New Roman" w:hAnsiTheme="minorHAnsi" w:cstheme="minorHAnsi"/>
          <w:sz w:val="22"/>
          <w:szCs w:val="22"/>
          <w:u w:val="single"/>
          <w:bdr w:val="none" w:sz="0" w:space="0" w:color="auto"/>
        </w:rPr>
      </w:pPr>
    </w:p>
    <w:p w:rsidR="00616217" w:rsidRDefault="00E26611" w:rsidP="001D7DA1">
      <w:pPr>
        <w:jc w:val="both"/>
        <w:rPr>
          <w:rFonts w:asciiTheme="minorHAnsi" w:eastAsia="Times New Roman" w:hAnsiTheme="minorHAnsi" w:cstheme="minorHAnsi"/>
          <w:sz w:val="22"/>
          <w:szCs w:val="22"/>
          <w:u w:val="single"/>
          <w:bdr w:val="none" w:sz="0" w:space="0" w:color="auto"/>
        </w:rPr>
      </w:pPr>
      <w:r>
        <w:rPr>
          <w:rFonts w:asciiTheme="minorHAnsi" w:eastAsia="Times New Roman" w:hAnsiTheme="minorHAnsi" w:cstheme="minorHAnsi"/>
          <w:noProof/>
          <w:sz w:val="22"/>
          <w:szCs w:val="22"/>
          <w:u w:val="single"/>
          <w:bdr w:val="none" w:sz="0" w:space="0" w:color="auto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4021455</wp:posOffset>
            </wp:positionH>
            <wp:positionV relativeFrom="paragraph">
              <wp:posOffset>110490</wp:posOffset>
            </wp:positionV>
            <wp:extent cx="2169795" cy="1670050"/>
            <wp:effectExtent l="0" t="0" r="1905" b="6350"/>
            <wp:wrapSquare wrapText="bothSides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5546" b="35029"/>
                    <a:stretch/>
                  </pic:blipFill>
                  <pic:spPr bwMode="auto">
                    <a:xfrm>
                      <a:off x="0" y="0"/>
                      <a:ext cx="2169795" cy="1670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2156460</wp:posOffset>
            </wp:positionH>
            <wp:positionV relativeFrom="paragraph">
              <wp:posOffset>30480</wp:posOffset>
            </wp:positionV>
            <wp:extent cx="1748790" cy="1883410"/>
            <wp:effectExtent l="0" t="0" r="3810" b="254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790" cy="1883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eastAsia="Times New Roman" w:hAnsiTheme="minorHAnsi" w:cstheme="minorHAnsi"/>
          <w:noProof/>
          <w:sz w:val="22"/>
          <w:szCs w:val="22"/>
          <w:u w:val="single"/>
          <w:bdr w:val="none" w:sz="0" w:space="0" w:color="auto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-86995</wp:posOffset>
            </wp:positionH>
            <wp:positionV relativeFrom="paragraph">
              <wp:posOffset>50165</wp:posOffset>
            </wp:positionV>
            <wp:extent cx="2169795" cy="1645920"/>
            <wp:effectExtent l="0" t="0" r="1905" b="0"/>
            <wp:wrapSquare wrapText="bothSides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396" b="69609"/>
                    <a:stretch/>
                  </pic:blipFill>
                  <pic:spPr bwMode="auto">
                    <a:xfrm>
                      <a:off x="0" y="0"/>
                      <a:ext cx="2169795" cy="1645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616217" w:rsidRDefault="00616217" w:rsidP="001D7DA1">
      <w:pPr>
        <w:jc w:val="both"/>
        <w:rPr>
          <w:rFonts w:asciiTheme="minorHAnsi" w:eastAsia="Times New Roman" w:hAnsiTheme="minorHAnsi" w:cstheme="minorHAnsi"/>
          <w:sz w:val="22"/>
          <w:szCs w:val="22"/>
          <w:u w:val="single"/>
          <w:bdr w:val="none" w:sz="0" w:space="0" w:color="auto"/>
        </w:rPr>
      </w:pPr>
    </w:p>
    <w:p w:rsidR="00616217" w:rsidRDefault="00616217" w:rsidP="001D7DA1">
      <w:pPr>
        <w:jc w:val="both"/>
        <w:rPr>
          <w:rFonts w:asciiTheme="minorHAnsi" w:eastAsia="Times New Roman" w:hAnsiTheme="minorHAnsi" w:cstheme="minorHAnsi"/>
          <w:sz w:val="22"/>
          <w:szCs w:val="22"/>
          <w:u w:val="single"/>
          <w:bdr w:val="none" w:sz="0" w:space="0" w:color="auto"/>
        </w:rPr>
      </w:pPr>
    </w:p>
    <w:p w:rsidR="00E26611" w:rsidRDefault="00E26611" w:rsidP="001D7DA1">
      <w:pPr>
        <w:jc w:val="both"/>
        <w:rPr>
          <w:rFonts w:asciiTheme="minorHAnsi" w:eastAsia="Times New Roman" w:hAnsiTheme="minorHAnsi" w:cstheme="minorHAnsi"/>
          <w:sz w:val="22"/>
          <w:szCs w:val="22"/>
          <w:u w:val="single"/>
          <w:bdr w:val="none" w:sz="0" w:space="0" w:color="auto"/>
        </w:rPr>
      </w:pPr>
    </w:p>
    <w:p w:rsidR="0009159B" w:rsidRDefault="0009159B" w:rsidP="001D7DA1">
      <w:pPr>
        <w:jc w:val="both"/>
        <w:rPr>
          <w:rFonts w:asciiTheme="minorHAnsi" w:eastAsia="Times New Roman" w:hAnsiTheme="minorHAnsi" w:cstheme="minorHAnsi"/>
          <w:sz w:val="22"/>
          <w:szCs w:val="22"/>
          <w:u w:val="single"/>
          <w:bdr w:val="none" w:sz="0" w:space="0" w:color="auto"/>
        </w:rPr>
      </w:pPr>
    </w:p>
    <w:p w:rsidR="003127A1" w:rsidRPr="00450DBD" w:rsidRDefault="00E26611" w:rsidP="001D7DA1">
      <w:pPr>
        <w:jc w:val="both"/>
        <w:rPr>
          <w:rFonts w:asciiTheme="minorHAnsi" w:eastAsia="Times New Roman" w:hAnsiTheme="minorHAnsi" w:cstheme="minorHAnsi"/>
          <w:sz w:val="22"/>
          <w:szCs w:val="22"/>
          <w:u w:val="single"/>
          <w:bdr w:val="none" w:sz="0" w:space="0" w:color="auto"/>
        </w:rPr>
      </w:pPr>
      <w:r>
        <w:rPr>
          <w:noProof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-30480</wp:posOffset>
            </wp:positionV>
            <wp:extent cx="2169795" cy="1732280"/>
            <wp:effectExtent l="0" t="0" r="1905" b="1270"/>
            <wp:wrapSquare wrapText="bothSides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69481"/>
                    <a:stretch/>
                  </pic:blipFill>
                  <pic:spPr bwMode="auto">
                    <a:xfrm>
                      <a:off x="0" y="0"/>
                      <a:ext cx="2169795" cy="1732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654434" w:rsidRPr="00F26429">
        <w:rPr>
          <w:rFonts w:asciiTheme="minorHAnsi" w:eastAsia="Times New Roman" w:hAnsiTheme="minorHAnsi" w:cstheme="minorHAnsi"/>
          <w:sz w:val="22"/>
          <w:szCs w:val="22"/>
          <w:u w:val="single"/>
          <w:bdr w:val="none" w:sz="0" w:space="0" w:color="auto"/>
        </w:rPr>
        <w:t>Stock residuo</w:t>
      </w:r>
    </w:p>
    <w:p w:rsidR="000F2ED1" w:rsidRDefault="00961480" w:rsidP="001D7DA1">
      <w:pPr>
        <w:jc w:val="both"/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</w:pPr>
      <w:r w:rsidRPr="00F26429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Lo stock residuo 2020, ossia il prodotto disponibile al termine dell’indagine, mostra un </w:t>
      </w:r>
      <w:r w:rsidRPr="00F26429">
        <w:rPr>
          <w:rFonts w:asciiTheme="minorHAnsi" w:eastAsia="Times New Roman" w:hAnsiTheme="minorHAnsi" w:cstheme="minorHAnsi"/>
          <w:b/>
          <w:bCs/>
          <w:sz w:val="22"/>
          <w:szCs w:val="22"/>
          <w:bdr w:val="none" w:sz="0" w:space="0" w:color="auto"/>
        </w:rPr>
        <w:t>incremento</w:t>
      </w:r>
      <w:r w:rsidR="00654434" w:rsidRPr="00F26429">
        <w:rPr>
          <w:rFonts w:asciiTheme="minorHAnsi" w:eastAsia="Times New Roman" w:hAnsiTheme="minorHAnsi" w:cstheme="minorHAnsi"/>
          <w:b/>
          <w:bCs/>
          <w:sz w:val="22"/>
          <w:szCs w:val="22"/>
          <w:bdr w:val="none" w:sz="0" w:space="0" w:color="auto"/>
        </w:rPr>
        <w:t xml:space="preserve"> </w:t>
      </w:r>
      <w:r w:rsidRPr="00F26429">
        <w:rPr>
          <w:rFonts w:asciiTheme="minorHAnsi" w:eastAsia="Times New Roman" w:hAnsiTheme="minorHAnsi" w:cstheme="minorHAnsi"/>
          <w:b/>
          <w:bCs/>
          <w:sz w:val="22"/>
          <w:szCs w:val="22"/>
          <w:bdr w:val="none" w:sz="0" w:space="0" w:color="auto"/>
        </w:rPr>
        <w:t>del 13%</w:t>
      </w:r>
      <w:r w:rsidRPr="00F26429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 in termini di unità, mentre </w:t>
      </w:r>
      <w:r w:rsidR="006917D8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il numero complessivo del</w:t>
      </w:r>
      <w:r w:rsidRPr="00F26429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le iniziative</w:t>
      </w:r>
      <w:r w:rsidR="00616217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 </w:t>
      </w:r>
      <w:r w:rsidR="00AF0B02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in commercio</w:t>
      </w:r>
      <w:r w:rsidRPr="00F26429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 si riduc</w:t>
      </w:r>
      <w:r w:rsidR="006917D8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e</w:t>
      </w:r>
      <w:r w:rsidRPr="00F26429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 dell’11%. </w:t>
      </w:r>
    </w:p>
    <w:p w:rsidR="00961480" w:rsidRPr="00F26429" w:rsidRDefault="00AF0B02" w:rsidP="000F2ED1">
      <w:pPr>
        <w:ind w:left="3540"/>
        <w:jc w:val="both"/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</w:pPr>
      <w:r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L</w:t>
      </w:r>
      <w:r w:rsidRPr="00F26429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e iniziative </w:t>
      </w:r>
      <w:r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che hanno ancora appartamenti in vendita sono</w:t>
      </w:r>
      <w:r w:rsidRPr="00F26429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 72</w:t>
      </w:r>
      <w:r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, per un totale di </w:t>
      </w:r>
      <w:r w:rsidR="00961480" w:rsidRPr="00F26429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825 </w:t>
      </w:r>
      <w:r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unità. </w:t>
      </w:r>
      <w:r w:rsidR="00961480" w:rsidRPr="00F26429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La quota del </w:t>
      </w:r>
      <w:r w:rsidR="00961480" w:rsidRPr="00616217">
        <w:rPr>
          <w:rFonts w:asciiTheme="minorHAnsi" w:eastAsia="Times New Roman" w:hAnsiTheme="minorHAnsi" w:cstheme="minorHAnsi"/>
          <w:b/>
          <w:sz w:val="22"/>
          <w:szCs w:val="22"/>
          <w:bdr w:val="none" w:sz="0" w:space="0" w:color="auto"/>
        </w:rPr>
        <w:t xml:space="preserve">prodotto </w:t>
      </w:r>
      <w:r w:rsidR="006917D8" w:rsidRPr="00616217">
        <w:rPr>
          <w:rFonts w:asciiTheme="minorHAnsi" w:eastAsia="Times New Roman" w:hAnsiTheme="minorHAnsi" w:cstheme="minorHAnsi"/>
          <w:b/>
          <w:sz w:val="22"/>
          <w:szCs w:val="22"/>
          <w:bdr w:val="none" w:sz="0" w:space="0" w:color="auto"/>
        </w:rPr>
        <w:t>“</w:t>
      </w:r>
      <w:r w:rsidR="00961480" w:rsidRPr="00616217">
        <w:rPr>
          <w:rFonts w:asciiTheme="minorHAnsi" w:eastAsia="Times New Roman" w:hAnsiTheme="minorHAnsi" w:cstheme="minorHAnsi"/>
          <w:b/>
          <w:sz w:val="22"/>
          <w:szCs w:val="22"/>
          <w:bdr w:val="none" w:sz="0" w:space="0" w:color="auto"/>
        </w:rPr>
        <w:t>ultimi 12 mesi</w:t>
      </w:r>
      <w:r w:rsidR="006917D8" w:rsidRPr="00616217">
        <w:rPr>
          <w:rFonts w:asciiTheme="minorHAnsi" w:eastAsia="Times New Roman" w:hAnsiTheme="minorHAnsi" w:cstheme="minorHAnsi"/>
          <w:b/>
          <w:sz w:val="22"/>
          <w:szCs w:val="22"/>
          <w:bdr w:val="none" w:sz="0" w:space="0" w:color="auto"/>
        </w:rPr>
        <w:t>”</w:t>
      </w:r>
      <w:r w:rsidR="00961480" w:rsidRPr="00F26429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 che compone il residuo 2020 (602 unità) </w:t>
      </w:r>
      <w:r w:rsidR="00961480" w:rsidRPr="00616217">
        <w:rPr>
          <w:rFonts w:asciiTheme="minorHAnsi" w:eastAsia="Times New Roman" w:hAnsiTheme="minorHAnsi" w:cstheme="minorHAnsi"/>
          <w:b/>
          <w:sz w:val="22"/>
          <w:szCs w:val="22"/>
          <w:bdr w:val="none" w:sz="0" w:space="0" w:color="auto"/>
        </w:rPr>
        <w:t>costituisce il 73% del totale</w:t>
      </w:r>
      <w:r w:rsidR="00961480" w:rsidRPr="00F26429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 (era il 55% nel 2019).</w:t>
      </w:r>
    </w:p>
    <w:p w:rsidR="00961480" w:rsidRDefault="00961480" w:rsidP="001D7DA1">
      <w:pPr>
        <w:jc w:val="both"/>
        <w:rPr>
          <w:sz w:val="22"/>
          <w:szCs w:val="22"/>
          <w:u w:val="single"/>
        </w:rPr>
      </w:pPr>
      <w:bookmarkStart w:id="0" w:name="_GoBack"/>
      <w:bookmarkEnd w:id="0"/>
    </w:p>
    <w:p w:rsidR="00F17990" w:rsidRDefault="00F17990" w:rsidP="001D7DA1">
      <w:pPr>
        <w:rPr>
          <w:rFonts w:asciiTheme="minorHAnsi" w:eastAsia="Times New Roman" w:hAnsiTheme="minorHAnsi" w:cstheme="minorHAnsi"/>
          <w:sz w:val="22"/>
          <w:szCs w:val="22"/>
          <w:u w:val="single"/>
          <w:bdr w:val="none" w:sz="0" w:space="0" w:color="auto"/>
        </w:rPr>
      </w:pPr>
    </w:p>
    <w:p w:rsidR="003127A1" w:rsidRPr="00F26429" w:rsidRDefault="00E26611" w:rsidP="001D7DA1">
      <w:pPr>
        <w:rPr>
          <w:rFonts w:asciiTheme="minorHAnsi" w:eastAsia="Times New Roman" w:hAnsiTheme="minorHAnsi" w:cstheme="minorHAnsi"/>
          <w:sz w:val="22"/>
          <w:szCs w:val="22"/>
          <w:u w:val="single"/>
          <w:bdr w:val="none" w:sz="0" w:space="0" w:color="auto"/>
        </w:rPr>
      </w:pPr>
      <w:r>
        <w:rPr>
          <w:noProof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76835</wp:posOffset>
            </wp:positionV>
            <wp:extent cx="2252980" cy="1746250"/>
            <wp:effectExtent l="0" t="0" r="0" b="635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2980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4434" w:rsidRPr="00F26429">
        <w:rPr>
          <w:rFonts w:asciiTheme="minorHAnsi" w:eastAsia="Times New Roman" w:hAnsiTheme="minorHAnsi" w:cstheme="minorHAnsi"/>
          <w:sz w:val="22"/>
          <w:szCs w:val="22"/>
          <w:u w:val="single"/>
          <w:bdr w:val="none" w:sz="0" w:space="0" w:color="auto"/>
        </w:rPr>
        <w:t>Prezzi</w:t>
      </w:r>
    </w:p>
    <w:p w:rsidR="00113BAD" w:rsidRDefault="000A233D" w:rsidP="001D7DA1">
      <w:pPr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bdr w:val="none" w:sz="0" w:space="0" w:color="auto"/>
        </w:rPr>
      </w:pPr>
      <w:r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D</w:t>
      </w:r>
      <w:r w:rsidRPr="00F26429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all’analisi del Centro Studi</w:t>
      </w:r>
      <w:r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, p</w:t>
      </w:r>
      <w:r w:rsidR="00961480" w:rsidRPr="00F26429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er quanto riguarda i prezzi relativi agli appartamenti disponibili (residuo)</w:t>
      </w:r>
      <w:r w:rsidR="00AF0B02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,</w:t>
      </w:r>
      <w:r w:rsidR="00961480" w:rsidRPr="00F26429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 si evince </w:t>
      </w:r>
      <w:r w:rsidR="00113BAD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un incremento de</w:t>
      </w:r>
      <w:r w:rsidR="00AF0B02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i valori medi de</w:t>
      </w:r>
      <w:r w:rsidR="00113BAD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l </w:t>
      </w:r>
      <w:r w:rsidR="00113BAD" w:rsidRPr="001D7DA1">
        <w:rPr>
          <w:rFonts w:asciiTheme="minorHAnsi" w:eastAsia="Times New Roman" w:hAnsiTheme="minorHAnsi" w:cstheme="minorHAnsi"/>
          <w:b/>
          <w:sz w:val="22"/>
          <w:szCs w:val="22"/>
          <w:bdr w:val="none" w:sz="0" w:space="0" w:color="auto"/>
        </w:rPr>
        <w:t>6,5%</w:t>
      </w:r>
      <w:r w:rsidR="00113BAD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 </w:t>
      </w:r>
      <w:r w:rsidR="00961480" w:rsidRPr="00F26429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nel </w:t>
      </w:r>
      <w:r w:rsidR="00961480" w:rsidRPr="00F26429">
        <w:rPr>
          <w:rFonts w:asciiTheme="minorHAnsi" w:eastAsia="Times New Roman" w:hAnsiTheme="minorHAnsi" w:cstheme="minorHAnsi"/>
          <w:b/>
          <w:bCs/>
          <w:sz w:val="22"/>
          <w:szCs w:val="22"/>
          <w:bdr w:val="none" w:sz="0" w:space="0" w:color="auto"/>
        </w:rPr>
        <w:t>Centro</w:t>
      </w:r>
      <w:r w:rsidR="00113BAD" w:rsidRPr="006E44BC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,</w:t>
      </w:r>
      <w:r w:rsidR="00113BAD">
        <w:rPr>
          <w:rFonts w:asciiTheme="minorHAnsi" w:eastAsia="Times New Roman" w:hAnsiTheme="minorHAnsi" w:cstheme="minorHAnsi"/>
          <w:b/>
          <w:bCs/>
          <w:sz w:val="22"/>
          <w:szCs w:val="22"/>
          <w:bdr w:val="none" w:sz="0" w:space="0" w:color="auto"/>
        </w:rPr>
        <w:t xml:space="preserve"> del 5% </w:t>
      </w:r>
      <w:r w:rsidR="00961480" w:rsidRPr="00F26429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nei </w:t>
      </w:r>
      <w:r w:rsidR="00961480" w:rsidRPr="00F26429">
        <w:rPr>
          <w:rFonts w:asciiTheme="minorHAnsi" w:eastAsia="Times New Roman" w:hAnsiTheme="minorHAnsi" w:cstheme="minorHAnsi"/>
          <w:b/>
          <w:bCs/>
          <w:sz w:val="22"/>
          <w:szCs w:val="22"/>
          <w:bdr w:val="none" w:sz="0" w:space="0" w:color="auto"/>
        </w:rPr>
        <w:t>Bastioni</w:t>
      </w:r>
      <w:r w:rsidR="00113BAD">
        <w:rPr>
          <w:rFonts w:asciiTheme="minorHAnsi" w:eastAsia="Times New Roman" w:hAnsiTheme="minorHAnsi" w:cstheme="minorHAnsi"/>
          <w:b/>
          <w:bCs/>
          <w:sz w:val="22"/>
          <w:szCs w:val="22"/>
          <w:bdr w:val="none" w:sz="0" w:space="0" w:color="auto"/>
        </w:rPr>
        <w:t xml:space="preserve"> e del 5% </w:t>
      </w:r>
      <w:r w:rsidR="00961480" w:rsidRPr="00F26429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nella </w:t>
      </w:r>
      <w:r w:rsidR="00961480" w:rsidRPr="00F26429">
        <w:rPr>
          <w:rFonts w:asciiTheme="minorHAnsi" w:eastAsia="Times New Roman" w:hAnsiTheme="minorHAnsi" w:cstheme="minorHAnsi"/>
          <w:b/>
          <w:bCs/>
          <w:sz w:val="22"/>
          <w:szCs w:val="22"/>
          <w:bdr w:val="none" w:sz="0" w:space="0" w:color="auto"/>
        </w:rPr>
        <w:t>Circonvallazione</w:t>
      </w:r>
      <w:r w:rsidR="00113BAD">
        <w:rPr>
          <w:rFonts w:asciiTheme="minorHAnsi" w:eastAsia="Times New Roman" w:hAnsiTheme="minorHAnsi" w:cstheme="minorHAnsi"/>
          <w:b/>
          <w:bCs/>
          <w:sz w:val="22"/>
          <w:szCs w:val="22"/>
          <w:bdr w:val="none" w:sz="0" w:space="0" w:color="auto"/>
        </w:rPr>
        <w:t>.</w:t>
      </w:r>
    </w:p>
    <w:p w:rsidR="00654434" w:rsidRPr="00F26429" w:rsidRDefault="00654434" w:rsidP="001D7DA1">
      <w:pPr>
        <w:jc w:val="both"/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</w:pPr>
    </w:p>
    <w:p w:rsidR="00961480" w:rsidRPr="000A233D" w:rsidRDefault="00961480" w:rsidP="001D7DA1">
      <w:pPr>
        <w:jc w:val="both"/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</w:pPr>
      <w:r w:rsidRPr="00F26429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Suddividendo le </w:t>
      </w:r>
      <w:r w:rsidR="00113BAD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72</w:t>
      </w:r>
      <w:r w:rsidR="00113BAD" w:rsidRPr="00F26429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 </w:t>
      </w:r>
      <w:r w:rsidRPr="00F26429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iniziative </w:t>
      </w:r>
      <w:r w:rsidR="00D601DE" w:rsidRPr="00F26429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pari a </w:t>
      </w:r>
      <w:r w:rsidR="00D601DE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825</w:t>
      </w:r>
      <w:r w:rsidR="00D601DE" w:rsidRPr="00F26429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 unità </w:t>
      </w:r>
      <w:r w:rsidRPr="00F26429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(stock residuo) per 4 fasce di prezzo emerge che: il </w:t>
      </w:r>
      <w:r w:rsidRPr="00F17990">
        <w:rPr>
          <w:rFonts w:asciiTheme="minorHAnsi" w:eastAsia="Times New Roman" w:hAnsiTheme="minorHAnsi" w:cstheme="minorHAnsi"/>
          <w:b/>
          <w:sz w:val="22"/>
          <w:szCs w:val="22"/>
          <w:bdr w:val="none" w:sz="0" w:space="0" w:color="auto"/>
        </w:rPr>
        <w:t>4</w:t>
      </w:r>
      <w:r w:rsidR="00113BAD" w:rsidRPr="00F17990">
        <w:rPr>
          <w:rFonts w:asciiTheme="minorHAnsi" w:eastAsia="Times New Roman" w:hAnsiTheme="minorHAnsi" w:cstheme="minorHAnsi"/>
          <w:b/>
          <w:sz w:val="22"/>
          <w:szCs w:val="22"/>
          <w:bdr w:val="none" w:sz="0" w:space="0" w:color="auto"/>
        </w:rPr>
        <w:t>4</w:t>
      </w:r>
      <w:r w:rsidRPr="00F17990">
        <w:rPr>
          <w:rFonts w:asciiTheme="minorHAnsi" w:eastAsia="Times New Roman" w:hAnsiTheme="minorHAnsi" w:cstheme="minorHAnsi"/>
          <w:b/>
          <w:sz w:val="22"/>
          <w:szCs w:val="22"/>
          <w:bdr w:val="none" w:sz="0" w:space="0" w:color="auto"/>
        </w:rPr>
        <w:t xml:space="preserve">% </w:t>
      </w:r>
      <w:r w:rsidR="00113BAD" w:rsidRPr="00F17990">
        <w:rPr>
          <w:rFonts w:asciiTheme="minorHAnsi" w:eastAsia="Times New Roman" w:hAnsiTheme="minorHAnsi" w:cstheme="minorHAnsi"/>
          <w:b/>
          <w:sz w:val="22"/>
          <w:szCs w:val="22"/>
          <w:bdr w:val="none" w:sz="0" w:space="0" w:color="auto"/>
        </w:rPr>
        <w:t xml:space="preserve">delle operazioni </w:t>
      </w:r>
      <w:r w:rsidR="00AF0B02">
        <w:rPr>
          <w:rFonts w:asciiTheme="minorHAnsi" w:eastAsia="Times New Roman" w:hAnsiTheme="minorHAnsi" w:cstheme="minorHAnsi"/>
          <w:b/>
          <w:sz w:val="22"/>
          <w:szCs w:val="22"/>
          <w:bdr w:val="none" w:sz="0" w:space="0" w:color="auto"/>
        </w:rPr>
        <w:t>presenta valori compresi</w:t>
      </w:r>
      <w:r w:rsidR="00113BAD" w:rsidRPr="00F17990">
        <w:rPr>
          <w:rFonts w:asciiTheme="minorHAnsi" w:eastAsia="Times New Roman" w:hAnsiTheme="minorHAnsi" w:cstheme="minorHAnsi"/>
          <w:b/>
          <w:sz w:val="22"/>
          <w:szCs w:val="22"/>
          <w:bdr w:val="none" w:sz="0" w:space="0" w:color="auto"/>
        </w:rPr>
        <w:t xml:space="preserve"> tra 7.001-10.001</w:t>
      </w:r>
      <w:r w:rsidR="00113BAD" w:rsidRPr="00D601DE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 €/mq , il </w:t>
      </w:r>
      <w:r w:rsidR="00113BAD" w:rsidRPr="000A233D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38% </w:t>
      </w:r>
      <w:r w:rsidRPr="000A233D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tra 5.001-7.000 €/mq,  il 17% oltre 10.000 €/mq</w:t>
      </w:r>
      <w:r w:rsidR="00113BAD" w:rsidRPr="000A233D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 e</w:t>
      </w:r>
      <w:r w:rsidRPr="000A233D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 l</w:t>
      </w:r>
      <w:r w:rsidR="00113BAD" w:rsidRPr="000A233D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’1%</w:t>
      </w:r>
      <w:r w:rsidR="001D7DA1" w:rsidRPr="000A233D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 </w:t>
      </w:r>
      <w:r w:rsidRPr="000A233D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tra </w:t>
      </w:r>
      <w:r w:rsidR="00D601DE" w:rsidRPr="000A233D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3.000-</w:t>
      </w:r>
      <w:r w:rsidRPr="000A233D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5.000 €/mq.</w:t>
      </w:r>
    </w:p>
    <w:p w:rsidR="00961480" w:rsidRPr="000A233D" w:rsidRDefault="00961480" w:rsidP="001D7DA1">
      <w:pPr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</w:pPr>
    </w:p>
    <w:p w:rsidR="00961480" w:rsidRDefault="00961480" w:rsidP="001D7DA1">
      <w:pPr>
        <w:rPr>
          <w:rFonts w:ascii="Arial" w:hAnsi="Arial" w:cs="Arial"/>
          <w:sz w:val="22"/>
          <w:szCs w:val="22"/>
        </w:rPr>
      </w:pPr>
    </w:p>
    <w:p w:rsidR="00961480" w:rsidRPr="00450DBD" w:rsidRDefault="00961480" w:rsidP="00961480">
      <w:pPr>
        <w:ind w:right="116"/>
        <w:jc w:val="both"/>
        <w:rPr>
          <w:rFonts w:ascii="Arial" w:hAnsi="Arial" w:cs="Arial"/>
          <w:b/>
          <w:sz w:val="18"/>
          <w:szCs w:val="18"/>
        </w:rPr>
      </w:pPr>
    </w:p>
    <w:p w:rsidR="0009159B" w:rsidRDefault="0009159B" w:rsidP="00F17990">
      <w:pPr>
        <w:spacing w:before="49" w:line="288" w:lineRule="auto"/>
        <w:ind w:right="6230"/>
        <w:rPr>
          <w:rFonts w:ascii="Arial" w:hAnsi="Arial" w:cs="Arial"/>
          <w:color w:val="0000FF"/>
          <w:sz w:val="18"/>
          <w:szCs w:val="18"/>
        </w:rPr>
      </w:pPr>
    </w:p>
    <w:sectPr w:rsidR="0009159B" w:rsidSect="00397FFE">
      <w:headerReference w:type="default" r:id="rId13"/>
      <w:pgSz w:w="11900" w:h="16840"/>
      <w:pgMar w:top="1634" w:right="1134" w:bottom="426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D58" w:rsidRDefault="00D00D58">
      <w:r>
        <w:separator/>
      </w:r>
    </w:p>
  </w:endnote>
  <w:endnote w:type="continuationSeparator" w:id="0">
    <w:p w:rsidR="00D00D58" w:rsidRDefault="00D00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D58" w:rsidRDefault="00D00D58">
      <w:r>
        <w:separator/>
      </w:r>
    </w:p>
  </w:footnote>
  <w:footnote w:type="continuationSeparator" w:id="0">
    <w:p w:rsidR="00D00D58" w:rsidRDefault="00D00D58">
      <w:r>
        <w:continuationSeparator/>
      </w:r>
    </w:p>
  </w:footnote>
  <w:footnote w:type="continuationNotice" w:id="1">
    <w:p w:rsidR="00D00D58" w:rsidRDefault="00D00D5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040" w:rsidRDefault="00202276" w:rsidP="00FC4555">
    <w:r>
      <w:rPr>
        <w:noProof/>
      </w:rPr>
      <w:drawing>
        <wp:inline distT="0" distB="0" distL="0" distR="0">
          <wp:extent cx="1811548" cy="257852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VA Redilco_p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601" cy="258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C4555">
      <w:rPr>
        <w:noProof/>
        <w:sz w:val="44"/>
      </w:rPr>
      <w:t xml:space="preserve">  </w:t>
    </w:r>
    <w:r w:rsidR="00FC4555" w:rsidRPr="00FC4555">
      <w:rPr>
        <w:noProof/>
        <w:sz w:val="44"/>
      </w:rPr>
      <w:t>&amp;</w:t>
    </w:r>
    <w:r w:rsidR="00FC4555">
      <w:rPr>
        <w:noProof/>
        <w:sz w:val="44"/>
      </w:rPr>
      <w:t xml:space="preserve"> </w:t>
    </w:r>
    <w:r w:rsidR="00FC4555">
      <w:rPr>
        <w:noProof/>
      </w:rPr>
      <w:t xml:space="preserve"> </w:t>
    </w:r>
    <w:r>
      <w:rPr>
        <w:noProof/>
      </w:rPr>
      <w:t xml:space="preserve"> </w:t>
    </w:r>
    <w:r w:rsidR="00E35F1A">
      <w:rPr>
        <w:noProof/>
      </w:rPr>
      <w:drawing>
        <wp:inline distT="0" distB="0" distL="0" distR="0">
          <wp:extent cx="1318307" cy="265373"/>
          <wp:effectExtent l="0" t="0" r="0" b="190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est_real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b="44722"/>
                  <a:stretch/>
                </pic:blipFill>
                <pic:spPr bwMode="auto">
                  <a:xfrm>
                    <a:off x="0" y="0"/>
                    <a:ext cx="1345983" cy="2709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  <w:p w:rsidR="00E35F1A" w:rsidRDefault="00E35F1A"/>
  <w:p w:rsidR="00F65303" w:rsidRDefault="00F6530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Picture 3" style="width:21.1pt;height:21.1pt;visibility:visible;mso-wrap-style:square" o:bullet="t">
        <v:imagedata r:id="rId1" o:title="Picture 3"/>
      </v:shape>
    </w:pict>
  </w:numPicBullet>
  <w:abstractNum w:abstractNumId="0">
    <w:nsid w:val="111F73B2"/>
    <w:multiLevelType w:val="hybridMultilevel"/>
    <w:tmpl w:val="38522832"/>
    <w:lvl w:ilvl="0" w:tplc="ADBCA57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E5640C"/>
    <w:multiLevelType w:val="hybridMultilevel"/>
    <w:tmpl w:val="E282237A"/>
    <w:lvl w:ilvl="0" w:tplc="6FC2D6A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820BD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55489D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D40365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2F0DB6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463E3B4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3667E9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B44199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1340D36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aniele Pinosa">
    <w15:presenceInfo w15:providerId="AD" w15:userId="S::pinosa@secrp.com::f59324c4-5ef1-41af-a62c-93382aebfd2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isplayBackgroundShape/>
  <w:hideSpellingErrors/>
  <w:hideGrammaticalErrors/>
  <w:proofState w:spelling="clean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</w:endnotePr>
  <w:compat>
    <w:useFELayout/>
  </w:compat>
  <w:rsids>
    <w:rsidRoot w:val="00025040"/>
    <w:rsid w:val="00000BBE"/>
    <w:rsid w:val="00002585"/>
    <w:rsid w:val="00011C04"/>
    <w:rsid w:val="00014D82"/>
    <w:rsid w:val="00020537"/>
    <w:rsid w:val="00025040"/>
    <w:rsid w:val="0003287C"/>
    <w:rsid w:val="000337F8"/>
    <w:rsid w:val="000350B3"/>
    <w:rsid w:val="0004547F"/>
    <w:rsid w:val="00063D38"/>
    <w:rsid w:val="000643A5"/>
    <w:rsid w:val="00073FBB"/>
    <w:rsid w:val="000771CF"/>
    <w:rsid w:val="00085147"/>
    <w:rsid w:val="00086830"/>
    <w:rsid w:val="0009159B"/>
    <w:rsid w:val="00097B1A"/>
    <w:rsid w:val="000A233D"/>
    <w:rsid w:val="000B304E"/>
    <w:rsid w:val="000B7C18"/>
    <w:rsid w:val="000C3543"/>
    <w:rsid w:val="000C3B7A"/>
    <w:rsid w:val="000D2939"/>
    <w:rsid w:val="000D34F3"/>
    <w:rsid w:val="000F2ED1"/>
    <w:rsid w:val="000F4A59"/>
    <w:rsid w:val="0010320D"/>
    <w:rsid w:val="001037AC"/>
    <w:rsid w:val="00110CEC"/>
    <w:rsid w:val="00113BAD"/>
    <w:rsid w:val="0011475D"/>
    <w:rsid w:val="001406CD"/>
    <w:rsid w:val="0015322F"/>
    <w:rsid w:val="00154463"/>
    <w:rsid w:val="001573A2"/>
    <w:rsid w:val="00162269"/>
    <w:rsid w:val="0016602B"/>
    <w:rsid w:val="00170700"/>
    <w:rsid w:val="001818E1"/>
    <w:rsid w:val="001827D7"/>
    <w:rsid w:val="001920EE"/>
    <w:rsid w:val="001A7C8F"/>
    <w:rsid w:val="001B3C8A"/>
    <w:rsid w:val="001B6418"/>
    <w:rsid w:val="001D7DA1"/>
    <w:rsid w:val="001F2809"/>
    <w:rsid w:val="00202276"/>
    <w:rsid w:val="00203C8B"/>
    <w:rsid w:val="0023562A"/>
    <w:rsid w:val="00247420"/>
    <w:rsid w:val="00257CBE"/>
    <w:rsid w:val="0026546D"/>
    <w:rsid w:val="00267373"/>
    <w:rsid w:val="00273D54"/>
    <w:rsid w:val="00296362"/>
    <w:rsid w:val="002A4987"/>
    <w:rsid w:val="002A65CC"/>
    <w:rsid w:val="002B030B"/>
    <w:rsid w:val="002B1B95"/>
    <w:rsid w:val="002D5B21"/>
    <w:rsid w:val="002E2632"/>
    <w:rsid w:val="002E5A21"/>
    <w:rsid w:val="00301808"/>
    <w:rsid w:val="00301C9C"/>
    <w:rsid w:val="00307417"/>
    <w:rsid w:val="003127A1"/>
    <w:rsid w:val="00315BC8"/>
    <w:rsid w:val="003228A2"/>
    <w:rsid w:val="0032770C"/>
    <w:rsid w:val="0033396F"/>
    <w:rsid w:val="003361EF"/>
    <w:rsid w:val="00336BF7"/>
    <w:rsid w:val="003478CE"/>
    <w:rsid w:val="0035215C"/>
    <w:rsid w:val="00354360"/>
    <w:rsid w:val="00360483"/>
    <w:rsid w:val="00366852"/>
    <w:rsid w:val="00381777"/>
    <w:rsid w:val="003817E8"/>
    <w:rsid w:val="00397FFE"/>
    <w:rsid w:val="003B1723"/>
    <w:rsid w:val="003B4F0B"/>
    <w:rsid w:val="003C2688"/>
    <w:rsid w:val="003D4A04"/>
    <w:rsid w:val="004042A8"/>
    <w:rsid w:val="004217B3"/>
    <w:rsid w:val="00437153"/>
    <w:rsid w:val="004422AE"/>
    <w:rsid w:val="00450DBD"/>
    <w:rsid w:val="00457579"/>
    <w:rsid w:val="004810E0"/>
    <w:rsid w:val="00482877"/>
    <w:rsid w:val="00483783"/>
    <w:rsid w:val="0048777B"/>
    <w:rsid w:val="004A49A2"/>
    <w:rsid w:val="004C1F8A"/>
    <w:rsid w:val="004C5A68"/>
    <w:rsid w:val="004F2416"/>
    <w:rsid w:val="00510D56"/>
    <w:rsid w:val="00514D86"/>
    <w:rsid w:val="00515F05"/>
    <w:rsid w:val="005171FF"/>
    <w:rsid w:val="00526928"/>
    <w:rsid w:val="0053117B"/>
    <w:rsid w:val="00531F82"/>
    <w:rsid w:val="0054186B"/>
    <w:rsid w:val="00542230"/>
    <w:rsid w:val="00544ACB"/>
    <w:rsid w:val="00544F37"/>
    <w:rsid w:val="005561AD"/>
    <w:rsid w:val="00564C1D"/>
    <w:rsid w:val="0057070B"/>
    <w:rsid w:val="00575A2A"/>
    <w:rsid w:val="00582587"/>
    <w:rsid w:val="00591C42"/>
    <w:rsid w:val="005A6B69"/>
    <w:rsid w:val="005C01B6"/>
    <w:rsid w:val="005C644C"/>
    <w:rsid w:val="005D334C"/>
    <w:rsid w:val="005D4927"/>
    <w:rsid w:val="005F7307"/>
    <w:rsid w:val="00611F74"/>
    <w:rsid w:val="00616217"/>
    <w:rsid w:val="006175A5"/>
    <w:rsid w:val="00620A31"/>
    <w:rsid w:val="006251BA"/>
    <w:rsid w:val="0063095A"/>
    <w:rsid w:val="00635D60"/>
    <w:rsid w:val="00640751"/>
    <w:rsid w:val="00640C7A"/>
    <w:rsid w:val="00642B82"/>
    <w:rsid w:val="00654434"/>
    <w:rsid w:val="00663D03"/>
    <w:rsid w:val="00665F33"/>
    <w:rsid w:val="006917D8"/>
    <w:rsid w:val="006B02B7"/>
    <w:rsid w:val="006E44BC"/>
    <w:rsid w:val="006F4920"/>
    <w:rsid w:val="00707776"/>
    <w:rsid w:val="007341BA"/>
    <w:rsid w:val="00736E81"/>
    <w:rsid w:val="00744AAC"/>
    <w:rsid w:val="007647F4"/>
    <w:rsid w:val="00765044"/>
    <w:rsid w:val="00780BAD"/>
    <w:rsid w:val="00796068"/>
    <w:rsid w:val="007B018A"/>
    <w:rsid w:val="007C79A1"/>
    <w:rsid w:val="007D414B"/>
    <w:rsid w:val="007D7EBF"/>
    <w:rsid w:val="007E61B7"/>
    <w:rsid w:val="0081067E"/>
    <w:rsid w:val="008123CB"/>
    <w:rsid w:val="00834960"/>
    <w:rsid w:val="00835C58"/>
    <w:rsid w:val="0083636A"/>
    <w:rsid w:val="0083764D"/>
    <w:rsid w:val="00842121"/>
    <w:rsid w:val="00842EAC"/>
    <w:rsid w:val="00843D8F"/>
    <w:rsid w:val="00844B44"/>
    <w:rsid w:val="00845456"/>
    <w:rsid w:val="008555FF"/>
    <w:rsid w:val="008576FE"/>
    <w:rsid w:val="00861E3D"/>
    <w:rsid w:val="0088047D"/>
    <w:rsid w:val="008863E7"/>
    <w:rsid w:val="008A0240"/>
    <w:rsid w:val="008A7CE3"/>
    <w:rsid w:val="008B2DD0"/>
    <w:rsid w:val="008B461D"/>
    <w:rsid w:val="008B465C"/>
    <w:rsid w:val="008E3EDE"/>
    <w:rsid w:val="008E6D95"/>
    <w:rsid w:val="008F3942"/>
    <w:rsid w:val="00901502"/>
    <w:rsid w:val="00903341"/>
    <w:rsid w:val="0090611D"/>
    <w:rsid w:val="00915468"/>
    <w:rsid w:val="009422A3"/>
    <w:rsid w:val="0096051B"/>
    <w:rsid w:val="00961480"/>
    <w:rsid w:val="00965AEE"/>
    <w:rsid w:val="009710F6"/>
    <w:rsid w:val="00975A69"/>
    <w:rsid w:val="00976F4A"/>
    <w:rsid w:val="00992BA2"/>
    <w:rsid w:val="009A5184"/>
    <w:rsid w:val="009A51FB"/>
    <w:rsid w:val="009A6D52"/>
    <w:rsid w:val="009C7A80"/>
    <w:rsid w:val="009D0F91"/>
    <w:rsid w:val="009D1205"/>
    <w:rsid w:val="009E217E"/>
    <w:rsid w:val="009F7F59"/>
    <w:rsid w:val="00A07111"/>
    <w:rsid w:val="00A152D8"/>
    <w:rsid w:val="00A203FB"/>
    <w:rsid w:val="00A2796D"/>
    <w:rsid w:val="00A34675"/>
    <w:rsid w:val="00A44864"/>
    <w:rsid w:val="00A463F9"/>
    <w:rsid w:val="00A50A68"/>
    <w:rsid w:val="00A53B82"/>
    <w:rsid w:val="00A54D15"/>
    <w:rsid w:val="00A82958"/>
    <w:rsid w:val="00A9273B"/>
    <w:rsid w:val="00A97411"/>
    <w:rsid w:val="00A97DBC"/>
    <w:rsid w:val="00AA0A41"/>
    <w:rsid w:val="00AA4D8B"/>
    <w:rsid w:val="00AB2A33"/>
    <w:rsid w:val="00AC2087"/>
    <w:rsid w:val="00AD7F68"/>
    <w:rsid w:val="00AE13F9"/>
    <w:rsid w:val="00AE3F7F"/>
    <w:rsid w:val="00AE5DA5"/>
    <w:rsid w:val="00AE6240"/>
    <w:rsid w:val="00AE7A97"/>
    <w:rsid w:val="00AF0B02"/>
    <w:rsid w:val="00AF5805"/>
    <w:rsid w:val="00B15BFC"/>
    <w:rsid w:val="00B167A5"/>
    <w:rsid w:val="00B25465"/>
    <w:rsid w:val="00B27BDA"/>
    <w:rsid w:val="00B327A6"/>
    <w:rsid w:val="00B519E3"/>
    <w:rsid w:val="00B57380"/>
    <w:rsid w:val="00B6523C"/>
    <w:rsid w:val="00B6538A"/>
    <w:rsid w:val="00B676E6"/>
    <w:rsid w:val="00B733A0"/>
    <w:rsid w:val="00B74ADD"/>
    <w:rsid w:val="00BA35F9"/>
    <w:rsid w:val="00BA44A9"/>
    <w:rsid w:val="00BB41DC"/>
    <w:rsid w:val="00BB6AE6"/>
    <w:rsid w:val="00BC4694"/>
    <w:rsid w:val="00BC4FE0"/>
    <w:rsid w:val="00BC56FE"/>
    <w:rsid w:val="00BC7CF1"/>
    <w:rsid w:val="00BD6CA1"/>
    <w:rsid w:val="00BD7309"/>
    <w:rsid w:val="00BE076A"/>
    <w:rsid w:val="00BE3006"/>
    <w:rsid w:val="00BE6AFB"/>
    <w:rsid w:val="00BF4AE9"/>
    <w:rsid w:val="00C0150C"/>
    <w:rsid w:val="00C0161E"/>
    <w:rsid w:val="00C34A33"/>
    <w:rsid w:val="00C3682C"/>
    <w:rsid w:val="00C36994"/>
    <w:rsid w:val="00C538EB"/>
    <w:rsid w:val="00C61F69"/>
    <w:rsid w:val="00C84062"/>
    <w:rsid w:val="00CB6F67"/>
    <w:rsid w:val="00CC13A9"/>
    <w:rsid w:val="00CC51EE"/>
    <w:rsid w:val="00CD18D2"/>
    <w:rsid w:val="00CD4C5D"/>
    <w:rsid w:val="00CD58AC"/>
    <w:rsid w:val="00CE0079"/>
    <w:rsid w:val="00CF0BB4"/>
    <w:rsid w:val="00D00D58"/>
    <w:rsid w:val="00D13759"/>
    <w:rsid w:val="00D16D41"/>
    <w:rsid w:val="00D333E9"/>
    <w:rsid w:val="00D601DE"/>
    <w:rsid w:val="00D71EAB"/>
    <w:rsid w:val="00D865E6"/>
    <w:rsid w:val="00D9583E"/>
    <w:rsid w:val="00DB0D07"/>
    <w:rsid w:val="00DC07A8"/>
    <w:rsid w:val="00DD08BC"/>
    <w:rsid w:val="00DD2728"/>
    <w:rsid w:val="00DF076A"/>
    <w:rsid w:val="00DF0E1C"/>
    <w:rsid w:val="00E02C6C"/>
    <w:rsid w:val="00E10240"/>
    <w:rsid w:val="00E17650"/>
    <w:rsid w:val="00E26611"/>
    <w:rsid w:val="00E35F1A"/>
    <w:rsid w:val="00E37FE7"/>
    <w:rsid w:val="00E42658"/>
    <w:rsid w:val="00E637C9"/>
    <w:rsid w:val="00E658F0"/>
    <w:rsid w:val="00E65F3B"/>
    <w:rsid w:val="00E70FBB"/>
    <w:rsid w:val="00E73E64"/>
    <w:rsid w:val="00E85A62"/>
    <w:rsid w:val="00E86D7F"/>
    <w:rsid w:val="00EA78E0"/>
    <w:rsid w:val="00EB308B"/>
    <w:rsid w:val="00EB6BB6"/>
    <w:rsid w:val="00EC0CCB"/>
    <w:rsid w:val="00EE13CF"/>
    <w:rsid w:val="00EE3272"/>
    <w:rsid w:val="00EE74F0"/>
    <w:rsid w:val="00EF1D29"/>
    <w:rsid w:val="00F17990"/>
    <w:rsid w:val="00F22258"/>
    <w:rsid w:val="00F24E45"/>
    <w:rsid w:val="00F26429"/>
    <w:rsid w:val="00F272E5"/>
    <w:rsid w:val="00F43E23"/>
    <w:rsid w:val="00F4519F"/>
    <w:rsid w:val="00F51118"/>
    <w:rsid w:val="00F51E6B"/>
    <w:rsid w:val="00F610D9"/>
    <w:rsid w:val="00F65303"/>
    <w:rsid w:val="00FA06A3"/>
    <w:rsid w:val="00FC00E4"/>
    <w:rsid w:val="00FC0623"/>
    <w:rsid w:val="00FC2C37"/>
    <w:rsid w:val="00FC4555"/>
    <w:rsid w:val="00FF0B15"/>
    <w:rsid w:val="00FF1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5A2A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75A2A"/>
    <w:rPr>
      <w:u w:val="single"/>
    </w:rPr>
  </w:style>
  <w:style w:type="table" w:customStyle="1" w:styleId="TableNormal">
    <w:name w:val="Table Normal"/>
    <w:rsid w:val="00575A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575A2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p1">
    <w:name w:val="p1"/>
    <w:rsid w:val="00575A2A"/>
    <w:rPr>
      <w:rFonts w:ascii="Helvetica" w:hAnsi="Helvetica" w:cs="Arial Unicode MS"/>
      <w:color w:val="000000"/>
      <w:sz w:val="15"/>
      <w:szCs w:val="15"/>
      <w:u w:color="000000"/>
    </w:rPr>
  </w:style>
  <w:style w:type="paragraph" w:styleId="Testonotaapidipagina">
    <w:name w:val="footnote text"/>
    <w:rsid w:val="00575A2A"/>
    <w:rPr>
      <w:rFonts w:eastAsia="Times New Roman"/>
      <w:color w:val="000000"/>
      <w:u w:color="000000"/>
    </w:rPr>
  </w:style>
  <w:style w:type="character" w:customStyle="1" w:styleId="Link">
    <w:name w:val="Link"/>
    <w:rsid w:val="00575A2A"/>
    <w:rPr>
      <w:color w:val="0000FF"/>
      <w:u w:val="single" w:color="0000FF"/>
    </w:rPr>
  </w:style>
  <w:style w:type="character" w:customStyle="1" w:styleId="Hyperlink0">
    <w:name w:val="Hyperlink.0"/>
    <w:basedOn w:val="Link"/>
    <w:rsid w:val="00575A2A"/>
    <w:rPr>
      <w:rFonts w:ascii="Calibri" w:eastAsia="Calibri" w:hAnsi="Calibri" w:cs="Calibri"/>
      <w:color w:val="0000FF"/>
      <w:sz w:val="20"/>
      <w:szCs w:val="20"/>
      <w:u w:val="single" w:color="0000FF"/>
    </w:rPr>
  </w:style>
  <w:style w:type="character" w:customStyle="1" w:styleId="Nessuno">
    <w:name w:val="Nessuno"/>
    <w:rsid w:val="00575A2A"/>
  </w:style>
  <w:style w:type="character" w:customStyle="1" w:styleId="Hyperlink1">
    <w:name w:val="Hyperlink.1"/>
    <w:basedOn w:val="Nessuno"/>
    <w:rsid w:val="00575A2A"/>
    <w:rPr>
      <w:rFonts w:ascii="Calibri" w:eastAsia="Calibri" w:hAnsi="Calibri" w:cs="Calibri"/>
      <w:color w:val="0000FF"/>
      <w:sz w:val="20"/>
      <w:szCs w:val="20"/>
      <w:u w:color="0000FF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D120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15B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5BC8"/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315B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5BC8"/>
    <w:rPr>
      <w:rFonts w:cs="Arial Unicode MS"/>
      <w:color w:val="000000"/>
      <w:sz w:val="24"/>
      <w:szCs w:val="24"/>
      <w:u w:color="000000"/>
    </w:rPr>
  </w:style>
  <w:style w:type="paragraph" w:customStyle="1" w:styleId="didefault">
    <w:name w:val="didefault"/>
    <w:basedOn w:val="Normale"/>
    <w:rsid w:val="00315B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apple-converted-space">
    <w:name w:val="apple-converted-space"/>
    <w:basedOn w:val="Carpredefinitoparagrafo"/>
    <w:rsid w:val="00315BC8"/>
  </w:style>
  <w:style w:type="character" w:styleId="Rimandonotaapidipagina">
    <w:name w:val="footnote reference"/>
    <w:basedOn w:val="Carpredefinitoparagrafo"/>
    <w:uiPriority w:val="99"/>
    <w:semiHidden/>
    <w:unhideWhenUsed/>
    <w:rsid w:val="008A7CE3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6418"/>
    <w:rPr>
      <w:rFonts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6418"/>
    <w:rPr>
      <w:color w:val="000000"/>
      <w:sz w:val="18"/>
      <w:szCs w:val="18"/>
      <w:u w:color="000000"/>
    </w:rPr>
  </w:style>
  <w:style w:type="character" w:styleId="Testosegnaposto">
    <w:name w:val="Placeholder Text"/>
    <w:basedOn w:val="Carpredefinitoparagrafo"/>
    <w:uiPriority w:val="99"/>
    <w:semiHidden/>
    <w:rsid w:val="006F4920"/>
    <w:rPr>
      <w:color w:val="808080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E658F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3562A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614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paragraph" w:customStyle="1" w:styleId="Corpo">
    <w:name w:val="Corpo"/>
    <w:rsid w:val="009614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 Neue" w:hAnsi="Helvetica Neue" w:cs="Arial Unicode MS"/>
      <w:color w:val="000000"/>
      <w:sz w:val="22"/>
      <w:szCs w:val="22"/>
      <w:bdr w:val="none" w:sz="0" w:space="0" w:color="auto"/>
      <w:lang w:val="en-US"/>
    </w:rPr>
  </w:style>
  <w:style w:type="paragraph" w:styleId="Revisione">
    <w:name w:val="Revision"/>
    <w:hidden/>
    <w:uiPriority w:val="99"/>
    <w:semiHidden/>
    <w:rsid w:val="00F51E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450DB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D7F68"/>
    <w:rPr>
      <w:color w:val="FF00FF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p1">
    <w:name w:val="p1"/>
    <w:rPr>
      <w:rFonts w:ascii="Helvetica" w:hAnsi="Helvetica" w:cs="Arial Unicode MS"/>
      <w:color w:val="000000"/>
      <w:sz w:val="15"/>
      <w:szCs w:val="15"/>
      <w:u w:color="000000"/>
    </w:rPr>
  </w:style>
  <w:style w:type="paragraph" w:styleId="Testonotaapidipagina">
    <w:name w:val="footnote text"/>
    <w:rPr>
      <w:rFonts w:eastAsia="Times New Roman"/>
      <w:color w:val="000000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" w:eastAsia="Calibri" w:hAnsi="Calibri" w:cs="Calibri"/>
      <w:color w:val="0000FF"/>
      <w:sz w:val="20"/>
      <w:szCs w:val="20"/>
      <w:u w:val="single" w:color="0000FF"/>
    </w:rPr>
  </w:style>
  <w:style w:type="character" w:customStyle="1" w:styleId="Nessuno">
    <w:name w:val="Nessuno"/>
  </w:style>
  <w:style w:type="character" w:customStyle="1" w:styleId="Hyperlink1">
    <w:name w:val="Hyperlink.1"/>
    <w:basedOn w:val="Nessuno"/>
    <w:rPr>
      <w:rFonts w:ascii="Calibri" w:eastAsia="Calibri" w:hAnsi="Calibri" w:cs="Calibri"/>
      <w:color w:val="0000FF"/>
      <w:sz w:val="20"/>
      <w:szCs w:val="20"/>
      <w:u w:color="0000FF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D120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15B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5BC8"/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315B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5BC8"/>
    <w:rPr>
      <w:rFonts w:cs="Arial Unicode MS"/>
      <w:color w:val="000000"/>
      <w:sz w:val="24"/>
      <w:szCs w:val="24"/>
      <w:u w:color="000000"/>
    </w:rPr>
  </w:style>
  <w:style w:type="paragraph" w:customStyle="1" w:styleId="didefault">
    <w:name w:val="didefault"/>
    <w:basedOn w:val="Normale"/>
    <w:rsid w:val="00315B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apple-converted-space">
    <w:name w:val="apple-converted-space"/>
    <w:basedOn w:val="Carpredefinitoparagrafo"/>
    <w:rsid w:val="00315BC8"/>
  </w:style>
  <w:style w:type="character" w:styleId="Rimandonotaapidipagina">
    <w:name w:val="footnote reference"/>
    <w:basedOn w:val="Carpredefinitoparagrafo"/>
    <w:uiPriority w:val="99"/>
    <w:semiHidden/>
    <w:unhideWhenUsed/>
    <w:rsid w:val="008A7CE3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6418"/>
    <w:rPr>
      <w:rFonts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6418"/>
    <w:rPr>
      <w:color w:val="000000"/>
      <w:sz w:val="18"/>
      <w:szCs w:val="18"/>
      <w:u w:color="000000"/>
    </w:rPr>
  </w:style>
  <w:style w:type="character" w:styleId="Testosegnaposto">
    <w:name w:val="Placeholder Text"/>
    <w:basedOn w:val="Carpredefinitoparagrafo"/>
    <w:uiPriority w:val="99"/>
    <w:semiHidden/>
    <w:rsid w:val="006F4920"/>
    <w:rPr>
      <w:color w:val="808080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E658F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3562A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614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paragraph" w:customStyle="1" w:styleId="Corpo">
    <w:name w:val="Corpo"/>
    <w:rsid w:val="009614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 Neue" w:hAnsi="Helvetica Neue" w:cs="Arial Unicode MS"/>
      <w:color w:val="000000"/>
      <w:sz w:val="22"/>
      <w:szCs w:val="22"/>
      <w:bdr w:val="none" w:sz="0" w:space="0" w:color="auto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Revisione">
    <w:name w:val="Revision"/>
    <w:hidden/>
    <w:uiPriority w:val="99"/>
    <w:semiHidden/>
    <w:rsid w:val="00F51E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450DB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D7F68"/>
    <w:rPr>
      <w:color w:val="FF00FF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34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Relationship Id="rId35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651DC-EAB0-485B-979B-064D001EE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Verdiana Ierecitano</dc:creator>
  <cp:lastModifiedBy>paola</cp:lastModifiedBy>
  <cp:revision>3</cp:revision>
  <cp:lastPrinted>2020-10-07T15:45:00Z</cp:lastPrinted>
  <dcterms:created xsi:type="dcterms:W3CDTF">2020-10-08T08:29:00Z</dcterms:created>
  <dcterms:modified xsi:type="dcterms:W3CDTF">2020-10-13T08:44:00Z</dcterms:modified>
</cp:coreProperties>
</file>