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33" w:rsidRPr="006149E5" w:rsidRDefault="002D3837">
      <w:pPr>
        <w:spacing w:before="0" w:after="160" w:line="259" w:lineRule="auto"/>
        <w:rPr>
          <w:sz w:val="22"/>
          <w:szCs w:val="24"/>
        </w:rPr>
      </w:pPr>
      <w:r w:rsidRPr="006149E5">
        <w:rPr>
          <w:noProof/>
          <w:sz w:val="22"/>
          <w:szCs w:val="24"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63955" cy="7874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Colliers_Logo_CMYK_Rule_Gradie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395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5133" w:rsidRPr="006149E5" w:rsidRDefault="00EB5133">
      <w:pPr>
        <w:spacing w:before="0" w:after="160" w:line="259" w:lineRule="auto"/>
        <w:rPr>
          <w:sz w:val="22"/>
          <w:szCs w:val="24"/>
        </w:rPr>
      </w:pPr>
    </w:p>
    <w:p w:rsidR="00EB5133" w:rsidRPr="006149E5" w:rsidRDefault="00EB5133">
      <w:pPr>
        <w:spacing w:before="0" w:after="160" w:line="259" w:lineRule="auto"/>
        <w:rPr>
          <w:sz w:val="22"/>
          <w:szCs w:val="24"/>
        </w:rPr>
      </w:pPr>
    </w:p>
    <w:p w:rsidR="007B75FA" w:rsidRDefault="007B75FA" w:rsidP="00552CFA">
      <w:pPr>
        <w:pStyle w:val="Nessunaspaziatura"/>
        <w:spacing w:line="276" w:lineRule="auto"/>
        <w:rPr>
          <w:rFonts w:cs="Arial"/>
          <w:b/>
          <w:bCs/>
          <w:color w:val="FF0000"/>
          <w:szCs w:val="20"/>
          <w:u w:val="single"/>
          <w:lang w:val="en-GB" w:eastAsia="en-GB"/>
        </w:rPr>
      </w:pPr>
    </w:p>
    <w:p w:rsidR="00552CFA" w:rsidRPr="008B1752" w:rsidRDefault="00552CFA" w:rsidP="00552CFA">
      <w:pPr>
        <w:pStyle w:val="Nessunaspaziatura"/>
        <w:spacing w:line="276" w:lineRule="auto"/>
        <w:rPr>
          <w:b/>
          <w:bCs/>
          <w:noProof/>
          <w:sz w:val="28"/>
          <w:szCs w:val="28"/>
          <w:lang w:val="it-IT"/>
        </w:rPr>
      </w:pPr>
    </w:p>
    <w:p w:rsidR="005C2F6A" w:rsidRPr="008B1752" w:rsidRDefault="005C2F6A" w:rsidP="00360283">
      <w:pPr>
        <w:pStyle w:val="Nessunaspaziatura"/>
        <w:spacing w:line="276" w:lineRule="auto"/>
        <w:jc w:val="center"/>
        <w:rPr>
          <w:b/>
          <w:bCs/>
          <w:noProof/>
          <w:sz w:val="28"/>
          <w:szCs w:val="28"/>
          <w:lang w:val="it-IT"/>
        </w:rPr>
      </w:pPr>
    </w:p>
    <w:p w:rsidR="00FB21A2" w:rsidRPr="008B1752" w:rsidRDefault="004B38D5" w:rsidP="000710CD">
      <w:pPr>
        <w:pStyle w:val="Nessunaspaziatura"/>
        <w:spacing w:line="276" w:lineRule="auto"/>
        <w:jc w:val="center"/>
        <w:rPr>
          <w:b/>
          <w:bCs/>
          <w:noProof/>
          <w:sz w:val="28"/>
          <w:szCs w:val="28"/>
          <w:lang w:val="it-IT"/>
        </w:rPr>
      </w:pPr>
      <w:r w:rsidRPr="008B1752">
        <w:rPr>
          <w:b/>
          <w:bCs/>
          <w:noProof/>
          <w:sz w:val="28"/>
          <w:szCs w:val="28"/>
          <w:lang w:val="it-IT"/>
        </w:rPr>
        <w:t>Real Estate Commerciale</w:t>
      </w:r>
      <w:r w:rsidR="00BD4BE5" w:rsidRPr="008B1752">
        <w:rPr>
          <w:b/>
          <w:bCs/>
          <w:noProof/>
          <w:sz w:val="28"/>
          <w:szCs w:val="28"/>
          <w:lang w:val="it-IT"/>
        </w:rPr>
        <w:t>,</w:t>
      </w:r>
      <w:r w:rsidR="00D16615" w:rsidRPr="008B1752">
        <w:rPr>
          <w:b/>
          <w:bCs/>
          <w:noProof/>
          <w:sz w:val="28"/>
          <w:szCs w:val="28"/>
          <w:lang w:val="it-IT"/>
        </w:rPr>
        <w:t xml:space="preserve"> gli</w:t>
      </w:r>
      <w:r w:rsidR="00BD4BE5" w:rsidRPr="008B1752">
        <w:rPr>
          <w:b/>
          <w:bCs/>
          <w:noProof/>
          <w:sz w:val="28"/>
          <w:szCs w:val="28"/>
          <w:lang w:val="it-IT"/>
        </w:rPr>
        <w:t xml:space="preserve"> </w:t>
      </w:r>
      <w:r w:rsidR="00D16615" w:rsidRPr="008B1752">
        <w:rPr>
          <w:b/>
          <w:bCs/>
          <w:noProof/>
          <w:sz w:val="28"/>
          <w:szCs w:val="28"/>
          <w:lang w:val="it-IT"/>
        </w:rPr>
        <w:t>i</w:t>
      </w:r>
      <w:r w:rsidR="00BD4BE5" w:rsidRPr="008B1752">
        <w:rPr>
          <w:b/>
          <w:bCs/>
          <w:noProof/>
          <w:sz w:val="28"/>
          <w:szCs w:val="28"/>
          <w:lang w:val="it-IT"/>
        </w:rPr>
        <w:t xml:space="preserve">nvestimenti in Europa </w:t>
      </w:r>
      <w:r w:rsidR="00D16615" w:rsidRPr="008B1752">
        <w:rPr>
          <w:b/>
          <w:bCs/>
          <w:noProof/>
          <w:sz w:val="28"/>
          <w:szCs w:val="28"/>
          <w:lang w:val="it-IT"/>
        </w:rPr>
        <w:t>potrebbero</w:t>
      </w:r>
      <w:r w:rsidR="00FB21A2" w:rsidRPr="008B1752">
        <w:rPr>
          <w:b/>
          <w:bCs/>
          <w:noProof/>
          <w:sz w:val="28"/>
          <w:szCs w:val="28"/>
          <w:lang w:val="it-IT"/>
        </w:rPr>
        <w:t xml:space="preserve"> raggiungere i 100 miliardi di </w:t>
      </w:r>
      <w:r w:rsidR="00CD15D3" w:rsidRPr="008B1752">
        <w:rPr>
          <w:b/>
          <w:bCs/>
          <w:noProof/>
          <w:sz w:val="28"/>
          <w:szCs w:val="28"/>
          <w:lang w:val="it-IT"/>
        </w:rPr>
        <w:t>Eu</w:t>
      </w:r>
      <w:r w:rsidR="00FB21A2" w:rsidRPr="008B1752">
        <w:rPr>
          <w:b/>
          <w:bCs/>
          <w:noProof/>
          <w:sz w:val="28"/>
          <w:szCs w:val="28"/>
          <w:lang w:val="it-IT"/>
        </w:rPr>
        <w:t xml:space="preserve">ro </w:t>
      </w:r>
      <w:r w:rsidR="00B24373" w:rsidRPr="008B1752">
        <w:rPr>
          <w:b/>
          <w:bCs/>
          <w:noProof/>
          <w:sz w:val="28"/>
          <w:szCs w:val="28"/>
          <w:lang w:val="it-IT"/>
        </w:rPr>
        <w:t>nel quarto trimestre del 2020</w:t>
      </w:r>
    </w:p>
    <w:p w:rsidR="00360283" w:rsidRPr="008B1752" w:rsidRDefault="00360283" w:rsidP="000710CD">
      <w:pPr>
        <w:pStyle w:val="Corpodeltesto"/>
        <w:spacing w:line="276" w:lineRule="auto"/>
        <w:ind w:right="180"/>
        <w:jc w:val="center"/>
        <w:rPr>
          <w:rFonts w:ascii="Arial" w:hAnsi="Arial" w:cs="Arial"/>
          <w:i/>
          <w:noProof/>
          <w:sz w:val="22"/>
          <w:szCs w:val="26"/>
          <w:lang w:val="it-IT"/>
        </w:rPr>
      </w:pPr>
    </w:p>
    <w:p w:rsidR="00BD36EC" w:rsidRPr="008B1752" w:rsidRDefault="00BD36EC" w:rsidP="000710CD">
      <w:pPr>
        <w:spacing w:before="0" w:after="0"/>
        <w:ind w:right="187"/>
        <w:jc w:val="center"/>
        <w:rPr>
          <w:rFonts w:cs="Arial"/>
          <w:noProof/>
          <w:lang w:val="it-IT"/>
        </w:rPr>
      </w:pPr>
    </w:p>
    <w:p w:rsidR="00BD36EC" w:rsidRDefault="00BD36EC" w:rsidP="000710CD">
      <w:pPr>
        <w:pStyle w:val="Nessunaspaziatura"/>
        <w:spacing w:line="276" w:lineRule="auto"/>
        <w:jc w:val="center"/>
        <w:rPr>
          <w:i/>
          <w:iCs/>
          <w:lang w:eastAsia="en-GB"/>
        </w:rPr>
      </w:pPr>
      <w:r>
        <w:rPr>
          <w:i/>
          <w:iCs/>
          <w:lang w:eastAsia="en-GB"/>
        </w:rPr>
        <w:t xml:space="preserve">A rivelarlo </w:t>
      </w:r>
      <w:r w:rsidR="001158B2">
        <w:rPr>
          <w:i/>
          <w:iCs/>
          <w:lang w:eastAsia="en-GB"/>
        </w:rPr>
        <w:t>é</w:t>
      </w:r>
      <w:r>
        <w:rPr>
          <w:i/>
          <w:iCs/>
          <w:lang w:eastAsia="en-GB"/>
        </w:rPr>
        <w:t xml:space="preserve"> il rapporto “Prevail&amp;Prosper” di Colliers International, che ha </w:t>
      </w:r>
      <w:r w:rsidR="009A1089">
        <w:rPr>
          <w:i/>
          <w:iCs/>
          <w:lang w:eastAsia="en-GB"/>
        </w:rPr>
        <w:t xml:space="preserve">scattato una </w:t>
      </w:r>
      <w:r w:rsidR="00B23C66">
        <w:rPr>
          <w:i/>
          <w:iCs/>
          <w:lang w:eastAsia="en-GB"/>
        </w:rPr>
        <w:t>fotografia</w:t>
      </w:r>
      <w:r w:rsidR="009A1089">
        <w:rPr>
          <w:i/>
          <w:iCs/>
          <w:lang w:eastAsia="en-GB"/>
        </w:rPr>
        <w:t xml:space="preserve"> </w:t>
      </w:r>
      <w:r w:rsidR="00B23C66">
        <w:rPr>
          <w:i/>
          <w:iCs/>
          <w:lang w:eastAsia="en-GB"/>
        </w:rPr>
        <w:t>su</w:t>
      </w:r>
      <w:r w:rsidR="00F07558">
        <w:rPr>
          <w:i/>
          <w:iCs/>
          <w:lang w:eastAsia="en-GB"/>
        </w:rPr>
        <w:t>l</w:t>
      </w:r>
      <w:r w:rsidR="00B23C66">
        <w:rPr>
          <w:i/>
          <w:iCs/>
          <w:lang w:eastAsia="en-GB"/>
        </w:rPr>
        <w:t xml:space="preserve"> </w:t>
      </w:r>
      <w:r w:rsidR="00C23498">
        <w:rPr>
          <w:i/>
          <w:iCs/>
          <w:lang w:eastAsia="en-GB"/>
        </w:rPr>
        <w:t xml:space="preserve">futuro dei </w:t>
      </w:r>
      <w:r w:rsidR="00075949">
        <w:rPr>
          <w:i/>
          <w:iCs/>
          <w:lang w:eastAsia="en-GB"/>
        </w:rPr>
        <w:t>f</w:t>
      </w:r>
      <w:r w:rsidR="00E77ED0">
        <w:rPr>
          <w:i/>
          <w:iCs/>
          <w:lang w:eastAsia="en-GB"/>
        </w:rPr>
        <w:t>lussi di capitali globali</w:t>
      </w:r>
      <w:r w:rsidR="00C23498">
        <w:rPr>
          <w:i/>
          <w:iCs/>
          <w:lang w:eastAsia="en-GB"/>
        </w:rPr>
        <w:t xml:space="preserve"> e </w:t>
      </w:r>
      <w:r w:rsidR="00C961FD">
        <w:rPr>
          <w:i/>
          <w:iCs/>
          <w:lang w:eastAsia="en-GB"/>
        </w:rPr>
        <w:t>ha identificato</w:t>
      </w:r>
      <w:r w:rsidR="00C23498">
        <w:rPr>
          <w:i/>
          <w:iCs/>
          <w:lang w:eastAsia="en-GB"/>
        </w:rPr>
        <w:t xml:space="preserve"> le destinazioni </w:t>
      </w:r>
      <w:r w:rsidR="00C961FD">
        <w:rPr>
          <w:i/>
          <w:iCs/>
          <w:lang w:eastAsia="en-GB"/>
        </w:rPr>
        <w:t>europee</w:t>
      </w:r>
      <w:r w:rsidR="00B93DEF">
        <w:rPr>
          <w:i/>
          <w:iCs/>
          <w:lang w:eastAsia="en-GB"/>
        </w:rPr>
        <w:t xml:space="preserve"> </w:t>
      </w:r>
      <w:r w:rsidR="00F07558">
        <w:rPr>
          <w:i/>
          <w:iCs/>
          <w:lang w:eastAsia="en-GB"/>
        </w:rPr>
        <w:t xml:space="preserve">più </w:t>
      </w:r>
      <w:r w:rsidR="008F3D89">
        <w:rPr>
          <w:i/>
          <w:iCs/>
          <w:lang w:eastAsia="en-GB"/>
        </w:rPr>
        <w:t>attrattive</w:t>
      </w:r>
    </w:p>
    <w:p w:rsidR="00B23C66" w:rsidRPr="008B1752" w:rsidRDefault="00B23C66" w:rsidP="000710CD">
      <w:pPr>
        <w:pStyle w:val="Nessunaspaziatura"/>
        <w:spacing w:line="276" w:lineRule="auto"/>
        <w:jc w:val="both"/>
        <w:rPr>
          <w:rFonts w:asciiTheme="minorHAnsi" w:hAnsiTheme="minorHAnsi" w:cstheme="minorHAnsi"/>
          <w:b/>
          <w:bCs/>
          <w:noProof/>
          <w:sz w:val="22"/>
          <w:lang w:val="it-IT"/>
        </w:rPr>
      </w:pPr>
    </w:p>
    <w:p w:rsidR="006355C0" w:rsidRPr="008B1752" w:rsidRDefault="00E0715A" w:rsidP="000710CD">
      <w:pPr>
        <w:pStyle w:val="Nessunaspaziatura"/>
        <w:spacing w:line="276" w:lineRule="auto"/>
        <w:jc w:val="both"/>
        <w:rPr>
          <w:rFonts w:asciiTheme="minorHAnsi" w:hAnsiTheme="minorHAnsi" w:cstheme="minorHAnsi"/>
          <w:noProof/>
          <w:sz w:val="22"/>
          <w:lang w:val="it-IT"/>
        </w:rPr>
      </w:pPr>
      <w:r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>Milano</w:t>
      </w:r>
      <w:r w:rsidR="00360283"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 xml:space="preserve">, </w:t>
      </w:r>
      <w:r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>1</w:t>
      </w:r>
      <w:r w:rsidR="00552CFA">
        <w:rPr>
          <w:rFonts w:asciiTheme="minorHAnsi" w:hAnsiTheme="minorHAnsi" w:cstheme="minorHAnsi"/>
          <w:b/>
          <w:bCs/>
          <w:noProof/>
          <w:sz w:val="22"/>
          <w:lang w:val="it-IT"/>
        </w:rPr>
        <w:t>3</w:t>
      </w:r>
      <w:r w:rsidR="00360283"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 xml:space="preserve"> O</w:t>
      </w:r>
      <w:r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>tt</w:t>
      </w:r>
      <w:r w:rsidR="00360283"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>obr</w:t>
      </w:r>
      <w:r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>e</w:t>
      </w:r>
      <w:r w:rsidR="00360283"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 xml:space="preserve"> 2020</w:t>
      </w:r>
      <w:r w:rsidR="00360283" w:rsidRPr="008B1752">
        <w:rPr>
          <w:rFonts w:asciiTheme="minorHAnsi" w:hAnsiTheme="minorHAnsi" w:cstheme="minorHAnsi"/>
          <w:noProof/>
          <w:sz w:val="22"/>
          <w:lang w:val="it-IT"/>
        </w:rPr>
        <w:t xml:space="preserve"> </w:t>
      </w:r>
      <w:r w:rsidR="00D65E8E" w:rsidRPr="008B1752">
        <w:rPr>
          <w:rFonts w:asciiTheme="minorHAnsi" w:hAnsiTheme="minorHAnsi" w:cstheme="minorHAnsi"/>
          <w:noProof/>
          <w:sz w:val="22"/>
          <w:lang w:val="it-IT"/>
        </w:rPr>
        <w:t xml:space="preserve">- </w:t>
      </w:r>
      <w:r w:rsidR="00845EAE" w:rsidRPr="008B1752">
        <w:rPr>
          <w:rFonts w:asciiTheme="minorHAnsi" w:hAnsiTheme="minorHAnsi" w:cstheme="minorHAnsi"/>
          <w:noProof/>
          <w:sz w:val="22"/>
          <w:lang w:val="it-IT"/>
        </w:rPr>
        <w:t>Sulla scia d</w:t>
      </w:r>
      <w:r w:rsidR="00D65E8E" w:rsidRPr="008B1752">
        <w:rPr>
          <w:rFonts w:asciiTheme="minorHAnsi" w:hAnsiTheme="minorHAnsi" w:cstheme="minorHAnsi"/>
          <w:noProof/>
          <w:sz w:val="22"/>
          <w:lang w:val="it-IT"/>
        </w:rPr>
        <w:t xml:space="preserve">ella </w:t>
      </w:r>
      <w:r w:rsidR="002D389C" w:rsidRPr="008B1752">
        <w:rPr>
          <w:rFonts w:asciiTheme="minorHAnsi" w:hAnsiTheme="minorHAnsi" w:cstheme="minorHAnsi"/>
          <w:noProof/>
          <w:sz w:val="22"/>
          <w:lang w:val="it-IT"/>
        </w:rPr>
        <w:t xml:space="preserve">forte </w:t>
      </w:r>
      <w:r w:rsidR="007525FE" w:rsidRPr="008B1752">
        <w:rPr>
          <w:rFonts w:asciiTheme="minorHAnsi" w:hAnsiTheme="minorHAnsi" w:cstheme="minorHAnsi"/>
          <w:noProof/>
          <w:sz w:val="22"/>
          <w:lang w:val="it-IT"/>
        </w:rPr>
        <w:t xml:space="preserve">inversione di tendenza nelle grandi operazioni post-COVID </w:t>
      </w:r>
      <w:r w:rsidR="00B57A0C" w:rsidRPr="008B1752">
        <w:rPr>
          <w:rFonts w:asciiTheme="minorHAnsi" w:hAnsiTheme="minorHAnsi" w:cstheme="minorHAnsi"/>
          <w:noProof/>
          <w:sz w:val="22"/>
          <w:lang w:val="it-IT"/>
        </w:rPr>
        <w:t>verificatasi</w:t>
      </w:r>
      <w:r w:rsidR="00C516A3" w:rsidRPr="008B1752">
        <w:rPr>
          <w:rFonts w:asciiTheme="minorHAnsi" w:hAnsiTheme="minorHAnsi" w:cstheme="minorHAnsi"/>
          <w:noProof/>
          <w:sz w:val="22"/>
          <w:lang w:val="it-IT"/>
        </w:rPr>
        <w:t xml:space="preserve"> </w:t>
      </w:r>
      <w:r w:rsidR="007525FE" w:rsidRPr="008B1752">
        <w:rPr>
          <w:rFonts w:asciiTheme="minorHAnsi" w:hAnsiTheme="minorHAnsi" w:cstheme="minorHAnsi"/>
          <w:noProof/>
          <w:sz w:val="22"/>
          <w:lang w:val="it-IT"/>
        </w:rPr>
        <w:t>nel terzo trimestre</w:t>
      </w:r>
      <w:r w:rsidR="00C516A3" w:rsidRPr="008B1752">
        <w:rPr>
          <w:rFonts w:asciiTheme="minorHAnsi" w:hAnsiTheme="minorHAnsi" w:cstheme="minorHAnsi"/>
          <w:noProof/>
          <w:sz w:val="22"/>
          <w:lang w:val="it-IT"/>
        </w:rPr>
        <w:t>, g</w:t>
      </w:r>
      <w:r w:rsidR="002D389C" w:rsidRPr="008B1752">
        <w:rPr>
          <w:rFonts w:asciiTheme="minorHAnsi" w:hAnsiTheme="minorHAnsi" w:cstheme="minorHAnsi"/>
          <w:noProof/>
          <w:sz w:val="22"/>
          <w:lang w:val="it-IT"/>
        </w:rPr>
        <w:t xml:space="preserve">li investimenti nel </w:t>
      </w:r>
      <w:r w:rsidR="00650198" w:rsidRPr="008B1752">
        <w:rPr>
          <w:rFonts w:asciiTheme="minorHAnsi" w:hAnsiTheme="minorHAnsi" w:cstheme="minorHAnsi"/>
          <w:noProof/>
          <w:sz w:val="22"/>
          <w:lang w:val="it-IT"/>
        </w:rPr>
        <w:t>Real Estate</w:t>
      </w:r>
      <w:r w:rsidR="002D389C" w:rsidRPr="008B1752">
        <w:rPr>
          <w:rFonts w:asciiTheme="minorHAnsi" w:hAnsiTheme="minorHAnsi" w:cstheme="minorHAnsi"/>
          <w:noProof/>
          <w:sz w:val="22"/>
          <w:lang w:val="it-IT"/>
        </w:rPr>
        <w:t xml:space="preserve"> </w:t>
      </w:r>
      <w:r w:rsidR="00650198" w:rsidRPr="008B1752">
        <w:rPr>
          <w:rFonts w:asciiTheme="minorHAnsi" w:hAnsiTheme="minorHAnsi" w:cstheme="minorHAnsi"/>
          <w:noProof/>
          <w:sz w:val="22"/>
          <w:lang w:val="it-IT"/>
        </w:rPr>
        <w:t>C</w:t>
      </w:r>
      <w:r w:rsidR="002D389C" w:rsidRPr="008B1752">
        <w:rPr>
          <w:rFonts w:asciiTheme="minorHAnsi" w:hAnsiTheme="minorHAnsi" w:cstheme="minorHAnsi"/>
          <w:noProof/>
          <w:sz w:val="22"/>
          <w:lang w:val="it-IT"/>
        </w:rPr>
        <w:t xml:space="preserve">ommerciale in Europa potrebbero </w:t>
      </w:r>
      <w:r w:rsidR="00C86B05" w:rsidRPr="008B1752">
        <w:rPr>
          <w:rFonts w:asciiTheme="minorHAnsi" w:hAnsiTheme="minorHAnsi" w:cstheme="minorHAnsi"/>
          <w:noProof/>
          <w:sz w:val="22"/>
          <w:lang w:val="it-IT"/>
        </w:rPr>
        <w:t>vedere</w:t>
      </w:r>
      <w:r w:rsidR="002D389C" w:rsidRPr="008B1752">
        <w:rPr>
          <w:rFonts w:asciiTheme="minorHAnsi" w:hAnsiTheme="minorHAnsi" w:cstheme="minorHAnsi"/>
          <w:noProof/>
          <w:sz w:val="22"/>
          <w:lang w:val="it-IT"/>
        </w:rPr>
        <w:t xml:space="preserve"> un rimbalzo </w:t>
      </w:r>
      <w:r w:rsidR="003373EB" w:rsidRPr="008B1752">
        <w:rPr>
          <w:rFonts w:asciiTheme="minorHAnsi" w:hAnsiTheme="minorHAnsi" w:cstheme="minorHAnsi"/>
          <w:noProof/>
          <w:sz w:val="22"/>
          <w:lang w:val="it-IT"/>
        </w:rPr>
        <w:t xml:space="preserve">positivo </w:t>
      </w:r>
      <w:r w:rsidR="002D389C" w:rsidRPr="008B1752">
        <w:rPr>
          <w:rFonts w:asciiTheme="minorHAnsi" w:hAnsiTheme="minorHAnsi" w:cstheme="minorHAnsi"/>
          <w:noProof/>
          <w:sz w:val="22"/>
          <w:lang w:val="it-IT"/>
        </w:rPr>
        <w:t xml:space="preserve">e raggiungere i </w:t>
      </w:r>
      <w:r w:rsidR="002D389C"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 xml:space="preserve">100 miliardi di euro nel </w:t>
      </w:r>
      <w:r w:rsidR="00650198"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>corso del q</w:t>
      </w:r>
      <w:r w:rsidR="002D389C"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>uarto trimestre</w:t>
      </w:r>
      <w:r w:rsidR="00CF3962"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 xml:space="preserve"> del 2020</w:t>
      </w:r>
      <w:r w:rsidR="00CF3962" w:rsidRPr="008B1752">
        <w:rPr>
          <w:rFonts w:asciiTheme="minorHAnsi" w:hAnsiTheme="minorHAnsi" w:cstheme="minorHAnsi"/>
          <w:noProof/>
          <w:sz w:val="22"/>
          <w:lang w:val="it-IT"/>
        </w:rPr>
        <w:t xml:space="preserve">. </w:t>
      </w:r>
    </w:p>
    <w:p w:rsidR="006355C0" w:rsidRPr="008B1752" w:rsidRDefault="006355C0" w:rsidP="000710CD">
      <w:pPr>
        <w:pStyle w:val="Nessunaspaziatura"/>
        <w:spacing w:line="276" w:lineRule="auto"/>
        <w:jc w:val="both"/>
        <w:rPr>
          <w:rFonts w:asciiTheme="minorHAnsi" w:hAnsiTheme="minorHAnsi" w:cstheme="minorHAnsi"/>
          <w:noProof/>
          <w:sz w:val="22"/>
          <w:lang w:val="it-IT"/>
        </w:rPr>
      </w:pPr>
    </w:p>
    <w:p w:rsidR="00E23694" w:rsidRPr="008B1752" w:rsidRDefault="007525FE" w:rsidP="000710CD">
      <w:pPr>
        <w:pStyle w:val="Nessunaspaziatura"/>
        <w:spacing w:line="276" w:lineRule="auto"/>
        <w:jc w:val="both"/>
        <w:rPr>
          <w:rFonts w:asciiTheme="minorHAnsi" w:hAnsiTheme="minorHAnsi" w:cstheme="minorHAnsi"/>
          <w:noProof/>
          <w:sz w:val="22"/>
          <w:lang w:val="it-IT"/>
        </w:rPr>
      </w:pPr>
      <w:r w:rsidRPr="008B1752">
        <w:rPr>
          <w:rFonts w:asciiTheme="minorHAnsi" w:hAnsiTheme="minorHAnsi" w:cstheme="minorHAnsi"/>
          <w:noProof/>
          <w:sz w:val="22"/>
          <w:lang w:val="it-IT"/>
        </w:rPr>
        <w:t xml:space="preserve">E’ quanto emerge dal rapporto 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Prevail &amp; Prosper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 xml:space="preserve"> di </w:t>
      </w:r>
      <w:r w:rsidR="00213077" w:rsidRPr="008B1752">
        <w:rPr>
          <w:rFonts w:asciiTheme="minorHAnsi" w:hAnsiTheme="minorHAnsi" w:cstheme="minorHAnsi"/>
          <w:noProof/>
          <w:sz w:val="22"/>
          <w:lang w:val="it-IT"/>
        </w:rPr>
        <w:t xml:space="preserve"> Colliers International</w:t>
      </w:r>
      <w:r w:rsidR="000E2B17" w:rsidRPr="008B1752">
        <w:rPr>
          <w:rFonts w:asciiTheme="minorHAnsi" w:hAnsiTheme="minorHAnsi" w:cstheme="minorHAnsi"/>
          <w:noProof/>
          <w:sz w:val="22"/>
          <w:lang w:val="it-IT"/>
        </w:rPr>
        <w:t>, che ha esaminato</w:t>
      </w:r>
      <w:r w:rsidR="00A80844" w:rsidRPr="008B1752">
        <w:rPr>
          <w:rFonts w:asciiTheme="minorHAnsi" w:hAnsiTheme="minorHAnsi" w:cstheme="minorHAnsi"/>
          <w:noProof/>
          <w:sz w:val="22"/>
          <w:lang w:val="it-IT"/>
        </w:rPr>
        <w:t xml:space="preserve"> </w:t>
      </w:r>
      <w:r w:rsidR="00C23D70" w:rsidRPr="008B1752">
        <w:rPr>
          <w:rFonts w:asciiTheme="minorHAnsi" w:hAnsiTheme="minorHAnsi" w:cstheme="minorHAnsi"/>
          <w:noProof/>
          <w:sz w:val="22"/>
          <w:lang w:val="it-IT"/>
        </w:rPr>
        <w:t>a</w:t>
      </w:r>
      <w:r w:rsidR="00832642" w:rsidRPr="008B1752">
        <w:rPr>
          <w:rFonts w:asciiTheme="minorHAnsi" w:hAnsiTheme="minorHAnsi" w:cstheme="minorHAnsi"/>
          <w:noProof/>
          <w:sz w:val="22"/>
          <w:lang w:val="it-IT"/>
        </w:rPr>
        <w:t xml:space="preserve"> livello globale </w:t>
      </w:r>
      <w:r w:rsidR="000B3099" w:rsidRPr="008B1752">
        <w:rPr>
          <w:rFonts w:asciiTheme="minorHAnsi" w:hAnsiTheme="minorHAnsi" w:cstheme="minorHAnsi"/>
          <w:noProof/>
          <w:sz w:val="22"/>
          <w:lang w:val="it-IT"/>
        </w:rPr>
        <w:t>l</w:t>
      </w:r>
      <w:r w:rsidR="00126D45" w:rsidRPr="008B1752">
        <w:rPr>
          <w:rFonts w:asciiTheme="minorHAnsi" w:hAnsiTheme="minorHAnsi" w:cstheme="minorHAnsi"/>
          <w:noProof/>
          <w:sz w:val="22"/>
          <w:lang w:val="it-IT"/>
        </w:rPr>
        <w:t>e</w:t>
      </w:r>
      <w:r w:rsidR="000B3099" w:rsidRPr="008B1752">
        <w:rPr>
          <w:rFonts w:asciiTheme="minorHAnsi" w:hAnsiTheme="minorHAnsi" w:cstheme="minorHAnsi"/>
          <w:noProof/>
          <w:sz w:val="22"/>
          <w:lang w:val="it-IT"/>
        </w:rPr>
        <w:t xml:space="preserve"> </w:t>
      </w:r>
      <w:r w:rsidR="000E2B17" w:rsidRPr="008B1752">
        <w:rPr>
          <w:rFonts w:asciiTheme="minorHAnsi" w:hAnsiTheme="minorHAnsi" w:cstheme="minorHAnsi"/>
          <w:noProof/>
          <w:sz w:val="22"/>
          <w:lang w:val="it-IT"/>
        </w:rPr>
        <w:t>reazion</w:t>
      </w:r>
      <w:r w:rsidR="0068652B" w:rsidRPr="008B1752">
        <w:rPr>
          <w:rFonts w:asciiTheme="minorHAnsi" w:hAnsiTheme="minorHAnsi" w:cstheme="minorHAnsi"/>
          <w:noProof/>
          <w:sz w:val="22"/>
          <w:lang w:val="it-IT"/>
        </w:rPr>
        <w:t>i</w:t>
      </w:r>
      <w:r w:rsidR="000E2B17" w:rsidRPr="008B1752">
        <w:rPr>
          <w:rFonts w:asciiTheme="minorHAnsi" w:hAnsiTheme="minorHAnsi" w:cstheme="minorHAnsi"/>
          <w:noProof/>
          <w:sz w:val="22"/>
          <w:lang w:val="it-IT"/>
        </w:rPr>
        <w:t xml:space="preserve"> </w:t>
      </w:r>
      <w:r w:rsidR="00126D45" w:rsidRPr="008B1752">
        <w:rPr>
          <w:rFonts w:asciiTheme="minorHAnsi" w:hAnsiTheme="minorHAnsi" w:cstheme="minorHAnsi"/>
          <w:noProof/>
          <w:sz w:val="22"/>
          <w:lang w:val="it-IT"/>
        </w:rPr>
        <w:t xml:space="preserve">degli investitori </w:t>
      </w:r>
      <w:r w:rsidR="00C825DF" w:rsidRPr="008B1752">
        <w:rPr>
          <w:rFonts w:asciiTheme="minorHAnsi" w:hAnsiTheme="minorHAnsi" w:cstheme="minorHAnsi"/>
          <w:noProof/>
          <w:sz w:val="22"/>
          <w:lang w:val="it-IT"/>
        </w:rPr>
        <w:t>nei confronti</w:t>
      </w:r>
      <w:r w:rsidR="00832642" w:rsidRPr="008B1752">
        <w:rPr>
          <w:rFonts w:asciiTheme="minorHAnsi" w:hAnsiTheme="minorHAnsi" w:cstheme="minorHAnsi"/>
          <w:noProof/>
          <w:sz w:val="22"/>
          <w:lang w:val="it-IT"/>
        </w:rPr>
        <w:t xml:space="preserve"> </w:t>
      </w:r>
      <w:r w:rsidR="00C825DF" w:rsidRPr="008B1752">
        <w:rPr>
          <w:rFonts w:asciiTheme="minorHAnsi" w:hAnsiTheme="minorHAnsi" w:cstheme="minorHAnsi"/>
          <w:noProof/>
          <w:sz w:val="22"/>
          <w:lang w:val="it-IT"/>
        </w:rPr>
        <w:t>de</w:t>
      </w:r>
      <w:r w:rsidR="00126D45" w:rsidRPr="008B1752">
        <w:rPr>
          <w:rFonts w:asciiTheme="minorHAnsi" w:hAnsiTheme="minorHAnsi" w:cstheme="minorHAnsi"/>
          <w:noProof/>
          <w:sz w:val="22"/>
          <w:lang w:val="it-IT"/>
        </w:rPr>
        <w:t>lle</w:t>
      </w:r>
      <w:r w:rsidR="00832642" w:rsidRPr="008B1752">
        <w:rPr>
          <w:rFonts w:asciiTheme="minorHAnsi" w:hAnsiTheme="minorHAnsi" w:cstheme="minorHAnsi"/>
          <w:noProof/>
          <w:sz w:val="22"/>
          <w:lang w:val="it-IT"/>
        </w:rPr>
        <w:t xml:space="preserve"> differenti</w:t>
      </w:r>
      <w:r w:rsidR="0068652B" w:rsidRPr="008B1752">
        <w:rPr>
          <w:rFonts w:asciiTheme="minorHAnsi" w:hAnsiTheme="minorHAnsi" w:cstheme="minorHAnsi"/>
          <w:noProof/>
          <w:sz w:val="22"/>
          <w:lang w:val="it-IT"/>
        </w:rPr>
        <w:t xml:space="preserve"> modalità con cui</w:t>
      </w:r>
      <w:r w:rsidR="00C81CB0" w:rsidRPr="008B1752">
        <w:rPr>
          <w:rFonts w:asciiTheme="minorHAnsi" w:hAnsiTheme="minorHAnsi" w:cstheme="minorHAnsi"/>
          <w:noProof/>
          <w:sz w:val="22"/>
          <w:lang w:val="it-IT"/>
        </w:rPr>
        <w:t xml:space="preserve"> </w:t>
      </w:r>
      <w:r w:rsidR="00C825DF" w:rsidRPr="008B1752">
        <w:rPr>
          <w:rFonts w:asciiTheme="minorHAnsi" w:hAnsiTheme="minorHAnsi" w:cstheme="minorHAnsi"/>
          <w:noProof/>
          <w:sz w:val="22"/>
          <w:lang w:val="it-IT"/>
        </w:rPr>
        <w:t>le</w:t>
      </w:r>
      <w:r w:rsidR="0068652B" w:rsidRPr="008B1752">
        <w:rPr>
          <w:rFonts w:asciiTheme="minorHAnsi" w:hAnsiTheme="minorHAnsi" w:cstheme="minorHAnsi"/>
          <w:noProof/>
          <w:sz w:val="22"/>
          <w:lang w:val="it-IT"/>
        </w:rPr>
        <w:t xml:space="preserve"> </w:t>
      </w:r>
      <w:r w:rsidR="00C825DF" w:rsidRPr="008B1752">
        <w:rPr>
          <w:rFonts w:asciiTheme="minorHAnsi" w:hAnsiTheme="minorHAnsi" w:cstheme="minorHAnsi"/>
          <w:noProof/>
          <w:sz w:val="22"/>
          <w:lang w:val="it-IT"/>
        </w:rPr>
        <w:t xml:space="preserve">principali </w:t>
      </w:r>
      <w:r w:rsidR="0068652B" w:rsidRPr="008B1752">
        <w:rPr>
          <w:rFonts w:asciiTheme="minorHAnsi" w:hAnsiTheme="minorHAnsi" w:cstheme="minorHAnsi"/>
          <w:noProof/>
          <w:sz w:val="22"/>
          <w:lang w:val="it-IT"/>
        </w:rPr>
        <w:t>città</w:t>
      </w:r>
      <w:r w:rsidR="00C825DF" w:rsidRPr="008B1752">
        <w:rPr>
          <w:rFonts w:asciiTheme="minorHAnsi" w:hAnsiTheme="minorHAnsi" w:cstheme="minorHAnsi"/>
          <w:noProof/>
          <w:sz w:val="22"/>
          <w:lang w:val="it-IT"/>
        </w:rPr>
        <w:t xml:space="preserve"> europee</w:t>
      </w:r>
      <w:r w:rsidR="0068652B" w:rsidRPr="008B1752">
        <w:rPr>
          <w:rFonts w:asciiTheme="minorHAnsi" w:hAnsiTheme="minorHAnsi" w:cstheme="minorHAnsi"/>
          <w:noProof/>
          <w:sz w:val="22"/>
          <w:lang w:val="it-IT"/>
        </w:rPr>
        <w:t xml:space="preserve"> e </w:t>
      </w:r>
      <w:r w:rsidR="00C81CB0" w:rsidRPr="008B1752">
        <w:rPr>
          <w:rFonts w:asciiTheme="minorHAnsi" w:hAnsiTheme="minorHAnsi" w:cstheme="minorHAnsi"/>
          <w:noProof/>
          <w:sz w:val="22"/>
          <w:lang w:val="it-IT"/>
        </w:rPr>
        <w:t xml:space="preserve">i </w:t>
      </w:r>
      <w:r w:rsidR="0068652B" w:rsidRPr="008B1752">
        <w:rPr>
          <w:rFonts w:asciiTheme="minorHAnsi" w:hAnsiTheme="minorHAnsi" w:cstheme="minorHAnsi"/>
          <w:noProof/>
          <w:sz w:val="22"/>
          <w:lang w:val="it-IT"/>
        </w:rPr>
        <w:t>settori industriali hanno</w:t>
      </w:r>
      <w:r w:rsidR="00FE2AD4" w:rsidRPr="008B1752">
        <w:rPr>
          <w:rFonts w:asciiTheme="minorHAnsi" w:hAnsiTheme="minorHAnsi" w:cstheme="minorHAnsi"/>
          <w:noProof/>
          <w:sz w:val="22"/>
          <w:lang w:val="it-IT"/>
        </w:rPr>
        <w:t xml:space="preserve"> </w:t>
      </w:r>
      <w:r w:rsidR="00A80844" w:rsidRPr="008B1752">
        <w:rPr>
          <w:rFonts w:asciiTheme="minorHAnsi" w:hAnsiTheme="minorHAnsi" w:cstheme="minorHAnsi"/>
          <w:noProof/>
          <w:sz w:val="22"/>
          <w:lang w:val="it-IT"/>
        </w:rPr>
        <w:t>reagito</w:t>
      </w:r>
      <w:r w:rsidR="00FE2AD4" w:rsidRPr="008B1752">
        <w:rPr>
          <w:rFonts w:asciiTheme="minorHAnsi" w:hAnsiTheme="minorHAnsi" w:cstheme="minorHAnsi"/>
          <w:noProof/>
          <w:sz w:val="22"/>
          <w:lang w:val="it-IT"/>
        </w:rPr>
        <w:t xml:space="preserve"> alla pandemia.</w:t>
      </w:r>
    </w:p>
    <w:p w:rsidR="000E2B17" w:rsidRPr="008B1752" w:rsidRDefault="000E2B17" w:rsidP="000710CD">
      <w:pPr>
        <w:pStyle w:val="Nessunaspaziatura"/>
        <w:spacing w:line="276" w:lineRule="auto"/>
        <w:jc w:val="both"/>
        <w:rPr>
          <w:rFonts w:asciiTheme="minorHAnsi" w:hAnsiTheme="minorHAnsi" w:cstheme="minorHAnsi"/>
          <w:noProof/>
          <w:sz w:val="22"/>
          <w:lang w:val="it-IT"/>
        </w:rPr>
      </w:pPr>
    </w:p>
    <w:p w:rsidR="000F61E0" w:rsidRPr="008B1752" w:rsidRDefault="007B7B36" w:rsidP="000710CD">
      <w:pPr>
        <w:pStyle w:val="Nessunaspaziatura"/>
        <w:spacing w:line="276" w:lineRule="auto"/>
        <w:jc w:val="both"/>
        <w:rPr>
          <w:rFonts w:asciiTheme="minorHAnsi" w:hAnsiTheme="minorHAnsi" w:cstheme="minorHAnsi"/>
          <w:noProof/>
          <w:sz w:val="22"/>
          <w:lang w:val="it-IT"/>
        </w:rPr>
      </w:pPr>
      <w:r w:rsidRPr="008B1752">
        <w:rPr>
          <w:rFonts w:asciiTheme="minorHAnsi" w:hAnsiTheme="minorHAnsi" w:cstheme="minorHAnsi"/>
          <w:noProof/>
          <w:sz w:val="22"/>
          <w:lang w:val="it-IT"/>
        </w:rPr>
        <w:t>I</w:t>
      </w:r>
      <w:r w:rsidR="00C60D88" w:rsidRPr="008B1752">
        <w:rPr>
          <w:rFonts w:asciiTheme="minorHAnsi" w:hAnsiTheme="minorHAnsi" w:cstheme="minorHAnsi"/>
          <w:noProof/>
          <w:sz w:val="22"/>
          <w:lang w:val="it-IT"/>
        </w:rPr>
        <w:t xml:space="preserve">l </w:t>
      </w:r>
      <w:r w:rsidR="00213077" w:rsidRPr="008B1752">
        <w:rPr>
          <w:rFonts w:asciiTheme="minorHAnsi" w:hAnsiTheme="minorHAnsi" w:cstheme="minorHAnsi"/>
          <w:noProof/>
          <w:sz w:val="22"/>
          <w:lang w:val="it-IT"/>
        </w:rPr>
        <w:t>volum</w:t>
      </w:r>
      <w:r w:rsidR="00C60D88" w:rsidRPr="008B1752">
        <w:rPr>
          <w:rFonts w:asciiTheme="minorHAnsi" w:hAnsiTheme="minorHAnsi" w:cstheme="minorHAnsi"/>
          <w:noProof/>
          <w:sz w:val="22"/>
          <w:lang w:val="it-IT"/>
        </w:rPr>
        <w:t>e degli investimenti</w:t>
      </w:r>
      <w:r w:rsidR="00934A71" w:rsidRPr="008B1752">
        <w:rPr>
          <w:rFonts w:asciiTheme="minorHAnsi" w:hAnsiTheme="minorHAnsi" w:cstheme="minorHAnsi"/>
          <w:noProof/>
          <w:sz w:val="22"/>
          <w:lang w:val="it-IT"/>
        </w:rPr>
        <w:t xml:space="preserve"> complessivi </w:t>
      </w:r>
      <w:r w:rsidR="00213077" w:rsidRPr="008B1752">
        <w:rPr>
          <w:rFonts w:asciiTheme="minorHAnsi" w:hAnsiTheme="minorHAnsi" w:cstheme="minorHAnsi"/>
          <w:noProof/>
          <w:sz w:val="22"/>
          <w:lang w:val="it-IT"/>
        </w:rPr>
        <w:t xml:space="preserve">per l'intero </w:t>
      </w:r>
      <w:r w:rsidR="00796F3C" w:rsidRPr="008B1752">
        <w:rPr>
          <w:rFonts w:asciiTheme="minorHAnsi" w:hAnsiTheme="minorHAnsi" w:cstheme="minorHAnsi"/>
          <w:noProof/>
          <w:sz w:val="22"/>
          <w:lang w:val="it-IT"/>
        </w:rPr>
        <w:t>2020</w:t>
      </w:r>
      <w:r w:rsidR="00F43B8B" w:rsidRPr="008B1752">
        <w:rPr>
          <w:rFonts w:asciiTheme="minorHAnsi" w:hAnsiTheme="minorHAnsi" w:cstheme="minorHAnsi"/>
          <w:noProof/>
          <w:sz w:val="22"/>
          <w:lang w:val="it-IT"/>
        </w:rPr>
        <w:t xml:space="preserve">, </w:t>
      </w:r>
      <w:r w:rsidR="00D6345F" w:rsidRPr="008B1752">
        <w:rPr>
          <w:rFonts w:asciiTheme="minorHAnsi" w:hAnsiTheme="minorHAnsi" w:cstheme="minorHAnsi"/>
          <w:noProof/>
          <w:sz w:val="22"/>
          <w:lang w:val="it-IT"/>
        </w:rPr>
        <w:t>ha</w:t>
      </w:r>
      <w:r w:rsidR="00D65E8E" w:rsidRPr="008B1752">
        <w:rPr>
          <w:rFonts w:asciiTheme="minorHAnsi" w:hAnsiTheme="minorHAnsi" w:cstheme="minorHAnsi"/>
          <w:noProof/>
          <w:sz w:val="22"/>
          <w:lang w:val="it-IT"/>
        </w:rPr>
        <w:t xml:space="preserve"> </w:t>
      </w:r>
      <w:r w:rsidR="00A75AAD" w:rsidRPr="008B1752">
        <w:rPr>
          <w:rFonts w:asciiTheme="minorHAnsi" w:hAnsiTheme="minorHAnsi" w:cstheme="minorHAnsi"/>
          <w:noProof/>
          <w:sz w:val="22"/>
          <w:lang w:val="it-IT"/>
        </w:rPr>
        <w:t xml:space="preserve">ulteriormente </w:t>
      </w:r>
      <w:r w:rsidR="00D6345F" w:rsidRPr="008B1752">
        <w:rPr>
          <w:rFonts w:asciiTheme="minorHAnsi" w:hAnsiTheme="minorHAnsi" w:cstheme="minorHAnsi"/>
          <w:noProof/>
          <w:sz w:val="22"/>
          <w:lang w:val="it-IT"/>
        </w:rPr>
        <w:t xml:space="preserve">evidenziato 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>l’</w:t>
      </w:r>
      <w:r w:rsidR="00B6436E" w:rsidRPr="008B1752">
        <w:rPr>
          <w:rFonts w:asciiTheme="minorHAnsi" w:hAnsiTheme="minorHAnsi" w:cstheme="minorHAnsi"/>
          <w:noProof/>
          <w:sz w:val="22"/>
          <w:lang w:val="it-IT"/>
        </w:rPr>
        <w:t>indagine</w:t>
      </w:r>
      <w:r w:rsidR="00F43B8B" w:rsidRPr="008B1752">
        <w:rPr>
          <w:rFonts w:asciiTheme="minorHAnsi" w:hAnsiTheme="minorHAnsi" w:cstheme="minorHAnsi"/>
          <w:noProof/>
          <w:sz w:val="22"/>
          <w:lang w:val="it-IT"/>
        </w:rPr>
        <w:t xml:space="preserve">, </w:t>
      </w:r>
      <w:r w:rsidR="00796F3C" w:rsidRPr="008B1752">
        <w:rPr>
          <w:rFonts w:asciiTheme="minorHAnsi" w:hAnsiTheme="minorHAnsi" w:cstheme="minorHAnsi"/>
          <w:noProof/>
          <w:sz w:val="22"/>
          <w:lang w:val="it-IT"/>
        </w:rPr>
        <w:t>potrebbe</w:t>
      </w:r>
      <w:r w:rsidR="00213077" w:rsidRPr="008B1752">
        <w:rPr>
          <w:rFonts w:asciiTheme="minorHAnsi" w:hAnsiTheme="minorHAnsi" w:cstheme="minorHAnsi"/>
          <w:noProof/>
          <w:sz w:val="22"/>
          <w:lang w:val="it-IT"/>
        </w:rPr>
        <w:t xml:space="preserve"> a</w:t>
      </w:r>
      <w:r w:rsidR="00796F3C" w:rsidRPr="008B1752">
        <w:rPr>
          <w:rFonts w:asciiTheme="minorHAnsi" w:hAnsiTheme="minorHAnsi" w:cstheme="minorHAnsi"/>
          <w:noProof/>
          <w:sz w:val="22"/>
          <w:lang w:val="it-IT"/>
        </w:rPr>
        <w:t>ttestarsi a</w:t>
      </w:r>
      <w:r w:rsidR="00213077" w:rsidRPr="008B1752">
        <w:rPr>
          <w:rFonts w:asciiTheme="minorHAnsi" w:hAnsiTheme="minorHAnsi" w:cstheme="minorHAnsi"/>
          <w:noProof/>
          <w:sz w:val="22"/>
          <w:lang w:val="it-IT"/>
        </w:rPr>
        <w:t xml:space="preserve"> circa </w:t>
      </w:r>
      <w:r w:rsidR="00213077"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 xml:space="preserve">270 miliardi di </w:t>
      </w:r>
      <w:r w:rsidR="00934A71"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>E</w:t>
      </w:r>
      <w:r w:rsidR="00213077"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>uro</w:t>
      </w:r>
      <w:r w:rsidR="005D2B0A"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 xml:space="preserve"> in chiusura d’anno</w:t>
      </w:r>
      <w:r w:rsidR="00213077"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 xml:space="preserve">, </w:t>
      </w:r>
      <w:r w:rsidR="002B12C1"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>registrando</w:t>
      </w:r>
      <w:r w:rsidR="001158B2">
        <w:rPr>
          <w:rFonts w:asciiTheme="minorHAnsi" w:hAnsiTheme="minorHAnsi" w:cstheme="minorHAnsi"/>
          <w:b/>
          <w:bCs/>
          <w:noProof/>
          <w:sz w:val="22"/>
          <w:lang w:val="it-IT"/>
        </w:rPr>
        <w:t xml:space="preserve"> un calo – inferiore alle aspettative – del 14% rispetto al 2019. </w:t>
      </w:r>
      <w:r w:rsidR="00934A71" w:rsidRPr="008B1752">
        <w:rPr>
          <w:rFonts w:asciiTheme="minorHAnsi" w:hAnsiTheme="minorHAnsi" w:cstheme="minorHAnsi"/>
          <w:noProof/>
          <w:sz w:val="22"/>
          <w:lang w:val="it-IT"/>
        </w:rPr>
        <w:t>Ciò,</w:t>
      </w:r>
      <w:r w:rsidR="00057588" w:rsidRPr="008B1752">
        <w:rPr>
          <w:rFonts w:asciiTheme="minorHAnsi" w:hAnsiTheme="minorHAnsi" w:cstheme="minorHAnsi"/>
          <w:noProof/>
          <w:sz w:val="22"/>
          <w:lang w:val="it-IT"/>
        </w:rPr>
        <w:t xml:space="preserve"> </w:t>
      </w:r>
      <w:r w:rsidR="00307E8A" w:rsidRPr="008B1752">
        <w:rPr>
          <w:rFonts w:asciiTheme="minorHAnsi" w:hAnsiTheme="minorHAnsi" w:cstheme="minorHAnsi"/>
          <w:noProof/>
          <w:sz w:val="22"/>
          <w:lang w:val="it-IT"/>
        </w:rPr>
        <w:t>purch</w:t>
      </w:r>
      <w:r w:rsidR="001158B2">
        <w:rPr>
          <w:rFonts w:asciiTheme="minorHAnsi" w:hAnsiTheme="minorHAnsi" w:cstheme="minorHAnsi"/>
          <w:noProof/>
          <w:sz w:val="22"/>
          <w:lang w:val="it-IT"/>
        </w:rPr>
        <w:t>é</w:t>
      </w:r>
      <w:r w:rsidR="00307E8A" w:rsidRPr="008B1752">
        <w:rPr>
          <w:rFonts w:asciiTheme="minorHAnsi" w:hAnsiTheme="minorHAnsi" w:cstheme="minorHAnsi"/>
          <w:noProof/>
          <w:sz w:val="22"/>
          <w:lang w:val="it-IT"/>
        </w:rPr>
        <w:t xml:space="preserve"> prevalgano condizioni di mercato </w:t>
      </w:r>
      <w:r w:rsidR="001D525B" w:rsidRPr="008B1752">
        <w:rPr>
          <w:rFonts w:asciiTheme="minorHAnsi" w:hAnsiTheme="minorHAnsi" w:cstheme="minorHAnsi"/>
          <w:noProof/>
          <w:sz w:val="22"/>
          <w:lang w:val="it-IT"/>
        </w:rPr>
        <w:t>“</w:t>
      </w:r>
      <w:r w:rsidR="00307E8A" w:rsidRPr="008B1752">
        <w:rPr>
          <w:rFonts w:asciiTheme="minorHAnsi" w:hAnsiTheme="minorHAnsi" w:cstheme="minorHAnsi"/>
          <w:noProof/>
          <w:sz w:val="22"/>
          <w:lang w:val="it-IT"/>
        </w:rPr>
        <w:t>stabili</w:t>
      </w:r>
      <w:r w:rsidR="001D525B" w:rsidRPr="008B1752">
        <w:rPr>
          <w:rFonts w:asciiTheme="minorHAnsi" w:hAnsiTheme="minorHAnsi" w:cstheme="minorHAnsi"/>
          <w:noProof/>
          <w:sz w:val="22"/>
          <w:lang w:val="it-IT"/>
        </w:rPr>
        <w:t>”</w:t>
      </w:r>
      <w:r w:rsidR="000710CD" w:rsidRPr="008B1752">
        <w:rPr>
          <w:rFonts w:asciiTheme="minorHAnsi" w:hAnsiTheme="minorHAnsi" w:cstheme="minorHAnsi"/>
          <w:noProof/>
          <w:sz w:val="22"/>
          <w:lang w:val="it-IT"/>
        </w:rPr>
        <w:t xml:space="preserve"> </w:t>
      </w:r>
      <w:r w:rsidR="003337CB" w:rsidRPr="008B1752">
        <w:rPr>
          <w:rFonts w:asciiTheme="minorHAnsi" w:hAnsiTheme="minorHAnsi" w:cstheme="minorHAnsi"/>
          <w:noProof/>
          <w:sz w:val="22"/>
          <w:lang w:val="it-IT"/>
        </w:rPr>
        <w:t xml:space="preserve">e </w:t>
      </w:r>
      <w:r w:rsidR="00900FC6" w:rsidRPr="008B1752">
        <w:rPr>
          <w:rFonts w:asciiTheme="minorHAnsi" w:hAnsiTheme="minorHAnsi" w:cstheme="minorHAnsi"/>
          <w:noProof/>
          <w:sz w:val="22"/>
          <w:lang w:val="it-IT"/>
        </w:rPr>
        <w:t>garantite dall’assenza</w:t>
      </w:r>
      <w:r w:rsidR="000710CD" w:rsidRPr="008B1752">
        <w:rPr>
          <w:rFonts w:asciiTheme="minorHAnsi" w:hAnsiTheme="minorHAnsi" w:cstheme="minorHAnsi"/>
          <w:noProof/>
          <w:sz w:val="22"/>
          <w:lang w:val="it-IT"/>
        </w:rPr>
        <w:t xml:space="preserve"> </w:t>
      </w:r>
      <w:r w:rsidR="00900FC6" w:rsidRPr="008B1752">
        <w:rPr>
          <w:rFonts w:asciiTheme="minorHAnsi" w:hAnsiTheme="minorHAnsi" w:cstheme="minorHAnsi"/>
          <w:noProof/>
          <w:sz w:val="22"/>
          <w:lang w:val="it-IT"/>
        </w:rPr>
        <w:t>di</w:t>
      </w:r>
      <w:r w:rsidR="008335B7" w:rsidRPr="008B1752">
        <w:rPr>
          <w:rFonts w:asciiTheme="minorHAnsi" w:hAnsiTheme="minorHAnsi" w:cstheme="minorHAnsi"/>
          <w:noProof/>
          <w:sz w:val="22"/>
          <w:lang w:val="it-IT"/>
        </w:rPr>
        <w:t xml:space="preserve"> </w:t>
      </w:r>
      <w:r w:rsidR="00A87CC8" w:rsidRPr="008B1752">
        <w:rPr>
          <w:rFonts w:asciiTheme="minorHAnsi" w:hAnsiTheme="minorHAnsi" w:cstheme="minorHAnsi"/>
          <w:noProof/>
          <w:sz w:val="22"/>
          <w:lang w:val="it-IT"/>
        </w:rPr>
        <w:t>shock</w:t>
      </w:r>
      <w:r w:rsidR="001D525B" w:rsidRPr="008B1752">
        <w:rPr>
          <w:rFonts w:asciiTheme="minorHAnsi" w:hAnsiTheme="minorHAnsi" w:cstheme="minorHAnsi"/>
          <w:noProof/>
          <w:sz w:val="22"/>
          <w:lang w:val="it-IT"/>
        </w:rPr>
        <w:t xml:space="preserve"> imprevisti sul </w:t>
      </w:r>
      <w:r w:rsidR="00A87CC8" w:rsidRPr="008B1752">
        <w:rPr>
          <w:rFonts w:asciiTheme="minorHAnsi" w:hAnsiTheme="minorHAnsi" w:cstheme="minorHAnsi"/>
          <w:noProof/>
          <w:sz w:val="22"/>
          <w:lang w:val="it-IT"/>
        </w:rPr>
        <w:t>versante</w:t>
      </w:r>
      <w:r w:rsidR="001D525B" w:rsidRPr="008B1752">
        <w:rPr>
          <w:rFonts w:asciiTheme="minorHAnsi" w:hAnsiTheme="minorHAnsi" w:cstheme="minorHAnsi"/>
          <w:noProof/>
          <w:sz w:val="22"/>
          <w:lang w:val="it-IT"/>
        </w:rPr>
        <w:t xml:space="preserve"> geopolit</w:t>
      </w:r>
      <w:r w:rsidR="00A87CC8" w:rsidRPr="008B1752">
        <w:rPr>
          <w:rFonts w:asciiTheme="minorHAnsi" w:hAnsiTheme="minorHAnsi" w:cstheme="minorHAnsi"/>
          <w:noProof/>
          <w:sz w:val="22"/>
          <w:lang w:val="it-IT"/>
        </w:rPr>
        <w:t>ic</w:t>
      </w:r>
      <w:r w:rsidR="001D525B" w:rsidRPr="008B1752">
        <w:rPr>
          <w:rFonts w:asciiTheme="minorHAnsi" w:hAnsiTheme="minorHAnsi" w:cstheme="minorHAnsi"/>
          <w:noProof/>
          <w:sz w:val="22"/>
          <w:lang w:val="it-IT"/>
        </w:rPr>
        <w:t>o</w:t>
      </w:r>
      <w:r w:rsidR="003337CB" w:rsidRPr="008B1752">
        <w:rPr>
          <w:rFonts w:asciiTheme="minorHAnsi" w:hAnsiTheme="minorHAnsi" w:cstheme="minorHAnsi"/>
          <w:noProof/>
          <w:sz w:val="22"/>
          <w:lang w:val="it-IT"/>
        </w:rPr>
        <w:t>, o</w:t>
      </w:r>
      <w:r w:rsidR="008E7D25" w:rsidRPr="008B1752">
        <w:rPr>
          <w:rFonts w:asciiTheme="minorHAnsi" w:hAnsiTheme="minorHAnsi" w:cstheme="minorHAnsi"/>
          <w:noProof/>
          <w:sz w:val="22"/>
          <w:lang w:val="it-IT"/>
        </w:rPr>
        <w:t xml:space="preserve"> di fattori endogeni</w:t>
      </w:r>
      <w:r w:rsidR="001D525B" w:rsidRPr="008B1752">
        <w:rPr>
          <w:rFonts w:asciiTheme="minorHAnsi" w:hAnsiTheme="minorHAnsi" w:cstheme="minorHAnsi"/>
          <w:noProof/>
          <w:sz w:val="22"/>
          <w:lang w:val="it-IT"/>
        </w:rPr>
        <w:t xml:space="preserve"> </w:t>
      </w:r>
      <w:r w:rsidR="00267420" w:rsidRPr="008B1752">
        <w:rPr>
          <w:rFonts w:asciiTheme="minorHAnsi" w:hAnsiTheme="minorHAnsi" w:cstheme="minorHAnsi"/>
          <w:noProof/>
          <w:sz w:val="22"/>
          <w:lang w:val="it-IT"/>
        </w:rPr>
        <w:t>nell’equilibrio macroeconomico.</w:t>
      </w:r>
      <w:r w:rsidR="000F61E0" w:rsidRPr="008B1752">
        <w:rPr>
          <w:rFonts w:asciiTheme="minorHAnsi" w:hAnsiTheme="minorHAnsi" w:cstheme="minorHAnsi"/>
          <w:noProof/>
          <w:sz w:val="22"/>
          <w:lang w:val="it-IT"/>
        </w:rPr>
        <w:t xml:space="preserve"> </w:t>
      </w:r>
    </w:p>
    <w:p w:rsidR="000F61E0" w:rsidRPr="008B1752" w:rsidRDefault="000F61E0" w:rsidP="000710CD">
      <w:pPr>
        <w:pStyle w:val="Nessunaspaziatura"/>
        <w:spacing w:line="276" w:lineRule="auto"/>
        <w:jc w:val="both"/>
        <w:rPr>
          <w:rFonts w:asciiTheme="minorHAnsi" w:hAnsiTheme="minorHAnsi" w:cstheme="minorHAnsi"/>
          <w:noProof/>
          <w:sz w:val="22"/>
          <w:lang w:val="it-IT"/>
        </w:rPr>
      </w:pPr>
    </w:p>
    <w:p w:rsidR="00D37FEB" w:rsidRPr="008B1752" w:rsidRDefault="000F61E0" w:rsidP="000710CD">
      <w:pPr>
        <w:pStyle w:val="Nessunaspaziatura"/>
        <w:spacing w:line="276" w:lineRule="auto"/>
        <w:jc w:val="both"/>
        <w:rPr>
          <w:rFonts w:asciiTheme="minorHAnsi" w:hAnsiTheme="minorHAnsi" w:cstheme="minorHAnsi"/>
          <w:noProof/>
          <w:sz w:val="22"/>
          <w:lang w:val="it-IT"/>
        </w:rPr>
      </w:pPr>
      <w:r w:rsidRPr="008B1752">
        <w:rPr>
          <w:rFonts w:asciiTheme="minorHAnsi" w:hAnsiTheme="minorHAnsi" w:cstheme="minorHAnsi"/>
          <w:noProof/>
          <w:sz w:val="22"/>
          <w:lang w:val="it-IT"/>
        </w:rPr>
        <w:t>Lo studio ha inoltre analizzato come</w:t>
      </w:r>
      <w:r w:rsidR="001B3468" w:rsidRPr="008B1752">
        <w:rPr>
          <w:rFonts w:asciiTheme="minorHAnsi" w:hAnsiTheme="minorHAnsi" w:cstheme="minorHAnsi"/>
          <w:noProof/>
          <w:sz w:val="22"/>
          <w:lang w:val="it-IT"/>
        </w:rPr>
        <w:t xml:space="preserve"> si siano posizionati i</w:t>
      </w:r>
      <w:r w:rsidR="0081286A" w:rsidRPr="008B1752">
        <w:rPr>
          <w:rFonts w:asciiTheme="minorHAnsi" w:hAnsiTheme="minorHAnsi" w:cstheme="minorHAnsi"/>
          <w:noProof/>
          <w:sz w:val="22"/>
          <w:lang w:val="it-IT"/>
        </w:rPr>
        <w:t xml:space="preserve"> </w:t>
      </w:r>
      <w:r w:rsidR="001B3468" w:rsidRPr="008B1752">
        <w:rPr>
          <w:rFonts w:asciiTheme="minorHAnsi" w:hAnsiTheme="minorHAnsi" w:cstheme="minorHAnsi"/>
          <w:noProof/>
          <w:sz w:val="22"/>
          <w:lang w:val="it-IT"/>
        </w:rPr>
        <w:t xml:space="preserve">principali 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>mercati e destinazioni di capitali  per beneficiare degli investimenti</w:t>
      </w:r>
      <w:r w:rsidR="007D4856" w:rsidRPr="008B1752">
        <w:rPr>
          <w:rFonts w:asciiTheme="minorHAnsi" w:hAnsiTheme="minorHAnsi" w:cstheme="minorHAnsi"/>
          <w:noProof/>
          <w:sz w:val="22"/>
          <w:lang w:val="it-IT"/>
        </w:rPr>
        <w:t xml:space="preserve"> </w:t>
      </w:r>
      <w:r w:rsidR="008107E8" w:rsidRPr="008B1752">
        <w:rPr>
          <w:rFonts w:asciiTheme="minorHAnsi" w:hAnsiTheme="minorHAnsi" w:cstheme="minorHAnsi"/>
          <w:noProof/>
          <w:sz w:val="22"/>
          <w:lang w:val="it-IT"/>
        </w:rPr>
        <w:t xml:space="preserve">attualmente 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>in corso</w:t>
      </w:r>
      <w:r w:rsidR="00112C0E" w:rsidRPr="008B1752">
        <w:rPr>
          <w:rFonts w:asciiTheme="minorHAnsi" w:hAnsiTheme="minorHAnsi" w:cstheme="minorHAnsi"/>
          <w:noProof/>
          <w:sz w:val="22"/>
          <w:lang w:val="it-IT"/>
        </w:rPr>
        <w:t xml:space="preserve"> e della ripresa economica</w:t>
      </w:r>
      <w:r w:rsidR="007D4856" w:rsidRPr="008B1752">
        <w:rPr>
          <w:rFonts w:asciiTheme="minorHAnsi" w:hAnsiTheme="minorHAnsi" w:cstheme="minorHAnsi"/>
          <w:noProof/>
          <w:sz w:val="22"/>
          <w:lang w:val="it-IT"/>
        </w:rPr>
        <w:t>,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 xml:space="preserve"> che </w:t>
      </w:r>
      <w:r w:rsidR="001478BB" w:rsidRPr="008B1752">
        <w:rPr>
          <w:rFonts w:asciiTheme="minorHAnsi" w:hAnsiTheme="minorHAnsi" w:cstheme="minorHAnsi"/>
          <w:noProof/>
          <w:sz w:val="22"/>
          <w:lang w:val="it-IT"/>
        </w:rPr>
        <w:t xml:space="preserve">nel terzo trimestre 2020 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>ha subito un</w:t>
      </w:r>
      <w:r w:rsidR="001478BB" w:rsidRPr="008B1752">
        <w:rPr>
          <w:rFonts w:asciiTheme="minorHAnsi" w:hAnsiTheme="minorHAnsi" w:cstheme="minorHAnsi"/>
          <w:noProof/>
          <w:sz w:val="22"/>
          <w:lang w:val="it-IT"/>
        </w:rPr>
        <w:t xml:space="preserve">a forte 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>accelerazione</w:t>
      </w:r>
      <w:r w:rsidR="001478BB" w:rsidRPr="008B1752">
        <w:rPr>
          <w:rFonts w:asciiTheme="minorHAnsi" w:hAnsiTheme="minorHAnsi" w:cstheme="minorHAnsi"/>
          <w:noProof/>
          <w:sz w:val="22"/>
          <w:lang w:val="it-IT"/>
        </w:rPr>
        <w:t>.</w:t>
      </w:r>
    </w:p>
    <w:p w:rsidR="00213077" w:rsidRPr="008B1752" w:rsidRDefault="00213077" w:rsidP="00213077">
      <w:pPr>
        <w:pStyle w:val="Nessunaspaziatura"/>
        <w:jc w:val="both"/>
        <w:rPr>
          <w:rFonts w:asciiTheme="minorHAnsi" w:hAnsiTheme="minorHAnsi" w:cstheme="minorHAnsi"/>
          <w:noProof/>
          <w:sz w:val="22"/>
          <w:lang w:val="it-IT"/>
        </w:rPr>
      </w:pPr>
    </w:p>
    <w:p w:rsidR="003337CB" w:rsidRPr="00774483" w:rsidRDefault="001B3468" w:rsidP="00360283">
      <w:pPr>
        <w:pStyle w:val="Nessunaspaziatura"/>
        <w:spacing w:line="276" w:lineRule="auto"/>
        <w:jc w:val="both"/>
        <w:rPr>
          <w:rFonts w:asciiTheme="minorHAnsi" w:hAnsiTheme="minorHAnsi" w:cstheme="minorHAnsi"/>
          <w:noProof/>
          <w:sz w:val="22"/>
          <w:lang w:val="en-GB"/>
        </w:rPr>
      </w:pPr>
      <w:r>
        <w:rPr>
          <w:rFonts w:asciiTheme="minorHAnsi" w:hAnsiTheme="minorHAnsi" w:cstheme="minorHAnsi"/>
          <w:noProof/>
          <w:sz w:val="22"/>
          <w:lang w:val="en-GB"/>
        </w:rPr>
        <w:t>Nel dettaglio</w:t>
      </w:r>
      <w:r w:rsidR="003337CB">
        <w:rPr>
          <w:rFonts w:asciiTheme="minorHAnsi" w:hAnsiTheme="minorHAnsi" w:cstheme="minorHAnsi"/>
          <w:noProof/>
          <w:sz w:val="22"/>
          <w:lang w:val="en-GB"/>
        </w:rPr>
        <w:t xml:space="preserve">: </w:t>
      </w:r>
    </w:p>
    <w:p w:rsidR="00360283" w:rsidRPr="00774483" w:rsidRDefault="00360283" w:rsidP="00360283">
      <w:pPr>
        <w:pStyle w:val="Nessunaspaziatura"/>
        <w:spacing w:line="276" w:lineRule="auto"/>
        <w:jc w:val="both"/>
        <w:rPr>
          <w:rFonts w:asciiTheme="minorHAnsi" w:hAnsiTheme="minorHAnsi" w:cstheme="minorHAnsi"/>
          <w:noProof/>
          <w:sz w:val="22"/>
          <w:lang w:val="en-GB"/>
        </w:rPr>
      </w:pPr>
    </w:p>
    <w:p w:rsidR="00360283" w:rsidRDefault="0010716D" w:rsidP="002C1AD3">
      <w:pPr>
        <w:pStyle w:val="Nessunaspaziatura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lang w:val="it-IT"/>
        </w:rPr>
      </w:pPr>
      <w:r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 xml:space="preserve">Il 95% degli investitori intervistati attende una ripresa del mercato entro </w:t>
      </w:r>
      <w:r w:rsidR="008B1752">
        <w:rPr>
          <w:rFonts w:asciiTheme="minorHAnsi" w:hAnsiTheme="minorHAnsi" w:cstheme="minorHAnsi"/>
          <w:b/>
          <w:bCs/>
          <w:noProof/>
          <w:sz w:val="22"/>
          <w:lang w:val="it-IT"/>
        </w:rPr>
        <w:t>i</w:t>
      </w:r>
      <w:r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 xml:space="preserve"> prossimi 12 mesi</w:t>
      </w:r>
      <w:r w:rsidR="002C1AD3" w:rsidRPr="008B1752">
        <w:rPr>
          <w:rFonts w:asciiTheme="minorHAnsi" w:hAnsiTheme="minorHAnsi" w:cstheme="minorHAnsi"/>
          <w:noProof/>
          <w:sz w:val="22"/>
          <w:lang w:val="it-IT"/>
        </w:rPr>
        <w:t>;</w:t>
      </w:r>
    </w:p>
    <w:p w:rsidR="001158B2" w:rsidRPr="008B1752" w:rsidRDefault="001158B2" w:rsidP="001158B2">
      <w:pPr>
        <w:pStyle w:val="Nessunaspaziatura"/>
        <w:spacing w:line="276" w:lineRule="auto"/>
        <w:ind w:left="720"/>
        <w:jc w:val="both"/>
        <w:rPr>
          <w:rFonts w:asciiTheme="minorHAnsi" w:hAnsiTheme="minorHAnsi" w:cstheme="minorHAnsi"/>
          <w:noProof/>
          <w:sz w:val="22"/>
          <w:lang w:val="it-IT"/>
        </w:rPr>
      </w:pPr>
    </w:p>
    <w:p w:rsidR="001F329A" w:rsidRDefault="002C1AD3" w:rsidP="00073312">
      <w:pPr>
        <w:pStyle w:val="Nessunaspaziatura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lang w:val="it-IT"/>
        </w:rPr>
      </w:pPr>
      <w:r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>I capitali provenienti da Germania, Svizzera e Francia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 xml:space="preserve"> sono </w:t>
      </w:r>
      <w:r w:rsidR="004A0419" w:rsidRPr="008B1752">
        <w:rPr>
          <w:rFonts w:asciiTheme="minorHAnsi" w:hAnsiTheme="minorHAnsi" w:cstheme="minorHAnsi"/>
          <w:noProof/>
          <w:sz w:val="22"/>
          <w:lang w:val="it-IT"/>
        </w:rPr>
        <w:t>risultati tra i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 xml:space="preserve"> </w:t>
      </w:r>
      <w:r w:rsidR="004A0419" w:rsidRPr="008B1752">
        <w:rPr>
          <w:rFonts w:asciiTheme="minorHAnsi" w:hAnsiTheme="minorHAnsi" w:cstheme="minorHAnsi"/>
          <w:noProof/>
          <w:sz w:val="22"/>
          <w:lang w:val="it-IT"/>
        </w:rPr>
        <w:t>più</w:t>
      </w:r>
      <w:r w:rsidR="001F329A" w:rsidRPr="008B1752">
        <w:rPr>
          <w:rFonts w:asciiTheme="minorHAnsi" w:hAnsiTheme="minorHAnsi" w:cstheme="minorHAnsi"/>
          <w:noProof/>
          <w:sz w:val="22"/>
          <w:lang w:val="it-IT"/>
        </w:rPr>
        <w:t xml:space="preserve"> attiv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>i</w:t>
      </w:r>
      <w:r w:rsidR="001F329A" w:rsidRPr="008B1752">
        <w:rPr>
          <w:rFonts w:asciiTheme="minorHAnsi" w:hAnsiTheme="minorHAnsi" w:cstheme="minorHAnsi"/>
          <w:noProof/>
          <w:sz w:val="22"/>
          <w:lang w:val="it-IT"/>
        </w:rPr>
        <w:t xml:space="preserve"> 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>nell’ambito della regione EMEA,</w:t>
      </w:r>
      <w:r w:rsidR="004A0419" w:rsidRPr="008B1752">
        <w:rPr>
          <w:rFonts w:asciiTheme="minorHAnsi" w:hAnsiTheme="minorHAnsi" w:cstheme="minorHAnsi"/>
          <w:noProof/>
          <w:sz w:val="22"/>
          <w:lang w:val="it-IT"/>
        </w:rPr>
        <w:t xml:space="preserve"> e hanno</w:t>
      </w:r>
      <w:r w:rsidR="001F329A" w:rsidRPr="008B1752">
        <w:rPr>
          <w:rFonts w:asciiTheme="minorHAnsi" w:hAnsiTheme="minorHAnsi" w:cstheme="minorHAnsi"/>
          <w:noProof/>
          <w:sz w:val="22"/>
          <w:lang w:val="it-IT"/>
        </w:rPr>
        <w:t xml:space="preserve"> manten</w:t>
      </w:r>
      <w:r w:rsidR="004A0419" w:rsidRPr="008B1752">
        <w:rPr>
          <w:rFonts w:asciiTheme="minorHAnsi" w:hAnsiTheme="minorHAnsi" w:cstheme="minorHAnsi"/>
          <w:noProof/>
          <w:sz w:val="22"/>
          <w:lang w:val="it-IT"/>
        </w:rPr>
        <w:t xml:space="preserve">uto </w:t>
      </w:r>
      <w:r w:rsidR="001F329A" w:rsidRPr="008B1752">
        <w:rPr>
          <w:rFonts w:asciiTheme="minorHAnsi" w:hAnsiTheme="minorHAnsi" w:cstheme="minorHAnsi"/>
          <w:noProof/>
          <w:sz w:val="22"/>
          <w:lang w:val="it-IT"/>
        </w:rPr>
        <w:t>elevati i flussi interregionali su base annua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>;</w:t>
      </w:r>
    </w:p>
    <w:p w:rsidR="001158B2" w:rsidRPr="008B1752" w:rsidRDefault="001158B2" w:rsidP="001158B2">
      <w:pPr>
        <w:pStyle w:val="Nessunaspaziatura"/>
        <w:spacing w:line="276" w:lineRule="auto"/>
        <w:ind w:left="720"/>
        <w:jc w:val="both"/>
        <w:rPr>
          <w:rFonts w:asciiTheme="minorHAnsi" w:hAnsiTheme="minorHAnsi" w:cstheme="minorHAnsi"/>
          <w:noProof/>
          <w:sz w:val="22"/>
          <w:lang w:val="it-IT"/>
        </w:rPr>
      </w:pPr>
    </w:p>
    <w:p w:rsidR="00614DCA" w:rsidRPr="008B1752" w:rsidRDefault="002111FA" w:rsidP="00614DCA">
      <w:pPr>
        <w:pStyle w:val="Nessunaspaziatura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lang w:val="it-IT"/>
        </w:rPr>
      </w:pPr>
      <w:r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 xml:space="preserve">I mercati </w:t>
      </w:r>
      <w:r w:rsidR="009F6DF1"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>tedeschi</w:t>
      </w:r>
      <w:r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 xml:space="preserve"> e dei paesi</w:t>
      </w:r>
      <w:r w:rsidR="009F6DF1"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 xml:space="preserve"> del</w:t>
      </w:r>
      <w:r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 xml:space="preserve"> </w:t>
      </w:r>
      <w:r w:rsidR="009F6DF1"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>N</w:t>
      </w:r>
      <w:r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>ord</w:t>
      </w:r>
      <w:r w:rsidR="009F6DF1"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 xml:space="preserve"> Europa </w:t>
      </w:r>
      <w:r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 xml:space="preserve">beneficiano </w:t>
      </w:r>
      <w:r w:rsidR="00B715DF"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 xml:space="preserve">di </w:t>
      </w:r>
      <w:r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>contesti macroeconomici e</w:t>
      </w:r>
      <w:r w:rsidR="004A7C7B"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 xml:space="preserve"> quadri</w:t>
      </w:r>
      <w:r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 xml:space="preserve"> politici</w:t>
      </w:r>
      <w:r w:rsidR="00B715DF"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 xml:space="preserve"> più stabili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 xml:space="preserve">, </w:t>
      </w:r>
      <w:r w:rsidR="005D3884" w:rsidRPr="008B1752">
        <w:rPr>
          <w:rFonts w:asciiTheme="minorHAnsi" w:hAnsiTheme="minorHAnsi" w:cstheme="minorHAnsi"/>
          <w:noProof/>
          <w:sz w:val="22"/>
          <w:lang w:val="it-IT"/>
        </w:rPr>
        <w:t xml:space="preserve">e sono in cima alla classifica delle </w:t>
      </w:r>
      <w:r w:rsidR="003C0256" w:rsidRPr="008B1752">
        <w:rPr>
          <w:rFonts w:asciiTheme="minorHAnsi" w:hAnsiTheme="minorHAnsi" w:cstheme="minorHAnsi"/>
          <w:noProof/>
          <w:sz w:val="22"/>
          <w:lang w:val="it-IT"/>
        </w:rPr>
        <w:t xml:space="preserve">destinazioni più interessanti </w:t>
      </w:r>
      <w:r w:rsidR="00B715DF" w:rsidRPr="008B1752">
        <w:rPr>
          <w:rFonts w:asciiTheme="minorHAnsi" w:hAnsiTheme="minorHAnsi" w:cstheme="minorHAnsi"/>
          <w:noProof/>
          <w:sz w:val="22"/>
          <w:lang w:val="it-IT"/>
        </w:rPr>
        <w:t xml:space="preserve">in quanto dotate di 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>città di medie</w:t>
      </w:r>
      <w:r w:rsidR="006E2D10" w:rsidRPr="008B1752">
        <w:rPr>
          <w:rFonts w:asciiTheme="minorHAnsi" w:hAnsiTheme="minorHAnsi" w:cstheme="minorHAnsi"/>
          <w:noProof/>
          <w:sz w:val="22"/>
          <w:lang w:val="it-IT"/>
        </w:rPr>
        <w:t>-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 xml:space="preserve">dimensioni </w:t>
      </w:r>
      <w:r w:rsidR="003C0256" w:rsidRPr="008B1752">
        <w:rPr>
          <w:rFonts w:asciiTheme="minorHAnsi" w:hAnsiTheme="minorHAnsi" w:cstheme="minorHAnsi"/>
          <w:noProof/>
          <w:sz w:val="22"/>
          <w:lang w:val="it-IT"/>
        </w:rPr>
        <w:t>che dispongono di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 xml:space="preserve"> soluzioni alternative per i 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lastRenderedPageBreak/>
        <w:t xml:space="preserve">pendolari, </w:t>
      </w:r>
      <w:r w:rsidR="003C0256" w:rsidRPr="008B1752">
        <w:rPr>
          <w:rFonts w:asciiTheme="minorHAnsi" w:hAnsiTheme="minorHAnsi" w:cstheme="minorHAnsi"/>
          <w:noProof/>
          <w:sz w:val="22"/>
          <w:lang w:val="it-IT"/>
        </w:rPr>
        <w:t>dove si assiste</w:t>
      </w:r>
      <w:r w:rsidR="00B940AC" w:rsidRPr="008B1752">
        <w:rPr>
          <w:rFonts w:asciiTheme="minorHAnsi" w:hAnsiTheme="minorHAnsi" w:cstheme="minorHAnsi"/>
          <w:noProof/>
          <w:sz w:val="22"/>
          <w:lang w:val="it-IT"/>
        </w:rPr>
        <w:t xml:space="preserve"> a</w:t>
      </w:r>
      <w:r w:rsidR="003C0256" w:rsidRPr="008B1752">
        <w:rPr>
          <w:rFonts w:asciiTheme="minorHAnsi" w:hAnsiTheme="minorHAnsi" w:cstheme="minorHAnsi"/>
          <w:noProof/>
          <w:sz w:val="22"/>
          <w:lang w:val="it-IT"/>
        </w:rPr>
        <w:t xml:space="preserve"> un minore rischio 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 xml:space="preserve">di </w:t>
      </w:r>
      <w:r w:rsidR="00614DCA" w:rsidRPr="008B1752">
        <w:rPr>
          <w:rFonts w:asciiTheme="minorHAnsi" w:hAnsiTheme="minorHAnsi" w:cstheme="minorHAnsi"/>
          <w:noProof/>
          <w:sz w:val="22"/>
          <w:lang w:val="it-IT"/>
        </w:rPr>
        <w:t>cessazione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 xml:space="preserve"> de</w:t>
      </w:r>
      <w:r w:rsidR="00614DCA" w:rsidRPr="008B1752">
        <w:rPr>
          <w:rFonts w:asciiTheme="minorHAnsi" w:hAnsiTheme="minorHAnsi" w:cstheme="minorHAnsi"/>
          <w:noProof/>
          <w:sz w:val="22"/>
          <w:lang w:val="it-IT"/>
        </w:rPr>
        <w:t>i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 xml:space="preserve"> contratt</w:t>
      </w:r>
      <w:r w:rsidR="00614DCA" w:rsidRPr="008B1752">
        <w:rPr>
          <w:rFonts w:asciiTheme="minorHAnsi" w:hAnsiTheme="minorHAnsi" w:cstheme="minorHAnsi"/>
          <w:noProof/>
          <w:sz w:val="22"/>
          <w:lang w:val="it-IT"/>
        </w:rPr>
        <w:t>i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 xml:space="preserve"> di locazione e a</w:t>
      </w:r>
      <w:r w:rsidR="005A2A24" w:rsidRPr="008B1752">
        <w:rPr>
          <w:rFonts w:asciiTheme="minorHAnsi" w:hAnsiTheme="minorHAnsi" w:cstheme="minorHAnsi"/>
          <w:noProof/>
          <w:sz w:val="22"/>
          <w:lang w:val="it-IT"/>
        </w:rPr>
        <w:t xml:space="preserve"> stringenti</w:t>
      </w:r>
      <w:r w:rsidR="00B940AC" w:rsidRPr="008B1752">
        <w:rPr>
          <w:rFonts w:asciiTheme="minorHAnsi" w:hAnsiTheme="minorHAnsi" w:cstheme="minorHAnsi"/>
          <w:noProof/>
          <w:sz w:val="22"/>
          <w:lang w:val="it-IT"/>
        </w:rPr>
        <w:t xml:space="preserve"> 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>condizioni di domanda</w:t>
      </w:r>
      <w:r w:rsidR="00B940AC" w:rsidRPr="008B1752">
        <w:rPr>
          <w:rFonts w:asciiTheme="minorHAnsi" w:hAnsiTheme="minorHAnsi" w:cstheme="minorHAnsi"/>
          <w:noProof/>
          <w:sz w:val="22"/>
          <w:lang w:val="it-IT"/>
        </w:rPr>
        <w:t>-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>offerta</w:t>
      </w:r>
      <w:r w:rsidR="00B940AC" w:rsidRPr="008B1752">
        <w:rPr>
          <w:rFonts w:asciiTheme="minorHAnsi" w:hAnsiTheme="minorHAnsi" w:cstheme="minorHAnsi"/>
          <w:noProof/>
          <w:sz w:val="22"/>
          <w:lang w:val="it-IT"/>
        </w:rPr>
        <w:t>;</w:t>
      </w:r>
    </w:p>
    <w:p w:rsidR="002B7D06" w:rsidRDefault="004647D5" w:rsidP="002B7D06">
      <w:pPr>
        <w:pStyle w:val="Nessunaspaziatura"/>
        <w:numPr>
          <w:ilvl w:val="0"/>
          <w:numId w:val="7"/>
        </w:numPr>
        <w:jc w:val="both"/>
        <w:rPr>
          <w:rFonts w:asciiTheme="minorHAnsi" w:hAnsiTheme="minorHAnsi" w:cstheme="minorHAnsi"/>
          <w:noProof/>
          <w:sz w:val="22"/>
          <w:lang w:val="it-IT"/>
        </w:rPr>
      </w:pPr>
      <w:r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 xml:space="preserve">Londra e Parigi, nonostante il persistere di diverse incertezze di mercato, non </w:t>
      </w:r>
      <w:r w:rsidR="00CD44C6"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>dovranno</w:t>
      </w:r>
      <w:r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 xml:space="preserve"> </w:t>
      </w:r>
      <w:r w:rsidR="00CD44C6"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>affrontare</w:t>
      </w:r>
      <w:r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 xml:space="preserve"> </w:t>
      </w:r>
      <w:r w:rsidR="00CD44C6"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>conseguenze a lungo termine</w:t>
      </w:r>
      <w:r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>.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 xml:space="preserve"> Questo aspetto rappresenta una grande opportunità per acquisire</w:t>
      </w:r>
      <w:r w:rsidR="0096337C" w:rsidRPr="008B1752">
        <w:rPr>
          <w:rFonts w:asciiTheme="minorHAnsi" w:hAnsiTheme="minorHAnsi" w:cstheme="minorHAnsi"/>
          <w:noProof/>
          <w:sz w:val="22"/>
          <w:lang w:val="it-IT"/>
        </w:rPr>
        <w:t xml:space="preserve"> asset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 xml:space="preserve"> in mercati radicati e centrali</w:t>
      </w:r>
      <w:r w:rsidR="0096337C" w:rsidRPr="008B1752">
        <w:rPr>
          <w:rFonts w:asciiTheme="minorHAnsi" w:hAnsiTheme="minorHAnsi" w:cstheme="minorHAnsi"/>
          <w:noProof/>
          <w:sz w:val="22"/>
          <w:lang w:val="it-IT"/>
        </w:rPr>
        <w:t xml:space="preserve">, </w:t>
      </w:r>
      <w:r w:rsidR="0009175C" w:rsidRPr="008B1752">
        <w:rPr>
          <w:rFonts w:asciiTheme="minorHAnsi" w:hAnsiTheme="minorHAnsi" w:cstheme="minorHAnsi"/>
          <w:noProof/>
          <w:sz w:val="22"/>
          <w:lang w:val="it-IT"/>
        </w:rPr>
        <w:t xml:space="preserve">dove </w:t>
      </w:r>
      <w:r w:rsidR="00457A05" w:rsidRPr="008B1752">
        <w:rPr>
          <w:rFonts w:asciiTheme="minorHAnsi" w:hAnsiTheme="minorHAnsi" w:cstheme="minorHAnsi"/>
          <w:noProof/>
          <w:sz w:val="22"/>
          <w:lang w:val="it-IT"/>
        </w:rPr>
        <w:t>si sta verificando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 xml:space="preserve"> una correzione dei prezzi. Londra e l</w:t>
      </w:r>
      <w:r w:rsidR="0096337C" w:rsidRPr="008B1752">
        <w:rPr>
          <w:rFonts w:asciiTheme="minorHAnsi" w:hAnsiTheme="minorHAnsi" w:cstheme="minorHAnsi"/>
          <w:noProof/>
          <w:sz w:val="22"/>
          <w:lang w:val="it-IT"/>
        </w:rPr>
        <w:t xml:space="preserve">e altre 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>città del Regno Unito sono inoltre destinazioni attraenti per il collocamento del debito</w:t>
      </w:r>
      <w:r w:rsidR="00457A05" w:rsidRPr="008B1752">
        <w:rPr>
          <w:rFonts w:asciiTheme="minorHAnsi" w:hAnsiTheme="minorHAnsi" w:cstheme="minorHAnsi"/>
          <w:noProof/>
          <w:sz w:val="22"/>
          <w:lang w:val="it-IT"/>
        </w:rPr>
        <w:t>, in quanto attualmente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 xml:space="preserve"> caratterizzate da premi significativi rispetto alle altre grandi città europee, a causa </w:t>
      </w:r>
      <w:r w:rsidR="00457A05" w:rsidRPr="008B1752">
        <w:rPr>
          <w:rFonts w:asciiTheme="minorHAnsi" w:hAnsiTheme="minorHAnsi" w:cstheme="minorHAnsi"/>
          <w:noProof/>
          <w:sz w:val="22"/>
          <w:lang w:val="it-IT"/>
        </w:rPr>
        <w:t>di una minore pressione con</w:t>
      </w:r>
      <w:r w:rsidR="00F256AA" w:rsidRPr="008B1752">
        <w:rPr>
          <w:rFonts w:asciiTheme="minorHAnsi" w:hAnsiTheme="minorHAnsi" w:cstheme="minorHAnsi"/>
          <w:noProof/>
          <w:sz w:val="22"/>
          <w:lang w:val="it-IT"/>
        </w:rPr>
        <w:t>correnziale;</w:t>
      </w:r>
      <w:r w:rsidR="002B7D06" w:rsidRPr="008B1752">
        <w:rPr>
          <w:rFonts w:asciiTheme="minorHAnsi" w:hAnsiTheme="minorHAnsi" w:cstheme="minorHAnsi"/>
          <w:noProof/>
          <w:sz w:val="22"/>
          <w:lang w:val="it-IT"/>
        </w:rPr>
        <w:t xml:space="preserve"> </w:t>
      </w:r>
    </w:p>
    <w:p w:rsidR="001158B2" w:rsidRPr="008B1752" w:rsidRDefault="001158B2" w:rsidP="001158B2">
      <w:pPr>
        <w:pStyle w:val="Nessunaspaziatura"/>
        <w:ind w:left="720"/>
        <w:jc w:val="both"/>
        <w:rPr>
          <w:rFonts w:asciiTheme="minorHAnsi" w:hAnsiTheme="minorHAnsi" w:cstheme="minorHAnsi"/>
          <w:noProof/>
          <w:sz w:val="22"/>
          <w:lang w:val="it-IT"/>
        </w:rPr>
      </w:pPr>
    </w:p>
    <w:p w:rsidR="001158B2" w:rsidRDefault="007324E2" w:rsidP="001158B2">
      <w:pPr>
        <w:pStyle w:val="Nessunaspaziatura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noProof/>
          <w:sz w:val="22"/>
          <w:lang w:val="it-IT"/>
        </w:rPr>
      </w:pPr>
      <w:r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>La</w:t>
      </w:r>
      <w:r w:rsidR="00866802"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 xml:space="preserve"> logistica e </w:t>
      </w:r>
      <w:r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>il</w:t>
      </w:r>
      <w:r w:rsidR="00866802"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 xml:space="preserve"> residenziale si sono dimostrati i settori più resilienti</w:t>
      </w:r>
      <w:r w:rsidR="00A8096F" w:rsidRPr="008B1752">
        <w:rPr>
          <w:rFonts w:asciiTheme="minorHAnsi" w:hAnsiTheme="minorHAnsi" w:cstheme="minorHAnsi"/>
          <w:noProof/>
          <w:sz w:val="22"/>
          <w:lang w:val="it-IT"/>
        </w:rPr>
        <w:t xml:space="preserve"> </w:t>
      </w:r>
      <w:r w:rsidR="00F867A0" w:rsidRPr="008B1752">
        <w:rPr>
          <w:rFonts w:asciiTheme="minorHAnsi" w:hAnsiTheme="minorHAnsi" w:cstheme="minorHAnsi"/>
          <w:noProof/>
          <w:sz w:val="22"/>
          <w:lang w:val="it-IT"/>
        </w:rPr>
        <w:t>nonch</w:t>
      </w:r>
      <w:r w:rsidR="001158B2">
        <w:rPr>
          <w:rFonts w:asciiTheme="minorHAnsi" w:hAnsiTheme="minorHAnsi" w:cstheme="minorHAnsi"/>
          <w:noProof/>
          <w:sz w:val="22"/>
          <w:lang w:val="it-IT"/>
        </w:rPr>
        <w:t>é</w:t>
      </w:r>
      <w:r w:rsidR="00F867A0" w:rsidRPr="008B1752">
        <w:rPr>
          <w:rFonts w:asciiTheme="minorHAnsi" w:hAnsiTheme="minorHAnsi" w:cstheme="minorHAnsi"/>
          <w:noProof/>
          <w:sz w:val="22"/>
          <w:lang w:val="it-IT"/>
        </w:rPr>
        <w:t xml:space="preserve"> quelli</w:t>
      </w:r>
      <w:r w:rsidR="00A8096F" w:rsidRPr="008B1752">
        <w:rPr>
          <w:rFonts w:asciiTheme="minorHAnsi" w:hAnsiTheme="minorHAnsi" w:cstheme="minorHAnsi"/>
          <w:noProof/>
          <w:sz w:val="22"/>
          <w:lang w:val="it-IT"/>
        </w:rPr>
        <w:t xml:space="preserve"> che hanno contribuito a mantenere </w:t>
      </w:r>
      <w:r w:rsidR="00B8639D" w:rsidRPr="008B1752">
        <w:rPr>
          <w:rFonts w:asciiTheme="minorHAnsi" w:hAnsiTheme="minorHAnsi" w:cstheme="minorHAnsi"/>
          <w:noProof/>
          <w:sz w:val="22"/>
          <w:lang w:val="it-IT"/>
        </w:rPr>
        <w:t xml:space="preserve">elevato il volume degli investimenti. </w:t>
      </w:r>
      <w:r w:rsidR="00866802" w:rsidRPr="008B1752">
        <w:rPr>
          <w:rFonts w:asciiTheme="minorHAnsi" w:hAnsiTheme="minorHAnsi" w:cstheme="minorHAnsi"/>
          <w:noProof/>
          <w:sz w:val="22"/>
          <w:lang w:val="it-IT"/>
        </w:rPr>
        <w:t xml:space="preserve">Secondo le stime di Colliers, a settembre sono stati introdotti sul mercato oltre 3 miliardi di </w:t>
      </w:r>
      <w:r w:rsidR="00876D64" w:rsidRPr="008B1752">
        <w:rPr>
          <w:rFonts w:asciiTheme="minorHAnsi" w:hAnsiTheme="minorHAnsi" w:cstheme="minorHAnsi"/>
          <w:noProof/>
          <w:sz w:val="22"/>
          <w:lang w:val="it-IT"/>
        </w:rPr>
        <w:t>E</w:t>
      </w:r>
      <w:r w:rsidR="00866802" w:rsidRPr="008B1752">
        <w:rPr>
          <w:rFonts w:asciiTheme="minorHAnsi" w:hAnsiTheme="minorHAnsi" w:cstheme="minorHAnsi"/>
          <w:noProof/>
          <w:sz w:val="22"/>
          <w:lang w:val="it-IT"/>
        </w:rPr>
        <w:t>uro di portafogli logistici</w:t>
      </w:r>
      <w:r w:rsidR="00876D64" w:rsidRPr="008B1752">
        <w:rPr>
          <w:rFonts w:asciiTheme="minorHAnsi" w:hAnsiTheme="minorHAnsi" w:cstheme="minorHAnsi"/>
          <w:noProof/>
          <w:sz w:val="22"/>
          <w:lang w:val="it-IT"/>
        </w:rPr>
        <w:t xml:space="preserve"> (</w:t>
      </w:r>
      <w:r w:rsidR="00866802" w:rsidRPr="008B1752">
        <w:rPr>
          <w:rFonts w:asciiTheme="minorHAnsi" w:hAnsiTheme="minorHAnsi" w:cstheme="minorHAnsi"/>
          <w:noProof/>
          <w:sz w:val="22"/>
          <w:lang w:val="it-IT"/>
        </w:rPr>
        <w:t xml:space="preserve">alcuni dei quali già </w:t>
      </w:r>
      <w:r w:rsidR="00876D64" w:rsidRPr="008B1752">
        <w:rPr>
          <w:rFonts w:asciiTheme="minorHAnsi" w:hAnsiTheme="minorHAnsi" w:cstheme="minorHAnsi"/>
          <w:noProof/>
          <w:sz w:val="22"/>
          <w:lang w:val="it-IT"/>
        </w:rPr>
        <w:t>perfezionati)</w:t>
      </w:r>
      <w:r w:rsidR="00866802" w:rsidRPr="008B1752">
        <w:rPr>
          <w:rFonts w:asciiTheme="minorHAnsi" w:hAnsiTheme="minorHAnsi" w:cstheme="minorHAnsi"/>
          <w:noProof/>
          <w:sz w:val="22"/>
          <w:lang w:val="it-IT"/>
        </w:rPr>
        <w:t xml:space="preserve"> con valori in aumento fino al 20% per gli asset core</w:t>
      </w:r>
      <w:r w:rsidR="00876D64" w:rsidRPr="008B1752">
        <w:rPr>
          <w:rFonts w:asciiTheme="minorHAnsi" w:hAnsiTheme="minorHAnsi" w:cstheme="minorHAnsi"/>
          <w:noProof/>
          <w:sz w:val="22"/>
          <w:lang w:val="it-IT"/>
        </w:rPr>
        <w:t>;</w:t>
      </w:r>
      <w:r w:rsidR="00ED4C4A" w:rsidRPr="00ED4C4A">
        <w:t xml:space="preserve"> </w:t>
      </w:r>
    </w:p>
    <w:p w:rsidR="001158B2" w:rsidRPr="001158B2" w:rsidRDefault="001158B2" w:rsidP="001158B2">
      <w:pPr>
        <w:pStyle w:val="Nessunaspaziatura"/>
        <w:rPr>
          <w:noProof/>
        </w:rPr>
      </w:pPr>
    </w:p>
    <w:p w:rsidR="00D30C97" w:rsidRDefault="008E7252" w:rsidP="00085134">
      <w:pPr>
        <w:pStyle w:val="Nessunaspaziatura"/>
        <w:numPr>
          <w:ilvl w:val="0"/>
          <w:numId w:val="7"/>
        </w:numPr>
        <w:jc w:val="both"/>
        <w:rPr>
          <w:rFonts w:asciiTheme="minorHAnsi" w:hAnsiTheme="minorHAnsi" w:cstheme="minorHAnsi"/>
          <w:noProof/>
          <w:sz w:val="22"/>
          <w:lang w:val="it-IT"/>
        </w:rPr>
      </w:pPr>
      <w:r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>Il volume degli investimenti negli uffici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 xml:space="preserve"> </w:t>
      </w:r>
      <w:r w:rsidR="001158B2">
        <w:rPr>
          <w:rFonts w:asciiTheme="minorHAnsi" w:hAnsiTheme="minorHAnsi" w:cstheme="minorHAnsi"/>
          <w:noProof/>
          <w:sz w:val="22"/>
          <w:lang w:val="it-IT"/>
        </w:rPr>
        <w:t>é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 xml:space="preserve"> diminuito nel secondo e nel terzo trimestre, e i livelli dei prezzi hanno iniziato ad adeguarsi a causa dell'incertezza sulla percezione</w:t>
      </w:r>
      <w:r w:rsidR="007726B4" w:rsidRPr="008B1752">
        <w:rPr>
          <w:rFonts w:asciiTheme="minorHAnsi" w:hAnsiTheme="minorHAnsi" w:cstheme="minorHAnsi"/>
          <w:noProof/>
          <w:sz w:val="22"/>
          <w:lang w:val="it-IT"/>
        </w:rPr>
        <w:t xml:space="preserve"> futura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 xml:space="preserve"> del ruolo d</w:t>
      </w:r>
      <w:r w:rsidR="008B1752">
        <w:rPr>
          <w:rFonts w:asciiTheme="minorHAnsi" w:hAnsiTheme="minorHAnsi" w:cstheme="minorHAnsi"/>
          <w:noProof/>
          <w:sz w:val="22"/>
          <w:lang w:val="it-IT"/>
        </w:rPr>
        <w:t>egl</w:t>
      </w:r>
      <w:r w:rsidR="007726B4" w:rsidRPr="008B1752">
        <w:rPr>
          <w:rFonts w:asciiTheme="minorHAnsi" w:hAnsiTheme="minorHAnsi" w:cstheme="minorHAnsi"/>
          <w:noProof/>
          <w:sz w:val="22"/>
          <w:lang w:val="it-IT"/>
        </w:rPr>
        <w:t>i</w:t>
      </w:r>
      <w:r w:rsidR="008B1752">
        <w:rPr>
          <w:rFonts w:asciiTheme="minorHAnsi" w:hAnsiTheme="minorHAnsi" w:cstheme="minorHAnsi"/>
          <w:noProof/>
          <w:sz w:val="22"/>
          <w:lang w:val="it-IT"/>
        </w:rPr>
        <w:t xml:space="preserve"> uffici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 xml:space="preserve">. Da settembre, mentre il pricing degli asset core </w:t>
      </w:r>
      <w:r w:rsidR="001158B2">
        <w:rPr>
          <w:rFonts w:asciiTheme="minorHAnsi" w:hAnsiTheme="minorHAnsi" w:cstheme="minorHAnsi"/>
          <w:noProof/>
          <w:sz w:val="22"/>
          <w:lang w:val="it-IT"/>
        </w:rPr>
        <w:t>é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 xml:space="preserve"> </w:t>
      </w:r>
      <w:r w:rsidR="00F92938" w:rsidRPr="008B1752">
        <w:rPr>
          <w:rFonts w:asciiTheme="minorHAnsi" w:hAnsiTheme="minorHAnsi" w:cstheme="minorHAnsi"/>
          <w:noProof/>
          <w:sz w:val="22"/>
          <w:lang w:val="it-IT"/>
        </w:rPr>
        <w:t>cresciuto di alcuni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 xml:space="preserve"> punt</w:t>
      </w:r>
      <w:r w:rsidR="00F92938" w:rsidRPr="008B1752">
        <w:rPr>
          <w:rFonts w:asciiTheme="minorHAnsi" w:hAnsiTheme="minorHAnsi" w:cstheme="minorHAnsi"/>
          <w:noProof/>
          <w:sz w:val="22"/>
          <w:lang w:val="it-IT"/>
        </w:rPr>
        <w:t xml:space="preserve">i 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>percentual</w:t>
      </w:r>
      <w:r w:rsidR="00F92938" w:rsidRPr="008B1752">
        <w:rPr>
          <w:rFonts w:asciiTheme="minorHAnsi" w:hAnsiTheme="minorHAnsi" w:cstheme="minorHAnsi"/>
          <w:noProof/>
          <w:sz w:val="22"/>
          <w:lang w:val="it-IT"/>
        </w:rPr>
        <w:t>i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 xml:space="preserve">, quello degli uffici core-plus e </w:t>
      </w:r>
      <w:r w:rsidR="008B1752">
        <w:rPr>
          <w:rFonts w:asciiTheme="minorHAnsi" w:hAnsiTheme="minorHAnsi" w:cstheme="minorHAnsi"/>
          <w:noProof/>
          <w:sz w:val="22"/>
          <w:lang w:val="it-IT"/>
        </w:rPr>
        <w:t>v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>alue-</w:t>
      </w:r>
      <w:r w:rsidR="008B1752">
        <w:rPr>
          <w:rFonts w:asciiTheme="minorHAnsi" w:hAnsiTheme="minorHAnsi" w:cstheme="minorHAnsi"/>
          <w:noProof/>
          <w:sz w:val="22"/>
          <w:lang w:val="it-IT"/>
        </w:rPr>
        <w:t>a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>dd di alcun</w:t>
      </w:r>
      <w:r w:rsidR="008D35E5" w:rsidRPr="008B1752">
        <w:rPr>
          <w:rFonts w:asciiTheme="minorHAnsi" w:hAnsiTheme="minorHAnsi" w:cstheme="minorHAnsi"/>
          <w:noProof/>
          <w:sz w:val="22"/>
          <w:lang w:val="it-IT"/>
        </w:rPr>
        <w:t xml:space="preserve">e trattative </w:t>
      </w:r>
      <w:r w:rsidR="00F92938" w:rsidRPr="008B1752">
        <w:rPr>
          <w:rFonts w:asciiTheme="minorHAnsi" w:hAnsiTheme="minorHAnsi" w:cstheme="minorHAnsi"/>
          <w:noProof/>
          <w:sz w:val="22"/>
          <w:lang w:val="it-IT"/>
        </w:rPr>
        <w:t xml:space="preserve">in corso </w:t>
      </w:r>
      <w:r w:rsidR="001158B2">
        <w:rPr>
          <w:rFonts w:asciiTheme="minorHAnsi" w:hAnsiTheme="minorHAnsi" w:cstheme="minorHAnsi"/>
          <w:noProof/>
          <w:sz w:val="22"/>
          <w:lang w:val="it-IT"/>
        </w:rPr>
        <w:t>é</w:t>
      </w:r>
      <w:r w:rsidR="008D35E5" w:rsidRPr="008B1752">
        <w:rPr>
          <w:rFonts w:asciiTheme="minorHAnsi" w:hAnsiTheme="minorHAnsi" w:cstheme="minorHAnsi"/>
          <w:noProof/>
          <w:sz w:val="22"/>
          <w:lang w:val="it-IT"/>
        </w:rPr>
        <w:t xml:space="preserve"> diminuito del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 xml:space="preserve"> 20</w:t>
      </w:r>
      <w:r w:rsidR="008D35E5" w:rsidRPr="008B1752">
        <w:rPr>
          <w:rFonts w:asciiTheme="minorHAnsi" w:hAnsiTheme="minorHAnsi" w:cstheme="minorHAnsi"/>
          <w:noProof/>
          <w:sz w:val="22"/>
          <w:lang w:val="it-IT"/>
        </w:rPr>
        <w:t>%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 xml:space="preserve">. </w:t>
      </w:r>
      <w:r w:rsidR="00085134" w:rsidRPr="008B1752">
        <w:rPr>
          <w:rFonts w:asciiTheme="minorHAnsi" w:hAnsiTheme="minorHAnsi" w:cstheme="minorHAnsi"/>
          <w:noProof/>
          <w:sz w:val="22"/>
          <w:lang w:val="it-IT"/>
        </w:rPr>
        <w:t xml:space="preserve">Il ruolo </w:t>
      </w:r>
      <w:r w:rsidR="006C571A" w:rsidRPr="008B1752">
        <w:rPr>
          <w:rFonts w:asciiTheme="minorHAnsi" w:hAnsiTheme="minorHAnsi" w:cstheme="minorHAnsi"/>
          <w:noProof/>
          <w:sz w:val="22"/>
          <w:lang w:val="it-IT"/>
        </w:rPr>
        <w:t>“</w:t>
      </w:r>
      <w:r w:rsidR="00085134" w:rsidRPr="008B1752">
        <w:rPr>
          <w:rFonts w:asciiTheme="minorHAnsi" w:hAnsiTheme="minorHAnsi" w:cstheme="minorHAnsi"/>
          <w:noProof/>
          <w:sz w:val="22"/>
          <w:lang w:val="it-IT"/>
        </w:rPr>
        <w:t>chiave</w:t>
      </w:r>
      <w:r w:rsidR="006C571A" w:rsidRPr="008B1752">
        <w:rPr>
          <w:rFonts w:asciiTheme="minorHAnsi" w:hAnsiTheme="minorHAnsi" w:cstheme="minorHAnsi"/>
          <w:noProof/>
          <w:sz w:val="22"/>
          <w:lang w:val="it-IT"/>
        </w:rPr>
        <w:t>”</w:t>
      </w:r>
      <w:r w:rsidR="00085134" w:rsidRPr="008B1752">
        <w:rPr>
          <w:rFonts w:asciiTheme="minorHAnsi" w:hAnsiTheme="minorHAnsi" w:cstheme="minorHAnsi"/>
          <w:noProof/>
          <w:sz w:val="22"/>
          <w:lang w:val="it-IT"/>
        </w:rPr>
        <w:t xml:space="preserve"> </w:t>
      </w:r>
      <w:r w:rsidR="006C571A" w:rsidRPr="008B1752">
        <w:rPr>
          <w:rFonts w:asciiTheme="minorHAnsi" w:hAnsiTheme="minorHAnsi" w:cstheme="minorHAnsi"/>
          <w:noProof/>
          <w:sz w:val="22"/>
          <w:lang w:val="it-IT"/>
        </w:rPr>
        <w:t>d</w:t>
      </w:r>
      <w:r w:rsidR="00085134" w:rsidRPr="008B1752">
        <w:rPr>
          <w:rFonts w:asciiTheme="minorHAnsi" w:hAnsiTheme="minorHAnsi" w:cstheme="minorHAnsi"/>
          <w:noProof/>
          <w:sz w:val="22"/>
          <w:lang w:val="it-IT"/>
        </w:rPr>
        <w:t>egli uffici</w:t>
      </w:r>
      <w:r w:rsidR="006C571A" w:rsidRPr="008B1752">
        <w:rPr>
          <w:rFonts w:asciiTheme="minorHAnsi" w:hAnsiTheme="minorHAnsi" w:cstheme="minorHAnsi"/>
          <w:noProof/>
          <w:sz w:val="22"/>
          <w:lang w:val="it-IT"/>
        </w:rPr>
        <w:t xml:space="preserve"> </w:t>
      </w:r>
      <w:r w:rsidR="003B7B76" w:rsidRPr="008B1752">
        <w:rPr>
          <w:rFonts w:asciiTheme="minorHAnsi" w:hAnsiTheme="minorHAnsi" w:cstheme="minorHAnsi"/>
          <w:noProof/>
          <w:sz w:val="22"/>
          <w:lang w:val="it-IT"/>
        </w:rPr>
        <w:t xml:space="preserve">di “traino” </w:t>
      </w:r>
      <w:r w:rsidR="006C571A" w:rsidRPr="008B1752">
        <w:rPr>
          <w:rFonts w:asciiTheme="minorHAnsi" w:hAnsiTheme="minorHAnsi" w:cstheme="minorHAnsi"/>
          <w:noProof/>
          <w:sz w:val="22"/>
          <w:lang w:val="it-IT"/>
        </w:rPr>
        <w:t>dei</w:t>
      </w:r>
      <w:r w:rsidR="00085134" w:rsidRPr="008B1752">
        <w:rPr>
          <w:rFonts w:asciiTheme="minorHAnsi" w:hAnsiTheme="minorHAnsi" w:cstheme="minorHAnsi"/>
          <w:noProof/>
          <w:sz w:val="22"/>
          <w:lang w:val="it-IT"/>
        </w:rPr>
        <w:t xml:space="preserve"> rendimenti</w:t>
      </w:r>
      <w:r w:rsidR="003B7B76" w:rsidRPr="008B1752">
        <w:rPr>
          <w:rFonts w:asciiTheme="minorHAnsi" w:hAnsiTheme="minorHAnsi" w:cstheme="minorHAnsi"/>
          <w:noProof/>
          <w:sz w:val="22"/>
          <w:lang w:val="it-IT"/>
        </w:rPr>
        <w:t xml:space="preserve"> </w:t>
      </w:r>
      <w:r w:rsidR="00085134" w:rsidRPr="008B1752">
        <w:rPr>
          <w:rFonts w:asciiTheme="minorHAnsi" w:hAnsiTheme="minorHAnsi" w:cstheme="minorHAnsi"/>
          <w:noProof/>
          <w:sz w:val="22"/>
          <w:lang w:val="it-IT"/>
        </w:rPr>
        <w:t xml:space="preserve">non subirà variazioni, come dimostrato dall’analisi della </w:t>
      </w:r>
      <w:r w:rsidR="00085134"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>densità economica vs. canoni di locazione</w:t>
      </w:r>
      <w:r w:rsidR="00085134" w:rsidRPr="008B1752">
        <w:rPr>
          <w:rFonts w:asciiTheme="minorHAnsi" w:hAnsiTheme="minorHAnsi" w:cstheme="minorHAnsi"/>
          <w:noProof/>
          <w:sz w:val="22"/>
          <w:lang w:val="it-IT"/>
        </w:rPr>
        <w:t xml:space="preserve"> su base spaziale, da cui </w:t>
      </w:r>
      <w:r w:rsidR="001158B2">
        <w:rPr>
          <w:rFonts w:asciiTheme="minorHAnsi" w:hAnsiTheme="minorHAnsi" w:cstheme="minorHAnsi"/>
          <w:noProof/>
          <w:sz w:val="22"/>
          <w:lang w:val="it-IT"/>
        </w:rPr>
        <w:t>é</w:t>
      </w:r>
      <w:r w:rsidR="00085134" w:rsidRPr="008B1752">
        <w:rPr>
          <w:rFonts w:asciiTheme="minorHAnsi" w:hAnsiTheme="minorHAnsi" w:cstheme="minorHAnsi"/>
          <w:noProof/>
          <w:sz w:val="22"/>
          <w:lang w:val="it-IT"/>
        </w:rPr>
        <w:t xml:space="preserve"> emerso un movimento contenuto dei canoni d'affitto e dei valori degli uffici nel lungo termine;</w:t>
      </w:r>
    </w:p>
    <w:p w:rsidR="001158B2" w:rsidRPr="008B1752" w:rsidRDefault="001158B2" w:rsidP="001158B2">
      <w:pPr>
        <w:pStyle w:val="Nessunaspaziatura"/>
        <w:jc w:val="both"/>
        <w:rPr>
          <w:rFonts w:asciiTheme="minorHAnsi" w:hAnsiTheme="minorHAnsi" w:cstheme="minorHAnsi"/>
          <w:noProof/>
          <w:sz w:val="22"/>
          <w:lang w:val="it-IT"/>
        </w:rPr>
      </w:pPr>
    </w:p>
    <w:p w:rsidR="009C7802" w:rsidRPr="008B1752" w:rsidRDefault="009C7802" w:rsidP="00871B4B">
      <w:pPr>
        <w:pStyle w:val="Nessunaspaziatura"/>
        <w:numPr>
          <w:ilvl w:val="0"/>
          <w:numId w:val="7"/>
        </w:numPr>
        <w:jc w:val="both"/>
        <w:rPr>
          <w:rFonts w:asciiTheme="minorHAnsi" w:hAnsiTheme="minorHAnsi" w:cstheme="minorHAnsi"/>
          <w:noProof/>
          <w:sz w:val="22"/>
          <w:lang w:val="it-IT"/>
        </w:rPr>
      </w:pPr>
      <w:r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 xml:space="preserve">I settori </w:t>
      </w:r>
      <w:r w:rsidR="00871B4B"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>R</w:t>
      </w:r>
      <w:r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 xml:space="preserve">etail e </w:t>
      </w:r>
      <w:r w:rsidR="00871B4B"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>H</w:t>
      </w:r>
      <w:r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>ospitality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 xml:space="preserve"> dovranno affrontare sfide straordinarie e molti degli operatori più piccoli</w:t>
      </w:r>
      <w:r w:rsidR="00AE7F36" w:rsidRPr="008B1752">
        <w:rPr>
          <w:rFonts w:asciiTheme="minorHAnsi" w:hAnsiTheme="minorHAnsi" w:cstheme="minorHAnsi"/>
          <w:noProof/>
          <w:sz w:val="22"/>
          <w:lang w:val="it-IT"/>
        </w:rPr>
        <w:t>, nella loro forma attuale,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 xml:space="preserve"> non riusciranno a sopravvivere né</w:t>
      </w:r>
      <w:r w:rsidR="00380F3A" w:rsidRPr="008B1752">
        <w:rPr>
          <w:rFonts w:asciiTheme="minorHAnsi" w:hAnsiTheme="minorHAnsi" w:cstheme="minorHAnsi"/>
          <w:noProof/>
          <w:sz w:val="22"/>
          <w:lang w:val="it-IT"/>
        </w:rPr>
        <w:t xml:space="preserve"> a “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>prosperare</w:t>
      </w:r>
      <w:r w:rsidR="00380F3A" w:rsidRPr="008B1752">
        <w:rPr>
          <w:rFonts w:asciiTheme="minorHAnsi" w:hAnsiTheme="minorHAnsi" w:cstheme="minorHAnsi"/>
          <w:noProof/>
          <w:sz w:val="22"/>
          <w:lang w:val="it-IT"/>
        </w:rPr>
        <w:t>”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>, in quanto</w:t>
      </w:r>
      <w:r w:rsidR="00380F3A" w:rsidRPr="008B1752">
        <w:rPr>
          <w:rFonts w:asciiTheme="minorHAnsi" w:hAnsiTheme="minorHAnsi" w:cstheme="minorHAnsi"/>
          <w:noProof/>
          <w:sz w:val="22"/>
          <w:lang w:val="it-IT"/>
        </w:rPr>
        <w:t xml:space="preserve"> la ripresa del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 xml:space="preserve"> </w:t>
      </w:r>
      <w:r w:rsidR="000F1F0E" w:rsidRPr="008B1752">
        <w:rPr>
          <w:rFonts w:asciiTheme="minorHAnsi" w:hAnsiTheme="minorHAnsi" w:cstheme="minorHAnsi"/>
          <w:noProof/>
          <w:sz w:val="22"/>
          <w:lang w:val="it-IT"/>
        </w:rPr>
        <w:t xml:space="preserve">mercato </w:t>
      </w:r>
      <w:r w:rsidR="001158B2">
        <w:rPr>
          <w:rFonts w:asciiTheme="minorHAnsi" w:hAnsiTheme="minorHAnsi" w:cstheme="minorHAnsi"/>
          <w:noProof/>
          <w:sz w:val="22"/>
          <w:lang w:val="it-IT"/>
        </w:rPr>
        <w:t>é</w:t>
      </w:r>
      <w:r w:rsidR="00380F3A" w:rsidRPr="008B1752">
        <w:rPr>
          <w:rFonts w:asciiTheme="minorHAnsi" w:hAnsiTheme="minorHAnsi" w:cstheme="minorHAnsi"/>
          <w:noProof/>
          <w:sz w:val="22"/>
          <w:lang w:val="it-IT"/>
        </w:rPr>
        <w:t xml:space="preserve"> attesa nel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 xml:space="preserve"> corso dei prossimi 12-18 mesi. I livelli di RevPAR</w:t>
      </w:r>
      <w:r w:rsidR="008B1752">
        <w:rPr>
          <w:rFonts w:asciiTheme="minorHAnsi" w:hAnsiTheme="minorHAnsi" w:cstheme="minorHAnsi"/>
          <w:noProof/>
          <w:sz w:val="22"/>
          <w:lang w:val="it-IT"/>
        </w:rPr>
        <w:t xml:space="preserve"> raggiunti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 xml:space="preserve"> </w:t>
      </w:r>
      <w:r w:rsidR="008B1752">
        <w:rPr>
          <w:rFonts w:asciiTheme="minorHAnsi" w:hAnsiTheme="minorHAnsi" w:cstheme="minorHAnsi"/>
          <w:noProof/>
          <w:sz w:val="22"/>
          <w:lang w:val="it-IT"/>
        </w:rPr>
        <w:t>n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>el 2019 per gli hotel sono stati gravemente compromessi dalla pandemia</w:t>
      </w:r>
      <w:r w:rsidR="000F1F0E" w:rsidRPr="008B1752">
        <w:rPr>
          <w:rFonts w:asciiTheme="minorHAnsi" w:hAnsiTheme="minorHAnsi" w:cstheme="minorHAnsi"/>
          <w:noProof/>
          <w:sz w:val="22"/>
          <w:lang w:val="it-IT"/>
        </w:rPr>
        <w:t>,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 xml:space="preserve"> e</w:t>
      </w:r>
      <w:r w:rsidR="00380F3A" w:rsidRPr="008B1752">
        <w:rPr>
          <w:rFonts w:asciiTheme="minorHAnsi" w:hAnsiTheme="minorHAnsi" w:cstheme="minorHAnsi"/>
          <w:noProof/>
          <w:sz w:val="22"/>
          <w:lang w:val="it-IT"/>
        </w:rPr>
        <w:t xml:space="preserve">d </w:t>
      </w:r>
      <w:r w:rsidR="001158B2">
        <w:rPr>
          <w:rFonts w:asciiTheme="minorHAnsi" w:hAnsiTheme="minorHAnsi" w:cstheme="minorHAnsi"/>
          <w:noProof/>
          <w:sz w:val="22"/>
          <w:lang w:val="it-IT"/>
        </w:rPr>
        <w:t>é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 xml:space="preserve"> </w:t>
      </w:r>
      <w:r w:rsidR="00871B4B" w:rsidRPr="008B1752">
        <w:rPr>
          <w:rFonts w:asciiTheme="minorHAnsi" w:hAnsiTheme="minorHAnsi" w:cstheme="minorHAnsi"/>
          <w:noProof/>
          <w:sz w:val="22"/>
          <w:lang w:val="it-IT"/>
        </w:rPr>
        <w:t>probabile che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 xml:space="preserve"> non </w:t>
      </w:r>
      <w:r w:rsidR="00871B4B" w:rsidRPr="008B1752">
        <w:rPr>
          <w:rFonts w:asciiTheme="minorHAnsi" w:hAnsiTheme="minorHAnsi" w:cstheme="minorHAnsi"/>
          <w:noProof/>
          <w:sz w:val="22"/>
          <w:lang w:val="it-IT"/>
        </w:rPr>
        <w:t>tor</w:t>
      </w:r>
      <w:r w:rsidR="00D86CCD" w:rsidRPr="008B1752">
        <w:rPr>
          <w:rFonts w:asciiTheme="minorHAnsi" w:hAnsiTheme="minorHAnsi" w:cstheme="minorHAnsi"/>
          <w:noProof/>
          <w:sz w:val="22"/>
          <w:lang w:val="it-IT"/>
        </w:rPr>
        <w:t>n</w:t>
      </w:r>
      <w:r w:rsidR="00871B4B" w:rsidRPr="008B1752">
        <w:rPr>
          <w:rFonts w:asciiTheme="minorHAnsi" w:hAnsiTheme="minorHAnsi" w:cstheme="minorHAnsi"/>
          <w:noProof/>
          <w:sz w:val="22"/>
          <w:lang w:val="it-IT"/>
        </w:rPr>
        <w:t>ino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 xml:space="preserve"> ai livelli pre-COVID prima della fine del 2022</w:t>
      </w:r>
      <w:r w:rsidR="00871B4B" w:rsidRPr="008B1752">
        <w:rPr>
          <w:rFonts w:asciiTheme="minorHAnsi" w:hAnsiTheme="minorHAnsi" w:cstheme="minorHAnsi"/>
          <w:noProof/>
          <w:sz w:val="22"/>
          <w:lang w:val="it-IT"/>
        </w:rPr>
        <w:t>.</w:t>
      </w:r>
      <w:r w:rsidRPr="008B1752">
        <w:rPr>
          <w:rFonts w:asciiTheme="minorHAnsi" w:hAnsiTheme="minorHAnsi" w:cstheme="minorHAnsi"/>
          <w:noProof/>
          <w:sz w:val="22"/>
          <w:lang w:val="it-IT"/>
        </w:rPr>
        <w:t xml:space="preserve"> </w:t>
      </w:r>
    </w:p>
    <w:p w:rsidR="00874CC1" w:rsidRPr="008B1752" w:rsidRDefault="00874CC1" w:rsidP="00874CC1">
      <w:pPr>
        <w:pStyle w:val="Nessunaspaziatura"/>
        <w:jc w:val="both"/>
        <w:rPr>
          <w:rFonts w:asciiTheme="minorHAnsi" w:hAnsiTheme="minorHAnsi" w:cstheme="minorHAnsi"/>
          <w:noProof/>
          <w:sz w:val="22"/>
          <w:lang w:val="it-IT"/>
        </w:rPr>
      </w:pPr>
    </w:p>
    <w:p w:rsidR="00874CC1" w:rsidRPr="008B1752" w:rsidRDefault="00874CC1" w:rsidP="00874CC1">
      <w:pPr>
        <w:pStyle w:val="Nessunaspaziatura"/>
        <w:jc w:val="both"/>
        <w:rPr>
          <w:rFonts w:asciiTheme="minorHAnsi" w:hAnsiTheme="minorHAnsi" w:cstheme="minorHAnsi"/>
          <w:noProof/>
          <w:sz w:val="22"/>
          <w:lang w:val="it-IT"/>
        </w:rPr>
      </w:pPr>
    </w:p>
    <w:p w:rsidR="00874CC1" w:rsidRPr="008B1752" w:rsidRDefault="00874CC1" w:rsidP="00874CC1">
      <w:pPr>
        <w:pStyle w:val="Nessunaspaziatura"/>
        <w:spacing w:line="276" w:lineRule="auto"/>
        <w:jc w:val="both"/>
        <w:rPr>
          <w:rFonts w:asciiTheme="minorHAnsi" w:hAnsiTheme="minorHAnsi" w:cstheme="minorHAnsi"/>
          <w:b/>
          <w:bCs/>
          <w:noProof/>
          <w:sz w:val="22"/>
          <w:lang w:val="it-IT"/>
        </w:rPr>
      </w:pPr>
      <w:r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>Simone Roberti</w:t>
      </w:r>
      <w:r w:rsidRPr="00922B25">
        <w:rPr>
          <w:rFonts w:asciiTheme="minorHAnsi" w:hAnsiTheme="minorHAnsi" w:cstheme="minorHAnsi"/>
          <w:b/>
          <w:bCs/>
          <w:i/>
          <w:iCs/>
          <w:noProof/>
          <w:sz w:val="22"/>
          <w:lang w:val="it-IT"/>
        </w:rPr>
        <w:t>,</w:t>
      </w:r>
      <w:r w:rsidR="00922B25" w:rsidRPr="00922B25">
        <w:rPr>
          <w:rFonts w:asciiTheme="minorHAnsi" w:hAnsiTheme="minorHAnsi" w:cstheme="minorHAnsi"/>
          <w:b/>
          <w:bCs/>
          <w:i/>
          <w:iCs/>
          <w:noProof/>
          <w:sz w:val="22"/>
          <w:lang w:val="it-IT"/>
        </w:rPr>
        <w:t xml:space="preserve"> </w:t>
      </w:r>
      <w:r w:rsidR="00922B25" w:rsidRPr="00922B25">
        <w:rPr>
          <w:rFonts w:asciiTheme="minorHAnsi" w:hAnsiTheme="minorHAnsi" w:cstheme="minorHAnsi"/>
          <w:b/>
          <w:bCs/>
          <w:noProof/>
          <w:sz w:val="22"/>
          <w:lang w:val="it-IT"/>
        </w:rPr>
        <w:t>Head of Research di Colliers International Italia</w:t>
      </w:r>
      <w:r w:rsidR="00922B25">
        <w:rPr>
          <w:rFonts w:asciiTheme="minorHAnsi" w:hAnsiTheme="minorHAnsi" w:cstheme="minorHAnsi"/>
          <w:noProof/>
          <w:sz w:val="22"/>
          <w:lang w:val="it-IT"/>
        </w:rPr>
        <w:t>, osser</w:t>
      </w:r>
      <w:r w:rsidR="00636909">
        <w:rPr>
          <w:rFonts w:asciiTheme="minorHAnsi" w:hAnsiTheme="minorHAnsi" w:cstheme="minorHAnsi"/>
          <w:noProof/>
          <w:sz w:val="22"/>
          <w:lang w:val="it-IT"/>
        </w:rPr>
        <w:t xml:space="preserve">va: </w:t>
      </w:r>
      <w:r w:rsidRPr="00874CC1">
        <w:rPr>
          <w:rFonts w:asciiTheme="minorHAnsi" w:hAnsiTheme="minorHAnsi" w:cstheme="minorHAnsi"/>
          <w:i/>
          <w:iCs/>
          <w:noProof/>
          <w:sz w:val="22"/>
          <w:lang w:val="it-IT"/>
        </w:rPr>
        <w:t>“</w:t>
      </w:r>
      <w:r w:rsidR="00636909">
        <w:rPr>
          <w:rFonts w:asciiTheme="minorHAnsi" w:hAnsiTheme="minorHAnsi" w:cstheme="minorHAnsi"/>
          <w:i/>
          <w:iCs/>
          <w:noProof/>
          <w:sz w:val="22"/>
          <w:lang w:val="it-IT"/>
        </w:rPr>
        <w:t>Il volume</w:t>
      </w:r>
      <w:r w:rsidRPr="00874CC1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degli investimenti in Italia </w:t>
      </w:r>
      <w:r w:rsidR="001158B2">
        <w:rPr>
          <w:rFonts w:asciiTheme="minorHAnsi" w:hAnsiTheme="minorHAnsi" w:cstheme="minorHAnsi"/>
          <w:i/>
          <w:iCs/>
          <w:noProof/>
          <w:sz w:val="22"/>
          <w:lang w:val="it-IT"/>
        </w:rPr>
        <w:t>é</w:t>
      </w:r>
      <w:r w:rsidRPr="00874CC1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rimasto sostenuto grazie a delle importanti </w:t>
      </w:r>
      <w:r w:rsidR="00636909">
        <w:rPr>
          <w:rFonts w:asciiTheme="minorHAnsi" w:hAnsiTheme="minorHAnsi" w:cstheme="minorHAnsi"/>
          <w:i/>
          <w:iCs/>
          <w:noProof/>
          <w:sz w:val="22"/>
          <w:lang w:val="it-IT"/>
        </w:rPr>
        <w:t>operazioni</w:t>
      </w:r>
      <w:r w:rsidRPr="00874CC1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</w:t>
      </w:r>
      <w:r w:rsidR="00636909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già </w:t>
      </w:r>
      <w:r w:rsidR="005D1CE5">
        <w:rPr>
          <w:rFonts w:asciiTheme="minorHAnsi" w:hAnsiTheme="minorHAnsi" w:cstheme="minorHAnsi"/>
          <w:i/>
          <w:iCs/>
          <w:noProof/>
          <w:sz w:val="22"/>
          <w:lang w:val="it-IT"/>
        </w:rPr>
        <w:t>avviate</w:t>
      </w:r>
      <w:r w:rsidRPr="00874CC1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prima del lockdown. Guardando </w:t>
      </w:r>
      <w:r w:rsidR="005D1CE5">
        <w:rPr>
          <w:rFonts w:asciiTheme="minorHAnsi" w:hAnsiTheme="minorHAnsi" w:cstheme="minorHAnsi"/>
          <w:i/>
          <w:iCs/>
          <w:noProof/>
          <w:sz w:val="22"/>
          <w:lang w:val="it-IT"/>
        </w:rPr>
        <w:t>al settore degli</w:t>
      </w:r>
      <w:r w:rsidRPr="00874CC1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uffici, i prodotti core resteranno </w:t>
      </w:r>
      <w:r w:rsidR="00A67DCD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quelli di maggior interesse </w:t>
      </w:r>
      <w:r w:rsidRPr="00874CC1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e la </w:t>
      </w:r>
      <w:r w:rsidR="004B7767">
        <w:rPr>
          <w:rFonts w:asciiTheme="minorHAnsi" w:hAnsiTheme="minorHAnsi" w:cstheme="minorHAnsi"/>
          <w:i/>
          <w:iCs/>
          <w:noProof/>
          <w:sz w:val="22"/>
          <w:lang w:val="it-IT"/>
        </w:rPr>
        <w:t>corsa</w:t>
      </w:r>
      <w:r w:rsidRPr="00874CC1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</w:t>
      </w:r>
      <w:r w:rsidR="004B7767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degli investitori </w:t>
      </w:r>
      <w:r w:rsidRPr="00874CC1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per assicurarsi </w:t>
      </w:r>
      <w:r w:rsidR="004B7767">
        <w:rPr>
          <w:rFonts w:asciiTheme="minorHAnsi" w:hAnsiTheme="minorHAnsi" w:cstheme="minorHAnsi"/>
          <w:i/>
          <w:iCs/>
          <w:noProof/>
          <w:sz w:val="22"/>
          <w:lang w:val="it-IT"/>
        </w:rPr>
        <w:t>gli asset</w:t>
      </w:r>
      <w:r w:rsidRPr="00874CC1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migliori manterrà i rendimenti prime sui livelli bassi raggiunti nei mesi precedenti</w:t>
      </w:r>
      <w:r w:rsidR="008B1752">
        <w:rPr>
          <w:rFonts w:asciiTheme="minorHAnsi" w:hAnsiTheme="minorHAnsi" w:cstheme="minorHAnsi"/>
          <w:i/>
          <w:iCs/>
          <w:noProof/>
          <w:sz w:val="22"/>
          <w:lang w:val="it-IT"/>
        </w:rPr>
        <w:t>; soffriranno, invece, le altre tipologie di prodotto</w:t>
      </w:r>
      <w:r w:rsidRPr="00874CC1">
        <w:rPr>
          <w:rFonts w:asciiTheme="minorHAnsi" w:hAnsiTheme="minorHAnsi" w:cstheme="minorHAnsi"/>
          <w:i/>
          <w:iCs/>
          <w:noProof/>
          <w:sz w:val="22"/>
          <w:lang w:val="it-IT"/>
        </w:rPr>
        <w:t>. Guardando invece al</w:t>
      </w:r>
      <w:r w:rsidR="00D16CD0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settore dell’h</w:t>
      </w:r>
      <w:r w:rsidR="004E73B4">
        <w:rPr>
          <w:rFonts w:asciiTheme="minorHAnsi" w:hAnsiTheme="minorHAnsi" w:cstheme="minorHAnsi"/>
          <w:i/>
          <w:iCs/>
          <w:noProof/>
          <w:sz w:val="22"/>
          <w:lang w:val="it-IT"/>
        </w:rPr>
        <w:t>ospitality</w:t>
      </w:r>
      <w:r w:rsidRPr="00874CC1">
        <w:rPr>
          <w:rFonts w:asciiTheme="minorHAnsi" w:hAnsiTheme="minorHAnsi" w:cstheme="minorHAnsi"/>
          <w:i/>
          <w:iCs/>
          <w:noProof/>
          <w:sz w:val="22"/>
          <w:lang w:val="it-IT"/>
        </w:rPr>
        <w:t>,</w:t>
      </w:r>
      <w:r w:rsidR="004E73B4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negli ultimi anni</w:t>
      </w:r>
      <w:r w:rsidRPr="00874CC1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l’interesse per Italia </w:t>
      </w:r>
      <w:r w:rsidR="001158B2">
        <w:rPr>
          <w:rFonts w:asciiTheme="minorHAnsi" w:hAnsiTheme="minorHAnsi" w:cstheme="minorHAnsi"/>
          <w:i/>
          <w:iCs/>
          <w:noProof/>
          <w:sz w:val="22"/>
          <w:lang w:val="it-IT"/>
        </w:rPr>
        <w:t>é</w:t>
      </w:r>
      <w:r w:rsidRPr="00874CC1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sempre stato elevato ma gli investitori </w:t>
      </w:r>
      <w:r w:rsidR="004E73B4">
        <w:rPr>
          <w:rFonts w:asciiTheme="minorHAnsi" w:hAnsiTheme="minorHAnsi" w:cstheme="minorHAnsi"/>
          <w:i/>
          <w:iCs/>
          <w:noProof/>
          <w:sz w:val="22"/>
          <w:lang w:val="it-IT"/>
        </w:rPr>
        <w:t>hanno avuto</w:t>
      </w:r>
      <w:r w:rsidRPr="00874CC1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difficoltà </w:t>
      </w:r>
      <w:r w:rsidR="004E73B4">
        <w:rPr>
          <w:rFonts w:asciiTheme="minorHAnsi" w:hAnsiTheme="minorHAnsi" w:cstheme="minorHAnsi"/>
          <w:i/>
          <w:iCs/>
          <w:noProof/>
          <w:sz w:val="22"/>
          <w:lang w:val="it-IT"/>
        </w:rPr>
        <w:t>nel</w:t>
      </w:r>
      <w:r w:rsidR="00464567">
        <w:rPr>
          <w:rFonts w:asciiTheme="minorHAnsi" w:hAnsiTheme="minorHAnsi" w:cstheme="minorHAnsi"/>
          <w:i/>
          <w:iCs/>
          <w:noProof/>
          <w:sz w:val="22"/>
          <w:lang w:val="it-IT"/>
        </w:rPr>
        <w:t>la ricerca d</w:t>
      </w:r>
      <w:r w:rsidR="002A76F6">
        <w:rPr>
          <w:rFonts w:asciiTheme="minorHAnsi" w:hAnsiTheme="minorHAnsi" w:cstheme="minorHAnsi"/>
          <w:i/>
          <w:iCs/>
          <w:noProof/>
          <w:sz w:val="22"/>
          <w:lang w:val="it-IT"/>
        </w:rPr>
        <w:t>egli</w:t>
      </w:r>
      <w:r w:rsidR="00464567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asset</w:t>
      </w:r>
      <w:r w:rsidRPr="00874CC1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, sia </w:t>
      </w:r>
      <w:r w:rsidR="00464567">
        <w:rPr>
          <w:rFonts w:asciiTheme="minorHAnsi" w:hAnsiTheme="minorHAnsi" w:cstheme="minorHAnsi"/>
          <w:i/>
          <w:iCs/>
          <w:noProof/>
          <w:sz w:val="22"/>
          <w:lang w:val="it-IT"/>
        </w:rPr>
        <w:t>nel caso di</w:t>
      </w:r>
      <w:r w:rsidRPr="00874CC1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</w:t>
      </w:r>
      <w:r w:rsidR="00464567">
        <w:rPr>
          <w:rFonts w:asciiTheme="minorHAnsi" w:hAnsiTheme="minorHAnsi" w:cstheme="minorHAnsi"/>
          <w:i/>
          <w:iCs/>
          <w:noProof/>
          <w:sz w:val="22"/>
          <w:lang w:val="it-IT"/>
        </w:rPr>
        <w:t>strutture</w:t>
      </w:r>
      <w:r w:rsidRPr="00874CC1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esistenti</w:t>
      </w:r>
      <w:r w:rsidR="002A76F6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e</w:t>
      </w:r>
      <w:r w:rsidRPr="00874CC1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da ristrutturare</w:t>
      </w:r>
      <w:r w:rsidR="00464567">
        <w:rPr>
          <w:rFonts w:asciiTheme="minorHAnsi" w:hAnsiTheme="minorHAnsi" w:cstheme="minorHAnsi"/>
          <w:i/>
          <w:iCs/>
          <w:noProof/>
          <w:sz w:val="22"/>
          <w:lang w:val="it-IT"/>
        </w:rPr>
        <w:t>,</w:t>
      </w:r>
      <w:r w:rsidRPr="00874CC1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</w:t>
      </w:r>
      <w:r w:rsidR="00464567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sia </w:t>
      </w:r>
      <w:r w:rsidR="00B2491F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nel caso </w:t>
      </w:r>
      <w:r w:rsidRPr="00874CC1">
        <w:rPr>
          <w:rFonts w:asciiTheme="minorHAnsi" w:hAnsiTheme="minorHAnsi" w:cstheme="minorHAnsi"/>
          <w:i/>
          <w:iCs/>
          <w:noProof/>
          <w:sz w:val="22"/>
          <w:lang w:val="it-IT"/>
        </w:rPr>
        <w:t>di immobili</w:t>
      </w:r>
      <w:r w:rsidR="00B06FE0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ad altra destinazione e</w:t>
      </w:r>
      <w:r w:rsidRPr="00874CC1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</w:t>
      </w:r>
      <w:r w:rsidR="00B2491F">
        <w:rPr>
          <w:rFonts w:asciiTheme="minorHAnsi" w:hAnsiTheme="minorHAnsi" w:cstheme="minorHAnsi"/>
          <w:i/>
          <w:iCs/>
          <w:noProof/>
          <w:sz w:val="22"/>
          <w:lang w:val="it-IT"/>
        </w:rPr>
        <w:t>da</w:t>
      </w:r>
      <w:r w:rsidRPr="00874CC1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riconvertire. </w:t>
      </w:r>
      <w:r w:rsidR="00B2491F">
        <w:rPr>
          <w:rFonts w:asciiTheme="minorHAnsi" w:hAnsiTheme="minorHAnsi" w:cstheme="minorHAnsi"/>
          <w:i/>
          <w:iCs/>
          <w:noProof/>
          <w:sz w:val="22"/>
          <w:lang w:val="it-IT"/>
        </w:rPr>
        <w:t>L</w:t>
      </w:r>
      <w:r w:rsidRPr="00874CC1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a crisi </w:t>
      </w:r>
      <w:r w:rsidR="00B2491F">
        <w:rPr>
          <w:rFonts w:asciiTheme="minorHAnsi" w:hAnsiTheme="minorHAnsi" w:cstheme="minorHAnsi"/>
          <w:i/>
          <w:iCs/>
          <w:noProof/>
          <w:sz w:val="22"/>
          <w:lang w:val="it-IT"/>
        </w:rPr>
        <w:t>c</w:t>
      </w:r>
      <w:r w:rsidRPr="00874CC1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he </w:t>
      </w:r>
      <w:r w:rsidR="00D517A5">
        <w:rPr>
          <w:rFonts w:asciiTheme="minorHAnsi" w:hAnsiTheme="minorHAnsi" w:cstheme="minorHAnsi"/>
          <w:i/>
          <w:iCs/>
          <w:noProof/>
          <w:sz w:val="22"/>
          <w:lang w:val="it-IT"/>
        </w:rPr>
        <w:t>questo</w:t>
      </w:r>
      <w:r w:rsidRPr="00874CC1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settore sta </w:t>
      </w:r>
      <w:r w:rsidR="00D517A5">
        <w:rPr>
          <w:rFonts w:asciiTheme="minorHAnsi" w:hAnsiTheme="minorHAnsi" w:cstheme="minorHAnsi"/>
          <w:i/>
          <w:iCs/>
          <w:noProof/>
          <w:sz w:val="22"/>
          <w:lang w:val="it-IT"/>
        </w:rPr>
        <w:t>attraversando</w:t>
      </w:r>
      <w:r w:rsidRPr="00874CC1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potrebbe quindi aiutare </w:t>
      </w:r>
      <w:r w:rsidR="00D517A5">
        <w:rPr>
          <w:rFonts w:asciiTheme="minorHAnsi" w:hAnsiTheme="minorHAnsi" w:cstheme="minorHAnsi"/>
          <w:i/>
          <w:iCs/>
          <w:noProof/>
          <w:sz w:val="22"/>
          <w:lang w:val="it-IT"/>
        </w:rPr>
        <w:t>que</w:t>
      </w:r>
      <w:r w:rsidRPr="00874CC1">
        <w:rPr>
          <w:rFonts w:asciiTheme="minorHAnsi" w:hAnsiTheme="minorHAnsi" w:cstheme="minorHAnsi"/>
          <w:i/>
          <w:iCs/>
          <w:noProof/>
          <w:sz w:val="22"/>
          <w:lang w:val="it-IT"/>
        </w:rPr>
        <w:t>gli investitori più opportunistici”</w:t>
      </w:r>
      <w:r w:rsidR="00B2491F">
        <w:rPr>
          <w:rFonts w:asciiTheme="minorHAnsi" w:hAnsiTheme="minorHAnsi" w:cstheme="minorHAnsi"/>
          <w:i/>
          <w:iCs/>
          <w:noProof/>
          <w:sz w:val="22"/>
          <w:lang w:val="it-IT"/>
        </w:rPr>
        <w:t>.</w:t>
      </w:r>
    </w:p>
    <w:p w:rsidR="00360283" w:rsidRPr="008B1752" w:rsidRDefault="00360283" w:rsidP="00360283">
      <w:pPr>
        <w:pStyle w:val="Nessunaspaziatura"/>
        <w:spacing w:line="276" w:lineRule="auto"/>
        <w:jc w:val="both"/>
        <w:rPr>
          <w:rFonts w:asciiTheme="minorHAnsi" w:hAnsiTheme="minorHAnsi" w:cstheme="minorHAnsi"/>
          <w:noProof/>
          <w:sz w:val="22"/>
          <w:lang w:val="it-IT"/>
        </w:rPr>
      </w:pPr>
    </w:p>
    <w:p w:rsidR="00484810" w:rsidRPr="008B1752" w:rsidRDefault="00360283" w:rsidP="00360283">
      <w:pPr>
        <w:pStyle w:val="Nessunaspaziatura"/>
        <w:spacing w:line="276" w:lineRule="auto"/>
        <w:jc w:val="both"/>
        <w:rPr>
          <w:rFonts w:asciiTheme="minorHAnsi" w:hAnsiTheme="minorHAnsi" w:cstheme="minorHAnsi"/>
          <w:b/>
          <w:bCs/>
          <w:noProof/>
          <w:sz w:val="22"/>
          <w:lang w:val="it-IT"/>
        </w:rPr>
      </w:pPr>
      <w:r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>Richard Divall, Head of Cross Border Capital Markets, EMEA</w:t>
      </w:r>
      <w:r w:rsidR="00D517A5"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 xml:space="preserve">, </w:t>
      </w:r>
      <w:r w:rsidR="00D517A5" w:rsidRPr="008B1752">
        <w:rPr>
          <w:rFonts w:asciiTheme="minorHAnsi" w:hAnsiTheme="minorHAnsi" w:cstheme="minorHAnsi"/>
          <w:noProof/>
          <w:sz w:val="22"/>
          <w:lang w:val="it-IT"/>
        </w:rPr>
        <w:t>spiega</w:t>
      </w:r>
      <w:r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 xml:space="preserve">: </w:t>
      </w:r>
      <w:r w:rsidR="00D517A5"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 xml:space="preserve"> </w:t>
      </w:r>
      <w:r w:rsidR="00484810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"Nel corso del terzo trimestre</w:t>
      </w:r>
      <w:r w:rsidR="003D33AA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, </w:t>
      </w:r>
      <w:r w:rsidR="0044609E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grazie anche al perfezionamento di</w:t>
      </w:r>
      <w:r w:rsidR="00484810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</w:t>
      </w:r>
      <w:r w:rsidR="0044609E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oper</w:t>
      </w:r>
      <w:r w:rsidR="008B1752">
        <w:rPr>
          <w:rFonts w:asciiTheme="minorHAnsi" w:hAnsiTheme="minorHAnsi" w:cstheme="minorHAnsi"/>
          <w:i/>
          <w:iCs/>
          <w:noProof/>
          <w:sz w:val="22"/>
          <w:lang w:val="it-IT"/>
        </w:rPr>
        <w:t>a</w:t>
      </w:r>
      <w:r w:rsidR="004172D8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zioni </w:t>
      </w:r>
      <w:r w:rsidR="00484810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di dimensioni rilevanti in tutta Europa</w:t>
      </w:r>
      <w:r w:rsidR="003D33AA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, sono migliorati sia il livello di fiducia, sia la liquidità dei mercati.</w:t>
      </w:r>
      <w:r w:rsidR="00484810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</w:t>
      </w:r>
      <w:r w:rsidR="00D3509A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Oggi</w:t>
      </w:r>
      <w:r w:rsidR="0059710F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, sulla </w:t>
      </w:r>
      <w:r w:rsidR="00A56507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soglia</w:t>
      </w:r>
      <w:r w:rsidR="00484810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</w:t>
      </w:r>
      <w:r w:rsidR="0059710F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d</w:t>
      </w:r>
      <w:r w:rsidR="00484810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ell'ultimo trimestre </w:t>
      </w:r>
      <w:r w:rsidR="00D3509A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del 2020</w:t>
      </w:r>
      <w:r w:rsidR="0059710F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, ci aspettiamo di assistere a </w:t>
      </w:r>
      <w:r w:rsidR="00484810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un </w:t>
      </w:r>
      <w:r w:rsidR="003100E5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incremento</w:t>
      </w:r>
      <w:r w:rsidR="00484810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dei volumi</w:t>
      </w:r>
      <w:r w:rsidR="00A3030F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in quanto</w:t>
      </w:r>
      <w:r w:rsidR="00484810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gli investitori</w:t>
      </w:r>
      <w:r w:rsidR="00A3030F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</w:t>
      </w:r>
      <w:r w:rsidR="00484810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cerc</w:t>
      </w:r>
      <w:r w:rsidR="00A3030F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heranno di </w:t>
      </w:r>
      <w:r w:rsidR="00484810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distribuire parte della </w:t>
      </w:r>
      <w:r w:rsidR="000E233A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propria</w:t>
      </w:r>
      <w:r w:rsidR="00C819BC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riserva di liquidità</w:t>
      </w:r>
      <w:r w:rsidR="00F65401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e</w:t>
      </w:r>
      <w:r w:rsidR="00484810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i venditori</w:t>
      </w:r>
      <w:r w:rsidR="003100E5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saranno rassicurati</w:t>
      </w:r>
      <w:r w:rsidR="00484810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</w:t>
      </w:r>
      <w:r w:rsidR="003100E5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da tale</w:t>
      </w:r>
      <w:r w:rsidR="00337E6A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</w:t>
      </w:r>
      <w:r w:rsidR="00A56507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disponibilità su</w:t>
      </w:r>
      <w:r w:rsidR="00484810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i mercati</w:t>
      </w:r>
      <w:r w:rsidR="000E233A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”</w:t>
      </w:r>
      <w:r w:rsidR="00484810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.</w:t>
      </w:r>
    </w:p>
    <w:p w:rsidR="00360283" w:rsidRPr="008B1752" w:rsidRDefault="00360283" w:rsidP="00360283">
      <w:pPr>
        <w:pStyle w:val="Nessunaspaziatura"/>
        <w:spacing w:line="276" w:lineRule="auto"/>
        <w:jc w:val="both"/>
        <w:rPr>
          <w:rFonts w:asciiTheme="minorHAnsi" w:hAnsiTheme="minorHAnsi" w:cstheme="minorHAnsi"/>
          <w:noProof/>
          <w:sz w:val="22"/>
          <w:lang w:val="it-IT"/>
        </w:rPr>
      </w:pPr>
    </w:p>
    <w:p w:rsidR="00477532" w:rsidRPr="008B1752" w:rsidRDefault="00477532" w:rsidP="00477532">
      <w:pPr>
        <w:pStyle w:val="Nessunaspaziatura"/>
        <w:spacing w:line="276" w:lineRule="auto"/>
        <w:jc w:val="both"/>
        <w:rPr>
          <w:rFonts w:asciiTheme="minorHAnsi" w:hAnsiTheme="minorHAnsi" w:cstheme="minorHAnsi"/>
          <w:i/>
          <w:iCs/>
          <w:noProof/>
          <w:sz w:val="22"/>
          <w:lang w:val="it-IT"/>
        </w:rPr>
      </w:pP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"</w:t>
      </w:r>
      <w:r w:rsidR="0011011D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L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a logistica, il residenziale </w:t>
      </w:r>
      <w:r w:rsidR="0011011D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(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a prezzi accessibili</w:t>
      </w:r>
      <w:r w:rsidR="0011011D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) e l’healthcare</w:t>
      </w:r>
      <w:r w:rsidR="00787F1C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rimangono i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</w:t>
      </w:r>
      <w:r w:rsidR="00787F1C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settori </w:t>
      </w:r>
      <w:r w:rsidR="00D30FEF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che catalizzano l’attenzione degli investitori, oggi più cauti e selettivi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. Naturalmente il mercato </w:t>
      </w:r>
      <w:r w:rsidR="001158B2">
        <w:rPr>
          <w:rFonts w:asciiTheme="minorHAnsi" w:hAnsiTheme="minorHAnsi" w:cstheme="minorHAnsi"/>
          <w:i/>
          <w:iCs/>
          <w:noProof/>
          <w:sz w:val="22"/>
          <w:lang w:val="it-IT"/>
        </w:rPr>
        <w:t>é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ancora vulnerabile</w:t>
      </w:r>
      <w:r w:rsidR="00A62F56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e 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lastRenderedPageBreak/>
        <w:t>fattori esogeni</w:t>
      </w:r>
      <w:r w:rsidR="00A62F56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, 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tra cui le elezioni americane di novembre e la seconda ondata della pandemia in Europa</w:t>
      </w:r>
      <w:r w:rsidR="00A62F56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, potrebbero causare nuove turbolenze. 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Tuttavia, </w:t>
      </w:r>
      <w:r w:rsidR="00A62F56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se si riuscisse a evitare questo scenario e a </w:t>
      </w:r>
      <w:r w:rsidR="00632108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far prevalere un clima di stabilità generale, nel quarto trimestre 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potremmo </w:t>
      </w:r>
      <w:r w:rsidR="00632108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assistere a un</w:t>
      </w:r>
      <w:r w:rsidR="002A414E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balzo del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volum</w:t>
      </w:r>
      <w:r w:rsidR="00632108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e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d</w:t>
      </w:r>
      <w:r w:rsidR="00632108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egli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investimenti</w:t>
      </w:r>
      <w:r w:rsidR="002A414E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, che raggiungerebbero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i 100 miliardi di euro</w:t>
      </w:r>
      <w:r w:rsidR="002A414E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raddoppiando </w:t>
      </w:r>
      <w:r w:rsidR="00FA0341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i volumi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del </w:t>
      </w:r>
      <w:r w:rsidR="00FA0341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sec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o</w:t>
      </w:r>
      <w:r w:rsidR="00FA0341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ndo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e del </w:t>
      </w:r>
      <w:r w:rsidR="008B1752">
        <w:rPr>
          <w:rFonts w:asciiTheme="minorHAnsi" w:hAnsiTheme="minorHAnsi" w:cstheme="minorHAnsi"/>
          <w:i/>
          <w:iCs/>
          <w:noProof/>
          <w:sz w:val="22"/>
          <w:lang w:val="it-IT"/>
        </w:rPr>
        <w:t>terzo</w:t>
      </w:r>
      <w:r w:rsidR="008B1752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trimestre".</w:t>
      </w:r>
    </w:p>
    <w:p w:rsidR="00697A4F" w:rsidRPr="008B1752" w:rsidRDefault="00697A4F" w:rsidP="00477532">
      <w:pPr>
        <w:pStyle w:val="Nessunaspaziatura"/>
        <w:spacing w:line="276" w:lineRule="auto"/>
        <w:jc w:val="both"/>
        <w:rPr>
          <w:rFonts w:asciiTheme="minorHAnsi" w:hAnsiTheme="minorHAnsi" w:cstheme="minorHAnsi"/>
          <w:i/>
          <w:iCs/>
          <w:noProof/>
          <w:sz w:val="22"/>
          <w:lang w:val="it-IT"/>
        </w:rPr>
      </w:pPr>
    </w:p>
    <w:p w:rsidR="00360283" w:rsidRPr="00774483" w:rsidRDefault="00360283" w:rsidP="00360283">
      <w:pPr>
        <w:pStyle w:val="Nessunaspaziatura"/>
        <w:spacing w:line="276" w:lineRule="auto"/>
        <w:jc w:val="both"/>
        <w:rPr>
          <w:rFonts w:asciiTheme="minorHAnsi" w:hAnsiTheme="minorHAnsi" w:cstheme="minorHAnsi"/>
          <w:b/>
          <w:bCs/>
          <w:noProof/>
          <w:sz w:val="22"/>
          <w:lang w:val="en-GB"/>
        </w:rPr>
      </w:pPr>
      <w:r w:rsidRPr="00774483">
        <w:rPr>
          <w:rFonts w:asciiTheme="minorHAnsi" w:hAnsiTheme="minorHAnsi" w:cstheme="minorHAnsi"/>
          <w:b/>
          <w:bCs/>
          <w:noProof/>
          <w:sz w:val="22"/>
          <w:lang w:val="en-GB"/>
        </w:rPr>
        <w:t xml:space="preserve">Damian Harrington, Head of EMEA </w:t>
      </w:r>
      <w:r w:rsidR="008B1752">
        <w:rPr>
          <w:rFonts w:asciiTheme="minorHAnsi" w:hAnsiTheme="minorHAnsi" w:cstheme="minorHAnsi"/>
          <w:b/>
          <w:bCs/>
          <w:noProof/>
          <w:sz w:val="22"/>
          <w:lang w:val="en-GB"/>
        </w:rPr>
        <w:t>R</w:t>
      </w:r>
      <w:r w:rsidRPr="00774483">
        <w:rPr>
          <w:rFonts w:asciiTheme="minorHAnsi" w:hAnsiTheme="minorHAnsi" w:cstheme="minorHAnsi"/>
          <w:b/>
          <w:bCs/>
          <w:noProof/>
          <w:sz w:val="22"/>
          <w:lang w:val="en-GB"/>
        </w:rPr>
        <w:t>esearch at Colliers Int</w:t>
      </w:r>
      <w:r w:rsidR="001158B2">
        <w:rPr>
          <w:rFonts w:asciiTheme="minorHAnsi" w:hAnsiTheme="minorHAnsi" w:cstheme="minorHAnsi"/>
          <w:b/>
          <w:bCs/>
          <w:noProof/>
          <w:sz w:val="22"/>
          <w:lang w:val="en-GB"/>
        </w:rPr>
        <w:t>er</w:t>
      </w:r>
      <w:r w:rsidRPr="00774483">
        <w:rPr>
          <w:rFonts w:asciiTheme="minorHAnsi" w:hAnsiTheme="minorHAnsi" w:cstheme="minorHAnsi"/>
          <w:b/>
          <w:bCs/>
          <w:noProof/>
          <w:sz w:val="22"/>
          <w:lang w:val="en-GB"/>
        </w:rPr>
        <w:t>national</w:t>
      </w:r>
      <w:r w:rsidR="00697A4F">
        <w:rPr>
          <w:rFonts w:asciiTheme="minorHAnsi" w:hAnsiTheme="minorHAnsi" w:cstheme="minorHAnsi"/>
          <w:b/>
          <w:bCs/>
          <w:noProof/>
          <w:sz w:val="22"/>
          <w:lang w:val="en-GB"/>
        </w:rPr>
        <w:t xml:space="preserve">, </w:t>
      </w:r>
      <w:r w:rsidR="00697A4F">
        <w:rPr>
          <w:rFonts w:asciiTheme="minorHAnsi" w:hAnsiTheme="minorHAnsi" w:cstheme="minorHAnsi"/>
          <w:noProof/>
          <w:sz w:val="22"/>
          <w:lang w:val="en-GB"/>
        </w:rPr>
        <w:t xml:space="preserve">conclude: </w:t>
      </w:r>
    </w:p>
    <w:p w:rsidR="00360283" w:rsidRPr="00774483" w:rsidRDefault="00360283" w:rsidP="00360283">
      <w:pPr>
        <w:pStyle w:val="Nessunaspaziatura"/>
        <w:spacing w:line="276" w:lineRule="auto"/>
        <w:jc w:val="both"/>
        <w:rPr>
          <w:rFonts w:asciiTheme="minorHAnsi" w:hAnsiTheme="minorHAnsi" w:cstheme="minorHAnsi"/>
          <w:noProof/>
          <w:sz w:val="22"/>
          <w:lang w:val="en-GB"/>
        </w:rPr>
      </w:pPr>
    </w:p>
    <w:p w:rsidR="00074E85" w:rsidRPr="008B1752" w:rsidRDefault="00074E85" w:rsidP="00360283">
      <w:pPr>
        <w:pStyle w:val="Nessunaspaziatura"/>
        <w:spacing w:line="276" w:lineRule="auto"/>
        <w:jc w:val="both"/>
        <w:rPr>
          <w:rFonts w:asciiTheme="minorHAnsi" w:hAnsiTheme="minorHAnsi" w:cstheme="minorHAnsi"/>
          <w:i/>
          <w:iCs/>
          <w:noProof/>
          <w:sz w:val="22"/>
          <w:lang w:val="it-IT"/>
        </w:rPr>
      </w:pP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"Nel complesso,</w:t>
      </w:r>
      <w:r w:rsidR="00FC5DCB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guardando agli investimenti – in termini relativi – le attività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in tutta la regione EMEA </w:t>
      </w:r>
      <w:r w:rsidR="00FC5DCB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sono state positive</w:t>
      </w:r>
      <w:r w:rsidR="00490782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, 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con volumi </w:t>
      </w:r>
      <w:r w:rsidR="006D0204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nel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primo semestre in calo</w:t>
      </w:r>
      <w:r w:rsidR="000A5302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solamente 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del 10% rispetto all'anno precedente. Il rimbalzo </w:t>
      </w:r>
      <w:r w:rsidR="006D0204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previsto 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nel quarto trimestre porterebbe </w:t>
      </w:r>
      <w:r w:rsidR="006D0204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la regione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</w:t>
      </w:r>
      <w:r w:rsidR="006D0204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a una contrazione </w:t>
      </w:r>
      <w:r w:rsidR="000A5302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“ridotta”, pari al</w:t>
      </w:r>
      <w:r w:rsidR="00490782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14% rispetto al</w:t>
      </w:r>
      <w:r w:rsidR="001B7812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2019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. </w:t>
      </w:r>
      <w:r w:rsidR="00BE4D4B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Se da un lato, nel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la seconda metà del 2020</w:t>
      </w:r>
      <w:r w:rsidR="00D41976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,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</w:t>
      </w:r>
      <w:r w:rsidR="00BE4D4B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si intravede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</w:t>
      </w:r>
      <w:r w:rsidR="00BE4D4B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una 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ripresa dal crollo economico indotto dal </w:t>
      </w:r>
      <w:r w:rsidR="006E1DC3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lockdown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del 2° trimestre, </w:t>
      </w:r>
      <w:r w:rsidR="002417BF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dall’altro</w:t>
      </w:r>
      <w:r w:rsidR="00FA0DE5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continua a differire in modo significativo</w:t>
      </w:r>
      <w:r w:rsidR="002417BF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il modo in cui i mercati stanno </w:t>
      </w:r>
      <w:r w:rsidR="00353195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tornando a</w:t>
      </w:r>
      <w:r w:rsidR="002417BF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lla 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normalità</w:t>
      </w:r>
      <w:r w:rsidR="00FA0DE5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, 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a seconda del settore e </w:t>
      </w:r>
      <w:r w:rsidR="00353195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della loro localizzazione”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.</w:t>
      </w:r>
    </w:p>
    <w:p w:rsidR="00F54D75" w:rsidRPr="008B1752" w:rsidRDefault="00F54D75" w:rsidP="00360283">
      <w:pPr>
        <w:pStyle w:val="Nessunaspaziatura"/>
        <w:spacing w:line="276" w:lineRule="auto"/>
        <w:jc w:val="both"/>
        <w:rPr>
          <w:rFonts w:asciiTheme="minorHAnsi" w:hAnsiTheme="minorHAnsi" w:cstheme="minorHAnsi"/>
          <w:i/>
          <w:iCs/>
          <w:noProof/>
          <w:sz w:val="22"/>
          <w:lang w:val="it-IT"/>
        </w:rPr>
      </w:pPr>
    </w:p>
    <w:p w:rsidR="00F54D75" w:rsidRPr="008B1752" w:rsidRDefault="00F54D75" w:rsidP="00360283">
      <w:pPr>
        <w:pStyle w:val="Nessunaspaziatura"/>
        <w:spacing w:line="276" w:lineRule="auto"/>
        <w:jc w:val="both"/>
        <w:rPr>
          <w:rFonts w:asciiTheme="minorHAnsi" w:hAnsiTheme="minorHAnsi" w:cstheme="minorHAnsi"/>
          <w:i/>
          <w:iCs/>
          <w:noProof/>
          <w:sz w:val="22"/>
          <w:lang w:val="it-IT"/>
        </w:rPr>
      </w:pP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"</w:t>
      </w:r>
      <w:r w:rsidR="006C2723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Oggi </w:t>
      </w:r>
      <w:r w:rsidR="00FF6066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il mercato </w:t>
      </w:r>
      <w:r w:rsidR="00BA1C2A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restituisce una fotografia </w:t>
      </w:r>
      <w:r w:rsidR="003F7644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molto </w:t>
      </w:r>
      <w:r w:rsidR="006C2723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diversa </w:t>
      </w:r>
      <w:r w:rsidR="009F579F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a seconda </w:t>
      </w:r>
      <w:r w:rsidR="006C2723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d</w:t>
      </w:r>
      <w:r w:rsidR="009F579F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e</w:t>
      </w:r>
      <w:r w:rsidR="006C2723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l punto di vista da cui lo si guarda.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</w:t>
      </w:r>
      <w:r w:rsidR="009F579F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E’</w:t>
      </w:r>
      <w:r w:rsidR="000C58B6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</w:t>
      </w:r>
      <w:r w:rsidR="002D51ED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si</w:t>
      </w:r>
      <w:r w:rsidR="00107750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à </w:t>
      </w:r>
      <w:r w:rsidR="000C58B6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negativa</w:t>
      </w:r>
      <w:r w:rsidR="00107750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- </w:t>
      </w:r>
      <w:r w:rsidR="000C58B6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nel caso </w:t>
      </w:r>
      <w:r w:rsidR="002D51ED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si disponga di</w:t>
      </w:r>
      <w:r w:rsidR="000C58B6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un asset problematico </w:t>
      </w:r>
      <w:r w:rsidR="002D51ED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in un contesto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</w:t>
      </w:r>
      <w:r w:rsidR="002D51ED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difficile, 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</w:t>
      </w:r>
      <w:r w:rsidR="00107750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sia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</w:t>
      </w:r>
      <w:r w:rsidR="000C58B6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positiva</w:t>
      </w:r>
      <w:r w:rsidR="00107750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- 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per </w:t>
      </w:r>
      <w:r w:rsidR="00107750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coloro che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</w:t>
      </w:r>
      <w:r w:rsidR="001D1887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dispon</w:t>
      </w:r>
      <w:r w:rsidR="00107750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gono</w:t>
      </w:r>
      <w:r w:rsidR="001D1887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di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un </w:t>
      </w:r>
      <w:r w:rsidR="001D1887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“bottino di guerra”</w:t>
      </w:r>
      <w:r w:rsidR="00C02927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</w:t>
      </w:r>
      <w:r w:rsidR="00917D4F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e sono</w:t>
      </w:r>
      <w:r w:rsidR="00C02927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in cerca di affari, </w:t>
      </w:r>
      <w:r w:rsidR="002D51ED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o </w:t>
      </w:r>
      <w:r w:rsidR="00917D4F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che </w:t>
      </w:r>
      <w:r w:rsidR="00B07291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riescono</w:t>
      </w:r>
      <w:r w:rsidR="00917D4F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</w:t>
      </w:r>
      <w:r w:rsidR="00B07291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a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vendere </w:t>
      </w:r>
      <w:r w:rsidR="00917D4F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asset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logistici e portafogli a premio</w:t>
      </w:r>
      <w:r w:rsidR="00917D4F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”.</w:t>
      </w:r>
    </w:p>
    <w:p w:rsidR="00360283" w:rsidRPr="008B1752" w:rsidRDefault="00360283" w:rsidP="00360283">
      <w:pPr>
        <w:suppressAutoHyphens/>
        <w:autoSpaceDE w:val="0"/>
        <w:autoSpaceDN w:val="0"/>
        <w:spacing w:before="0" w:after="0"/>
        <w:jc w:val="both"/>
        <w:textAlignment w:val="baseline"/>
        <w:rPr>
          <w:rFonts w:asciiTheme="minorHAnsi" w:eastAsiaTheme="majorEastAsia" w:hAnsiTheme="minorHAnsi" w:cstheme="minorHAnsi"/>
          <w:caps/>
          <w:noProof/>
          <w:color w:val="F8AC2D" w:themeColor="accent1"/>
          <w:sz w:val="22"/>
          <w:lang w:val="it-IT" w:eastAsia="en-GB"/>
        </w:rPr>
      </w:pPr>
    </w:p>
    <w:p w:rsidR="003F7644" w:rsidRPr="008B1752" w:rsidRDefault="00CE34DE" w:rsidP="005C2F6A">
      <w:pPr>
        <w:pStyle w:val="Nessunaspaziatura"/>
        <w:spacing w:line="276" w:lineRule="auto"/>
        <w:jc w:val="both"/>
        <w:rPr>
          <w:rFonts w:asciiTheme="minorHAnsi" w:hAnsiTheme="minorHAnsi" w:cstheme="minorHAnsi"/>
          <w:i/>
          <w:iCs/>
          <w:noProof/>
          <w:sz w:val="22"/>
          <w:lang w:val="it-IT"/>
        </w:rPr>
      </w:pP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"Nonostante la ripresa sia positiva, </w:t>
      </w:r>
      <w:r w:rsidR="003D65C1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il 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grande rimbalzo a 'V parziale' o 'Swoosh' </w:t>
      </w:r>
      <w:r w:rsidR="001158B2">
        <w:rPr>
          <w:rFonts w:asciiTheme="minorHAnsi" w:hAnsiTheme="minorHAnsi" w:cstheme="minorHAnsi"/>
          <w:i/>
          <w:iCs/>
          <w:noProof/>
          <w:sz w:val="22"/>
          <w:lang w:val="it-IT"/>
        </w:rPr>
        <w:t>é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finito e</w:t>
      </w:r>
      <w:r w:rsidR="003D65C1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tutte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le</w:t>
      </w:r>
      <w:r w:rsidR="003D65C1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principali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economie </w:t>
      </w:r>
      <w:r w:rsidR="003D65C1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dell’area 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si trovano a</w:t>
      </w:r>
      <w:r w:rsidR="00B838E5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d affrontare posizioni furtive 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per tornare </w:t>
      </w:r>
      <w:r w:rsidR="003602C3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in</w:t>
      </w:r>
      <w:r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pari.</w:t>
      </w:r>
      <w:r w:rsidR="00CF692B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</w:t>
      </w:r>
      <w:r w:rsidR="003602C3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Ci troviamo dinanzi a uno scenario</w:t>
      </w:r>
      <w:r w:rsidR="0014489B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che sembra destinato a </w:t>
      </w:r>
      <w:r w:rsidR="0050672D">
        <w:rPr>
          <w:rFonts w:asciiTheme="minorHAnsi" w:hAnsiTheme="minorHAnsi" w:cstheme="minorHAnsi"/>
          <w:i/>
          <w:iCs/>
          <w:noProof/>
          <w:sz w:val="22"/>
          <w:lang w:val="it-IT"/>
        </w:rPr>
        <w:t>perdurare</w:t>
      </w:r>
      <w:r w:rsidR="0014489B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nel corso dei prossimi mesi, caratterizzato dalla</w:t>
      </w:r>
      <w:r w:rsidR="00287C97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</w:t>
      </w:r>
      <w:r w:rsidR="008010AF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frammentazione</w:t>
      </w:r>
      <w:r w:rsidR="00287C97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e</w:t>
      </w:r>
      <w:r w:rsidR="008010AF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dalla</w:t>
      </w:r>
      <w:r w:rsidR="00287C97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disomogene</w:t>
      </w:r>
      <w:r w:rsidR="008010AF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ità</w:t>
      </w:r>
      <w:r w:rsidR="00287C97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tra i</w:t>
      </w:r>
      <w:r w:rsidR="00CF692B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settori </w:t>
      </w:r>
      <w:r w:rsidR="00E46152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che sono </w:t>
      </w:r>
      <w:r w:rsidR="00CF692B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pronti per il rimbalzo e quelli destinati a una ripresa più </w:t>
      </w:r>
      <w:r w:rsidR="00E46152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lunga</w:t>
      </w:r>
      <w:r w:rsidR="00CF692B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. Allo stesso modo, l'equilibrio dei fattori </w:t>
      </w:r>
      <w:r w:rsidR="00156862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che stanno</w:t>
      </w:r>
      <w:r w:rsidR="00BA1C2A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</w:t>
      </w:r>
      <w:r w:rsidR="00CF692B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influenz</w:t>
      </w:r>
      <w:r w:rsidR="00156862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and</w:t>
      </w:r>
      <w:r w:rsidR="00CF692B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o questa ripresa </w:t>
      </w:r>
      <w:r w:rsidR="001158B2">
        <w:rPr>
          <w:rFonts w:asciiTheme="minorHAnsi" w:hAnsiTheme="minorHAnsi" w:cstheme="minorHAnsi"/>
          <w:i/>
          <w:iCs/>
          <w:noProof/>
          <w:sz w:val="22"/>
          <w:lang w:val="it-IT"/>
        </w:rPr>
        <w:t>é</w:t>
      </w:r>
      <w:r w:rsidR="00316A40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tuttora</w:t>
      </w:r>
      <w:r w:rsidR="00CF692B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</w:t>
      </w:r>
      <w:r w:rsidR="00316A40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orientato</w:t>
      </w:r>
      <w:r w:rsidR="00CF692B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 al ribasso. Come abbiamo visto con il recente annuncio del</w:t>
      </w:r>
      <w:r w:rsidR="00B81486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le Istituzioni britanniche</w:t>
      </w:r>
      <w:r w:rsidR="00CF692B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, i governi nazionali devono bilanciare le misure </w:t>
      </w:r>
      <w:r w:rsidR="00B81486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 xml:space="preserve">atte a contenere </w:t>
      </w:r>
      <w:r w:rsidR="00CF692B" w:rsidRPr="008B1752">
        <w:rPr>
          <w:rFonts w:asciiTheme="minorHAnsi" w:hAnsiTheme="minorHAnsi" w:cstheme="minorHAnsi"/>
          <w:i/>
          <w:iCs/>
          <w:noProof/>
          <w:sz w:val="22"/>
          <w:lang w:val="it-IT"/>
        </w:rPr>
        <w:t>il virus riducendo la mobilità e sostenendo la ripresa economica".</w:t>
      </w:r>
    </w:p>
    <w:p w:rsidR="00B76CCD" w:rsidRPr="008B1752" w:rsidRDefault="00B76CCD" w:rsidP="004319C3">
      <w:pPr>
        <w:pStyle w:val="Nessunaspaziatura"/>
        <w:spacing w:line="276" w:lineRule="auto"/>
        <w:jc w:val="both"/>
        <w:rPr>
          <w:rFonts w:asciiTheme="minorHAnsi" w:hAnsiTheme="minorHAnsi" w:cstheme="minorHAnsi"/>
          <w:noProof/>
          <w:sz w:val="22"/>
          <w:lang w:val="it-IT" w:eastAsia="en-GB"/>
        </w:rPr>
      </w:pPr>
    </w:p>
    <w:p w:rsidR="007325E0" w:rsidRPr="008B1752" w:rsidRDefault="0042514E" w:rsidP="0042514E">
      <w:pPr>
        <w:pStyle w:val="Nessunaspaziatura"/>
        <w:spacing w:line="276" w:lineRule="auto"/>
        <w:jc w:val="center"/>
        <w:rPr>
          <w:rFonts w:asciiTheme="minorHAnsi" w:hAnsiTheme="minorHAnsi" w:cstheme="minorHAnsi"/>
          <w:b/>
          <w:bCs/>
          <w:noProof/>
          <w:sz w:val="22"/>
          <w:lang w:val="it-IT"/>
        </w:rPr>
      </w:pPr>
      <w:r w:rsidRPr="008B1752">
        <w:rPr>
          <w:rFonts w:asciiTheme="minorHAnsi" w:hAnsiTheme="minorHAnsi" w:cstheme="minorHAnsi"/>
          <w:b/>
          <w:bCs/>
          <w:noProof/>
          <w:sz w:val="22"/>
          <w:lang w:val="it-IT"/>
        </w:rPr>
        <w:t>°°°</w:t>
      </w:r>
    </w:p>
    <w:p w:rsidR="00AB23FC" w:rsidRPr="008B1752" w:rsidRDefault="00AB23FC" w:rsidP="004319C3">
      <w:pPr>
        <w:pStyle w:val="Nessunaspaziatura"/>
        <w:spacing w:line="276" w:lineRule="auto"/>
        <w:jc w:val="both"/>
        <w:rPr>
          <w:rFonts w:asciiTheme="minorHAnsi" w:hAnsiTheme="minorHAnsi" w:cstheme="minorHAnsi"/>
          <w:b/>
          <w:bCs/>
          <w:noProof/>
          <w:sz w:val="22"/>
          <w:lang w:val="it-IT"/>
        </w:rPr>
      </w:pPr>
    </w:p>
    <w:p w:rsidR="005C2F6A" w:rsidRPr="008B1752" w:rsidRDefault="005C2F6A" w:rsidP="003816AE">
      <w:pPr>
        <w:spacing w:before="0" w:after="0"/>
        <w:jc w:val="both"/>
        <w:rPr>
          <w:noProof/>
          <w:lang w:val="it-IT"/>
        </w:rPr>
      </w:pPr>
    </w:p>
    <w:p w:rsidR="005C2F6A" w:rsidRPr="008B1752" w:rsidRDefault="005C2F6A" w:rsidP="003816AE">
      <w:pPr>
        <w:spacing w:before="0" w:after="0"/>
        <w:jc w:val="both"/>
        <w:rPr>
          <w:noProof/>
          <w:lang w:val="it-IT"/>
        </w:rPr>
      </w:pPr>
    </w:p>
    <w:p w:rsidR="005C2F6A" w:rsidRPr="008B1752" w:rsidRDefault="005C2F6A" w:rsidP="003816AE">
      <w:pPr>
        <w:spacing w:before="0" w:after="0"/>
        <w:jc w:val="both"/>
        <w:rPr>
          <w:noProof/>
          <w:lang w:val="it-IT"/>
        </w:rPr>
      </w:pPr>
    </w:p>
    <w:p w:rsidR="005C2F6A" w:rsidRPr="008B1752" w:rsidRDefault="005C2F6A" w:rsidP="003816AE">
      <w:pPr>
        <w:spacing w:before="0" w:after="0"/>
        <w:jc w:val="both"/>
        <w:rPr>
          <w:noProof/>
          <w:lang w:val="it-IT"/>
        </w:rPr>
      </w:pPr>
    </w:p>
    <w:p w:rsidR="005C2F6A" w:rsidRPr="008B1752" w:rsidRDefault="005C2F6A" w:rsidP="003816AE">
      <w:pPr>
        <w:spacing w:before="0" w:after="0"/>
        <w:jc w:val="both"/>
        <w:rPr>
          <w:noProof/>
          <w:lang w:val="it-IT"/>
        </w:rPr>
      </w:pPr>
    </w:p>
    <w:p w:rsidR="005C2F6A" w:rsidRPr="008B1752" w:rsidRDefault="005C2F6A" w:rsidP="003816AE">
      <w:pPr>
        <w:spacing w:before="0" w:after="0"/>
        <w:jc w:val="both"/>
        <w:rPr>
          <w:noProof/>
          <w:lang w:val="it-IT"/>
        </w:rPr>
      </w:pPr>
    </w:p>
    <w:p w:rsidR="005C2F6A" w:rsidRPr="008B1752" w:rsidRDefault="005C2F6A" w:rsidP="003816AE">
      <w:pPr>
        <w:spacing w:before="0" w:after="0"/>
        <w:jc w:val="both"/>
        <w:rPr>
          <w:noProof/>
          <w:lang w:val="it-IT"/>
        </w:rPr>
      </w:pPr>
    </w:p>
    <w:p w:rsidR="005C2F6A" w:rsidRPr="008B1752" w:rsidRDefault="005C2F6A" w:rsidP="003816AE">
      <w:pPr>
        <w:spacing w:before="0" w:after="0"/>
        <w:jc w:val="both"/>
        <w:rPr>
          <w:noProof/>
          <w:lang w:val="it-IT"/>
        </w:rPr>
      </w:pPr>
    </w:p>
    <w:p w:rsidR="005C2F6A" w:rsidRPr="008B1752" w:rsidRDefault="005C2F6A" w:rsidP="003816AE">
      <w:pPr>
        <w:spacing w:before="0" w:after="0"/>
        <w:jc w:val="both"/>
        <w:rPr>
          <w:noProof/>
          <w:lang w:val="it-IT"/>
        </w:rPr>
      </w:pPr>
    </w:p>
    <w:p w:rsidR="005C2F6A" w:rsidRPr="008B1752" w:rsidRDefault="005C2F6A" w:rsidP="003816AE">
      <w:pPr>
        <w:spacing w:before="0" w:after="0"/>
        <w:jc w:val="both"/>
        <w:rPr>
          <w:noProof/>
          <w:lang w:val="it-IT"/>
        </w:rPr>
      </w:pPr>
    </w:p>
    <w:p w:rsidR="005C2F6A" w:rsidRPr="008B1752" w:rsidRDefault="005C2F6A" w:rsidP="003816AE">
      <w:pPr>
        <w:spacing w:before="0" w:after="0"/>
        <w:jc w:val="both"/>
        <w:rPr>
          <w:noProof/>
          <w:lang w:val="it-IT"/>
        </w:rPr>
      </w:pPr>
    </w:p>
    <w:p w:rsidR="005C2F6A" w:rsidRPr="008B1752" w:rsidRDefault="005C2F6A" w:rsidP="003816AE">
      <w:pPr>
        <w:spacing w:before="0" w:after="0"/>
        <w:jc w:val="both"/>
        <w:rPr>
          <w:noProof/>
          <w:lang w:val="it-IT"/>
        </w:rPr>
      </w:pPr>
    </w:p>
    <w:p w:rsidR="005C2F6A" w:rsidRPr="008B1752" w:rsidRDefault="005C2F6A" w:rsidP="003816AE">
      <w:pPr>
        <w:spacing w:before="0" w:after="0"/>
        <w:jc w:val="both"/>
        <w:rPr>
          <w:noProof/>
          <w:lang w:val="it-IT"/>
        </w:rPr>
      </w:pPr>
    </w:p>
    <w:p w:rsidR="005C2F6A" w:rsidRPr="008B1752" w:rsidRDefault="005C2F6A" w:rsidP="003816AE">
      <w:pPr>
        <w:spacing w:before="0" w:after="0"/>
        <w:jc w:val="both"/>
        <w:rPr>
          <w:noProof/>
          <w:lang w:val="it-IT"/>
        </w:rPr>
      </w:pPr>
    </w:p>
    <w:p w:rsidR="005C2F6A" w:rsidRPr="008B1752" w:rsidRDefault="005C2F6A" w:rsidP="003816AE">
      <w:pPr>
        <w:spacing w:before="0" w:after="0"/>
        <w:jc w:val="both"/>
        <w:rPr>
          <w:noProof/>
          <w:lang w:val="it-IT"/>
        </w:rPr>
      </w:pPr>
    </w:p>
    <w:p w:rsidR="005C2F6A" w:rsidRPr="008B1752" w:rsidRDefault="005C2F6A" w:rsidP="003816AE">
      <w:pPr>
        <w:spacing w:before="0" w:after="0"/>
        <w:jc w:val="both"/>
        <w:rPr>
          <w:noProof/>
          <w:lang w:val="it-IT"/>
        </w:rPr>
      </w:pPr>
    </w:p>
    <w:p w:rsidR="005C2F6A" w:rsidRPr="008B1752" w:rsidRDefault="005C2F6A" w:rsidP="003816AE">
      <w:pPr>
        <w:spacing w:before="0" w:after="0"/>
        <w:jc w:val="both"/>
        <w:rPr>
          <w:noProof/>
          <w:lang w:val="it-IT"/>
        </w:rPr>
      </w:pPr>
    </w:p>
    <w:p w:rsidR="005C2F6A" w:rsidRPr="008B1752" w:rsidRDefault="005C2F6A" w:rsidP="003816AE">
      <w:pPr>
        <w:spacing w:before="0" w:after="0"/>
        <w:jc w:val="both"/>
        <w:rPr>
          <w:noProof/>
          <w:lang w:val="it-IT"/>
        </w:rPr>
      </w:pPr>
    </w:p>
    <w:p w:rsidR="005C2F6A" w:rsidRPr="008B1752" w:rsidRDefault="005C2F6A" w:rsidP="003816AE">
      <w:pPr>
        <w:spacing w:before="0" w:after="0"/>
        <w:jc w:val="both"/>
        <w:rPr>
          <w:noProof/>
          <w:lang w:val="it-IT"/>
        </w:rPr>
      </w:pPr>
    </w:p>
    <w:p w:rsidR="005C2F6A" w:rsidRPr="008B1752" w:rsidRDefault="005C2F6A" w:rsidP="003816AE">
      <w:pPr>
        <w:spacing w:before="0" w:after="0"/>
        <w:jc w:val="both"/>
        <w:rPr>
          <w:noProof/>
          <w:lang w:val="it-IT"/>
        </w:rPr>
      </w:pPr>
    </w:p>
    <w:p w:rsidR="00AB6AB5" w:rsidRPr="00774483" w:rsidRDefault="00AB6AB5" w:rsidP="004319C3">
      <w:pPr>
        <w:suppressAutoHyphens/>
        <w:autoSpaceDN w:val="0"/>
        <w:spacing w:before="0" w:after="0"/>
        <w:ind w:right="180"/>
        <w:jc w:val="both"/>
        <w:textAlignment w:val="baseline"/>
        <w:rPr>
          <w:rFonts w:asciiTheme="minorHAnsi" w:eastAsia="Times New Roman" w:hAnsiTheme="minorHAnsi" w:cstheme="minorHAnsi"/>
          <w:b/>
          <w:noProof/>
          <w:color w:val="000000"/>
          <w:sz w:val="22"/>
        </w:rPr>
      </w:pPr>
    </w:p>
    <w:p w:rsidR="00BF1681" w:rsidRPr="00774483" w:rsidRDefault="00BF1681" w:rsidP="004319C3">
      <w:pPr>
        <w:suppressAutoHyphens/>
        <w:autoSpaceDE w:val="0"/>
        <w:autoSpaceDN w:val="0"/>
        <w:spacing w:before="0" w:after="0"/>
        <w:jc w:val="both"/>
        <w:textAlignment w:val="baseline"/>
        <w:rPr>
          <w:rFonts w:asciiTheme="minorHAnsi" w:eastAsia="Calibri" w:hAnsiTheme="minorHAnsi" w:cstheme="minorHAnsi"/>
          <w:iCs/>
          <w:noProof/>
          <w:color w:val="4B4B4B"/>
          <w:sz w:val="22"/>
          <w:lang w:eastAsia="en-GB"/>
        </w:rPr>
      </w:pPr>
    </w:p>
    <w:p w:rsidR="00BF1681" w:rsidRPr="00774483" w:rsidRDefault="00BF1681" w:rsidP="004319C3">
      <w:pPr>
        <w:suppressAutoHyphens/>
        <w:autoSpaceDE w:val="0"/>
        <w:autoSpaceDN w:val="0"/>
        <w:spacing w:before="0" w:after="0"/>
        <w:jc w:val="both"/>
        <w:textAlignment w:val="baseline"/>
        <w:rPr>
          <w:rFonts w:asciiTheme="minorHAnsi" w:eastAsiaTheme="majorEastAsia" w:hAnsiTheme="minorHAnsi" w:cstheme="minorHAnsi"/>
          <w:caps/>
          <w:noProof/>
          <w:color w:val="F8AC2D" w:themeColor="accent1"/>
          <w:sz w:val="22"/>
          <w:lang w:eastAsia="en-GB"/>
        </w:rPr>
      </w:pPr>
    </w:p>
    <w:p w:rsidR="001C120D" w:rsidRPr="00774483" w:rsidRDefault="001C120D" w:rsidP="004319C3">
      <w:pPr>
        <w:suppressAutoHyphens/>
        <w:autoSpaceDE w:val="0"/>
        <w:autoSpaceDN w:val="0"/>
        <w:spacing w:before="0" w:after="0"/>
        <w:jc w:val="both"/>
        <w:textAlignment w:val="baseline"/>
        <w:rPr>
          <w:rFonts w:asciiTheme="minorHAnsi" w:eastAsiaTheme="majorEastAsia" w:hAnsiTheme="minorHAnsi" w:cstheme="minorHAnsi"/>
          <w:caps/>
          <w:noProof/>
          <w:color w:val="F8AC2D" w:themeColor="accent1"/>
          <w:sz w:val="22"/>
          <w:lang w:eastAsia="en-GB"/>
        </w:rPr>
      </w:pPr>
    </w:p>
    <w:sectPr w:rsidR="001C120D" w:rsidRPr="00774483" w:rsidSect="00AD73C4">
      <w:headerReference w:type="default" r:id="rId12"/>
      <w:footerReference w:type="default" r:id="rId13"/>
      <w:type w:val="continuous"/>
      <w:pgSz w:w="11906" w:h="16838"/>
      <w:pgMar w:top="1276" w:right="1440" w:bottom="1134" w:left="1440" w:header="708" w:footer="18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443" w:rsidRDefault="00F72443" w:rsidP="007C68E7">
      <w:pPr>
        <w:spacing w:before="0" w:after="0" w:line="240" w:lineRule="auto"/>
      </w:pPr>
      <w:r>
        <w:separator/>
      </w:r>
    </w:p>
  </w:endnote>
  <w:endnote w:type="continuationSeparator" w:id="0">
    <w:p w:rsidR="00F72443" w:rsidRDefault="00F72443" w:rsidP="007C68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aux Next Regular">
    <w:altName w:val="Calibri"/>
    <w:panose1 w:val="00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Aaux Next Bold">
    <w:altName w:val="Calibri"/>
    <w:panose1 w:val="00000000000000000000"/>
    <w:charset w:val="00"/>
    <w:family w:val="modern"/>
    <w:notTrueType/>
    <w:pitch w:val="variable"/>
    <w:sig w:usb0="A000006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utura Bk BT">
    <w:altName w:val="Segoe UI"/>
    <w:charset w:val="00"/>
    <w:family w:val="swiss"/>
    <w:pitch w:val="variable"/>
    <w:sig w:usb0="800008EF" w:usb1="1000204A" w:usb2="00000000" w:usb3="00000000" w:csb0="000001F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8477767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:rsidR="005B7286" w:rsidRPr="007C68E7" w:rsidRDefault="00DF1415" w:rsidP="007C68E7">
        <w:pPr>
          <w:pStyle w:val="Pidipagina"/>
          <w:rPr>
            <w:color w:val="FFFFFF" w:themeColor="background1"/>
          </w:rPr>
        </w:pPr>
        <w:r w:rsidRPr="00DF1415">
          <w:rPr>
            <w:noProof/>
            <w:lang w:eastAsia="en-GB"/>
          </w:rPr>
          <w:pict>
            <v:rect id="Rectangle 12" o:spid="_x0000_s4099" style="position:absolute;margin-left:.75pt;margin-top:-.45pt;width:594pt;height:51pt;z-index:251660286;visibility:visible;mso-position-horizontal-relative:page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" fillcolor="#0070c0" stroked="f" strokeweight="1pt">
              <w10:wrap anchorx="page"/>
            </v:rect>
          </w:pict>
        </w:r>
        <w:r w:rsidRPr="00DF1415">
          <w:rPr>
            <w:noProof/>
            <w:lang w:eastAsia="en-GB"/>
          </w:rPr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4098" type="#_x0000_t202" style="position:absolute;margin-left:115pt;margin-top:8.55pt;width:221.25pt;height:31.5pt;z-index:251678720;visibility:visible;mso-position-horizontal-relative:margin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" filled="f" stroked="f" strokeweight=".5pt">
              <v:textbox>
                <w:txbxContent>
                  <w:p w:rsidR="005B7286" w:rsidRPr="00D452FD" w:rsidRDefault="005B7286" w:rsidP="00D452FD">
                    <w:pPr>
                      <w:jc w:val="center"/>
                      <w:rPr>
                        <w:color w:val="FFFFFF" w:themeColor="background1"/>
                      </w:rPr>
                    </w:pPr>
                    <w:r w:rsidRPr="00D452FD">
                      <w:rPr>
                        <w:color w:val="FFFFFF" w:themeColor="background1"/>
                      </w:rPr>
                      <w:t>COLLIERS INTERNATIONAL</w:t>
                    </w:r>
                  </w:p>
                </w:txbxContent>
              </v:textbox>
              <w10:wrap anchorx="margin"/>
            </v:shape>
          </w:pict>
        </w:r>
        <w:r w:rsidRPr="00DF1415">
          <w:rPr>
            <w:noProof/>
            <w:color w:val="FFFFFF" w:themeColor="background1"/>
            <w:lang w:eastAsia="en-GB"/>
          </w:rPr>
          <w:pict>
            <v:line id="Straight Connector 23" o:spid="_x0000_s4097" style="position:absolute;z-index:251677696;visibility:visible;mso-position-horizontal-relative:margin;mso-position-vertical-relative:text;mso-width-relative:margin;mso-height-relative:margin" from="0,10.1pt" to="453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" strokecolor="#f8ac2d [3204]" strokeweight=".5pt">
              <v:stroke joinstyle="miter"/>
              <w10:wrap anchorx="margin"/>
            </v:line>
          </w:pict>
        </w:r>
        <w:r w:rsidR="005B7286">
          <w:tab/>
        </w:r>
        <w:r w:rsidR="005B7286">
          <w:tab/>
        </w:r>
        <w:r w:rsidRPr="007C68E7">
          <w:rPr>
            <w:color w:val="FFFFFF" w:themeColor="background1"/>
          </w:rPr>
          <w:fldChar w:fldCharType="begin"/>
        </w:r>
        <w:r w:rsidR="005B7286" w:rsidRPr="007C68E7">
          <w:rPr>
            <w:color w:val="FFFFFF" w:themeColor="background1"/>
          </w:rPr>
          <w:instrText xml:space="preserve"> PAGE   \* MERGEFORMAT </w:instrText>
        </w:r>
        <w:r w:rsidRPr="007C68E7">
          <w:rPr>
            <w:color w:val="FFFFFF" w:themeColor="background1"/>
          </w:rPr>
          <w:fldChar w:fldCharType="separate"/>
        </w:r>
        <w:r w:rsidR="00902FC8">
          <w:rPr>
            <w:noProof/>
            <w:color w:val="FFFFFF" w:themeColor="background1"/>
          </w:rPr>
          <w:t>1</w:t>
        </w:r>
        <w:r w:rsidRPr="007C68E7">
          <w:rPr>
            <w:noProof/>
            <w:color w:val="FFFFFF" w:themeColor="background1"/>
          </w:rPr>
          <w:fldChar w:fldCharType="end"/>
        </w:r>
      </w:p>
    </w:sdtContent>
  </w:sdt>
  <w:p w:rsidR="005B7286" w:rsidRDefault="005B728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443" w:rsidRDefault="00F72443" w:rsidP="007C68E7">
      <w:pPr>
        <w:spacing w:before="0" w:after="0" w:line="240" w:lineRule="auto"/>
      </w:pPr>
      <w:r>
        <w:separator/>
      </w:r>
    </w:p>
  </w:footnote>
  <w:footnote w:type="continuationSeparator" w:id="0">
    <w:p w:rsidR="00F72443" w:rsidRDefault="00F72443" w:rsidP="007C68E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286" w:rsidRPr="00AE3437" w:rsidRDefault="00DF1415">
    <w:pPr>
      <w:pStyle w:val="Intestazione"/>
    </w:pPr>
    <w:r w:rsidRPr="00DF1415"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102" type="#_x0000_t202" style="position:absolute;margin-left:42.1pt;margin-top:-26.55pt;width:364.75pt;height:31.5pt;z-index:25167564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" filled="f" stroked="f" strokeweight=".5pt">
          <v:textbox>
            <w:txbxContent>
              <w:p w:rsidR="005B7286" w:rsidRPr="00D452FD" w:rsidRDefault="004319C3" w:rsidP="00D452FD">
                <w:pPr>
                  <w:jc w:val="center"/>
                  <w:rPr>
                    <w:color w:val="FFFFFF" w:themeColor="background1"/>
                  </w:rPr>
                </w:pPr>
                <w:r>
                  <w:rPr>
                    <w:color w:val="FFFFFF" w:themeColor="background1"/>
                  </w:rPr>
                  <w:t>COMUNICATO STAMPA</w:t>
                </w:r>
              </w:p>
            </w:txbxContent>
          </v:textbox>
          <w10:wrap anchorx="margin"/>
        </v:shape>
      </w:pict>
    </w:r>
    <w:r w:rsidRPr="00DF1415">
      <w:rPr>
        <w:noProof/>
        <w:lang w:eastAsia="en-GB"/>
      </w:rPr>
      <w:pict>
        <v:rect id="Rectangle 9" o:spid="_x0000_s4101" style="position:absolute;margin-left:0;margin-top:-34.65pt;width:594pt;height:48pt;z-index:251661311;visibility:visible;mso-position-horizontal:lef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" fillcolor="#0070c0" stroked="f" strokeweight="1pt">
          <w10:wrap anchorx="page"/>
        </v:rect>
      </w:pict>
    </w:r>
    <w:r w:rsidRPr="00DF1415">
      <w:rPr>
        <w:noProof/>
        <w:lang w:eastAsia="en-GB"/>
      </w:rPr>
      <w:pict>
        <v:line id="Straight Connector 11" o:spid="_x0000_s4100" style="position:absolute;flip:y;z-index:251676672;visibility:visible;mso-position-horizontal:center;mso-position-horizontal-relative:margin;mso-width-relative:margin;mso-height-relative:margin" from="0,2.85pt" to="453.5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" strokecolor="#f8ac2d [3204]" strokeweight=".5pt">
          <v:stroke joinstyle="miter"/>
          <w10:wrap anchorx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7CEA"/>
    <w:multiLevelType w:val="hybridMultilevel"/>
    <w:tmpl w:val="58E8332E"/>
    <w:lvl w:ilvl="0" w:tplc="B9F6B16E">
      <w:start w:val="1"/>
      <w:numFmt w:val="bullet"/>
      <w:pStyle w:val="CV06--Bulletlist"/>
      <w:lvlText w:val=""/>
      <w:lvlJc w:val="left"/>
      <w:pPr>
        <w:ind w:left="360" w:hanging="360"/>
      </w:pPr>
      <w:rPr>
        <w:rFonts w:ascii="Wingdings" w:hAnsi="Wingdings" w:hint="default"/>
        <w:color w:val="F8AC2D" w:themeColor="accent1"/>
        <w:position w:val="3"/>
        <w:sz w:val="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E1E5F"/>
    <w:multiLevelType w:val="hybridMultilevel"/>
    <w:tmpl w:val="D6E4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106A1"/>
    <w:multiLevelType w:val="hybridMultilevel"/>
    <w:tmpl w:val="533C8600"/>
    <w:lvl w:ilvl="0" w:tplc="C9D206C0">
      <w:start w:val="1"/>
      <w:numFmt w:val="decimal"/>
      <w:pStyle w:val="Paragrafoelenco"/>
      <w:lvlText w:val="%1"/>
      <w:lvlJc w:val="left"/>
      <w:pPr>
        <w:ind w:left="1080" w:hanging="360"/>
      </w:pPr>
      <w:rPr>
        <w:rFonts w:ascii="Arial" w:hAnsi="Arial" w:hint="default"/>
        <w:b/>
        <w:i w:val="0"/>
        <w:color w:val="F8AC2D" w:themeColor="accent1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B31B6E"/>
    <w:multiLevelType w:val="multilevel"/>
    <w:tmpl w:val="BC5803CC"/>
    <w:lvl w:ilvl="0">
      <w:start w:val="1"/>
      <w:numFmt w:val="decimal"/>
      <w:pStyle w:val="C-NumberBullet"/>
      <w:lvlText w:val="%1."/>
      <w:lvlJc w:val="left"/>
      <w:pPr>
        <w:tabs>
          <w:tab w:val="num" w:pos="1431"/>
        </w:tabs>
        <w:ind w:left="1431" w:hanging="360"/>
      </w:pPr>
      <w:rPr>
        <w:color w:val="006A4D"/>
      </w:rPr>
    </w:lvl>
    <w:lvl w:ilvl="1">
      <w:start w:val="1"/>
      <w:numFmt w:val="lowerLetter"/>
      <w:pStyle w:val="C-SubNumberBullet"/>
      <w:lvlText w:val="%2."/>
      <w:lvlJc w:val="left"/>
      <w:pPr>
        <w:tabs>
          <w:tab w:val="num" w:pos="1751"/>
        </w:tabs>
        <w:ind w:left="1751" w:hanging="340"/>
      </w:pPr>
      <w:rPr>
        <w:color w:val="808080"/>
      </w:rPr>
    </w:lvl>
    <w:lvl w:ilvl="2">
      <w:start w:val="1"/>
      <w:numFmt w:val="lowerRoman"/>
      <w:pStyle w:val="C-SubSubNumberBullet"/>
      <w:lvlText w:val="%3."/>
      <w:lvlJc w:val="left"/>
      <w:pPr>
        <w:tabs>
          <w:tab w:val="num" w:pos="2151"/>
        </w:tabs>
        <w:ind w:left="2151" w:hanging="400"/>
      </w:pPr>
      <w:rPr>
        <w:color w:val="808080"/>
      </w:rPr>
    </w:lvl>
    <w:lvl w:ilvl="3">
      <w:start w:val="1"/>
      <w:numFmt w:val="decimal"/>
      <w:lvlText w:val="(%4)"/>
      <w:lvlJc w:val="left"/>
      <w:pPr>
        <w:tabs>
          <w:tab w:val="num" w:pos="2511"/>
        </w:tabs>
        <w:ind w:left="2511" w:hanging="360"/>
      </w:pPr>
    </w:lvl>
    <w:lvl w:ilvl="4">
      <w:start w:val="1"/>
      <w:numFmt w:val="lowerLetter"/>
      <w:lvlText w:val="(%5)"/>
      <w:lvlJc w:val="left"/>
      <w:pPr>
        <w:tabs>
          <w:tab w:val="num" w:pos="2871"/>
        </w:tabs>
        <w:ind w:left="2871" w:hanging="360"/>
      </w:pPr>
    </w:lvl>
    <w:lvl w:ilvl="5">
      <w:start w:val="1"/>
      <w:numFmt w:val="lowerRoman"/>
      <w:lvlText w:val="(%6)"/>
      <w:lvlJc w:val="left"/>
      <w:pPr>
        <w:tabs>
          <w:tab w:val="num" w:pos="3231"/>
        </w:tabs>
        <w:ind w:left="3231" w:hanging="360"/>
      </w:pPr>
    </w:lvl>
    <w:lvl w:ilvl="6">
      <w:start w:val="1"/>
      <w:numFmt w:val="decimal"/>
      <w:lvlText w:val="%7."/>
      <w:lvlJc w:val="left"/>
      <w:pPr>
        <w:tabs>
          <w:tab w:val="num" w:pos="3591"/>
        </w:tabs>
        <w:ind w:left="3591" w:hanging="360"/>
      </w:pPr>
    </w:lvl>
    <w:lvl w:ilvl="7">
      <w:start w:val="1"/>
      <w:numFmt w:val="lowerLetter"/>
      <w:lvlText w:val="%8."/>
      <w:lvlJc w:val="left"/>
      <w:pPr>
        <w:tabs>
          <w:tab w:val="num" w:pos="3951"/>
        </w:tabs>
        <w:ind w:left="3951" w:hanging="360"/>
      </w:pPr>
    </w:lvl>
    <w:lvl w:ilvl="8">
      <w:start w:val="1"/>
      <w:numFmt w:val="lowerRoman"/>
      <w:lvlText w:val="%9."/>
      <w:lvlJc w:val="left"/>
      <w:pPr>
        <w:tabs>
          <w:tab w:val="num" w:pos="4311"/>
        </w:tabs>
        <w:ind w:left="4311" w:hanging="360"/>
      </w:pPr>
    </w:lvl>
  </w:abstractNum>
  <w:abstractNum w:abstractNumId="4">
    <w:nsid w:val="5CB31162"/>
    <w:multiLevelType w:val="hybridMultilevel"/>
    <w:tmpl w:val="818EC230"/>
    <w:lvl w:ilvl="0" w:tplc="91C48A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F6BEB"/>
    <w:multiLevelType w:val="hybridMultilevel"/>
    <w:tmpl w:val="B6823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0B225E"/>
    <w:multiLevelType w:val="hybridMultilevel"/>
    <w:tmpl w:val="DF764C02"/>
    <w:lvl w:ilvl="0" w:tplc="38B03850">
      <w:numFmt w:val="bullet"/>
      <w:lvlText w:val="•"/>
      <w:lvlJc w:val="left"/>
      <w:pPr>
        <w:ind w:left="720" w:hanging="360"/>
      </w:pPr>
      <w:rPr>
        <w:rFonts w:ascii="Helvetica" w:eastAsiaTheme="minorHAnsi" w:hAnsi="Helvetica" w:cs="Helvetica" w:hint="default"/>
        <w:color w:val="232333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C68E7"/>
    <w:rsid w:val="00001700"/>
    <w:rsid w:val="00002B5A"/>
    <w:rsid w:val="00006F02"/>
    <w:rsid w:val="00012165"/>
    <w:rsid w:val="00012EB9"/>
    <w:rsid w:val="000173CF"/>
    <w:rsid w:val="000252CB"/>
    <w:rsid w:val="00027FA8"/>
    <w:rsid w:val="00031CFF"/>
    <w:rsid w:val="00045B50"/>
    <w:rsid w:val="0005355D"/>
    <w:rsid w:val="00057230"/>
    <w:rsid w:val="00057588"/>
    <w:rsid w:val="0006043A"/>
    <w:rsid w:val="00061001"/>
    <w:rsid w:val="00065CCC"/>
    <w:rsid w:val="00067631"/>
    <w:rsid w:val="000710CD"/>
    <w:rsid w:val="00073312"/>
    <w:rsid w:val="00073B81"/>
    <w:rsid w:val="00074E85"/>
    <w:rsid w:val="00075949"/>
    <w:rsid w:val="000761F4"/>
    <w:rsid w:val="00085134"/>
    <w:rsid w:val="0009175C"/>
    <w:rsid w:val="000A5302"/>
    <w:rsid w:val="000A775C"/>
    <w:rsid w:val="000B07E2"/>
    <w:rsid w:val="000B3099"/>
    <w:rsid w:val="000B3F90"/>
    <w:rsid w:val="000B563F"/>
    <w:rsid w:val="000B6C6E"/>
    <w:rsid w:val="000C4E3A"/>
    <w:rsid w:val="000C58B6"/>
    <w:rsid w:val="000D026F"/>
    <w:rsid w:val="000D14C8"/>
    <w:rsid w:val="000D395F"/>
    <w:rsid w:val="000E1968"/>
    <w:rsid w:val="000E233A"/>
    <w:rsid w:val="000E2B17"/>
    <w:rsid w:val="000E42A9"/>
    <w:rsid w:val="000F1F0E"/>
    <w:rsid w:val="000F3E6C"/>
    <w:rsid w:val="000F4293"/>
    <w:rsid w:val="000F600D"/>
    <w:rsid w:val="000F61E0"/>
    <w:rsid w:val="00101163"/>
    <w:rsid w:val="0010716D"/>
    <w:rsid w:val="00107750"/>
    <w:rsid w:val="0011011D"/>
    <w:rsid w:val="00112C0E"/>
    <w:rsid w:val="001158B2"/>
    <w:rsid w:val="00115DF6"/>
    <w:rsid w:val="00120050"/>
    <w:rsid w:val="00124099"/>
    <w:rsid w:val="00126400"/>
    <w:rsid w:val="00126D45"/>
    <w:rsid w:val="00130B19"/>
    <w:rsid w:val="00134763"/>
    <w:rsid w:val="00134F4A"/>
    <w:rsid w:val="0014489B"/>
    <w:rsid w:val="00147534"/>
    <w:rsid w:val="001478BB"/>
    <w:rsid w:val="001522F2"/>
    <w:rsid w:val="00154417"/>
    <w:rsid w:val="00156862"/>
    <w:rsid w:val="00166F38"/>
    <w:rsid w:val="001672C1"/>
    <w:rsid w:val="00174963"/>
    <w:rsid w:val="001767C4"/>
    <w:rsid w:val="00181C88"/>
    <w:rsid w:val="0018576E"/>
    <w:rsid w:val="00186012"/>
    <w:rsid w:val="001954A0"/>
    <w:rsid w:val="00196180"/>
    <w:rsid w:val="001967E7"/>
    <w:rsid w:val="001A1B5E"/>
    <w:rsid w:val="001A331F"/>
    <w:rsid w:val="001A3AA9"/>
    <w:rsid w:val="001A57FB"/>
    <w:rsid w:val="001A6C29"/>
    <w:rsid w:val="001B166F"/>
    <w:rsid w:val="001B3468"/>
    <w:rsid w:val="001B4B51"/>
    <w:rsid w:val="001B7400"/>
    <w:rsid w:val="001B7812"/>
    <w:rsid w:val="001C08F6"/>
    <w:rsid w:val="001C0ACD"/>
    <w:rsid w:val="001C120D"/>
    <w:rsid w:val="001C1E9C"/>
    <w:rsid w:val="001C3526"/>
    <w:rsid w:val="001D1887"/>
    <w:rsid w:val="001D525B"/>
    <w:rsid w:val="001D6DEF"/>
    <w:rsid w:val="001D7162"/>
    <w:rsid w:val="001E0F35"/>
    <w:rsid w:val="001E2C21"/>
    <w:rsid w:val="001F329A"/>
    <w:rsid w:val="001F3A8A"/>
    <w:rsid w:val="00200B2D"/>
    <w:rsid w:val="002010C2"/>
    <w:rsid w:val="002028DD"/>
    <w:rsid w:val="002111FA"/>
    <w:rsid w:val="00213077"/>
    <w:rsid w:val="00234314"/>
    <w:rsid w:val="002417BF"/>
    <w:rsid w:val="00241908"/>
    <w:rsid w:val="00242695"/>
    <w:rsid w:val="00242F79"/>
    <w:rsid w:val="00244EDB"/>
    <w:rsid w:val="00245030"/>
    <w:rsid w:val="00245371"/>
    <w:rsid w:val="00245755"/>
    <w:rsid w:val="002512D0"/>
    <w:rsid w:val="00262C4E"/>
    <w:rsid w:val="002634B5"/>
    <w:rsid w:val="00267420"/>
    <w:rsid w:val="00273E37"/>
    <w:rsid w:val="00274B4A"/>
    <w:rsid w:val="002831AB"/>
    <w:rsid w:val="002843AC"/>
    <w:rsid w:val="002850A6"/>
    <w:rsid w:val="0028654F"/>
    <w:rsid w:val="00287C97"/>
    <w:rsid w:val="00291771"/>
    <w:rsid w:val="00296ABC"/>
    <w:rsid w:val="002A02ED"/>
    <w:rsid w:val="002A1E33"/>
    <w:rsid w:val="002A414E"/>
    <w:rsid w:val="002A76F6"/>
    <w:rsid w:val="002B10FF"/>
    <w:rsid w:val="002B12C1"/>
    <w:rsid w:val="002B21B8"/>
    <w:rsid w:val="002B7058"/>
    <w:rsid w:val="002B7D06"/>
    <w:rsid w:val="002C1AD3"/>
    <w:rsid w:val="002C73C4"/>
    <w:rsid w:val="002D3837"/>
    <w:rsid w:val="002D389C"/>
    <w:rsid w:val="002D4C0A"/>
    <w:rsid w:val="002D51ED"/>
    <w:rsid w:val="002E13D0"/>
    <w:rsid w:val="002E256A"/>
    <w:rsid w:val="002E2916"/>
    <w:rsid w:val="002F6BD3"/>
    <w:rsid w:val="002F7E6E"/>
    <w:rsid w:val="0030212D"/>
    <w:rsid w:val="003031F8"/>
    <w:rsid w:val="0030600F"/>
    <w:rsid w:val="00306C76"/>
    <w:rsid w:val="00307E8A"/>
    <w:rsid w:val="003100E5"/>
    <w:rsid w:val="00316A40"/>
    <w:rsid w:val="00317BCF"/>
    <w:rsid w:val="0032696E"/>
    <w:rsid w:val="003277DA"/>
    <w:rsid w:val="003337CB"/>
    <w:rsid w:val="003341F2"/>
    <w:rsid w:val="00335E89"/>
    <w:rsid w:val="003373EB"/>
    <w:rsid w:val="00337E6A"/>
    <w:rsid w:val="003460A5"/>
    <w:rsid w:val="00353195"/>
    <w:rsid w:val="00354E23"/>
    <w:rsid w:val="003572EE"/>
    <w:rsid w:val="00360283"/>
    <w:rsid w:val="003602C3"/>
    <w:rsid w:val="00370896"/>
    <w:rsid w:val="00380F3A"/>
    <w:rsid w:val="003816AE"/>
    <w:rsid w:val="00381BDA"/>
    <w:rsid w:val="00384F97"/>
    <w:rsid w:val="00387F1D"/>
    <w:rsid w:val="00392654"/>
    <w:rsid w:val="00396DDB"/>
    <w:rsid w:val="00397E0D"/>
    <w:rsid w:val="003A49D5"/>
    <w:rsid w:val="003B2A23"/>
    <w:rsid w:val="003B630D"/>
    <w:rsid w:val="003B7B55"/>
    <w:rsid w:val="003B7B76"/>
    <w:rsid w:val="003C0256"/>
    <w:rsid w:val="003C0503"/>
    <w:rsid w:val="003D1C5E"/>
    <w:rsid w:val="003D242D"/>
    <w:rsid w:val="003D2B61"/>
    <w:rsid w:val="003D33AA"/>
    <w:rsid w:val="003D65C1"/>
    <w:rsid w:val="003E5859"/>
    <w:rsid w:val="003F7644"/>
    <w:rsid w:val="003F7C7E"/>
    <w:rsid w:val="00412A8C"/>
    <w:rsid w:val="004167AD"/>
    <w:rsid w:val="004172D8"/>
    <w:rsid w:val="0042514E"/>
    <w:rsid w:val="004319C3"/>
    <w:rsid w:val="004361BF"/>
    <w:rsid w:val="00441CD1"/>
    <w:rsid w:val="0044609E"/>
    <w:rsid w:val="00446E7C"/>
    <w:rsid w:val="00451C9D"/>
    <w:rsid w:val="00453920"/>
    <w:rsid w:val="00457A05"/>
    <w:rsid w:val="00460AFC"/>
    <w:rsid w:val="00464567"/>
    <w:rsid w:val="004647D5"/>
    <w:rsid w:val="004740AB"/>
    <w:rsid w:val="004763C9"/>
    <w:rsid w:val="00477532"/>
    <w:rsid w:val="00484710"/>
    <w:rsid w:val="00484810"/>
    <w:rsid w:val="00490782"/>
    <w:rsid w:val="00490793"/>
    <w:rsid w:val="004A0419"/>
    <w:rsid w:val="004A606B"/>
    <w:rsid w:val="004A7C7B"/>
    <w:rsid w:val="004B0055"/>
    <w:rsid w:val="004B38D5"/>
    <w:rsid w:val="004B7767"/>
    <w:rsid w:val="004C6347"/>
    <w:rsid w:val="004D1E20"/>
    <w:rsid w:val="004D3493"/>
    <w:rsid w:val="004E1AA9"/>
    <w:rsid w:val="004E2AE7"/>
    <w:rsid w:val="004E2B31"/>
    <w:rsid w:val="004E73B4"/>
    <w:rsid w:val="004F21CA"/>
    <w:rsid w:val="004F3614"/>
    <w:rsid w:val="004F7BD5"/>
    <w:rsid w:val="004F7F88"/>
    <w:rsid w:val="00501F4A"/>
    <w:rsid w:val="005048C6"/>
    <w:rsid w:val="0050672D"/>
    <w:rsid w:val="005161D7"/>
    <w:rsid w:val="0051700E"/>
    <w:rsid w:val="005319EA"/>
    <w:rsid w:val="0053314E"/>
    <w:rsid w:val="005364C7"/>
    <w:rsid w:val="00542247"/>
    <w:rsid w:val="0054606D"/>
    <w:rsid w:val="005465AF"/>
    <w:rsid w:val="0054775E"/>
    <w:rsid w:val="00552096"/>
    <w:rsid w:val="00552CFA"/>
    <w:rsid w:val="00552DEC"/>
    <w:rsid w:val="00555F08"/>
    <w:rsid w:val="005568ED"/>
    <w:rsid w:val="00556E3B"/>
    <w:rsid w:val="00562A5F"/>
    <w:rsid w:val="005669DD"/>
    <w:rsid w:val="0057543A"/>
    <w:rsid w:val="005770A5"/>
    <w:rsid w:val="00580A78"/>
    <w:rsid w:val="00580DE1"/>
    <w:rsid w:val="005845D2"/>
    <w:rsid w:val="00584774"/>
    <w:rsid w:val="0058499E"/>
    <w:rsid w:val="005849A0"/>
    <w:rsid w:val="00593AB7"/>
    <w:rsid w:val="00594E7D"/>
    <w:rsid w:val="0059710F"/>
    <w:rsid w:val="005A2A24"/>
    <w:rsid w:val="005A6877"/>
    <w:rsid w:val="005A6961"/>
    <w:rsid w:val="005B24A4"/>
    <w:rsid w:val="005B29B6"/>
    <w:rsid w:val="005B7286"/>
    <w:rsid w:val="005C0F82"/>
    <w:rsid w:val="005C1AC5"/>
    <w:rsid w:val="005C1DCA"/>
    <w:rsid w:val="005C2204"/>
    <w:rsid w:val="005C222B"/>
    <w:rsid w:val="005C2365"/>
    <w:rsid w:val="005C2F6A"/>
    <w:rsid w:val="005C60F2"/>
    <w:rsid w:val="005C78BA"/>
    <w:rsid w:val="005D1CE5"/>
    <w:rsid w:val="005D278E"/>
    <w:rsid w:val="005D2B0A"/>
    <w:rsid w:val="005D3884"/>
    <w:rsid w:val="005D507F"/>
    <w:rsid w:val="005D5121"/>
    <w:rsid w:val="005D7A28"/>
    <w:rsid w:val="005E29A2"/>
    <w:rsid w:val="005E515B"/>
    <w:rsid w:val="005F2B9F"/>
    <w:rsid w:val="005F67ED"/>
    <w:rsid w:val="00600EEE"/>
    <w:rsid w:val="00603F27"/>
    <w:rsid w:val="00605E80"/>
    <w:rsid w:val="006068C5"/>
    <w:rsid w:val="0061238B"/>
    <w:rsid w:val="006149E5"/>
    <w:rsid w:val="00614DCA"/>
    <w:rsid w:val="00615640"/>
    <w:rsid w:val="00615875"/>
    <w:rsid w:val="006171EE"/>
    <w:rsid w:val="00621D1A"/>
    <w:rsid w:val="00626434"/>
    <w:rsid w:val="0063072E"/>
    <w:rsid w:val="00630902"/>
    <w:rsid w:val="00631B16"/>
    <w:rsid w:val="00632108"/>
    <w:rsid w:val="006355C0"/>
    <w:rsid w:val="006368DE"/>
    <w:rsid w:val="00636909"/>
    <w:rsid w:val="00650198"/>
    <w:rsid w:val="00652E2C"/>
    <w:rsid w:val="006550B9"/>
    <w:rsid w:val="00661807"/>
    <w:rsid w:val="0066334B"/>
    <w:rsid w:val="00665BC8"/>
    <w:rsid w:val="00671B78"/>
    <w:rsid w:val="006728DD"/>
    <w:rsid w:val="00672D47"/>
    <w:rsid w:val="00677648"/>
    <w:rsid w:val="00683376"/>
    <w:rsid w:val="0068652B"/>
    <w:rsid w:val="0068747D"/>
    <w:rsid w:val="00694D6C"/>
    <w:rsid w:val="00696A8F"/>
    <w:rsid w:val="00697A4F"/>
    <w:rsid w:val="006A3FE0"/>
    <w:rsid w:val="006B0176"/>
    <w:rsid w:val="006C2723"/>
    <w:rsid w:val="006C571A"/>
    <w:rsid w:val="006D0204"/>
    <w:rsid w:val="006D65A3"/>
    <w:rsid w:val="006D6C1E"/>
    <w:rsid w:val="006E1DC3"/>
    <w:rsid w:val="006E2D10"/>
    <w:rsid w:val="006E3132"/>
    <w:rsid w:val="006E4E77"/>
    <w:rsid w:val="006F779C"/>
    <w:rsid w:val="006F7BAD"/>
    <w:rsid w:val="006F7BB0"/>
    <w:rsid w:val="007027C6"/>
    <w:rsid w:val="0070598A"/>
    <w:rsid w:val="0071476A"/>
    <w:rsid w:val="00716C2B"/>
    <w:rsid w:val="00723A62"/>
    <w:rsid w:val="00726BBC"/>
    <w:rsid w:val="007301EC"/>
    <w:rsid w:val="007303B7"/>
    <w:rsid w:val="007324E2"/>
    <w:rsid w:val="007325E0"/>
    <w:rsid w:val="00733106"/>
    <w:rsid w:val="0073456A"/>
    <w:rsid w:val="007369CA"/>
    <w:rsid w:val="007375A1"/>
    <w:rsid w:val="0074126C"/>
    <w:rsid w:val="00743CCF"/>
    <w:rsid w:val="00751DE2"/>
    <w:rsid w:val="007525FE"/>
    <w:rsid w:val="00761013"/>
    <w:rsid w:val="00767D33"/>
    <w:rsid w:val="007726B4"/>
    <w:rsid w:val="00774483"/>
    <w:rsid w:val="0078271B"/>
    <w:rsid w:val="00783DF8"/>
    <w:rsid w:val="007846E4"/>
    <w:rsid w:val="00787F1C"/>
    <w:rsid w:val="00791CC3"/>
    <w:rsid w:val="00794E39"/>
    <w:rsid w:val="00796F3C"/>
    <w:rsid w:val="00797FF9"/>
    <w:rsid w:val="007A2396"/>
    <w:rsid w:val="007A39C4"/>
    <w:rsid w:val="007A60FA"/>
    <w:rsid w:val="007B75FA"/>
    <w:rsid w:val="007B7B36"/>
    <w:rsid w:val="007C31B7"/>
    <w:rsid w:val="007C68E7"/>
    <w:rsid w:val="007C7C23"/>
    <w:rsid w:val="007D19B6"/>
    <w:rsid w:val="007D3338"/>
    <w:rsid w:val="007D3FFF"/>
    <w:rsid w:val="007D4856"/>
    <w:rsid w:val="007D4911"/>
    <w:rsid w:val="007D53C2"/>
    <w:rsid w:val="007E0A01"/>
    <w:rsid w:val="007E3D74"/>
    <w:rsid w:val="007E52C0"/>
    <w:rsid w:val="007F2348"/>
    <w:rsid w:val="007F5D48"/>
    <w:rsid w:val="00800552"/>
    <w:rsid w:val="008010AF"/>
    <w:rsid w:val="008107E8"/>
    <w:rsid w:val="0081286A"/>
    <w:rsid w:val="00817B8B"/>
    <w:rsid w:val="00832642"/>
    <w:rsid w:val="008335B7"/>
    <w:rsid w:val="008361E2"/>
    <w:rsid w:val="008411EA"/>
    <w:rsid w:val="0084322D"/>
    <w:rsid w:val="00845EAE"/>
    <w:rsid w:val="00847421"/>
    <w:rsid w:val="008475B0"/>
    <w:rsid w:val="00850AD7"/>
    <w:rsid w:val="00852C45"/>
    <w:rsid w:val="00866802"/>
    <w:rsid w:val="00870DF4"/>
    <w:rsid w:val="008715D1"/>
    <w:rsid w:val="00871B4B"/>
    <w:rsid w:val="00874CC1"/>
    <w:rsid w:val="008762A7"/>
    <w:rsid w:val="00876704"/>
    <w:rsid w:val="00876D64"/>
    <w:rsid w:val="00883BEB"/>
    <w:rsid w:val="00896368"/>
    <w:rsid w:val="008A0997"/>
    <w:rsid w:val="008A0A10"/>
    <w:rsid w:val="008A274E"/>
    <w:rsid w:val="008A3C27"/>
    <w:rsid w:val="008A5EFF"/>
    <w:rsid w:val="008A656A"/>
    <w:rsid w:val="008B1752"/>
    <w:rsid w:val="008B3803"/>
    <w:rsid w:val="008B482C"/>
    <w:rsid w:val="008C06EF"/>
    <w:rsid w:val="008C5886"/>
    <w:rsid w:val="008C708B"/>
    <w:rsid w:val="008C777D"/>
    <w:rsid w:val="008D35E5"/>
    <w:rsid w:val="008E26B9"/>
    <w:rsid w:val="008E419C"/>
    <w:rsid w:val="008E7252"/>
    <w:rsid w:val="008E7D25"/>
    <w:rsid w:val="008F0098"/>
    <w:rsid w:val="008F1413"/>
    <w:rsid w:val="008F3D89"/>
    <w:rsid w:val="0090001F"/>
    <w:rsid w:val="00900FC6"/>
    <w:rsid w:val="00902FC8"/>
    <w:rsid w:val="00904445"/>
    <w:rsid w:val="00907454"/>
    <w:rsid w:val="00913A7C"/>
    <w:rsid w:val="00914B2C"/>
    <w:rsid w:val="00917D4F"/>
    <w:rsid w:val="00922B25"/>
    <w:rsid w:val="00926120"/>
    <w:rsid w:val="00926A37"/>
    <w:rsid w:val="009313F0"/>
    <w:rsid w:val="00934A71"/>
    <w:rsid w:val="00934D1C"/>
    <w:rsid w:val="00936496"/>
    <w:rsid w:val="009365F5"/>
    <w:rsid w:val="00940606"/>
    <w:rsid w:val="009461E1"/>
    <w:rsid w:val="00953B68"/>
    <w:rsid w:val="0096337C"/>
    <w:rsid w:val="00965301"/>
    <w:rsid w:val="009812EE"/>
    <w:rsid w:val="009839BC"/>
    <w:rsid w:val="0098591D"/>
    <w:rsid w:val="009867AD"/>
    <w:rsid w:val="00986F79"/>
    <w:rsid w:val="00990E69"/>
    <w:rsid w:val="00993B8D"/>
    <w:rsid w:val="00994780"/>
    <w:rsid w:val="009957E8"/>
    <w:rsid w:val="009A1089"/>
    <w:rsid w:val="009A51C4"/>
    <w:rsid w:val="009C01F3"/>
    <w:rsid w:val="009C1BDD"/>
    <w:rsid w:val="009C7802"/>
    <w:rsid w:val="009D0E01"/>
    <w:rsid w:val="009D1BC7"/>
    <w:rsid w:val="009D2905"/>
    <w:rsid w:val="009E083C"/>
    <w:rsid w:val="009E5544"/>
    <w:rsid w:val="009E655D"/>
    <w:rsid w:val="009F3B83"/>
    <w:rsid w:val="009F579F"/>
    <w:rsid w:val="009F6A8E"/>
    <w:rsid w:val="009F6DF1"/>
    <w:rsid w:val="00A01FDC"/>
    <w:rsid w:val="00A06E7F"/>
    <w:rsid w:val="00A0784E"/>
    <w:rsid w:val="00A12F8D"/>
    <w:rsid w:val="00A13F99"/>
    <w:rsid w:val="00A22021"/>
    <w:rsid w:val="00A230D1"/>
    <w:rsid w:val="00A30009"/>
    <w:rsid w:val="00A3030F"/>
    <w:rsid w:val="00A34C7D"/>
    <w:rsid w:val="00A36624"/>
    <w:rsid w:val="00A37AAD"/>
    <w:rsid w:val="00A40C2D"/>
    <w:rsid w:val="00A50061"/>
    <w:rsid w:val="00A535B1"/>
    <w:rsid w:val="00A56507"/>
    <w:rsid w:val="00A60C06"/>
    <w:rsid w:val="00A62F56"/>
    <w:rsid w:val="00A667AC"/>
    <w:rsid w:val="00A67B6A"/>
    <w:rsid w:val="00A67DCD"/>
    <w:rsid w:val="00A75AAD"/>
    <w:rsid w:val="00A80844"/>
    <w:rsid w:val="00A8096F"/>
    <w:rsid w:val="00A821BC"/>
    <w:rsid w:val="00A854B5"/>
    <w:rsid w:val="00A871F0"/>
    <w:rsid w:val="00A87CC8"/>
    <w:rsid w:val="00A900BE"/>
    <w:rsid w:val="00A906FF"/>
    <w:rsid w:val="00A9190B"/>
    <w:rsid w:val="00A91963"/>
    <w:rsid w:val="00A973AD"/>
    <w:rsid w:val="00A9765F"/>
    <w:rsid w:val="00A97BF2"/>
    <w:rsid w:val="00AA7522"/>
    <w:rsid w:val="00AB1732"/>
    <w:rsid w:val="00AB23FC"/>
    <w:rsid w:val="00AB5B7E"/>
    <w:rsid w:val="00AB6AB5"/>
    <w:rsid w:val="00AB792D"/>
    <w:rsid w:val="00AD27BE"/>
    <w:rsid w:val="00AD58EA"/>
    <w:rsid w:val="00AD5BD7"/>
    <w:rsid w:val="00AD5FB5"/>
    <w:rsid w:val="00AD73C4"/>
    <w:rsid w:val="00AE3437"/>
    <w:rsid w:val="00AE4925"/>
    <w:rsid w:val="00AE4B1B"/>
    <w:rsid w:val="00AE7F36"/>
    <w:rsid w:val="00AF052C"/>
    <w:rsid w:val="00AF4BB9"/>
    <w:rsid w:val="00AF55FD"/>
    <w:rsid w:val="00AF5B26"/>
    <w:rsid w:val="00AF7FC6"/>
    <w:rsid w:val="00B06FE0"/>
    <w:rsid w:val="00B07291"/>
    <w:rsid w:val="00B07781"/>
    <w:rsid w:val="00B16714"/>
    <w:rsid w:val="00B21EFA"/>
    <w:rsid w:val="00B23C66"/>
    <w:rsid w:val="00B24373"/>
    <w:rsid w:val="00B2491F"/>
    <w:rsid w:val="00B35AD6"/>
    <w:rsid w:val="00B36857"/>
    <w:rsid w:val="00B5067D"/>
    <w:rsid w:val="00B57A0C"/>
    <w:rsid w:val="00B63E80"/>
    <w:rsid w:val="00B6436E"/>
    <w:rsid w:val="00B64704"/>
    <w:rsid w:val="00B715DF"/>
    <w:rsid w:val="00B74EAE"/>
    <w:rsid w:val="00B76CCD"/>
    <w:rsid w:val="00B81486"/>
    <w:rsid w:val="00B830DA"/>
    <w:rsid w:val="00B838E5"/>
    <w:rsid w:val="00B83FFA"/>
    <w:rsid w:val="00B854A4"/>
    <w:rsid w:val="00B859F3"/>
    <w:rsid w:val="00B8639D"/>
    <w:rsid w:val="00B9304A"/>
    <w:rsid w:val="00B93DEF"/>
    <w:rsid w:val="00B940AC"/>
    <w:rsid w:val="00BA1C2A"/>
    <w:rsid w:val="00BA3543"/>
    <w:rsid w:val="00BA48F0"/>
    <w:rsid w:val="00BA4C0F"/>
    <w:rsid w:val="00BC0CCE"/>
    <w:rsid w:val="00BC1D5F"/>
    <w:rsid w:val="00BC3DA1"/>
    <w:rsid w:val="00BC474B"/>
    <w:rsid w:val="00BC5276"/>
    <w:rsid w:val="00BC5DBD"/>
    <w:rsid w:val="00BD06DA"/>
    <w:rsid w:val="00BD31DB"/>
    <w:rsid w:val="00BD36EC"/>
    <w:rsid w:val="00BD4BE5"/>
    <w:rsid w:val="00BE0122"/>
    <w:rsid w:val="00BE27EB"/>
    <w:rsid w:val="00BE3916"/>
    <w:rsid w:val="00BE4D4B"/>
    <w:rsid w:val="00BE7259"/>
    <w:rsid w:val="00BF1681"/>
    <w:rsid w:val="00BF7437"/>
    <w:rsid w:val="00C02927"/>
    <w:rsid w:val="00C03497"/>
    <w:rsid w:val="00C03A56"/>
    <w:rsid w:val="00C060D0"/>
    <w:rsid w:val="00C13823"/>
    <w:rsid w:val="00C14406"/>
    <w:rsid w:val="00C23498"/>
    <w:rsid w:val="00C23D70"/>
    <w:rsid w:val="00C2475A"/>
    <w:rsid w:val="00C279E7"/>
    <w:rsid w:val="00C30B67"/>
    <w:rsid w:val="00C31546"/>
    <w:rsid w:val="00C347D2"/>
    <w:rsid w:val="00C36510"/>
    <w:rsid w:val="00C4282B"/>
    <w:rsid w:val="00C46C77"/>
    <w:rsid w:val="00C46EAF"/>
    <w:rsid w:val="00C516A3"/>
    <w:rsid w:val="00C55AAB"/>
    <w:rsid w:val="00C576A9"/>
    <w:rsid w:val="00C60D88"/>
    <w:rsid w:val="00C757FC"/>
    <w:rsid w:val="00C763B1"/>
    <w:rsid w:val="00C819BC"/>
    <w:rsid w:val="00C81CB0"/>
    <w:rsid w:val="00C825DF"/>
    <w:rsid w:val="00C84958"/>
    <w:rsid w:val="00C86B05"/>
    <w:rsid w:val="00C92DF9"/>
    <w:rsid w:val="00C961FD"/>
    <w:rsid w:val="00C96E76"/>
    <w:rsid w:val="00CA14E8"/>
    <w:rsid w:val="00CA4D9F"/>
    <w:rsid w:val="00CA6577"/>
    <w:rsid w:val="00CB01BE"/>
    <w:rsid w:val="00CB121A"/>
    <w:rsid w:val="00CB6526"/>
    <w:rsid w:val="00CB6CB8"/>
    <w:rsid w:val="00CC041E"/>
    <w:rsid w:val="00CC188E"/>
    <w:rsid w:val="00CC5DBC"/>
    <w:rsid w:val="00CD15D3"/>
    <w:rsid w:val="00CD44C6"/>
    <w:rsid w:val="00CD4E61"/>
    <w:rsid w:val="00CE0FD1"/>
    <w:rsid w:val="00CE28DA"/>
    <w:rsid w:val="00CE34DE"/>
    <w:rsid w:val="00CE6120"/>
    <w:rsid w:val="00CE6D53"/>
    <w:rsid w:val="00CF3962"/>
    <w:rsid w:val="00CF3DFE"/>
    <w:rsid w:val="00CF692B"/>
    <w:rsid w:val="00D14A67"/>
    <w:rsid w:val="00D1533C"/>
    <w:rsid w:val="00D1642C"/>
    <w:rsid w:val="00D16615"/>
    <w:rsid w:val="00D16CD0"/>
    <w:rsid w:val="00D20AA6"/>
    <w:rsid w:val="00D24297"/>
    <w:rsid w:val="00D2596B"/>
    <w:rsid w:val="00D27601"/>
    <w:rsid w:val="00D30C97"/>
    <w:rsid w:val="00D30FEF"/>
    <w:rsid w:val="00D32921"/>
    <w:rsid w:val="00D330DE"/>
    <w:rsid w:val="00D3509A"/>
    <w:rsid w:val="00D37FEB"/>
    <w:rsid w:val="00D41976"/>
    <w:rsid w:val="00D4369E"/>
    <w:rsid w:val="00D44398"/>
    <w:rsid w:val="00D452FD"/>
    <w:rsid w:val="00D45B77"/>
    <w:rsid w:val="00D517A5"/>
    <w:rsid w:val="00D532DC"/>
    <w:rsid w:val="00D550A2"/>
    <w:rsid w:val="00D57D94"/>
    <w:rsid w:val="00D6084B"/>
    <w:rsid w:val="00D6345F"/>
    <w:rsid w:val="00D64115"/>
    <w:rsid w:val="00D65E8E"/>
    <w:rsid w:val="00D73B0C"/>
    <w:rsid w:val="00D75C2D"/>
    <w:rsid w:val="00D86CCD"/>
    <w:rsid w:val="00D87BCB"/>
    <w:rsid w:val="00DA25CA"/>
    <w:rsid w:val="00DA32B7"/>
    <w:rsid w:val="00DA67B1"/>
    <w:rsid w:val="00DB03E4"/>
    <w:rsid w:val="00DB1DF0"/>
    <w:rsid w:val="00DB4B4A"/>
    <w:rsid w:val="00DB5820"/>
    <w:rsid w:val="00DB794A"/>
    <w:rsid w:val="00DC046D"/>
    <w:rsid w:val="00DC0755"/>
    <w:rsid w:val="00DC5509"/>
    <w:rsid w:val="00DD249C"/>
    <w:rsid w:val="00DD6BA6"/>
    <w:rsid w:val="00DD7F88"/>
    <w:rsid w:val="00DF1415"/>
    <w:rsid w:val="00DF3CC5"/>
    <w:rsid w:val="00DF7514"/>
    <w:rsid w:val="00DF7ACE"/>
    <w:rsid w:val="00E04531"/>
    <w:rsid w:val="00E06A14"/>
    <w:rsid w:val="00E0715A"/>
    <w:rsid w:val="00E102FD"/>
    <w:rsid w:val="00E14A82"/>
    <w:rsid w:val="00E17F4A"/>
    <w:rsid w:val="00E202B5"/>
    <w:rsid w:val="00E23620"/>
    <w:rsid w:val="00E23694"/>
    <w:rsid w:val="00E30D13"/>
    <w:rsid w:val="00E31D52"/>
    <w:rsid w:val="00E36BDF"/>
    <w:rsid w:val="00E43B27"/>
    <w:rsid w:val="00E46152"/>
    <w:rsid w:val="00E55DF5"/>
    <w:rsid w:val="00E56210"/>
    <w:rsid w:val="00E56DE6"/>
    <w:rsid w:val="00E615C0"/>
    <w:rsid w:val="00E64210"/>
    <w:rsid w:val="00E72EFB"/>
    <w:rsid w:val="00E77ED0"/>
    <w:rsid w:val="00E83752"/>
    <w:rsid w:val="00EA2170"/>
    <w:rsid w:val="00EA27C6"/>
    <w:rsid w:val="00EB1991"/>
    <w:rsid w:val="00EB19A6"/>
    <w:rsid w:val="00EB2D32"/>
    <w:rsid w:val="00EB5133"/>
    <w:rsid w:val="00EB6F28"/>
    <w:rsid w:val="00EC2935"/>
    <w:rsid w:val="00EC3C41"/>
    <w:rsid w:val="00EC4F3B"/>
    <w:rsid w:val="00ED0C25"/>
    <w:rsid w:val="00ED32C5"/>
    <w:rsid w:val="00ED368A"/>
    <w:rsid w:val="00ED3B1F"/>
    <w:rsid w:val="00ED4437"/>
    <w:rsid w:val="00ED47A1"/>
    <w:rsid w:val="00ED4C4A"/>
    <w:rsid w:val="00EE0F9C"/>
    <w:rsid w:val="00EE1689"/>
    <w:rsid w:val="00EE38AB"/>
    <w:rsid w:val="00EE436C"/>
    <w:rsid w:val="00EF1B35"/>
    <w:rsid w:val="00F064C4"/>
    <w:rsid w:val="00F07558"/>
    <w:rsid w:val="00F10F8A"/>
    <w:rsid w:val="00F128D3"/>
    <w:rsid w:val="00F12D07"/>
    <w:rsid w:val="00F131E0"/>
    <w:rsid w:val="00F166D9"/>
    <w:rsid w:val="00F20383"/>
    <w:rsid w:val="00F23B21"/>
    <w:rsid w:val="00F256AA"/>
    <w:rsid w:val="00F256E1"/>
    <w:rsid w:val="00F27183"/>
    <w:rsid w:val="00F352CC"/>
    <w:rsid w:val="00F35CC0"/>
    <w:rsid w:val="00F37811"/>
    <w:rsid w:val="00F43B8B"/>
    <w:rsid w:val="00F46480"/>
    <w:rsid w:val="00F46A93"/>
    <w:rsid w:val="00F54D75"/>
    <w:rsid w:val="00F60C55"/>
    <w:rsid w:val="00F61DDA"/>
    <w:rsid w:val="00F62210"/>
    <w:rsid w:val="00F65401"/>
    <w:rsid w:val="00F65481"/>
    <w:rsid w:val="00F65BD5"/>
    <w:rsid w:val="00F70AFE"/>
    <w:rsid w:val="00F7171E"/>
    <w:rsid w:val="00F72443"/>
    <w:rsid w:val="00F81C3C"/>
    <w:rsid w:val="00F867A0"/>
    <w:rsid w:val="00F87BDA"/>
    <w:rsid w:val="00F91C4A"/>
    <w:rsid w:val="00F923B3"/>
    <w:rsid w:val="00F92938"/>
    <w:rsid w:val="00F93C76"/>
    <w:rsid w:val="00FA0341"/>
    <w:rsid w:val="00FA0DE5"/>
    <w:rsid w:val="00FA3927"/>
    <w:rsid w:val="00FA44C6"/>
    <w:rsid w:val="00FA632B"/>
    <w:rsid w:val="00FB21A2"/>
    <w:rsid w:val="00FB6BE6"/>
    <w:rsid w:val="00FB6CCA"/>
    <w:rsid w:val="00FC1463"/>
    <w:rsid w:val="00FC5DCB"/>
    <w:rsid w:val="00FC6201"/>
    <w:rsid w:val="00FC70EF"/>
    <w:rsid w:val="00FD1571"/>
    <w:rsid w:val="00FD2A44"/>
    <w:rsid w:val="00FE2AD4"/>
    <w:rsid w:val="00FE60D9"/>
    <w:rsid w:val="00FE6C15"/>
    <w:rsid w:val="00FE7B36"/>
    <w:rsid w:val="00FF327E"/>
    <w:rsid w:val="00FF5316"/>
    <w:rsid w:val="00FF6066"/>
    <w:rsid w:val="00FF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050"/>
    <w:pPr>
      <w:spacing w:before="120" w:after="120" w:line="276" w:lineRule="auto"/>
    </w:pPr>
    <w:rPr>
      <w:rFonts w:ascii="Aaux Next Regular" w:hAnsi="Aaux Next Regular"/>
      <w:color w:val="000000" w:themeColor="text1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52FD"/>
    <w:pPr>
      <w:keepNext/>
      <w:keepLines/>
      <w:outlineLvl w:val="0"/>
    </w:pPr>
    <w:rPr>
      <w:rFonts w:ascii="Aaux Next Bold" w:eastAsiaTheme="majorEastAsia" w:hAnsi="Aaux Next Bold" w:cstheme="majorBidi"/>
      <w:caps/>
      <w:color w:val="F8AC2D" w:themeColor="accent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F3DFE"/>
    <w:pPr>
      <w:keepNext/>
      <w:keepLines/>
      <w:outlineLvl w:val="1"/>
    </w:pPr>
    <w:rPr>
      <w:rFonts w:ascii="Aaux Next Bold" w:eastAsiaTheme="majorEastAsia" w:hAnsi="Aaux Next Bold" w:cstheme="majorBidi"/>
      <w:caps/>
      <w:color w:val="F8AC2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rsid w:val="004D1E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C5904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C6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68E7"/>
  </w:style>
  <w:style w:type="paragraph" w:styleId="Pidipagina">
    <w:name w:val="footer"/>
    <w:basedOn w:val="Normale"/>
    <w:link w:val="PidipaginaCarattere"/>
    <w:uiPriority w:val="99"/>
    <w:unhideWhenUsed/>
    <w:rsid w:val="007C6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68E7"/>
  </w:style>
  <w:style w:type="character" w:customStyle="1" w:styleId="Titolo1Carattere">
    <w:name w:val="Titolo 1 Carattere"/>
    <w:basedOn w:val="Carpredefinitoparagrafo"/>
    <w:link w:val="Titolo1"/>
    <w:uiPriority w:val="9"/>
    <w:rsid w:val="00D452FD"/>
    <w:rPr>
      <w:rFonts w:ascii="Aaux Next Bold" w:eastAsiaTheme="majorEastAsia" w:hAnsi="Aaux Next Bold" w:cstheme="majorBidi"/>
      <w:caps/>
      <w:color w:val="F8AC2D" w:themeColor="accent1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F3DFE"/>
    <w:rPr>
      <w:rFonts w:ascii="Aaux Next Bold" w:eastAsiaTheme="majorEastAsia" w:hAnsi="Aaux Next Bold" w:cstheme="majorBidi"/>
      <w:caps/>
      <w:color w:val="F8AC2D" w:themeColor="accent1"/>
      <w:sz w:val="26"/>
      <w:szCs w:val="2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D73C4"/>
    <w:pPr>
      <w:numPr>
        <w:ilvl w:val="1"/>
      </w:numPr>
    </w:pPr>
    <w:rPr>
      <w:rFonts w:ascii="Aaux Next Bold" w:eastAsiaTheme="minorEastAsia" w:hAnsi="Aaux Next Bold"/>
      <w:caps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D73C4"/>
    <w:rPr>
      <w:rFonts w:ascii="Aaux Next Bold" w:eastAsiaTheme="minorEastAsia" w:hAnsi="Aaux Next Bold"/>
      <w:caps/>
      <w:color w:val="000000" w:themeColor="text1"/>
      <w:spacing w:val="15"/>
      <w:sz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CF3DFE"/>
    <w:pPr>
      <w:numPr>
        <w:numId w:val="1"/>
      </w:numPr>
      <w:contextualSpacing/>
    </w:pPr>
  </w:style>
  <w:style w:type="paragraph" w:styleId="Titolosommario">
    <w:name w:val="TOC Heading"/>
    <w:basedOn w:val="Titolo1"/>
    <w:next w:val="Normale"/>
    <w:uiPriority w:val="39"/>
    <w:unhideWhenUsed/>
    <w:qFormat/>
    <w:rsid w:val="00AD73C4"/>
    <w:pPr>
      <w:spacing w:before="240" w:after="0" w:line="259" w:lineRule="auto"/>
      <w:outlineLvl w:val="9"/>
    </w:pPr>
    <w:rPr>
      <w:lang w:val="en-US"/>
    </w:rPr>
  </w:style>
  <w:style w:type="paragraph" w:styleId="Sommario1">
    <w:name w:val="toc 1"/>
    <w:basedOn w:val="Normale"/>
    <w:next w:val="Normale"/>
    <w:autoRedefine/>
    <w:uiPriority w:val="39"/>
    <w:unhideWhenUsed/>
    <w:rsid w:val="00BE27EB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BE27EB"/>
    <w:rPr>
      <w:color w:val="0563C1" w:themeColor="hyperlink"/>
      <w:u w:val="single"/>
    </w:rPr>
  </w:style>
  <w:style w:type="table" w:customStyle="1" w:styleId="GridTable5DarkAccent3">
    <w:name w:val="Grid Table 5 Dark Accent 3"/>
    <w:basedOn w:val="Tabellanormale"/>
    <w:uiPriority w:val="50"/>
    <w:rsid w:val="00501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ListTable3Accent3">
    <w:name w:val="List Table 3 Accent 3"/>
    <w:basedOn w:val="Tabellanormale"/>
    <w:uiPriority w:val="48"/>
    <w:rsid w:val="00501F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Grigliatabella">
    <w:name w:val="Table Grid"/>
    <w:basedOn w:val="Tabellanormale"/>
    <w:uiPriority w:val="59"/>
    <w:rsid w:val="00057230"/>
    <w:pPr>
      <w:tabs>
        <w:tab w:val="left" w:pos="200"/>
        <w:tab w:val="left" w:pos="400"/>
        <w:tab w:val="left" w:pos="600"/>
        <w:tab w:val="left" w:pos="800"/>
        <w:tab w:val="left" w:pos="1000"/>
      </w:tabs>
      <w:spacing w:before="150" w:after="0" w:line="300" w:lineRule="exact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057230"/>
    <w:rPr>
      <w:rFonts w:ascii="Aaux Next Regular" w:hAnsi="Aaux Next Regular"/>
      <w:color w:val="000000" w:themeColor="text1"/>
      <w:sz w:val="20"/>
    </w:rPr>
  </w:style>
  <w:style w:type="table" w:customStyle="1" w:styleId="TableGrid1">
    <w:name w:val="Table Grid1"/>
    <w:basedOn w:val="Tabellanormale"/>
    <w:next w:val="Grigliatabella"/>
    <w:uiPriority w:val="59"/>
    <w:rsid w:val="00A97B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993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CV05--Bodycopy">
    <w:name w:val="CV05 -- Body copy"/>
    <w:rsid w:val="00993B8D"/>
    <w:pPr>
      <w:spacing w:after="120" w:line="280" w:lineRule="atLeast"/>
    </w:pPr>
    <w:rPr>
      <w:rFonts w:ascii="Arial" w:eastAsia="Calibri" w:hAnsi="Arial" w:cs="Times New Roman"/>
      <w:color w:val="58595B"/>
      <w:sz w:val="19"/>
      <w:lang w:val="en-US"/>
    </w:rPr>
  </w:style>
  <w:style w:type="paragraph" w:customStyle="1" w:styleId="CV06--Bulletlist">
    <w:name w:val="CV06 -- Bullet list"/>
    <w:basedOn w:val="CV05--Bodycopy"/>
    <w:qFormat/>
    <w:rsid w:val="00CF3DFE"/>
    <w:pPr>
      <w:numPr>
        <w:numId w:val="2"/>
      </w:numPr>
      <w:spacing w:after="60"/>
      <w:ind w:left="714" w:hanging="357"/>
    </w:pPr>
    <w:rPr>
      <w:rFonts w:ascii="Aaux Next Regular" w:hAnsi="Aaux Next Regular"/>
      <w:color w:val="000000" w:themeColor="text1"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249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249C"/>
    <w:rPr>
      <w:rFonts w:ascii="Segoe UI" w:hAnsi="Segoe UI" w:cs="Segoe UI"/>
      <w:color w:val="595959" w:themeColor="text1" w:themeTint="A6"/>
      <w:sz w:val="18"/>
      <w:szCs w:val="18"/>
    </w:rPr>
  </w:style>
  <w:style w:type="paragraph" w:customStyle="1" w:styleId="SS08--Bodycopy">
    <w:name w:val="SS08 -- Body copy"/>
    <w:rsid w:val="00DA67B1"/>
    <w:pPr>
      <w:spacing w:after="120" w:line="280" w:lineRule="atLeast"/>
    </w:pPr>
    <w:rPr>
      <w:rFonts w:ascii="Arial" w:eastAsia="Calibri" w:hAnsi="Arial" w:cs="Times New Roman"/>
      <w:color w:val="58595B"/>
      <w:sz w:val="19"/>
      <w:lang w:val="en-US"/>
    </w:rPr>
  </w:style>
  <w:style w:type="table" w:customStyle="1" w:styleId="LightList-Accent13">
    <w:name w:val="Light List - Accent 13"/>
    <w:basedOn w:val="Tabellanormale"/>
    <w:next w:val="Elencochiaro-Colore1"/>
    <w:uiPriority w:val="61"/>
    <w:rsid w:val="00FA63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FA63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8AC2D" w:themeColor="accent1"/>
        <w:left w:val="single" w:sz="8" w:space="0" w:color="F8AC2D" w:themeColor="accent1"/>
        <w:bottom w:val="single" w:sz="8" w:space="0" w:color="F8AC2D" w:themeColor="accent1"/>
        <w:right w:val="single" w:sz="8" w:space="0" w:color="F8AC2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AC2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AC2D" w:themeColor="accent1"/>
          <w:left w:val="single" w:sz="8" w:space="0" w:color="F8AC2D" w:themeColor="accent1"/>
          <w:bottom w:val="single" w:sz="8" w:space="0" w:color="F8AC2D" w:themeColor="accent1"/>
          <w:right w:val="single" w:sz="8" w:space="0" w:color="F8AC2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AC2D" w:themeColor="accent1"/>
          <w:left w:val="single" w:sz="8" w:space="0" w:color="F8AC2D" w:themeColor="accent1"/>
          <w:bottom w:val="single" w:sz="8" w:space="0" w:color="F8AC2D" w:themeColor="accent1"/>
          <w:right w:val="single" w:sz="8" w:space="0" w:color="F8AC2D" w:themeColor="accent1"/>
        </w:tcBorders>
      </w:tcPr>
    </w:tblStylePr>
    <w:tblStylePr w:type="band1Horz">
      <w:tblPr/>
      <w:tcPr>
        <w:tcBorders>
          <w:top w:val="single" w:sz="8" w:space="0" w:color="F8AC2D" w:themeColor="accent1"/>
          <w:left w:val="single" w:sz="8" w:space="0" w:color="F8AC2D" w:themeColor="accent1"/>
          <w:bottom w:val="single" w:sz="8" w:space="0" w:color="F8AC2D" w:themeColor="accent1"/>
          <w:right w:val="single" w:sz="8" w:space="0" w:color="F8AC2D" w:themeColor="accent1"/>
        </w:tcBorders>
      </w:tcPr>
    </w:tblStylePr>
  </w:style>
  <w:style w:type="table" w:customStyle="1" w:styleId="ListTable1Light">
    <w:name w:val="List Table 1 Light"/>
    <w:basedOn w:val="Tabellanormale"/>
    <w:uiPriority w:val="46"/>
    <w:rsid w:val="00FA63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chiaro-Colore3">
    <w:name w:val="Light List Accent 3"/>
    <w:basedOn w:val="Tabellanormale"/>
    <w:uiPriority w:val="61"/>
    <w:rsid w:val="006A3F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C-NumberBullet">
    <w:name w:val="C-Number Bullet"/>
    <w:uiPriority w:val="7"/>
    <w:rsid w:val="006A3FE0"/>
    <w:pPr>
      <w:numPr>
        <w:numId w:val="3"/>
      </w:numPr>
      <w:spacing w:before="120" w:after="60" w:line="264" w:lineRule="auto"/>
      <w:ind w:left="357" w:hanging="357"/>
    </w:pPr>
    <w:rPr>
      <w:rFonts w:ascii="Futura Bk BT" w:eastAsia="Arial Unicode MS" w:hAnsi="Futura Bk BT" w:cs="Times New Roman"/>
      <w:sz w:val="20"/>
      <w:szCs w:val="24"/>
    </w:rPr>
  </w:style>
  <w:style w:type="paragraph" w:customStyle="1" w:styleId="C-SubSubNumberBullet">
    <w:name w:val="C-Sub SubNumber Bullet"/>
    <w:uiPriority w:val="8"/>
    <w:rsid w:val="006A3FE0"/>
    <w:pPr>
      <w:numPr>
        <w:ilvl w:val="2"/>
        <w:numId w:val="3"/>
      </w:numPr>
      <w:spacing w:before="120" w:after="60" w:line="264" w:lineRule="auto"/>
      <w:ind w:left="1083" w:hanging="403"/>
    </w:pPr>
    <w:rPr>
      <w:rFonts w:ascii="Futura Bk BT" w:eastAsia="Arial Unicode MS" w:hAnsi="Futura Bk BT" w:cs="Times New Roman"/>
      <w:sz w:val="20"/>
      <w:szCs w:val="24"/>
      <w:lang w:eastAsia="en-GB"/>
    </w:rPr>
  </w:style>
  <w:style w:type="paragraph" w:customStyle="1" w:styleId="C-SubNumberBullet">
    <w:name w:val="C-SubNumber Bullet"/>
    <w:basedOn w:val="C-NumberBullet"/>
    <w:uiPriority w:val="7"/>
    <w:rsid w:val="006A3FE0"/>
    <w:pPr>
      <w:numPr>
        <w:ilvl w:val="1"/>
      </w:numPr>
      <w:tabs>
        <w:tab w:val="num" w:pos="360"/>
      </w:tabs>
    </w:pPr>
  </w:style>
  <w:style w:type="paragraph" w:styleId="Titolo">
    <w:name w:val="Title"/>
    <w:basedOn w:val="Normale"/>
    <w:next w:val="Normale"/>
    <w:link w:val="TitoloCarattere"/>
    <w:uiPriority w:val="10"/>
    <w:qFormat/>
    <w:rsid w:val="00CF3DFE"/>
    <w:pPr>
      <w:spacing w:before="0" w:after="0" w:line="240" w:lineRule="auto"/>
      <w:contextualSpacing/>
    </w:pPr>
    <w:rPr>
      <w:rFonts w:ascii="Aaux Next Bold" w:eastAsiaTheme="majorEastAsia" w:hAnsi="Aaux Next Bold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F3DFE"/>
    <w:rPr>
      <w:rFonts w:ascii="Aaux Next Bold" w:eastAsiaTheme="majorEastAsia" w:hAnsi="Aaux Next Bold" w:cstheme="majorBidi"/>
      <w:spacing w:val="-10"/>
      <w:kern w:val="28"/>
      <w:sz w:val="56"/>
      <w:szCs w:val="56"/>
    </w:rPr>
  </w:style>
  <w:style w:type="character" w:styleId="Enfasigrassetto">
    <w:name w:val="Strong"/>
    <w:basedOn w:val="Carpredefinitoparagrafo"/>
    <w:qFormat/>
    <w:rsid w:val="00CF3DFE"/>
    <w:rPr>
      <w:rFonts w:ascii="Aaux Next Bold" w:hAnsi="Aaux Next Bold"/>
      <w:b w:val="0"/>
      <w:bCs/>
      <w:sz w:val="20"/>
    </w:rPr>
  </w:style>
  <w:style w:type="paragraph" w:customStyle="1" w:styleId="Source">
    <w:name w:val="Source"/>
    <w:basedOn w:val="Normale"/>
    <w:link w:val="SourceChar"/>
    <w:qFormat/>
    <w:rsid w:val="00AD27BE"/>
    <w:pPr>
      <w:jc w:val="both"/>
    </w:pPr>
    <w:rPr>
      <w:rFonts w:eastAsia="Calibri" w:cs="Arial"/>
      <w:sz w:val="14"/>
      <w:szCs w:val="20"/>
    </w:rPr>
  </w:style>
  <w:style w:type="table" w:customStyle="1" w:styleId="ListTable2Accent2">
    <w:name w:val="List Table 2 Accent 2"/>
    <w:basedOn w:val="Tabellanormale"/>
    <w:uiPriority w:val="47"/>
    <w:rsid w:val="00FD1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9B9B" w:themeColor="accent2" w:themeTint="99"/>
        <w:bottom w:val="single" w:sz="4" w:space="0" w:color="9B9B9B" w:themeColor="accent2" w:themeTint="99"/>
        <w:insideH w:val="single" w:sz="4" w:space="0" w:color="9B9B9B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DDD" w:themeFill="accent2" w:themeFillTint="33"/>
      </w:tcPr>
    </w:tblStylePr>
    <w:tblStylePr w:type="band1Horz">
      <w:tblPr/>
      <w:tcPr>
        <w:shd w:val="clear" w:color="auto" w:fill="DDDDDD" w:themeFill="accent2" w:themeFillTint="33"/>
      </w:tcPr>
    </w:tblStylePr>
  </w:style>
  <w:style w:type="character" w:customStyle="1" w:styleId="SourceChar">
    <w:name w:val="Source Char"/>
    <w:basedOn w:val="Carpredefinitoparagrafo"/>
    <w:link w:val="Source"/>
    <w:rsid w:val="00AD27BE"/>
    <w:rPr>
      <w:rFonts w:ascii="Aaux Next Regular" w:eastAsia="Calibri" w:hAnsi="Aaux Next Regular" w:cs="Arial"/>
      <w:color w:val="000000" w:themeColor="text1"/>
      <w:sz w:val="14"/>
      <w:szCs w:val="20"/>
    </w:rPr>
  </w:style>
  <w:style w:type="table" w:customStyle="1" w:styleId="ListTable6ColorfulAccent3">
    <w:name w:val="List Table 6 Colorful Accent 3"/>
    <w:basedOn w:val="Tabellanormale"/>
    <w:uiPriority w:val="51"/>
    <w:rsid w:val="00555F0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leGrid2">
    <w:name w:val="Table Grid2"/>
    <w:basedOn w:val="Tabellanormale"/>
    <w:next w:val="Grigliatabella"/>
    <w:rsid w:val="00580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rsid w:val="00A535B1"/>
    <w:pPr>
      <w:suppressAutoHyphens/>
      <w:autoSpaceDN w:val="0"/>
      <w:spacing w:before="0" w:after="0" w:line="240" w:lineRule="auto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val="en-CA"/>
    </w:rPr>
  </w:style>
  <w:style w:type="character" w:customStyle="1" w:styleId="CorpodeltestoCarattere">
    <w:name w:val="Corpo del testo Carattere"/>
    <w:basedOn w:val="Carpredefinitoparagrafo"/>
    <w:link w:val="Corpodeltesto"/>
    <w:rsid w:val="00A535B1"/>
    <w:rPr>
      <w:rFonts w:ascii="Times New Roman" w:eastAsia="Times New Roman" w:hAnsi="Times New Roman" w:cs="Times New Roman"/>
      <w:sz w:val="28"/>
      <w:szCs w:val="20"/>
      <w:lang w:val="en-CA"/>
    </w:rPr>
  </w:style>
  <w:style w:type="paragraph" w:customStyle="1" w:styleId="Default">
    <w:name w:val="Default"/>
    <w:basedOn w:val="Normale"/>
    <w:rsid w:val="00A535B1"/>
    <w:pPr>
      <w:suppressAutoHyphens/>
      <w:autoSpaceDE w:val="0"/>
      <w:autoSpaceDN w:val="0"/>
      <w:spacing w:before="0"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B21E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21EFA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21EFA"/>
    <w:rPr>
      <w:rFonts w:ascii="Aaux Next Regular" w:hAnsi="Aaux Next Regular"/>
      <w:color w:val="000000" w:themeColor="text1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21E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21EFA"/>
    <w:rPr>
      <w:rFonts w:ascii="Aaux Next Regular" w:hAnsi="Aaux Next Regular"/>
      <w:b/>
      <w:bCs/>
      <w:color w:val="000000" w:themeColor="text1"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4126C"/>
    <w:rPr>
      <w:color w:val="605E5C"/>
      <w:shd w:val="clear" w:color="auto" w:fill="E1DFDD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1E20"/>
    <w:rPr>
      <w:rFonts w:asciiTheme="majorHAnsi" w:eastAsiaTheme="majorEastAsia" w:hAnsiTheme="majorHAnsi" w:cstheme="majorBidi"/>
      <w:color w:val="8C5904" w:themeColor="accent1" w:themeShade="7F"/>
      <w:sz w:val="24"/>
      <w:szCs w:val="24"/>
    </w:rPr>
  </w:style>
  <w:style w:type="paragraph" w:styleId="Nessunaspaziatura">
    <w:name w:val="No Spacing"/>
    <w:uiPriority w:val="1"/>
    <w:qFormat/>
    <w:rsid w:val="006149E5"/>
    <w:pPr>
      <w:spacing w:after="0" w:line="240" w:lineRule="auto"/>
    </w:pPr>
    <w:rPr>
      <w:rFonts w:ascii="Arial" w:hAnsi="Arial"/>
      <w:sz w:val="20"/>
      <w:lang w:val="nl-NL"/>
    </w:rPr>
  </w:style>
  <w:style w:type="paragraph" w:styleId="Testonormale">
    <w:name w:val="Plain Text"/>
    <w:basedOn w:val="Normale"/>
    <w:link w:val="TestonormaleCarattere"/>
    <w:uiPriority w:val="99"/>
    <w:unhideWhenUsed/>
    <w:rsid w:val="001C120D"/>
    <w:pPr>
      <w:spacing w:before="0" w:after="0" w:line="240" w:lineRule="auto"/>
    </w:pPr>
    <w:rPr>
      <w:rFonts w:ascii="Calibri" w:hAnsi="Calibri" w:cs="Calibri"/>
      <w:color w:val="auto"/>
      <w:sz w:val="22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C120D"/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43174">
          <w:marLeft w:val="31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201">
          <w:marLeft w:val="31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226">
          <w:marLeft w:val="31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1989">
          <w:marLeft w:val="950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5874">
          <w:marLeft w:val="950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7816">
          <w:marLeft w:val="950"/>
          <w:marRight w:val="0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7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45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17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2286">
          <w:marLeft w:val="302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163">
          <w:marLeft w:val="302"/>
          <w:marRight w:val="0"/>
          <w:marTop w:val="131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rgbClr val="FFFFFF"/>
      </a:lt1>
      <a:dk2>
        <a:srgbClr val="000000"/>
      </a:dk2>
      <a:lt2>
        <a:srgbClr val="FFFFFF"/>
      </a:lt2>
      <a:accent1>
        <a:srgbClr val="F8AC2D"/>
      </a:accent1>
      <a:accent2>
        <a:srgbClr val="595959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AE6B88507F54DA594797F503F96F5" ma:contentTypeVersion="12" ma:contentTypeDescription="Create a new document." ma:contentTypeScope="" ma:versionID="cec9a8bd02c7b13668c71daecad22b4b">
  <xsd:schema xmlns:xsd="http://www.w3.org/2001/XMLSchema" xmlns:xs="http://www.w3.org/2001/XMLSchema" xmlns:p="http://schemas.microsoft.com/office/2006/metadata/properties" xmlns:ns3="5a139c6e-ff3e-4921-a194-6bb608e83e0c" xmlns:ns4="4c21d559-c786-4ea4-82f9-0ae8b3a0299f" targetNamespace="http://schemas.microsoft.com/office/2006/metadata/properties" ma:root="true" ma:fieldsID="f1e6bfc74001ce2eb6dedecca33773b8" ns3:_="" ns4:_="">
    <xsd:import namespace="5a139c6e-ff3e-4921-a194-6bb608e83e0c"/>
    <xsd:import namespace="4c21d559-c786-4ea4-82f9-0ae8b3a0299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139c6e-ff3e-4921-a194-6bb608e83e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1d559-c786-4ea4-82f9-0ae8b3a029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8BDCC-74AF-40D3-87DE-D7F71A922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139c6e-ff3e-4921-a194-6bb608e83e0c"/>
    <ds:schemaRef ds:uri="4c21d559-c786-4ea4-82f9-0ae8b3a02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D55EB2-CE2D-4D4C-8A2F-46FF98F6C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37170A-B314-4BFE-9E22-FFDB4B07E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DA6A9D-A404-4D71-A648-052147873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1237</Words>
  <Characters>7055</Characters>
  <Application>Microsoft Office Word</Application>
  <DocSecurity>0</DocSecurity>
  <Lines>58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paola</cp:lastModifiedBy>
  <cp:revision>6</cp:revision>
  <cp:lastPrinted>2020-02-13T15:00:00Z</cp:lastPrinted>
  <dcterms:created xsi:type="dcterms:W3CDTF">2020-10-13T08:31:00Z</dcterms:created>
  <dcterms:modified xsi:type="dcterms:W3CDTF">2020-10-13T11:27:00Z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0x010100393AE6B88507F54DA594797F503F96F5</vt:lpwstr>
  </property>
</Properties>
</file>