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21" w:rsidRDefault="00A27921" w:rsidP="00A27921">
      <w:pPr>
        <w:spacing w:before="0" w:after="0" w:line="240" w:lineRule="auto"/>
        <w:jc w:val="center"/>
        <w:rPr>
          <w:rFonts w:cs="Segoe UI"/>
          <w:b/>
          <w:color w:val="C00000"/>
          <w:sz w:val="24"/>
          <w:szCs w:val="24"/>
          <w:u w:val="single"/>
        </w:rPr>
      </w:pPr>
    </w:p>
    <w:p w:rsidR="00A27921" w:rsidRPr="00A27921" w:rsidRDefault="00A27921" w:rsidP="00A27921">
      <w:pPr>
        <w:spacing w:before="0" w:after="0" w:line="240" w:lineRule="auto"/>
        <w:jc w:val="center"/>
        <w:rPr>
          <w:rFonts w:ascii="Segoe UI" w:hAnsi="Segoe UI" w:cs="Segoe UI"/>
          <w:b/>
          <w:color w:val="C00000"/>
          <w:sz w:val="24"/>
          <w:szCs w:val="24"/>
          <w:u w:val="single"/>
        </w:rPr>
      </w:pPr>
    </w:p>
    <w:p w:rsidR="003B0A95" w:rsidRPr="000738F2" w:rsidRDefault="00A27921" w:rsidP="000738F2">
      <w:pPr>
        <w:spacing w:line="240" w:lineRule="auto"/>
        <w:jc w:val="center"/>
        <w:outlineLvl w:val="0"/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</w:pPr>
      <w:r w:rsidRPr="000738F2">
        <w:rPr>
          <w:rStyle w:val="s1"/>
          <w:rFonts w:ascii="Segoe UI" w:hAnsi="Segoe UI"/>
          <w:b/>
          <w:color w:val="404040" w:themeColor="text1" w:themeTint="BF"/>
          <w:sz w:val="24"/>
          <w:szCs w:val="56"/>
        </w:rPr>
        <w:t>UFFICIO STUDI GABETTI e PATRIGEST</w:t>
      </w:r>
      <w:r w:rsidR="003B0A95" w:rsidRPr="000738F2"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  <w:br/>
      </w:r>
      <w:r w:rsidRPr="000738F2"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  <w:t xml:space="preserve">REAL ESTATE: IL PUNTO SETTORE PER SETTORE </w:t>
      </w:r>
      <w:r w:rsidR="003B0A95" w:rsidRPr="000738F2"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  <w:br/>
      </w:r>
      <w:r w:rsidRPr="000738F2"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  <w:t>NELL’ERA DELLA PANDEMIA</w:t>
      </w:r>
    </w:p>
    <w:p w:rsidR="003B0A95" w:rsidRPr="000738F2" w:rsidRDefault="003B0A95" w:rsidP="000738F2">
      <w:pPr>
        <w:spacing w:line="240" w:lineRule="auto"/>
        <w:jc w:val="center"/>
        <w:outlineLvl w:val="0"/>
        <w:rPr>
          <w:rStyle w:val="s1"/>
          <w:rFonts w:ascii="Segoe UI" w:hAnsi="Segoe UI"/>
          <w:color w:val="404040" w:themeColor="text1" w:themeTint="BF"/>
          <w:sz w:val="32"/>
          <w:szCs w:val="56"/>
        </w:rPr>
      </w:pPr>
    </w:p>
    <w:p w:rsidR="008F6B1F" w:rsidRPr="000738F2" w:rsidRDefault="0088512F" w:rsidP="000738F2">
      <w:pPr>
        <w:pStyle w:val="Paragrafoelenco"/>
        <w:numPr>
          <w:ilvl w:val="0"/>
          <w:numId w:val="11"/>
        </w:numPr>
        <w:spacing w:before="0" w:line="240" w:lineRule="auto"/>
        <w:rPr>
          <w:rFonts w:ascii="Segoe UI" w:hAnsi="Segoe UI" w:cs="Segoe UI"/>
          <w:i/>
          <w:sz w:val="22"/>
          <w:szCs w:val="22"/>
        </w:rPr>
      </w:pPr>
      <w:r w:rsidRPr="000738F2">
        <w:rPr>
          <w:rFonts w:ascii="Segoe UI" w:hAnsi="Segoe UI" w:cs="Segoe UI"/>
          <w:i/>
          <w:color w:val="000000" w:themeColor="text1"/>
          <w:sz w:val="22"/>
          <w:szCs w:val="22"/>
        </w:rPr>
        <w:t xml:space="preserve">Il residenziale, che nel terzo </w:t>
      </w:r>
      <w:r w:rsidRPr="000738F2">
        <w:rPr>
          <w:rFonts w:ascii="Segoe UI" w:hAnsi="Segoe UI" w:cs="Segoe UI"/>
          <w:i/>
          <w:sz w:val="22"/>
          <w:szCs w:val="22"/>
        </w:rPr>
        <w:t>trimestre 2020 ha segnato un</w:t>
      </w:r>
      <w:r w:rsidRPr="000738F2">
        <w:rPr>
          <w:rFonts w:ascii="Calibri" w:eastAsia="Calibri" w:hAnsi="Calibri" w:cs="Calibri"/>
          <w:i/>
          <w:sz w:val="22"/>
          <w:szCs w:val="22"/>
        </w:rPr>
        <w:t>’</w:t>
      </w:r>
      <w:r w:rsidRPr="000738F2">
        <w:rPr>
          <w:rFonts w:ascii="Segoe UI" w:hAnsi="Segoe UI" w:cs="Segoe UI"/>
          <w:i/>
          <w:sz w:val="22"/>
          <w:szCs w:val="22"/>
        </w:rPr>
        <w:t xml:space="preserve">inversione di tendenza positiva </w:t>
      </w:r>
      <w:r w:rsidRPr="000738F2">
        <w:rPr>
          <w:rFonts w:ascii="Calibri" w:hAnsi="Calibri" w:cs="Calibri"/>
          <w:i/>
          <w:sz w:val="22"/>
          <w:szCs w:val="22"/>
        </w:rPr>
        <w:t>(+3,1%)</w:t>
      </w:r>
      <w:r w:rsidR="00095600" w:rsidRPr="000738F2">
        <w:rPr>
          <w:rFonts w:ascii="Calibri" w:hAnsi="Calibri" w:cs="Calibri"/>
          <w:i/>
          <w:sz w:val="22"/>
          <w:szCs w:val="22"/>
        </w:rPr>
        <w:t>,</w:t>
      </w:r>
      <w:r w:rsidRPr="000738F2">
        <w:rPr>
          <w:rFonts w:ascii="Segoe UI" w:hAnsi="Segoe UI" w:cs="Segoe UI"/>
          <w:i/>
          <w:sz w:val="22"/>
          <w:szCs w:val="22"/>
        </w:rPr>
        <w:t xml:space="preserve"> </w:t>
      </w:r>
      <w:r w:rsidR="008F6B1F" w:rsidRPr="000738F2">
        <w:rPr>
          <w:rFonts w:ascii="Segoe UI" w:hAnsi="Segoe UI" w:cs="Segoe UI"/>
          <w:i/>
          <w:sz w:val="22"/>
          <w:szCs w:val="22"/>
        </w:rPr>
        <w:t>ha dimostrato di essere il settore più resiliente.</w:t>
      </w:r>
    </w:p>
    <w:p w:rsidR="00F200E5" w:rsidRPr="000738F2" w:rsidRDefault="008F6B1F" w:rsidP="000738F2">
      <w:pPr>
        <w:pStyle w:val="Paragrafoelenco"/>
        <w:numPr>
          <w:ilvl w:val="0"/>
          <w:numId w:val="11"/>
        </w:numPr>
        <w:spacing w:before="0" w:line="240" w:lineRule="auto"/>
        <w:rPr>
          <w:rFonts w:ascii="Segoe UI" w:hAnsi="Segoe UI" w:cs="Segoe UI"/>
          <w:i/>
          <w:sz w:val="22"/>
          <w:szCs w:val="22"/>
        </w:rPr>
      </w:pPr>
      <w:r w:rsidRPr="000738F2">
        <w:rPr>
          <w:rFonts w:ascii="Segoe UI" w:hAnsi="Segoe UI" w:cs="Segoe UI"/>
          <w:i/>
          <w:sz w:val="22"/>
          <w:szCs w:val="22"/>
        </w:rPr>
        <w:t>L</w:t>
      </w:r>
      <w:r w:rsidR="0088512F" w:rsidRPr="000738F2">
        <w:rPr>
          <w:rFonts w:ascii="Segoe UI" w:hAnsi="Segoe UI" w:cs="Segoe UI"/>
          <w:i/>
          <w:sz w:val="22"/>
          <w:szCs w:val="22"/>
        </w:rPr>
        <w:t>ogistica</w:t>
      </w:r>
      <w:r w:rsidRPr="000738F2">
        <w:rPr>
          <w:rFonts w:ascii="Segoe UI" w:hAnsi="Segoe UI" w:cs="Segoe UI"/>
          <w:i/>
          <w:sz w:val="22"/>
          <w:szCs w:val="22"/>
        </w:rPr>
        <w:t xml:space="preserve"> è il settore emergente</w:t>
      </w:r>
      <w:r w:rsidR="0088512F" w:rsidRPr="000738F2">
        <w:rPr>
          <w:rFonts w:ascii="Segoe UI" w:hAnsi="Segoe UI" w:cs="Segoe UI"/>
          <w:i/>
          <w:sz w:val="22"/>
          <w:szCs w:val="22"/>
        </w:rPr>
        <w:t xml:space="preserve">, </w:t>
      </w:r>
      <w:r w:rsidRPr="000738F2">
        <w:rPr>
          <w:rFonts w:ascii="Segoe UI" w:hAnsi="Segoe UI" w:cs="Segoe UI"/>
          <w:i/>
          <w:sz w:val="22"/>
          <w:szCs w:val="22"/>
        </w:rPr>
        <w:t>grazie al</w:t>
      </w:r>
      <w:r w:rsidR="0088512F" w:rsidRPr="000738F2">
        <w:rPr>
          <w:rFonts w:ascii="Segoe UI" w:hAnsi="Segoe UI" w:cs="Segoe UI"/>
          <w:i/>
          <w:sz w:val="22"/>
          <w:szCs w:val="22"/>
        </w:rPr>
        <w:t>l</w:t>
      </w:r>
      <w:r w:rsidR="0088512F" w:rsidRPr="000738F2">
        <w:rPr>
          <w:rFonts w:ascii="Calibri" w:eastAsia="Calibri" w:hAnsi="Calibri" w:cs="Calibri"/>
          <w:i/>
          <w:sz w:val="22"/>
          <w:szCs w:val="22"/>
        </w:rPr>
        <w:t>’</w:t>
      </w:r>
      <w:r w:rsidR="0088512F" w:rsidRPr="000738F2">
        <w:rPr>
          <w:rFonts w:ascii="Segoe UI" w:hAnsi="Segoe UI" w:cs="Segoe UI"/>
          <w:i/>
          <w:sz w:val="22"/>
          <w:szCs w:val="22"/>
        </w:rPr>
        <w:t>accelerazione data</w:t>
      </w:r>
      <w:r w:rsidR="00F200E5" w:rsidRPr="000738F2">
        <w:rPr>
          <w:rFonts w:ascii="Segoe UI" w:hAnsi="Segoe UI" w:cs="Segoe UI"/>
          <w:i/>
          <w:sz w:val="22"/>
          <w:szCs w:val="22"/>
        </w:rPr>
        <w:t xml:space="preserve"> all</w:t>
      </w:r>
      <w:r w:rsidR="00F200E5" w:rsidRPr="000738F2">
        <w:rPr>
          <w:rFonts w:ascii="Calibri" w:eastAsia="Calibri" w:hAnsi="Calibri" w:cs="Calibri"/>
          <w:i/>
          <w:sz w:val="22"/>
          <w:szCs w:val="22"/>
        </w:rPr>
        <w:t>’</w:t>
      </w:r>
      <w:r w:rsidR="00F200E5" w:rsidRPr="000738F2">
        <w:rPr>
          <w:rFonts w:ascii="Segoe UI" w:hAnsi="Segoe UI" w:cs="Segoe UI"/>
          <w:i/>
          <w:sz w:val="22"/>
          <w:szCs w:val="22"/>
        </w:rPr>
        <w:t>e-commerce dall</w:t>
      </w:r>
      <w:r w:rsidR="00201DFD" w:rsidRPr="000738F2">
        <w:rPr>
          <w:rFonts w:ascii="Calibri" w:eastAsia="Calibri" w:hAnsi="Calibri" w:cs="Calibri"/>
          <w:i/>
          <w:sz w:val="22"/>
          <w:szCs w:val="22"/>
        </w:rPr>
        <w:t>a pandemia</w:t>
      </w:r>
      <w:r w:rsidRPr="000738F2">
        <w:rPr>
          <w:rFonts w:ascii="Segoe UI" w:hAnsi="Segoe UI" w:cs="Segoe UI"/>
          <w:i/>
          <w:sz w:val="22"/>
          <w:szCs w:val="22"/>
        </w:rPr>
        <w:t>.</w:t>
      </w:r>
    </w:p>
    <w:p w:rsidR="008F6B1F" w:rsidRPr="000738F2" w:rsidRDefault="0088512F" w:rsidP="000738F2">
      <w:pPr>
        <w:pStyle w:val="Paragrafoelenco"/>
        <w:numPr>
          <w:ilvl w:val="0"/>
          <w:numId w:val="11"/>
        </w:numPr>
        <w:spacing w:before="0" w:line="240" w:lineRule="auto"/>
        <w:rPr>
          <w:rFonts w:ascii="Segoe UI" w:hAnsi="Segoe UI" w:cs="Segoe UI"/>
          <w:i/>
          <w:color w:val="000000" w:themeColor="text1"/>
          <w:sz w:val="22"/>
          <w:szCs w:val="22"/>
        </w:rPr>
      </w:pPr>
      <w:r w:rsidRPr="000738F2">
        <w:rPr>
          <w:rFonts w:ascii="Segoe UI" w:hAnsi="Segoe UI" w:cs="Segoe UI"/>
          <w:i/>
          <w:sz w:val="22"/>
          <w:szCs w:val="22"/>
        </w:rPr>
        <w:t>Gli uffici, nonostante il sensibile calo dell</w:t>
      </w:r>
      <w:r w:rsidRPr="000738F2">
        <w:rPr>
          <w:rFonts w:ascii="Calibri" w:eastAsia="Calibri" w:hAnsi="Calibri" w:cs="Calibri"/>
          <w:i/>
          <w:sz w:val="22"/>
          <w:szCs w:val="22"/>
        </w:rPr>
        <w:t>’</w:t>
      </w:r>
      <w:r w:rsidRPr="000738F2">
        <w:rPr>
          <w:rFonts w:ascii="Segoe UI" w:hAnsi="Segoe UI" w:cs="Segoe UI"/>
          <w:i/>
          <w:sz w:val="22"/>
          <w:szCs w:val="22"/>
        </w:rPr>
        <w:t>asso</w:t>
      </w:r>
      <w:r w:rsidR="00201DFD" w:rsidRPr="000738F2">
        <w:rPr>
          <w:rFonts w:ascii="Segoe UI" w:hAnsi="Segoe UI" w:cs="Segoe UI"/>
          <w:i/>
          <w:sz w:val="22"/>
          <w:szCs w:val="22"/>
        </w:rPr>
        <w:t>r</w:t>
      </w:r>
      <w:r w:rsidRPr="000738F2">
        <w:rPr>
          <w:rFonts w:ascii="Segoe UI" w:hAnsi="Segoe UI" w:cs="Segoe UI"/>
          <w:i/>
          <w:sz w:val="22"/>
          <w:szCs w:val="22"/>
        </w:rPr>
        <w:t>bimento, restano l</w:t>
      </w:r>
      <w:r w:rsidRPr="000738F2">
        <w:rPr>
          <w:rFonts w:ascii="Calibri" w:eastAsia="Calibri" w:hAnsi="Calibri" w:cs="Calibri"/>
          <w:i/>
          <w:sz w:val="22"/>
          <w:szCs w:val="22"/>
        </w:rPr>
        <w:t>’</w:t>
      </w:r>
      <w:r w:rsidRPr="000738F2">
        <w:rPr>
          <w:rFonts w:ascii="Segoe UI" w:hAnsi="Segoe UI" w:cs="Segoe UI"/>
          <w:i/>
          <w:sz w:val="22"/>
          <w:szCs w:val="22"/>
        </w:rPr>
        <w:t xml:space="preserve">asset class </w:t>
      </w:r>
      <w:r w:rsidRPr="000738F2">
        <w:rPr>
          <w:rFonts w:ascii="Segoe UI" w:hAnsi="Segoe UI" w:cs="Segoe UI"/>
          <w:i/>
          <w:color w:val="000000" w:themeColor="text1"/>
          <w:sz w:val="22"/>
          <w:szCs w:val="22"/>
        </w:rPr>
        <w:t xml:space="preserve">preferito dagli investitori, mentre il retail, </w:t>
      </w:r>
      <w:r w:rsidR="00024E9E" w:rsidRPr="000738F2">
        <w:rPr>
          <w:rFonts w:ascii="Segoe UI" w:hAnsi="Segoe UI" w:cs="Segoe UI"/>
          <w:i/>
          <w:color w:val="000000" w:themeColor="text1"/>
          <w:sz w:val="22"/>
          <w:szCs w:val="22"/>
        </w:rPr>
        <w:t>deve necessariamente scommettere sul</w:t>
      </w:r>
      <w:r w:rsidRPr="000738F2">
        <w:rPr>
          <w:rFonts w:ascii="Segoe UI" w:hAnsi="Segoe UI" w:cs="Segoe UI"/>
          <w:i/>
          <w:color w:val="000000" w:themeColor="text1"/>
          <w:sz w:val="22"/>
          <w:szCs w:val="22"/>
        </w:rPr>
        <w:t>l</w:t>
      </w:r>
      <w:r w:rsidRPr="000738F2">
        <w:rPr>
          <w:rFonts w:ascii="Calibri" w:eastAsia="Calibri" w:hAnsi="Calibri" w:cs="Calibri"/>
          <w:i/>
          <w:color w:val="000000" w:themeColor="text1"/>
          <w:sz w:val="22"/>
          <w:szCs w:val="22"/>
        </w:rPr>
        <w:t>’</w:t>
      </w:r>
      <w:r w:rsidR="00024E9E" w:rsidRPr="000738F2">
        <w:rPr>
          <w:rFonts w:ascii="Segoe UI" w:hAnsi="Segoe UI" w:cs="Segoe UI"/>
          <w:i/>
          <w:color w:val="000000" w:themeColor="text1"/>
          <w:sz w:val="22"/>
          <w:szCs w:val="22"/>
        </w:rPr>
        <w:t>omnicanalità</w:t>
      </w:r>
      <w:r w:rsidR="008F6B1F" w:rsidRPr="000738F2">
        <w:rPr>
          <w:rFonts w:ascii="Segoe UI" w:hAnsi="Segoe UI" w:cs="Segoe UI"/>
          <w:i/>
          <w:color w:val="000000" w:themeColor="text1"/>
          <w:sz w:val="22"/>
          <w:szCs w:val="22"/>
        </w:rPr>
        <w:t>.</w:t>
      </w:r>
    </w:p>
    <w:p w:rsidR="0088512F" w:rsidRPr="000738F2" w:rsidRDefault="008F6B1F" w:rsidP="000738F2">
      <w:pPr>
        <w:pStyle w:val="Paragrafoelenco"/>
        <w:numPr>
          <w:ilvl w:val="0"/>
          <w:numId w:val="11"/>
        </w:numPr>
        <w:spacing w:before="0" w:line="240" w:lineRule="auto"/>
        <w:rPr>
          <w:rFonts w:ascii="Segoe UI" w:hAnsi="Segoe UI" w:cs="Segoe UI"/>
          <w:i/>
          <w:color w:val="000000" w:themeColor="text1"/>
          <w:sz w:val="22"/>
          <w:szCs w:val="22"/>
        </w:rPr>
      </w:pPr>
      <w:r w:rsidRPr="000738F2">
        <w:rPr>
          <w:rFonts w:ascii="Segoe UI" w:hAnsi="Segoe UI" w:cs="Segoe UI"/>
          <w:i/>
          <w:color w:val="000000" w:themeColor="text1"/>
          <w:sz w:val="22"/>
          <w:szCs w:val="22"/>
        </w:rPr>
        <w:t>L</w:t>
      </w:r>
      <w:r w:rsidR="0088512F" w:rsidRPr="000738F2">
        <w:rPr>
          <w:rFonts w:ascii="Calibri" w:eastAsia="Calibri" w:hAnsi="Calibri" w:cs="Calibri"/>
          <w:i/>
          <w:color w:val="000000" w:themeColor="text1"/>
          <w:sz w:val="22"/>
          <w:szCs w:val="22"/>
        </w:rPr>
        <w:t>’</w:t>
      </w:r>
      <w:r w:rsidR="0088512F" w:rsidRPr="000738F2">
        <w:rPr>
          <w:rFonts w:ascii="Segoe UI" w:hAnsi="Segoe UI" w:cs="Segoe UI"/>
          <w:i/>
          <w:color w:val="000000" w:themeColor="text1"/>
          <w:sz w:val="22"/>
          <w:szCs w:val="22"/>
        </w:rPr>
        <w:t>alberghiero</w:t>
      </w:r>
      <w:r w:rsidR="00024E9E" w:rsidRPr="000738F2">
        <w:rPr>
          <w:rFonts w:ascii="Segoe UI" w:hAnsi="Segoe UI" w:cs="Segoe UI"/>
          <w:i/>
          <w:color w:val="000000" w:themeColor="text1"/>
          <w:sz w:val="22"/>
          <w:szCs w:val="22"/>
        </w:rPr>
        <w:t xml:space="preserve">, il cui futuro </w:t>
      </w:r>
      <w:r w:rsidRPr="000738F2">
        <w:rPr>
          <w:rFonts w:ascii="Segoe UI" w:hAnsi="Segoe UI" w:cs="Segoe UI"/>
          <w:i/>
          <w:color w:val="000000" w:themeColor="text1"/>
          <w:sz w:val="22"/>
          <w:szCs w:val="22"/>
        </w:rPr>
        <w:t>potrà beneficiare della diffusione</w:t>
      </w:r>
      <w:r w:rsidR="00F200E5" w:rsidRPr="000738F2">
        <w:rPr>
          <w:rFonts w:ascii="Segoe UI" w:hAnsi="Segoe UI" w:cs="Segoe UI"/>
          <w:i/>
          <w:color w:val="000000" w:themeColor="text1"/>
          <w:sz w:val="22"/>
          <w:szCs w:val="22"/>
        </w:rPr>
        <w:t xml:space="preserve"> smart working, </w:t>
      </w:r>
      <w:r w:rsidRPr="000738F2">
        <w:rPr>
          <w:rFonts w:ascii="Segoe UI" w:hAnsi="Segoe UI" w:cs="Segoe UI"/>
          <w:i/>
          <w:color w:val="000000" w:themeColor="text1"/>
          <w:sz w:val="22"/>
          <w:szCs w:val="22"/>
        </w:rPr>
        <w:t>potrà puntare sulla riconversione di spazi e la contaminazione tra business e leisure.</w:t>
      </w:r>
    </w:p>
    <w:p w:rsidR="00691199" w:rsidRDefault="00691199" w:rsidP="00A27921">
      <w:pPr>
        <w:spacing w:before="0"/>
        <w:jc w:val="both"/>
        <w:rPr>
          <w:rFonts w:ascii="Segoe UI" w:hAnsi="Segoe UI" w:cs="Segoe UI"/>
          <w:color w:val="000000" w:themeColor="text1"/>
          <w:sz w:val="22"/>
          <w:szCs w:val="22"/>
        </w:rPr>
      </w:pPr>
    </w:p>
    <w:p w:rsidR="00A27921" w:rsidRPr="000738F2" w:rsidRDefault="00A27921" w:rsidP="00A27921">
      <w:pPr>
        <w:spacing w:before="0"/>
        <w:jc w:val="both"/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</w:pPr>
      <w:r w:rsidRPr="00A27921">
        <w:rPr>
          <w:rFonts w:ascii="Segoe UI" w:hAnsi="Segoe UI" w:cs="Segoe UI"/>
          <w:color w:val="000000" w:themeColor="text1"/>
          <w:sz w:val="22"/>
          <w:szCs w:val="22"/>
        </w:rPr>
        <w:t>L’</w:t>
      </w:r>
      <w:r w:rsidR="00E77DDE">
        <w:rPr>
          <w:rFonts w:ascii="Segoe UI" w:hAnsi="Segoe UI" w:cs="Segoe UI"/>
          <w:color w:val="000000" w:themeColor="text1"/>
          <w:sz w:val="22"/>
          <w:szCs w:val="22"/>
        </w:rPr>
        <w:t>U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 xml:space="preserve">fficio </w:t>
      </w:r>
      <w:r w:rsidR="00822235">
        <w:rPr>
          <w:rFonts w:ascii="Segoe UI" w:hAnsi="Segoe UI" w:cs="Segoe UI"/>
          <w:color w:val="000000" w:themeColor="text1"/>
          <w:sz w:val="22"/>
          <w:szCs w:val="22"/>
        </w:rPr>
        <w:t>S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>tudi Gabetti e Patrigest,</w:t>
      </w:r>
      <w:r w:rsidR="00BA2355">
        <w:rPr>
          <w:rFonts w:ascii="Segoe UI" w:hAnsi="Segoe UI" w:cs="Segoe UI"/>
          <w:color w:val="000000" w:themeColor="text1"/>
          <w:sz w:val="22"/>
          <w:szCs w:val="22"/>
        </w:rPr>
        <w:t xml:space="preserve"> -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 xml:space="preserve"> società di consulenza del Gruppo Gabetti specializzata in Valuation &amp; Advisory per la gestione del patrimonio immobiliare</w:t>
      </w:r>
      <w:r w:rsidR="00BA2355">
        <w:rPr>
          <w:rFonts w:ascii="Segoe UI" w:hAnsi="Segoe UI" w:cs="Segoe UI"/>
          <w:color w:val="000000" w:themeColor="text1"/>
          <w:sz w:val="22"/>
          <w:szCs w:val="22"/>
        </w:rPr>
        <w:t xml:space="preserve"> -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 xml:space="preserve"> hanno elaborato uno studio che fa il punto su quanto accaduto nel </w:t>
      </w:r>
      <w:r w:rsidR="00BA2355">
        <w:rPr>
          <w:rFonts w:ascii="Segoe UI" w:hAnsi="Segoe UI" w:cs="Segoe UI"/>
          <w:color w:val="000000" w:themeColor="text1"/>
          <w:sz w:val="22"/>
          <w:szCs w:val="22"/>
        </w:rPr>
        <w:t>mondo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 xml:space="preserve"> del real estate, settore per settore, nei primi </w:t>
      </w:r>
      <w:r w:rsidR="00BA2355">
        <w:rPr>
          <w:rFonts w:ascii="Segoe UI" w:hAnsi="Segoe UI" w:cs="Segoe UI"/>
          <w:color w:val="000000" w:themeColor="text1"/>
          <w:sz w:val="22"/>
          <w:szCs w:val="22"/>
        </w:rPr>
        <w:t>9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 xml:space="preserve"> mesi dell’anno. Il report </w:t>
      </w:r>
      <w:r w:rsidR="00BA2355">
        <w:rPr>
          <w:rFonts w:ascii="Segoe UI" w:hAnsi="Segoe UI" w:cs="Segoe UI"/>
          <w:color w:val="000000" w:themeColor="text1"/>
          <w:sz w:val="22"/>
          <w:szCs w:val="22"/>
        </w:rPr>
        <w:t xml:space="preserve">analizza </w:t>
      </w:r>
      <w:r w:rsidR="003D0D59">
        <w:rPr>
          <w:rFonts w:ascii="Segoe UI" w:hAnsi="Segoe UI" w:cs="Segoe UI"/>
          <w:color w:val="000000" w:themeColor="text1"/>
          <w:sz w:val="22"/>
          <w:szCs w:val="22"/>
        </w:rPr>
        <w:t xml:space="preserve">anche 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>gli impatti e i trend futuri n</w:t>
      </w:r>
      <w:r w:rsidR="00BA2355">
        <w:rPr>
          <w:rFonts w:ascii="Segoe UI" w:hAnsi="Segoe UI" w:cs="Segoe UI"/>
          <w:color w:val="000000" w:themeColor="text1"/>
          <w:sz w:val="22"/>
          <w:szCs w:val="22"/>
        </w:rPr>
        <w:t>ei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r w:rsidR="00BA2355">
        <w:rPr>
          <w:rFonts w:ascii="Segoe UI" w:hAnsi="Segoe UI" w:cs="Segoe UI"/>
          <w:color w:val="000000" w:themeColor="text1"/>
          <w:sz w:val="22"/>
          <w:szCs w:val="22"/>
        </w:rPr>
        <w:t>comparti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 xml:space="preserve"> residenziale, uffici, retail, alberghiero e logistico.</w:t>
      </w:r>
    </w:p>
    <w:p w:rsidR="00A27921" w:rsidRPr="000738F2" w:rsidRDefault="00A27921">
      <w:pPr>
        <w:jc w:val="center"/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</w:pPr>
      <w:r w:rsidRPr="000738F2"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  <w:t>SETTORE RESIDENZIALE</w:t>
      </w:r>
    </w:p>
    <w:p w:rsidR="00A27921" w:rsidRPr="00A27921" w:rsidRDefault="00A27921" w:rsidP="00A27921">
      <w:pPr>
        <w:rPr>
          <w:rFonts w:ascii="Segoe UI" w:hAnsi="Segoe UI" w:cs="Segoe UI"/>
          <w:b/>
          <w:color w:val="000000" w:themeColor="text1"/>
          <w:sz w:val="22"/>
          <w:szCs w:val="22"/>
        </w:rPr>
      </w:pPr>
      <w:r w:rsidRPr="00A27921">
        <w:rPr>
          <w:rFonts w:ascii="Segoe UI" w:hAnsi="Segoe UI" w:cs="Segoe UI"/>
          <w:b/>
          <w:color w:val="000000" w:themeColor="text1"/>
          <w:sz w:val="22"/>
          <w:szCs w:val="22"/>
        </w:rPr>
        <w:t>KEY DATA</w:t>
      </w:r>
    </w:p>
    <w:p w:rsidR="00A27921" w:rsidRPr="00187562" w:rsidRDefault="00691199" w:rsidP="00A27921">
      <w:pPr>
        <w:widowControl w:val="0"/>
        <w:tabs>
          <w:tab w:val="left" w:pos="580"/>
          <w:tab w:val="right" w:pos="10460"/>
        </w:tabs>
        <w:autoSpaceDE w:val="0"/>
        <w:autoSpaceDN w:val="0"/>
        <w:adjustRightInd w:val="0"/>
        <w:spacing w:line="264" w:lineRule="auto"/>
        <w:jc w:val="both"/>
        <w:rPr>
          <w:rFonts w:ascii="Segoe UI" w:hAnsi="Segoe UI" w:cs="Segoe UI"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64135</wp:posOffset>
            </wp:positionV>
            <wp:extent cx="3268980" cy="2138045"/>
            <wp:effectExtent l="0" t="0" r="7620" b="0"/>
            <wp:wrapThrough wrapText="bothSides">
              <wp:wrapPolygon edited="0">
                <wp:start x="0" y="0"/>
                <wp:lineTo x="0" y="21363"/>
                <wp:lineTo x="21524" y="21363"/>
                <wp:lineTo x="21524" y="0"/>
                <wp:lineTo x="0" y="0"/>
              </wp:wrapPolygon>
            </wp:wrapThrough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921" w:rsidRPr="00A27921">
        <w:rPr>
          <w:rFonts w:ascii="Segoe UI" w:hAnsi="Segoe UI" w:cs="Segoe UI"/>
          <w:sz w:val="22"/>
          <w:szCs w:val="22"/>
        </w:rPr>
        <w:t xml:space="preserve">Nei primi 9 mesi del 2020, secondo i dati dell’Agenzia delle Entrate, si sono realizzate </w:t>
      </w:r>
      <w:r w:rsidR="00A27921" w:rsidRPr="00A27921">
        <w:rPr>
          <w:rFonts w:ascii="Segoe UI" w:eastAsia="Times New Roman" w:hAnsi="Segoe UI" w:cs="Segoe UI"/>
          <w:b/>
          <w:bCs/>
          <w:color w:val="000000"/>
          <w:sz w:val="22"/>
          <w:szCs w:val="22"/>
          <w:lang w:eastAsia="it-IT"/>
        </w:rPr>
        <w:t xml:space="preserve">374.545 </w:t>
      </w:r>
      <w:r w:rsidR="00A27921" w:rsidRPr="00A27921">
        <w:rPr>
          <w:rFonts w:ascii="Segoe UI" w:hAnsi="Segoe UI" w:cs="Segoe UI"/>
          <w:b/>
          <w:sz w:val="22"/>
          <w:szCs w:val="22"/>
        </w:rPr>
        <w:t>transazioni residenziali</w:t>
      </w:r>
      <w:r w:rsidR="00A27921" w:rsidRPr="00767AA1">
        <w:rPr>
          <w:rFonts w:ascii="Segoe UI" w:hAnsi="Segoe UI" w:cs="Segoe UI"/>
          <w:sz w:val="22"/>
          <w:szCs w:val="22"/>
        </w:rPr>
        <w:t>,</w:t>
      </w:r>
      <w:r w:rsidR="00A27921" w:rsidRPr="00A27921">
        <w:rPr>
          <w:rFonts w:ascii="Segoe UI" w:hAnsi="Segoe UI" w:cs="Segoe UI"/>
          <w:b/>
          <w:sz w:val="22"/>
          <w:szCs w:val="22"/>
        </w:rPr>
        <w:t xml:space="preserve"> -13,9% </w:t>
      </w:r>
      <w:r w:rsidR="00A27921" w:rsidRPr="00A27921">
        <w:rPr>
          <w:rFonts w:ascii="Segoe UI" w:hAnsi="Segoe UI" w:cs="Segoe UI"/>
          <w:sz w:val="22"/>
          <w:szCs w:val="22"/>
        </w:rPr>
        <w:t xml:space="preserve">rispetto allo stesso periodo del 2019. </w:t>
      </w:r>
      <w:r w:rsidR="00A27921" w:rsidRPr="00187562">
        <w:rPr>
          <w:rFonts w:ascii="Segoe UI" w:hAnsi="Segoe UI" w:cs="Segoe UI"/>
          <w:sz w:val="22"/>
          <w:szCs w:val="22"/>
        </w:rPr>
        <w:t xml:space="preserve">Il terzo trimestre, con una variazione del +3,1%, ha segnato un’inversione di tendenza rispetto ai </w:t>
      </w:r>
      <w:r w:rsidR="00720886">
        <w:rPr>
          <w:rFonts w:ascii="Segoe UI" w:hAnsi="Segoe UI" w:cs="Segoe UI"/>
          <w:sz w:val="22"/>
          <w:szCs w:val="22"/>
        </w:rPr>
        <w:t>2</w:t>
      </w:r>
      <w:r w:rsidR="00A27921" w:rsidRPr="00187562">
        <w:rPr>
          <w:rFonts w:ascii="Segoe UI" w:hAnsi="Segoe UI" w:cs="Segoe UI"/>
          <w:sz w:val="22"/>
          <w:szCs w:val="22"/>
        </w:rPr>
        <w:t xml:space="preserve"> </w:t>
      </w:r>
      <w:r w:rsidR="00FB20C5">
        <w:rPr>
          <w:rFonts w:ascii="Segoe UI" w:hAnsi="Segoe UI" w:cs="Segoe UI"/>
          <w:sz w:val="22"/>
          <w:szCs w:val="22"/>
        </w:rPr>
        <w:t>trimestri</w:t>
      </w:r>
      <w:r w:rsidR="00A27921" w:rsidRPr="00187562">
        <w:rPr>
          <w:rFonts w:ascii="Segoe UI" w:hAnsi="Segoe UI" w:cs="Segoe UI"/>
          <w:sz w:val="22"/>
          <w:szCs w:val="22"/>
        </w:rPr>
        <w:t xml:space="preserve"> precedenti, che avevano risentito maggiormente dell’impatto dell’emergenza sanitaria e del</w:t>
      </w:r>
      <w:r w:rsidR="00075944">
        <w:rPr>
          <w:rFonts w:ascii="Segoe UI" w:hAnsi="Segoe UI" w:cs="Segoe UI"/>
          <w:sz w:val="22"/>
          <w:szCs w:val="22"/>
        </w:rPr>
        <w:t xml:space="preserve"> </w:t>
      </w:r>
      <w:r w:rsidR="00A27921" w:rsidRPr="00187562">
        <w:rPr>
          <w:rFonts w:ascii="Segoe UI" w:hAnsi="Segoe UI" w:cs="Segoe UI"/>
          <w:sz w:val="22"/>
          <w:szCs w:val="22"/>
        </w:rPr>
        <w:t>lockdown. A crescere sono stati soprattutto i comuni non capoluogo, +8,1%, a fronte di un calo complessivo per i comuni capoluogo (-6,7%).</w:t>
      </w:r>
    </w:p>
    <w:p w:rsidR="00691199" w:rsidRDefault="00691199" w:rsidP="004E7C15">
      <w:pPr>
        <w:jc w:val="both"/>
        <w:rPr>
          <w:rFonts w:ascii="Segoe UI" w:hAnsi="Segoe UI" w:cs="Segoe UI"/>
          <w:sz w:val="22"/>
          <w:szCs w:val="22"/>
        </w:rPr>
      </w:pPr>
    </w:p>
    <w:p w:rsidR="00691199" w:rsidRDefault="00691199" w:rsidP="004E7C15">
      <w:pPr>
        <w:jc w:val="both"/>
        <w:rPr>
          <w:rFonts w:ascii="Segoe UI" w:hAnsi="Segoe UI" w:cs="Segoe UI"/>
          <w:sz w:val="22"/>
          <w:szCs w:val="22"/>
        </w:rPr>
      </w:pPr>
    </w:p>
    <w:p w:rsidR="00187562" w:rsidRDefault="00A27921" w:rsidP="004E7C15">
      <w:pPr>
        <w:jc w:val="both"/>
        <w:rPr>
          <w:rFonts w:ascii="Segoe UI" w:hAnsi="Segoe UI" w:cs="Segoe UI"/>
          <w:b/>
          <w:sz w:val="22"/>
          <w:szCs w:val="22"/>
        </w:rPr>
      </w:pPr>
      <w:r w:rsidRPr="00187562">
        <w:rPr>
          <w:rFonts w:ascii="Segoe UI" w:hAnsi="Segoe UI" w:cs="Segoe UI"/>
          <w:sz w:val="22"/>
          <w:szCs w:val="22"/>
        </w:rPr>
        <w:lastRenderedPageBreak/>
        <w:t>Secondo le rilevazioni operate presso le agenzie del network</w:t>
      </w:r>
      <w:r w:rsidR="00075944">
        <w:rPr>
          <w:rFonts w:ascii="Segoe UI" w:hAnsi="Segoe UI" w:cs="Segoe UI"/>
          <w:sz w:val="22"/>
          <w:szCs w:val="22"/>
        </w:rPr>
        <w:t xml:space="preserve"> </w:t>
      </w:r>
      <w:r w:rsidR="00075944">
        <w:rPr>
          <w:rFonts w:ascii="Calibri" w:hAnsi="Calibri" w:cs="Calibri"/>
          <w:sz w:val="22"/>
          <w:szCs w:val="22"/>
        </w:rPr>
        <w:t>(Gabetti, Prefessionecasa e Grimaldi)</w:t>
      </w:r>
      <w:r w:rsidRPr="00187562">
        <w:rPr>
          <w:rFonts w:ascii="Segoe UI" w:hAnsi="Segoe UI" w:cs="Segoe UI"/>
          <w:sz w:val="22"/>
          <w:szCs w:val="22"/>
        </w:rPr>
        <w:t xml:space="preserve">, nei primi </w:t>
      </w:r>
      <w:r w:rsidR="00720886">
        <w:rPr>
          <w:rFonts w:ascii="Segoe UI" w:hAnsi="Segoe UI" w:cs="Segoe UI"/>
          <w:sz w:val="22"/>
          <w:szCs w:val="22"/>
        </w:rPr>
        <w:t>9</w:t>
      </w:r>
      <w:r w:rsidRPr="00187562">
        <w:rPr>
          <w:rFonts w:ascii="Segoe UI" w:hAnsi="Segoe UI" w:cs="Segoe UI"/>
          <w:sz w:val="22"/>
          <w:szCs w:val="22"/>
        </w:rPr>
        <w:t xml:space="preserve"> mesi del 2020 nelle grandi città si è registrata una variazione dei </w:t>
      </w:r>
      <w:r w:rsidRPr="00187562">
        <w:rPr>
          <w:rFonts w:ascii="Segoe UI" w:hAnsi="Segoe UI" w:cs="Segoe UI"/>
          <w:b/>
          <w:sz w:val="22"/>
          <w:szCs w:val="22"/>
        </w:rPr>
        <w:t>prezzi</w:t>
      </w:r>
      <w:r w:rsidRPr="00187562">
        <w:rPr>
          <w:rFonts w:ascii="Segoe UI" w:hAnsi="Segoe UI" w:cs="Segoe UI"/>
          <w:sz w:val="22"/>
          <w:szCs w:val="22"/>
        </w:rPr>
        <w:t xml:space="preserve"> intorno al </w:t>
      </w:r>
      <w:r w:rsidRPr="00187562">
        <w:rPr>
          <w:rFonts w:ascii="Segoe UI" w:hAnsi="Segoe UI" w:cs="Segoe UI"/>
          <w:b/>
          <w:sz w:val="22"/>
          <w:szCs w:val="22"/>
        </w:rPr>
        <w:t>-1,1%</w:t>
      </w:r>
      <w:r w:rsidRPr="00187562">
        <w:rPr>
          <w:rFonts w:ascii="Segoe UI" w:hAnsi="Segoe UI" w:cs="Segoe UI"/>
          <w:sz w:val="22"/>
          <w:szCs w:val="22"/>
        </w:rPr>
        <w:t>, rispetto al</w:t>
      </w:r>
      <w:r w:rsidR="00720886">
        <w:rPr>
          <w:rFonts w:ascii="Segoe UI" w:hAnsi="Segoe UI" w:cs="Segoe UI"/>
          <w:sz w:val="22"/>
          <w:szCs w:val="22"/>
        </w:rPr>
        <w:t xml:space="preserve"> 2019</w:t>
      </w:r>
      <w:r w:rsidRPr="00187562">
        <w:rPr>
          <w:rFonts w:ascii="Segoe UI" w:hAnsi="Segoe UI" w:cs="Segoe UI"/>
          <w:sz w:val="22"/>
          <w:szCs w:val="22"/>
        </w:rPr>
        <w:t xml:space="preserve">. I </w:t>
      </w:r>
      <w:r w:rsidRPr="00187562">
        <w:rPr>
          <w:rFonts w:ascii="Segoe UI" w:hAnsi="Segoe UI" w:cs="Segoe UI"/>
          <w:b/>
          <w:sz w:val="22"/>
          <w:szCs w:val="22"/>
        </w:rPr>
        <w:t>tempi</w:t>
      </w:r>
      <w:r w:rsidRPr="00187562">
        <w:rPr>
          <w:rFonts w:ascii="Segoe UI" w:hAnsi="Segoe UI" w:cs="Segoe UI"/>
          <w:sz w:val="22"/>
          <w:szCs w:val="22"/>
        </w:rPr>
        <w:t xml:space="preserve"> di vendita sono rimasti stabili su una media di </w:t>
      </w:r>
      <w:r w:rsidRPr="00187562">
        <w:rPr>
          <w:rFonts w:ascii="Segoe UI" w:hAnsi="Segoe UI" w:cs="Segoe UI"/>
          <w:b/>
          <w:sz w:val="22"/>
          <w:szCs w:val="22"/>
        </w:rPr>
        <w:t>4,5 mesi</w:t>
      </w:r>
      <w:r w:rsidRPr="00187562">
        <w:rPr>
          <w:rFonts w:ascii="Segoe UI" w:hAnsi="Segoe UI" w:cs="Segoe UI"/>
          <w:sz w:val="22"/>
          <w:szCs w:val="22"/>
        </w:rPr>
        <w:t xml:space="preserve">, così come gli </w:t>
      </w:r>
      <w:r w:rsidRPr="00187562">
        <w:rPr>
          <w:rFonts w:ascii="Segoe UI" w:hAnsi="Segoe UI" w:cs="Segoe UI"/>
          <w:b/>
          <w:sz w:val="22"/>
          <w:szCs w:val="22"/>
        </w:rPr>
        <w:t>sconti</w:t>
      </w:r>
      <w:r w:rsidRPr="00187562">
        <w:rPr>
          <w:rFonts w:ascii="Segoe UI" w:hAnsi="Segoe UI" w:cs="Segoe UI"/>
          <w:sz w:val="22"/>
          <w:szCs w:val="22"/>
        </w:rPr>
        <w:t xml:space="preserve"> in sede di chiusura delle trattative intorno al </w:t>
      </w:r>
      <w:r w:rsidRPr="00187562">
        <w:rPr>
          <w:rFonts w:ascii="Segoe UI" w:hAnsi="Segoe UI" w:cs="Segoe UI"/>
          <w:b/>
          <w:sz w:val="22"/>
          <w:szCs w:val="22"/>
        </w:rPr>
        <w:t>12%.</w:t>
      </w:r>
    </w:p>
    <w:p w:rsidR="00A27921" w:rsidRPr="00A27921" w:rsidRDefault="00A27921" w:rsidP="00A27921">
      <w:pPr>
        <w:jc w:val="both"/>
        <w:rPr>
          <w:rFonts w:ascii="Segoe UI" w:hAnsi="Segoe UI" w:cs="Segoe UI"/>
          <w:b/>
          <w:sz w:val="22"/>
          <w:szCs w:val="22"/>
        </w:rPr>
      </w:pPr>
      <w:r w:rsidRPr="00A27921">
        <w:rPr>
          <w:rFonts w:ascii="Segoe UI" w:hAnsi="Segoe UI" w:cs="Segoe UI"/>
          <w:b/>
          <w:sz w:val="22"/>
          <w:szCs w:val="22"/>
        </w:rPr>
        <w:t>PREVISIONI</w:t>
      </w:r>
    </w:p>
    <w:p w:rsidR="00A27921" w:rsidRPr="00187562" w:rsidRDefault="00A27921" w:rsidP="00A27921">
      <w:pPr>
        <w:jc w:val="both"/>
        <w:rPr>
          <w:rFonts w:ascii="Segoe UI" w:eastAsia="Times New Roman" w:hAnsi="Segoe UI" w:cs="Segoe UI"/>
          <w:kern w:val="28"/>
          <w:sz w:val="22"/>
          <w:szCs w:val="22"/>
          <w:lang w:eastAsia="it-IT"/>
        </w:rPr>
      </w:pPr>
      <w:r w:rsidRPr="00187562">
        <w:rPr>
          <w:rFonts w:ascii="Segoe UI" w:eastAsia="Times New Roman" w:hAnsi="Segoe UI" w:cs="Segoe UI"/>
          <w:kern w:val="28"/>
          <w:sz w:val="22"/>
          <w:szCs w:val="22"/>
          <w:lang w:eastAsia="it-IT"/>
        </w:rPr>
        <w:t xml:space="preserve">Per la chiusura del 2020 si </w:t>
      </w:r>
      <w:r w:rsidR="00E61933">
        <w:rPr>
          <w:rFonts w:ascii="Segoe UI" w:eastAsia="Times New Roman" w:hAnsi="Segoe UI" w:cs="Segoe UI"/>
          <w:kern w:val="28"/>
          <w:sz w:val="22"/>
          <w:szCs w:val="22"/>
          <w:lang w:eastAsia="it-IT"/>
        </w:rPr>
        <w:t>stima</w:t>
      </w:r>
      <w:r w:rsidRPr="00187562">
        <w:rPr>
          <w:rFonts w:ascii="Segoe UI" w:eastAsia="Times New Roman" w:hAnsi="Segoe UI" w:cs="Segoe UI"/>
          <w:kern w:val="28"/>
          <w:sz w:val="22"/>
          <w:szCs w:val="22"/>
          <w:lang w:eastAsia="it-IT"/>
        </w:rPr>
        <w:t xml:space="preserve"> una lieve flessione dei prezzi solamente per le zone periferiche o per gli asset che per tipologia e dimensione non incontrano l’attuale domanda abitativa, in un contesto di compravendite che potrebbe calare nell’ordine del 15-20%. </w:t>
      </w:r>
    </w:p>
    <w:p w:rsidR="00A27921" w:rsidRPr="00187562" w:rsidRDefault="00A27921" w:rsidP="00A27921">
      <w:pPr>
        <w:jc w:val="both"/>
        <w:rPr>
          <w:rFonts w:ascii="Segoe UI" w:eastAsia="Times New Roman" w:hAnsi="Segoe UI" w:cs="Segoe UI"/>
          <w:kern w:val="28"/>
          <w:sz w:val="22"/>
          <w:szCs w:val="22"/>
          <w:lang w:eastAsia="it-IT"/>
        </w:rPr>
      </w:pPr>
      <w:r w:rsidRPr="00187562">
        <w:rPr>
          <w:rFonts w:ascii="Segoe UI" w:eastAsia="Times New Roman" w:hAnsi="Segoe UI" w:cs="Segoe UI"/>
          <w:kern w:val="28"/>
          <w:sz w:val="22"/>
          <w:szCs w:val="22"/>
          <w:lang w:eastAsia="it-IT"/>
        </w:rPr>
        <w:t>Il Decreto Rilancio di maggio 2020</w:t>
      </w:r>
      <w:r w:rsidR="000333E9">
        <w:rPr>
          <w:rFonts w:ascii="Segoe UI" w:eastAsia="Times New Roman" w:hAnsi="Segoe UI" w:cs="Segoe UI"/>
          <w:kern w:val="28"/>
          <w:sz w:val="22"/>
          <w:szCs w:val="22"/>
          <w:lang w:eastAsia="it-IT"/>
        </w:rPr>
        <w:t xml:space="preserve"> </w:t>
      </w:r>
      <w:r w:rsidRPr="00187562">
        <w:rPr>
          <w:rFonts w:ascii="Segoe UI" w:eastAsia="Times New Roman" w:hAnsi="Segoe UI" w:cs="Segoe UI"/>
          <w:kern w:val="28"/>
          <w:sz w:val="22"/>
          <w:szCs w:val="22"/>
          <w:lang w:eastAsia="it-IT"/>
        </w:rPr>
        <w:t>ha aperto importanti opportunità di sviluppo per il settore</w:t>
      </w:r>
      <w:r w:rsidR="000333E9">
        <w:rPr>
          <w:rFonts w:ascii="Segoe UI" w:eastAsia="Times New Roman" w:hAnsi="Segoe UI" w:cs="Segoe UI"/>
          <w:kern w:val="28"/>
          <w:sz w:val="22"/>
          <w:szCs w:val="22"/>
          <w:lang w:eastAsia="it-IT"/>
        </w:rPr>
        <w:t xml:space="preserve"> immobiliare</w:t>
      </w:r>
      <w:r w:rsidR="003E7B71">
        <w:rPr>
          <w:rFonts w:ascii="Segoe UI" w:eastAsia="Times New Roman" w:hAnsi="Segoe UI" w:cs="Segoe UI"/>
          <w:kern w:val="28"/>
          <w:sz w:val="22"/>
          <w:szCs w:val="22"/>
          <w:lang w:eastAsia="it-IT"/>
        </w:rPr>
        <w:t xml:space="preserve"> che si concretizzeranno soprattutto nel 2021</w:t>
      </w:r>
      <w:r w:rsidRPr="00187562">
        <w:rPr>
          <w:rFonts w:ascii="Segoe UI" w:eastAsia="Times New Roman" w:hAnsi="Segoe UI" w:cs="Segoe UI"/>
          <w:kern w:val="28"/>
          <w:sz w:val="22"/>
          <w:szCs w:val="22"/>
          <w:lang w:eastAsia="it-IT"/>
        </w:rPr>
        <w:t>, grazie all’innalzamento delle detrazioni fiscali al 110% per specifici interventi di efficien</w:t>
      </w:r>
      <w:r w:rsidR="00985D74">
        <w:rPr>
          <w:rFonts w:ascii="Segoe UI" w:eastAsia="Times New Roman" w:hAnsi="Segoe UI" w:cs="Segoe UI"/>
          <w:kern w:val="28"/>
          <w:sz w:val="22"/>
          <w:szCs w:val="22"/>
          <w:lang w:eastAsia="it-IT"/>
        </w:rPr>
        <w:t>tamento</w:t>
      </w:r>
      <w:r w:rsidRPr="00187562">
        <w:rPr>
          <w:rFonts w:ascii="Segoe UI" w:eastAsia="Times New Roman" w:hAnsi="Segoe UI" w:cs="Segoe UI"/>
          <w:kern w:val="28"/>
          <w:sz w:val="22"/>
          <w:szCs w:val="22"/>
          <w:lang w:eastAsia="it-IT"/>
        </w:rPr>
        <w:t xml:space="preserve"> energetic</w:t>
      </w:r>
      <w:r w:rsidR="00985D74">
        <w:rPr>
          <w:rFonts w:ascii="Segoe UI" w:eastAsia="Times New Roman" w:hAnsi="Segoe UI" w:cs="Segoe UI"/>
          <w:kern w:val="28"/>
          <w:sz w:val="22"/>
          <w:szCs w:val="22"/>
          <w:lang w:eastAsia="it-IT"/>
        </w:rPr>
        <w:t>o</w:t>
      </w:r>
      <w:r w:rsidRPr="00187562">
        <w:rPr>
          <w:rFonts w:ascii="Segoe UI" w:eastAsia="Times New Roman" w:hAnsi="Segoe UI" w:cs="Segoe UI"/>
          <w:kern w:val="28"/>
          <w:sz w:val="22"/>
          <w:szCs w:val="22"/>
          <w:lang w:eastAsia="it-IT"/>
        </w:rPr>
        <w:t>, antisismici, installazione di impianti fotovoltaici</w:t>
      </w:r>
      <w:r w:rsidR="00E61933">
        <w:rPr>
          <w:rFonts w:ascii="Segoe UI" w:eastAsia="Times New Roman" w:hAnsi="Segoe UI" w:cs="Segoe UI"/>
          <w:kern w:val="28"/>
          <w:sz w:val="22"/>
          <w:szCs w:val="22"/>
          <w:lang w:eastAsia="it-IT"/>
        </w:rPr>
        <w:t>,</w:t>
      </w:r>
      <w:r w:rsidRPr="00187562">
        <w:rPr>
          <w:rFonts w:ascii="Segoe UI" w:eastAsia="Times New Roman" w:hAnsi="Segoe UI" w:cs="Segoe UI"/>
          <w:kern w:val="28"/>
          <w:sz w:val="22"/>
          <w:szCs w:val="22"/>
          <w:lang w:eastAsia="it-IT"/>
        </w:rPr>
        <w:t xml:space="preserve"> nonché delle infrastrutture per la ricarica di veicoli elettrici negli edifici.</w:t>
      </w:r>
    </w:p>
    <w:p w:rsidR="00A27921" w:rsidRPr="00A27921" w:rsidRDefault="00A27921" w:rsidP="00A27921">
      <w:pPr>
        <w:jc w:val="both"/>
        <w:rPr>
          <w:rFonts w:ascii="Segoe UI" w:hAnsi="Segoe UI" w:cs="Segoe UI"/>
          <w:b/>
          <w:sz w:val="22"/>
          <w:szCs w:val="22"/>
        </w:rPr>
      </w:pPr>
      <w:r w:rsidRPr="00A27921">
        <w:rPr>
          <w:rFonts w:ascii="Segoe UI" w:hAnsi="Segoe UI" w:cs="Segoe UI"/>
          <w:b/>
          <w:sz w:val="22"/>
          <w:szCs w:val="22"/>
        </w:rPr>
        <w:t>NUOVI TREND DELLA DOMANDA</w:t>
      </w:r>
    </w:p>
    <w:p w:rsidR="00A27921" w:rsidRPr="00A27921" w:rsidRDefault="00187562" w:rsidP="00A27921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C</w:t>
      </w:r>
      <w:r w:rsidR="00A27921" w:rsidRPr="00A27921">
        <w:rPr>
          <w:rFonts w:ascii="Segoe UI" w:hAnsi="Segoe UI" w:cs="Segoe UI"/>
          <w:b/>
          <w:sz w:val="22"/>
          <w:szCs w:val="22"/>
        </w:rPr>
        <w:t>asa polifunzionale</w:t>
      </w:r>
      <w:r w:rsidR="00A27921" w:rsidRPr="00A27921">
        <w:rPr>
          <w:rFonts w:ascii="Segoe UI" w:hAnsi="Segoe UI" w:cs="Segoe UI"/>
          <w:sz w:val="22"/>
          <w:szCs w:val="22"/>
        </w:rPr>
        <w:t>, di dimensioni più ampie e spazi modulabili</w:t>
      </w:r>
      <w:r w:rsidR="00AB7FAE">
        <w:rPr>
          <w:rFonts w:ascii="Segoe UI" w:hAnsi="Segoe UI" w:cs="Segoe UI"/>
          <w:sz w:val="22"/>
          <w:szCs w:val="22"/>
        </w:rPr>
        <w:t xml:space="preserve"> anche per lo smart working</w:t>
      </w:r>
    </w:p>
    <w:p w:rsidR="00A27921" w:rsidRPr="00A27921" w:rsidRDefault="00187562" w:rsidP="00A27921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</w:t>
      </w:r>
      <w:r w:rsidR="00A27921" w:rsidRPr="00A27921">
        <w:rPr>
          <w:rFonts w:ascii="Segoe UI" w:hAnsi="Segoe UI" w:cs="Segoe UI"/>
          <w:b/>
          <w:sz w:val="22"/>
          <w:szCs w:val="22"/>
        </w:rPr>
        <w:t>pazio esterno</w:t>
      </w:r>
      <w:r w:rsidR="00F60397">
        <w:rPr>
          <w:rFonts w:ascii="Segoe UI" w:hAnsi="Segoe UI" w:cs="Segoe UI"/>
          <w:b/>
          <w:sz w:val="22"/>
          <w:szCs w:val="22"/>
        </w:rPr>
        <w:t xml:space="preserve">, </w:t>
      </w:r>
      <w:r w:rsidR="00F60397" w:rsidRPr="00767AA1">
        <w:rPr>
          <w:rFonts w:ascii="Segoe UI" w:hAnsi="Segoe UI" w:cs="Segoe UI"/>
          <w:sz w:val="22"/>
          <w:szCs w:val="22"/>
        </w:rPr>
        <w:t>terrazzo o giardino,</w:t>
      </w:r>
      <w:r w:rsidR="00CD7450" w:rsidRPr="00767AA1">
        <w:rPr>
          <w:rFonts w:ascii="Segoe UI" w:hAnsi="Segoe UI" w:cs="Segoe UI"/>
          <w:sz w:val="22"/>
          <w:szCs w:val="22"/>
        </w:rPr>
        <w:t xml:space="preserve"> inteso come</w:t>
      </w:r>
      <w:r w:rsidR="00A27921" w:rsidRPr="00A27921">
        <w:rPr>
          <w:rFonts w:ascii="Segoe UI" w:hAnsi="Segoe UI" w:cs="Segoe UI"/>
          <w:sz w:val="22"/>
          <w:szCs w:val="22"/>
        </w:rPr>
        <w:t xml:space="preserve"> sfogo dell’abitazione stessa</w:t>
      </w:r>
    </w:p>
    <w:p w:rsidR="00A27921" w:rsidRPr="00A27921" w:rsidRDefault="00187562" w:rsidP="00A27921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</w:t>
      </w:r>
      <w:r w:rsidR="00A27921" w:rsidRPr="00A27921">
        <w:rPr>
          <w:rFonts w:ascii="Segoe UI" w:hAnsi="Segoe UI" w:cs="Segoe UI"/>
          <w:b/>
          <w:sz w:val="22"/>
          <w:szCs w:val="22"/>
        </w:rPr>
        <w:t>ervizi condominiali</w:t>
      </w:r>
      <w:r w:rsidR="00767AA1">
        <w:rPr>
          <w:rFonts w:ascii="Segoe UI" w:hAnsi="Segoe UI" w:cs="Segoe UI"/>
          <w:b/>
          <w:sz w:val="22"/>
          <w:szCs w:val="22"/>
        </w:rPr>
        <w:t xml:space="preserve">, </w:t>
      </w:r>
      <w:r w:rsidR="00767AA1" w:rsidRPr="00355F6D">
        <w:rPr>
          <w:rFonts w:ascii="Segoe UI" w:hAnsi="Segoe UI" w:cs="Segoe UI"/>
          <w:sz w:val="22"/>
          <w:szCs w:val="22"/>
        </w:rPr>
        <w:t>quali</w:t>
      </w:r>
      <w:r w:rsidR="00A27921" w:rsidRPr="00A27921">
        <w:rPr>
          <w:rFonts w:ascii="Segoe UI" w:hAnsi="Segoe UI" w:cs="Segoe UI"/>
          <w:sz w:val="22"/>
          <w:szCs w:val="22"/>
        </w:rPr>
        <w:t xml:space="preserve"> box locker, palestra, sale </w:t>
      </w:r>
      <w:r w:rsidR="00E61933">
        <w:rPr>
          <w:rFonts w:ascii="Segoe UI" w:hAnsi="Segoe UI" w:cs="Segoe UI"/>
          <w:sz w:val="22"/>
          <w:szCs w:val="22"/>
        </w:rPr>
        <w:t>multi</w:t>
      </w:r>
      <w:r w:rsidR="00A27921" w:rsidRPr="00A27921">
        <w:rPr>
          <w:rFonts w:ascii="Segoe UI" w:hAnsi="Segoe UI" w:cs="Segoe UI"/>
          <w:sz w:val="22"/>
          <w:szCs w:val="22"/>
        </w:rPr>
        <w:t>funzionali.</w:t>
      </w:r>
    </w:p>
    <w:p w:rsidR="00A27921" w:rsidRPr="00A27921" w:rsidRDefault="00187562" w:rsidP="00A27921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color w:val="000000" w:themeColor="text1"/>
          <w:sz w:val="22"/>
          <w:szCs w:val="22"/>
        </w:rPr>
        <w:t>M</w:t>
      </w:r>
      <w:r w:rsidR="00A27921" w:rsidRPr="00A27921">
        <w:rPr>
          <w:rFonts w:ascii="Segoe UI" w:hAnsi="Segoe UI" w:cs="Segoe UI"/>
          <w:b/>
          <w:color w:val="000000" w:themeColor="text1"/>
          <w:sz w:val="22"/>
          <w:szCs w:val="22"/>
        </w:rPr>
        <w:t>aggiore uti</w:t>
      </w:r>
      <w:r>
        <w:rPr>
          <w:rFonts w:ascii="Segoe UI" w:hAnsi="Segoe UI" w:cs="Segoe UI"/>
          <w:b/>
          <w:color w:val="000000" w:themeColor="text1"/>
          <w:sz w:val="22"/>
          <w:szCs w:val="22"/>
        </w:rPr>
        <w:t>l</w:t>
      </w:r>
      <w:r w:rsidR="00A27921" w:rsidRPr="00A27921">
        <w:rPr>
          <w:rFonts w:ascii="Segoe UI" w:hAnsi="Segoe UI" w:cs="Segoe UI"/>
          <w:b/>
          <w:color w:val="000000" w:themeColor="text1"/>
          <w:sz w:val="22"/>
          <w:szCs w:val="22"/>
        </w:rPr>
        <w:t>izzo/acquisto di seconde case</w:t>
      </w:r>
      <w:r w:rsidR="00A27921" w:rsidRPr="00A27921">
        <w:rPr>
          <w:rFonts w:ascii="Segoe UI" w:hAnsi="Segoe UI" w:cs="Segoe UI"/>
          <w:sz w:val="22"/>
          <w:szCs w:val="22"/>
        </w:rPr>
        <w:t xml:space="preserve"> grazie al</w:t>
      </w:r>
      <w:r w:rsidR="00374230">
        <w:rPr>
          <w:rFonts w:ascii="Segoe UI" w:hAnsi="Segoe UI" w:cs="Segoe UI"/>
          <w:sz w:val="22"/>
          <w:szCs w:val="22"/>
        </w:rPr>
        <w:t xml:space="preserve"> </w:t>
      </w:r>
      <w:r w:rsidR="006B6486">
        <w:rPr>
          <w:rFonts w:ascii="Segoe UI" w:hAnsi="Segoe UI" w:cs="Segoe UI"/>
          <w:sz w:val="22"/>
          <w:szCs w:val="22"/>
        </w:rPr>
        <w:t>ricorso allo</w:t>
      </w:r>
      <w:r w:rsidR="00A27921" w:rsidRPr="00A27921">
        <w:rPr>
          <w:rFonts w:ascii="Segoe UI" w:hAnsi="Segoe UI" w:cs="Segoe UI"/>
          <w:sz w:val="22"/>
          <w:szCs w:val="22"/>
        </w:rPr>
        <w:t xml:space="preserve"> smart working </w:t>
      </w:r>
      <w:r w:rsidR="00374230">
        <w:rPr>
          <w:rFonts w:ascii="Calibri" w:hAnsi="Calibri" w:cs="Calibri"/>
          <w:sz w:val="22"/>
          <w:szCs w:val="22"/>
        </w:rPr>
        <w:t xml:space="preserve">(presumibile </w:t>
      </w:r>
      <w:r w:rsidR="006B6486">
        <w:rPr>
          <w:rFonts w:ascii="Segoe UI" w:hAnsi="Segoe UI" w:cs="Segoe UI"/>
          <w:sz w:val="22"/>
          <w:szCs w:val="22"/>
        </w:rPr>
        <w:t>anche dopo l</w:t>
      </w:r>
      <w:r w:rsidR="006B6486">
        <w:rPr>
          <w:rFonts w:ascii="Calibri" w:eastAsia="Calibri" w:hAnsi="Calibri" w:cs="Calibri"/>
          <w:sz w:val="22"/>
          <w:szCs w:val="22"/>
        </w:rPr>
        <w:t>’</w:t>
      </w:r>
      <w:r w:rsidR="006B6486">
        <w:rPr>
          <w:rFonts w:ascii="Segoe UI" w:hAnsi="Segoe UI" w:cs="Segoe UI"/>
          <w:sz w:val="22"/>
          <w:szCs w:val="22"/>
        </w:rPr>
        <w:t>emergenza</w:t>
      </w:r>
      <w:r w:rsidR="00374230">
        <w:rPr>
          <w:rFonts w:ascii="Calibri" w:hAnsi="Calibri" w:cs="Calibri"/>
          <w:sz w:val="22"/>
          <w:szCs w:val="22"/>
        </w:rPr>
        <w:t>)</w:t>
      </w:r>
      <w:r w:rsidR="006B6486">
        <w:rPr>
          <w:rFonts w:ascii="Segoe UI" w:hAnsi="Segoe UI" w:cs="Segoe UI"/>
          <w:sz w:val="22"/>
          <w:szCs w:val="22"/>
        </w:rPr>
        <w:t xml:space="preserve"> </w:t>
      </w:r>
      <w:r w:rsidR="00A27921" w:rsidRPr="00A27921">
        <w:rPr>
          <w:rFonts w:ascii="Segoe UI" w:hAnsi="Segoe UI" w:cs="Segoe UI"/>
          <w:sz w:val="22"/>
          <w:szCs w:val="22"/>
        </w:rPr>
        <w:t>e</w:t>
      </w:r>
      <w:r w:rsidR="006B6486">
        <w:rPr>
          <w:rFonts w:ascii="Segoe UI" w:hAnsi="Segoe UI" w:cs="Segoe UI"/>
          <w:sz w:val="22"/>
          <w:szCs w:val="22"/>
        </w:rPr>
        <w:t xml:space="preserve"> </w:t>
      </w:r>
      <w:r w:rsidR="00A27921" w:rsidRPr="00A27921">
        <w:rPr>
          <w:rFonts w:ascii="Segoe UI" w:hAnsi="Segoe UI" w:cs="Segoe UI"/>
          <w:sz w:val="22"/>
          <w:szCs w:val="22"/>
        </w:rPr>
        <w:t>all</w:t>
      </w:r>
      <w:r w:rsidR="006B6486">
        <w:rPr>
          <w:rFonts w:ascii="Calibri" w:eastAsia="Calibri" w:hAnsi="Calibri" w:cs="Calibri"/>
          <w:sz w:val="22"/>
          <w:szCs w:val="22"/>
        </w:rPr>
        <w:t>’</w:t>
      </w:r>
      <w:r w:rsidR="006B6486">
        <w:rPr>
          <w:rFonts w:ascii="Segoe UI" w:hAnsi="Segoe UI" w:cs="Segoe UI"/>
          <w:sz w:val="22"/>
          <w:szCs w:val="22"/>
        </w:rPr>
        <w:t>accresciuta</w:t>
      </w:r>
      <w:r w:rsidR="00A27921" w:rsidRPr="00A27921">
        <w:rPr>
          <w:rFonts w:ascii="Segoe UI" w:hAnsi="Segoe UI" w:cs="Segoe UI"/>
          <w:sz w:val="22"/>
          <w:szCs w:val="22"/>
        </w:rPr>
        <w:t xml:space="preserve"> propensione a trascorrere periodi di villeggiatura in una propria abitazione.</w:t>
      </w:r>
    </w:p>
    <w:p w:rsidR="00A27921" w:rsidRPr="00A27921" w:rsidRDefault="00A27921" w:rsidP="00A27921">
      <w:pPr>
        <w:jc w:val="both"/>
        <w:rPr>
          <w:rFonts w:ascii="Segoe UI" w:hAnsi="Segoe UI" w:cs="Segoe UI"/>
          <w:b/>
          <w:sz w:val="22"/>
          <w:szCs w:val="22"/>
        </w:rPr>
      </w:pPr>
      <w:r w:rsidRPr="00A27921">
        <w:rPr>
          <w:rFonts w:ascii="Segoe UI" w:hAnsi="Segoe UI" w:cs="Segoe UI"/>
          <w:b/>
          <w:sz w:val="22"/>
          <w:szCs w:val="22"/>
        </w:rPr>
        <w:t>IMPATTO AMBITO VALUTAZIONI</w:t>
      </w:r>
    </w:p>
    <w:p w:rsidR="00A27921" w:rsidRPr="00A27921" w:rsidRDefault="00A27921" w:rsidP="00A27921">
      <w:pPr>
        <w:jc w:val="both"/>
        <w:rPr>
          <w:rFonts w:ascii="Segoe UI" w:hAnsi="Segoe UI" w:cs="Segoe UI"/>
          <w:sz w:val="22"/>
          <w:szCs w:val="22"/>
        </w:rPr>
      </w:pPr>
      <w:r w:rsidRPr="00A27921">
        <w:rPr>
          <w:rFonts w:ascii="Segoe UI" w:hAnsi="Segoe UI" w:cs="Segoe UI"/>
          <w:sz w:val="22"/>
          <w:szCs w:val="22"/>
        </w:rPr>
        <w:t xml:space="preserve">Il fenomeno della contrazione dei valori </w:t>
      </w:r>
      <w:r w:rsidR="002E3A67">
        <w:rPr>
          <w:rFonts w:ascii="Segoe UI" w:hAnsi="Segoe UI" w:cs="Segoe UI"/>
          <w:sz w:val="22"/>
          <w:szCs w:val="22"/>
        </w:rPr>
        <w:t>caratterizzerà</w:t>
      </w:r>
      <w:r w:rsidRPr="00A27921">
        <w:rPr>
          <w:rFonts w:ascii="Segoe UI" w:hAnsi="Segoe UI" w:cs="Segoe UI"/>
          <w:sz w:val="22"/>
          <w:szCs w:val="22"/>
        </w:rPr>
        <w:t xml:space="preserve"> nell’immediato </w:t>
      </w:r>
      <w:r w:rsidR="002E3A67">
        <w:rPr>
          <w:rFonts w:ascii="Segoe UI" w:hAnsi="Segoe UI" w:cs="Segoe UI"/>
          <w:sz w:val="22"/>
          <w:szCs w:val="22"/>
        </w:rPr>
        <w:t>soprattutto</w:t>
      </w:r>
      <w:r w:rsidRPr="00A27921">
        <w:rPr>
          <w:rFonts w:ascii="Segoe UI" w:hAnsi="Segoe UI" w:cs="Segoe UI"/>
          <w:sz w:val="22"/>
          <w:szCs w:val="22"/>
        </w:rPr>
        <w:t xml:space="preserve"> casi specifici (prodotti usati o non aderenti alla domanda), in situazioni distressed o in zone periferiche per prodotti che già presentavano una bassa liquidità. In generale per gli appartamenti di buon livello qualitativo o prodotti nuovi, nelle medie e grandi città si avrà una contrazione degli assorbimenti ma non dei valori, a meno che il perdurare della discesa delle transazioni non diven</w:t>
      </w:r>
      <w:r w:rsidR="00946491">
        <w:rPr>
          <w:rFonts w:ascii="Segoe UI" w:hAnsi="Segoe UI" w:cs="Segoe UI"/>
          <w:sz w:val="22"/>
          <w:szCs w:val="22"/>
        </w:rPr>
        <w:t>ti</w:t>
      </w:r>
      <w:r w:rsidRPr="00A27921">
        <w:rPr>
          <w:rFonts w:ascii="Segoe UI" w:hAnsi="Segoe UI" w:cs="Segoe UI"/>
          <w:sz w:val="22"/>
          <w:szCs w:val="22"/>
        </w:rPr>
        <w:t xml:space="preserve"> sistemica. </w:t>
      </w:r>
    </w:p>
    <w:p w:rsidR="00A27921" w:rsidRPr="000738F2" w:rsidRDefault="00A27921" w:rsidP="000738F2">
      <w:pPr>
        <w:spacing w:before="0"/>
        <w:jc w:val="center"/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</w:pPr>
      <w:r w:rsidRPr="000738F2"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  <w:t>SETTORE UFFICI</w:t>
      </w:r>
    </w:p>
    <w:p w:rsidR="00A27921" w:rsidRPr="00187562" w:rsidRDefault="00A27921" w:rsidP="00A27921">
      <w:pPr>
        <w:spacing w:before="0"/>
        <w:rPr>
          <w:rFonts w:ascii="Segoe UI" w:hAnsi="Segoe UI" w:cs="Segoe UI"/>
          <w:b/>
          <w:color w:val="000000" w:themeColor="text1"/>
          <w:sz w:val="22"/>
          <w:szCs w:val="22"/>
        </w:rPr>
      </w:pPr>
      <w:r w:rsidRPr="00187562">
        <w:rPr>
          <w:rFonts w:ascii="Segoe UI" w:hAnsi="Segoe UI" w:cs="Segoe UI"/>
          <w:b/>
          <w:color w:val="000000" w:themeColor="text1"/>
          <w:sz w:val="22"/>
          <w:szCs w:val="22"/>
        </w:rPr>
        <w:t>KEY DATA</w:t>
      </w:r>
    </w:p>
    <w:p w:rsidR="005D543F" w:rsidRPr="00355F6D" w:rsidRDefault="00A27921" w:rsidP="00A27921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A27921">
        <w:rPr>
          <w:rFonts w:ascii="Segoe UI" w:hAnsi="Segoe UI" w:cs="Segoe UI"/>
          <w:color w:val="000000" w:themeColor="text1"/>
          <w:sz w:val="22"/>
          <w:szCs w:val="22"/>
        </w:rPr>
        <w:t>Ne</w:t>
      </w:r>
      <w:r w:rsidR="00852531">
        <w:rPr>
          <w:rFonts w:ascii="Segoe UI" w:hAnsi="Segoe UI" w:cs="Segoe UI"/>
          <w:color w:val="000000" w:themeColor="text1"/>
          <w:sz w:val="22"/>
          <w:szCs w:val="22"/>
        </w:rPr>
        <w:t>i primi 9 mesi dell</w:t>
      </w:r>
      <w:r w:rsidR="00852531">
        <w:rPr>
          <w:rFonts w:ascii="Calibri" w:eastAsia="Calibri" w:hAnsi="Calibri" w:cs="Calibri"/>
          <w:color w:val="000000" w:themeColor="text1"/>
          <w:sz w:val="22"/>
          <w:szCs w:val="22"/>
        </w:rPr>
        <w:t>’</w:t>
      </w:r>
      <w:r w:rsidR="00852531">
        <w:rPr>
          <w:rFonts w:ascii="Segoe UI" w:hAnsi="Segoe UI" w:cs="Segoe UI"/>
          <w:color w:val="000000" w:themeColor="text1"/>
          <w:sz w:val="22"/>
          <w:szCs w:val="22"/>
        </w:rPr>
        <w:t>anno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 xml:space="preserve"> l’assorbimento stimato per </w:t>
      </w:r>
      <w:r w:rsidRPr="00A27921">
        <w:rPr>
          <w:rFonts w:ascii="Segoe UI" w:hAnsi="Segoe UI" w:cs="Segoe UI"/>
          <w:b/>
          <w:color w:val="000000" w:themeColor="text1"/>
          <w:sz w:val="22"/>
          <w:szCs w:val="22"/>
        </w:rPr>
        <w:t>Milano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 xml:space="preserve"> è stato di circa </w:t>
      </w:r>
      <w:r w:rsidRPr="00A27921">
        <w:rPr>
          <w:rFonts w:ascii="Segoe UI" w:hAnsi="Segoe UI" w:cs="Segoe UI"/>
          <w:b/>
          <w:color w:val="000000" w:themeColor="text1"/>
          <w:sz w:val="22"/>
          <w:szCs w:val="22"/>
        </w:rPr>
        <w:t>204.500 mq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 xml:space="preserve"> (considerando i principali operatori e una quota frammentata tra operatori minori), mentre a </w:t>
      </w:r>
      <w:r w:rsidRPr="00A27921">
        <w:rPr>
          <w:rFonts w:ascii="Segoe UI" w:hAnsi="Segoe UI" w:cs="Segoe UI"/>
          <w:b/>
          <w:color w:val="000000" w:themeColor="text1"/>
          <w:sz w:val="22"/>
          <w:szCs w:val="22"/>
        </w:rPr>
        <w:t>Roma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 xml:space="preserve"> è stato di circa </w:t>
      </w:r>
      <w:r w:rsidRPr="00A27921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57.400 mq, 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 xml:space="preserve">con un sensibile calo rispetto allo stesso periodo </w:t>
      </w:r>
      <w:r w:rsidRPr="00355F6D">
        <w:rPr>
          <w:rFonts w:ascii="Segoe UI" w:hAnsi="Segoe UI" w:cs="Segoe UI"/>
          <w:color w:val="000000" w:themeColor="text1"/>
          <w:sz w:val="22"/>
          <w:szCs w:val="22"/>
        </w:rPr>
        <w:t>del 2019</w:t>
      </w:r>
      <w:r w:rsidRPr="00355F6D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. </w:t>
      </w:r>
      <w:r w:rsidRPr="00355F6D">
        <w:rPr>
          <w:rFonts w:ascii="Segoe UI" w:hAnsi="Segoe UI" w:cs="Segoe UI"/>
          <w:color w:val="000000" w:themeColor="text1"/>
          <w:sz w:val="22"/>
          <w:szCs w:val="22"/>
        </w:rPr>
        <w:t>Lo stock a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 xml:space="preserve"> disposizione trova al momento difficile locazione, mentre diversi locatari hanno chiesto, o stanno chiedendo, la rinegoziazione dei canoni. </w:t>
      </w:r>
      <w:r w:rsidR="00852531">
        <w:rPr>
          <w:rFonts w:ascii="Segoe UI" w:hAnsi="Segoe UI" w:cs="Segoe UI"/>
          <w:color w:val="000000" w:themeColor="text1"/>
          <w:sz w:val="22"/>
          <w:szCs w:val="22"/>
        </w:rPr>
        <w:t xml:space="preserve">Sul fronte </w:t>
      </w:r>
      <w:r w:rsidRPr="00A27921">
        <w:rPr>
          <w:rFonts w:ascii="Segoe UI" w:hAnsi="Segoe UI" w:cs="Segoe UI"/>
          <w:b/>
          <w:color w:val="000000" w:themeColor="text1"/>
          <w:sz w:val="22"/>
          <w:szCs w:val="22"/>
        </w:rPr>
        <w:t>investimenti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 xml:space="preserve"> capital market, il settore uffici </w:t>
      </w:r>
      <w:r w:rsidR="00767AA1">
        <w:rPr>
          <w:rFonts w:ascii="Segoe UI" w:hAnsi="Segoe UI" w:cs="Segoe UI"/>
          <w:color w:val="000000" w:themeColor="text1"/>
          <w:sz w:val="22"/>
          <w:szCs w:val="22"/>
        </w:rPr>
        <w:t>si conferma in testa alle prefer</w:t>
      </w:r>
      <w:r w:rsidR="00095600">
        <w:rPr>
          <w:rFonts w:ascii="Segoe UI" w:hAnsi="Segoe UI" w:cs="Segoe UI"/>
          <w:color w:val="000000" w:themeColor="text1"/>
          <w:sz w:val="22"/>
          <w:szCs w:val="22"/>
        </w:rPr>
        <w:t>e</w:t>
      </w:r>
      <w:r w:rsidR="00767AA1">
        <w:rPr>
          <w:rFonts w:ascii="Segoe UI" w:hAnsi="Segoe UI" w:cs="Segoe UI"/>
          <w:color w:val="000000" w:themeColor="text1"/>
          <w:sz w:val="22"/>
          <w:szCs w:val="22"/>
        </w:rPr>
        <w:t xml:space="preserve">nze e 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>ha pesato</w:t>
      </w:r>
      <w:r w:rsidR="00852531">
        <w:rPr>
          <w:rFonts w:ascii="Segoe UI" w:hAnsi="Segoe UI" w:cs="Segoe UI"/>
          <w:color w:val="000000" w:themeColor="text1"/>
          <w:sz w:val="22"/>
          <w:szCs w:val="22"/>
        </w:rPr>
        <w:t xml:space="preserve"> per</w:t>
      </w:r>
      <w:r w:rsidRPr="00A27921">
        <w:rPr>
          <w:rFonts w:ascii="Segoe UI" w:hAnsi="Segoe UI" w:cs="Segoe UI"/>
          <w:color w:val="000000" w:themeColor="text1"/>
          <w:sz w:val="22"/>
          <w:szCs w:val="22"/>
        </w:rPr>
        <w:t xml:space="preserve"> il 45% del totale pari a </w:t>
      </w:r>
      <w:r w:rsidRPr="00A27921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2,4 </w:t>
      </w:r>
      <w:r w:rsidR="00FB436A">
        <w:rPr>
          <w:rFonts w:ascii="Segoe UI" w:hAnsi="Segoe UI" w:cs="Segoe UI"/>
          <w:b/>
          <w:color w:val="000000" w:themeColor="text1"/>
          <w:sz w:val="22"/>
          <w:szCs w:val="22"/>
        </w:rPr>
        <w:t>m</w:t>
      </w:r>
      <w:r w:rsidRPr="00A27921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iliardi di </w:t>
      </w:r>
      <w:r w:rsidRPr="00C40E71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euro. </w:t>
      </w:r>
      <w:r w:rsidRPr="00355F6D">
        <w:rPr>
          <w:rFonts w:ascii="Segoe UI" w:hAnsi="Segoe UI" w:cs="Segoe UI"/>
          <w:color w:val="000000" w:themeColor="text1"/>
          <w:sz w:val="22"/>
          <w:szCs w:val="22"/>
        </w:rPr>
        <w:t>In questo periodo sono state perfezionate alcune vendite rilevanti</w:t>
      </w:r>
      <w:r w:rsidR="005D543F" w:rsidRPr="00355F6D">
        <w:rPr>
          <w:rFonts w:ascii="Segoe UI" w:hAnsi="Segoe UI" w:cs="Segoe UI"/>
          <w:color w:val="000000" w:themeColor="text1"/>
          <w:sz w:val="22"/>
          <w:szCs w:val="22"/>
        </w:rPr>
        <w:t>:</w:t>
      </w:r>
    </w:p>
    <w:p w:rsidR="00A27921" w:rsidRPr="00C40E71" w:rsidRDefault="00691199" w:rsidP="00A27921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A27921">
        <w:rPr>
          <w:rFonts w:ascii="Segoe UI" w:hAnsi="Segoe UI" w:cs="Segoe UI"/>
          <w:noProof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3858260</wp:posOffset>
            </wp:positionH>
            <wp:positionV relativeFrom="margin">
              <wp:posOffset>7620</wp:posOffset>
            </wp:positionV>
            <wp:extent cx="2450465" cy="2800350"/>
            <wp:effectExtent l="0" t="0" r="6985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43F" w:rsidRPr="00355F6D">
        <w:rPr>
          <w:rFonts w:ascii="Segoe UI" w:hAnsi="Segoe UI" w:cs="Segoe UI"/>
          <w:color w:val="000000" w:themeColor="text1"/>
          <w:sz w:val="22"/>
          <w:szCs w:val="22"/>
        </w:rPr>
        <w:t>A Milano il Bodio Center, per un valore di 220 milioni di euro, l’immobile di Crédit Agricole, per 140 milioni di euro</w:t>
      </w:r>
      <w:r w:rsidR="00C40E71" w:rsidRPr="00355F6D">
        <w:rPr>
          <w:rFonts w:ascii="Segoe UI" w:hAnsi="Segoe UI" w:cs="Segoe UI"/>
          <w:color w:val="000000" w:themeColor="text1"/>
          <w:sz w:val="22"/>
          <w:szCs w:val="22"/>
        </w:rPr>
        <w:t xml:space="preserve"> e  il portafoglio uffici Kryalos, che comprende Palazzo Mellerio e Piazza Velasca 7/9 per 87 milioni di euro. A Roma si segnala la transazione di </w:t>
      </w:r>
      <w:r w:rsidR="00A27921" w:rsidRPr="00355F6D">
        <w:rPr>
          <w:rFonts w:ascii="Segoe UI" w:hAnsi="Segoe UI" w:cs="Segoe UI"/>
          <w:color w:val="000000" w:themeColor="text1"/>
          <w:sz w:val="22"/>
          <w:szCs w:val="22"/>
        </w:rPr>
        <w:t>via dell’Arte</w:t>
      </w:r>
      <w:r w:rsidR="00A10B3D" w:rsidRPr="00355F6D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r w:rsidR="00C40E71" w:rsidRPr="00355F6D">
        <w:rPr>
          <w:rFonts w:ascii="Segoe UI" w:hAnsi="Segoe UI" w:cs="Segoe UI"/>
          <w:color w:val="000000" w:themeColor="text1"/>
          <w:sz w:val="22"/>
          <w:szCs w:val="22"/>
        </w:rPr>
        <w:t xml:space="preserve">25 </w:t>
      </w:r>
      <w:r w:rsidR="00A27921" w:rsidRPr="00355F6D">
        <w:rPr>
          <w:rFonts w:ascii="Segoe UI" w:hAnsi="Segoe UI" w:cs="Segoe UI"/>
          <w:color w:val="000000" w:themeColor="text1"/>
          <w:sz w:val="22"/>
          <w:szCs w:val="22"/>
        </w:rPr>
        <w:t xml:space="preserve">per un valore intorno ai 200 </w:t>
      </w:r>
      <w:r w:rsidR="000336EA" w:rsidRPr="00355F6D">
        <w:rPr>
          <w:rFonts w:ascii="Segoe UI" w:hAnsi="Segoe UI" w:cs="Segoe UI"/>
          <w:color w:val="000000" w:themeColor="text1"/>
          <w:sz w:val="22"/>
          <w:szCs w:val="22"/>
        </w:rPr>
        <w:t>m</w:t>
      </w:r>
      <w:r w:rsidR="00A27921" w:rsidRPr="00355F6D">
        <w:rPr>
          <w:rFonts w:ascii="Segoe UI" w:hAnsi="Segoe UI" w:cs="Segoe UI"/>
          <w:color w:val="000000" w:themeColor="text1"/>
          <w:sz w:val="22"/>
          <w:szCs w:val="22"/>
        </w:rPr>
        <w:t xml:space="preserve">ilioni di euro; </w:t>
      </w:r>
      <w:r w:rsidR="00C40E71">
        <w:rPr>
          <w:rFonts w:ascii="Segoe UI" w:hAnsi="Segoe UI" w:cs="Segoe UI"/>
          <w:color w:val="000000" w:themeColor="text1"/>
          <w:sz w:val="22"/>
          <w:szCs w:val="22"/>
        </w:rPr>
        <w:t xml:space="preserve">infine </w:t>
      </w:r>
      <w:r w:rsidR="00A27921" w:rsidRPr="00355F6D">
        <w:rPr>
          <w:rFonts w:ascii="Segoe UI" w:hAnsi="Segoe UI" w:cs="Segoe UI"/>
          <w:color w:val="000000" w:themeColor="text1"/>
          <w:sz w:val="22"/>
          <w:szCs w:val="22"/>
        </w:rPr>
        <w:t>il portafoglio del Fondo Core Multiutilities</w:t>
      </w:r>
      <w:r w:rsidR="005D543F" w:rsidRPr="00355F6D">
        <w:rPr>
          <w:rFonts w:ascii="Segoe UI" w:hAnsi="Segoe UI" w:cs="Segoe UI"/>
          <w:color w:val="000000" w:themeColor="text1"/>
          <w:sz w:val="22"/>
          <w:szCs w:val="22"/>
        </w:rPr>
        <w:t xml:space="preserve">, distribuito tra Torino, </w:t>
      </w:r>
      <w:r w:rsidR="00C40E71" w:rsidRPr="00355F6D">
        <w:rPr>
          <w:rFonts w:ascii="Segoe UI" w:hAnsi="Segoe UI" w:cs="Segoe UI"/>
          <w:color w:val="000000" w:themeColor="text1"/>
          <w:sz w:val="22"/>
          <w:szCs w:val="22"/>
        </w:rPr>
        <w:t>G</w:t>
      </w:r>
      <w:r w:rsidR="005D543F" w:rsidRPr="00355F6D">
        <w:rPr>
          <w:rFonts w:ascii="Segoe UI" w:hAnsi="Segoe UI" w:cs="Segoe UI"/>
          <w:color w:val="000000" w:themeColor="text1"/>
          <w:sz w:val="22"/>
          <w:szCs w:val="22"/>
        </w:rPr>
        <w:t>enova, Parma e Reggio Emilia, intorno ai 100 milioni di euro</w:t>
      </w:r>
      <w:r w:rsidR="00095600">
        <w:rPr>
          <w:rFonts w:ascii="Segoe UI" w:hAnsi="Segoe UI" w:cs="Segoe UI"/>
          <w:color w:val="000000" w:themeColor="text1"/>
          <w:sz w:val="22"/>
          <w:szCs w:val="22"/>
        </w:rPr>
        <w:t>.</w:t>
      </w:r>
      <w:r w:rsidR="00A27921" w:rsidRPr="00355F6D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</w:p>
    <w:p w:rsidR="00A27921" w:rsidRPr="00A27921" w:rsidRDefault="00691199" w:rsidP="00691199">
      <w:pPr>
        <w:spacing w:before="0" w:after="0"/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>
        <w:rPr>
          <w:rFonts w:ascii="Segoe UI" w:hAnsi="Segoe UI" w:cs="Segoe UI"/>
          <w:b/>
          <w:color w:val="404040" w:themeColor="text1" w:themeTint="BF"/>
          <w:sz w:val="22"/>
          <w:szCs w:val="22"/>
        </w:rPr>
        <w:t>I</w:t>
      </w:r>
      <w:r w:rsidR="00A27921" w:rsidRPr="00A27921">
        <w:rPr>
          <w:rFonts w:ascii="Segoe UI" w:hAnsi="Segoe UI" w:cs="Segoe UI"/>
          <w:b/>
          <w:color w:val="404040" w:themeColor="text1" w:themeTint="BF"/>
          <w:sz w:val="22"/>
          <w:szCs w:val="22"/>
        </w:rPr>
        <w:t>nvestimenti capital market Q1-Q3 2020: 2,4 mld €</w:t>
      </w:r>
    </w:p>
    <w:p w:rsidR="00A27921" w:rsidRPr="00A27921" w:rsidRDefault="00A27921" w:rsidP="00691199">
      <w:pPr>
        <w:spacing w:before="0" w:after="0"/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 w:rsidRPr="00A27921">
        <w:rPr>
          <w:rFonts w:ascii="Segoe UI" w:hAnsi="Segoe UI" w:cs="Segoe UI"/>
          <w:b/>
          <w:color w:val="404040" w:themeColor="text1" w:themeTint="BF"/>
          <w:sz w:val="22"/>
          <w:szCs w:val="22"/>
        </w:rPr>
        <w:t>Numero Transazioni Normalizzate (NTN) uffici:</w:t>
      </w:r>
    </w:p>
    <w:p w:rsidR="00A27921" w:rsidRPr="00A27921" w:rsidRDefault="00A27921" w:rsidP="00691199">
      <w:pPr>
        <w:spacing w:before="0" w:after="0"/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 w:rsidRPr="00A27921">
        <w:rPr>
          <w:rFonts w:ascii="Segoe UI" w:hAnsi="Segoe UI" w:cs="Segoe UI"/>
          <w:b/>
          <w:color w:val="404040" w:themeColor="text1" w:themeTint="BF"/>
          <w:sz w:val="22"/>
          <w:szCs w:val="22"/>
        </w:rPr>
        <w:t>Q1-Q3 2020: 5.699 (-19,3%)</w:t>
      </w:r>
    </w:p>
    <w:p w:rsidR="00A27921" w:rsidRPr="00A27921" w:rsidRDefault="00A27921" w:rsidP="00691199">
      <w:pPr>
        <w:spacing w:before="0" w:after="0"/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 w:rsidRPr="00A27921">
        <w:rPr>
          <w:rFonts w:ascii="Segoe UI" w:hAnsi="Segoe UI" w:cs="Segoe UI"/>
          <w:b/>
          <w:color w:val="404040" w:themeColor="text1" w:themeTint="BF"/>
          <w:sz w:val="22"/>
          <w:szCs w:val="22"/>
        </w:rPr>
        <w:t>Q3 2020: -7,1%</w:t>
      </w:r>
    </w:p>
    <w:p w:rsidR="00A27921" w:rsidRPr="00187562" w:rsidRDefault="00A27921" w:rsidP="00691199">
      <w:pPr>
        <w:jc w:val="both"/>
        <w:rPr>
          <w:rFonts w:ascii="Segoe UI" w:hAnsi="Segoe UI" w:cs="Segoe UI"/>
          <w:b/>
          <w:color w:val="000000" w:themeColor="text1"/>
          <w:sz w:val="22"/>
          <w:szCs w:val="22"/>
        </w:rPr>
      </w:pPr>
      <w:r w:rsidRPr="00187562">
        <w:rPr>
          <w:rFonts w:ascii="Segoe UI" w:hAnsi="Segoe UI" w:cs="Segoe UI"/>
          <w:b/>
          <w:color w:val="000000" w:themeColor="text1"/>
          <w:sz w:val="22"/>
          <w:szCs w:val="22"/>
        </w:rPr>
        <w:t>PREVISIONI</w:t>
      </w:r>
    </w:p>
    <w:p w:rsidR="00A27921" w:rsidRPr="00187562" w:rsidRDefault="00A27921" w:rsidP="00A27921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187562">
        <w:rPr>
          <w:rFonts w:ascii="Segoe UI" w:hAnsi="Segoe UI" w:cs="Segoe UI"/>
          <w:color w:val="000000" w:themeColor="text1"/>
          <w:sz w:val="22"/>
          <w:szCs w:val="22"/>
        </w:rPr>
        <w:t>Alla luce dei dati attuali non si prevede una sostanziale tendenza al ribasso dei canoni di locazione e dei prezzi nelle compravendite. Piuttosto in tema di affitti, i locatari trattano con i landlord per ottenere un pacchetto di riduzioni/facilitazioni, con un maggior ricorso allo step rent, mantenendo però intatto il canone a regime.</w:t>
      </w:r>
    </w:p>
    <w:p w:rsidR="00A27921" w:rsidRPr="004E7C15" w:rsidRDefault="004E7C15" w:rsidP="00A27921">
      <w:pPr>
        <w:jc w:val="both"/>
        <w:rPr>
          <w:rFonts w:cs="Segoe UI"/>
          <w:color w:val="000000" w:themeColor="text1"/>
          <w:sz w:val="22"/>
          <w:szCs w:val="22"/>
        </w:rPr>
      </w:pPr>
      <w:r w:rsidRPr="00C44270">
        <w:rPr>
          <w:rFonts w:cs="Segoe UI"/>
          <w:color w:val="000000" w:themeColor="text1"/>
          <w:sz w:val="22"/>
          <w:szCs w:val="22"/>
        </w:rPr>
        <w:t>A fronte di difficoltà economiche da parte delle aziende, potrebbero verificarsi situazioni</w:t>
      </w:r>
      <w:r w:rsidRPr="00C44270">
        <w:rPr>
          <w:color w:val="000000" w:themeColor="text1"/>
          <w:sz w:val="22"/>
          <w:szCs w:val="22"/>
        </w:rPr>
        <w:t xml:space="preserve"> </w:t>
      </w:r>
      <w:r w:rsidRPr="00C44270">
        <w:rPr>
          <w:rFonts w:cs="Segoe UI"/>
          <w:color w:val="000000" w:themeColor="text1"/>
          <w:sz w:val="22"/>
          <w:szCs w:val="22"/>
        </w:rPr>
        <w:t xml:space="preserve">di morosità o inesigibilità dei canoni; in alcuni casi inoltre, il ricorso allo smart working potrebbe diventare permanente per alcune attività, con un conseguente minore utilizzo degli spazi a uso ufficio e disdetta dei contratti di locazione, </w:t>
      </w:r>
      <w:r>
        <w:rPr>
          <w:rFonts w:cs="Segoe UI"/>
          <w:color w:val="000000" w:themeColor="text1"/>
          <w:sz w:val="22"/>
          <w:szCs w:val="22"/>
        </w:rPr>
        <w:t>facendo così aumentare il tasso di sfitto</w:t>
      </w:r>
      <w:r>
        <w:rPr>
          <w:rFonts w:ascii="Segoe UI" w:hAnsi="Segoe UI" w:cs="Segoe UI"/>
          <w:color w:val="000000" w:themeColor="text1"/>
          <w:sz w:val="22"/>
          <w:szCs w:val="22"/>
        </w:rPr>
        <w:t xml:space="preserve">. </w:t>
      </w:r>
      <w:r w:rsidR="00A27921" w:rsidRPr="00187562">
        <w:rPr>
          <w:rFonts w:ascii="Segoe UI" w:hAnsi="Segoe UI" w:cs="Segoe UI"/>
          <w:color w:val="000000" w:themeColor="text1"/>
          <w:sz w:val="22"/>
          <w:szCs w:val="22"/>
        </w:rPr>
        <w:t>In diverse situazioni, a fronte di una modifica temporanea del canone a ribasso, può essere richiesto da parte delle proprietà un allungamento della durata contrattuale.</w:t>
      </w:r>
    </w:p>
    <w:p w:rsidR="00A27921" w:rsidRPr="00187562" w:rsidRDefault="00A27921" w:rsidP="00A27921">
      <w:pPr>
        <w:jc w:val="both"/>
        <w:rPr>
          <w:rFonts w:ascii="Segoe UI" w:hAnsi="Segoe UI" w:cs="Segoe UI"/>
          <w:b/>
          <w:color w:val="000000" w:themeColor="text1"/>
          <w:sz w:val="22"/>
          <w:szCs w:val="22"/>
        </w:rPr>
      </w:pPr>
      <w:r w:rsidRPr="00187562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NUOVI TREND  </w:t>
      </w:r>
    </w:p>
    <w:p w:rsidR="00A27921" w:rsidRPr="00A27921" w:rsidRDefault="00A27921" w:rsidP="00A27921">
      <w:pPr>
        <w:pStyle w:val="Paragrafoelenco"/>
        <w:numPr>
          <w:ilvl w:val="0"/>
          <w:numId w:val="8"/>
        </w:numPr>
        <w:jc w:val="both"/>
        <w:rPr>
          <w:rFonts w:ascii="Segoe UI" w:hAnsi="Segoe UI" w:cs="Segoe UI"/>
          <w:color w:val="000000" w:themeColor="text1"/>
          <w:szCs w:val="22"/>
        </w:rPr>
      </w:pPr>
      <w:r w:rsidRPr="00A27921">
        <w:rPr>
          <w:rFonts w:ascii="Segoe UI" w:hAnsi="Segoe UI" w:cs="Segoe UI"/>
          <w:color w:val="000000" w:themeColor="text1"/>
          <w:sz w:val="22"/>
          <w:szCs w:val="24"/>
        </w:rPr>
        <w:t xml:space="preserve">Cambierà la modalità di </w:t>
      </w:r>
      <w:r w:rsidRPr="00355F6D">
        <w:rPr>
          <w:rFonts w:ascii="Segoe UI" w:hAnsi="Segoe UI" w:cs="Segoe UI"/>
          <w:b/>
          <w:color w:val="000000" w:themeColor="text1"/>
          <w:sz w:val="22"/>
          <w:szCs w:val="24"/>
        </w:rPr>
        <w:t>progettazione, distribuzione e fruizione degli spazi interni</w:t>
      </w:r>
      <w:r w:rsidRPr="00A27921">
        <w:rPr>
          <w:rFonts w:ascii="Segoe UI" w:hAnsi="Segoe UI" w:cs="Segoe UI"/>
          <w:color w:val="000000" w:themeColor="text1"/>
          <w:sz w:val="22"/>
          <w:szCs w:val="24"/>
        </w:rPr>
        <w:t>, come conseguenza della forte accelerazione data allo smartworking.</w:t>
      </w:r>
    </w:p>
    <w:p w:rsidR="00A27921" w:rsidRPr="00A27921" w:rsidRDefault="00A27921" w:rsidP="00A27921">
      <w:pPr>
        <w:pStyle w:val="Paragrafoelenco"/>
        <w:numPr>
          <w:ilvl w:val="0"/>
          <w:numId w:val="8"/>
        </w:numPr>
        <w:jc w:val="both"/>
        <w:rPr>
          <w:rFonts w:ascii="Segoe UI" w:hAnsi="Segoe UI" w:cs="Segoe UI"/>
          <w:color w:val="000000" w:themeColor="text1"/>
          <w:sz w:val="22"/>
          <w:szCs w:val="24"/>
        </w:rPr>
      </w:pPr>
      <w:r w:rsidRPr="00A27921">
        <w:rPr>
          <w:rFonts w:ascii="Segoe UI" w:hAnsi="Segoe UI" w:cs="Segoe UI"/>
          <w:color w:val="000000" w:themeColor="text1"/>
          <w:sz w:val="22"/>
          <w:szCs w:val="24"/>
        </w:rPr>
        <w:t>È prevedibile l’adozione di una maggiore distanza tra le postazioni di lavoro che, in parte, riassorbirà la superficie complessiva presumibilmente ridotta per l’utilizzo dell’home working.</w:t>
      </w:r>
    </w:p>
    <w:p w:rsidR="00A27921" w:rsidRPr="00A27921" w:rsidRDefault="00A27921" w:rsidP="00A27921">
      <w:pPr>
        <w:pStyle w:val="Paragrafoelenco"/>
        <w:numPr>
          <w:ilvl w:val="0"/>
          <w:numId w:val="8"/>
        </w:numPr>
        <w:jc w:val="both"/>
        <w:rPr>
          <w:rFonts w:ascii="Segoe UI" w:hAnsi="Segoe UI" w:cs="Segoe UI"/>
          <w:color w:val="000000" w:themeColor="text1"/>
          <w:sz w:val="22"/>
          <w:szCs w:val="24"/>
        </w:rPr>
      </w:pPr>
      <w:r w:rsidRPr="00A27921">
        <w:rPr>
          <w:rFonts w:ascii="Segoe UI" w:hAnsi="Segoe UI" w:cs="Segoe UI"/>
          <w:color w:val="000000" w:themeColor="text1"/>
          <w:sz w:val="22"/>
          <w:szCs w:val="24"/>
        </w:rPr>
        <w:t>Verrà sempre meno il concetto di scrivania propria, mentre crescerà quello di desk condiviso.</w:t>
      </w:r>
    </w:p>
    <w:p w:rsidR="00A27921" w:rsidRPr="00187562" w:rsidRDefault="00A27921" w:rsidP="00A27921">
      <w:pPr>
        <w:jc w:val="both"/>
        <w:rPr>
          <w:rFonts w:ascii="Segoe UI" w:hAnsi="Segoe UI" w:cs="Segoe UI"/>
          <w:b/>
          <w:color w:val="000000" w:themeColor="text1"/>
          <w:sz w:val="22"/>
          <w:szCs w:val="22"/>
        </w:rPr>
      </w:pPr>
      <w:r w:rsidRPr="00187562">
        <w:rPr>
          <w:rFonts w:ascii="Segoe UI" w:hAnsi="Segoe UI" w:cs="Segoe UI"/>
          <w:b/>
          <w:color w:val="000000" w:themeColor="text1"/>
          <w:sz w:val="22"/>
          <w:szCs w:val="22"/>
        </w:rPr>
        <w:t>IMPATTO AMBITO VALUTAZIONI</w:t>
      </w:r>
    </w:p>
    <w:p w:rsidR="00A27921" w:rsidRPr="00A27921" w:rsidRDefault="00A27921" w:rsidP="00A27921">
      <w:pPr>
        <w:jc w:val="both"/>
        <w:rPr>
          <w:rFonts w:ascii="Segoe UI" w:hAnsi="Segoe UI" w:cs="Segoe UI"/>
          <w:sz w:val="22"/>
          <w:szCs w:val="22"/>
        </w:rPr>
      </w:pPr>
      <w:r w:rsidRPr="00A27921">
        <w:rPr>
          <w:rFonts w:ascii="Segoe UI" w:hAnsi="Segoe UI" w:cs="Segoe UI"/>
          <w:sz w:val="22"/>
          <w:szCs w:val="22"/>
        </w:rPr>
        <w:t xml:space="preserve">Ad eccezione di alcuni casi specifici, gli ERV </w:t>
      </w:r>
      <w:r w:rsidR="00532ADE">
        <w:rPr>
          <w:rFonts w:ascii="Calibri" w:hAnsi="Calibri" w:cs="Calibri"/>
          <w:sz w:val="22"/>
          <w:szCs w:val="22"/>
        </w:rPr>
        <w:t>(</w:t>
      </w:r>
      <w:r w:rsidR="00532ADE">
        <w:rPr>
          <w:rFonts w:cs="Segoe UI"/>
          <w:color w:val="000000" w:themeColor="text1"/>
          <w:sz w:val="22"/>
          <w:szCs w:val="22"/>
        </w:rPr>
        <w:t>canone unitario di mercato euro/mq/anno</w:t>
      </w:r>
      <w:r w:rsidR="00532ADE" w:rsidRPr="00480D50">
        <w:rPr>
          <w:rFonts w:cs="Segoe UI"/>
          <w:color w:val="000000" w:themeColor="text1"/>
          <w:sz w:val="22"/>
          <w:szCs w:val="22"/>
        </w:rPr>
        <w:t>)</w:t>
      </w:r>
      <w:r w:rsidR="00532ADE">
        <w:rPr>
          <w:rFonts w:cs="Segoe UI"/>
          <w:color w:val="000000" w:themeColor="text1"/>
          <w:sz w:val="22"/>
          <w:szCs w:val="22"/>
        </w:rPr>
        <w:t xml:space="preserve"> </w:t>
      </w:r>
      <w:r w:rsidRPr="00A27921">
        <w:rPr>
          <w:rFonts w:ascii="Segoe UI" w:hAnsi="Segoe UI" w:cs="Segoe UI"/>
          <w:sz w:val="22"/>
          <w:szCs w:val="22"/>
        </w:rPr>
        <w:t>sembrano tenere, anche se i rendimenti potranno avere, soprattutto per alcuni asset e per alcune zone geografiche, delle leggere decompressioni, dovute</w:t>
      </w:r>
      <w:r w:rsidR="00532ADE">
        <w:rPr>
          <w:rFonts w:ascii="Segoe UI" w:hAnsi="Segoe UI" w:cs="Segoe UI"/>
          <w:sz w:val="22"/>
          <w:szCs w:val="22"/>
        </w:rPr>
        <w:t xml:space="preserve"> prevalentemente</w:t>
      </w:r>
      <w:r w:rsidRPr="00A27921">
        <w:rPr>
          <w:rFonts w:ascii="Segoe UI" w:hAnsi="Segoe UI" w:cs="Segoe UI"/>
          <w:sz w:val="22"/>
          <w:szCs w:val="22"/>
        </w:rPr>
        <w:t xml:space="preserve"> alla percezione di incertezza da parte degli investitori. </w:t>
      </w:r>
      <w:r w:rsidR="00187562" w:rsidRPr="00A27921">
        <w:rPr>
          <w:rFonts w:ascii="Segoe UI" w:hAnsi="Segoe UI" w:cs="Segoe UI"/>
          <w:sz w:val="22"/>
          <w:szCs w:val="22"/>
        </w:rPr>
        <w:t>È</w:t>
      </w:r>
      <w:r w:rsidRPr="00A27921">
        <w:rPr>
          <w:rFonts w:ascii="Segoe UI" w:hAnsi="Segoe UI" w:cs="Segoe UI"/>
          <w:sz w:val="22"/>
          <w:szCs w:val="22"/>
        </w:rPr>
        <w:t xml:space="preserve"> presumibile che gli asset core o con contratti long-term blindati manterranno valori e rendimenti costanti, essendo sicuramente più resilienti di altre categorie. </w:t>
      </w:r>
    </w:p>
    <w:p w:rsidR="00A27921" w:rsidRPr="000738F2" w:rsidRDefault="00A27921" w:rsidP="000738F2">
      <w:pPr>
        <w:spacing w:before="0"/>
        <w:jc w:val="center"/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</w:pPr>
      <w:r w:rsidRPr="000738F2"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  <w:lastRenderedPageBreak/>
        <w:t>SETTORE RETAIL</w:t>
      </w:r>
    </w:p>
    <w:p w:rsidR="00A27921" w:rsidRPr="00187562" w:rsidRDefault="00A27921" w:rsidP="00A27921">
      <w:pPr>
        <w:spacing w:before="0"/>
        <w:rPr>
          <w:rFonts w:ascii="Segoe UI" w:hAnsi="Segoe UI" w:cs="Segoe UI"/>
          <w:b/>
          <w:color w:val="000000" w:themeColor="text1"/>
          <w:sz w:val="22"/>
          <w:szCs w:val="22"/>
        </w:rPr>
      </w:pPr>
      <w:r w:rsidRPr="00187562">
        <w:rPr>
          <w:rFonts w:ascii="Segoe UI" w:hAnsi="Segoe UI" w:cs="Segoe UI"/>
          <w:b/>
          <w:color w:val="000000" w:themeColor="text1"/>
          <w:sz w:val="22"/>
          <w:szCs w:val="22"/>
        </w:rPr>
        <w:t>KEY DATA</w:t>
      </w:r>
    </w:p>
    <w:p w:rsidR="00A27921" w:rsidRPr="008049A1" w:rsidRDefault="00A27921" w:rsidP="00A27921">
      <w:pPr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8F6EFE">
        <w:rPr>
          <w:rFonts w:ascii="Segoe UI" w:hAnsi="Segoe UI" w:cs="Segoe UI"/>
          <w:color w:val="000000" w:themeColor="text1"/>
          <w:sz w:val="22"/>
          <w:szCs w:val="22"/>
        </w:rPr>
        <w:t xml:space="preserve">Se da un lato l’emergenza sanitaria e </w:t>
      </w:r>
      <w:r w:rsidR="008049A1">
        <w:rPr>
          <w:rFonts w:ascii="Segoe UI" w:hAnsi="Segoe UI" w:cs="Segoe UI"/>
          <w:color w:val="000000" w:themeColor="text1"/>
          <w:sz w:val="22"/>
          <w:szCs w:val="22"/>
        </w:rPr>
        <w:t xml:space="preserve">il </w:t>
      </w:r>
      <w:r w:rsidRPr="008F6EFE">
        <w:rPr>
          <w:rFonts w:ascii="Segoe UI" w:hAnsi="Segoe UI" w:cs="Segoe UI"/>
          <w:color w:val="000000" w:themeColor="text1"/>
          <w:sz w:val="22"/>
          <w:szCs w:val="22"/>
        </w:rPr>
        <w:t xml:space="preserve">lockdown hanno impattato in modo significativo sul retail, </w:t>
      </w:r>
      <w:r w:rsidR="00117E79" w:rsidRPr="00822235">
        <w:rPr>
          <w:rFonts w:ascii="Segoe UI" w:hAnsi="Segoe UI" w:cs="Segoe UI"/>
          <w:color w:val="000000" w:themeColor="text1"/>
          <w:sz w:val="22"/>
          <w:szCs w:val="22"/>
        </w:rPr>
        <w:t>dall</w:t>
      </w:r>
      <w:r w:rsidR="00117E79" w:rsidRPr="00A10B3D">
        <w:rPr>
          <w:rFonts w:ascii="Calibri" w:eastAsia="Calibri" w:hAnsi="Calibri" w:cs="Calibri"/>
          <w:color w:val="000000" w:themeColor="text1"/>
          <w:sz w:val="22"/>
          <w:szCs w:val="22"/>
        </w:rPr>
        <w:t>’</w:t>
      </w:r>
      <w:r w:rsidR="00117E79" w:rsidRPr="0040330A">
        <w:rPr>
          <w:rFonts w:ascii="Segoe UI" w:hAnsi="Segoe UI" w:cs="Segoe UI"/>
          <w:color w:val="000000" w:themeColor="text1"/>
          <w:sz w:val="22"/>
          <w:szCs w:val="22"/>
        </w:rPr>
        <w:t xml:space="preserve">altro </w:t>
      </w:r>
      <w:r w:rsidRPr="008049A1">
        <w:rPr>
          <w:rFonts w:ascii="Segoe UI" w:hAnsi="Segoe UI" w:cs="Segoe UI"/>
          <w:color w:val="000000" w:themeColor="text1"/>
          <w:sz w:val="22"/>
          <w:szCs w:val="22"/>
        </w:rPr>
        <w:t xml:space="preserve">si è registrato un aumento della </w:t>
      </w:r>
      <w:r w:rsidRPr="00E44D92">
        <w:rPr>
          <w:rFonts w:ascii="Segoe UI" w:hAnsi="Segoe UI" w:cs="Segoe UI"/>
          <w:b/>
          <w:color w:val="000000" w:themeColor="text1"/>
          <w:sz w:val="22"/>
          <w:szCs w:val="22"/>
        </w:rPr>
        <w:t>domanda verso la GDO</w:t>
      </w:r>
      <w:r w:rsidRPr="00E44D92">
        <w:rPr>
          <w:rFonts w:ascii="Segoe UI" w:hAnsi="Segoe UI" w:cs="Segoe UI"/>
          <w:color w:val="000000" w:themeColor="text1"/>
          <w:sz w:val="22"/>
          <w:szCs w:val="22"/>
        </w:rPr>
        <w:t xml:space="preserve"> </w:t>
      </w:r>
      <w:r w:rsidRPr="00E44D92">
        <w:rPr>
          <w:rFonts w:ascii="Segoe UI" w:hAnsi="Segoe UI" w:cs="Segoe UI"/>
          <w:b/>
          <w:color w:val="000000" w:themeColor="text1"/>
          <w:sz w:val="22"/>
          <w:szCs w:val="22"/>
        </w:rPr>
        <w:t>di servizi integrati con la logistica</w:t>
      </w:r>
      <w:r w:rsidRPr="009676EA">
        <w:rPr>
          <w:rFonts w:ascii="Segoe UI" w:hAnsi="Segoe UI" w:cs="Segoe UI"/>
          <w:color w:val="000000" w:themeColor="text1"/>
          <w:sz w:val="22"/>
          <w:szCs w:val="22"/>
        </w:rPr>
        <w:t>. Guardando agli investimenti, i primi nove mesi del 2020 hanno registrato un volume d’investim</w:t>
      </w:r>
      <w:r w:rsidRPr="007F63A1">
        <w:rPr>
          <w:rFonts w:ascii="Segoe UI" w:hAnsi="Segoe UI" w:cs="Segoe UI"/>
          <w:color w:val="000000" w:themeColor="text1"/>
          <w:sz w:val="22"/>
          <w:szCs w:val="22"/>
        </w:rPr>
        <w:t xml:space="preserve">ento pari a </w:t>
      </w:r>
      <w:r w:rsidRPr="00D422A8">
        <w:rPr>
          <w:rFonts w:ascii="Segoe UI" w:hAnsi="Segoe UI" w:cs="Segoe UI"/>
          <w:b/>
          <w:color w:val="000000" w:themeColor="text1"/>
          <w:sz w:val="22"/>
          <w:szCs w:val="22"/>
        </w:rPr>
        <w:t>890 milioni di euro</w:t>
      </w:r>
      <w:r w:rsidR="001120B0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</w:t>
      </w:r>
      <w:r w:rsidR="001120B0" w:rsidRPr="001120B0">
        <w:rPr>
          <w:rFonts w:ascii="Segoe UI" w:hAnsi="Segoe UI" w:cs="Segoe UI"/>
          <w:color w:val="000000" w:themeColor="text1"/>
          <w:sz w:val="22"/>
          <w:szCs w:val="22"/>
        </w:rPr>
        <w:t>(17% del totale investito)</w:t>
      </w:r>
      <w:r w:rsidRPr="001120B0">
        <w:rPr>
          <w:rFonts w:ascii="Segoe UI" w:hAnsi="Segoe UI" w:cs="Segoe UI"/>
          <w:color w:val="000000" w:themeColor="text1"/>
          <w:sz w:val="22"/>
          <w:szCs w:val="22"/>
        </w:rPr>
        <w:t>.</w:t>
      </w:r>
      <w:r w:rsidRPr="008F6EFE">
        <w:rPr>
          <w:rFonts w:ascii="Segoe UI" w:hAnsi="Segoe UI" w:cs="Segoe UI"/>
          <w:color w:val="000000" w:themeColor="text1"/>
          <w:sz w:val="22"/>
          <w:szCs w:val="22"/>
        </w:rPr>
        <w:t xml:space="preserve"> A ciò hanno contribuito transazioni di centri commerciali e in gran parte un’operazione chiusa da Unicredit tramite l’acquisizione del 32,5% del capitale di La Villata S.p.A, società immobiliare controllata da Esselunga S.p</w:t>
      </w:r>
      <w:r w:rsidRPr="008049A1">
        <w:rPr>
          <w:rFonts w:ascii="Segoe UI" w:hAnsi="Segoe UI" w:cs="Segoe UI"/>
          <w:color w:val="000000" w:themeColor="text1"/>
          <w:sz w:val="22"/>
          <w:szCs w:val="22"/>
        </w:rPr>
        <w:t>.A.</w:t>
      </w:r>
    </w:p>
    <w:p w:rsidR="00A27921" w:rsidRPr="00A27921" w:rsidRDefault="00A27921" w:rsidP="00A2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 w:rsidRPr="00A27921">
        <w:rPr>
          <w:rFonts w:ascii="Segoe UI" w:hAnsi="Segoe UI" w:cs="Segoe UI"/>
          <w:b/>
          <w:color w:val="404040" w:themeColor="text1" w:themeTint="BF"/>
          <w:sz w:val="22"/>
          <w:szCs w:val="22"/>
        </w:rPr>
        <w:t>Volume di investimenti capital market settore retail Q1-Q3 2020: 890 milioni di euro</w:t>
      </w:r>
    </w:p>
    <w:p w:rsidR="00A27921" w:rsidRPr="00A27921" w:rsidRDefault="00A27921" w:rsidP="00A2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 w:rsidRPr="00A27921">
        <w:rPr>
          <w:rFonts w:ascii="Segoe UI" w:hAnsi="Segoe UI" w:cs="Segoe UI"/>
          <w:b/>
          <w:color w:val="404040" w:themeColor="text1" w:themeTint="BF"/>
          <w:sz w:val="22"/>
          <w:szCs w:val="22"/>
        </w:rPr>
        <w:t>Numero Transazioni Normalizzate (NTN) Negozi e Laboratori:</w:t>
      </w:r>
    </w:p>
    <w:p w:rsidR="00A27921" w:rsidRPr="00A27921" w:rsidRDefault="00A27921" w:rsidP="00A2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 w:rsidRPr="00A27921">
        <w:rPr>
          <w:rFonts w:ascii="Segoe UI" w:hAnsi="Segoe UI" w:cs="Segoe UI"/>
          <w:b/>
          <w:color w:val="404040" w:themeColor="text1" w:themeTint="BF"/>
          <w:sz w:val="22"/>
          <w:szCs w:val="22"/>
        </w:rPr>
        <w:t>Q1-Q3 2020: 17.380 (-21,5%)</w:t>
      </w:r>
      <w:r w:rsidR="001120B0">
        <w:rPr>
          <w:rFonts w:ascii="Segoe UI" w:hAnsi="Segoe UI" w:cs="Segoe UI"/>
          <w:b/>
          <w:color w:val="404040" w:themeColor="text1" w:themeTint="BF"/>
          <w:sz w:val="22"/>
          <w:szCs w:val="22"/>
        </w:rPr>
        <w:t xml:space="preserve">; </w:t>
      </w:r>
      <w:r w:rsidRPr="00A27921">
        <w:rPr>
          <w:rFonts w:ascii="Segoe UI" w:hAnsi="Segoe UI" w:cs="Segoe UI"/>
          <w:b/>
          <w:color w:val="404040" w:themeColor="text1" w:themeTint="BF"/>
          <w:sz w:val="22"/>
          <w:szCs w:val="22"/>
        </w:rPr>
        <w:t xml:space="preserve">Q3 2020: </w:t>
      </w:r>
      <w:r w:rsidR="00E14FC3">
        <w:rPr>
          <w:rFonts w:ascii="Segoe UI" w:hAnsi="Segoe UI" w:cs="Segoe UI"/>
          <w:b/>
          <w:color w:val="404040" w:themeColor="text1" w:themeTint="BF"/>
          <w:sz w:val="22"/>
          <w:szCs w:val="22"/>
        </w:rPr>
        <w:t>6.447 (</w:t>
      </w:r>
      <w:r w:rsidRPr="00A27921">
        <w:rPr>
          <w:rFonts w:ascii="Segoe UI" w:hAnsi="Segoe UI" w:cs="Segoe UI"/>
          <w:b/>
          <w:color w:val="404040" w:themeColor="text1" w:themeTint="BF"/>
          <w:sz w:val="22"/>
          <w:szCs w:val="22"/>
        </w:rPr>
        <w:t>-5,5%</w:t>
      </w:r>
      <w:r w:rsidR="00E14FC3">
        <w:rPr>
          <w:rFonts w:ascii="Segoe UI" w:hAnsi="Segoe UI" w:cs="Segoe UI"/>
          <w:b/>
          <w:color w:val="404040" w:themeColor="text1" w:themeTint="BF"/>
          <w:sz w:val="22"/>
          <w:szCs w:val="22"/>
        </w:rPr>
        <w:t>)</w:t>
      </w:r>
    </w:p>
    <w:p w:rsidR="00A27921" w:rsidRPr="00A27921" w:rsidRDefault="00A27921" w:rsidP="00A27921">
      <w:pPr>
        <w:jc w:val="both"/>
        <w:rPr>
          <w:rFonts w:ascii="Segoe UI" w:hAnsi="Segoe UI" w:cs="Segoe UI"/>
          <w:b/>
          <w:sz w:val="22"/>
          <w:szCs w:val="22"/>
        </w:rPr>
      </w:pPr>
      <w:r w:rsidRPr="00A27921">
        <w:rPr>
          <w:rFonts w:ascii="Segoe UI" w:hAnsi="Segoe UI" w:cs="Segoe UI"/>
          <w:b/>
          <w:sz w:val="22"/>
          <w:szCs w:val="22"/>
        </w:rPr>
        <w:t>PREVISIONI</w:t>
      </w:r>
    </w:p>
    <w:p w:rsidR="00BE0594" w:rsidRPr="00A27921" w:rsidRDefault="00A27921" w:rsidP="00A27921">
      <w:pPr>
        <w:jc w:val="both"/>
        <w:rPr>
          <w:rFonts w:ascii="Segoe UI" w:hAnsi="Segoe UI" w:cs="Segoe UI"/>
          <w:sz w:val="22"/>
          <w:szCs w:val="22"/>
        </w:rPr>
      </w:pPr>
      <w:r w:rsidRPr="001120B0">
        <w:rPr>
          <w:rFonts w:ascii="Segoe UI" w:hAnsi="Segoe UI" w:cs="Segoe UI"/>
          <w:sz w:val="22"/>
          <w:szCs w:val="22"/>
        </w:rPr>
        <w:t xml:space="preserve">Dal punto di vista degli investimenti retail, soprattutto esteri, possiamo prevedere una contrazione dovuta all’incertezza del momento, con un aumento del costo dell’equity e dello spread. Nelle situazioni </w:t>
      </w:r>
      <w:r w:rsidR="00BE0594" w:rsidRPr="001120B0">
        <w:rPr>
          <w:rFonts w:ascii="Segoe UI" w:hAnsi="Segoe UI" w:cs="Segoe UI"/>
          <w:sz w:val="22"/>
          <w:szCs w:val="22"/>
        </w:rPr>
        <w:t>già</w:t>
      </w:r>
      <w:r w:rsidRPr="001120B0">
        <w:rPr>
          <w:rFonts w:ascii="Segoe UI" w:hAnsi="Segoe UI" w:cs="Segoe UI"/>
          <w:sz w:val="22"/>
          <w:szCs w:val="22"/>
        </w:rPr>
        <w:t xml:space="preserve"> critiche prima del Covid-19 potremmo assistere</w:t>
      </w:r>
      <w:r w:rsidR="007B399A" w:rsidRPr="001120B0">
        <w:rPr>
          <w:rFonts w:ascii="Segoe UI" w:hAnsi="Segoe UI" w:cs="Segoe UI"/>
          <w:sz w:val="22"/>
          <w:szCs w:val="22"/>
        </w:rPr>
        <w:t>,</w:t>
      </w:r>
      <w:r w:rsidRPr="001120B0">
        <w:rPr>
          <w:rFonts w:ascii="Segoe UI" w:hAnsi="Segoe UI" w:cs="Segoe UI"/>
          <w:sz w:val="22"/>
          <w:szCs w:val="22"/>
        </w:rPr>
        <w:t xml:space="preserve"> nel breve periodo</w:t>
      </w:r>
      <w:r w:rsidR="007B399A" w:rsidRPr="001120B0">
        <w:rPr>
          <w:rFonts w:ascii="Segoe UI" w:hAnsi="Segoe UI" w:cs="Segoe UI"/>
          <w:sz w:val="22"/>
          <w:szCs w:val="22"/>
        </w:rPr>
        <w:t>,</w:t>
      </w:r>
      <w:r w:rsidRPr="001120B0">
        <w:rPr>
          <w:rFonts w:ascii="Segoe UI" w:hAnsi="Segoe UI" w:cs="Segoe UI"/>
          <w:sz w:val="22"/>
          <w:szCs w:val="22"/>
        </w:rPr>
        <w:t xml:space="preserve"> alla razionalizzazione delle reti di vendita, ricerca di nuova identità, format fisici da ridimensionare o ampliare, riposizionamenti, acquisizioni, fusioni e chiusure. </w:t>
      </w:r>
      <w:r w:rsidR="00BE0594" w:rsidRPr="001120B0">
        <w:rPr>
          <w:rFonts w:ascii="Segoe UI" w:hAnsi="Segoe UI" w:cs="Segoe UI"/>
          <w:sz w:val="22"/>
          <w:szCs w:val="22"/>
        </w:rPr>
        <w:t>Potrebbero verificarsi</w:t>
      </w:r>
      <w:r w:rsidRPr="001120B0">
        <w:rPr>
          <w:rFonts w:ascii="Segoe UI" w:hAnsi="Segoe UI" w:cs="Segoe UI"/>
          <w:sz w:val="22"/>
          <w:szCs w:val="22"/>
        </w:rPr>
        <w:t xml:space="preserve"> ricadute occupazionali, ma </w:t>
      </w:r>
      <w:r w:rsidR="00BE0594" w:rsidRPr="001120B0">
        <w:rPr>
          <w:rFonts w:ascii="Segoe UI" w:hAnsi="Segoe UI" w:cs="Segoe UI"/>
          <w:sz w:val="22"/>
          <w:szCs w:val="22"/>
        </w:rPr>
        <w:t>anche</w:t>
      </w:r>
      <w:r w:rsidRPr="001120B0">
        <w:rPr>
          <w:rFonts w:ascii="Segoe UI" w:hAnsi="Segoe UI" w:cs="Segoe UI"/>
          <w:sz w:val="22"/>
          <w:szCs w:val="22"/>
        </w:rPr>
        <w:t xml:space="preserve"> crearsi altre opportunità lavorative</w:t>
      </w:r>
      <w:r w:rsidR="00BE0594" w:rsidRPr="001120B0">
        <w:rPr>
          <w:rFonts w:ascii="Segoe UI" w:hAnsi="Segoe UI" w:cs="Segoe UI"/>
          <w:sz w:val="22"/>
          <w:szCs w:val="22"/>
        </w:rPr>
        <w:t xml:space="preserve">: </w:t>
      </w:r>
      <w:r w:rsidRPr="001120B0">
        <w:rPr>
          <w:rFonts w:ascii="Segoe UI" w:hAnsi="Segoe UI" w:cs="Segoe UI"/>
          <w:sz w:val="22"/>
          <w:szCs w:val="22"/>
        </w:rPr>
        <w:t xml:space="preserve">costruire ora una visione realistica e ottimistica del futuro aiuta </w:t>
      </w:r>
      <w:r w:rsidR="00BE0594" w:rsidRPr="001120B0">
        <w:rPr>
          <w:rFonts w:ascii="Segoe UI" w:hAnsi="Segoe UI" w:cs="Segoe UI"/>
          <w:sz w:val="22"/>
          <w:szCs w:val="22"/>
        </w:rPr>
        <w:t>a</w:t>
      </w:r>
      <w:r w:rsidRPr="001120B0">
        <w:rPr>
          <w:rFonts w:ascii="Segoe UI" w:hAnsi="Segoe UI" w:cs="Segoe UI"/>
          <w:sz w:val="22"/>
          <w:szCs w:val="22"/>
        </w:rPr>
        <w:t xml:space="preserve"> essere pronti </w:t>
      </w:r>
      <w:r w:rsidR="00BE0594" w:rsidRPr="001120B0">
        <w:rPr>
          <w:rFonts w:ascii="Segoe UI" w:hAnsi="Segoe UI" w:cs="Segoe UI"/>
          <w:sz w:val="22"/>
          <w:szCs w:val="22"/>
        </w:rPr>
        <w:t>per la</w:t>
      </w:r>
      <w:r w:rsidRPr="001120B0">
        <w:rPr>
          <w:rFonts w:ascii="Segoe UI" w:hAnsi="Segoe UI" w:cs="Segoe UI"/>
          <w:sz w:val="22"/>
          <w:szCs w:val="22"/>
        </w:rPr>
        <w:t xml:space="preserve"> ripartenza</w:t>
      </w:r>
      <w:r w:rsidR="00BE0594" w:rsidRPr="001120B0">
        <w:rPr>
          <w:rFonts w:ascii="Segoe UI" w:hAnsi="Segoe UI" w:cs="Segoe UI"/>
          <w:b/>
          <w:sz w:val="22"/>
          <w:szCs w:val="22"/>
        </w:rPr>
        <w:t>.</w:t>
      </w:r>
    </w:p>
    <w:p w:rsidR="00A27921" w:rsidRDefault="00A27921" w:rsidP="00A27921">
      <w:pPr>
        <w:jc w:val="both"/>
        <w:rPr>
          <w:rFonts w:ascii="Segoe UI" w:hAnsi="Segoe UI" w:cs="Segoe UI"/>
          <w:b/>
          <w:sz w:val="22"/>
          <w:szCs w:val="22"/>
        </w:rPr>
      </w:pPr>
      <w:r w:rsidRPr="00A27921">
        <w:rPr>
          <w:rFonts w:ascii="Segoe UI" w:hAnsi="Segoe UI" w:cs="Segoe UI"/>
          <w:b/>
          <w:sz w:val="22"/>
          <w:szCs w:val="22"/>
        </w:rPr>
        <w:t xml:space="preserve">NUOVI TREND  </w:t>
      </w:r>
    </w:p>
    <w:p w:rsidR="00BE0594" w:rsidRDefault="007004D2" w:rsidP="00BE0594">
      <w:pPr>
        <w:jc w:val="both"/>
        <w:rPr>
          <w:rFonts w:ascii="Segoe UI" w:hAnsi="Segoe UI" w:cs="Segoe UI"/>
          <w:sz w:val="22"/>
          <w:szCs w:val="22"/>
        </w:rPr>
      </w:pPr>
      <w:r w:rsidRPr="0040330A">
        <w:rPr>
          <w:rFonts w:ascii="Segoe UI" w:hAnsi="Segoe UI" w:cs="Segoe UI"/>
          <w:sz w:val="22"/>
          <w:szCs w:val="22"/>
        </w:rPr>
        <w:t>Il Covid e</w:t>
      </w:r>
      <w:r w:rsidR="00BE0594" w:rsidRPr="00B51827">
        <w:rPr>
          <w:rFonts w:ascii="Segoe UI" w:hAnsi="Segoe UI" w:cs="Segoe UI"/>
          <w:sz w:val="22"/>
          <w:szCs w:val="22"/>
        </w:rPr>
        <w:t xml:space="preserve"> l</w:t>
      </w:r>
      <w:r w:rsidR="00BE0594" w:rsidRPr="00B51827">
        <w:rPr>
          <w:rFonts w:ascii="Calibri" w:eastAsia="Calibri" w:hAnsi="Calibri" w:cs="Calibri"/>
          <w:sz w:val="22"/>
          <w:szCs w:val="22"/>
        </w:rPr>
        <w:t>’</w:t>
      </w:r>
      <w:r w:rsidR="00BE0594" w:rsidRPr="00B51827">
        <w:rPr>
          <w:rFonts w:ascii="Segoe UI" w:hAnsi="Segoe UI" w:cs="Segoe UI"/>
          <w:sz w:val="22"/>
          <w:szCs w:val="22"/>
        </w:rPr>
        <w:t xml:space="preserve">emergenza sanitaria hanno di fatto </w:t>
      </w:r>
      <w:r w:rsidR="00BE0594" w:rsidRPr="00F6594E">
        <w:rPr>
          <w:rFonts w:ascii="Segoe UI" w:hAnsi="Segoe UI" w:cs="Segoe UI"/>
          <w:b/>
          <w:sz w:val="22"/>
          <w:szCs w:val="22"/>
        </w:rPr>
        <w:t xml:space="preserve">accelerato </w:t>
      </w:r>
      <w:r w:rsidR="00AA4422" w:rsidRPr="00AA4422">
        <w:rPr>
          <w:rFonts w:ascii="Segoe UI" w:hAnsi="Segoe UI" w:cs="Segoe UI"/>
          <w:b/>
          <w:sz w:val="22"/>
          <w:szCs w:val="22"/>
        </w:rPr>
        <w:t>tendenze</w:t>
      </w:r>
      <w:r w:rsidR="000F518B" w:rsidRPr="00B51827">
        <w:rPr>
          <w:rFonts w:ascii="Segoe UI" w:hAnsi="Segoe UI" w:cs="Segoe UI"/>
          <w:b/>
          <w:sz w:val="22"/>
          <w:szCs w:val="22"/>
        </w:rPr>
        <w:t xml:space="preserve"> già in atto</w:t>
      </w:r>
      <w:r w:rsidR="000F518B">
        <w:rPr>
          <w:rFonts w:ascii="Segoe UI" w:hAnsi="Segoe UI" w:cs="Segoe UI"/>
          <w:sz w:val="22"/>
          <w:szCs w:val="22"/>
        </w:rPr>
        <w:t>, a partire dalla</w:t>
      </w:r>
      <w:r w:rsidR="00BE0594">
        <w:rPr>
          <w:rFonts w:ascii="Segoe UI" w:hAnsi="Segoe UI" w:cs="Segoe UI"/>
          <w:sz w:val="22"/>
          <w:szCs w:val="22"/>
        </w:rPr>
        <w:t xml:space="preserve"> </w:t>
      </w:r>
      <w:r w:rsidR="00BE0594" w:rsidRPr="00B51827">
        <w:rPr>
          <w:rFonts w:ascii="Segoe UI" w:hAnsi="Segoe UI" w:cs="Segoe UI"/>
          <w:b/>
          <w:sz w:val="22"/>
          <w:szCs w:val="22"/>
        </w:rPr>
        <w:t>modalità omnichannel</w:t>
      </w:r>
      <w:r w:rsidR="00BE0594">
        <w:rPr>
          <w:rFonts w:ascii="Segoe UI" w:hAnsi="Segoe UI" w:cs="Segoe UI"/>
          <w:sz w:val="22"/>
          <w:szCs w:val="22"/>
        </w:rPr>
        <w:t>, con</w:t>
      </w:r>
      <w:r w:rsidR="00BE0594" w:rsidRPr="00B51827">
        <w:rPr>
          <w:rFonts w:ascii="Segoe UI" w:hAnsi="Segoe UI" w:cs="Segoe UI"/>
          <w:sz w:val="22"/>
          <w:szCs w:val="22"/>
        </w:rPr>
        <w:t xml:space="preserve"> una forte </w:t>
      </w:r>
      <w:r w:rsidR="00BE0594" w:rsidRPr="00F6594E">
        <w:rPr>
          <w:rFonts w:ascii="Segoe UI" w:hAnsi="Segoe UI" w:cs="Segoe UI"/>
          <w:b/>
          <w:sz w:val="22"/>
          <w:szCs w:val="22"/>
        </w:rPr>
        <w:t>interazione tra online e offline</w:t>
      </w:r>
      <w:r w:rsidR="00BE0594" w:rsidRPr="00B51827">
        <w:rPr>
          <w:rFonts w:ascii="Segoe UI" w:hAnsi="Segoe UI" w:cs="Segoe UI"/>
          <w:sz w:val="22"/>
          <w:szCs w:val="22"/>
        </w:rPr>
        <w:t xml:space="preserve"> </w:t>
      </w:r>
      <w:r w:rsidR="00BE0594" w:rsidRPr="00B51827">
        <w:rPr>
          <w:rFonts w:ascii="Segoe UI" w:hAnsi="Segoe UI" w:cs="Segoe UI"/>
          <w:b/>
          <w:sz w:val="22"/>
          <w:szCs w:val="22"/>
        </w:rPr>
        <w:t>e</w:t>
      </w:r>
      <w:r w:rsidR="000F518B" w:rsidRPr="00B51827">
        <w:rPr>
          <w:rFonts w:ascii="Segoe UI" w:hAnsi="Segoe UI" w:cs="Segoe UI"/>
          <w:b/>
          <w:sz w:val="22"/>
          <w:szCs w:val="22"/>
        </w:rPr>
        <w:t xml:space="preserve"> l</w:t>
      </w:r>
      <w:r w:rsidR="000F518B" w:rsidRPr="00B51827">
        <w:rPr>
          <w:rFonts w:ascii="Calibri" w:eastAsia="Calibri" w:hAnsi="Calibri" w:cs="Calibri"/>
          <w:b/>
          <w:sz w:val="22"/>
          <w:szCs w:val="22"/>
        </w:rPr>
        <w:t>’</w:t>
      </w:r>
      <w:r w:rsidR="000F518B" w:rsidRPr="00B51827">
        <w:rPr>
          <w:rFonts w:ascii="Segoe UI" w:hAnsi="Segoe UI" w:cs="Segoe UI"/>
          <w:b/>
          <w:sz w:val="22"/>
          <w:szCs w:val="22"/>
        </w:rPr>
        <w:t>innovazione</w:t>
      </w:r>
      <w:r w:rsidR="000F518B">
        <w:rPr>
          <w:rFonts w:ascii="Segoe UI" w:hAnsi="Segoe UI" w:cs="Segoe UI"/>
          <w:sz w:val="22"/>
          <w:szCs w:val="22"/>
        </w:rPr>
        <w:t xml:space="preserve"> in primo piano</w:t>
      </w:r>
      <w:r w:rsidR="00BE0594" w:rsidRPr="00B51827">
        <w:rPr>
          <w:rFonts w:ascii="Segoe UI" w:hAnsi="Segoe UI" w:cs="Segoe UI"/>
          <w:sz w:val="22"/>
          <w:szCs w:val="22"/>
        </w:rPr>
        <w:t>.</w:t>
      </w:r>
      <w:r w:rsidR="00D85ECC">
        <w:rPr>
          <w:rFonts w:ascii="Segoe UI" w:hAnsi="Segoe UI" w:cs="Segoe UI"/>
          <w:sz w:val="22"/>
          <w:szCs w:val="22"/>
        </w:rPr>
        <w:t xml:space="preserve"> </w:t>
      </w:r>
    </w:p>
    <w:p w:rsidR="00D85ECC" w:rsidRPr="00A27921" w:rsidRDefault="00D85ECC" w:rsidP="00D85ECC">
      <w:pPr>
        <w:pStyle w:val="Paragrafoelenco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A27921">
        <w:rPr>
          <w:rFonts w:ascii="Segoe UI" w:hAnsi="Segoe UI" w:cs="Segoe UI"/>
          <w:sz w:val="22"/>
          <w:szCs w:val="22"/>
        </w:rPr>
        <w:t xml:space="preserve">Cambiamenti nella </w:t>
      </w:r>
      <w:r w:rsidRPr="00B51827">
        <w:rPr>
          <w:rFonts w:ascii="Segoe UI" w:hAnsi="Segoe UI" w:cs="Segoe UI"/>
          <w:b/>
          <w:sz w:val="22"/>
          <w:szCs w:val="22"/>
        </w:rPr>
        <w:t>shop</w:t>
      </w:r>
      <w:r w:rsidR="000F518B" w:rsidRPr="00B51827">
        <w:rPr>
          <w:rFonts w:ascii="Segoe UI" w:hAnsi="Segoe UI" w:cs="Segoe UI"/>
          <w:b/>
          <w:sz w:val="22"/>
          <w:szCs w:val="22"/>
        </w:rPr>
        <w:t xml:space="preserve">ping </w:t>
      </w:r>
      <w:r w:rsidRPr="00B51827">
        <w:rPr>
          <w:rFonts w:ascii="Segoe UI" w:hAnsi="Segoe UI" w:cs="Segoe UI"/>
          <w:b/>
          <w:sz w:val="22"/>
          <w:szCs w:val="22"/>
        </w:rPr>
        <w:t>experience</w:t>
      </w:r>
      <w:r w:rsidRPr="00A27921">
        <w:rPr>
          <w:rFonts w:ascii="Segoe UI" w:hAnsi="Segoe UI" w:cs="Segoe UI"/>
          <w:sz w:val="22"/>
          <w:szCs w:val="22"/>
        </w:rPr>
        <w:t xml:space="preserve"> con maggiore ricorso alle </w:t>
      </w:r>
      <w:r w:rsidRPr="00B51827">
        <w:rPr>
          <w:rFonts w:ascii="Segoe UI" w:hAnsi="Segoe UI" w:cs="Segoe UI"/>
          <w:sz w:val="22"/>
          <w:szCs w:val="22"/>
        </w:rPr>
        <w:t>tecnologie</w:t>
      </w:r>
      <w:r w:rsidRPr="00A27921">
        <w:rPr>
          <w:rFonts w:ascii="Segoe UI" w:hAnsi="Segoe UI" w:cs="Segoe UI"/>
          <w:sz w:val="22"/>
          <w:szCs w:val="22"/>
        </w:rPr>
        <w:t xml:space="preserve"> (</w:t>
      </w:r>
      <w:r w:rsidR="000F518B">
        <w:rPr>
          <w:rFonts w:ascii="Segoe UI" w:hAnsi="Segoe UI" w:cs="Segoe UI"/>
          <w:sz w:val="22"/>
          <w:szCs w:val="22"/>
        </w:rPr>
        <w:t xml:space="preserve">per </w:t>
      </w:r>
      <w:r w:rsidRPr="00A27921">
        <w:rPr>
          <w:rFonts w:ascii="Segoe UI" w:hAnsi="Segoe UI" w:cs="Segoe UI"/>
          <w:sz w:val="22"/>
          <w:szCs w:val="22"/>
        </w:rPr>
        <w:t>esempio</w:t>
      </w:r>
      <w:r w:rsidR="000F518B">
        <w:rPr>
          <w:rFonts w:ascii="Segoe UI" w:hAnsi="Segoe UI" w:cs="Segoe UI"/>
          <w:sz w:val="22"/>
          <w:szCs w:val="22"/>
        </w:rPr>
        <w:t xml:space="preserve"> i</w:t>
      </w:r>
      <w:r w:rsidRPr="00A27921">
        <w:rPr>
          <w:rFonts w:ascii="Segoe UI" w:hAnsi="Segoe UI" w:cs="Segoe UI"/>
          <w:sz w:val="22"/>
          <w:szCs w:val="22"/>
        </w:rPr>
        <w:t xml:space="preserve"> camerini</w:t>
      </w:r>
      <w:r w:rsidR="000F518B">
        <w:rPr>
          <w:rFonts w:ascii="Segoe UI" w:hAnsi="Segoe UI" w:cs="Segoe UI"/>
          <w:sz w:val="22"/>
          <w:szCs w:val="22"/>
        </w:rPr>
        <w:t xml:space="preserve"> interattivi) e maggiore attenzione agli aspetti igienico-sanitari.</w:t>
      </w:r>
    </w:p>
    <w:p w:rsidR="00D85ECC" w:rsidRDefault="000F518B" w:rsidP="00B51827">
      <w:pPr>
        <w:pStyle w:val="Paragrafoelenco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0F518B">
        <w:rPr>
          <w:rFonts w:ascii="Segoe UI" w:hAnsi="Segoe UI" w:cs="Segoe UI"/>
          <w:sz w:val="22"/>
          <w:szCs w:val="22"/>
        </w:rPr>
        <w:t xml:space="preserve">Maggior adozione delle </w:t>
      </w:r>
      <w:r w:rsidRPr="000F518B">
        <w:rPr>
          <w:rFonts w:ascii="Segoe UI" w:hAnsi="Segoe UI" w:cs="Segoe UI"/>
          <w:b/>
          <w:sz w:val="22"/>
          <w:szCs w:val="22"/>
        </w:rPr>
        <w:t>modalità cashless</w:t>
      </w:r>
      <w:r w:rsidRPr="000F518B">
        <w:rPr>
          <w:rFonts w:ascii="Segoe UI" w:hAnsi="Segoe UI" w:cs="Segoe UI"/>
          <w:sz w:val="22"/>
          <w:szCs w:val="22"/>
        </w:rPr>
        <w:t xml:space="preserve"> da parte dei retailer </w:t>
      </w:r>
      <w:r>
        <w:rPr>
          <w:rFonts w:ascii="Segoe UI" w:hAnsi="Segoe UI" w:cs="Segoe UI"/>
          <w:sz w:val="22"/>
          <w:szCs w:val="22"/>
        </w:rPr>
        <w:t>per evitare code e rendere più piacevole e anche sicuro lo shopping.</w:t>
      </w:r>
    </w:p>
    <w:p w:rsidR="000F518B" w:rsidRPr="00A27921" w:rsidRDefault="000F518B" w:rsidP="000F518B">
      <w:pPr>
        <w:pStyle w:val="Paragrafoelenco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A27921">
        <w:rPr>
          <w:rFonts w:ascii="Segoe UI" w:hAnsi="Segoe UI" w:cs="Segoe UI"/>
          <w:sz w:val="22"/>
          <w:szCs w:val="22"/>
        </w:rPr>
        <w:t>Maggiore sviluppo</w:t>
      </w:r>
      <w:r w:rsidR="00AA4422">
        <w:rPr>
          <w:rFonts w:ascii="Segoe UI" w:hAnsi="Segoe UI" w:cs="Segoe UI"/>
          <w:sz w:val="22"/>
          <w:szCs w:val="22"/>
        </w:rPr>
        <w:t xml:space="preserve"> di</w:t>
      </w:r>
      <w:r w:rsidRPr="00A27921">
        <w:rPr>
          <w:rFonts w:ascii="Segoe UI" w:hAnsi="Segoe UI" w:cs="Segoe UI"/>
          <w:sz w:val="22"/>
          <w:szCs w:val="22"/>
        </w:rPr>
        <w:t xml:space="preserve"> </w:t>
      </w:r>
      <w:r w:rsidRPr="00A27921">
        <w:rPr>
          <w:rFonts w:ascii="Segoe UI" w:hAnsi="Segoe UI" w:cs="Segoe UI"/>
          <w:b/>
          <w:sz w:val="22"/>
          <w:szCs w:val="22"/>
        </w:rPr>
        <w:t>App</w:t>
      </w:r>
      <w:r>
        <w:rPr>
          <w:rFonts w:ascii="Segoe UI" w:hAnsi="Segoe UI" w:cs="Segoe UI"/>
          <w:sz w:val="22"/>
          <w:szCs w:val="22"/>
        </w:rPr>
        <w:t xml:space="preserve"> di retailer e catene</w:t>
      </w:r>
      <w:r w:rsidRPr="00A27921">
        <w:rPr>
          <w:rFonts w:ascii="Segoe UI" w:hAnsi="Segoe UI" w:cs="Segoe UI"/>
          <w:sz w:val="22"/>
          <w:szCs w:val="22"/>
        </w:rPr>
        <w:t xml:space="preserve"> per</w:t>
      </w:r>
      <w:r w:rsidR="008E3C85">
        <w:rPr>
          <w:rFonts w:ascii="Segoe UI" w:hAnsi="Segoe UI" w:cs="Segoe UI"/>
          <w:sz w:val="22"/>
          <w:szCs w:val="22"/>
        </w:rPr>
        <w:t xml:space="preserve"> gli acquisti</w:t>
      </w:r>
      <w:r>
        <w:rPr>
          <w:rFonts w:ascii="Segoe UI" w:hAnsi="Segoe UI" w:cs="Segoe UI"/>
          <w:sz w:val="22"/>
          <w:szCs w:val="22"/>
        </w:rPr>
        <w:t xml:space="preserve"> e</w:t>
      </w:r>
      <w:r w:rsidRPr="00A27921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la </w:t>
      </w:r>
      <w:r w:rsidRPr="00A27921">
        <w:rPr>
          <w:rFonts w:ascii="Segoe UI" w:hAnsi="Segoe UI" w:cs="Segoe UI"/>
          <w:sz w:val="22"/>
          <w:szCs w:val="22"/>
        </w:rPr>
        <w:t>spesa online.</w:t>
      </w:r>
    </w:p>
    <w:p w:rsidR="000F518B" w:rsidRPr="00A27921" w:rsidRDefault="000F518B" w:rsidP="000F518B">
      <w:pPr>
        <w:pStyle w:val="Paragrafoelenco"/>
        <w:numPr>
          <w:ilvl w:val="0"/>
          <w:numId w:val="7"/>
        </w:numPr>
        <w:jc w:val="both"/>
        <w:rPr>
          <w:rFonts w:ascii="Segoe UI" w:hAnsi="Segoe UI" w:cs="Segoe UI"/>
          <w:sz w:val="22"/>
          <w:szCs w:val="22"/>
        </w:rPr>
      </w:pPr>
      <w:r w:rsidRPr="00A27921">
        <w:rPr>
          <w:rFonts w:ascii="Segoe UI" w:hAnsi="Segoe UI" w:cs="Segoe UI"/>
          <w:b/>
          <w:sz w:val="22"/>
          <w:szCs w:val="22"/>
        </w:rPr>
        <w:t>Rinnovo del vending</w:t>
      </w:r>
      <w:r w:rsidRPr="00A27921">
        <w:rPr>
          <w:rFonts w:ascii="Segoe UI" w:hAnsi="Segoe UI" w:cs="Segoe UI"/>
          <w:sz w:val="22"/>
          <w:szCs w:val="22"/>
        </w:rPr>
        <w:t xml:space="preserve"> basato sui distributori automatici ampliato e distribuito territorialmente.</w:t>
      </w:r>
    </w:p>
    <w:p w:rsidR="00A27921" w:rsidRPr="00187562" w:rsidRDefault="00A27921" w:rsidP="00A27921">
      <w:pPr>
        <w:jc w:val="both"/>
        <w:rPr>
          <w:rFonts w:ascii="Segoe UI" w:hAnsi="Segoe UI" w:cs="Segoe UI"/>
          <w:b/>
          <w:color w:val="000000" w:themeColor="text1"/>
          <w:sz w:val="22"/>
          <w:szCs w:val="22"/>
        </w:rPr>
      </w:pPr>
      <w:r w:rsidRPr="00187562">
        <w:rPr>
          <w:rFonts w:ascii="Segoe UI" w:hAnsi="Segoe UI" w:cs="Segoe UI"/>
          <w:b/>
          <w:color w:val="000000" w:themeColor="text1"/>
          <w:sz w:val="22"/>
          <w:szCs w:val="22"/>
        </w:rPr>
        <w:t>IMPATTO AMBITO VALUTAZIONI</w:t>
      </w:r>
    </w:p>
    <w:p w:rsidR="00187562" w:rsidRDefault="00A27921" w:rsidP="00B51827">
      <w:pPr>
        <w:jc w:val="both"/>
        <w:rPr>
          <w:rFonts w:ascii="Segoe UI" w:hAnsi="Segoe UI" w:cs="Segoe UI"/>
          <w:b/>
          <w:color w:val="C00000"/>
          <w:sz w:val="24"/>
          <w:szCs w:val="24"/>
          <w:u w:val="single"/>
        </w:rPr>
      </w:pPr>
      <w:r w:rsidRPr="00A27921">
        <w:rPr>
          <w:rFonts w:ascii="Segoe UI" w:hAnsi="Segoe UI" w:cs="Segoe UI"/>
          <w:sz w:val="22"/>
          <w:szCs w:val="22"/>
        </w:rPr>
        <w:t xml:space="preserve">Si prevede una contrazione degli ERV soprattutto nel medio periodo, legati alla parte variabile del fatturato che ha visto forti riduzioni. Il valore sarà inoltre impattato da un maggiore costo dell’equity e da un incremento sui costi operativi dovuti </w:t>
      </w:r>
      <w:r w:rsidR="008E3C85">
        <w:rPr>
          <w:rFonts w:ascii="Segoe UI" w:hAnsi="Segoe UI" w:cs="Segoe UI"/>
          <w:sz w:val="22"/>
          <w:szCs w:val="22"/>
        </w:rPr>
        <w:t>per</w:t>
      </w:r>
      <w:r w:rsidRPr="00A27921">
        <w:rPr>
          <w:rFonts w:ascii="Segoe UI" w:hAnsi="Segoe UI" w:cs="Segoe UI"/>
          <w:sz w:val="22"/>
          <w:szCs w:val="22"/>
        </w:rPr>
        <w:t xml:space="preserve"> esempio a</w:t>
      </w:r>
      <w:r w:rsidR="000B5DFC">
        <w:rPr>
          <w:rFonts w:ascii="Segoe UI" w:hAnsi="Segoe UI" w:cs="Segoe UI"/>
          <w:sz w:val="22"/>
          <w:szCs w:val="22"/>
        </w:rPr>
        <w:t>gli</w:t>
      </w:r>
      <w:r w:rsidRPr="00A27921">
        <w:rPr>
          <w:rFonts w:ascii="Segoe UI" w:hAnsi="Segoe UI" w:cs="Segoe UI"/>
          <w:sz w:val="22"/>
          <w:szCs w:val="22"/>
        </w:rPr>
        <w:t xml:space="preserve"> adeguamenti e</w:t>
      </w:r>
      <w:r w:rsidR="000B5DFC">
        <w:rPr>
          <w:rFonts w:ascii="Segoe UI" w:hAnsi="Segoe UI" w:cs="Segoe UI"/>
          <w:sz w:val="22"/>
          <w:szCs w:val="22"/>
        </w:rPr>
        <w:t xml:space="preserve"> alle</w:t>
      </w:r>
      <w:r w:rsidRPr="00A27921">
        <w:rPr>
          <w:rFonts w:ascii="Segoe UI" w:hAnsi="Segoe UI" w:cs="Segoe UI"/>
          <w:sz w:val="22"/>
          <w:szCs w:val="22"/>
        </w:rPr>
        <w:t xml:space="preserve"> sanificazioni.</w:t>
      </w:r>
    </w:p>
    <w:p w:rsidR="00A27921" w:rsidRPr="000738F2" w:rsidRDefault="00A27921" w:rsidP="000738F2">
      <w:pPr>
        <w:spacing w:before="0"/>
        <w:jc w:val="center"/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</w:pPr>
      <w:r w:rsidRPr="000738F2"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  <w:lastRenderedPageBreak/>
        <w:t>SETTORE HOTEL</w:t>
      </w:r>
    </w:p>
    <w:p w:rsidR="00A27921" w:rsidRPr="00A27921" w:rsidRDefault="00A27921" w:rsidP="00A27921">
      <w:pPr>
        <w:jc w:val="both"/>
        <w:rPr>
          <w:rFonts w:ascii="Segoe UI" w:hAnsi="Segoe UI" w:cs="Segoe UI"/>
          <w:b/>
          <w:sz w:val="22"/>
          <w:szCs w:val="22"/>
        </w:rPr>
      </w:pPr>
      <w:r w:rsidRPr="00A27921">
        <w:rPr>
          <w:rFonts w:ascii="Segoe UI" w:hAnsi="Segoe UI" w:cs="Segoe UI"/>
          <w:b/>
          <w:sz w:val="22"/>
          <w:szCs w:val="22"/>
        </w:rPr>
        <w:t>KEY DATA</w:t>
      </w:r>
    </w:p>
    <w:p w:rsidR="00A27921" w:rsidRPr="00187562" w:rsidRDefault="00A27921" w:rsidP="00A27921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22"/>
          <w:szCs w:val="22"/>
        </w:rPr>
      </w:pPr>
      <w:r w:rsidRPr="00187562">
        <w:rPr>
          <w:rFonts w:ascii="Segoe UI" w:hAnsi="Segoe UI" w:cs="Segoe UI"/>
          <w:sz w:val="22"/>
          <w:szCs w:val="22"/>
        </w:rPr>
        <w:t>Per gli alberghi italiani, il 2020 era iniziato nel migliore dei modi con un aumento delle presenze (+3,8% stranier</w:t>
      </w:r>
      <w:r w:rsidR="003F22F9">
        <w:rPr>
          <w:rFonts w:ascii="Segoe UI" w:hAnsi="Segoe UI" w:cs="Segoe UI"/>
          <w:sz w:val="22"/>
          <w:szCs w:val="22"/>
        </w:rPr>
        <w:t>e</w:t>
      </w:r>
      <w:r w:rsidRPr="00187562">
        <w:rPr>
          <w:rFonts w:ascii="Segoe UI" w:hAnsi="Segoe UI" w:cs="Segoe UI"/>
          <w:sz w:val="22"/>
          <w:szCs w:val="22"/>
        </w:rPr>
        <w:t xml:space="preserve"> e +4,8% italian</w:t>
      </w:r>
      <w:r w:rsidR="003F22F9">
        <w:rPr>
          <w:rFonts w:ascii="Segoe UI" w:hAnsi="Segoe UI" w:cs="Segoe UI"/>
          <w:sz w:val="22"/>
          <w:szCs w:val="22"/>
        </w:rPr>
        <w:t>e</w:t>
      </w:r>
      <w:r w:rsidRPr="00187562">
        <w:rPr>
          <w:rFonts w:ascii="Segoe UI" w:hAnsi="Segoe UI" w:cs="Segoe UI"/>
          <w:sz w:val="22"/>
          <w:szCs w:val="22"/>
        </w:rPr>
        <w:t>) a gennaio rispetto al</w:t>
      </w:r>
      <w:r w:rsidR="000B5DFC">
        <w:rPr>
          <w:rFonts w:ascii="Segoe UI" w:hAnsi="Segoe UI" w:cs="Segoe UI"/>
          <w:sz w:val="22"/>
          <w:szCs w:val="22"/>
        </w:rPr>
        <w:t xml:space="preserve"> 2019</w:t>
      </w:r>
      <w:r w:rsidRPr="00187562">
        <w:rPr>
          <w:rFonts w:ascii="Segoe UI" w:hAnsi="Segoe UI" w:cs="Segoe UI"/>
          <w:sz w:val="22"/>
          <w:szCs w:val="22"/>
        </w:rPr>
        <w:t xml:space="preserve"> (dati Federalberghi).  A febbraio però, causa Covid-19, si è registrata una prima flessione, fino</w:t>
      </w:r>
      <w:r w:rsidR="003F22F9">
        <w:rPr>
          <w:rFonts w:ascii="Segoe UI" w:hAnsi="Segoe UI" w:cs="Segoe UI"/>
          <w:sz w:val="22"/>
          <w:szCs w:val="22"/>
        </w:rPr>
        <w:t xml:space="preserve"> al blocco del mercato in </w:t>
      </w:r>
      <w:r w:rsidRPr="00187562">
        <w:rPr>
          <w:rFonts w:ascii="Segoe UI" w:hAnsi="Segoe UI" w:cs="Segoe UI"/>
          <w:sz w:val="22"/>
          <w:szCs w:val="22"/>
        </w:rPr>
        <w:t>aprile. All’inizio dell’estate, Federalberghi ha reso noto che solo il 40% degli alberghi italiani era aperto, percentuale che è poi sostanzialmente raddoppiata tra luglio e agosto, ma il restante 20%, ubicato soprattutto nelle città, non ha riaperto fino a settembre e molti sono rimasti definitivamente chiusi.</w:t>
      </w:r>
    </w:p>
    <w:p w:rsidR="00A27921" w:rsidRDefault="003F22F9" w:rsidP="00B5182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G</w:t>
      </w:r>
      <w:r w:rsidR="00A27921" w:rsidRPr="00187562">
        <w:rPr>
          <w:rFonts w:ascii="Segoe UI" w:hAnsi="Segoe UI" w:cs="Segoe UI"/>
          <w:sz w:val="22"/>
          <w:szCs w:val="22"/>
        </w:rPr>
        <w:t xml:space="preserve">li </w:t>
      </w:r>
      <w:r w:rsidR="00A27921" w:rsidRPr="00187562">
        <w:rPr>
          <w:rFonts w:ascii="Segoe UI" w:hAnsi="Segoe UI" w:cs="Segoe UI"/>
          <w:b/>
          <w:sz w:val="22"/>
          <w:szCs w:val="22"/>
        </w:rPr>
        <w:t>investimenti</w:t>
      </w:r>
      <w:r>
        <w:rPr>
          <w:rFonts w:ascii="Segoe UI" w:hAnsi="Segoe UI" w:cs="Segoe UI"/>
          <w:sz w:val="22"/>
          <w:szCs w:val="22"/>
        </w:rPr>
        <w:t xml:space="preserve"> sono stati </w:t>
      </w:r>
      <w:r w:rsidR="00A27921" w:rsidRPr="00187562">
        <w:rPr>
          <w:rFonts w:ascii="Segoe UI" w:hAnsi="Segoe UI" w:cs="Segoe UI"/>
          <w:sz w:val="22"/>
          <w:szCs w:val="22"/>
        </w:rPr>
        <w:t xml:space="preserve">di circa </w:t>
      </w:r>
      <w:r w:rsidR="00A27921" w:rsidRPr="00187562">
        <w:rPr>
          <w:rFonts w:ascii="Segoe UI" w:hAnsi="Segoe UI" w:cs="Segoe UI"/>
          <w:b/>
          <w:sz w:val="22"/>
          <w:szCs w:val="22"/>
        </w:rPr>
        <w:t>680 milioni</w:t>
      </w:r>
      <w:r w:rsidR="00A27921" w:rsidRPr="00187562">
        <w:rPr>
          <w:rFonts w:ascii="Segoe UI" w:hAnsi="Segoe UI" w:cs="Segoe UI"/>
          <w:sz w:val="22"/>
          <w:szCs w:val="22"/>
        </w:rPr>
        <w:t xml:space="preserve"> di euro nei primi 9 mesi dell’anno.</w:t>
      </w:r>
      <w:r w:rsidR="002E3A67">
        <w:rPr>
          <w:rFonts w:ascii="Segoe UI" w:hAnsi="Segoe UI" w:cs="Segoe UI"/>
          <w:sz w:val="22"/>
          <w:szCs w:val="22"/>
        </w:rPr>
        <w:t xml:space="preserve"> </w:t>
      </w:r>
      <w:r w:rsidR="002E3A67" w:rsidRPr="002E3A67">
        <w:rPr>
          <w:rFonts w:ascii="Segoe UI" w:hAnsi="Segoe UI" w:cs="Segoe UI"/>
          <w:sz w:val="22"/>
          <w:szCs w:val="22"/>
        </w:rPr>
        <w:t>Tra le transazioni principali registrate nei primi tre trimestri del 2020 si ril</w:t>
      </w:r>
      <w:r w:rsidR="002E3A67">
        <w:rPr>
          <w:rFonts w:ascii="Segoe UI" w:hAnsi="Segoe UI" w:cs="Segoe UI"/>
          <w:sz w:val="22"/>
          <w:szCs w:val="22"/>
        </w:rPr>
        <w:t>evano l’hotel 5 stelle lus</w:t>
      </w:r>
      <w:r w:rsidR="002E3A67" w:rsidRPr="002E3A67">
        <w:rPr>
          <w:rFonts w:ascii="Segoe UI" w:hAnsi="Segoe UI" w:cs="Segoe UI"/>
          <w:sz w:val="22"/>
          <w:szCs w:val="22"/>
        </w:rPr>
        <w:t xml:space="preserve">so Bauer di Venezia, </w:t>
      </w:r>
      <w:r w:rsidR="007F63A1">
        <w:rPr>
          <w:rFonts w:ascii="Segoe UI" w:hAnsi="Segoe UI" w:cs="Segoe UI"/>
          <w:sz w:val="22"/>
          <w:szCs w:val="22"/>
        </w:rPr>
        <w:t>passato</w:t>
      </w:r>
      <w:r w:rsidR="002E3A67" w:rsidRPr="002E3A67">
        <w:rPr>
          <w:rFonts w:ascii="Segoe UI" w:hAnsi="Segoe UI" w:cs="Segoe UI"/>
          <w:sz w:val="22"/>
          <w:szCs w:val="22"/>
        </w:rPr>
        <w:t xml:space="preserve"> a</w:t>
      </w:r>
      <w:r w:rsidR="00461D3F">
        <w:rPr>
          <w:rFonts w:ascii="Segoe UI" w:hAnsi="Segoe UI" w:cs="Segoe UI"/>
          <w:sz w:val="22"/>
          <w:szCs w:val="22"/>
        </w:rPr>
        <w:t xml:space="preserve"> </w:t>
      </w:r>
      <w:r w:rsidR="002E3A67" w:rsidRPr="002E3A67">
        <w:rPr>
          <w:rFonts w:ascii="Segoe UI" w:hAnsi="Segoe UI" w:cs="Segoe UI"/>
          <w:sz w:val="22"/>
          <w:szCs w:val="22"/>
        </w:rPr>
        <w:t>Signa</w:t>
      </w:r>
      <w:r w:rsidR="00461D3F">
        <w:rPr>
          <w:rFonts w:ascii="Segoe UI" w:hAnsi="Segoe UI" w:cs="Segoe UI"/>
          <w:sz w:val="22"/>
          <w:szCs w:val="22"/>
        </w:rPr>
        <w:t xml:space="preserve"> Group</w:t>
      </w:r>
      <w:r w:rsidR="002E3A67" w:rsidRPr="002E3A67">
        <w:rPr>
          <w:rFonts w:ascii="Segoe UI" w:hAnsi="Segoe UI" w:cs="Segoe UI"/>
          <w:sz w:val="22"/>
          <w:szCs w:val="22"/>
        </w:rPr>
        <w:t>, e la cessione da parte di V</w:t>
      </w:r>
      <w:r w:rsidR="00461D3F">
        <w:rPr>
          <w:rFonts w:ascii="Arial" w:eastAsia="Times New Roman" w:hAnsi="Arial" w:cs="Arial"/>
          <w:color w:val="343A3F"/>
          <w:sz w:val="21"/>
          <w:szCs w:val="21"/>
        </w:rPr>
        <w:t>ärde</w:t>
      </w:r>
      <w:r w:rsidR="00461D3F">
        <w:rPr>
          <w:rFonts w:eastAsia="Times New Roman"/>
          <w:lang w:eastAsia="it-IT"/>
        </w:rPr>
        <w:t xml:space="preserve"> </w:t>
      </w:r>
      <w:r w:rsidR="002E3A67" w:rsidRPr="002E3A67">
        <w:rPr>
          <w:rFonts w:ascii="Segoe UI" w:hAnsi="Segoe UI" w:cs="Segoe UI"/>
          <w:sz w:val="22"/>
          <w:szCs w:val="22"/>
        </w:rPr>
        <w:t xml:space="preserve">Partners a Covivio del portafoglio di </w:t>
      </w:r>
      <w:r w:rsidR="00461D3F">
        <w:rPr>
          <w:rFonts w:ascii="Segoe UI" w:hAnsi="Segoe UI" w:cs="Segoe UI"/>
          <w:sz w:val="22"/>
          <w:szCs w:val="22"/>
        </w:rPr>
        <w:t>4</w:t>
      </w:r>
      <w:r w:rsidR="002E3A67" w:rsidRPr="002E3A67">
        <w:rPr>
          <w:rFonts w:ascii="Segoe UI" w:hAnsi="Segoe UI" w:cs="Segoe UI"/>
          <w:sz w:val="22"/>
          <w:szCs w:val="22"/>
        </w:rPr>
        <w:t xml:space="preserve"> hotel di fascia alta operanti sotto il marchio The Dedica Anthology.</w:t>
      </w:r>
    </w:p>
    <w:p w:rsidR="00A27921" w:rsidRPr="00A27921" w:rsidRDefault="00A27921" w:rsidP="00A2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 w:rsidRPr="00A27921">
        <w:rPr>
          <w:rFonts w:ascii="Segoe UI" w:hAnsi="Segoe UI" w:cs="Segoe UI"/>
          <w:b/>
          <w:color w:val="404040" w:themeColor="text1" w:themeTint="BF"/>
          <w:sz w:val="22"/>
          <w:szCs w:val="22"/>
        </w:rPr>
        <w:t>Q1-Q3 2020</w:t>
      </w:r>
    </w:p>
    <w:p w:rsidR="00A27921" w:rsidRPr="00A27921" w:rsidRDefault="00A27921" w:rsidP="00A2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 w:rsidRPr="00A27921">
        <w:rPr>
          <w:rFonts w:ascii="Segoe UI" w:hAnsi="Segoe UI" w:cs="Segoe UI"/>
          <w:b/>
          <w:color w:val="404040" w:themeColor="text1" w:themeTint="BF"/>
          <w:sz w:val="22"/>
          <w:szCs w:val="22"/>
        </w:rPr>
        <w:t>Volume di investimenti capital market settore alberghiero: 680 milioni di euro</w:t>
      </w:r>
    </w:p>
    <w:p w:rsidR="00A27921" w:rsidRPr="00A27921" w:rsidRDefault="00A27921" w:rsidP="00A27921">
      <w:pPr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  <w:u w:val="single"/>
        </w:rPr>
      </w:pPr>
      <w:r w:rsidRPr="00A27921">
        <w:rPr>
          <w:rFonts w:ascii="Segoe UI" w:hAnsi="Segoe UI" w:cs="Segoe UI"/>
          <w:b/>
          <w:color w:val="404040" w:themeColor="text1" w:themeTint="BF"/>
          <w:sz w:val="22"/>
          <w:szCs w:val="22"/>
        </w:rPr>
        <w:t xml:space="preserve"> </w:t>
      </w:r>
      <w:r w:rsidRPr="00A27921">
        <w:rPr>
          <w:rFonts w:ascii="Segoe UI" w:hAnsi="Segoe UI" w:cs="Segoe UI"/>
          <w:noProof/>
          <w:lang w:eastAsia="it-IT"/>
        </w:rPr>
        <w:drawing>
          <wp:inline distT="0" distB="0" distL="0" distR="0">
            <wp:extent cx="4067175" cy="930336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384" cy="93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921" w:rsidRPr="00A27921" w:rsidRDefault="00A27921" w:rsidP="00A27921">
      <w:pPr>
        <w:jc w:val="both"/>
        <w:rPr>
          <w:rFonts w:ascii="Segoe UI" w:hAnsi="Segoe UI" w:cs="Segoe UI"/>
          <w:b/>
          <w:sz w:val="22"/>
          <w:szCs w:val="22"/>
        </w:rPr>
      </w:pPr>
      <w:r w:rsidRPr="00A27921">
        <w:rPr>
          <w:rFonts w:ascii="Segoe UI" w:hAnsi="Segoe UI" w:cs="Segoe UI"/>
          <w:b/>
          <w:sz w:val="22"/>
          <w:szCs w:val="22"/>
        </w:rPr>
        <w:t>PREVISIONI</w:t>
      </w:r>
    </w:p>
    <w:p w:rsidR="00A27921" w:rsidRPr="00187562" w:rsidRDefault="00A27921" w:rsidP="00A27921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87562">
        <w:rPr>
          <w:rFonts w:ascii="Segoe UI" w:hAnsi="Segoe UI" w:cs="Segoe UI"/>
          <w:sz w:val="22"/>
          <w:szCs w:val="22"/>
        </w:rPr>
        <w:t xml:space="preserve">Il centro studi di Federalberghi stima per il 2020 un </w:t>
      </w:r>
      <w:r w:rsidRPr="00187562">
        <w:rPr>
          <w:rFonts w:ascii="Segoe UI" w:hAnsi="Segoe UI" w:cs="Segoe UI"/>
          <w:b/>
          <w:sz w:val="22"/>
          <w:szCs w:val="22"/>
        </w:rPr>
        <w:t>calo delle presenze</w:t>
      </w:r>
      <w:r w:rsidRPr="00187562">
        <w:rPr>
          <w:rFonts w:ascii="Segoe UI" w:hAnsi="Segoe UI" w:cs="Segoe UI"/>
          <w:sz w:val="22"/>
          <w:szCs w:val="22"/>
        </w:rPr>
        <w:t xml:space="preserve"> complessivo del 56,1%, ovvero circa 245 milioni di presenze totali </w:t>
      </w:r>
      <w:r w:rsidR="0075600A">
        <w:rPr>
          <w:rFonts w:ascii="Calibri" w:hAnsi="Calibri" w:cs="Calibri"/>
          <w:sz w:val="22"/>
          <w:szCs w:val="22"/>
        </w:rPr>
        <w:t>(-</w:t>
      </w:r>
      <w:r w:rsidRPr="00187562">
        <w:rPr>
          <w:rFonts w:ascii="Segoe UI" w:hAnsi="Segoe UI" w:cs="Segoe UI"/>
          <w:sz w:val="22"/>
          <w:szCs w:val="22"/>
        </w:rPr>
        <w:t xml:space="preserve">74% non residenti e </w:t>
      </w:r>
      <w:r w:rsidR="0075600A">
        <w:rPr>
          <w:rFonts w:ascii="Segoe UI" w:hAnsi="Segoe UI" w:cs="Segoe UI"/>
          <w:sz w:val="22"/>
          <w:szCs w:val="22"/>
        </w:rPr>
        <w:t>-</w:t>
      </w:r>
      <w:r w:rsidRPr="00187562">
        <w:rPr>
          <w:rFonts w:ascii="Segoe UI" w:hAnsi="Segoe UI" w:cs="Segoe UI"/>
          <w:sz w:val="22"/>
          <w:szCs w:val="22"/>
        </w:rPr>
        <w:t>37,9% italian</w:t>
      </w:r>
      <w:r w:rsidR="0075600A">
        <w:rPr>
          <w:rFonts w:ascii="Segoe UI" w:hAnsi="Segoe UI" w:cs="Segoe UI"/>
          <w:sz w:val="22"/>
          <w:szCs w:val="22"/>
        </w:rPr>
        <w:t>i</w:t>
      </w:r>
      <w:r w:rsidR="0075600A">
        <w:rPr>
          <w:rFonts w:ascii="Calibri" w:hAnsi="Calibri" w:cs="Calibri"/>
          <w:sz w:val="22"/>
          <w:szCs w:val="22"/>
        </w:rPr>
        <w:t>)</w:t>
      </w:r>
      <w:r w:rsidRPr="00187562">
        <w:rPr>
          <w:rFonts w:ascii="Segoe UI" w:hAnsi="Segoe UI" w:cs="Segoe UI"/>
          <w:sz w:val="22"/>
          <w:szCs w:val="22"/>
        </w:rPr>
        <w:t>. Per i prossimi 2/4 anni gli esperti internazionali</w:t>
      </w:r>
      <w:r w:rsidR="0075600A">
        <w:rPr>
          <w:rFonts w:ascii="Segoe UI" w:hAnsi="Segoe UI" w:cs="Segoe UI"/>
          <w:sz w:val="22"/>
          <w:szCs w:val="22"/>
        </w:rPr>
        <w:t xml:space="preserve"> prevedono</w:t>
      </w:r>
      <w:r w:rsidRPr="00187562">
        <w:rPr>
          <w:rFonts w:ascii="Segoe UI" w:hAnsi="Segoe UI" w:cs="Segoe UI"/>
          <w:sz w:val="22"/>
          <w:szCs w:val="22"/>
        </w:rPr>
        <w:t xml:space="preserve"> una crescita progressiva con un ritorno ai risultati conseguiti nel 2019</w:t>
      </w:r>
      <w:r w:rsidR="00F6594E">
        <w:rPr>
          <w:rFonts w:ascii="Segoe UI" w:hAnsi="Segoe UI" w:cs="Segoe UI"/>
          <w:sz w:val="22"/>
          <w:szCs w:val="22"/>
        </w:rPr>
        <w:t xml:space="preserve">, </w:t>
      </w:r>
      <w:r w:rsidR="00A84CAF">
        <w:rPr>
          <w:rFonts w:ascii="Segoe UI" w:hAnsi="Segoe UI" w:cs="Segoe UI"/>
          <w:sz w:val="22"/>
          <w:szCs w:val="22"/>
        </w:rPr>
        <w:t xml:space="preserve">anche se la </w:t>
      </w:r>
      <w:r w:rsidRPr="00187562">
        <w:rPr>
          <w:rFonts w:ascii="Segoe UI" w:hAnsi="Segoe UI" w:cs="Segoe UI"/>
          <w:sz w:val="22"/>
          <w:szCs w:val="22"/>
        </w:rPr>
        <w:t>variabile tempo dipenderà</w:t>
      </w:r>
      <w:r w:rsidR="00C2795A">
        <w:rPr>
          <w:rFonts w:ascii="Segoe UI" w:hAnsi="Segoe UI" w:cs="Segoe UI"/>
          <w:sz w:val="22"/>
          <w:szCs w:val="22"/>
        </w:rPr>
        <w:t xml:space="preserve"> </w:t>
      </w:r>
      <w:r w:rsidRPr="00187562">
        <w:rPr>
          <w:rFonts w:ascii="Segoe UI" w:hAnsi="Segoe UI" w:cs="Segoe UI"/>
          <w:sz w:val="22"/>
          <w:szCs w:val="22"/>
        </w:rPr>
        <w:t>dalla diffusione del vaccino. Dal 2024/2025 in poi è ragionevole pensare che, se non interverranno altri fattori dirompenti, i flussi turistici riprenderanno la loro naturale evoluzione.</w:t>
      </w:r>
    </w:p>
    <w:p w:rsidR="00A27921" w:rsidRPr="00187562" w:rsidRDefault="00A27921" w:rsidP="00A27921">
      <w:pPr>
        <w:jc w:val="both"/>
        <w:rPr>
          <w:rFonts w:ascii="Segoe UI" w:hAnsi="Segoe UI" w:cs="Segoe UI"/>
          <w:sz w:val="22"/>
          <w:szCs w:val="22"/>
        </w:rPr>
      </w:pPr>
      <w:r w:rsidRPr="00187562">
        <w:rPr>
          <w:rFonts w:ascii="Segoe UI" w:hAnsi="Segoe UI" w:cs="Segoe UI"/>
          <w:sz w:val="22"/>
          <w:szCs w:val="22"/>
        </w:rPr>
        <w:t xml:space="preserve">Tra le </w:t>
      </w:r>
      <w:r w:rsidRPr="00187562">
        <w:rPr>
          <w:rFonts w:ascii="Segoe UI" w:hAnsi="Segoe UI" w:cs="Segoe UI"/>
          <w:b/>
          <w:sz w:val="22"/>
          <w:szCs w:val="22"/>
        </w:rPr>
        <w:t>opportunità</w:t>
      </w:r>
      <w:r w:rsidRPr="00187562">
        <w:rPr>
          <w:rFonts w:ascii="Segoe UI" w:hAnsi="Segoe UI" w:cs="Segoe UI"/>
          <w:sz w:val="22"/>
          <w:szCs w:val="22"/>
        </w:rPr>
        <w:t xml:space="preserve"> per il futuro si segnalano: la maggiore domanda di spazi per smart working, l’uso diurno dell’hotel, una maggiore domanda infrasettimanale e in bassa stagione, la contaminazione tra business e leisure, turismo della terza età e medicale, la riconversione </w:t>
      </w:r>
      <w:r w:rsidR="00C2795A">
        <w:rPr>
          <w:rFonts w:ascii="Segoe UI" w:hAnsi="Segoe UI" w:cs="Segoe UI"/>
          <w:sz w:val="22"/>
          <w:szCs w:val="22"/>
        </w:rPr>
        <w:t xml:space="preserve">di </w:t>
      </w:r>
      <w:r w:rsidRPr="00187562">
        <w:rPr>
          <w:rFonts w:ascii="Segoe UI" w:hAnsi="Segoe UI" w:cs="Segoe UI"/>
          <w:sz w:val="22"/>
          <w:szCs w:val="22"/>
        </w:rPr>
        <w:t>spazi vuoti/cambio di destinazione d’uso.</w:t>
      </w:r>
    </w:p>
    <w:p w:rsidR="00A27921" w:rsidRPr="00187562" w:rsidRDefault="00A27921" w:rsidP="00A27921">
      <w:pPr>
        <w:jc w:val="both"/>
        <w:rPr>
          <w:rFonts w:ascii="Segoe UI" w:hAnsi="Segoe UI" w:cs="Segoe UI"/>
          <w:b/>
          <w:color w:val="000000" w:themeColor="text1"/>
          <w:sz w:val="22"/>
          <w:szCs w:val="22"/>
        </w:rPr>
      </w:pPr>
      <w:r w:rsidRPr="00187562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NUOVI TREND  </w:t>
      </w:r>
    </w:p>
    <w:p w:rsidR="00A27921" w:rsidRPr="00187562" w:rsidRDefault="00A27921" w:rsidP="00A27921">
      <w:pPr>
        <w:jc w:val="both"/>
        <w:rPr>
          <w:rFonts w:ascii="Segoe UI" w:hAnsi="Segoe UI" w:cs="Segoe UI"/>
          <w:sz w:val="22"/>
          <w:szCs w:val="22"/>
        </w:rPr>
      </w:pPr>
      <w:r w:rsidRPr="00187562">
        <w:rPr>
          <w:rFonts w:ascii="Segoe UI" w:hAnsi="Segoe UI" w:cs="Segoe UI"/>
          <w:b/>
          <w:sz w:val="22"/>
          <w:szCs w:val="22"/>
        </w:rPr>
        <w:t>L’albergo del futuro</w:t>
      </w:r>
      <w:r w:rsidRPr="00187562">
        <w:rPr>
          <w:rFonts w:ascii="Segoe UI" w:hAnsi="Segoe UI" w:cs="Segoe UI"/>
          <w:sz w:val="22"/>
          <w:szCs w:val="22"/>
        </w:rPr>
        <w:t xml:space="preserve"> dovrà essere uno </w:t>
      </w:r>
      <w:r w:rsidRPr="00187562">
        <w:rPr>
          <w:rFonts w:ascii="Segoe UI" w:hAnsi="Segoe UI" w:cs="Segoe UI"/>
          <w:b/>
          <w:sz w:val="22"/>
          <w:szCs w:val="22"/>
        </w:rPr>
        <w:t xml:space="preserve">spazio liquido, poliedrico, ipertecnologico ed ecosostenibile, </w:t>
      </w:r>
      <w:r w:rsidRPr="00187562">
        <w:rPr>
          <w:rFonts w:ascii="Segoe UI" w:hAnsi="Segoe UI" w:cs="Segoe UI"/>
          <w:sz w:val="22"/>
          <w:szCs w:val="22"/>
        </w:rPr>
        <w:t>capace di trasformarsi rinnovando contenuti e funzionalità per generare nuovo valore sociale ed economico.</w:t>
      </w:r>
    </w:p>
    <w:p w:rsidR="00A27921" w:rsidRPr="00187562" w:rsidRDefault="00A27921" w:rsidP="00A27921">
      <w:pPr>
        <w:autoSpaceDE w:val="0"/>
        <w:autoSpaceDN w:val="0"/>
        <w:adjustRightInd w:val="0"/>
        <w:spacing w:line="240" w:lineRule="auto"/>
        <w:contextualSpacing/>
        <w:rPr>
          <w:rFonts w:ascii="Segoe UI" w:hAnsi="Segoe UI" w:cs="Segoe UI"/>
          <w:sz w:val="22"/>
          <w:szCs w:val="22"/>
        </w:rPr>
      </w:pPr>
      <w:r w:rsidRPr="00187562">
        <w:rPr>
          <w:rFonts w:ascii="Segoe UI" w:hAnsi="Segoe UI" w:cs="Segoe UI"/>
          <w:sz w:val="22"/>
          <w:szCs w:val="22"/>
        </w:rPr>
        <w:lastRenderedPageBreak/>
        <w:t xml:space="preserve">• Spazi e servizi per lo </w:t>
      </w:r>
      <w:r w:rsidRPr="00187562">
        <w:rPr>
          <w:rFonts w:ascii="Segoe UI" w:hAnsi="Segoe UI" w:cs="Segoe UI"/>
          <w:b/>
          <w:sz w:val="22"/>
          <w:szCs w:val="22"/>
        </w:rPr>
        <w:t>smart working</w:t>
      </w:r>
      <w:r w:rsidRPr="00187562">
        <w:rPr>
          <w:rFonts w:ascii="Segoe UI" w:hAnsi="Segoe UI" w:cs="Segoe UI"/>
          <w:sz w:val="22"/>
          <w:szCs w:val="22"/>
        </w:rPr>
        <w:t>.</w:t>
      </w:r>
    </w:p>
    <w:p w:rsidR="00A27921" w:rsidRPr="00187562" w:rsidRDefault="00A27921" w:rsidP="00A27921">
      <w:pPr>
        <w:autoSpaceDE w:val="0"/>
        <w:autoSpaceDN w:val="0"/>
        <w:adjustRightInd w:val="0"/>
        <w:spacing w:line="240" w:lineRule="auto"/>
        <w:contextualSpacing/>
        <w:rPr>
          <w:rFonts w:ascii="Segoe UI" w:hAnsi="Segoe UI" w:cs="Segoe UI"/>
          <w:sz w:val="22"/>
          <w:szCs w:val="22"/>
        </w:rPr>
      </w:pPr>
      <w:r w:rsidRPr="00187562">
        <w:rPr>
          <w:rFonts w:ascii="Segoe UI" w:hAnsi="Segoe UI" w:cs="Segoe UI"/>
          <w:sz w:val="22"/>
          <w:szCs w:val="22"/>
        </w:rPr>
        <w:t xml:space="preserve">• </w:t>
      </w:r>
      <w:r w:rsidRPr="00187562">
        <w:rPr>
          <w:rFonts w:ascii="Segoe UI" w:hAnsi="Segoe UI" w:cs="Segoe UI"/>
          <w:b/>
          <w:sz w:val="22"/>
          <w:szCs w:val="22"/>
        </w:rPr>
        <w:t>Spazi sociali</w:t>
      </w:r>
      <w:r w:rsidRPr="00187562">
        <w:rPr>
          <w:rFonts w:ascii="Segoe UI" w:hAnsi="Segoe UI" w:cs="Segoe UI"/>
          <w:sz w:val="22"/>
          <w:szCs w:val="22"/>
        </w:rPr>
        <w:t xml:space="preserve"> ideali per rilassarsi o incontrare altre persone.</w:t>
      </w:r>
    </w:p>
    <w:p w:rsidR="00A27921" w:rsidRPr="00187562" w:rsidRDefault="00A27921" w:rsidP="00A27921">
      <w:pPr>
        <w:autoSpaceDE w:val="0"/>
        <w:autoSpaceDN w:val="0"/>
        <w:adjustRightInd w:val="0"/>
        <w:spacing w:line="240" w:lineRule="auto"/>
        <w:contextualSpacing/>
        <w:rPr>
          <w:rFonts w:ascii="Segoe UI" w:hAnsi="Segoe UI" w:cs="Segoe UI"/>
          <w:sz w:val="22"/>
          <w:szCs w:val="22"/>
        </w:rPr>
      </w:pPr>
      <w:r w:rsidRPr="00187562">
        <w:rPr>
          <w:rFonts w:ascii="Segoe UI" w:hAnsi="Segoe UI" w:cs="Segoe UI"/>
          <w:sz w:val="22"/>
          <w:szCs w:val="22"/>
        </w:rPr>
        <w:t xml:space="preserve">• Zone per il </w:t>
      </w:r>
      <w:r w:rsidRPr="00187562">
        <w:rPr>
          <w:rFonts w:ascii="Segoe UI" w:hAnsi="Segoe UI" w:cs="Segoe UI"/>
          <w:b/>
          <w:sz w:val="22"/>
          <w:szCs w:val="22"/>
        </w:rPr>
        <w:t>relax psico-fisico</w:t>
      </w:r>
      <w:r w:rsidR="00187562">
        <w:rPr>
          <w:rFonts w:ascii="Segoe UI" w:hAnsi="Segoe UI" w:cs="Segoe UI"/>
          <w:sz w:val="22"/>
          <w:szCs w:val="22"/>
        </w:rPr>
        <w:t>.</w:t>
      </w:r>
    </w:p>
    <w:p w:rsidR="00A27921" w:rsidRPr="00187562" w:rsidRDefault="00A27921" w:rsidP="00A27921">
      <w:pPr>
        <w:autoSpaceDE w:val="0"/>
        <w:autoSpaceDN w:val="0"/>
        <w:adjustRightInd w:val="0"/>
        <w:spacing w:line="240" w:lineRule="auto"/>
        <w:contextualSpacing/>
        <w:rPr>
          <w:rFonts w:ascii="Segoe UI" w:hAnsi="Segoe UI" w:cs="Segoe UI"/>
          <w:sz w:val="22"/>
          <w:szCs w:val="22"/>
        </w:rPr>
      </w:pPr>
      <w:r w:rsidRPr="00187562">
        <w:rPr>
          <w:rFonts w:ascii="Segoe UI" w:hAnsi="Segoe UI" w:cs="Segoe UI"/>
          <w:sz w:val="22"/>
          <w:szCs w:val="22"/>
        </w:rPr>
        <w:t xml:space="preserve">• </w:t>
      </w:r>
      <w:r w:rsidRPr="00187562">
        <w:rPr>
          <w:rFonts w:ascii="Segoe UI" w:hAnsi="Segoe UI" w:cs="Segoe UI"/>
          <w:b/>
          <w:sz w:val="22"/>
          <w:szCs w:val="22"/>
        </w:rPr>
        <w:t>Spazi polifunzionali</w:t>
      </w:r>
      <w:r w:rsidRPr="00187562">
        <w:rPr>
          <w:rFonts w:ascii="Segoe UI" w:hAnsi="Segoe UI" w:cs="Segoe UI"/>
          <w:sz w:val="22"/>
          <w:szCs w:val="22"/>
        </w:rPr>
        <w:t xml:space="preserve"> trasformabili per eventi</w:t>
      </w:r>
      <w:r w:rsidR="00187562">
        <w:rPr>
          <w:rFonts w:ascii="Segoe UI" w:hAnsi="Segoe UI" w:cs="Segoe UI"/>
          <w:sz w:val="22"/>
          <w:szCs w:val="22"/>
        </w:rPr>
        <w:t>.</w:t>
      </w:r>
    </w:p>
    <w:p w:rsidR="00A27921" w:rsidRPr="00187562" w:rsidRDefault="00A27921" w:rsidP="00A27921">
      <w:pPr>
        <w:autoSpaceDE w:val="0"/>
        <w:autoSpaceDN w:val="0"/>
        <w:adjustRightInd w:val="0"/>
        <w:spacing w:line="240" w:lineRule="auto"/>
        <w:contextualSpacing/>
        <w:rPr>
          <w:rFonts w:ascii="Segoe UI" w:hAnsi="Segoe UI" w:cs="Segoe UI"/>
          <w:sz w:val="22"/>
          <w:szCs w:val="22"/>
        </w:rPr>
      </w:pPr>
      <w:r w:rsidRPr="00187562">
        <w:rPr>
          <w:rFonts w:ascii="Segoe UI" w:hAnsi="Segoe UI" w:cs="Segoe UI"/>
          <w:sz w:val="22"/>
          <w:szCs w:val="22"/>
        </w:rPr>
        <w:t xml:space="preserve">• Bar e ristoranti con </w:t>
      </w:r>
      <w:r w:rsidRPr="00187562">
        <w:rPr>
          <w:rFonts w:ascii="Segoe UI" w:hAnsi="Segoe UI" w:cs="Segoe UI"/>
          <w:b/>
          <w:sz w:val="22"/>
          <w:szCs w:val="22"/>
        </w:rPr>
        <w:t>un’offerta variegata h24</w:t>
      </w:r>
      <w:r w:rsidR="00187562">
        <w:rPr>
          <w:rFonts w:ascii="Segoe UI" w:hAnsi="Segoe UI" w:cs="Segoe UI"/>
          <w:sz w:val="22"/>
          <w:szCs w:val="22"/>
        </w:rPr>
        <w:t>.</w:t>
      </w:r>
    </w:p>
    <w:p w:rsidR="00A27921" w:rsidRDefault="00A27921" w:rsidP="00A27921">
      <w:pPr>
        <w:autoSpaceDE w:val="0"/>
        <w:autoSpaceDN w:val="0"/>
        <w:adjustRightInd w:val="0"/>
        <w:spacing w:line="240" w:lineRule="auto"/>
        <w:contextualSpacing/>
        <w:rPr>
          <w:rFonts w:ascii="Segoe UI" w:hAnsi="Segoe UI" w:cs="Segoe UI"/>
          <w:sz w:val="22"/>
          <w:szCs w:val="22"/>
        </w:rPr>
      </w:pPr>
      <w:r w:rsidRPr="00187562">
        <w:rPr>
          <w:rFonts w:ascii="Segoe UI" w:hAnsi="Segoe UI" w:cs="Segoe UI"/>
          <w:sz w:val="22"/>
          <w:szCs w:val="22"/>
        </w:rPr>
        <w:t xml:space="preserve">• Servizi per il </w:t>
      </w:r>
      <w:r w:rsidRPr="00187562">
        <w:rPr>
          <w:rFonts w:ascii="Segoe UI" w:hAnsi="Segoe UI" w:cs="Segoe UI"/>
          <w:b/>
          <w:sz w:val="22"/>
          <w:szCs w:val="22"/>
        </w:rPr>
        <w:t>tempo libero</w:t>
      </w:r>
      <w:r w:rsidRPr="00187562">
        <w:rPr>
          <w:rFonts w:ascii="Segoe UI" w:hAnsi="Segoe UI" w:cs="Segoe UI"/>
          <w:sz w:val="22"/>
          <w:szCs w:val="22"/>
        </w:rPr>
        <w:t xml:space="preserve"> e per lo sport.</w:t>
      </w:r>
    </w:p>
    <w:p w:rsidR="00187562" w:rsidRPr="00187562" w:rsidRDefault="00187562" w:rsidP="00A27921">
      <w:pPr>
        <w:autoSpaceDE w:val="0"/>
        <w:autoSpaceDN w:val="0"/>
        <w:adjustRightInd w:val="0"/>
        <w:spacing w:line="240" w:lineRule="auto"/>
        <w:contextualSpacing/>
        <w:rPr>
          <w:rFonts w:ascii="Segoe UI" w:hAnsi="Segoe UI" w:cs="Segoe UI"/>
          <w:sz w:val="22"/>
          <w:szCs w:val="22"/>
        </w:rPr>
      </w:pPr>
    </w:p>
    <w:p w:rsidR="00A27921" w:rsidRPr="00187562" w:rsidRDefault="00A27921" w:rsidP="00A2792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Segoe UI" w:hAnsi="Segoe UI" w:cs="Segoe UI"/>
          <w:color w:val="3D3C3B"/>
          <w:sz w:val="22"/>
          <w:szCs w:val="22"/>
        </w:rPr>
      </w:pPr>
      <w:r w:rsidRPr="00187562">
        <w:rPr>
          <w:rFonts w:ascii="Segoe UI" w:hAnsi="Segoe UI" w:cs="Segoe UI"/>
          <w:noProof/>
          <w:sz w:val="22"/>
          <w:szCs w:val="22"/>
          <w:lang w:eastAsia="it-IT"/>
        </w:rPr>
        <w:drawing>
          <wp:inline distT="0" distB="0" distL="0" distR="0">
            <wp:extent cx="3936983" cy="3187700"/>
            <wp:effectExtent l="0" t="0" r="698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186" cy="318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921" w:rsidRPr="00A27921" w:rsidRDefault="00A27921" w:rsidP="00A27921">
      <w:pPr>
        <w:autoSpaceDE w:val="0"/>
        <w:autoSpaceDN w:val="0"/>
        <w:adjustRightInd w:val="0"/>
        <w:spacing w:line="240" w:lineRule="auto"/>
        <w:contextualSpacing/>
        <w:rPr>
          <w:rFonts w:ascii="Segoe UI" w:hAnsi="Segoe UI" w:cs="Segoe UI"/>
          <w:color w:val="3D3C3B"/>
        </w:rPr>
      </w:pPr>
    </w:p>
    <w:p w:rsidR="00187562" w:rsidRDefault="00187562" w:rsidP="00A27921">
      <w:pPr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</w:p>
    <w:p w:rsidR="00A27921" w:rsidRPr="00187562" w:rsidRDefault="00A27921" w:rsidP="00A27921">
      <w:pPr>
        <w:jc w:val="both"/>
        <w:rPr>
          <w:rFonts w:ascii="Segoe UI" w:hAnsi="Segoe UI" w:cs="Segoe UI"/>
          <w:b/>
          <w:color w:val="000000" w:themeColor="text1"/>
          <w:sz w:val="22"/>
          <w:szCs w:val="22"/>
        </w:rPr>
      </w:pPr>
      <w:r w:rsidRPr="00187562">
        <w:rPr>
          <w:rFonts w:ascii="Segoe UI" w:hAnsi="Segoe UI" w:cs="Segoe UI"/>
          <w:b/>
          <w:color w:val="000000" w:themeColor="text1"/>
          <w:sz w:val="22"/>
          <w:szCs w:val="22"/>
        </w:rPr>
        <w:t>IMPATTO AMBITO VALUTAZIONI</w:t>
      </w:r>
    </w:p>
    <w:p w:rsidR="00A27921" w:rsidRPr="00A27921" w:rsidRDefault="00D36FE2" w:rsidP="00A27921">
      <w:pPr>
        <w:jc w:val="both"/>
        <w:rPr>
          <w:rFonts w:ascii="Segoe UI" w:hAnsi="Segoe UI" w:cs="Segoe UI"/>
          <w:sz w:val="22"/>
          <w:szCs w:val="22"/>
        </w:rPr>
      </w:pPr>
      <w:r w:rsidRPr="00D36FE2">
        <w:rPr>
          <w:rFonts w:ascii="Segoe UI" w:hAnsi="Segoe UI" w:cs="Segoe UI"/>
          <w:sz w:val="22"/>
          <w:szCs w:val="22"/>
        </w:rPr>
        <w:t>L’eventuale perdurare dell’emergenza sanitaria e il conseguente</w:t>
      </w:r>
      <w:r w:rsidR="00A84CAF">
        <w:rPr>
          <w:rFonts w:ascii="Segoe UI" w:hAnsi="Segoe UI" w:cs="Segoe UI"/>
          <w:sz w:val="22"/>
          <w:szCs w:val="22"/>
        </w:rPr>
        <w:t xml:space="preserve"> ridotto</w:t>
      </w:r>
      <w:r w:rsidRPr="00D36FE2">
        <w:rPr>
          <w:rFonts w:ascii="Segoe UI" w:hAnsi="Segoe UI" w:cs="Segoe UI"/>
          <w:sz w:val="22"/>
          <w:szCs w:val="22"/>
        </w:rPr>
        <w:t xml:space="preserve"> numero di spostamenti per </w:t>
      </w:r>
      <w:r w:rsidR="00A84CAF">
        <w:rPr>
          <w:rFonts w:ascii="Segoe UI" w:hAnsi="Segoe UI" w:cs="Segoe UI"/>
          <w:sz w:val="22"/>
          <w:szCs w:val="22"/>
        </w:rPr>
        <w:t xml:space="preserve">lavoro </w:t>
      </w:r>
      <w:r w:rsidRPr="00D36FE2">
        <w:rPr>
          <w:rFonts w:ascii="Segoe UI" w:hAnsi="Segoe UI" w:cs="Segoe UI"/>
          <w:sz w:val="22"/>
          <w:szCs w:val="22"/>
        </w:rPr>
        <w:t>potrebbe</w:t>
      </w:r>
      <w:r w:rsidR="00A84CAF">
        <w:rPr>
          <w:rFonts w:ascii="Segoe UI" w:hAnsi="Segoe UI" w:cs="Segoe UI"/>
          <w:sz w:val="22"/>
          <w:szCs w:val="22"/>
        </w:rPr>
        <w:t xml:space="preserve"> causare</w:t>
      </w:r>
      <w:r w:rsidRPr="00D36FE2">
        <w:rPr>
          <w:rFonts w:ascii="Segoe UI" w:hAnsi="Segoe UI" w:cs="Segoe UI"/>
          <w:sz w:val="22"/>
          <w:szCs w:val="22"/>
        </w:rPr>
        <w:t xml:space="preserve"> una minore domanda verso i business hotel di grandi dimensioni. Da parte degli investitori, ciò potrebbe determinare un’aspettativa di maggiori rendimenti per queste asset class, a compensazione della maggiore rischiosità dettata dal momento. </w:t>
      </w:r>
      <w:r w:rsidR="00A27921" w:rsidRPr="00A27921">
        <w:rPr>
          <w:rFonts w:ascii="Segoe UI" w:hAnsi="Segoe UI" w:cs="Segoe UI"/>
          <w:sz w:val="22"/>
          <w:szCs w:val="22"/>
        </w:rPr>
        <w:t xml:space="preserve"> In generale, gli investimenti non ripartir</w:t>
      </w:r>
      <w:r w:rsidR="00746FEC">
        <w:rPr>
          <w:rFonts w:ascii="Segoe UI" w:hAnsi="Segoe UI" w:cs="Segoe UI"/>
          <w:sz w:val="22"/>
          <w:szCs w:val="22"/>
        </w:rPr>
        <w:t>anno</w:t>
      </w:r>
      <w:r w:rsidR="00A27921" w:rsidRPr="00A27921">
        <w:rPr>
          <w:rFonts w:ascii="Segoe UI" w:hAnsi="Segoe UI" w:cs="Segoe UI"/>
          <w:sz w:val="22"/>
          <w:szCs w:val="22"/>
        </w:rPr>
        <w:t xml:space="preserve"> nell’immediato</w:t>
      </w:r>
      <w:r w:rsidR="00746FEC">
        <w:rPr>
          <w:rFonts w:ascii="Segoe UI" w:hAnsi="Segoe UI" w:cs="Segoe UI"/>
          <w:sz w:val="22"/>
          <w:szCs w:val="22"/>
        </w:rPr>
        <w:t xml:space="preserve"> e,</w:t>
      </w:r>
      <w:r w:rsidR="00A27921" w:rsidRPr="00A27921">
        <w:rPr>
          <w:rFonts w:ascii="Segoe UI" w:hAnsi="Segoe UI" w:cs="Segoe UI"/>
          <w:sz w:val="22"/>
          <w:szCs w:val="22"/>
        </w:rPr>
        <w:t xml:space="preserve"> a parte alcune operazion</w:t>
      </w:r>
      <w:r w:rsidR="004E7C15">
        <w:rPr>
          <w:rFonts w:ascii="Segoe UI" w:hAnsi="Segoe UI" w:cs="Segoe UI"/>
          <w:sz w:val="22"/>
          <w:szCs w:val="22"/>
        </w:rPr>
        <w:t>i</w:t>
      </w:r>
      <w:r w:rsidR="00A27921" w:rsidRPr="00A27921">
        <w:rPr>
          <w:rFonts w:ascii="Segoe UI" w:hAnsi="Segoe UI" w:cs="Segoe UI"/>
          <w:sz w:val="22"/>
          <w:szCs w:val="22"/>
        </w:rPr>
        <w:t xml:space="preserve"> speculative e per tipologie meno resilienti, si assisterà a un decremento dei fatturati e dei conseguenti canoni soprattutto per la parte variabile, un aumento del costo dell’equity e una difficoltà di accesso al debito. Sicuramente le strutture meno vulnerabili sono state, nella passata stagione, quelle in mercati suburbani e piccoli centri abitati in zone turistiche, in alcune regioni </w:t>
      </w:r>
      <w:r w:rsidR="00746FEC">
        <w:rPr>
          <w:rFonts w:ascii="Segoe UI" w:hAnsi="Segoe UI" w:cs="Segoe UI"/>
          <w:sz w:val="22"/>
          <w:szCs w:val="22"/>
        </w:rPr>
        <w:t xml:space="preserve">del Sud </w:t>
      </w:r>
      <w:r w:rsidR="00A27921" w:rsidRPr="00A27921">
        <w:rPr>
          <w:rFonts w:ascii="Segoe UI" w:hAnsi="Segoe UI" w:cs="Segoe UI"/>
          <w:sz w:val="22"/>
          <w:szCs w:val="22"/>
        </w:rPr>
        <w:t>e in alcune località di montagna.</w:t>
      </w:r>
    </w:p>
    <w:p w:rsidR="00A27921" w:rsidRPr="00A27921" w:rsidRDefault="00A27921" w:rsidP="00A27921">
      <w:pPr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  <w:u w:val="single"/>
        </w:rPr>
      </w:pPr>
      <w:r w:rsidRPr="00A27921">
        <w:rPr>
          <w:rFonts w:ascii="Segoe UI" w:hAnsi="Segoe UI" w:cs="Segoe UI"/>
          <w:sz w:val="22"/>
          <w:szCs w:val="22"/>
        </w:rPr>
        <w:t>Il blocco degli impianti sciistici e la limitazione degli spostamenti tra regioni avrà nella imminente stagione invernale un impatto rilevante. Sul medio – lungo periodo, il settore dovrebbe lentamente riprendersi dalla situazione di criticità, con graduale risalita prima per le strutture ricettive locali e solo a fine 2021 per le strutture business e leisure di caratura internazionale.</w:t>
      </w:r>
    </w:p>
    <w:p w:rsidR="00A27921" w:rsidRPr="00A27921" w:rsidRDefault="00A27921" w:rsidP="00A27921">
      <w:pPr>
        <w:jc w:val="center"/>
        <w:rPr>
          <w:rFonts w:ascii="Segoe UI" w:hAnsi="Segoe UI" w:cs="Segoe UI"/>
          <w:b/>
          <w:color w:val="C00000"/>
          <w:sz w:val="28"/>
          <w:szCs w:val="28"/>
          <w:u w:val="single"/>
        </w:rPr>
      </w:pPr>
    </w:p>
    <w:p w:rsidR="00A27921" w:rsidRPr="000738F2" w:rsidRDefault="00A27921" w:rsidP="000738F2">
      <w:pPr>
        <w:spacing w:before="0"/>
        <w:jc w:val="center"/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</w:pPr>
      <w:r w:rsidRPr="000738F2">
        <w:rPr>
          <w:rStyle w:val="s1"/>
          <w:rFonts w:ascii="Segoe UI" w:hAnsi="Segoe UI"/>
          <w:b/>
          <w:color w:val="404040" w:themeColor="text1" w:themeTint="BF"/>
          <w:sz w:val="32"/>
          <w:szCs w:val="56"/>
        </w:rPr>
        <w:lastRenderedPageBreak/>
        <w:t>SETTORE LOGISTICA</w:t>
      </w:r>
    </w:p>
    <w:p w:rsidR="00A27921" w:rsidRPr="00A27921" w:rsidRDefault="00A27921" w:rsidP="00A27921">
      <w:pPr>
        <w:jc w:val="both"/>
        <w:rPr>
          <w:rFonts w:ascii="Segoe UI" w:hAnsi="Segoe UI" w:cs="Segoe UI"/>
          <w:b/>
          <w:sz w:val="22"/>
          <w:szCs w:val="22"/>
        </w:rPr>
      </w:pPr>
      <w:r w:rsidRPr="00A27921">
        <w:rPr>
          <w:rFonts w:ascii="Segoe UI" w:hAnsi="Segoe UI" w:cs="Segoe UI"/>
          <w:b/>
          <w:sz w:val="22"/>
          <w:szCs w:val="22"/>
        </w:rPr>
        <w:t>KEY DATA</w:t>
      </w:r>
    </w:p>
    <w:p w:rsidR="00A27921" w:rsidRPr="00A27921" w:rsidRDefault="00A27921" w:rsidP="007D196F">
      <w:pPr>
        <w:spacing w:before="240" w:line="240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A27921">
        <w:rPr>
          <w:rFonts w:ascii="Segoe UI" w:hAnsi="Segoe UI" w:cs="Segoe UI"/>
          <w:sz w:val="22"/>
          <w:szCs w:val="22"/>
        </w:rPr>
        <w:t xml:space="preserve">Il mercato della logistica ha rilevato, nei primi nove mesi del 2020, investimenti per un totale pari a circa </w:t>
      </w:r>
      <w:r w:rsidRPr="00A27921">
        <w:rPr>
          <w:rFonts w:ascii="Segoe UI" w:hAnsi="Segoe UI" w:cs="Segoe UI"/>
          <w:b/>
          <w:sz w:val="22"/>
          <w:szCs w:val="22"/>
        </w:rPr>
        <w:t>670 milioni di euro</w:t>
      </w:r>
      <w:r w:rsidRPr="00A27921">
        <w:rPr>
          <w:rFonts w:ascii="Segoe UI" w:hAnsi="Segoe UI" w:cs="Segoe UI"/>
          <w:sz w:val="22"/>
          <w:szCs w:val="22"/>
        </w:rPr>
        <w:t>. Si segnalano in particolare 4 asset logistici last-mile, con una GLA complessiva di circa 58.000</w:t>
      </w:r>
      <w:r w:rsidR="00402ADF">
        <w:rPr>
          <w:rFonts w:ascii="Segoe UI" w:hAnsi="Segoe UI" w:cs="Segoe UI"/>
          <w:sz w:val="22"/>
          <w:szCs w:val="22"/>
        </w:rPr>
        <w:t xml:space="preserve"> </w:t>
      </w:r>
      <w:r w:rsidRPr="00A27921">
        <w:rPr>
          <w:rFonts w:ascii="Segoe UI" w:hAnsi="Segoe UI" w:cs="Segoe UI"/>
          <w:sz w:val="22"/>
          <w:szCs w:val="22"/>
        </w:rPr>
        <w:t>mq, acquistati da Kryalos in Toscana attraverso il Fondo Aphrodite, il Polo di Trecate</w:t>
      </w:r>
      <w:r w:rsidR="00CF2C4C">
        <w:rPr>
          <w:rFonts w:ascii="Segoe UI" w:hAnsi="Segoe UI" w:cs="Segoe UI"/>
          <w:sz w:val="22"/>
          <w:szCs w:val="22"/>
        </w:rPr>
        <w:t xml:space="preserve"> </w:t>
      </w:r>
      <w:r w:rsidR="00CF2C4C">
        <w:rPr>
          <w:rFonts w:ascii="Calibri" w:hAnsi="Calibri" w:cs="Calibri"/>
          <w:sz w:val="22"/>
          <w:szCs w:val="22"/>
        </w:rPr>
        <w:t>(</w:t>
      </w:r>
      <w:r w:rsidR="00402ADF" w:rsidRPr="00A27921">
        <w:rPr>
          <w:rFonts w:ascii="Segoe UI" w:hAnsi="Segoe UI" w:cs="Segoe UI"/>
          <w:sz w:val="22"/>
          <w:szCs w:val="22"/>
        </w:rPr>
        <w:t>162.000 mq</w:t>
      </w:r>
      <w:r w:rsidR="00CF2C4C">
        <w:rPr>
          <w:rFonts w:ascii="Calibri" w:hAnsi="Calibri" w:cs="Calibri"/>
          <w:sz w:val="22"/>
          <w:szCs w:val="22"/>
        </w:rPr>
        <w:t>)</w:t>
      </w:r>
      <w:r w:rsidRPr="00A27921">
        <w:rPr>
          <w:rFonts w:ascii="Segoe UI" w:hAnsi="Segoe UI" w:cs="Segoe UI"/>
          <w:sz w:val="22"/>
          <w:szCs w:val="22"/>
        </w:rPr>
        <w:t xml:space="preserve"> acquis</w:t>
      </w:r>
      <w:r w:rsidR="00402ADF">
        <w:rPr>
          <w:rFonts w:ascii="Segoe UI" w:hAnsi="Segoe UI" w:cs="Segoe UI"/>
          <w:sz w:val="22"/>
          <w:szCs w:val="22"/>
        </w:rPr>
        <w:t>ito</w:t>
      </w:r>
      <w:r w:rsidRPr="00A27921">
        <w:rPr>
          <w:rFonts w:ascii="Segoe UI" w:hAnsi="Segoe UI" w:cs="Segoe UI"/>
          <w:sz w:val="22"/>
          <w:szCs w:val="22"/>
        </w:rPr>
        <w:t xml:space="preserve"> da DWS (Gruppo Deutsche Bank) e gli immobili logistici di Chiari e Vigasio </w:t>
      </w:r>
      <w:r w:rsidR="00402ADF">
        <w:rPr>
          <w:rFonts w:ascii="Segoe UI" w:hAnsi="Segoe UI" w:cs="Segoe UI"/>
          <w:sz w:val="22"/>
          <w:szCs w:val="22"/>
        </w:rPr>
        <w:t xml:space="preserve">passati </w:t>
      </w:r>
      <w:r w:rsidRPr="00A27921">
        <w:rPr>
          <w:rFonts w:ascii="Segoe UI" w:hAnsi="Segoe UI" w:cs="Segoe UI"/>
          <w:sz w:val="22"/>
          <w:szCs w:val="22"/>
        </w:rPr>
        <w:t xml:space="preserve">entrambi a Nuveen Real Estate </w:t>
      </w:r>
      <w:r w:rsidR="00402ADF">
        <w:rPr>
          <w:rFonts w:ascii="Segoe UI" w:hAnsi="Segoe UI" w:cs="Segoe UI"/>
          <w:sz w:val="22"/>
          <w:szCs w:val="22"/>
        </w:rPr>
        <w:t>per</w:t>
      </w:r>
      <w:r w:rsidRPr="00A27921">
        <w:rPr>
          <w:rFonts w:ascii="Segoe UI" w:hAnsi="Segoe UI" w:cs="Segoe UI"/>
          <w:sz w:val="22"/>
          <w:szCs w:val="22"/>
        </w:rPr>
        <w:t xml:space="preserve"> 80 milioni di euro.</w:t>
      </w:r>
      <w:r w:rsidR="007D196F">
        <w:rPr>
          <w:rFonts w:ascii="Segoe UI" w:hAnsi="Segoe UI" w:cs="Segoe UI"/>
          <w:sz w:val="22"/>
          <w:szCs w:val="22"/>
        </w:rPr>
        <w:t xml:space="preserve"> </w:t>
      </w:r>
    </w:p>
    <w:p w:rsidR="00A27921" w:rsidRPr="00A27921" w:rsidRDefault="00A27921" w:rsidP="007D196F">
      <w:pPr>
        <w:spacing w:line="240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A27921">
        <w:rPr>
          <w:rFonts w:ascii="Segoe UI" w:hAnsi="Segoe UI" w:cs="Segoe UI"/>
          <w:sz w:val="22"/>
          <w:szCs w:val="22"/>
        </w:rPr>
        <w:t xml:space="preserve">Relativamente all’impatto dell’emergenza, nonostante un rallentamento iniziale nelle dinamiche di stoccaggio dei prodotti legato al lockdown di marzo e aprile, le attività logistiche hanno avuto un </w:t>
      </w:r>
      <w:r w:rsidRPr="00A27921">
        <w:rPr>
          <w:rFonts w:ascii="Segoe UI" w:hAnsi="Segoe UI" w:cs="Segoe UI"/>
          <w:b/>
          <w:sz w:val="22"/>
          <w:szCs w:val="22"/>
        </w:rPr>
        <w:t xml:space="preserve">ruolo di grande importanza </w:t>
      </w:r>
      <w:r w:rsidRPr="00A27921">
        <w:rPr>
          <w:rFonts w:ascii="Segoe UI" w:hAnsi="Segoe UI" w:cs="Segoe UI"/>
          <w:sz w:val="22"/>
          <w:szCs w:val="22"/>
        </w:rPr>
        <w:t>soprattutto nell’assicurare una continuità di rifornimento d</w:t>
      </w:r>
      <w:r w:rsidR="00CF2C4C">
        <w:rPr>
          <w:rFonts w:ascii="Segoe UI" w:hAnsi="Segoe UI" w:cs="Segoe UI"/>
          <w:sz w:val="22"/>
          <w:szCs w:val="22"/>
        </w:rPr>
        <w:t>i</w:t>
      </w:r>
      <w:r w:rsidRPr="00A27921">
        <w:rPr>
          <w:rFonts w:ascii="Segoe UI" w:hAnsi="Segoe UI" w:cs="Segoe UI"/>
          <w:sz w:val="22"/>
          <w:szCs w:val="22"/>
        </w:rPr>
        <w:t xml:space="preserve"> beni di ogni categoria, </w:t>
      </w:r>
      <w:r w:rsidR="00CF2C4C">
        <w:rPr>
          <w:rFonts w:ascii="Segoe UI" w:hAnsi="Segoe UI" w:cs="Segoe UI"/>
          <w:sz w:val="22"/>
          <w:szCs w:val="22"/>
        </w:rPr>
        <w:t>a fronte dell</w:t>
      </w:r>
      <w:r w:rsidR="00CF2C4C">
        <w:rPr>
          <w:rFonts w:ascii="Calibri" w:eastAsia="Calibri" w:hAnsi="Calibri" w:cs="Calibri"/>
          <w:sz w:val="22"/>
          <w:szCs w:val="22"/>
        </w:rPr>
        <w:t>’</w:t>
      </w:r>
      <w:r w:rsidRPr="00A27921">
        <w:rPr>
          <w:rFonts w:ascii="Segoe UI" w:hAnsi="Segoe UI" w:cs="Segoe UI"/>
          <w:sz w:val="22"/>
          <w:szCs w:val="22"/>
        </w:rPr>
        <w:t xml:space="preserve">incremento esponenziale di </w:t>
      </w:r>
      <w:r w:rsidRPr="00A27921">
        <w:rPr>
          <w:rFonts w:ascii="Segoe UI" w:hAnsi="Segoe UI" w:cs="Segoe UI"/>
          <w:b/>
          <w:sz w:val="22"/>
          <w:szCs w:val="22"/>
        </w:rPr>
        <w:t>acquisti online</w:t>
      </w:r>
      <w:r w:rsidRPr="00A27921">
        <w:rPr>
          <w:rFonts w:ascii="Segoe UI" w:hAnsi="Segoe UI" w:cs="Segoe UI"/>
          <w:sz w:val="22"/>
          <w:szCs w:val="22"/>
        </w:rPr>
        <w:t xml:space="preserve">. </w:t>
      </w:r>
    </w:p>
    <w:p w:rsidR="00A27921" w:rsidRDefault="00A27921" w:rsidP="007D196F">
      <w:pPr>
        <w:spacing w:line="240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A27921">
        <w:rPr>
          <w:rFonts w:ascii="Segoe UI" w:hAnsi="Segoe UI" w:cs="Segoe UI"/>
          <w:sz w:val="22"/>
          <w:szCs w:val="22"/>
        </w:rPr>
        <w:t xml:space="preserve">Secondo i dati </w:t>
      </w:r>
      <w:r w:rsidR="00355F6D" w:rsidRPr="00355F6D">
        <w:rPr>
          <w:rFonts w:ascii="Segoe UI" w:hAnsi="Segoe UI" w:cs="Segoe UI"/>
          <w:sz w:val="22"/>
          <w:szCs w:val="22"/>
        </w:rPr>
        <w:t>dell’Osservatorio Contract Logistics “Gino Marchet”</w:t>
      </w:r>
      <w:r w:rsidRPr="00A27921">
        <w:rPr>
          <w:rFonts w:ascii="Segoe UI" w:hAnsi="Segoe UI" w:cs="Segoe UI"/>
          <w:sz w:val="22"/>
          <w:szCs w:val="22"/>
        </w:rPr>
        <w:t xml:space="preserve">, il fatturato delle aziende italiane di logistica conto terzi è stato pari a 86 miliardi di </w:t>
      </w:r>
      <w:r w:rsidR="00402ADF">
        <w:rPr>
          <w:rFonts w:ascii="Segoe UI" w:hAnsi="Segoe UI" w:cs="Segoe UI"/>
          <w:sz w:val="22"/>
          <w:szCs w:val="22"/>
        </w:rPr>
        <w:t xml:space="preserve">euro </w:t>
      </w:r>
      <w:r w:rsidRPr="00A27921">
        <w:rPr>
          <w:rFonts w:ascii="Segoe UI" w:hAnsi="Segoe UI" w:cs="Segoe UI"/>
          <w:sz w:val="22"/>
          <w:szCs w:val="22"/>
        </w:rPr>
        <w:t xml:space="preserve">nel 2019, +0,8% rispetto al 2018. Per il 2020, </w:t>
      </w:r>
      <w:r w:rsidRPr="00EC2675">
        <w:rPr>
          <w:rFonts w:ascii="Segoe UI" w:hAnsi="Segoe UI" w:cs="Segoe UI"/>
          <w:sz w:val="22"/>
          <w:szCs w:val="22"/>
        </w:rPr>
        <w:t>la stima è di 77,8</w:t>
      </w:r>
      <w:r w:rsidR="00402ADF" w:rsidRPr="00EC2675">
        <w:rPr>
          <w:rFonts w:ascii="Segoe UI" w:hAnsi="Segoe UI" w:cs="Segoe UI"/>
          <w:sz w:val="22"/>
          <w:szCs w:val="22"/>
        </w:rPr>
        <w:t xml:space="preserve"> miliardi</w:t>
      </w:r>
      <w:r w:rsidRPr="00EC2675">
        <w:rPr>
          <w:rFonts w:ascii="Segoe UI" w:hAnsi="Segoe UI" w:cs="Segoe UI"/>
          <w:sz w:val="22"/>
          <w:szCs w:val="22"/>
        </w:rPr>
        <w:t xml:space="preserve"> </w:t>
      </w:r>
      <w:r w:rsidR="00402ADF" w:rsidRPr="00EC2675">
        <w:rPr>
          <w:rFonts w:ascii="Calibri" w:hAnsi="Calibri" w:cs="Calibri"/>
          <w:sz w:val="22"/>
          <w:szCs w:val="22"/>
        </w:rPr>
        <w:t>(</w:t>
      </w:r>
      <w:r w:rsidRPr="00EC2675">
        <w:rPr>
          <w:rFonts w:ascii="Segoe UI" w:hAnsi="Segoe UI" w:cs="Segoe UI"/>
          <w:sz w:val="22"/>
          <w:szCs w:val="22"/>
        </w:rPr>
        <w:t>-9,3% rispetto al 2019</w:t>
      </w:r>
      <w:r w:rsidR="00402ADF" w:rsidRPr="00EC2675">
        <w:rPr>
          <w:rFonts w:ascii="Calibri" w:hAnsi="Calibri" w:cs="Calibri"/>
          <w:sz w:val="22"/>
          <w:szCs w:val="22"/>
        </w:rPr>
        <w:t>)</w:t>
      </w:r>
      <w:r w:rsidRPr="00EC2675">
        <w:rPr>
          <w:rFonts w:ascii="Segoe UI" w:hAnsi="Segoe UI" w:cs="Segoe UI"/>
          <w:sz w:val="22"/>
          <w:szCs w:val="22"/>
        </w:rPr>
        <w:t>.</w:t>
      </w:r>
    </w:p>
    <w:p w:rsidR="007D196F" w:rsidRDefault="007D196F" w:rsidP="007D196F">
      <w:pPr>
        <w:spacing w:line="240" w:lineRule="auto"/>
        <w:contextualSpacing/>
        <w:jc w:val="both"/>
        <w:rPr>
          <w:rFonts w:ascii="Segoe UI" w:hAnsi="Segoe UI" w:cs="Segoe UI"/>
          <w:sz w:val="22"/>
          <w:szCs w:val="22"/>
        </w:rPr>
      </w:pPr>
    </w:p>
    <w:p w:rsidR="00A27921" w:rsidRPr="00EC2675" w:rsidRDefault="00A27921" w:rsidP="00187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 w:rsidRPr="00EC2675">
        <w:rPr>
          <w:rFonts w:ascii="Segoe UI" w:hAnsi="Segoe UI" w:cs="Segoe UI"/>
          <w:b/>
          <w:color w:val="404040" w:themeColor="text1" w:themeTint="BF"/>
          <w:sz w:val="22"/>
          <w:szCs w:val="22"/>
        </w:rPr>
        <w:t>Volume di investimenti capital market settore logistica</w:t>
      </w:r>
      <w:r w:rsidR="007D196F" w:rsidRPr="007D196F">
        <w:rPr>
          <w:rFonts w:ascii="Segoe UI" w:hAnsi="Segoe UI" w:cs="Segoe UI"/>
          <w:b/>
          <w:color w:val="404040" w:themeColor="text1" w:themeTint="BF"/>
          <w:sz w:val="22"/>
          <w:szCs w:val="22"/>
        </w:rPr>
        <w:t xml:space="preserve"> </w:t>
      </w:r>
      <w:r w:rsidR="007D196F" w:rsidRPr="00EC2675">
        <w:rPr>
          <w:rFonts w:ascii="Segoe UI" w:hAnsi="Segoe UI" w:cs="Segoe UI"/>
          <w:b/>
          <w:color w:val="404040" w:themeColor="text1" w:themeTint="BF"/>
          <w:sz w:val="22"/>
          <w:szCs w:val="22"/>
        </w:rPr>
        <w:t>Q1-Q3 2020</w:t>
      </w:r>
      <w:r w:rsidRPr="00EC2675">
        <w:rPr>
          <w:rFonts w:ascii="Segoe UI" w:hAnsi="Segoe UI" w:cs="Segoe UI"/>
          <w:b/>
          <w:color w:val="404040" w:themeColor="text1" w:themeTint="BF"/>
          <w:sz w:val="22"/>
          <w:szCs w:val="22"/>
        </w:rPr>
        <w:t>: 670 milioni di euro</w:t>
      </w:r>
    </w:p>
    <w:p w:rsidR="00A27921" w:rsidRPr="00A27921" w:rsidRDefault="00EC2675" w:rsidP="00187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 w:rsidRPr="00EC2675">
        <w:rPr>
          <w:rFonts w:ascii="Segoe UI" w:hAnsi="Segoe UI" w:cs="Segoe UI"/>
          <w:b/>
          <w:color w:val="404040" w:themeColor="text1" w:themeTint="BF"/>
          <w:sz w:val="22"/>
          <w:szCs w:val="22"/>
        </w:rPr>
        <w:t xml:space="preserve">Stima </w:t>
      </w:r>
      <w:r w:rsidR="00A27921" w:rsidRPr="00EC2675">
        <w:rPr>
          <w:rFonts w:ascii="Segoe UI" w:hAnsi="Segoe UI" w:cs="Segoe UI"/>
          <w:b/>
          <w:color w:val="404040" w:themeColor="text1" w:themeTint="BF"/>
          <w:sz w:val="22"/>
          <w:szCs w:val="22"/>
        </w:rPr>
        <w:t xml:space="preserve">Fatturato Contract Logistics: </w:t>
      </w:r>
      <w:r w:rsidRPr="00EC2675">
        <w:rPr>
          <w:rFonts w:ascii="Segoe UI" w:hAnsi="Segoe UI" w:cs="Segoe UI"/>
          <w:b/>
          <w:color w:val="404040" w:themeColor="text1" w:themeTint="BF"/>
          <w:sz w:val="22"/>
          <w:szCs w:val="22"/>
        </w:rPr>
        <w:t>77,8</w:t>
      </w:r>
      <w:r w:rsidR="00A27921" w:rsidRPr="00EC2675">
        <w:rPr>
          <w:rFonts w:ascii="Segoe UI" w:hAnsi="Segoe UI" w:cs="Segoe UI"/>
          <w:b/>
          <w:color w:val="404040" w:themeColor="text1" w:themeTint="BF"/>
          <w:sz w:val="22"/>
          <w:szCs w:val="22"/>
        </w:rPr>
        <w:t xml:space="preserve"> miliardi di € nel 20</w:t>
      </w:r>
      <w:r w:rsidRPr="00EC2675">
        <w:rPr>
          <w:rFonts w:ascii="Segoe UI" w:hAnsi="Segoe UI" w:cs="Segoe UI"/>
          <w:b/>
          <w:color w:val="404040" w:themeColor="text1" w:themeTint="BF"/>
          <w:sz w:val="22"/>
          <w:szCs w:val="22"/>
        </w:rPr>
        <w:t>20</w:t>
      </w:r>
      <w:r w:rsidR="00A27921" w:rsidRPr="00EC2675">
        <w:rPr>
          <w:rFonts w:ascii="Segoe UI" w:hAnsi="Segoe UI" w:cs="Segoe UI"/>
          <w:b/>
          <w:color w:val="404040" w:themeColor="text1" w:themeTint="BF"/>
          <w:sz w:val="22"/>
          <w:szCs w:val="22"/>
        </w:rPr>
        <w:t xml:space="preserve">, </w:t>
      </w:r>
      <w:r w:rsidRPr="00EC2675">
        <w:rPr>
          <w:rFonts w:ascii="Segoe UI" w:hAnsi="Segoe UI" w:cs="Segoe UI"/>
          <w:b/>
          <w:color w:val="404040" w:themeColor="text1" w:themeTint="BF"/>
          <w:sz w:val="22"/>
          <w:szCs w:val="22"/>
        </w:rPr>
        <w:t>-9,3</w:t>
      </w:r>
      <w:r w:rsidR="00A27921" w:rsidRPr="00EC2675">
        <w:rPr>
          <w:rFonts w:ascii="Segoe UI" w:hAnsi="Segoe UI" w:cs="Segoe UI"/>
          <w:b/>
          <w:color w:val="404040" w:themeColor="text1" w:themeTint="BF"/>
          <w:sz w:val="22"/>
          <w:szCs w:val="22"/>
        </w:rPr>
        <w:t>% rispetto al 201</w:t>
      </w:r>
      <w:r w:rsidRPr="00EC2675">
        <w:rPr>
          <w:rFonts w:ascii="Segoe UI" w:hAnsi="Segoe UI" w:cs="Segoe UI"/>
          <w:b/>
          <w:color w:val="404040" w:themeColor="text1" w:themeTint="BF"/>
          <w:sz w:val="22"/>
          <w:szCs w:val="22"/>
        </w:rPr>
        <w:t>9</w:t>
      </w:r>
    </w:p>
    <w:p w:rsidR="00A27921" w:rsidRPr="00A27921" w:rsidRDefault="00A27921" w:rsidP="00A27921">
      <w:pPr>
        <w:jc w:val="both"/>
        <w:rPr>
          <w:rFonts w:ascii="Segoe UI" w:hAnsi="Segoe UI" w:cs="Segoe UI"/>
          <w:b/>
          <w:sz w:val="22"/>
          <w:szCs w:val="22"/>
        </w:rPr>
      </w:pPr>
      <w:r w:rsidRPr="00A27921">
        <w:rPr>
          <w:rFonts w:ascii="Segoe UI" w:hAnsi="Segoe UI" w:cs="Segoe UI"/>
          <w:b/>
          <w:sz w:val="22"/>
          <w:szCs w:val="22"/>
        </w:rPr>
        <w:t>PREVISIONI</w:t>
      </w:r>
    </w:p>
    <w:p w:rsidR="00A27921" w:rsidRPr="00A27921" w:rsidRDefault="00A27921" w:rsidP="00A27921">
      <w:pPr>
        <w:jc w:val="both"/>
        <w:rPr>
          <w:rFonts w:ascii="Segoe UI" w:hAnsi="Segoe UI" w:cs="Segoe UI"/>
          <w:sz w:val="22"/>
          <w:szCs w:val="22"/>
        </w:rPr>
      </w:pPr>
      <w:r w:rsidRPr="00A27921">
        <w:rPr>
          <w:rFonts w:ascii="Segoe UI" w:hAnsi="Segoe UI" w:cs="Segoe UI"/>
          <w:sz w:val="22"/>
          <w:szCs w:val="22"/>
        </w:rPr>
        <w:t xml:space="preserve">Si prevede che l’asset class logistico possa essere in futuro sempre più nel radar degli investitori. </w:t>
      </w:r>
      <w:r w:rsidR="008109B9">
        <w:rPr>
          <w:rFonts w:ascii="Segoe UI" w:hAnsi="Segoe UI" w:cs="Segoe UI"/>
          <w:sz w:val="22"/>
          <w:szCs w:val="22"/>
        </w:rPr>
        <w:t xml:space="preserve">A livello di </w:t>
      </w:r>
      <w:r w:rsidRPr="00A27921">
        <w:rPr>
          <w:rFonts w:ascii="Segoe UI" w:hAnsi="Segoe UI" w:cs="Segoe UI"/>
          <w:sz w:val="22"/>
          <w:szCs w:val="22"/>
        </w:rPr>
        <w:t>investimenti, anche nel 2021 il settore della logistica potrà</w:t>
      </w:r>
      <w:r w:rsidR="00CF2C4C">
        <w:rPr>
          <w:rFonts w:ascii="Segoe UI" w:hAnsi="Segoe UI" w:cs="Segoe UI"/>
          <w:sz w:val="22"/>
          <w:szCs w:val="22"/>
        </w:rPr>
        <w:t xml:space="preserve"> beneficiare di</w:t>
      </w:r>
      <w:r w:rsidRPr="00A27921">
        <w:rPr>
          <w:rFonts w:ascii="Segoe UI" w:hAnsi="Segoe UI" w:cs="Segoe UI"/>
          <w:sz w:val="22"/>
          <w:szCs w:val="22"/>
        </w:rPr>
        <w:t xml:space="preserve"> un ulteriore sviluppo dovuto a una domanda di spazi in continua evoluzione e crescita.   </w:t>
      </w:r>
    </w:p>
    <w:p w:rsidR="00A27921" w:rsidRPr="00187562" w:rsidRDefault="00A27921" w:rsidP="00A27921">
      <w:pPr>
        <w:jc w:val="both"/>
        <w:rPr>
          <w:rFonts w:ascii="Segoe UI" w:hAnsi="Segoe UI" w:cs="Segoe UI"/>
          <w:b/>
          <w:color w:val="000000" w:themeColor="text1"/>
          <w:sz w:val="22"/>
          <w:szCs w:val="22"/>
        </w:rPr>
      </w:pPr>
      <w:r w:rsidRPr="00187562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NUOVI TREND  </w:t>
      </w:r>
    </w:p>
    <w:p w:rsidR="00A27921" w:rsidRPr="00A27921" w:rsidRDefault="00A27921" w:rsidP="00A27921">
      <w:pPr>
        <w:pStyle w:val="Paragrafoelenco"/>
        <w:numPr>
          <w:ilvl w:val="0"/>
          <w:numId w:val="9"/>
        </w:numPr>
        <w:jc w:val="both"/>
        <w:rPr>
          <w:rFonts w:ascii="Segoe UI" w:hAnsi="Segoe UI" w:cs="Segoe UI"/>
          <w:sz w:val="22"/>
          <w:szCs w:val="22"/>
        </w:rPr>
      </w:pPr>
      <w:r w:rsidRPr="00A27921">
        <w:rPr>
          <w:rFonts w:ascii="Segoe UI" w:hAnsi="Segoe UI" w:cs="Segoe UI"/>
          <w:b/>
          <w:sz w:val="22"/>
          <w:szCs w:val="22"/>
        </w:rPr>
        <w:t>Realizzazione/ristrutturazione</w:t>
      </w:r>
      <w:r w:rsidRPr="00A27921">
        <w:rPr>
          <w:rFonts w:ascii="Segoe UI" w:hAnsi="Segoe UI" w:cs="Segoe UI"/>
          <w:sz w:val="22"/>
          <w:szCs w:val="22"/>
        </w:rPr>
        <w:t xml:space="preserve"> di immobili performanti, tecnologicamente avanzati, rispondenti alle normative internazionali e ambientali, adatti a una </w:t>
      </w:r>
      <w:r w:rsidRPr="00A27921">
        <w:rPr>
          <w:rFonts w:ascii="Segoe UI" w:hAnsi="Segoe UI" w:cs="Segoe UI"/>
          <w:b/>
          <w:sz w:val="22"/>
          <w:szCs w:val="22"/>
        </w:rPr>
        <w:t>Logistica 4.0</w:t>
      </w:r>
      <w:r w:rsidRPr="00DB366E">
        <w:rPr>
          <w:rFonts w:ascii="Segoe UI" w:hAnsi="Segoe UI" w:cs="Segoe UI"/>
          <w:sz w:val="22"/>
          <w:szCs w:val="22"/>
        </w:rPr>
        <w:t>.</w:t>
      </w:r>
    </w:p>
    <w:p w:rsidR="00A27921" w:rsidRPr="00A27921" w:rsidRDefault="00A27921" w:rsidP="00A27921">
      <w:pPr>
        <w:pStyle w:val="Paragrafoelenco"/>
        <w:numPr>
          <w:ilvl w:val="0"/>
          <w:numId w:val="9"/>
        </w:numPr>
        <w:jc w:val="both"/>
        <w:rPr>
          <w:rFonts w:ascii="Segoe UI" w:hAnsi="Segoe UI" w:cs="Segoe UI"/>
          <w:sz w:val="22"/>
          <w:szCs w:val="22"/>
        </w:rPr>
      </w:pPr>
      <w:r w:rsidRPr="00A27921">
        <w:rPr>
          <w:rFonts w:ascii="Segoe UI" w:hAnsi="Segoe UI" w:cs="Segoe UI"/>
          <w:sz w:val="22"/>
          <w:szCs w:val="22"/>
        </w:rPr>
        <w:t xml:space="preserve">Localizzazioni in </w:t>
      </w:r>
      <w:r w:rsidRPr="00A27921">
        <w:rPr>
          <w:rFonts w:ascii="Segoe UI" w:hAnsi="Segoe UI" w:cs="Segoe UI"/>
          <w:b/>
          <w:sz w:val="22"/>
          <w:szCs w:val="22"/>
        </w:rPr>
        <w:t>parchi industriali e/o logistici</w:t>
      </w:r>
      <w:r w:rsidRPr="00A27921">
        <w:rPr>
          <w:rFonts w:ascii="Segoe UI" w:hAnsi="Segoe UI" w:cs="Segoe UI"/>
          <w:sz w:val="22"/>
          <w:szCs w:val="22"/>
        </w:rPr>
        <w:t xml:space="preserve"> che, rispetto a una soluzione singola, possono godere di maggiori servizi in termini di security, generazioni di energia, controllo accessi, facilities, raccordi ferroviari (nel caso di interporti)</w:t>
      </w:r>
      <w:r w:rsidR="00052424">
        <w:rPr>
          <w:rFonts w:ascii="Segoe UI" w:hAnsi="Segoe UI" w:cs="Segoe UI"/>
          <w:sz w:val="22"/>
          <w:szCs w:val="22"/>
        </w:rPr>
        <w:t>,</w:t>
      </w:r>
      <w:r w:rsidRPr="00A27921">
        <w:rPr>
          <w:rFonts w:ascii="Segoe UI" w:hAnsi="Segoe UI" w:cs="Segoe UI"/>
          <w:sz w:val="22"/>
          <w:szCs w:val="22"/>
        </w:rPr>
        <w:t xml:space="preserve"> anche</w:t>
      </w:r>
      <w:r w:rsidR="00CF2C4C">
        <w:rPr>
          <w:rFonts w:ascii="Segoe UI" w:hAnsi="Segoe UI" w:cs="Segoe UI"/>
          <w:sz w:val="22"/>
          <w:szCs w:val="22"/>
        </w:rPr>
        <w:t xml:space="preserve"> per</w:t>
      </w:r>
      <w:r w:rsidR="00052424">
        <w:rPr>
          <w:rFonts w:ascii="Segoe UI" w:hAnsi="Segoe UI" w:cs="Segoe UI"/>
          <w:sz w:val="22"/>
          <w:szCs w:val="22"/>
        </w:rPr>
        <w:t xml:space="preserve"> </w:t>
      </w:r>
      <w:r w:rsidRPr="00A27921">
        <w:rPr>
          <w:rFonts w:ascii="Segoe UI" w:hAnsi="Segoe UI" w:cs="Segoe UI"/>
          <w:sz w:val="22"/>
          <w:szCs w:val="22"/>
        </w:rPr>
        <w:t>flessibilità di spazi e manodopera.</w:t>
      </w:r>
    </w:p>
    <w:p w:rsidR="00A27921" w:rsidRPr="00A27921" w:rsidRDefault="00A27921" w:rsidP="00A27921">
      <w:pPr>
        <w:pStyle w:val="Paragrafoelenco"/>
        <w:numPr>
          <w:ilvl w:val="0"/>
          <w:numId w:val="9"/>
        </w:numPr>
        <w:jc w:val="both"/>
        <w:rPr>
          <w:rFonts w:ascii="Segoe UI" w:hAnsi="Segoe UI" w:cs="Segoe UI"/>
          <w:sz w:val="22"/>
          <w:szCs w:val="22"/>
        </w:rPr>
      </w:pPr>
      <w:r w:rsidRPr="00A27921">
        <w:rPr>
          <w:rFonts w:ascii="Segoe UI" w:hAnsi="Segoe UI" w:cs="Segoe UI"/>
          <w:b/>
          <w:sz w:val="22"/>
          <w:szCs w:val="22"/>
        </w:rPr>
        <w:t>Last Mile:</w:t>
      </w:r>
      <w:r w:rsidRPr="00A27921">
        <w:rPr>
          <w:rFonts w:ascii="Segoe UI" w:hAnsi="Segoe UI" w:cs="Segoe UI"/>
          <w:sz w:val="22"/>
          <w:szCs w:val="22"/>
        </w:rPr>
        <w:t xml:space="preserve"> presenza di una rete capillare di distribuzione in prossimità delle principali aree urbane italiane, come strategia localizzativa integrata.</w:t>
      </w:r>
    </w:p>
    <w:p w:rsidR="00A27921" w:rsidRPr="00A27921" w:rsidRDefault="00A27921" w:rsidP="00A27921">
      <w:pPr>
        <w:pStyle w:val="Paragrafoelenco"/>
        <w:numPr>
          <w:ilvl w:val="0"/>
          <w:numId w:val="9"/>
        </w:numPr>
        <w:jc w:val="both"/>
        <w:rPr>
          <w:rFonts w:ascii="Segoe UI" w:hAnsi="Segoe UI" w:cs="Segoe UI"/>
          <w:sz w:val="22"/>
          <w:szCs w:val="22"/>
        </w:rPr>
      </w:pPr>
      <w:r w:rsidRPr="00A27921">
        <w:rPr>
          <w:rFonts w:ascii="Segoe UI" w:hAnsi="Segoe UI" w:cs="Segoe UI"/>
          <w:sz w:val="22"/>
          <w:szCs w:val="22"/>
        </w:rPr>
        <w:t xml:space="preserve">Scelte organizzative e di progettazione dei magazzini legate </w:t>
      </w:r>
      <w:r w:rsidRPr="00A27921">
        <w:rPr>
          <w:rFonts w:ascii="Segoe UI" w:hAnsi="Segoe UI" w:cs="Segoe UI"/>
          <w:b/>
          <w:sz w:val="22"/>
          <w:szCs w:val="22"/>
        </w:rPr>
        <w:t>all’omnicanalità e all’automazione</w:t>
      </w:r>
      <w:r w:rsidR="0088512F">
        <w:rPr>
          <w:rFonts w:ascii="Segoe UI" w:hAnsi="Segoe UI" w:cs="Segoe UI"/>
          <w:sz w:val="22"/>
          <w:szCs w:val="22"/>
        </w:rPr>
        <w:t>, oltre al distanziamento di sicurezza.</w:t>
      </w:r>
    </w:p>
    <w:p w:rsidR="00A27921" w:rsidRPr="00187562" w:rsidRDefault="00A27921" w:rsidP="00A27921">
      <w:pPr>
        <w:jc w:val="both"/>
        <w:rPr>
          <w:rFonts w:ascii="Segoe UI" w:hAnsi="Segoe UI" w:cs="Segoe UI"/>
          <w:b/>
          <w:color w:val="000000" w:themeColor="text1"/>
          <w:sz w:val="22"/>
          <w:szCs w:val="22"/>
        </w:rPr>
      </w:pPr>
      <w:r w:rsidRPr="00187562">
        <w:rPr>
          <w:rFonts w:ascii="Segoe UI" w:hAnsi="Segoe UI" w:cs="Segoe UI"/>
          <w:b/>
          <w:color w:val="000000" w:themeColor="text1"/>
          <w:sz w:val="22"/>
          <w:szCs w:val="22"/>
        </w:rPr>
        <w:t>IMPATTO AMBITO VALUTAZIONI</w:t>
      </w:r>
    </w:p>
    <w:p w:rsidR="00A27921" w:rsidRPr="00A27921" w:rsidRDefault="0088512F" w:rsidP="00A27921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La</w:t>
      </w:r>
      <w:r w:rsidR="00A27921" w:rsidRPr="00A27921">
        <w:rPr>
          <w:rFonts w:ascii="Segoe UI" w:hAnsi="Segoe UI" w:cs="Segoe UI"/>
          <w:sz w:val="22"/>
          <w:szCs w:val="22"/>
        </w:rPr>
        <w:t xml:space="preserve"> logistica </w:t>
      </w:r>
      <w:r>
        <w:rPr>
          <w:rFonts w:ascii="Segoe UI" w:hAnsi="Segoe UI" w:cs="Segoe UI"/>
          <w:sz w:val="22"/>
          <w:szCs w:val="22"/>
        </w:rPr>
        <w:t>è</w:t>
      </w:r>
      <w:r w:rsidR="00A27921" w:rsidRPr="00A27921">
        <w:rPr>
          <w:rFonts w:ascii="Segoe UI" w:hAnsi="Segoe UI" w:cs="Segoe UI"/>
          <w:sz w:val="22"/>
          <w:szCs w:val="22"/>
        </w:rPr>
        <w:t xml:space="preserve"> il settore che meglio ha attutito il rallentamento delle attività dovute alla chiusura e in alcuni casi ha visto un incremento dei volumi di fatturato. Ne consegue un vivace e costante interesse da parte degli investitori, </w:t>
      </w:r>
      <w:r>
        <w:rPr>
          <w:rFonts w:ascii="Segoe UI" w:hAnsi="Segoe UI" w:cs="Segoe UI"/>
          <w:sz w:val="22"/>
          <w:szCs w:val="22"/>
        </w:rPr>
        <w:t xml:space="preserve">con </w:t>
      </w:r>
      <w:r w:rsidR="00A27921" w:rsidRPr="00A27921">
        <w:rPr>
          <w:rFonts w:ascii="Segoe UI" w:hAnsi="Segoe UI" w:cs="Segoe UI"/>
          <w:sz w:val="22"/>
          <w:szCs w:val="22"/>
        </w:rPr>
        <w:t>una remota possibilità di contrazione dei canoni, salvo casi specifici e locali o immobili vetusti</w:t>
      </w:r>
      <w:r w:rsidR="00CF2C4C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e</w:t>
      </w:r>
      <w:r w:rsidR="00A27921" w:rsidRPr="00A27921">
        <w:rPr>
          <w:rFonts w:ascii="Segoe UI" w:hAnsi="Segoe UI" w:cs="Segoe UI"/>
          <w:sz w:val="22"/>
          <w:szCs w:val="22"/>
        </w:rPr>
        <w:t xml:space="preserve"> una c</w:t>
      </w:r>
      <w:r w:rsidR="00CF2C4C">
        <w:rPr>
          <w:rFonts w:ascii="Segoe UI" w:hAnsi="Segoe UI" w:cs="Segoe UI"/>
          <w:sz w:val="22"/>
          <w:szCs w:val="22"/>
        </w:rPr>
        <w:t>ontinua</w:t>
      </w:r>
      <w:r w:rsidR="00A27921" w:rsidRPr="00A27921">
        <w:rPr>
          <w:rFonts w:ascii="Segoe UI" w:hAnsi="Segoe UI" w:cs="Segoe UI"/>
          <w:sz w:val="22"/>
          <w:szCs w:val="22"/>
        </w:rPr>
        <w:t xml:space="preserve"> spinta verso la creazione di prodotto di elevata qualità e un’aspettativa di rendimento costante.</w:t>
      </w:r>
    </w:p>
    <w:p w:rsidR="00956309" w:rsidRPr="0052048F" w:rsidRDefault="00DE33DC" w:rsidP="00956309">
      <w:pPr>
        <w:spacing w:line="240" w:lineRule="auto"/>
        <w:rPr>
          <w:rFonts w:cs="Arial"/>
          <w:i/>
          <w:color w:val="404040" w:themeColor="text1" w:themeTint="BF"/>
          <w:lang w:val="en-US"/>
        </w:rPr>
      </w:pPr>
      <w:r w:rsidRPr="00DE33DC">
        <w:rPr>
          <w:rFonts w:cs="Arial"/>
          <w:i/>
          <w:noProof/>
          <w:color w:val="000000" w:themeColor="text1"/>
          <w:lang w:eastAsia="it-IT"/>
        </w:rPr>
        <w:lastRenderedPageBreak/>
        <w:pict>
          <v:line id="Connettore 1 21" o:spid="_x0000_s1026" style="position:absolute;z-index:251649024;visibility:visible;mso-width-relative:margin;mso-height-relative:margin" from="2.65pt,.15pt" to="484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M32AEAABgEAAAOAAAAZHJzL2Uyb0RvYy54bWysU02P2yAQvVfa/4C4N7bTdltZcfaQ1fZS&#10;tVE/fgCLhxgJBgRs7Pz7DjjxrnZbVa16wR6Y92beY9jcTNawI4SoHXa8WdWcAUrXazx0/Mf3u9cf&#10;OItJYC+MQ+j4CSK/2V692oy+hbUbnOkhMCLB2I6+40NKvq2qKAewIq6cB6RD5YIVicJwqPogRmK3&#10;plrX9XU1utD74CTESLu38yHfFn6lQKYvSkVIzHScektlDWW9z2u13Yj2EIQftDy3If6hCys0UtGF&#10;6lYkwR6CfkFltQwuOpVW0tnKKaUlFA2kpqmfqfk2CA9FC5kT/WJT/H+08vNxH5juO75uOENh6Y52&#10;DhFScgFYw2ibPBp9bCl1h/twjqLfhyx4UsHmL0lhU/H1tPgKU2KSNq+bdfO2Jvvl5ax6BPoQ00dw&#10;luWfjhuNWbJoxfFTTFSMUi8pedsgGzv+pnn/LvNZT51HPBREdEb3d9qYnFcmCHYmsKOguxdSAqai&#10;hQifZFJkkKpkhbOm8pdOBuZyX0GRP6SimYvkyfwdr0HKzjBFXSzA+s/Ac36GQpnavwEviFLZYVrA&#10;VqMLv6qeposVas6/ODDrzhbcu/5UbrtYQ+NXruL8VPJ8P40L/PFBb38CAAD//wMAUEsDBBQABgAI&#10;AAAAIQDbI7Q42gAAAAgBAAAPAAAAZHJzL2Rvd25yZXYueG1sTE/BTsMwDL0j8Q+Rkbgglo7BxLqm&#10;0wSaEDc24O42pq1onKrJ1vD3eCe4PPnp2c/vFZvkenWiMXSeDcxnGSji2tuOGwMf77vbR1AhIlvs&#10;PZOBHwqwKS8vCsytn3hPp0NslJhwyNFAG+OQax3qlhyGmR+IRfvyo8ModGy0HXESc9fruyxbaocd&#10;y4cWB3pqqf4+HJ2BcB/TVM93i2H/Wb1sk6c3/3pjzPVVel4LbNegIqX4dwHnDpIfSglW+SPboHoD&#10;DwtZNCAo4mq5kqE6U10W+n+B8hcAAP//AwBQSwECLQAUAAYACAAAACEAtoM4kv4AAADhAQAAEwAA&#10;AAAAAAAAAAAAAAAAAAAAW0NvbnRlbnRfVHlwZXNdLnhtbFBLAQItABQABgAIAAAAIQA4/SH/1gAA&#10;AJQBAAALAAAAAAAAAAAAAAAAAC8BAABfcmVscy8ucmVsc1BLAQItABQABgAIAAAAIQDI7dM32AEA&#10;ABgEAAAOAAAAAAAAAAAAAAAAAC4CAABkcnMvZTJvRG9jLnhtbFBLAQItABQABgAIAAAAIQDbI7Q4&#10;2gAAAAgBAAAPAAAAAAAAAAAAAAAAADIEAABkcnMvZG93bnJldi54bWxQSwUGAAAAAAQABADzAAAA&#10;OQUAAAAA&#10;" strokecolor="#a32236 [3204]" strokeweight="2.5pt">
            <v:stroke joinstyle="miter"/>
          </v:line>
        </w:pict>
      </w:r>
    </w:p>
    <w:p w:rsidR="00956309" w:rsidRPr="000738F2" w:rsidRDefault="00956309" w:rsidP="00956309">
      <w:pPr>
        <w:spacing w:line="240" w:lineRule="auto"/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 w:rsidRPr="000738F2">
        <w:rPr>
          <w:rFonts w:ascii="Segoe UI" w:hAnsi="Segoe UI" w:cs="Segoe UI"/>
          <w:b/>
          <w:color w:val="404040" w:themeColor="text1" w:themeTint="BF"/>
          <w:sz w:val="22"/>
          <w:szCs w:val="22"/>
        </w:rPr>
        <w:t>IL GRUPPO GABETTI</w:t>
      </w:r>
    </w:p>
    <w:p w:rsidR="008B2DC0" w:rsidRDefault="00956309" w:rsidP="00BB4AFD">
      <w:pPr>
        <w:spacing w:line="240" w:lineRule="auto"/>
        <w:jc w:val="both"/>
        <w:rPr>
          <w:rFonts w:ascii="Segoe UI" w:hAnsi="Segoe UI" w:cs="Segoe UI"/>
          <w:color w:val="404040" w:themeColor="text1" w:themeTint="BF"/>
          <w:sz w:val="22"/>
          <w:szCs w:val="22"/>
        </w:rPr>
      </w:pPr>
      <w:r w:rsidRPr="000738F2">
        <w:rPr>
          <w:rFonts w:ascii="Segoe UI" w:hAnsi="Segoe UI" w:cs="Segoe UI"/>
          <w:color w:val="404040" w:themeColor="text1" w:themeTint="BF"/>
          <w:sz w:val="22"/>
          <w:szCs w:val="22"/>
        </w:rPr>
        <w:t>Gabetti Property Solutions, attraverso le diverse linee di business delle società controllate, eroga servizi per l</w:t>
      </w:r>
      <w:r w:rsidRPr="000738F2">
        <w:rPr>
          <w:rFonts w:ascii="Segoe UI" w:eastAsia="Calibri" w:hAnsi="Segoe UI" w:cs="Segoe UI"/>
          <w:color w:val="404040" w:themeColor="text1" w:themeTint="BF"/>
          <w:sz w:val="22"/>
          <w:szCs w:val="22"/>
        </w:rPr>
        <w:t>’</w:t>
      </w:r>
      <w:r w:rsidRPr="000738F2">
        <w:rPr>
          <w:rFonts w:ascii="Segoe UI" w:hAnsi="Segoe UI" w:cs="Segoe UI"/>
          <w:color w:val="404040" w:themeColor="text1" w:themeTint="BF"/>
          <w:sz w:val="22"/>
          <w:szCs w:val="22"/>
        </w:rPr>
        <w:t>intero sistema immobiliare, offrendo consulenza integrata per soddisfare esigenze e aspettative di privati, aziende e operatori istituzionali. Proprio dall</w:t>
      </w:r>
      <w:r w:rsidRPr="000738F2">
        <w:rPr>
          <w:rFonts w:ascii="Segoe UI" w:eastAsia="Calibri" w:hAnsi="Segoe UI" w:cs="Segoe UI"/>
          <w:color w:val="404040" w:themeColor="text1" w:themeTint="BF"/>
          <w:sz w:val="22"/>
          <w:szCs w:val="22"/>
        </w:rPr>
        <w:t>’</w:t>
      </w:r>
      <w:r w:rsidRPr="000738F2">
        <w:rPr>
          <w:rFonts w:ascii="Segoe UI" w:hAnsi="Segoe UI" w:cs="Segoe UI"/>
          <w:color w:val="404040" w:themeColor="text1" w:themeTint="BF"/>
          <w:sz w:val="22"/>
          <w:szCs w:val="22"/>
        </w:rPr>
        <w:t>integrazione e dalla sinergia di tutti i servizi, emerge il valore aggiunto del gruppo: un modello unico rispetto ai competitor. Il sistema organizzativo di Gabetti Property Solutions consente l</w:t>
      </w:r>
      <w:r w:rsidRPr="000738F2">
        <w:rPr>
          <w:rFonts w:ascii="Segoe UI" w:eastAsia="Calibri" w:hAnsi="Segoe UI" w:cs="Segoe UI"/>
          <w:color w:val="404040" w:themeColor="text1" w:themeTint="BF"/>
          <w:sz w:val="22"/>
          <w:szCs w:val="22"/>
        </w:rPr>
        <w:t>’</w:t>
      </w:r>
      <w:r w:rsidRPr="000738F2">
        <w:rPr>
          <w:rFonts w:ascii="Segoe UI" w:hAnsi="Segoe UI" w:cs="Segoe UI"/>
          <w:color w:val="404040" w:themeColor="text1" w:themeTint="BF"/>
          <w:sz w:val="22"/>
          <w:szCs w:val="22"/>
        </w:rPr>
        <w:t>integrazione e il coordinamento delle competenze specifiche di ciascuna società del Gruppo nell</w:t>
      </w:r>
      <w:r w:rsidRPr="000738F2">
        <w:rPr>
          <w:rFonts w:ascii="Segoe UI" w:eastAsia="Calibri" w:hAnsi="Segoe UI" w:cs="Segoe UI"/>
          <w:color w:val="404040" w:themeColor="text1" w:themeTint="BF"/>
          <w:sz w:val="22"/>
          <w:szCs w:val="22"/>
        </w:rPr>
        <w:t>’</w:t>
      </w:r>
      <w:r w:rsidRPr="000738F2">
        <w:rPr>
          <w:rFonts w:ascii="Segoe UI" w:hAnsi="Segoe UI" w:cs="Segoe UI"/>
          <w:color w:val="404040" w:themeColor="text1" w:themeTint="BF"/>
          <w:sz w:val="22"/>
          <w:szCs w:val="22"/>
        </w:rPr>
        <w:t>ambito delle seguenti aree: Consulenza, Valorizzazione, Gestione, Intermediazione, Mediazione Creditizia e Assicurativa e Riqualificazione.</w:t>
      </w:r>
    </w:p>
    <w:p w:rsidR="00C2042A" w:rsidRDefault="00C2042A" w:rsidP="00BB4AFD">
      <w:pPr>
        <w:spacing w:line="240" w:lineRule="auto"/>
        <w:jc w:val="both"/>
        <w:rPr>
          <w:rFonts w:ascii="Segoe UI" w:hAnsi="Segoe UI" w:cs="Segoe UI"/>
          <w:color w:val="404040" w:themeColor="text1" w:themeTint="BF"/>
          <w:sz w:val="22"/>
          <w:szCs w:val="22"/>
        </w:rPr>
      </w:pPr>
    </w:p>
    <w:p w:rsidR="00C2042A" w:rsidRPr="000738F2" w:rsidRDefault="00C2042A" w:rsidP="00BB4AFD">
      <w:pPr>
        <w:spacing w:line="240" w:lineRule="auto"/>
        <w:jc w:val="both"/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 w:rsidRPr="000738F2">
        <w:rPr>
          <w:rFonts w:ascii="Segoe UI" w:hAnsi="Segoe UI" w:cs="Segoe UI"/>
          <w:b/>
          <w:color w:val="404040" w:themeColor="text1" w:themeTint="BF"/>
          <w:sz w:val="22"/>
          <w:szCs w:val="22"/>
        </w:rPr>
        <w:t>PATRIGEST</w:t>
      </w:r>
    </w:p>
    <w:p w:rsidR="00F15F73" w:rsidRDefault="00F15F73" w:rsidP="00C2042A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color w:val="404040" w:themeColor="text1" w:themeTint="BF"/>
          <w:sz w:val="22"/>
          <w:szCs w:val="22"/>
        </w:rPr>
      </w:pPr>
      <w:r w:rsidRPr="000738F2">
        <w:rPr>
          <w:rFonts w:ascii="Segoe UI" w:hAnsi="Segoe UI" w:cs="Segoe UI"/>
          <w:color w:val="404040" w:themeColor="text1" w:themeTint="BF"/>
          <w:sz w:val="22"/>
          <w:szCs w:val="22"/>
        </w:rPr>
        <w:t>Patrigest, società del Gruppo Gabetti, offre da oltre trent’anni un servizio di valutazione e consulenza strategica finalizzato all’approfondita conoscenza del patrimonio immobiliare. In un mercato immobiliare i</w:t>
      </w:r>
      <w:r>
        <w:rPr>
          <w:rFonts w:ascii="Segoe UI" w:hAnsi="Segoe UI" w:cs="Segoe UI"/>
          <w:color w:val="404040" w:themeColor="text1" w:themeTint="BF"/>
          <w:sz w:val="22"/>
          <w:szCs w:val="22"/>
        </w:rPr>
        <w:t>n continua evoluzione, l’</w:t>
      </w:r>
      <w:r w:rsidRPr="000738F2">
        <w:rPr>
          <w:rFonts w:ascii="Segoe UI" w:hAnsi="Segoe UI" w:cs="Segoe UI"/>
          <w:color w:val="404040" w:themeColor="text1" w:themeTint="BF"/>
          <w:sz w:val="22"/>
          <w:szCs w:val="22"/>
        </w:rPr>
        <w:t>obiettivo è quello di esprimere in maniera puntuale i driver utili alle scelte strategich</w:t>
      </w:r>
      <w:r>
        <w:rPr>
          <w:rFonts w:ascii="Segoe UI" w:hAnsi="Segoe UI" w:cs="Segoe UI"/>
          <w:color w:val="404040" w:themeColor="text1" w:themeTint="BF"/>
          <w:sz w:val="22"/>
          <w:szCs w:val="22"/>
        </w:rPr>
        <w:t>e dei nostri clienti. Propone</w:t>
      </w:r>
      <w:r w:rsidRPr="000738F2">
        <w:rPr>
          <w:rFonts w:ascii="Segoe UI" w:hAnsi="Segoe UI" w:cs="Segoe UI"/>
          <w:color w:val="404040" w:themeColor="text1" w:themeTint="BF"/>
          <w:sz w:val="22"/>
          <w:szCs w:val="22"/>
        </w:rPr>
        <w:t xml:space="preserve"> una consulenza indipendente, informata e pratica sullo studio dei nuovi mercati e su qualsiasi tematica in ambito immobiliare</w:t>
      </w:r>
    </w:p>
    <w:p w:rsidR="00F15F73" w:rsidRDefault="00F15F73" w:rsidP="00C2042A">
      <w:p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color w:val="404040" w:themeColor="text1" w:themeTint="BF"/>
          <w:sz w:val="22"/>
          <w:szCs w:val="22"/>
        </w:rPr>
      </w:pPr>
    </w:p>
    <w:p w:rsidR="00EC27C6" w:rsidRDefault="00DE33DC" w:rsidP="00956309">
      <w:pPr>
        <w:rPr>
          <w:rFonts w:ascii="Segoe UI" w:hAnsi="Segoe UI" w:cs="Segoe UI"/>
          <w:b/>
          <w:color w:val="404040" w:themeColor="text1" w:themeTint="BF"/>
          <w:sz w:val="22"/>
          <w:szCs w:val="22"/>
        </w:rPr>
      </w:pPr>
      <w:r w:rsidRPr="00DE33DC">
        <w:rPr>
          <w:rFonts w:cs="Arial"/>
          <w:i/>
          <w:noProof/>
          <w:color w:val="000000" w:themeColor="text1"/>
          <w:lang w:eastAsia="it-IT"/>
        </w:rPr>
        <w:pict>
          <v:line id="Connettore 1 3" o:spid="_x0000_s1027" style="position:absolute;z-index:251659264;visibility:visible;mso-width-relative:margin;mso-height-relative:margin" from="0,1.45pt" to="48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kQ1wEAABYEAAAOAAAAZHJzL2Uyb0RvYy54bWysU02P2yAQvVfqf0DcG9vZdltZcfaQ1fZS&#10;tVG7/QEsHmIkGBDQ2Pn3HXDiXfVD1a56wR6Y92beY9jcTNawI4SoHXa8WdWcAUrXazx0/Pv93ZsP&#10;nMUksBfGIXT8BJHfbF+/2oy+hbUbnOkhMCLB2I6+40NKvq2qKAewIq6cB6RD5YIVicJwqPogRmK3&#10;plrX9XU1utD74CTESLu38yHfFn6lQKYvSkVIzHScektlDWV9yGu13Yj2EIQftDy3IV7QhRUaqehC&#10;dSuSYD+C/o3KahlcdCqtpLOVU0pLKBpITVP/oubbIDwULWRO9ItN8f/Rys/HfWC67/gVZygsXdHO&#10;IUJKLgBr2FV2aPSxpcQd7sM5in4fstxJBZu/JIRNxdXT4ipMiUnavG7WzduazJeXs+oR6ENMH8FZ&#10;ln86bjRmwaIVx08xUTFKvaTkbYNspFab9+8yn/XUd8RDQURndH+njcl5ZX5gZwI7Crp5ISVgarIW&#10;InySSZFB2swKZ03lL50MzOW+giJ3SEUzF8lz+Tdeg5SdYYq6WID1v4Hn/AyFMrPPAS+IUtlhWsBW&#10;owt/qp6mixVqzr84MOvOFjy4/lRuu1hDw1ecOz+UPN1P4wJ/fM7bnwAAAP//AwBQSwMEFAAGAAgA&#10;AAAhAM8+YYrcAAAACQEAAA8AAABkcnMvZG93bnJldi54bWxMj0FLw0AQhe+C/2EZwYvYTWspNs2k&#10;FKWIN1v1vsmOSTA7G7LbZv33jl70MvDxeG/eK7bJ9epMY+g8I8xnGSji2tuOG4S31/3tPagQDVvT&#10;eyaELwqwLS8vCpNbP/GBzsfYKAnhkBuENsYh1zrULTkTZn4gFu3Dj85EwbHRdjSThLteL7JspZ3p&#10;WD60ZqCHlurP48khhGVMUz3f3w2H9+pplzy9+OcbxOur9LiRs9uAipTinwN+Nkh/KKVY5U9sg+oR&#10;ZE1EWKxBibheLYWrX9Zlof8vKL8BAAD//wMAUEsBAi0AFAAGAAgAAAAhALaDOJL+AAAA4QEAABMA&#10;AAAAAAAAAAAAAAAAAAAAAFtDb250ZW50X1R5cGVzXS54bWxQSwECLQAUAAYACAAAACEAOP0h/9YA&#10;AACUAQAACwAAAAAAAAAAAAAAAAAvAQAAX3JlbHMvLnJlbHNQSwECLQAUAAYACAAAACEAHUt5ENcB&#10;AAAWBAAADgAAAAAAAAAAAAAAAAAuAgAAZHJzL2Uyb0RvYy54bWxQSwECLQAUAAYACAAAACEAzz5h&#10;itwAAAAJAQAADwAAAAAAAAAAAAAAAAAxBAAAZHJzL2Rvd25yZXYueG1sUEsFBgAAAAAEAAQA8wAA&#10;ADoFAAAAAA==&#10;" strokecolor="#a32236 [3204]" strokeweight="2.5pt">
            <v:stroke joinstyle="miter"/>
          </v:line>
        </w:pict>
      </w:r>
    </w:p>
    <w:sectPr w:rsidR="00EC27C6" w:rsidSect="00B82C17">
      <w:headerReference w:type="default" r:id="rId12"/>
      <w:footerReference w:type="default" r:id="rId13"/>
      <w:headerReference w:type="first" r:id="rId14"/>
      <w:pgSz w:w="11900" w:h="16840" w:code="9"/>
      <w:pgMar w:top="1440" w:right="1077" w:bottom="1440" w:left="1077" w:header="709" w:footer="2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ED7" w:rsidRDefault="00234ED7" w:rsidP="002133DD">
      <w:pPr>
        <w:spacing w:before="0" w:after="0" w:line="240" w:lineRule="auto"/>
      </w:pPr>
      <w:r>
        <w:separator/>
      </w:r>
    </w:p>
  </w:endnote>
  <w:endnote w:type="continuationSeparator" w:id="0">
    <w:p w:rsidR="00234ED7" w:rsidRDefault="00234ED7" w:rsidP="002133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Light">
    <w:altName w:val="Times New Roman"/>
    <w:charset w:val="00"/>
    <w:family w:val="auto"/>
    <w:pitch w:val="variable"/>
    <w:sig w:usb0="20000007" w:usb1="00000001" w:usb2="00000000" w:usb3="00000000" w:csb0="00000193" w:csb1="00000000"/>
  </w:font>
  <w:font w:name="Montserrat">
    <w:altName w:val="Times New Roman"/>
    <w:charset w:val="00"/>
    <w:family w:val="auto"/>
    <w:pitch w:val="variable"/>
    <w:sig w:usb0="20000007" w:usb1="00000001" w:usb2="00000000" w:usb3="00000000" w:csb0="000001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 Sans Std">
    <w:charset w:val="00"/>
    <w:family w:val="auto"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F9" w:rsidRPr="00B82C17" w:rsidRDefault="003F22F9" w:rsidP="00B82C17">
    <w:pPr>
      <w:pStyle w:val="Pidipagina"/>
      <w:jc w:val="center"/>
      <w:rPr>
        <w:rFonts w:ascii="Segoe UI" w:hAnsi="Segoe UI" w:cs="Segoe UI"/>
        <w:b/>
      </w:rPr>
    </w:pPr>
    <w:r w:rsidRPr="00B82C17">
      <w:rPr>
        <w:rFonts w:ascii="Segoe UI" w:hAnsi="Segoe UI" w:cs="Segoe UI"/>
        <w:b/>
      </w:rPr>
      <w:t>Gabetti Property Solutions</w:t>
    </w:r>
    <w:r>
      <w:rPr>
        <w:rFonts w:ascii="Segoe UI" w:hAnsi="Segoe UI" w:cs="Segoe UI"/>
        <w:b/>
      </w:rPr>
      <w:br/>
    </w:r>
    <w:r w:rsidRPr="00B82C17">
      <w:rPr>
        <w:rFonts w:ascii="Segoe UI" w:hAnsi="Segoe UI" w:cs="Segoe UI"/>
      </w:rPr>
      <w:t>Milano, Roma, Genova, Torino, Padova, Firenze, Bologna, Napoli, Bari, Reggio Calabria</w:t>
    </w:r>
    <w:r>
      <w:rPr>
        <w:rFonts w:ascii="Segoe UI" w:hAnsi="Segoe UI" w:cs="Segoe UI"/>
        <w:b/>
      </w:rPr>
      <w:br/>
    </w:r>
    <w:r w:rsidRPr="00B82C17">
      <w:rPr>
        <w:rFonts w:ascii="Segoe UI" w:hAnsi="Segoe UI" w:cs="Segoe UI"/>
        <w:b/>
      </w:rPr>
      <w:t>www.gabettigroup.com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ED7" w:rsidRDefault="00234ED7" w:rsidP="002133DD">
      <w:pPr>
        <w:spacing w:before="0" w:after="0" w:line="240" w:lineRule="auto"/>
      </w:pPr>
      <w:r>
        <w:separator/>
      </w:r>
    </w:p>
  </w:footnote>
  <w:footnote w:type="continuationSeparator" w:id="0">
    <w:p w:rsidR="00234ED7" w:rsidRDefault="00234ED7" w:rsidP="002133D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F9" w:rsidRDefault="003F22F9" w:rsidP="002133DD">
    <w:pPr>
      <w:pStyle w:val="Intestazione"/>
      <w:jc w:val="right"/>
    </w:pPr>
    <w:r w:rsidRPr="00665837">
      <w:rPr>
        <w:noProof/>
        <w:lang w:eastAsia="it-IT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4712970</wp:posOffset>
          </wp:positionH>
          <wp:positionV relativeFrom="paragraph">
            <wp:posOffset>-125095</wp:posOffset>
          </wp:positionV>
          <wp:extent cx="1409700" cy="5207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33DC">
      <w:rPr>
        <w:noProof/>
        <w:lang w:eastAsia="it-IT"/>
      </w:rPr>
      <w:pict>
        <v:rect id="Rettangolo 14" o:spid="_x0000_s4097" style="position:absolute;left:0;text-align:left;margin-left:-250.8pt;margin-top:-.8pt;width:595.2pt;height:18.2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0cX5QEAABQEAAAOAAAAZHJzL2Uyb0RvYy54bWysU01v3CAQvVfqf0Dcu7a32bax1ptDovRS&#10;tVHS/gCChzUSMAjofvz7DuA4VVP1ENUHDMzMmzdvhu3VyRp2gBA1uoF3q5YzcBJH7fYD//H99t0n&#10;zmISbhQGHQz8DJFf7d6+2R59D2uc0IwQGIG42B/9wKeUfN80UU5gRVyhB0dGhcGKRMewb8YgjoRu&#10;TbNu2w/NEcPoA0qIkW5vqpHvCr5SINM3pSIkZgZO3FJZQ1kf89rstqLfB+EnLWca4hUsrNCOki5Q&#10;NyIJ9jPoF1BWy4ARVVpJtA0qpSWUGqiarv2jmodJeCi1kDjRLzLF/wcrvx7uAtMj9Y4zJyy16B4S&#10;NWyPBll3kQU6+tiT34O/C/Mp0jZXe1LB5j/VwU5F1PMiKpwSk3T5cbO5bC9Ie0m29fuuoz3BNM/R&#10;PsT0GdCyvBl4oKYVLcXhS0zV9cklJzMurw5vtTHVmm+azLLyKrt0NlC970FRgcRkXVDLaMG1Cewg&#10;aCiElOBSV02TGKFeb1r6Zp5LRGFtHAFmZEX5F+wZII/tS+zKcvbPoVAmcwlu/0WsBi8RJTO6tARb&#10;7TD8DcBQVXPm6v8kUpUmq/SI45naH5K5xvpAhJMT0vuQKZTg7EWjVyqfn0me7d/PBfb5Me9+AQAA&#10;//8DAFBLAwQUAAYACAAAACEA7utpCOIAAAAPAQAADwAAAGRycy9kb3ducmV2LnhtbExPS0+DQBC+&#10;m/gfNmPirV0qioSyNE1NL8aYiPbQ2xamLMrOEnZL0V/v9KSXeWS++R75arKdGHHwrSMFi3kEAqly&#10;dUuNgo/37SwF4YOmWneOUME3elgV11e5zmp3pjccy9AIJiGfaQUmhD6T0lcGrfZz1yPx7egGqwOv&#10;QyPrQZ+Z3HbyLooSaXVLrGB0jxuD1Vd5sgqePx/j0ozr8Sd+xZ1xu5f9duOVur2ZnpZc1ksQAafw&#10;9wGXDOwfCjZ2cCeqvegUzB6iRcJYni6dEUmacqKDgvg+BVnk8n+O4hcAAP//AwBQSwECLQAUAAYA&#10;CAAAACEAtoM4kv4AAADhAQAAEwAAAAAAAAAAAAAAAAAAAAAAW0NvbnRlbnRfVHlwZXNdLnhtbFBL&#10;AQItABQABgAIAAAAIQA4/SH/1gAAAJQBAAALAAAAAAAAAAAAAAAAAC8BAABfcmVscy8ucmVsc1BL&#10;AQItABQABgAIAAAAIQDc00cX5QEAABQEAAAOAAAAAAAAAAAAAAAAAC4CAABkcnMvZTJvRG9jLnht&#10;bFBLAQItABQABgAIAAAAIQDu62kI4gAAAA8BAAAPAAAAAAAAAAAAAAAAAD8EAABkcnMvZG93bnJl&#10;di54bWxQSwUGAAAAAAQABADzAAAATgUAAAAA&#10;" fillcolor="#a32236 [3204]" stroked="f" strokeweight="1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F9" w:rsidRDefault="003F22F9">
    <w:pPr>
      <w:pStyle w:val="Intestazione"/>
    </w:pPr>
    <w:r w:rsidRPr="00D60AA1">
      <w:rPr>
        <w:noProof/>
        <w:lang w:eastAsia="it-IT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3449955</wp:posOffset>
          </wp:positionV>
          <wp:extent cx="6184900" cy="2627630"/>
          <wp:effectExtent l="0" t="0" r="6350" b="127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0" cy="2627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60AA1">
      <w:rPr>
        <w:noProof/>
        <w:lang w:eastAsia="it-IT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270510</wp:posOffset>
          </wp:positionH>
          <wp:positionV relativeFrom="paragraph">
            <wp:posOffset>3732530</wp:posOffset>
          </wp:positionV>
          <wp:extent cx="5643880" cy="2063115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3880" cy="206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97"/>
    <w:multiLevelType w:val="hybridMultilevel"/>
    <w:tmpl w:val="BD948FBA"/>
    <w:lvl w:ilvl="0" w:tplc="805CA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83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68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69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6C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A6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8B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C1D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7A39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42517"/>
    <w:multiLevelType w:val="hybridMultilevel"/>
    <w:tmpl w:val="4D120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04EF9"/>
    <w:multiLevelType w:val="hybridMultilevel"/>
    <w:tmpl w:val="F856C1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52769"/>
    <w:multiLevelType w:val="hybridMultilevel"/>
    <w:tmpl w:val="64A485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1D7F4F"/>
    <w:multiLevelType w:val="hybridMultilevel"/>
    <w:tmpl w:val="2B36359E"/>
    <w:lvl w:ilvl="0" w:tplc="1062C286">
      <w:numFmt w:val="bullet"/>
      <w:lvlText w:val="•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D2A65"/>
    <w:multiLevelType w:val="hybridMultilevel"/>
    <w:tmpl w:val="1F008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2215A"/>
    <w:multiLevelType w:val="hybridMultilevel"/>
    <w:tmpl w:val="4AA89AE4"/>
    <w:lvl w:ilvl="0" w:tplc="AFA49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A60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81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A8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255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69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4C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ADB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093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04AAA"/>
    <w:multiLevelType w:val="hybridMultilevel"/>
    <w:tmpl w:val="3AA2E6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66DD4"/>
    <w:multiLevelType w:val="hybridMultilevel"/>
    <w:tmpl w:val="FAFAE0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4C75AC"/>
    <w:multiLevelType w:val="hybridMultilevel"/>
    <w:tmpl w:val="1438F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5384D"/>
    <w:multiLevelType w:val="hybridMultilevel"/>
    <w:tmpl w:val="3ECA34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33DD"/>
    <w:rsid w:val="000059ED"/>
    <w:rsid w:val="00011095"/>
    <w:rsid w:val="0002390F"/>
    <w:rsid w:val="00024E9E"/>
    <w:rsid w:val="000301A6"/>
    <w:rsid w:val="000333E9"/>
    <w:rsid w:val="000336EA"/>
    <w:rsid w:val="00035C29"/>
    <w:rsid w:val="00044A8E"/>
    <w:rsid w:val="00046783"/>
    <w:rsid w:val="00052424"/>
    <w:rsid w:val="00055210"/>
    <w:rsid w:val="00064DCD"/>
    <w:rsid w:val="000738F2"/>
    <w:rsid w:val="00075944"/>
    <w:rsid w:val="00084A2D"/>
    <w:rsid w:val="00095600"/>
    <w:rsid w:val="00095C8D"/>
    <w:rsid w:val="00096623"/>
    <w:rsid w:val="00097A77"/>
    <w:rsid w:val="000A2FA0"/>
    <w:rsid w:val="000A5ED2"/>
    <w:rsid w:val="000A6AB7"/>
    <w:rsid w:val="000B1FFD"/>
    <w:rsid w:val="000B49C8"/>
    <w:rsid w:val="000B4CAB"/>
    <w:rsid w:val="000B5DFC"/>
    <w:rsid w:val="000C2082"/>
    <w:rsid w:val="000C4CD4"/>
    <w:rsid w:val="000D20AB"/>
    <w:rsid w:val="000D447A"/>
    <w:rsid w:val="000D610D"/>
    <w:rsid w:val="000F1037"/>
    <w:rsid w:val="000F518B"/>
    <w:rsid w:val="000F7E0C"/>
    <w:rsid w:val="001120B0"/>
    <w:rsid w:val="00113068"/>
    <w:rsid w:val="001167E5"/>
    <w:rsid w:val="00117E79"/>
    <w:rsid w:val="001204F1"/>
    <w:rsid w:val="0013308B"/>
    <w:rsid w:val="00146CFC"/>
    <w:rsid w:val="00187562"/>
    <w:rsid w:val="001A10BF"/>
    <w:rsid w:val="001A1C08"/>
    <w:rsid w:val="001A480F"/>
    <w:rsid w:val="001A64A8"/>
    <w:rsid w:val="001A7B5A"/>
    <w:rsid w:val="001A7CC2"/>
    <w:rsid w:val="001D1FAE"/>
    <w:rsid w:val="001D309A"/>
    <w:rsid w:val="001E5A25"/>
    <w:rsid w:val="001F4872"/>
    <w:rsid w:val="00201DFD"/>
    <w:rsid w:val="00203CF9"/>
    <w:rsid w:val="00204333"/>
    <w:rsid w:val="002133DD"/>
    <w:rsid w:val="002171A5"/>
    <w:rsid w:val="00227AF2"/>
    <w:rsid w:val="002323C2"/>
    <w:rsid w:val="00232E97"/>
    <w:rsid w:val="00234ED7"/>
    <w:rsid w:val="00240932"/>
    <w:rsid w:val="00245829"/>
    <w:rsid w:val="00247FBE"/>
    <w:rsid w:val="00252D5B"/>
    <w:rsid w:val="00270236"/>
    <w:rsid w:val="00273494"/>
    <w:rsid w:val="00290676"/>
    <w:rsid w:val="002A1ED9"/>
    <w:rsid w:val="002A20B4"/>
    <w:rsid w:val="002C0284"/>
    <w:rsid w:val="002C6C7D"/>
    <w:rsid w:val="002D15A8"/>
    <w:rsid w:val="002D272D"/>
    <w:rsid w:val="002E3A67"/>
    <w:rsid w:val="002E3B16"/>
    <w:rsid w:val="002F3654"/>
    <w:rsid w:val="00305927"/>
    <w:rsid w:val="003111CA"/>
    <w:rsid w:val="00317C19"/>
    <w:rsid w:val="00325D04"/>
    <w:rsid w:val="003529B5"/>
    <w:rsid w:val="00355EB4"/>
    <w:rsid w:val="00355F6D"/>
    <w:rsid w:val="003679BE"/>
    <w:rsid w:val="00374230"/>
    <w:rsid w:val="00393C2B"/>
    <w:rsid w:val="003941D2"/>
    <w:rsid w:val="0039475C"/>
    <w:rsid w:val="00397819"/>
    <w:rsid w:val="003A45B8"/>
    <w:rsid w:val="003B0A95"/>
    <w:rsid w:val="003C4A49"/>
    <w:rsid w:val="003C66D6"/>
    <w:rsid w:val="003D0D59"/>
    <w:rsid w:val="003E157B"/>
    <w:rsid w:val="003E1866"/>
    <w:rsid w:val="003E1888"/>
    <w:rsid w:val="003E200C"/>
    <w:rsid w:val="003E2B2C"/>
    <w:rsid w:val="003E7A0B"/>
    <w:rsid w:val="003E7B71"/>
    <w:rsid w:val="003E7EFB"/>
    <w:rsid w:val="003F22F9"/>
    <w:rsid w:val="00402ADF"/>
    <w:rsid w:val="0040330A"/>
    <w:rsid w:val="00417B03"/>
    <w:rsid w:val="00420895"/>
    <w:rsid w:val="004248EA"/>
    <w:rsid w:val="004274BB"/>
    <w:rsid w:val="00444BCE"/>
    <w:rsid w:val="00460AE0"/>
    <w:rsid w:val="00461D3F"/>
    <w:rsid w:val="00484B3C"/>
    <w:rsid w:val="004B1219"/>
    <w:rsid w:val="004C236D"/>
    <w:rsid w:val="004D1D88"/>
    <w:rsid w:val="004E7C15"/>
    <w:rsid w:val="004F762B"/>
    <w:rsid w:val="0050057C"/>
    <w:rsid w:val="00503A20"/>
    <w:rsid w:val="00505BA8"/>
    <w:rsid w:val="00510575"/>
    <w:rsid w:val="005128D7"/>
    <w:rsid w:val="00514190"/>
    <w:rsid w:val="005154AB"/>
    <w:rsid w:val="0052048F"/>
    <w:rsid w:val="00532ADE"/>
    <w:rsid w:val="005404B0"/>
    <w:rsid w:val="00542CE7"/>
    <w:rsid w:val="0055103B"/>
    <w:rsid w:val="00556B7F"/>
    <w:rsid w:val="00560045"/>
    <w:rsid w:val="005736EE"/>
    <w:rsid w:val="00575169"/>
    <w:rsid w:val="005757A5"/>
    <w:rsid w:val="00586F2F"/>
    <w:rsid w:val="00596BE8"/>
    <w:rsid w:val="005A116C"/>
    <w:rsid w:val="005B6FF3"/>
    <w:rsid w:val="005C18AC"/>
    <w:rsid w:val="005C7D90"/>
    <w:rsid w:val="005D543F"/>
    <w:rsid w:val="005E7442"/>
    <w:rsid w:val="005F128B"/>
    <w:rsid w:val="00613817"/>
    <w:rsid w:val="00624F96"/>
    <w:rsid w:val="00625445"/>
    <w:rsid w:val="00643ABC"/>
    <w:rsid w:val="00656422"/>
    <w:rsid w:val="00662887"/>
    <w:rsid w:val="00665837"/>
    <w:rsid w:val="00665E20"/>
    <w:rsid w:val="00670A74"/>
    <w:rsid w:val="0068111F"/>
    <w:rsid w:val="00690248"/>
    <w:rsid w:val="00691199"/>
    <w:rsid w:val="006B6486"/>
    <w:rsid w:val="006C08C9"/>
    <w:rsid w:val="006E709D"/>
    <w:rsid w:val="006F4500"/>
    <w:rsid w:val="006F7238"/>
    <w:rsid w:val="007004D2"/>
    <w:rsid w:val="00702782"/>
    <w:rsid w:val="007062EA"/>
    <w:rsid w:val="007072F0"/>
    <w:rsid w:val="007111F8"/>
    <w:rsid w:val="00712D43"/>
    <w:rsid w:val="00720886"/>
    <w:rsid w:val="0073149A"/>
    <w:rsid w:val="00733E7F"/>
    <w:rsid w:val="007365C1"/>
    <w:rsid w:val="007408D3"/>
    <w:rsid w:val="00746FEC"/>
    <w:rsid w:val="0075600A"/>
    <w:rsid w:val="00767AA1"/>
    <w:rsid w:val="007719AB"/>
    <w:rsid w:val="00771EA9"/>
    <w:rsid w:val="0078136F"/>
    <w:rsid w:val="007922C1"/>
    <w:rsid w:val="00797611"/>
    <w:rsid w:val="007B399A"/>
    <w:rsid w:val="007D196F"/>
    <w:rsid w:val="007D67BE"/>
    <w:rsid w:val="007E2B94"/>
    <w:rsid w:val="007F50A2"/>
    <w:rsid w:val="007F63A1"/>
    <w:rsid w:val="007F69B5"/>
    <w:rsid w:val="008049A1"/>
    <w:rsid w:val="008109B9"/>
    <w:rsid w:val="00816948"/>
    <w:rsid w:val="00817157"/>
    <w:rsid w:val="00822235"/>
    <w:rsid w:val="00826A50"/>
    <w:rsid w:val="008309E8"/>
    <w:rsid w:val="00845EA9"/>
    <w:rsid w:val="00850844"/>
    <w:rsid w:val="0085150C"/>
    <w:rsid w:val="00852531"/>
    <w:rsid w:val="008550B8"/>
    <w:rsid w:val="00864D94"/>
    <w:rsid w:val="00873DB3"/>
    <w:rsid w:val="00874796"/>
    <w:rsid w:val="008802CE"/>
    <w:rsid w:val="00883DA1"/>
    <w:rsid w:val="0088512F"/>
    <w:rsid w:val="00895482"/>
    <w:rsid w:val="00897DEB"/>
    <w:rsid w:val="008B00A1"/>
    <w:rsid w:val="008B0977"/>
    <w:rsid w:val="008B2DC0"/>
    <w:rsid w:val="008C1E1D"/>
    <w:rsid w:val="008D3844"/>
    <w:rsid w:val="008D59F7"/>
    <w:rsid w:val="008E0EBF"/>
    <w:rsid w:val="008E3C85"/>
    <w:rsid w:val="008E7235"/>
    <w:rsid w:val="008F0BBD"/>
    <w:rsid w:val="008F540D"/>
    <w:rsid w:val="008F6B1F"/>
    <w:rsid w:val="008F6EFE"/>
    <w:rsid w:val="008F7095"/>
    <w:rsid w:val="009107C4"/>
    <w:rsid w:val="00916F0A"/>
    <w:rsid w:val="00917B50"/>
    <w:rsid w:val="00924927"/>
    <w:rsid w:val="0092773B"/>
    <w:rsid w:val="0093166C"/>
    <w:rsid w:val="00932612"/>
    <w:rsid w:val="00944273"/>
    <w:rsid w:val="00944BD1"/>
    <w:rsid w:val="00946491"/>
    <w:rsid w:val="00956309"/>
    <w:rsid w:val="00964280"/>
    <w:rsid w:val="009676EA"/>
    <w:rsid w:val="00983002"/>
    <w:rsid w:val="00985D74"/>
    <w:rsid w:val="00992CC1"/>
    <w:rsid w:val="009A7CDA"/>
    <w:rsid w:val="009C38CF"/>
    <w:rsid w:val="009C7E4F"/>
    <w:rsid w:val="009D6292"/>
    <w:rsid w:val="009D7291"/>
    <w:rsid w:val="009F378D"/>
    <w:rsid w:val="00A006FF"/>
    <w:rsid w:val="00A04EEF"/>
    <w:rsid w:val="00A050A0"/>
    <w:rsid w:val="00A06C9C"/>
    <w:rsid w:val="00A10B3D"/>
    <w:rsid w:val="00A168BB"/>
    <w:rsid w:val="00A27921"/>
    <w:rsid w:val="00A52684"/>
    <w:rsid w:val="00A6086B"/>
    <w:rsid w:val="00A62938"/>
    <w:rsid w:val="00A66A71"/>
    <w:rsid w:val="00A80CE1"/>
    <w:rsid w:val="00A84CAF"/>
    <w:rsid w:val="00A9246C"/>
    <w:rsid w:val="00AA034E"/>
    <w:rsid w:val="00AA4422"/>
    <w:rsid w:val="00AA7123"/>
    <w:rsid w:val="00AB7FAE"/>
    <w:rsid w:val="00AD20ED"/>
    <w:rsid w:val="00AD2B7A"/>
    <w:rsid w:val="00B14985"/>
    <w:rsid w:val="00B15909"/>
    <w:rsid w:val="00B2075C"/>
    <w:rsid w:val="00B2099F"/>
    <w:rsid w:val="00B23078"/>
    <w:rsid w:val="00B37A84"/>
    <w:rsid w:val="00B42F1C"/>
    <w:rsid w:val="00B50089"/>
    <w:rsid w:val="00B50E27"/>
    <w:rsid w:val="00B51827"/>
    <w:rsid w:val="00B5319B"/>
    <w:rsid w:val="00B82C17"/>
    <w:rsid w:val="00B931C8"/>
    <w:rsid w:val="00BA2355"/>
    <w:rsid w:val="00BA635C"/>
    <w:rsid w:val="00BA7A80"/>
    <w:rsid w:val="00BB4AFD"/>
    <w:rsid w:val="00BB55BD"/>
    <w:rsid w:val="00BB56E9"/>
    <w:rsid w:val="00BC0C1C"/>
    <w:rsid w:val="00BC5560"/>
    <w:rsid w:val="00BD7554"/>
    <w:rsid w:val="00BE0594"/>
    <w:rsid w:val="00BE1A85"/>
    <w:rsid w:val="00BE2789"/>
    <w:rsid w:val="00BE305E"/>
    <w:rsid w:val="00BE30CF"/>
    <w:rsid w:val="00BE5FDE"/>
    <w:rsid w:val="00BE786A"/>
    <w:rsid w:val="00BF7F30"/>
    <w:rsid w:val="00C06336"/>
    <w:rsid w:val="00C2042A"/>
    <w:rsid w:val="00C2795A"/>
    <w:rsid w:val="00C34FC0"/>
    <w:rsid w:val="00C40E71"/>
    <w:rsid w:val="00C52C5C"/>
    <w:rsid w:val="00C52DA1"/>
    <w:rsid w:val="00C67301"/>
    <w:rsid w:val="00C765FE"/>
    <w:rsid w:val="00C76DC1"/>
    <w:rsid w:val="00C80409"/>
    <w:rsid w:val="00C94690"/>
    <w:rsid w:val="00CA185C"/>
    <w:rsid w:val="00CB725A"/>
    <w:rsid w:val="00CD60C0"/>
    <w:rsid w:val="00CD7450"/>
    <w:rsid w:val="00CF0D48"/>
    <w:rsid w:val="00CF2C4C"/>
    <w:rsid w:val="00D026E9"/>
    <w:rsid w:val="00D072D1"/>
    <w:rsid w:val="00D11947"/>
    <w:rsid w:val="00D239C5"/>
    <w:rsid w:val="00D32327"/>
    <w:rsid w:val="00D355E0"/>
    <w:rsid w:val="00D35ABB"/>
    <w:rsid w:val="00D36FE2"/>
    <w:rsid w:val="00D422A8"/>
    <w:rsid w:val="00D47CC4"/>
    <w:rsid w:val="00D60AA1"/>
    <w:rsid w:val="00D614C7"/>
    <w:rsid w:val="00D74150"/>
    <w:rsid w:val="00D81F80"/>
    <w:rsid w:val="00D85ECC"/>
    <w:rsid w:val="00D91258"/>
    <w:rsid w:val="00DA556A"/>
    <w:rsid w:val="00DB366E"/>
    <w:rsid w:val="00DC466D"/>
    <w:rsid w:val="00DC4E09"/>
    <w:rsid w:val="00DD4A2B"/>
    <w:rsid w:val="00DE333B"/>
    <w:rsid w:val="00DE33DC"/>
    <w:rsid w:val="00DF3F68"/>
    <w:rsid w:val="00DF79EA"/>
    <w:rsid w:val="00E0208E"/>
    <w:rsid w:val="00E045ED"/>
    <w:rsid w:val="00E14FC3"/>
    <w:rsid w:val="00E3621A"/>
    <w:rsid w:val="00E44D92"/>
    <w:rsid w:val="00E61933"/>
    <w:rsid w:val="00E73C24"/>
    <w:rsid w:val="00E77DDE"/>
    <w:rsid w:val="00E87533"/>
    <w:rsid w:val="00E9701C"/>
    <w:rsid w:val="00EA0E91"/>
    <w:rsid w:val="00EB72CB"/>
    <w:rsid w:val="00EC224F"/>
    <w:rsid w:val="00EC2675"/>
    <w:rsid w:val="00EC27C6"/>
    <w:rsid w:val="00EC4FC5"/>
    <w:rsid w:val="00ED1D1E"/>
    <w:rsid w:val="00ED65B7"/>
    <w:rsid w:val="00EE3A84"/>
    <w:rsid w:val="00F11013"/>
    <w:rsid w:val="00F11B9B"/>
    <w:rsid w:val="00F12ACB"/>
    <w:rsid w:val="00F15DCB"/>
    <w:rsid w:val="00F15F73"/>
    <w:rsid w:val="00F16160"/>
    <w:rsid w:val="00F200E5"/>
    <w:rsid w:val="00F21861"/>
    <w:rsid w:val="00F22305"/>
    <w:rsid w:val="00F23733"/>
    <w:rsid w:val="00F263B6"/>
    <w:rsid w:val="00F514FE"/>
    <w:rsid w:val="00F5257E"/>
    <w:rsid w:val="00F554C5"/>
    <w:rsid w:val="00F60397"/>
    <w:rsid w:val="00F6594E"/>
    <w:rsid w:val="00F66E72"/>
    <w:rsid w:val="00F753AF"/>
    <w:rsid w:val="00F80EC5"/>
    <w:rsid w:val="00FA2D58"/>
    <w:rsid w:val="00FB20C5"/>
    <w:rsid w:val="00FB436A"/>
    <w:rsid w:val="00FB4FFC"/>
    <w:rsid w:val="00FC0EC9"/>
    <w:rsid w:val="00FC7314"/>
    <w:rsid w:val="00FC7777"/>
    <w:rsid w:val="00FD3547"/>
    <w:rsid w:val="00FE5EAC"/>
    <w:rsid w:val="00FE6A73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9B5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29B5"/>
    <w:pPr>
      <w:pBdr>
        <w:top w:val="single" w:sz="24" w:space="0" w:color="A32236" w:themeColor="accent1"/>
        <w:left w:val="single" w:sz="24" w:space="0" w:color="A32236" w:themeColor="accent1"/>
        <w:bottom w:val="single" w:sz="24" w:space="0" w:color="A32236" w:themeColor="accent1"/>
        <w:right w:val="single" w:sz="24" w:space="0" w:color="A32236" w:themeColor="accent1"/>
      </w:pBdr>
      <w:shd w:val="clear" w:color="auto" w:fill="A3223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29B5"/>
    <w:pPr>
      <w:pBdr>
        <w:top w:val="single" w:sz="24" w:space="0" w:color="F4CBD1" w:themeColor="accent1" w:themeTint="33"/>
        <w:left w:val="single" w:sz="24" w:space="0" w:color="F4CBD1" w:themeColor="accent1" w:themeTint="33"/>
        <w:bottom w:val="single" w:sz="24" w:space="0" w:color="F4CBD1" w:themeColor="accent1" w:themeTint="33"/>
        <w:right w:val="single" w:sz="24" w:space="0" w:color="F4CBD1" w:themeColor="accent1" w:themeTint="33"/>
      </w:pBdr>
      <w:shd w:val="clear" w:color="auto" w:fill="F4CBD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29B5"/>
    <w:pPr>
      <w:pBdr>
        <w:top w:val="single" w:sz="6" w:space="2" w:color="A32236" w:themeColor="accent1"/>
        <w:left w:val="single" w:sz="6" w:space="2" w:color="A32236" w:themeColor="accent1"/>
      </w:pBdr>
      <w:spacing w:before="300" w:after="0"/>
      <w:outlineLvl w:val="2"/>
    </w:pPr>
    <w:rPr>
      <w:caps/>
      <w:color w:val="51111A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29B5"/>
    <w:pPr>
      <w:pBdr>
        <w:top w:val="dotted" w:sz="6" w:space="2" w:color="A32236" w:themeColor="accent1"/>
        <w:left w:val="dotted" w:sz="6" w:space="2" w:color="A32236" w:themeColor="accent1"/>
      </w:pBdr>
      <w:spacing w:before="300" w:after="0"/>
      <w:outlineLvl w:val="3"/>
    </w:pPr>
    <w:rPr>
      <w:caps/>
      <w:color w:val="791928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29B5"/>
    <w:pPr>
      <w:pBdr>
        <w:bottom w:val="single" w:sz="6" w:space="1" w:color="A32236" w:themeColor="accent1"/>
      </w:pBdr>
      <w:spacing w:before="300" w:after="0"/>
      <w:outlineLvl w:val="4"/>
    </w:pPr>
    <w:rPr>
      <w:caps/>
      <w:color w:val="791928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29B5"/>
    <w:pPr>
      <w:pBdr>
        <w:bottom w:val="dotted" w:sz="6" w:space="1" w:color="A32236" w:themeColor="accent1"/>
      </w:pBdr>
      <w:spacing w:before="300" w:after="0"/>
      <w:outlineLvl w:val="5"/>
    </w:pPr>
    <w:rPr>
      <w:caps/>
      <w:color w:val="791928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29B5"/>
    <w:pPr>
      <w:spacing w:before="300" w:after="0"/>
      <w:outlineLvl w:val="6"/>
    </w:pPr>
    <w:rPr>
      <w:caps/>
      <w:color w:val="791928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29B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29B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33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3DD"/>
  </w:style>
  <w:style w:type="paragraph" w:styleId="Pidipagina">
    <w:name w:val="footer"/>
    <w:basedOn w:val="Normale"/>
    <w:link w:val="PidipaginaCarattere"/>
    <w:uiPriority w:val="99"/>
    <w:unhideWhenUsed/>
    <w:rsid w:val="002133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3DD"/>
  </w:style>
  <w:style w:type="paragraph" w:customStyle="1" w:styleId="p1">
    <w:name w:val="p1"/>
    <w:basedOn w:val="Normale"/>
    <w:rsid w:val="002133DD"/>
    <w:rPr>
      <w:rFonts w:ascii="Montserrat Light" w:hAnsi="Montserrat Light" w:cs="Times New Roman"/>
      <w:color w:val="B50014"/>
      <w:sz w:val="45"/>
      <w:szCs w:val="45"/>
      <w:lang w:eastAsia="it-IT"/>
    </w:rPr>
  </w:style>
  <w:style w:type="character" w:customStyle="1" w:styleId="s1">
    <w:name w:val="s1"/>
    <w:basedOn w:val="Carpredefinitoparagrafo"/>
    <w:rsid w:val="002133DD"/>
    <w:rPr>
      <w:rFonts w:ascii="Montserrat" w:hAnsi="Montserrat" w:hint="default"/>
      <w:sz w:val="45"/>
      <w:szCs w:val="45"/>
    </w:rPr>
  </w:style>
  <w:style w:type="character" w:customStyle="1" w:styleId="apple-converted-space">
    <w:name w:val="apple-converted-space"/>
    <w:basedOn w:val="Carpredefinitoparagrafo"/>
    <w:rsid w:val="002133DD"/>
  </w:style>
  <w:style w:type="character" w:customStyle="1" w:styleId="Titolo1Carattere">
    <w:name w:val="Titolo 1 Carattere"/>
    <w:basedOn w:val="Carpredefinitoparagrafo"/>
    <w:link w:val="Titolo1"/>
    <w:uiPriority w:val="9"/>
    <w:rsid w:val="003529B5"/>
    <w:rPr>
      <w:b/>
      <w:bCs/>
      <w:caps/>
      <w:color w:val="FFFFFF" w:themeColor="background1"/>
      <w:spacing w:val="15"/>
      <w:shd w:val="clear" w:color="auto" w:fill="A32236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29B5"/>
    <w:rPr>
      <w:caps/>
      <w:spacing w:val="15"/>
      <w:shd w:val="clear" w:color="auto" w:fill="F4CBD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29B5"/>
    <w:rPr>
      <w:caps/>
      <w:color w:val="51111A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29B5"/>
    <w:rPr>
      <w:caps/>
      <w:color w:val="791928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29B5"/>
    <w:rPr>
      <w:caps/>
      <w:color w:val="791928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29B5"/>
    <w:rPr>
      <w:caps/>
      <w:color w:val="791928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29B5"/>
    <w:rPr>
      <w:caps/>
      <w:color w:val="791928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29B5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29B5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529B5"/>
    <w:rPr>
      <w:b/>
      <w:bCs/>
      <w:color w:val="791928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29B5"/>
    <w:pPr>
      <w:spacing w:before="720"/>
    </w:pPr>
    <w:rPr>
      <w:caps/>
      <w:color w:val="A32236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529B5"/>
    <w:rPr>
      <w:caps/>
      <w:color w:val="A32236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29B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29B5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3529B5"/>
    <w:rPr>
      <w:b/>
      <w:bCs/>
    </w:rPr>
  </w:style>
  <w:style w:type="character" w:styleId="Enfasicorsivo">
    <w:name w:val="Emphasis"/>
    <w:uiPriority w:val="20"/>
    <w:qFormat/>
    <w:rsid w:val="003529B5"/>
    <w:rPr>
      <w:caps/>
      <w:color w:val="51111A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3529B5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529B5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529B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529B5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29B5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29B5"/>
    <w:pPr>
      <w:pBdr>
        <w:top w:val="single" w:sz="4" w:space="10" w:color="A32236" w:themeColor="accent1"/>
        <w:left w:val="single" w:sz="4" w:space="10" w:color="A32236" w:themeColor="accent1"/>
      </w:pBdr>
      <w:spacing w:after="0"/>
      <w:ind w:left="1296" w:right="1152"/>
      <w:jc w:val="both"/>
    </w:pPr>
    <w:rPr>
      <w:i/>
      <w:iCs/>
      <w:color w:val="A32236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29B5"/>
    <w:rPr>
      <w:i/>
      <w:iCs/>
      <w:color w:val="A32236" w:themeColor="accent1"/>
      <w:sz w:val="20"/>
      <w:szCs w:val="20"/>
    </w:rPr>
  </w:style>
  <w:style w:type="character" w:styleId="Enfasidelicata">
    <w:name w:val="Subtle Emphasis"/>
    <w:uiPriority w:val="19"/>
    <w:qFormat/>
    <w:rsid w:val="003529B5"/>
    <w:rPr>
      <w:i/>
      <w:iCs/>
      <w:color w:val="51111A" w:themeColor="accent1" w:themeShade="7F"/>
    </w:rPr>
  </w:style>
  <w:style w:type="character" w:styleId="Enfasiintensa">
    <w:name w:val="Intense Emphasis"/>
    <w:uiPriority w:val="21"/>
    <w:qFormat/>
    <w:rsid w:val="003529B5"/>
    <w:rPr>
      <w:b/>
      <w:bCs/>
      <w:caps/>
      <w:color w:val="51111A" w:themeColor="accent1" w:themeShade="7F"/>
      <w:spacing w:val="10"/>
    </w:rPr>
  </w:style>
  <w:style w:type="character" w:styleId="Riferimentodelicato">
    <w:name w:val="Subtle Reference"/>
    <w:uiPriority w:val="31"/>
    <w:qFormat/>
    <w:rsid w:val="003529B5"/>
    <w:rPr>
      <w:b/>
      <w:bCs/>
      <w:color w:val="A32236" w:themeColor="accent1"/>
    </w:rPr>
  </w:style>
  <w:style w:type="character" w:styleId="Riferimentointenso">
    <w:name w:val="Intense Reference"/>
    <w:uiPriority w:val="32"/>
    <w:qFormat/>
    <w:rsid w:val="003529B5"/>
    <w:rPr>
      <w:b/>
      <w:bCs/>
      <w:i/>
      <w:iCs/>
      <w:caps/>
      <w:color w:val="A32236" w:themeColor="accent1"/>
    </w:rPr>
  </w:style>
  <w:style w:type="character" w:styleId="Titolodellibro">
    <w:name w:val="Book Title"/>
    <w:uiPriority w:val="33"/>
    <w:qFormat/>
    <w:rsid w:val="003529B5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529B5"/>
    <w:pPr>
      <w:outlineLvl w:val="9"/>
    </w:pPr>
  </w:style>
  <w:style w:type="paragraph" w:styleId="NormaleWeb">
    <w:name w:val="Normal (Web)"/>
    <w:basedOn w:val="Normale"/>
    <w:unhideWhenUsed/>
    <w:rsid w:val="00FC77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CA185C"/>
    <w:pPr>
      <w:spacing w:before="0" w:after="0" w:line="240" w:lineRule="auto"/>
    </w:pPr>
    <w:rPr>
      <w:rFonts w:ascii="Helvetica" w:hAnsi="Helvetica" w:cs="Times New Roman"/>
      <w:color w:val="585757"/>
      <w:sz w:val="14"/>
      <w:szCs w:val="1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AA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5837"/>
    <w:rPr>
      <w:color w:val="0563C1" w:themeColor="hyperlink"/>
      <w:u w:val="single"/>
    </w:rPr>
  </w:style>
  <w:style w:type="character" w:customStyle="1" w:styleId="s2">
    <w:name w:val="s2"/>
    <w:basedOn w:val="Carpredefinitoparagrafo"/>
    <w:rsid w:val="00665837"/>
    <w:rPr>
      <w:rFonts w:ascii="Neo Sans Std" w:hAnsi="Neo Sans Std" w:hint="default"/>
      <w:color w:val="B10832"/>
      <w:sz w:val="14"/>
      <w:szCs w:val="14"/>
    </w:rPr>
  </w:style>
  <w:style w:type="paragraph" w:customStyle="1" w:styleId="Default">
    <w:name w:val="Default"/>
    <w:rsid w:val="00232E97"/>
    <w:pPr>
      <w:autoSpaceDE w:val="0"/>
      <w:autoSpaceDN w:val="0"/>
      <w:adjustRightInd w:val="0"/>
      <w:spacing w:before="0" w:after="0" w:line="240" w:lineRule="auto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Corpodeltesto31">
    <w:name w:val="Corpo del testo 31"/>
    <w:basedOn w:val="Normale"/>
    <w:rsid w:val="0092773B"/>
    <w:pPr>
      <w:suppressAutoHyphens/>
      <w:spacing w:before="0" w:after="0" w:line="240" w:lineRule="auto"/>
    </w:pPr>
    <w:rPr>
      <w:rFonts w:ascii="Tahoma" w:eastAsia="Times New Roman" w:hAnsi="Tahoma" w:cs="Calibri"/>
      <w:sz w:val="22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7072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72F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72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72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72F0"/>
    <w:rPr>
      <w:b/>
      <w:bCs/>
      <w:sz w:val="20"/>
      <w:szCs w:val="20"/>
    </w:rPr>
  </w:style>
  <w:style w:type="paragraph" w:customStyle="1" w:styleId="Paragrafobase">
    <w:name w:val="[Paragrafo base]"/>
    <w:basedOn w:val="Normale"/>
    <w:uiPriority w:val="99"/>
    <w:rsid w:val="00252D5B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Corpodeltesto3">
    <w:name w:val="Body Text 3"/>
    <w:link w:val="Corpodeltesto3Carattere"/>
    <w:uiPriority w:val="99"/>
    <w:unhideWhenUsed/>
    <w:rsid w:val="00252D5B"/>
    <w:pPr>
      <w:spacing w:before="0" w:after="180" w:line="300" w:lineRule="auto"/>
    </w:pPr>
    <w:rPr>
      <w:rFonts w:ascii="Gill Sans MT" w:eastAsia="Times New Roman" w:hAnsi="Gill Sans MT" w:cs="Times New Roman"/>
      <w:color w:val="000000"/>
      <w:kern w:val="28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D5B"/>
    <w:rPr>
      <w:rFonts w:ascii="Gill Sans MT" w:eastAsia="Times New Roman" w:hAnsi="Gill Sans MT" w:cs="Times New Roman"/>
      <w:color w:val="000000"/>
      <w:kern w:val="2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048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Gabetti ok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A32236"/>
      </a:accent1>
      <a:accent2>
        <a:srgbClr val="A4A4A4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2B3FF0-5ABE-4FDD-B547-98AC6B47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Gabetti</Company>
  <LinksUpToDate>false</LinksUpToDate>
  <CharactersWithSpaces>17141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Donegana</dc:creator>
  <cp:lastModifiedBy>paola</cp:lastModifiedBy>
  <cp:revision>5</cp:revision>
  <cp:lastPrinted>2020-09-10T10:53:00Z</cp:lastPrinted>
  <dcterms:created xsi:type="dcterms:W3CDTF">2020-12-22T16:46:00Z</dcterms:created>
  <dcterms:modified xsi:type="dcterms:W3CDTF">2020-12-28T09:34:00Z</dcterms:modified>
</cp:coreProperties>
</file>