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2BD" w:rsidRPr="00034E0B" w:rsidRDefault="009812BD" w:rsidP="007807D8">
      <w:pPr>
        <w:jc w:val="center"/>
        <w:rPr>
          <w:rFonts w:cs="Calibri"/>
          <w:b/>
          <w:bCs/>
          <w:iCs/>
          <w:sz w:val="40"/>
          <w:szCs w:val="40"/>
        </w:rPr>
      </w:pPr>
      <w:r w:rsidRPr="00034E0B">
        <w:rPr>
          <w:rFonts w:cs="Calibri"/>
          <w:b/>
          <w:bCs/>
          <w:iCs/>
          <w:sz w:val="40"/>
          <w:szCs w:val="40"/>
        </w:rPr>
        <w:t>Il Campus dell’Università Statale in MIND</w:t>
      </w:r>
      <w:r>
        <w:rPr>
          <w:rFonts w:cs="Calibri"/>
          <w:b/>
          <w:bCs/>
          <w:iCs/>
          <w:sz w:val="40"/>
          <w:szCs w:val="40"/>
        </w:rPr>
        <w:t>: il progetto</w:t>
      </w:r>
    </w:p>
    <w:p w:rsidR="009812BD" w:rsidRDefault="009812BD" w:rsidP="007807D8">
      <w:pPr>
        <w:rPr>
          <w:rFonts w:cs="Calibri"/>
          <w:b/>
          <w:bCs/>
          <w:i/>
          <w:iCs/>
          <w:sz w:val="28"/>
          <w:szCs w:val="28"/>
          <w:u w:val="single"/>
        </w:rPr>
      </w:pPr>
    </w:p>
    <w:p w:rsidR="009812BD" w:rsidRPr="00EF3507" w:rsidRDefault="009812BD" w:rsidP="007807D8">
      <w:pPr>
        <w:rPr>
          <w:rFonts w:cs="Calibri"/>
          <w:b/>
          <w:bCs/>
          <w:i/>
          <w:iCs/>
          <w:sz w:val="28"/>
          <w:szCs w:val="28"/>
          <w:u w:val="single"/>
        </w:rPr>
      </w:pPr>
      <w:r>
        <w:rPr>
          <w:rFonts w:cs="Calibri"/>
          <w:b/>
          <w:bCs/>
          <w:i/>
          <w:iCs/>
          <w:sz w:val="28"/>
          <w:szCs w:val="28"/>
          <w:u w:val="single"/>
        </w:rPr>
        <w:t>Il</w:t>
      </w:r>
      <w:r w:rsidRPr="00EF3507">
        <w:rPr>
          <w:rFonts w:cs="Calibri"/>
          <w:b/>
          <w:bCs/>
          <w:i/>
          <w:iCs/>
          <w:sz w:val="28"/>
          <w:szCs w:val="28"/>
          <w:u w:val="single"/>
        </w:rPr>
        <w:t xml:space="preserve"> p</w:t>
      </w:r>
      <w:r>
        <w:rPr>
          <w:rFonts w:cs="Calibri"/>
          <w:b/>
          <w:bCs/>
          <w:i/>
          <w:iCs/>
          <w:sz w:val="28"/>
          <w:szCs w:val="28"/>
          <w:u w:val="single"/>
        </w:rPr>
        <w:t>rogetto architettonico</w:t>
      </w:r>
    </w:p>
    <w:p w:rsidR="009812BD" w:rsidRPr="0039667D" w:rsidRDefault="00C934AB" w:rsidP="006A1267">
      <w:pPr>
        <w:pStyle w:val="xxxmsoheader"/>
        <w:jc w:val="both"/>
        <w:rPr>
          <w:sz w:val="28"/>
          <w:szCs w:val="28"/>
        </w:rPr>
      </w:pPr>
      <w:r>
        <w:rPr>
          <w:sz w:val="28"/>
          <w:szCs w:val="28"/>
        </w:rPr>
        <w:t>Il progetto del nuovo C</w:t>
      </w:r>
      <w:r w:rsidR="009812BD" w:rsidRPr="0039667D">
        <w:rPr>
          <w:sz w:val="28"/>
          <w:szCs w:val="28"/>
        </w:rPr>
        <w:t xml:space="preserve">ampus per le facoltà scientifiche dell’Università degli Studi di Milano, collocato all’interno di MIND-Milano </w:t>
      </w:r>
      <w:proofErr w:type="spellStart"/>
      <w:r w:rsidR="009812BD" w:rsidRPr="0039667D">
        <w:rPr>
          <w:sz w:val="28"/>
          <w:szCs w:val="28"/>
        </w:rPr>
        <w:t>Innovation</w:t>
      </w:r>
      <w:proofErr w:type="spellEnd"/>
      <w:r w:rsidR="009812BD" w:rsidRPr="0039667D">
        <w:rPr>
          <w:sz w:val="28"/>
          <w:szCs w:val="28"/>
        </w:rPr>
        <w:t xml:space="preserve"> </w:t>
      </w:r>
      <w:proofErr w:type="spellStart"/>
      <w:r w:rsidR="009812BD" w:rsidRPr="0039667D">
        <w:rPr>
          <w:sz w:val="28"/>
          <w:szCs w:val="28"/>
        </w:rPr>
        <w:t>District</w:t>
      </w:r>
      <w:proofErr w:type="spellEnd"/>
      <w:r w:rsidR="009812BD" w:rsidRPr="0039667D">
        <w:rPr>
          <w:sz w:val="28"/>
          <w:szCs w:val="28"/>
        </w:rPr>
        <w:t xml:space="preserve">, nell’ex area di Expo 2015, è stato realizzato dall’RTP composta da: Progetto Architettonico: </w:t>
      </w:r>
      <w:proofErr w:type="spellStart"/>
      <w:r w:rsidR="009812BD" w:rsidRPr="0039667D">
        <w:rPr>
          <w:sz w:val="28"/>
          <w:szCs w:val="28"/>
        </w:rPr>
        <w:t>Starching</w:t>
      </w:r>
      <w:proofErr w:type="spellEnd"/>
      <w:r w:rsidR="009812BD" w:rsidRPr="0039667D">
        <w:rPr>
          <w:sz w:val="28"/>
          <w:szCs w:val="28"/>
        </w:rPr>
        <w:t xml:space="preserve"> S.r.l., Progetto Impiantistico: </w:t>
      </w:r>
      <w:proofErr w:type="spellStart"/>
      <w:r w:rsidR="009812BD" w:rsidRPr="0039667D">
        <w:rPr>
          <w:sz w:val="28"/>
          <w:szCs w:val="28"/>
        </w:rPr>
        <w:t>Manens-Tifs</w:t>
      </w:r>
      <w:proofErr w:type="spellEnd"/>
      <w:r w:rsidR="009812BD" w:rsidRPr="0039667D">
        <w:rPr>
          <w:sz w:val="28"/>
          <w:szCs w:val="28"/>
        </w:rPr>
        <w:t xml:space="preserve"> S.p.A., Progetto Strutturale: </w:t>
      </w:r>
      <w:proofErr w:type="spellStart"/>
      <w:r w:rsidR="009812BD" w:rsidRPr="0039667D">
        <w:rPr>
          <w:sz w:val="28"/>
          <w:szCs w:val="28"/>
        </w:rPr>
        <w:t>Redesco</w:t>
      </w:r>
      <w:proofErr w:type="spellEnd"/>
      <w:r w:rsidR="009812BD" w:rsidRPr="0039667D">
        <w:rPr>
          <w:sz w:val="28"/>
          <w:szCs w:val="28"/>
        </w:rPr>
        <w:t xml:space="preserve"> Progetti S.r.l, Space Planning: EPTA - Emilio Pizzi Team </w:t>
      </w:r>
      <w:proofErr w:type="spellStart"/>
      <w:r w:rsidR="009812BD" w:rsidRPr="0039667D">
        <w:rPr>
          <w:sz w:val="28"/>
          <w:szCs w:val="28"/>
        </w:rPr>
        <w:t>Architects</w:t>
      </w:r>
      <w:proofErr w:type="spellEnd"/>
      <w:r w:rsidR="009812BD" w:rsidRPr="0039667D">
        <w:rPr>
          <w:sz w:val="28"/>
          <w:szCs w:val="28"/>
        </w:rPr>
        <w:t xml:space="preserve"> S.r.l., Relazione geologica: Dott. </w:t>
      </w:r>
      <w:proofErr w:type="spellStart"/>
      <w:r w:rsidR="009812BD" w:rsidRPr="0039667D">
        <w:rPr>
          <w:sz w:val="28"/>
          <w:szCs w:val="28"/>
        </w:rPr>
        <w:t>Geol</w:t>
      </w:r>
      <w:proofErr w:type="spellEnd"/>
      <w:r w:rsidR="009812BD" w:rsidRPr="0039667D">
        <w:rPr>
          <w:sz w:val="28"/>
          <w:szCs w:val="28"/>
        </w:rPr>
        <w:t xml:space="preserve">. Pietro Simone, in collaborazione con lo </w:t>
      </w:r>
      <w:r w:rsidR="009812BD" w:rsidRPr="00EF3507">
        <w:rPr>
          <w:b/>
          <w:sz w:val="28"/>
          <w:szCs w:val="28"/>
        </w:rPr>
        <w:t xml:space="preserve">studio internazionale di architettura e innovazione CRA-Carlo Ratti Associati che si è occupato di definire il </w:t>
      </w:r>
      <w:proofErr w:type="spellStart"/>
      <w:r w:rsidR="009812BD" w:rsidRPr="00EF3507">
        <w:rPr>
          <w:b/>
          <w:sz w:val="28"/>
          <w:szCs w:val="28"/>
        </w:rPr>
        <w:t>concept</w:t>
      </w:r>
      <w:proofErr w:type="spellEnd"/>
      <w:r w:rsidR="009812BD" w:rsidRPr="00EF3507">
        <w:rPr>
          <w:b/>
          <w:sz w:val="28"/>
          <w:szCs w:val="28"/>
        </w:rPr>
        <w:t xml:space="preserve"> architettonico complessivo</w:t>
      </w:r>
      <w:r w:rsidR="009812BD" w:rsidRPr="0039667D">
        <w:rPr>
          <w:sz w:val="28"/>
          <w:szCs w:val="28"/>
        </w:rPr>
        <w:t xml:space="preserve">, e il </w:t>
      </w:r>
      <w:r w:rsidR="009812BD" w:rsidRPr="00EF3507">
        <w:rPr>
          <w:b/>
          <w:sz w:val="28"/>
          <w:szCs w:val="28"/>
        </w:rPr>
        <w:t xml:space="preserve">gruppo immobiliare </w:t>
      </w:r>
      <w:proofErr w:type="spellStart"/>
      <w:r w:rsidR="009812BD" w:rsidRPr="00EF3507">
        <w:rPr>
          <w:b/>
          <w:sz w:val="28"/>
          <w:szCs w:val="28"/>
        </w:rPr>
        <w:t>Lendlease</w:t>
      </w:r>
      <w:proofErr w:type="spellEnd"/>
      <w:r w:rsidR="009812BD" w:rsidRPr="0039667D">
        <w:rPr>
          <w:sz w:val="28"/>
          <w:szCs w:val="28"/>
        </w:rPr>
        <w:t xml:space="preserve">. Lo Studio CRA è altresì l’autore del Progetto di Fattibilità posto a base di Gara della Proposta di iniziativa privata ex art. 183 comma 15 del </w:t>
      </w:r>
      <w:proofErr w:type="spellStart"/>
      <w:proofErr w:type="gramStart"/>
      <w:r w:rsidR="009812BD" w:rsidRPr="0039667D">
        <w:rPr>
          <w:sz w:val="28"/>
          <w:szCs w:val="28"/>
        </w:rPr>
        <w:t>D.Lgs</w:t>
      </w:r>
      <w:proofErr w:type="gramEnd"/>
      <w:r w:rsidR="009812BD" w:rsidRPr="0039667D">
        <w:rPr>
          <w:sz w:val="28"/>
          <w:szCs w:val="28"/>
        </w:rPr>
        <w:t>.</w:t>
      </w:r>
      <w:proofErr w:type="spellEnd"/>
      <w:r w:rsidR="009812BD" w:rsidRPr="0039667D">
        <w:rPr>
          <w:sz w:val="28"/>
          <w:szCs w:val="28"/>
        </w:rPr>
        <w:t xml:space="preserve"> 50/2016 e </w:t>
      </w:r>
      <w:proofErr w:type="spellStart"/>
      <w:r w:rsidR="009812BD" w:rsidRPr="0039667D">
        <w:rPr>
          <w:sz w:val="28"/>
          <w:szCs w:val="28"/>
        </w:rPr>
        <w:t>s.m.i.</w:t>
      </w:r>
      <w:proofErr w:type="spellEnd"/>
    </w:p>
    <w:p w:rsidR="009812BD" w:rsidRPr="0039667D" w:rsidRDefault="009812BD" w:rsidP="006A1267">
      <w:pPr>
        <w:pStyle w:val="xxxmsonormal"/>
        <w:spacing w:line="276" w:lineRule="auto"/>
        <w:jc w:val="both"/>
        <w:rPr>
          <w:sz w:val="28"/>
          <w:szCs w:val="28"/>
        </w:rPr>
      </w:pPr>
      <w:r w:rsidRPr="0039667D">
        <w:rPr>
          <w:sz w:val="28"/>
          <w:szCs w:val="28"/>
        </w:rPr>
        <w:t xml:space="preserve">Il </w:t>
      </w:r>
      <w:proofErr w:type="spellStart"/>
      <w:r w:rsidRPr="00EF3507">
        <w:rPr>
          <w:b/>
          <w:sz w:val="28"/>
          <w:szCs w:val="28"/>
        </w:rPr>
        <w:t>concept</w:t>
      </w:r>
      <w:proofErr w:type="spellEnd"/>
      <w:r w:rsidRPr="00EF3507">
        <w:rPr>
          <w:b/>
          <w:sz w:val="28"/>
          <w:szCs w:val="28"/>
        </w:rPr>
        <w:t xml:space="preserve"> architettonico firmato da CRA</w:t>
      </w:r>
      <w:r w:rsidR="00C934AB" w:rsidRPr="00C934AB">
        <w:rPr>
          <w:b/>
          <w:sz w:val="28"/>
          <w:szCs w:val="28"/>
        </w:rPr>
        <w:t xml:space="preserve"> </w:t>
      </w:r>
      <w:r w:rsidR="00C934AB" w:rsidRPr="00EF3507">
        <w:rPr>
          <w:b/>
          <w:sz w:val="28"/>
          <w:szCs w:val="28"/>
        </w:rPr>
        <w:t>CRA-Carlo Ratti Associati</w:t>
      </w:r>
      <w:r w:rsidRPr="0039667D">
        <w:rPr>
          <w:sz w:val="28"/>
          <w:szCs w:val="28"/>
        </w:rPr>
        <w:t xml:space="preserve"> reinterpreta la tradizionale disposizione a corti delle università italiane ed europee, immaginando un “</w:t>
      </w:r>
      <w:r w:rsidRPr="00EF3507">
        <w:rPr>
          <w:b/>
          <w:sz w:val="28"/>
          <w:szCs w:val="28"/>
        </w:rPr>
        <w:t xml:space="preserve">Campus 2.0” come luogo aperto, di sperimentazione e contaminazione dei </w:t>
      </w:r>
      <w:proofErr w:type="spellStart"/>
      <w:r w:rsidRPr="00EF3507">
        <w:rPr>
          <w:b/>
          <w:sz w:val="28"/>
          <w:szCs w:val="28"/>
        </w:rPr>
        <w:t>saperi</w:t>
      </w:r>
      <w:proofErr w:type="spellEnd"/>
      <w:r w:rsidRPr="00EF3507">
        <w:rPr>
          <w:b/>
          <w:sz w:val="28"/>
          <w:szCs w:val="28"/>
        </w:rPr>
        <w:t xml:space="preserve"> scientifici</w:t>
      </w:r>
      <w:r w:rsidRPr="0039667D">
        <w:rPr>
          <w:sz w:val="28"/>
          <w:szCs w:val="28"/>
        </w:rPr>
        <w:t xml:space="preserve">. Il nuovo polo si estende su un </w:t>
      </w:r>
      <w:r w:rsidRPr="00C934AB">
        <w:rPr>
          <w:b/>
          <w:sz w:val="28"/>
          <w:szCs w:val="28"/>
        </w:rPr>
        <w:t>totale di oltre 190.000 metri quadri</w:t>
      </w:r>
      <w:r w:rsidRPr="0039667D">
        <w:rPr>
          <w:sz w:val="28"/>
          <w:szCs w:val="28"/>
        </w:rPr>
        <w:t xml:space="preserve"> (più della superficie dei Giardini Pubblici di Porta Venezia a Milano) e ospiterà una comunità di oltre 23 mila persone. Dopo mesi in cui, a seguito della pandemia, la vita di molti studenti, professori e ricercatori si è dovuta trasferire in una dimensione esclusivamente digitale, il progetto ribadisce la centralità dell’università stessa come spazio fisico per incontri, dialoghi e scambi.</w:t>
      </w:r>
    </w:p>
    <w:p w:rsidR="009812BD" w:rsidRPr="0039667D" w:rsidRDefault="009812BD" w:rsidP="006A1267">
      <w:pPr>
        <w:pStyle w:val="xxxmsonormal"/>
        <w:spacing w:line="276" w:lineRule="auto"/>
        <w:jc w:val="both"/>
        <w:rPr>
          <w:sz w:val="28"/>
          <w:szCs w:val="28"/>
        </w:rPr>
      </w:pPr>
      <w:r w:rsidRPr="0039667D">
        <w:rPr>
          <w:color w:val="000000"/>
          <w:sz w:val="28"/>
          <w:szCs w:val="28"/>
        </w:rPr>
        <w:t xml:space="preserve">Il </w:t>
      </w:r>
      <w:r w:rsidR="00C934AB">
        <w:rPr>
          <w:color w:val="000000"/>
          <w:sz w:val="28"/>
          <w:szCs w:val="28"/>
        </w:rPr>
        <w:t>Campus</w:t>
      </w:r>
      <w:r w:rsidRPr="0039667D">
        <w:rPr>
          <w:color w:val="000000"/>
          <w:sz w:val="28"/>
          <w:szCs w:val="28"/>
        </w:rPr>
        <w:t xml:space="preserve"> </w:t>
      </w:r>
      <w:r w:rsidRPr="00EF3507">
        <w:rPr>
          <w:b/>
          <w:color w:val="000000"/>
          <w:sz w:val="28"/>
          <w:szCs w:val="28"/>
        </w:rPr>
        <w:t>si sviluppa intorno a cinque corti</w:t>
      </w:r>
      <w:r w:rsidRPr="0039667D">
        <w:rPr>
          <w:color w:val="000000"/>
          <w:sz w:val="28"/>
          <w:szCs w:val="28"/>
        </w:rPr>
        <w:t xml:space="preserve"> circondate da altrettanti edifici in mattoni: entrambe le specifiche sono </w:t>
      </w:r>
      <w:r w:rsidRPr="00EF3507">
        <w:rPr>
          <w:b/>
          <w:color w:val="000000"/>
          <w:sz w:val="28"/>
          <w:szCs w:val="28"/>
        </w:rPr>
        <w:t>un tributo</w:t>
      </w:r>
      <w:r w:rsidRPr="0039667D">
        <w:rPr>
          <w:color w:val="000000"/>
          <w:sz w:val="28"/>
          <w:szCs w:val="28"/>
        </w:rPr>
        <w:t xml:space="preserve"> alla tradizione architettonica milanese e in modo specifico </w:t>
      </w:r>
      <w:r w:rsidRPr="00EF3507">
        <w:rPr>
          <w:b/>
          <w:color w:val="000000"/>
          <w:sz w:val="28"/>
          <w:szCs w:val="28"/>
        </w:rPr>
        <w:t xml:space="preserve">alla Ca’ </w:t>
      </w:r>
      <w:proofErr w:type="spellStart"/>
      <w:r w:rsidRPr="00EF3507">
        <w:rPr>
          <w:b/>
          <w:color w:val="000000"/>
          <w:sz w:val="28"/>
          <w:szCs w:val="28"/>
        </w:rPr>
        <w:t>Granda</w:t>
      </w:r>
      <w:proofErr w:type="spellEnd"/>
      <w:r w:rsidRPr="0039667D">
        <w:rPr>
          <w:color w:val="000000"/>
          <w:sz w:val="28"/>
          <w:szCs w:val="28"/>
        </w:rPr>
        <w:t xml:space="preserve">, </w:t>
      </w:r>
      <w:r>
        <w:rPr>
          <w:color w:val="000000"/>
          <w:sz w:val="28"/>
          <w:szCs w:val="28"/>
        </w:rPr>
        <w:t xml:space="preserve">la antica e prestigiosa </w:t>
      </w:r>
      <w:r w:rsidRPr="0039667D">
        <w:rPr>
          <w:color w:val="000000"/>
          <w:sz w:val="28"/>
          <w:szCs w:val="28"/>
        </w:rPr>
        <w:t xml:space="preserve">sede </w:t>
      </w:r>
      <w:r>
        <w:rPr>
          <w:color w:val="000000"/>
          <w:sz w:val="28"/>
          <w:szCs w:val="28"/>
        </w:rPr>
        <w:t xml:space="preserve">centrale </w:t>
      </w:r>
      <w:r w:rsidRPr="0039667D">
        <w:rPr>
          <w:color w:val="000000"/>
          <w:sz w:val="28"/>
          <w:szCs w:val="28"/>
        </w:rPr>
        <w:t>dell’Università Statale</w:t>
      </w:r>
      <w:r w:rsidR="00C934AB">
        <w:rPr>
          <w:color w:val="000000"/>
          <w:sz w:val="28"/>
          <w:szCs w:val="28"/>
        </w:rPr>
        <w:t>,</w:t>
      </w:r>
      <w:r w:rsidRPr="0039667D">
        <w:rPr>
          <w:color w:val="000000"/>
          <w:sz w:val="28"/>
          <w:szCs w:val="28"/>
        </w:rPr>
        <w:t xml:space="preserve"> a </w:t>
      </w:r>
      <w:r>
        <w:rPr>
          <w:color w:val="000000"/>
          <w:sz w:val="28"/>
          <w:szCs w:val="28"/>
        </w:rPr>
        <w:t xml:space="preserve">pochi passi dal Duomo di Milano. </w:t>
      </w:r>
      <w:r w:rsidRPr="0039667D">
        <w:rPr>
          <w:color w:val="000000"/>
          <w:sz w:val="28"/>
          <w:szCs w:val="28"/>
        </w:rPr>
        <w:t xml:space="preserve">Il progetto sperimenta un </w:t>
      </w:r>
      <w:r w:rsidRPr="00EF3507">
        <w:rPr>
          <w:b/>
          <w:color w:val="000000"/>
          <w:sz w:val="28"/>
          <w:szCs w:val="28"/>
        </w:rPr>
        <w:t>uso innovativo delle tecniche costruttive</w:t>
      </w:r>
      <w:r w:rsidRPr="0039667D">
        <w:rPr>
          <w:color w:val="000000"/>
          <w:sz w:val="28"/>
          <w:szCs w:val="28"/>
        </w:rPr>
        <w:t>. I mattoni in facciata sono disposti secondo un ordine complesso, frutto del design parametrico, andando a formare una serie di arazzi tridimensionali per riprodurre scritte o immagini. I mattoni, intesi come “pixel fisici”, sono potenzialmente riconfigurabili, secondo una tecnica che consente anche l’utilizzo di robot in fase compositiva.</w:t>
      </w:r>
    </w:p>
    <w:p w:rsidR="009812BD" w:rsidRPr="0039667D" w:rsidRDefault="009812BD" w:rsidP="006A1267">
      <w:pPr>
        <w:pStyle w:val="xxxmsonormal"/>
        <w:spacing w:line="276" w:lineRule="auto"/>
        <w:jc w:val="both"/>
        <w:rPr>
          <w:sz w:val="28"/>
          <w:szCs w:val="28"/>
        </w:rPr>
      </w:pPr>
      <w:r w:rsidRPr="00EF3507">
        <w:rPr>
          <w:b/>
          <w:color w:val="000000"/>
          <w:sz w:val="28"/>
          <w:szCs w:val="28"/>
        </w:rPr>
        <w:t>Generosi sono gli spazi verdi</w:t>
      </w:r>
      <w:r w:rsidRPr="0039667D">
        <w:rPr>
          <w:color w:val="000000"/>
          <w:sz w:val="28"/>
          <w:szCs w:val="28"/>
        </w:rPr>
        <w:t xml:space="preserve">, che dominano tutti gli ambienti all’aria aperta, dalle corti ognuna dedicata a un diverso tipo di vegetazione fino alla </w:t>
      </w:r>
      <w:r w:rsidRPr="00EF3507">
        <w:rPr>
          <w:b/>
          <w:color w:val="000000"/>
          <w:sz w:val="28"/>
          <w:szCs w:val="28"/>
        </w:rPr>
        <w:t xml:space="preserve">grande piazza </w:t>
      </w:r>
      <w:r w:rsidRPr="00EF3507">
        <w:rPr>
          <w:b/>
          <w:color w:val="000000"/>
          <w:sz w:val="28"/>
          <w:szCs w:val="28"/>
        </w:rPr>
        <w:lastRenderedPageBreak/>
        <w:t>centrale, estesa su quasi 10.000 metri quadri</w:t>
      </w:r>
      <w:r w:rsidRPr="0039667D">
        <w:rPr>
          <w:color w:val="000000"/>
          <w:sz w:val="28"/>
          <w:szCs w:val="28"/>
        </w:rPr>
        <w:t xml:space="preserve"> e direttamente affacciata sul cardo dell’ex area Expo. Il verde si declina anche su una sequenza di </w:t>
      </w:r>
      <w:r w:rsidRPr="00EF3507">
        <w:rPr>
          <w:b/>
          <w:color w:val="000000"/>
          <w:sz w:val="28"/>
          <w:szCs w:val="28"/>
        </w:rPr>
        <w:t>terrazze attrezzate e giardini ipogei, ribassati rispetto al livello degli edifici.</w:t>
      </w:r>
      <w:r w:rsidRPr="0039667D">
        <w:rPr>
          <w:color w:val="000000"/>
          <w:sz w:val="28"/>
          <w:szCs w:val="28"/>
        </w:rPr>
        <w:t xml:space="preserve"> Sulla piazza centrale si trovano anche una serie di padiglioni commerciali e un </w:t>
      </w:r>
      <w:r w:rsidRPr="00EF3507">
        <w:rPr>
          <w:b/>
          <w:color w:val="000000"/>
          <w:sz w:val="28"/>
          <w:szCs w:val="28"/>
        </w:rPr>
        <w:t>grande specchio d’acqua</w:t>
      </w:r>
      <w:r w:rsidRPr="0039667D">
        <w:rPr>
          <w:color w:val="000000"/>
          <w:sz w:val="28"/>
          <w:szCs w:val="28"/>
        </w:rPr>
        <w:t xml:space="preserve">, in grado di essere svuotato per consentire lo svolgimento di eventi temporanei. </w:t>
      </w:r>
    </w:p>
    <w:p w:rsidR="009812BD" w:rsidRPr="0039667D" w:rsidRDefault="009812BD" w:rsidP="006A1267">
      <w:pPr>
        <w:pStyle w:val="xxxmsonormal"/>
        <w:spacing w:line="276" w:lineRule="auto"/>
        <w:jc w:val="both"/>
        <w:rPr>
          <w:sz w:val="28"/>
          <w:szCs w:val="28"/>
        </w:rPr>
      </w:pPr>
      <w:r w:rsidRPr="0039667D">
        <w:rPr>
          <w:color w:val="000000"/>
          <w:sz w:val="28"/>
          <w:szCs w:val="28"/>
        </w:rPr>
        <w:t xml:space="preserve">Il progetto promuove un approccio di dialogo tra le diverse discipline accademiche, secondo </w:t>
      </w:r>
      <w:r w:rsidRPr="00EF3507">
        <w:rPr>
          <w:b/>
          <w:color w:val="000000"/>
          <w:sz w:val="28"/>
          <w:szCs w:val="28"/>
        </w:rPr>
        <w:t>il metodo del “</w:t>
      </w:r>
      <w:proofErr w:type="spellStart"/>
      <w:r w:rsidRPr="00EF3507">
        <w:rPr>
          <w:b/>
          <w:color w:val="000000"/>
          <w:sz w:val="28"/>
          <w:szCs w:val="28"/>
        </w:rPr>
        <w:t>learning</w:t>
      </w:r>
      <w:proofErr w:type="spellEnd"/>
      <w:r w:rsidRPr="00EF3507">
        <w:rPr>
          <w:b/>
          <w:color w:val="000000"/>
          <w:sz w:val="28"/>
          <w:szCs w:val="28"/>
        </w:rPr>
        <w:t xml:space="preserve"> by </w:t>
      </w:r>
      <w:proofErr w:type="spellStart"/>
      <w:r w:rsidRPr="00EF3507">
        <w:rPr>
          <w:b/>
          <w:color w:val="000000"/>
          <w:sz w:val="28"/>
          <w:szCs w:val="28"/>
        </w:rPr>
        <w:t>doing</w:t>
      </w:r>
      <w:proofErr w:type="spellEnd"/>
      <w:r w:rsidRPr="00EF3507">
        <w:rPr>
          <w:b/>
          <w:color w:val="000000"/>
          <w:sz w:val="28"/>
          <w:szCs w:val="28"/>
        </w:rPr>
        <w:t>”,</w:t>
      </w:r>
      <w:r w:rsidRPr="0039667D">
        <w:rPr>
          <w:color w:val="000000"/>
          <w:sz w:val="28"/>
          <w:szCs w:val="28"/>
        </w:rPr>
        <w:t xml:space="preserve"> ovvero apprendere facendo. Le aule si trovano al piano terra e al primo piano, mentre i piani superiori sono dedicati agli ambienti amministrativi</w:t>
      </w:r>
      <w:r w:rsidRPr="0039667D">
        <w:rPr>
          <w:sz w:val="28"/>
          <w:szCs w:val="28"/>
        </w:rPr>
        <w:t xml:space="preserve">. </w:t>
      </w:r>
      <w:r w:rsidRPr="0039667D">
        <w:rPr>
          <w:color w:val="000000"/>
          <w:sz w:val="28"/>
          <w:szCs w:val="28"/>
        </w:rPr>
        <w:t xml:space="preserve">L’atteggiamento di apertura è incarnato dal </w:t>
      </w:r>
      <w:r w:rsidRPr="00EF3507">
        <w:rPr>
          <w:b/>
          <w:color w:val="000000"/>
          <w:sz w:val="28"/>
          <w:szCs w:val="28"/>
        </w:rPr>
        <w:t>principio urbanistico del “Common Ground”</w:t>
      </w:r>
      <w:r w:rsidRPr="0039667D">
        <w:rPr>
          <w:color w:val="000000"/>
          <w:sz w:val="28"/>
          <w:szCs w:val="28"/>
        </w:rPr>
        <w:t xml:space="preserve">, ovvero </w:t>
      </w:r>
      <w:r w:rsidRPr="00EF3507">
        <w:rPr>
          <w:b/>
          <w:color w:val="000000"/>
          <w:sz w:val="28"/>
          <w:szCs w:val="28"/>
        </w:rPr>
        <w:t>uno spazio pubblico ininterrotto che si snoda attraverso tutto il quartiere, tramite passerelle, chiostri e corti</w:t>
      </w:r>
      <w:r w:rsidRPr="0039667D">
        <w:rPr>
          <w:color w:val="000000"/>
          <w:sz w:val="28"/>
          <w:szCs w:val="28"/>
        </w:rPr>
        <w:t>. Gli edifici sono resi trasparenti al piano terra oppure rialzati per consentire il passaggio pedonale continuo. Il “Common Ground” penetra anche nelle stesse architetture, le quali sono connesse da un unico percorso pedonale interno della lunghezza di 700 metri.</w:t>
      </w:r>
    </w:p>
    <w:p w:rsidR="009812BD" w:rsidRPr="0039667D" w:rsidRDefault="009812BD" w:rsidP="006A1267">
      <w:pPr>
        <w:pStyle w:val="xxxmsonormal"/>
        <w:spacing w:line="276" w:lineRule="auto"/>
        <w:jc w:val="both"/>
        <w:rPr>
          <w:sz w:val="28"/>
          <w:szCs w:val="28"/>
        </w:rPr>
      </w:pPr>
      <w:r w:rsidRPr="0039667D">
        <w:rPr>
          <w:color w:val="000000"/>
          <w:sz w:val="28"/>
          <w:szCs w:val="28"/>
        </w:rPr>
        <w:t xml:space="preserve">Il </w:t>
      </w:r>
      <w:r w:rsidRPr="00EF3507">
        <w:rPr>
          <w:b/>
          <w:color w:val="000000"/>
          <w:sz w:val="28"/>
          <w:szCs w:val="28"/>
        </w:rPr>
        <w:t>nuovo polo universitario si trova nel cuore del quartiere MIND</w:t>
      </w:r>
      <w:r w:rsidRPr="0039667D">
        <w:rPr>
          <w:color w:val="000000"/>
          <w:sz w:val="28"/>
          <w:szCs w:val="28"/>
        </w:rPr>
        <w:t xml:space="preserve">: e proprio in un luogo simbolico per l’ex area Expo come </w:t>
      </w:r>
      <w:r w:rsidRPr="00EF3507">
        <w:rPr>
          <w:b/>
          <w:color w:val="000000"/>
          <w:sz w:val="28"/>
          <w:szCs w:val="28"/>
        </w:rPr>
        <w:t>l’incrocio tra cardo e decumano</w:t>
      </w:r>
      <w:r w:rsidRPr="0039667D">
        <w:rPr>
          <w:color w:val="000000"/>
          <w:sz w:val="28"/>
          <w:szCs w:val="28"/>
        </w:rPr>
        <w:t xml:space="preserve"> si colloca il </w:t>
      </w:r>
      <w:r w:rsidRPr="00EF3507">
        <w:rPr>
          <w:b/>
          <w:color w:val="000000"/>
          <w:sz w:val="28"/>
          <w:szCs w:val="28"/>
        </w:rPr>
        <w:t>Learning Center</w:t>
      </w:r>
      <w:r w:rsidRPr="0039667D">
        <w:rPr>
          <w:color w:val="000000"/>
          <w:sz w:val="28"/>
          <w:szCs w:val="28"/>
        </w:rPr>
        <w:t xml:space="preserve">, biblioteca accessibile al pubblico che agisce come porta di accesso al </w:t>
      </w:r>
      <w:r w:rsidR="00C934AB">
        <w:rPr>
          <w:color w:val="000000"/>
          <w:sz w:val="28"/>
          <w:szCs w:val="28"/>
        </w:rPr>
        <w:t>Campus</w:t>
      </w:r>
      <w:r w:rsidRPr="0039667D">
        <w:rPr>
          <w:color w:val="000000"/>
          <w:sz w:val="28"/>
          <w:szCs w:val="28"/>
        </w:rPr>
        <w:t xml:space="preserve"> per tutta la popolazione dell’area metropolitana milanese. </w:t>
      </w:r>
    </w:p>
    <w:p w:rsidR="009812BD" w:rsidRPr="00EF3507" w:rsidRDefault="009812BD" w:rsidP="006A1267">
      <w:pPr>
        <w:pStyle w:val="xxxmsonormal"/>
        <w:spacing w:line="276" w:lineRule="auto"/>
        <w:jc w:val="both"/>
        <w:rPr>
          <w:sz w:val="28"/>
          <w:szCs w:val="28"/>
        </w:rPr>
      </w:pPr>
      <w:r w:rsidRPr="0039667D">
        <w:rPr>
          <w:color w:val="000000"/>
          <w:sz w:val="28"/>
          <w:szCs w:val="28"/>
        </w:rPr>
        <w:t>Il principio del Common Ground si ritrova anche nel più ampio contesto del disegno</w:t>
      </w:r>
      <w:r w:rsidRPr="0039667D">
        <w:rPr>
          <w:sz w:val="28"/>
          <w:szCs w:val="28"/>
        </w:rPr>
        <w:t xml:space="preserve"> </w:t>
      </w:r>
      <w:r w:rsidRPr="0039667D">
        <w:rPr>
          <w:color w:val="000000"/>
          <w:sz w:val="28"/>
          <w:szCs w:val="28"/>
        </w:rPr>
        <w:t xml:space="preserve">urbano di MIND, il cui </w:t>
      </w:r>
      <w:proofErr w:type="spellStart"/>
      <w:r w:rsidRPr="0039667D">
        <w:rPr>
          <w:color w:val="000000"/>
          <w:sz w:val="28"/>
          <w:szCs w:val="28"/>
        </w:rPr>
        <w:t>masterplan</w:t>
      </w:r>
      <w:proofErr w:type="spellEnd"/>
      <w:r w:rsidRPr="0039667D">
        <w:rPr>
          <w:color w:val="000000"/>
          <w:sz w:val="28"/>
          <w:szCs w:val="28"/>
        </w:rPr>
        <w:t xml:space="preserve"> è stato realizzato nel 2017 sempre dallo studio CRA-Carlo Ratti Associati per conto di </w:t>
      </w:r>
      <w:proofErr w:type="spellStart"/>
      <w:r w:rsidRPr="0039667D">
        <w:rPr>
          <w:color w:val="000000"/>
          <w:sz w:val="28"/>
          <w:szCs w:val="28"/>
        </w:rPr>
        <w:t>Lendlease</w:t>
      </w:r>
      <w:proofErr w:type="spellEnd"/>
      <w:r w:rsidRPr="0039667D">
        <w:rPr>
          <w:color w:val="000000"/>
          <w:sz w:val="28"/>
          <w:szCs w:val="28"/>
        </w:rPr>
        <w:t xml:space="preserve">. </w:t>
      </w:r>
      <w:r w:rsidRPr="00EF3507">
        <w:rPr>
          <w:b/>
          <w:color w:val="000000"/>
          <w:sz w:val="28"/>
          <w:szCs w:val="28"/>
        </w:rPr>
        <w:t>Questa</w:t>
      </w:r>
      <w:r w:rsidRPr="0039667D">
        <w:rPr>
          <w:color w:val="000000"/>
          <w:sz w:val="28"/>
          <w:szCs w:val="28"/>
        </w:rPr>
        <w:t xml:space="preserve"> </w:t>
      </w:r>
      <w:r w:rsidRPr="00EF3507">
        <w:rPr>
          <w:b/>
          <w:color w:val="000000"/>
          <w:sz w:val="28"/>
          <w:szCs w:val="28"/>
        </w:rPr>
        <w:t>continuità fisica tra l’università e il quartiere circostante punta a incoraggiare gli scambi tra il mondo accademico e le imprese e i centri di ricerca e sviluppo operativi all’interno di MIND.</w:t>
      </w:r>
      <w:r w:rsidRPr="0039667D">
        <w:rPr>
          <w:color w:val="000000"/>
          <w:sz w:val="28"/>
          <w:szCs w:val="28"/>
        </w:rPr>
        <w:t xml:space="preserve"> La vocazione all’innovazione tecnologica di quest’ultimo distretto è concepita per portare valore aggiunto alla nuova collocazione delle facoltà scientifiche.</w:t>
      </w:r>
    </w:p>
    <w:p w:rsidR="009812BD" w:rsidRPr="0039667D" w:rsidRDefault="009812BD" w:rsidP="006A1267">
      <w:pPr>
        <w:jc w:val="both"/>
        <w:rPr>
          <w:rFonts w:cs="Calibri"/>
          <w:b/>
          <w:bCs/>
          <w:i/>
          <w:iCs/>
          <w:sz w:val="28"/>
          <w:szCs w:val="28"/>
          <w:u w:val="single"/>
        </w:rPr>
      </w:pPr>
      <w:r w:rsidRPr="0039667D">
        <w:rPr>
          <w:rFonts w:cs="Calibri"/>
          <w:b/>
          <w:bCs/>
          <w:i/>
          <w:iCs/>
          <w:sz w:val="28"/>
          <w:szCs w:val="28"/>
          <w:u w:val="single"/>
        </w:rPr>
        <w:t>La sostenibilità</w:t>
      </w:r>
    </w:p>
    <w:p w:rsidR="009812BD" w:rsidRPr="00EF3507" w:rsidRDefault="009812BD" w:rsidP="006A1267">
      <w:pPr>
        <w:pStyle w:val="xxxmsonormal"/>
        <w:spacing w:line="276" w:lineRule="auto"/>
        <w:jc w:val="both"/>
        <w:rPr>
          <w:b/>
          <w:color w:val="000000"/>
          <w:sz w:val="28"/>
          <w:szCs w:val="28"/>
        </w:rPr>
      </w:pPr>
      <w:r w:rsidRPr="0039667D">
        <w:rPr>
          <w:color w:val="000000"/>
          <w:sz w:val="28"/>
          <w:szCs w:val="28"/>
        </w:rPr>
        <w:t xml:space="preserve">Il progetto risponde ai requisiti di sostenibilità posti dal bando di gara per la realizzazione del nuovo </w:t>
      </w:r>
      <w:r w:rsidR="00C934AB">
        <w:rPr>
          <w:color w:val="000000"/>
          <w:sz w:val="28"/>
          <w:szCs w:val="28"/>
        </w:rPr>
        <w:t>Campus</w:t>
      </w:r>
      <w:r w:rsidRPr="0039667D">
        <w:rPr>
          <w:color w:val="000000"/>
          <w:sz w:val="28"/>
          <w:szCs w:val="28"/>
        </w:rPr>
        <w:t xml:space="preserve"> dell’Università di Milano. Nel pensare alla realizzazione di spazi di formazione delle generazioni future non si è infatti potuto prescindere dal considerare </w:t>
      </w:r>
      <w:r w:rsidRPr="00EF3507">
        <w:rPr>
          <w:b/>
          <w:color w:val="000000"/>
          <w:sz w:val="28"/>
          <w:szCs w:val="28"/>
        </w:rPr>
        <w:t>le priorità delle stesse quali la sostenibilità e il cambiamento climatico</w:t>
      </w:r>
      <w:r w:rsidRPr="0039667D">
        <w:rPr>
          <w:color w:val="000000"/>
          <w:sz w:val="28"/>
          <w:szCs w:val="28"/>
        </w:rPr>
        <w:t xml:space="preserve">. Questo polo è stato progettato per essere misurato, da un </w:t>
      </w:r>
      <w:r w:rsidRPr="0039667D">
        <w:rPr>
          <w:color w:val="000000"/>
          <w:sz w:val="28"/>
          <w:szCs w:val="28"/>
        </w:rPr>
        <w:lastRenderedPageBreak/>
        <w:t xml:space="preserve">punto di vista prestazionale, con la </w:t>
      </w:r>
      <w:r w:rsidRPr="00EF3507">
        <w:rPr>
          <w:b/>
          <w:color w:val="000000"/>
          <w:sz w:val="28"/>
          <w:szCs w:val="28"/>
        </w:rPr>
        <w:t>certificazione energetico-ambientale</w:t>
      </w:r>
      <w:r w:rsidRPr="0039667D">
        <w:rPr>
          <w:color w:val="000000"/>
          <w:sz w:val="28"/>
          <w:szCs w:val="28"/>
        </w:rPr>
        <w:t xml:space="preserve"> </w:t>
      </w:r>
      <w:r w:rsidRPr="00EF3507">
        <w:rPr>
          <w:b/>
          <w:color w:val="000000"/>
          <w:sz w:val="28"/>
          <w:szCs w:val="28"/>
        </w:rPr>
        <w:t>internazionale di terza parte LEED che sarà come minimo di livello Gold</w:t>
      </w:r>
      <w:r w:rsidRPr="0039667D">
        <w:rPr>
          <w:color w:val="000000"/>
          <w:sz w:val="28"/>
          <w:szCs w:val="28"/>
        </w:rPr>
        <w:t xml:space="preserve">. Il LEED sarà utilizzato anche per il monitoraggio prestazionale in uso.  I benefici che ne derivano dalle sinergie con lo sviluppo MIND sono molteplici a partire </w:t>
      </w:r>
      <w:r w:rsidRPr="00EF3507">
        <w:rPr>
          <w:b/>
          <w:color w:val="000000"/>
          <w:sz w:val="28"/>
          <w:szCs w:val="28"/>
        </w:rPr>
        <w:t xml:space="preserve">dall’accesso ad una rete energetica al 100% di </w:t>
      </w:r>
      <w:proofErr w:type="spellStart"/>
      <w:r w:rsidRPr="00EF3507">
        <w:rPr>
          <w:b/>
          <w:color w:val="000000"/>
          <w:sz w:val="28"/>
          <w:szCs w:val="28"/>
        </w:rPr>
        <w:t>decarbonizzata</w:t>
      </w:r>
      <w:proofErr w:type="spellEnd"/>
      <w:r w:rsidRPr="0039667D">
        <w:rPr>
          <w:color w:val="000000"/>
          <w:sz w:val="28"/>
          <w:szCs w:val="28"/>
        </w:rPr>
        <w:t xml:space="preserve">, ad una progettazione resiliente, </w:t>
      </w:r>
      <w:r w:rsidRPr="00EF3507">
        <w:rPr>
          <w:b/>
          <w:color w:val="000000"/>
          <w:sz w:val="28"/>
          <w:szCs w:val="28"/>
        </w:rPr>
        <w:t xml:space="preserve">all’accesso ad una </w:t>
      </w:r>
      <w:r w:rsidRPr="00EF3507">
        <w:rPr>
          <w:b/>
          <w:i/>
          <w:color w:val="000000"/>
          <w:sz w:val="28"/>
          <w:szCs w:val="28"/>
        </w:rPr>
        <w:t xml:space="preserve">nature </w:t>
      </w:r>
      <w:proofErr w:type="spellStart"/>
      <w:r w:rsidRPr="00EF3507">
        <w:rPr>
          <w:b/>
          <w:i/>
          <w:color w:val="000000"/>
          <w:sz w:val="28"/>
          <w:szCs w:val="28"/>
        </w:rPr>
        <w:t>based</w:t>
      </w:r>
      <w:proofErr w:type="spellEnd"/>
      <w:r w:rsidRPr="00EF3507">
        <w:rPr>
          <w:b/>
          <w:i/>
          <w:color w:val="000000"/>
          <w:sz w:val="28"/>
          <w:szCs w:val="28"/>
        </w:rPr>
        <w:t xml:space="preserve"> </w:t>
      </w:r>
      <w:proofErr w:type="spellStart"/>
      <w:r w:rsidRPr="00EF3507">
        <w:rPr>
          <w:b/>
          <w:i/>
          <w:color w:val="000000"/>
          <w:sz w:val="28"/>
          <w:szCs w:val="28"/>
        </w:rPr>
        <w:t>infrastructure</w:t>
      </w:r>
      <w:proofErr w:type="spellEnd"/>
      <w:r w:rsidRPr="0039667D">
        <w:rPr>
          <w:color w:val="000000"/>
          <w:sz w:val="28"/>
          <w:szCs w:val="28"/>
        </w:rPr>
        <w:t xml:space="preserve"> e </w:t>
      </w:r>
      <w:r w:rsidRPr="00EF3507">
        <w:rPr>
          <w:b/>
          <w:color w:val="000000"/>
          <w:sz w:val="28"/>
          <w:szCs w:val="28"/>
        </w:rPr>
        <w:t>alla partecipazione al progetto di innovazione sociale Programma 2121.</w:t>
      </w:r>
    </w:p>
    <w:p w:rsidR="009812BD" w:rsidRPr="0039667D" w:rsidRDefault="009812BD" w:rsidP="006A1267">
      <w:pPr>
        <w:jc w:val="both"/>
        <w:rPr>
          <w:rFonts w:cs="Calibri"/>
          <w:b/>
          <w:bCs/>
          <w:i/>
          <w:iCs/>
          <w:sz w:val="28"/>
          <w:szCs w:val="28"/>
          <w:u w:val="single"/>
        </w:rPr>
      </w:pPr>
      <w:r w:rsidRPr="0039667D">
        <w:rPr>
          <w:rFonts w:cs="Calibri"/>
          <w:b/>
          <w:bCs/>
          <w:i/>
          <w:iCs/>
          <w:sz w:val="28"/>
          <w:szCs w:val="28"/>
          <w:u w:val="single"/>
        </w:rPr>
        <w:t>Il piano economico finanziario</w:t>
      </w:r>
    </w:p>
    <w:p w:rsidR="009812BD" w:rsidRPr="0039667D" w:rsidRDefault="009812BD" w:rsidP="006A1267">
      <w:pPr>
        <w:pStyle w:val="xxxmsonormal"/>
        <w:spacing w:line="276" w:lineRule="auto"/>
        <w:jc w:val="both"/>
        <w:rPr>
          <w:color w:val="000000"/>
          <w:sz w:val="28"/>
          <w:szCs w:val="28"/>
        </w:rPr>
      </w:pPr>
      <w:r w:rsidRPr="0039667D">
        <w:rPr>
          <w:color w:val="000000"/>
          <w:sz w:val="28"/>
          <w:szCs w:val="28"/>
        </w:rPr>
        <w:t xml:space="preserve">Il Raggruppamento Temporaneo di Imprese (di seguito “RTI”) guidato da </w:t>
      </w:r>
      <w:proofErr w:type="spellStart"/>
      <w:r w:rsidRPr="0039667D">
        <w:rPr>
          <w:color w:val="000000"/>
          <w:sz w:val="28"/>
          <w:szCs w:val="28"/>
        </w:rPr>
        <w:t>Lendlease</w:t>
      </w:r>
      <w:proofErr w:type="spellEnd"/>
      <w:r w:rsidRPr="0039667D">
        <w:rPr>
          <w:color w:val="000000"/>
          <w:sz w:val="28"/>
          <w:szCs w:val="28"/>
        </w:rPr>
        <w:t xml:space="preserve"> </w:t>
      </w:r>
      <w:proofErr w:type="spellStart"/>
      <w:r w:rsidRPr="0039667D">
        <w:rPr>
          <w:color w:val="000000"/>
          <w:sz w:val="28"/>
          <w:szCs w:val="28"/>
        </w:rPr>
        <w:t>Infrastructure</w:t>
      </w:r>
      <w:proofErr w:type="spellEnd"/>
      <w:r w:rsidRPr="0039667D">
        <w:rPr>
          <w:color w:val="000000"/>
          <w:sz w:val="28"/>
          <w:szCs w:val="28"/>
        </w:rPr>
        <w:t xml:space="preserve"> (</w:t>
      </w:r>
      <w:proofErr w:type="spellStart"/>
      <w:r w:rsidRPr="0039667D">
        <w:rPr>
          <w:color w:val="000000"/>
          <w:sz w:val="28"/>
          <w:szCs w:val="28"/>
        </w:rPr>
        <w:t>Italy</w:t>
      </w:r>
      <w:proofErr w:type="spellEnd"/>
      <w:r w:rsidRPr="0039667D">
        <w:rPr>
          <w:color w:val="000000"/>
          <w:sz w:val="28"/>
          <w:szCs w:val="28"/>
        </w:rPr>
        <w:t xml:space="preserve">) S.r.l. è risultato aggiudicatario della procedura di </w:t>
      </w:r>
      <w:r w:rsidRPr="00EF3507">
        <w:rPr>
          <w:b/>
          <w:color w:val="000000"/>
          <w:sz w:val="28"/>
          <w:szCs w:val="28"/>
        </w:rPr>
        <w:t>gara indetta dall’Università degli Studi di Milano ai sensi dell'articolo 183 del D.lgs. n. 50/2016 e con Bando pubblicato in data 29/07/2019, avente ad oggetto l’affidamento di un Contratto di Concessione per la progettazione, realizzazione e gestione della nuova sede del Campus universitario nell’area denominata MIND (ex Expo Milano 2015).</w:t>
      </w:r>
      <w:r w:rsidRPr="0039667D">
        <w:rPr>
          <w:color w:val="000000"/>
          <w:sz w:val="28"/>
          <w:szCs w:val="28"/>
        </w:rPr>
        <w:t xml:space="preserve"> Oltre alla mandataria </w:t>
      </w:r>
      <w:proofErr w:type="spellStart"/>
      <w:r w:rsidRPr="0039667D">
        <w:rPr>
          <w:color w:val="000000"/>
          <w:sz w:val="28"/>
          <w:szCs w:val="28"/>
        </w:rPr>
        <w:t>Lendlease</w:t>
      </w:r>
      <w:proofErr w:type="spellEnd"/>
      <w:r w:rsidRPr="0039667D">
        <w:rPr>
          <w:color w:val="000000"/>
          <w:sz w:val="28"/>
          <w:szCs w:val="28"/>
        </w:rPr>
        <w:t xml:space="preserve">, il raggruppamento vincente risulta composto dalle società Colombo Costruzioni S.p.A., C.M.B. Società Cooperativa Muratori e Braccianti di Carpi e </w:t>
      </w:r>
      <w:proofErr w:type="spellStart"/>
      <w:r w:rsidRPr="0039667D">
        <w:rPr>
          <w:color w:val="000000"/>
          <w:sz w:val="28"/>
          <w:szCs w:val="28"/>
        </w:rPr>
        <w:t>CoopService</w:t>
      </w:r>
      <w:proofErr w:type="spellEnd"/>
      <w:r w:rsidRPr="0039667D">
        <w:rPr>
          <w:color w:val="000000"/>
          <w:sz w:val="28"/>
          <w:szCs w:val="28"/>
        </w:rPr>
        <w:t xml:space="preserve"> </w:t>
      </w:r>
      <w:proofErr w:type="spellStart"/>
      <w:r w:rsidRPr="0039667D">
        <w:rPr>
          <w:color w:val="000000"/>
          <w:sz w:val="28"/>
          <w:szCs w:val="28"/>
        </w:rPr>
        <w:t>soc</w:t>
      </w:r>
      <w:proofErr w:type="spellEnd"/>
      <w:r w:rsidRPr="0039667D">
        <w:rPr>
          <w:color w:val="000000"/>
          <w:sz w:val="28"/>
          <w:szCs w:val="28"/>
        </w:rPr>
        <w:t>. coop. p.a.</w:t>
      </w:r>
    </w:p>
    <w:p w:rsidR="009812BD" w:rsidRPr="00EF3507" w:rsidRDefault="009812BD" w:rsidP="006A1267">
      <w:pPr>
        <w:pStyle w:val="xxxmsonormal"/>
        <w:spacing w:line="276" w:lineRule="auto"/>
        <w:jc w:val="both"/>
        <w:rPr>
          <w:b/>
          <w:color w:val="000000"/>
          <w:sz w:val="28"/>
          <w:szCs w:val="28"/>
        </w:rPr>
      </w:pPr>
      <w:r w:rsidRPr="0039667D">
        <w:rPr>
          <w:color w:val="000000"/>
          <w:sz w:val="28"/>
          <w:szCs w:val="28"/>
        </w:rPr>
        <w:t xml:space="preserve">Il Contratto di </w:t>
      </w:r>
      <w:r w:rsidRPr="00EF3507">
        <w:rPr>
          <w:b/>
          <w:color w:val="000000"/>
          <w:sz w:val="28"/>
          <w:szCs w:val="28"/>
        </w:rPr>
        <w:t xml:space="preserve">Concessione </w:t>
      </w:r>
      <w:r w:rsidRPr="0039667D">
        <w:rPr>
          <w:color w:val="000000"/>
          <w:sz w:val="28"/>
          <w:szCs w:val="28"/>
        </w:rPr>
        <w:t xml:space="preserve">verrà sottoscritto a valle dell’approvazione del Progetto Definitivo, e avrà una </w:t>
      </w:r>
      <w:r w:rsidRPr="00EF3507">
        <w:rPr>
          <w:b/>
          <w:color w:val="000000"/>
          <w:sz w:val="28"/>
          <w:szCs w:val="28"/>
        </w:rPr>
        <w:t>durata complessiva pari a circa 31 anni</w:t>
      </w:r>
      <w:r w:rsidRPr="0039667D">
        <w:rPr>
          <w:color w:val="000000"/>
          <w:sz w:val="28"/>
          <w:szCs w:val="28"/>
        </w:rPr>
        <w:t xml:space="preserve">, di cui al massimo 4 anni per la progettazione esecutiva e realizzazione dei lavori e circa 27 anni per la successiva gestione delle opere. </w:t>
      </w:r>
      <w:r w:rsidRPr="00EF3507">
        <w:rPr>
          <w:color w:val="000000"/>
          <w:sz w:val="28"/>
          <w:szCs w:val="28"/>
        </w:rPr>
        <w:t xml:space="preserve"> Su una previsione di </w:t>
      </w:r>
      <w:r w:rsidRPr="00EF3507">
        <w:rPr>
          <w:b/>
          <w:color w:val="000000"/>
          <w:sz w:val="28"/>
          <w:szCs w:val="28"/>
        </w:rPr>
        <w:t>spesa complessiva</w:t>
      </w:r>
      <w:r w:rsidRPr="00EF3507">
        <w:rPr>
          <w:color w:val="000000"/>
          <w:sz w:val="28"/>
          <w:szCs w:val="28"/>
        </w:rPr>
        <w:t xml:space="preserve"> che si attesta </w:t>
      </w:r>
      <w:r w:rsidRPr="00EF3507">
        <w:rPr>
          <w:b/>
          <w:color w:val="000000"/>
          <w:sz w:val="28"/>
          <w:szCs w:val="28"/>
        </w:rPr>
        <w:t>attorno ai 338 milioni euro</w:t>
      </w:r>
      <w:r w:rsidRPr="00EF3507">
        <w:rPr>
          <w:color w:val="000000"/>
          <w:sz w:val="28"/>
          <w:szCs w:val="28"/>
        </w:rPr>
        <w:t xml:space="preserve">, il </w:t>
      </w:r>
      <w:r w:rsidRPr="00EF3507">
        <w:rPr>
          <w:b/>
          <w:color w:val="000000"/>
          <w:sz w:val="28"/>
          <w:szCs w:val="28"/>
        </w:rPr>
        <w:t>contributo pubblico sarà di circa 158 milioni</w:t>
      </w:r>
      <w:r w:rsidRPr="00EF3507">
        <w:rPr>
          <w:color w:val="000000"/>
          <w:sz w:val="28"/>
          <w:szCs w:val="28"/>
        </w:rPr>
        <w:t xml:space="preserve"> di euro, </w:t>
      </w:r>
      <w:r w:rsidRPr="00EF3507">
        <w:rPr>
          <w:b/>
          <w:color w:val="000000"/>
          <w:sz w:val="28"/>
          <w:szCs w:val="28"/>
        </w:rPr>
        <w:t>di cui 135 milioni di finanziamento pubblico stanziato per la valorizzazione dell'area Expo 2015 nell’ambito del “Patto per la Lombardia” e 23 milioni coperti con fondi del bilancio dell’Ateneo</w:t>
      </w:r>
      <w:r w:rsidRPr="00EF3507">
        <w:rPr>
          <w:color w:val="000000"/>
          <w:sz w:val="28"/>
          <w:szCs w:val="28"/>
        </w:rPr>
        <w:t xml:space="preserve">. Il </w:t>
      </w:r>
      <w:r w:rsidRPr="00EF3507">
        <w:rPr>
          <w:b/>
          <w:color w:val="000000"/>
          <w:sz w:val="28"/>
          <w:szCs w:val="28"/>
        </w:rPr>
        <w:t>Concessionario privato cofinanzierà</w:t>
      </w:r>
      <w:r w:rsidRPr="00EF3507">
        <w:rPr>
          <w:color w:val="000000"/>
          <w:sz w:val="28"/>
          <w:szCs w:val="28"/>
        </w:rPr>
        <w:t xml:space="preserve"> la realizzazione delle opere </w:t>
      </w:r>
      <w:r w:rsidRPr="00EF3507">
        <w:rPr>
          <w:b/>
          <w:color w:val="000000"/>
          <w:sz w:val="28"/>
          <w:szCs w:val="28"/>
        </w:rPr>
        <w:t>per circa 180 milioni di euro</w:t>
      </w:r>
      <w:r w:rsidRPr="00EF3507">
        <w:rPr>
          <w:color w:val="000000"/>
          <w:sz w:val="28"/>
          <w:szCs w:val="28"/>
        </w:rPr>
        <w:t xml:space="preserve">, a fronte della corresponsione da parte dell'Ateneo di un </w:t>
      </w:r>
      <w:r w:rsidRPr="00EF3507">
        <w:rPr>
          <w:b/>
          <w:color w:val="000000"/>
          <w:sz w:val="28"/>
          <w:szCs w:val="28"/>
        </w:rPr>
        <w:t xml:space="preserve">canone annuo di disponibilità, erogato in fase di gestione, di circa 8 milioni di euro e di un canone annuo per i servizi di </w:t>
      </w:r>
      <w:proofErr w:type="spellStart"/>
      <w:r w:rsidRPr="00EF3507">
        <w:rPr>
          <w:b/>
          <w:color w:val="000000"/>
          <w:sz w:val="28"/>
          <w:szCs w:val="28"/>
        </w:rPr>
        <w:t>facility</w:t>
      </w:r>
      <w:proofErr w:type="spellEnd"/>
      <w:r w:rsidRPr="00EF3507">
        <w:rPr>
          <w:b/>
          <w:color w:val="000000"/>
          <w:sz w:val="28"/>
          <w:szCs w:val="28"/>
        </w:rPr>
        <w:t xml:space="preserve"> management per circa 10 milioni di euro.</w:t>
      </w:r>
    </w:p>
    <w:p w:rsidR="009812BD" w:rsidRPr="0039667D" w:rsidRDefault="009812BD" w:rsidP="006A1267">
      <w:pPr>
        <w:pStyle w:val="xxxmsonormal"/>
        <w:spacing w:line="276" w:lineRule="auto"/>
        <w:jc w:val="both"/>
        <w:rPr>
          <w:color w:val="000000"/>
          <w:sz w:val="28"/>
          <w:szCs w:val="28"/>
        </w:rPr>
      </w:pPr>
      <w:bookmarkStart w:id="0" w:name="_GoBack"/>
      <w:bookmarkEnd w:id="0"/>
    </w:p>
    <w:p w:rsidR="009812BD" w:rsidRPr="0039667D" w:rsidRDefault="009812BD" w:rsidP="006A1267">
      <w:pPr>
        <w:pStyle w:val="Testofumetto"/>
        <w:spacing w:line="256" w:lineRule="auto"/>
        <w:jc w:val="both"/>
        <w:rPr>
          <w:rFonts w:ascii="Calibri" w:hAnsi="Calibri" w:cs="Calibri"/>
          <w:color w:val="000000"/>
          <w:sz w:val="28"/>
          <w:szCs w:val="28"/>
        </w:rPr>
      </w:pPr>
    </w:p>
    <w:p w:rsidR="009812BD" w:rsidRDefault="009812BD" w:rsidP="004660F3"/>
    <w:sectPr w:rsidR="009812BD" w:rsidSect="00D65FF4">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2BD" w:rsidRDefault="009812BD" w:rsidP="004660F3">
      <w:r>
        <w:separator/>
      </w:r>
    </w:p>
  </w:endnote>
  <w:endnote w:type="continuationSeparator" w:id="0">
    <w:p w:rsidR="009812BD" w:rsidRDefault="009812BD" w:rsidP="0046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2BD" w:rsidRDefault="009812BD" w:rsidP="004660F3">
      <w:r>
        <w:separator/>
      </w:r>
    </w:p>
  </w:footnote>
  <w:footnote w:type="continuationSeparator" w:id="0">
    <w:p w:rsidR="009812BD" w:rsidRDefault="009812BD" w:rsidP="00466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2BD" w:rsidRDefault="00C934AB">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2049" type="#_x0000_t75" style="position:absolute;margin-left:-39.1pt;margin-top:-13.3pt;width:558.7pt;height:56.3pt;z-index:-251658752;visibility:visible" wrapcoords="-29 0 -29 21312 21600 21312 21600 0 -29 0">
          <v:imagedata r:id="rId1" o:title=""/>
          <w10:wrap type="tight"/>
        </v:shape>
      </w:pict>
    </w:r>
    <w:r w:rsidR="009812BD">
      <w:rPr>
        <w:noProof/>
      </w:rPr>
      <w:object w:dxaOrig="9618" w:dyaOrig="287">
        <v:shape id="_x0000_i1025" type="#_x0000_t75" alt="" style="width:480.75pt;height:15pt">
          <v:imagedata r:id="rId2" o:title=""/>
        </v:shape>
        <o:OLEObject Type="Embed" ProgID="Word.Document.12" ShapeID="_x0000_i1025" DrawAspect="Content" ObjectID="_1669143445" r:id="rId3">
          <o:FieldCodes>\s</o:FieldCodes>
        </o:OLEObject>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221"/>
    <w:rsid w:val="00034E0B"/>
    <w:rsid w:val="00131778"/>
    <w:rsid w:val="001C3EC9"/>
    <w:rsid w:val="00237E8F"/>
    <w:rsid w:val="002F1F2C"/>
    <w:rsid w:val="0039667D"/>
    <w:rsid w:val="00463A2A"/>
    <w:rsid w:val="004660F3"/>
    <w:rsid w:val="006A1267"/>
    <w:rsid w:val="0072007A"/>
    <w:rsid w:val="00745221"/>
    <w:rsid w:val="007807D8"/>
    <w:rsid w:val="00821B9F"/>
    <w:rsid w:val="009812BD"/>
    <w:rsid w:val="009F4A94"/>
    <w:rsid w:val="00A14372"/>
    <w:rsid w:val="00AE47D3"/>
    <w:rsid w:val="00C76B28"/>
    <w:rsid w:val="00C934AB"/>
    <w:rsid w:val="00CD6E79"/>
    <w:rsid w:val="00D55E6A"/>
    <w:rsid w:val="00D65FF4"/>
    <w:rsid w:val="00EF3507"/>
    <w:rsid w:val="00FB77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CF56C47"/>
  <w15:docId w15:val="{EBADA62B-7693-4239-AFC4-B1561FF2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1778"/>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660F3"/>
    <w:pPr>
      <w:tabs>
        <w:tab w:val="center" w:pos="4819"/>
        <w:tab w:val="right" w:pos="9638"/>
      </w:tabs>
    </w:pPr>
  </w:style>
  <w:style w:type="character" w:customStyle="1" w:styleId="IntestazioneCarattere">
    <w:name w:val="Intestazione Carattere"/>
    <w:basedOn w:val="Carpredefinitoparagrafo"/>
    <w:link w:val="Intestazione"/>
    <w:uiPriority w:val="99"/>
    <w:locked/>
    <w:rsid w:val="004660F3"/>
    <w:rPr>
      <w:rFonts w:cs="Times New Roman"/>
    </w:rPr>
  </w:style>
  <w:style w:type="paragraph" w:styleId="Pidipagina">
    <w:name w:val="footer"/>
    <w:basedOn w:val="Normale"/>
    <w:link w:val="PidipaginaCarattere"/>
    <w:uiPriority w:val="99"/>
    <w:rsid w:val="004660F3"/>
    <w:pPr>
      <w:tabs>
        <w:tab w:val="center" w:pos="4819"/>
        <w:tab w:val="right" w:pos="9638"/>
      </w:tabs>
    </w:pPr>
  </w:style>
  <w:style w:type="character" w:customStyle="1" w:styleId="PidipaginaCarattere">
    <w:name w:val="Piè di pagina Carattere"/>
    <w:basedOn w:val="Carpredefinitoparagrafo"/>
    <w:link w:val="Pidipagina"/>
    <w:uiPriority w:val="99"/>
    <w:locked/>
    <w:rsid w:val="004660F3"/>
    <w:rPr>
      <w:rFonts w:cs="Times New Roman"/>
    </w:rPr>
  </w:style>
  <w:style w:type="paragraph" w:styleId="Testofumetto">
    <w:name w:val="Balloon Text"/>
    <w:basedOn w:val="Normale"/>
    <w:link w:val="TestofumettoCarattere"/>
    <w:uiPriority w:val="99"/>
    <w:rsid w:val="007807D8"/>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locked/>
    <w:rsid w:val="007807D8"/>
    <w:rPr>
      <w:rFonts w:ascii="Tahoma" w:hAnsi="Tahoma" w:cs="Tahoma"/>
      <w:sz w:val="16"/>
      <w:szCs w:val="16"/>
      <w:lang w:eastAsia="it-IT"/>
    </w:rPr>
  </w:style>
  <w:style w:type="paragraph" w:customStyle="1" w:styleId="xxxmsonormal">
    <w:name w:val="xxxmsonormal"/>
    <w:basedOn w:val="Normale"/>
    <w:uiPriority w:val="99"/>
    <w:rsid w:val="007807D8"/>
    <w:pPr>
      <w:spacing w:before="100" w:beforeAutospacing="1" w:after="100" w:afterAutospacing="1"/>
    </w:pPr>
    <w:rPr>
      <w:rFonts w:cs="Calibri"/>
      <w:sz w:val="22"/>
      <w:szCs w:val="22"/>
      <w:lang w:eastAsia="it-IT"/>
    </w:rPr>
  </w:style>
  <w:style w:type="paragraph" w:customStyle="1" w:styleId="xxxmsoheader">
    <w:name w:val="xxxmsoheader"/>
    <w:basedOn w:val="Normale"/>
    <w:uiPriority w:val="99"/>
    <w:rsid w:val="007807D8"/>
    <w:pPr>
      <w:spacing w:before="100" w:beforeAutospacing="1" w:after="100" w:afterAutospacing="1"/>
    </w:pPr>
    <w:rPr>
      <w:rFonts w:cs="Calibri"/>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724352">
      <w:marLeft w:val="0"/>
      <w:marRight w:val="0"/>
      <w:marTop w:val="0"/>
      <w:marBottom w:val="0"/>
      <w:divBdr>
        <w:top w:val="none" w:sz="0" w:space="0" w:color="auto"/>
        <w:left w:val="none" w:sz="0" w:space="0" w:color="auto"/>
        <w:bottom w:val="none" w:sz="0" w:space="0" w:color="auto"/>
        <w:right w:val="none" w:sz="0" w:space="0" w:color="auto"/>
      </w:divBdr>
      <w:divsChild>
        <w:div w:id="1315724347">
          <w:marLeft w:val="0"/>
          <w:marRight w:val="720"/>
          <w:marTop w:val="100"/>
          <w:marBottom w:val="100"/>
          <w:divBdr>
            <w:top w:val="none" w:sz="0" w:space="0" w:color="auto"/>
            <w:left w:val="single" w:sz="6" w:space="10" w:color="0000FF"/>
            <w:bottom w:val="none" w:sz="0" w:space="0" w:color="auto"/>
            <w:right w:val="none" w:sz="0" w:space="0" w:color="auto"/>
          </w:divBdr>
          <w:divsChild>
            <w:div w:id="1315724361">
              <w:marLeft w:val="0"/>
              <w:marRight w:val="0"/>
              <w:marTop w:val="0"/>
              <w:marBottom w:val="0"/>
              <w:divBdr>
                <w:top w:val="none" w:sz="0" w:space="0" w:color="auto"/>
                <w:left w:val="none" w:sz="0" w:space="0" w:color="auto"/>
                <w:bottom w:val="none" w:sz="0" w:space="0" w:color="auto"/>
                <w:right w:val="none" w:sz="0" w:space="0" w:color="auto"/>
              </w:divBdr>
              <w:divsChild>
                <w:div w:id="1315724345">
                  <w:marLeft w:val="0"/>
                  <w:marRight w:val="0"/>
                  <w:marTop w:val="0"/>
                  <w:marBottom w:val="0"/>
                  <w:divBdr>
                    <w:top w:val="none" w:sz="0" w:space="0" w:color="auto"/>
                    <w:left w:val="none" w:sz="0" w:space="0" w:color="auto"/>
                    <w:bottom w:val="none" w:sz="0" w:space="0" w:color="auto"/>
                    <w:right w:val="none" w:sz="0" w:space="0" w:color="auto"/>
                  </w:divBdr>
                </w:div>
                <w:div w:id="1315724354">
                  <w:marLeft w:val="0"/>
                  <w:marRight w:val="0"/>
                  <w:marTop w:val="0"/>
                  <w:marBottom w:val="0"/>
                  <w:divBdr>
                    <w:top w:val="none" w:sz="0" w:space="0" w:color="auto"/>
                    <w:left w:val="none" w:sz="0" w:space="0" w:color="auto"/>
                    <w:bottom w:val="none" w:sz="0" w:space="0" w:color="auto"/>
                    <w:right w:val="none" w:sz="0" w:space="0" w:color="auto"/>
                  </w:divBdr>
                  <w:divsChild>
                    <w:div w:id="1315724349">
                      <w:marLeft w:val="0"/>
                      <w:marRight w:val="0"/>
                      <w:marTop w:val="0"/>
                      <w:marBottom w:val="0"/>
                      <w:divBdr>
                        <w:top w:val="none" w:sz="0" w:space="0" w:color="auto"/>
                        <w:left w:val="none" w:sz="0" w:space="0" w:color="auto"/>
                        <w:bottom w:val="none" w:sz="0" w:space="0" w:color="auto"/>
                        <w:right w:val="none" w:sz="0" w:space="0" w:color="auto"/>
                      </w:divBdr>
                    </w:div>
                    <w:div w:id="1315724358">
                      <w:marLeft w:val="0"/>
                      <w:marRight w:val="0"/>
                      <w:marTop w:val="0"/>
                      <w:marBottom w:val="0"/>
                      <w:divBdr>
                        <w:top w:val="none" w:sz="0" w:space="0" w:color="auto"/>
                        <w:left w:val="none" w:sz="0" w:space="0" w:color="auto"/>
                        <w:bottom w:val="none" w:sz="0" w:space="0" w:color="auto"/>
                        <w:right w:val="none" w:sz="0" w:space="0" w:color="auto"/>
                      </w:divBdr>
                    </w:div>
                    <w:div w:id="1315724362">
                      <w:marLeft w:val="0"/>
                      <w:marRight w:val="0"/>
                      <w:marTop w:val="0"/>
                      <w:marBottom w:val="0"/>
                      <w:divBdr>
                        <w:top w:val="none" w:sz="0" w:space="0" w:color="auto"/>
                        <w:left w:val="none" w:sz="0" w:space="0" w:color="auto"/>
                        <w:bottom w:val="none" w:sz="0" w:space="0" w:color="auto"/>
                        <w:right w:val="none" w:sz="0" w:space="0" w:color="auto"/>
                      </w:divBdr>
                      <w:divsChild>
                        <w:div w:id="13157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4360">
                  <w:marLeft w:val="0"/>
                  <w:marRight w:val="0"/>
                  <w:marTop w:val="0"/>
                  <w:marBottom w:val="0"/>
                  <w:divBdr>
                    <w:top w:val="none" w:sz="0" w:space="0" w:color="auto"/>
                    <w:left w:val="none" w:sz="0" w:space="0" w:color="auto"/>
                    <w:bottom w:val="none" w:sz="0" w:space="0" w:color="auto"/>
                    <w:right w:val="none" w:sz="0" w:space="0" w:color="auto"/>
                  </w:divBdr>
                  <w:divsChild>
                    <w:div w:id="1315724341">
                      <w:marLeft w:val="0"/>
                      <w:marRight w:val="0"/>
                      <w:marTop w:val="0"/>
                      <w:marBottom w:val="0"/>
                      <w:divBdr>
                        <w:top w:val="none" w:sz="0" w:space="0" w:color="auto"/>
                        <w:left w:val="none" w:sz="0" w:space="0" w:color="auto"/>
                        <w:bottom w:val="none" w:sz="0" w:space="0" w:color="auto"/>
                        <w:right w:val="none" w:sz="0" w:space="0" w:color="auto"/>
                      </w:divBdr>
                    </w:div>
                    <w:div w:id="1315724342">
                      <w:marLeft w:val="0"/>
                      <w:marRight w:val="0"/>
                      <w:marTop w:val="0"/>
                      <w:marBottom w:val="0"/>
                      <w:divBdr>
                        <w:top w:val="none" w:sz="0" w:space="0" w:color="auto"/>
                        <w:left w:val="none" w:sz="0" w:space="0" w:color="auto"/>
                        <w:bottom w:val="none" w:sz="0" w:space="0" w:color="auto"/>
                        <w:right w:val="none" w:sz="0" w:space="0" w:color="auto"/>
                      </w:divBdr>
                    </w:div>
                    <w:div w:id="1315724343">
                      <w:marLeft w:val="0"/>
                      <w:marRight w:val="0"/>
                      <w:marTop w:val="0"/>
                      <w:marBottom w:val="0"/>
                      <w:divBdr>
                        <w:top w:val="none" w:sz="0" w:space="0" w:color="auto"/>
                        <w:left w:val="none" w:sz="0" w:space="0" w:color="auto"/>
                        <w:bottom w:val="none" w:sz="0" w:space="0" w:color="auto"/>
                        <w:right w:val="none" w:sz="0" w:space="0" w:color="auto"/>
                      </w:divBdr>
                    </w:div>
                    <w:div w:id="1315724344">
                      <w:marLeft w:val="0"/>
                      <w:marRight w:val="0"/>
                      <w:marTop w:val="0"/>
                      <w:marBottom w:val="0"/>
                      <w:divBdr>
                        <w:top w:val="none" w:sz="0" w:space="0" w:color="auto"/>
                        <w:left w:val="none" w:sz="0" w:space="0" w:color="auto"/>
                        <w:bottom w:val="none" w:sz="0" w:space="0" w:color="auto"/>
                        <w:right w:val="none" w:sz="0" w:space="0" w:color="auto"/>
                      </w:divBdr>
                    </w:div>
                    <w:div w:id="1315724346">
                      <w:marLeft w:val="0"/>
                      <w:marRight w:val="0"/>
                      <w:marTop w:val="0"/>
                      <w:marBottom w:val="0"/>
                      <w:divBdr>
                        <w:top w:val="none" w:sz="0" w:space="0" w:color="auto"/>
                        <w:left w:val="none" w:sz="0" w:space="0" w:color="auto"/>
                        <w:bottom w:val="none" w:sz="0" w:space="0" w:color="auto"/>
                        <w:right w:val="none" w:sz="0" w:space="0" w:color="auto"/>
                      </w:divBdr>
                    </w:div>
                    <w:div w:id="1315724348">
                      <w:marLeft w:val="0"/>
                      <w:marRight w:val="0"/>
                      <w:marTop w:val="0"/>
                      <w:marBottom w:val="0"/>
                      <w:divBdr>
                        <w:top w:val="none" w:sz="0" w:space="0" w:color="auto"/>
                        <w:left w:val="none" w:sz="0" w:space="0" w:color="auto"/>
                        <w:bottom w:val="none" w:sz="0" w:space="0" w:color="auto"/>
                        <w:right w:val="none" w:sz="0" w:space="0" w:color="auto"/>
                      </w:divBdr>
                    </w:div>
                    <w:div w:id="1315724351">
                      <w:marLeft w:val="0"/>
                      <w:marRight w:val="0"/>
                      <w:marTop w:val="0"/>
                      <w:marBottom w:val="0"/>
                      <w:divBdr>
                        <w:top w:val="none" w:sz="0" w:space="0" w:color="auto"/>
                        <w:left w:val="none" w:sz="0" w:space="0" w:color="auto"/>
                        <w:bottom w:val="none" w:sz="0" w:space="0" w:color="auto"/>
                        <w:right w:val="none" w:sz="0" w:space="0" w:color="auto"/>
                      </w:divBdr>
                    </w:div>
                    <w:div w:id="1315724353">
                      <w:marLeft w:val="0"/>
                      <w:marRight w:val="0"/>
                      <w:marTop w:val="0"/>
                      <w:marBottom w:val="0"/>
                      <w:divBdr>
                        <w:top w:val="none" w:sz="0" w:space="0" w:color="auto"/>
                        <w:left w:val="none" w:sz="0" w:space="0" w:color="auto"/>
                        <w:bottom w:val="none" w:sz="0" w:space="0" w:color="auto"/>
                        <w:right w:val="none" w:sz="0" w:space="0" w:color="auto"/>
                      </w:divBdr>
                    </w:div>
                    <w:div w:id="1315724356">
                      <w:marLeft w:val="0"/>
                      <w:marRight w:val="0"/>
                      <w:marTop w:val="0"/>
                      <w:marBottom w:val="0"/>
                      <w:divBdr>
                        <w:top w:val="none" w:sz="0" w:space="0" w:color="auto"/>
                        <w:left w:val="none" w:sz="0" w:space="0" w:color="auto"/>
                        <w:bottom w:val="none" w:sz="0" w:space="0" w:color="auto"/>
                        <w:right w:val="none" w:sz="0" w:space="0" w:color="auto"/>
                      </w:divBdr>
                    </w:div>
                    <w:div w:id="1315724357">
                      <w:marLeft w:val="0"/>
                      <w:marRight w:val="0"/>
                      <w:marTop w:val="0"/>
                      <w:marBottom w:val="0"/>
                      <w:divBdr>
                        <w:top w:val="none" w:sz="0" w:space="0" w:color="auto"/>
                        <w:left w:val="none" w:sz="0" w:space="0" w:color="auto"/>
                        <w:bottom w:val="none" w:sz="0" w:space="0" w:color="auto"/>
                        <w:right w:val="none" w:sz="0" w:space="0" w:color="auto"/>
                      </w:divBdr>
                    </w:div>
                    <w:div w:id="13157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24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package" Target="embeddings/Documento_di_Microsoft_Word.docx"/><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1079</Words>
  <Characters>6154</Characters>
  <Application>Microsoft Office Word</Application>
  <DocSecurity>0</DocSecurity>
  <Lines>51</Lines>
  <Paragraphs>14</Paragraphs>
  <ScaleCrop>false</ScaleCrop>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Botta</dc:creator>
  <cp:keywords/>
  <dc:description/>
  <cp:lastModifiedBy>CavagnaA</cp:lastModifiedBy>
  <cp:revision>5</cp:revision>
  <dcterms:created xsi:type="dcterms:W3CDTF">2020-12-09T09:22:00Z</dcterms:created>
  <dcterms:modified xsi:type="dcterms:W3CDTF">2020-12-10T21:11:00Z</dcterms:modified>
</cp:coreProperties>
</file>