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45" w:rsidRPr="002C083B" w:rsidRDefault="00FD6E45" w:rsidP="002C083B">
      <w:pPr>
        <w:jc w:val="center"/>
        <w:rPr>
          <w:rFonts w:ascii="Segoe UI" w:hAnsi="Segoe UI" w:cs="Segoe UI"/>
          <w:b/>
          <w:bCs/>
          <w:color w:val="3D3C3B"/>
          <w:sz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</w:rPr>
        <w:t>Report a cura dell’Ufficio Studi Gabetti e Gabetti Lab</w:t>
      </w:r>
    </w:p>
    <w:p w:rsidR="00FD6E45" w:rsidRDefault="00FD6E45">
      <w:pPr>
        <w:jc w:val="center"/>
        <w:rPr>
          <w:rFonts w:ascii="Segoe UI" w:hAnsi="Segoe UI" w:cs="Segoe UI"/>
          <w:b/>
          <w:bCs/>
          <w:color w:val="3D3C3B"/>
          <w:sz w:val="28"/>
          <w:szCs w:val="28"/>
        </w:rPr>
      </w:pP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EFFICIENTAMENTO ENERGETICO:</w:t>
      </w:r>
    </w:p>
    <w:p w:rsidR="00A823F2" w:rsidRPr="002C083B" w:rsidRDefault="00FD6E45" w:rsidP="00A823F2">
      <w:pPr>
        <w:jc w:val="center"/>
        <w:rPr>
          <w:rFonts w:ascii="Segoe UI" w:hAnsi="Segoe UI" w:cs="Segoe UI"/>
          <w:b/>
          <w:bCs/>
          <w:color w:val="3D3C3B"/>
          <w:sz w:val="28"/>
          <w:szCs w:val="28"/>
        </w:rPr>
      </w:pP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SE TUTTI GLI EDIFICI ITALIANI IN CLASSE F e G (11 milioni)</w:t>
      </w:r>
      <w:r w:rsidR="002C083B">
        <w:rPr>
          <w:rFonts w:ascii="Segoe UI" w:hAnsi="Segoe UI" w:cs="Segoe UI"/>
          <w:b/>
          <w:bCs/>
          <w:color w:val="3D3C3B"/>
          <w:sz w:val="28"/>
          <w:szCs w:val="28"/>
        </w:rPr>
        <w:br/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VENISSERO RIQUALIFICATI (salto medio di </w:t>
      </w:r>
      <w:r w:rsidR="00D3769E">
        <w:rPr>
          <w:rFonts w:ascii="Segoe UI" w:hAnsi="Segoe UI" w:cs="Segoe UI"/>
          <w:b/>
          <w:bCs/>
          <w:color w:val="3D3C3B"/>
          <w:sz w:val="28"/>
          <w:szCs w:val="28"/>
        </w:rPr>
        <w:t>3,2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 classi energetiche),</w:t>
      </w:r>
      <w:r w:rsidR="002C083B">
        <w:rPr>
          <w:rFonts w:ascii="Segoe UI" w:hAnsi="Segoe UI" w:cs="Segoe UI"/>
          <w:b/>
          <w:bCs/>
          <w:color w:val="3D3C3B"/>
          <w:sz w:val="28"/>
          <w:szCs w:val="28"/>
        </w:rPr>
        <w:br/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LA RIDUZIONE </w:t>
      </w:r>
      <w:r>
        <w:rPr>
          <w:rFonts w:ascii="Segoe UI" w:hAnsi="Segoe UI" w:cs="Segoe UI"/>
          <w:b/>
          <w:bCs/>
          <w:color w:val="3D3C3B"/>
          <w:sz w:val="28"/>
          <w:szCs w:val="28"/>
        </w:rPr>
        <w:t xml:space="preserve">POTENZIALE 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DELLE EMISSIONI DI CO2</w:t>
      </w:r>
      <w:r w:rsidR="002C083B">
        <w:rPr>
          <w:rFonts w:ascii="Segoe UI" w:hAnsi="Segoe UI" w:cs="Segoe UI"/>
          <w:b/>
          <w:bCs/>
          <w:color w:val="3D3C3B"/>
          <w:sz w:val="28"/>
          <w:szCs w:val="28"/>
        </w:rPr>
        <w:t xml:space="preserve"> 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SAREBBE DI CIRCA IL 5</w:t>
      </w:r>
      <w:r w:rsidR="00B178FC">
        <w:rPr>
          <w:rFonts w:ascii="Segoe UI" w:hAnsi="Segoe UI" w:cs="Segoe UI"/>
          <w:b/>
          <w:bCs/>
          <w:color w:val="3D3C3B"/>
          <w:sz w:val="28"/>
          <w:szCs w:val="28"/>
        </w:rPr>
        <w:t>0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%,</w:t>
      </w:r>
      <w:r w:rsidR="002C083B">
        <w:rPr>
          <w:rFonts w:ascii="Segoe UI" w:hAnsi="Segoe UI" w:cs="Segoe UI"/>
          <w:b/>
          <w:bCs/>
          <w:color w:val="3D3C3B"/>
          <w:sz w:val="28"/>
          <w:szCs w:val="28"/>
        </w:rPr>
        <w:t xml:space="preserve"> 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PARI A </w:t>
      </w:r>
      <w:r w:rsidR="00D3769E">
        <w:rPr>
          <w:rFonts w:ascii="Segoe UI" w:hAnsi="Segoe UI" w:cs="Segoe UI"/>
          <w:b/>
          <w:bCs/>
          <w:color w:val="3D3C3B"/>
          <w:sz w:val="28"/>
          <w:szCs w:val="28"/>
        </w:rPr>
        <w:t>8</w:t>
      </w:r>
      <w:r w:rsidR="00D3769E"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0 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 xml:space="preserve">MILIONI </w:t>
      </w:r>
      <w:r w:rsidR="002C083B">
        <w:rPr>
          <w:rFonts w:ascii="Segoe UI" w:hAnsi="Segoe UI" w:cs="Segoe UI"/>
          <w:b/>
          <w:bCs/>
          <w:color w:val="3D3C3B"/>
          <w:sz w:val="28"/>
          <w:szCs w:val="28"/>
        </w:rPr>
        <w:t>DI TONNELLATE CO2</w:t>
      </w:r>
      <w:r w:rsidRPr="005C4F57">
        <w:rPr>
          <w:rFonts w:ascii="Segoe UI" w:hAnsi="Segoe UI" w:cs="Segoe UI"/>
          <w:b/>
          <w:bCs/>
          <w:color w:val="3D3C3B"/>
          <w:sz w:val="28"/>
          <w:szCs w:val="28"/>
        </w:rPr>
        <w:t>/</w:t>
      </w:r>
      <w:r w:rsidR="00A515F6" w:rsidRPr="002C083B">
        <w:rPr>
          <w:rFonts w:ascii="Segoe UI" w:hAnsi="Segoe UI" w:cs="Segoe UI"/>
          <w:b/>
          <w:bCs/>
          <w:color w:val="3D3C3B"/>
          <w:sz w:val="28"/>
          <w:szCs w:val="28"/>
        </w:rPr>
        <w:t>ANNO</w:t>
      </w:r>
      <w:r w:rsidR="00A515F6">
        <w:rPr>
          <w:rFonts w:ascii="Segoe UI" w:hAnsi="Segoe UI" w:cs="Segoe UI"/>
          <w:b/>
          <w:bCs/>
          <w:color w:val="3D3C3B"/>
          <w:sz w:val="28"/>
          <w:szCs w:val="28"/>
        </w:rPr>
        <w:t xml:space="preserve">,  </w:t>
      </w:r>
      <w:r w:rsidR="00A823F2">
        <w:rPr>
          <w:rFonts w:ascii="Segoe UI" w:hAnsi="Segoe UI" w:cs="Segoe UI"/>
          <w:b/>
          <w:bCs/>
          <w:color w:val="3D3C3B"/>
          <w:sz w:val="28"/>
          <w:szCs w:val="28"/>
        </w:rPr>
        <w:t xml:space="preserve">                          RAGGIUNGENDO </w:t>
      </w:r>
      <w:r w:rsidR="00364C87">
        <w:rPr>
          <w:rFonts w:ascii="Segoe UI" w:hAnsi="Segoe UI" w:cs="Segoe UI"/>
          <w:b/>
          <w:bCs/>
          <w:color w:val="3D3C3B"/>
          <w:sz w:val="28"/>
          <w:szCs w:val="28"/>
        </w:rPr>
        <w:t xml:space="preserve">QUASI </w:t>
      </w:r>
      <w:r w:rsidR="00A823F2">
        <w:rPr>
          <w:rFonts w:ascii="Segoe UI" w:hAnsi="Segoe UI" w:cs="Segoe UI"/>
          <w:b/>
          <w:bCs/>
          <w:color w:val="3D3C3B"/>
          <w:sz w:val="28"/>
          <w:szCs w:val="28"/>
        </w:rPr>
        <w:t>l</w:t>
      </w:r>
      <w:r w:rsidR="00A823F2">
        <w:rPr>
          <w:rFonts w:ascii="Calibri" w:eastAsia="Calibri" w:hAnsi="Calibri" w:cs="Calibri"/>
          <w:b/>
          <w:bCs/>
          <w:color w:val="3D3C3B"/>
          <w:sz w:val="28"/>
          <w:szCs w:val="28"/>
        </w:rPr>
        <w:t>’</w:t>
      </w:r>
      <w:r w:rsidR="00A823F2">
        <w:rPr>
          <w:rFonts w:ascii="Segoe UI" w:hAnsi="Segoe UI" w:cs="Segoe UI"/>
          <w:b/>
          <w:bCs/>
          <w:color w:val="3D3C3B"/>
          <w:sz w:val="28"/>
          <w:szCs w:val="28"/>
        </w:rPr>
        <w:t>OBIETTIVO EUROPEO 2030</w:t>
      </w:r>
    </w:p>
    <w:p w:rsidR="00FD6E45" w:rsidRPr="002C083B" w:rsidRDefault="00FD6E45" w:rsidP="009F0AD2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L’Ufficio Studi Gabetti, insieme a Gabetti Lab</w:t>
      </w:r>
      <w:r>
        <w:rPr>
          <w:rFonts w:ascii="Segoe UI" w:hAnsi="Segoe UI" w:cs="Segoe UI"/>
          <w:color w:val="3D3C3B"/>
          <w:sz w:val="24"/>
          <w:szCs w:val="24"/>
        </w:rPr>
        <w:t xml:space="preserve">, </w:t>
      </w:r>
      <w:r w:rsidR="00C1798E" w:rsidRPr="00FB67E9">
        <w:rPr>
          <w:rFonts w:ascii="Segoe UI" w:hAnsi="Segoe UI" w:cs="Segoe UI"/>
          <w:color w:val="3D3C3B"/>
          <w:sz w:val="24"/>
        </w:rPr>
        <w:t>primo player</w:t>
      </w:r>
      <w:r w:rsidR="00C1798E">
        <w:rPr>
          <w:rFonts w:ascii="Segoe UI" w:hAnsi="Segoe UI" w:cs="Segoe UI"/>
          <w:color w:val="3D3C3B"/>
          <w:sz w:val="24"/>
        </w:rPr>
        <w:t xml:space="preserve"> nella riqualificazione per </w:t>
      </w:r>
      <w:r w:rsidR="00786682">
        <w:rPr>
          <w:rFonts w:ascii="Segoe UI" w:hAnsi="Segoe UI" w:cs="Segoe UI"/>
          <w:color w:val="3D3C3B"/>
          <w:sz w:val="24"/>
        </w:rPr>
        <w:t>l</w:t>
      </w:r>
      <w:r w:rsidR="00786682">
        <w:rPr>
          <w:rFonts w:ascii="Calibri" w:eastAsia="Calibri" w:hAnsi="Calibri" w:cs="Calibri"/>
          <w:color w:val="3D3C3B"/>
          <w:sz w:val="24"/>
        </w:rPr>
        <w:t>’</w:t>
      </w:r>
      <w:r w:rsidR="00786682">
        <w:rPr>
          <w:rFonts w:ascii="Segoe UI" w:hAnsi="Segoe UI" w:cs="Segoe UI"/>
          <w:color w:val="3D3C3B"/>
          <w:sz w:val="24"/>
        </w:rPr>
        <w:t xml:space="preserve">efficientamento </w:t>
      </w:r>
      <w:r w:rsidR="00C1798E">
        <w:rPr>
          <w:rFonts w:ascii="Segoe UI" w:hAnsi="Segoe UI" w:cs="Segoe UI"/>
          <w:color w:val="3D3C3B"/>
          <w:sz w:val="24"/>
        </w:rPr>
        <w:t>energetico di condomini e unità abitative grazie alla gestione di reti di imprese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ha condotto una ricerca sull’impatto economico ed energetico degli incentivi fiscali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(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Ecobonus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, 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Sismabonus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, Superbonus 110%)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oggetto di cessione del credito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Il campione di analisi è costituito da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138 condomini</w:t>
      </w:r>
      <w:r w:rsidR="00C1798E" w:rsidRPr="007E6C17">
        <w:rPr>
          <w:rFonts w:ascii="Segoe UI" w:hAnsi="Segoe UI" w:cs="Segoe UI"/>
          <w:bCs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per un totale di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3.820 unità immobiliari</w:t>
      </w:r>
      <w:r w:rsidR="009F0AD2">
        <w:rPr>
          <w:rFonts w:ascii="Segoe UI" w:hAnsi="Segoe UI" w:cs="Segoe UI"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che hanno deliberato interventi per l’efficientamento energetico</w:t>
      </w:r>
      <w:r w:rsidR="009F0AD2">
        <w:rPr>
          <w:rFonts w:ascii="Segoe UI" w:hAnsi="Segoe UI" w:cs="Segoe UI"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usufruendo dei vantaggi fiscali dell’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Ecobonus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. 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Per quanto riguarda i vantaggi fiscali, </w:t>
      </w:r>
      <w:r w:rsidR="007C3919">
        <w:rPr>
          <w:rFonts w:ascii="Segoe UI" w:hAnsi="Segoe UI" w:cs="Segoe UI"/>
          <w:color w:val="3D3C3B"/>
          <w:sz w:val="24"/>
          <w:szCs w:val="24"/>
        </w:rPr>
        <w:t>rispetto al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7C3919">
        <w:rPr>
          <w:rFonts w:ascii="Segoe UI" w:hAnsi="Segoe UI" w:cs="Segoe UI"/>
          <w:color w:val="3D3C3B"/>
          <w:sz w:val="24"/>
          <w:szCs w:val="24"/>
        </w:rPr>
        <w:t>campione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85 condomini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7C3919">
        <w:rPr>
          <w:rFonts w:ascii="Segoe UI" w:hAnsi="Segoe UI" w:cs="Segoe UI"/>
          <w:color w:val="3D3C3B"/>
          <w:sz w:val="24"/>
          <w:szCs w:val="24"/>
        </w:rPr>
        <w:t xml:space="preserve">pari a </w:t>
      </w:r>
      <w:r w:rsidRPr="00D13D7C">
        <w:rPr>
          <w:rFonts w:ascii="Segoe UI" w:hAnsi="Segoe UI" w:cs="Segoe UI"/>
          <w:b/>
          <w:color w:val="3D3C3B"/>
          <w:sz w:val="24"/>
          <w:szCs w:val="24"/>
        </w:rPr>
        <w:t>2.617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D13D7C">
        <w:rPr>
          <w:rFonts w:ascii="Segoe UI" w:hAnsi="Segoe UI" w:cs="Segoe UI"/>
          <w:b/>
          <w:color w:val="3D3C3B"/>
          <w:sz w:val="24"/>
          <w:szCs w:val="24"/>
        </w:rPr>
        <w:t>unità immobiliari</w:t>
      </w:r>
      <w:r w:rsidRPr="002C083B">
        <w:rPr>
          <w:rFonts w:ascii="Segoe UI" w:hAnsi="Segoe UI" w:cs="Segoe UI"/>
          <w:color w:val="3D3C3B"/>
          <w:sz w:val="24"/>
          <w:szCs w:val="24"/>
        </w:rPr>
        <w:t>, fruiranno dell’estensione del beneficio fiscale del Superbonus 110%, mentre la restante parte (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53</w:t>
      </w:r>
      <w:r w:rsidRPr="002C083B">
        <w:rPr>
          <w:rFonts w:ascii="Segoe UI" w:hAnsi="Segoe UI" w:cs="Segoe UI"/>
          <w:color w:val="3D3C3B"/>
          <w:sz w:val="24"/>
          <w:szCs w:val="24"/>
        </w:rPr>
        <w:t>) fruirà dell’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Ecobonus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 65%.</w:t>
      </w:r>
    </w:p>
    <w:p w:rsidR="00FD6E45" w:rsidRPr="002C083B" w:rsidRDefault="00FD6E45" w:rsidP="002C083B">
      <w:pPr>
        <w:jc w:val="both"/>
        <w:rPr>
          <w:rFonts w:ascii="Segoe UI" w:hAnsi="Segoe UI" w:cs="Segoe UI"/>
          <w:i/>
          <w:iCs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>“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>I vantaggi indotti dalla riqualificazione energetica del patrimonio edilizio residenziale non sono soltanto di natura fiscale</w:t>
      </w:r>
      <w:r w:rsidR="00395C7F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- afferma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Alessandro De Biasio, Amministratore Delegato di Gabetti Lab </w:t>
      </w:r>
      <w:r w:rsidRPr="007E6C17">
        <w:rPr>
          <w:rFonts w:ascii="Segoe UI" w:hAnsi="Segoe UI" w:cs="Segoe UI"/>
          <w:bCs/>
          <w:color w:val="3D3C3B"/>
          <w:sz w:val="24"/>
          <w:szCs w:val="24"/>
        </w:rPr>
        <w:t>-</w:t>
      </w:r>
      <w:r w:rsidR="00395C7F" w:rsidRPr="007E6C17">
        <w:rPr>
          <w:rFonts w:ascii="Segoe UI" w:hAnsi="Segoe UI" w:cs="Segoe UI"/>
          <w:bCs/>
          <w:color w:val="3D3C3B"/>
          <w:sz w:val="24"/>
          <w:szCs w:val="24"/>
        </w:rPr>
        <w:t>.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Accanto a questi, infatti, vanno considerat</w:t>
      </w:r>
      <w:r w:rsidR="000212CA">
        <w:rPr>
          <w:rFonts w:ascii="Segoe UI" w:hAnsi="Segoe UI" w:cs="Segoe UI"/>
          <w:i/>
          <w:iCs/>
          <w:color w:val="3D3C3B"/>
          <w:sz w:val="24"/>
          <w:szCs w:val="24"/>
        </w:rPr>
        <w:t>i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tutt</w:t>
      </w:r>
      <w:r w:rsidR="0016789F">
        <w:rPr>
          <w:rFonts w:ascii="Segoe UI" w:hAnsi="Segoe UI" w:cs="Segoe UI"/>
          <w:i/>
          <w:iCs/>
          <w:color w:val="3D3C3B"/>
          <w:sz w:val="24"/>
          <w:szCs w:val="24"/>
        </w:rPr>
        <w:t>i gli effetti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positiv</w:t>
      </w:r>
      <w:r w:rsidR="0016789F">
        <w:rPr>
          <w:rFonts w:ascii="Segoe UI" w:hAnsi="Segoe UI" w:cs="Segoe UI"/>
          <w:i/>
          <w:iCs/>
          <w:color w:val="3D3C3B"/>
          <w:sz w:val="24"/>
          <w:szCs w:val="24"/>
        </w:rPr>
        <w:t>i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</w:t>
      </w:r>
      <w:r w:rsidR="00F0285F">
        <w:rPr>
          <w:rFonts w:ascii="Segoe UI" w:hAnsi="Segoe UI" w:cs="Segoe UI"/>
          <w:i/>
          <w:iCs/>
          <w:color w:val="3D3C3B"/>
          <w:sz w:val="24"/>
          <w:szCs w:val="24"/>
        </w:rPr>
        <w:t>garantiti</w:t>
      </w:r>
      <w:r w:rsidR="00A15985">
        <w:rPr>
          <w:rFonts w:ascii="Segoe UI" w:hAnsi="Segoe UI" w:cs="Segoe UI"/>
          <w:i/>
          <w:iCs/>
          <w:color w:val="3D3C3B"/>
          <w:sz w:val="24"/>
          <w:szCs w:val="24"/>
        </w:rPr>
        <w:t xml:space="preserve">: </w:t>
      </w:r>
      <w:r w:rsidR="005E3C42">
        <w:rPr>
          <w:rFonts w:ascii="Segoe UI" w:hAnsi="Segoe UI" w:cs="Segoe UI"/>
          <w:i/>
          <w:iCs/>
          <w:color w:val="3D3C3B"/>
          <w:sz w:val="24"/>
          <w:szCs w:val="24"/>
        </w:rPr>
        <w:t>m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>iglioramento del comfort abitativo, riduzione di gas con conseguente risparmio in bolletta, messa in sicurezza degli edifici, miglioramento estetico delle facciate, rilancio dell’attività edilizia, riduzione di emissioni di CO2</w:t>
      </w:r>
      <w:r w:rsidR="005E3C42">
        <w:rPr>
          <w:rFonts w:ascii="Segoe UI" w:hAnsi="Segoe UI" w:cs="Segoe UI"/>
          <w:i/>
          <w:iCs/>
          <w:color w:val="3D3C3B"/>
          <w:sz w:val="24"/>
          <w:szCs w:val="24"/>
        </w:rPr>
        <w:t xml:space="preserve"> e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aumento del valore di mercato dell’immobile. L’avvio su larga scala di un processo di ristrutturazione degli edifici, che non rispondono agli standard abitativi in termini di risparmio energetico</w:t>
      </w:r>
      <w:r w:rsidR="00A15985">
        <w:rPr>
          <w:rFonts w:ascii="Segoe UI" w:hAnsi="Segoe UI" w:cs="Segoe UI"/>
          <w:i/>
          <w:iCs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potrebbe provocare una notevole riduzione della CO2 e attenuare </w:t>
      </w:r>
      <w:r w:rsidR="006E1E73">
        <w:rPr>
          <w:rFonts w:ascii="Segoe UI" w:hAnsi="Segoe UI" w:cs="Segoe UI"/>
          <w:i/>
          <w:iCs/>
          <w:color w:val="3D3C3B"/>
          <w:sz w:val="24"/>
          <w:szCs w:val="24"/>
        </w:rPr>
        <w:t xml:space="preserve">le conseguenze negative 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>del cambiamento climatico a cui le nostre città e i territori sono esposti”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</w:t>
      </w:r>
    </w:p>
    <w:p w:rsidR="00B270F2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Gabetti Lab</w:t>
      </w:r>
      <w:r w:rsidR="00FF4167">
        <w:rPr>
          <w:rFonts w:ascii="Segoe UI" w:hAnsi="Segoe UI" w:cs="Segoe UI"/>
          <w:b/>
          <w:bCs/>
          <w:color w:val="3D3C3B"/>
          <w:sz w:val="24"/>
          <w:szCs w:val="24"/>
        </w:rPr>
        <w:t>, attraverso l’analisi dei consumi medi dei condomini di cui gestisce progetti di riqualificazione,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ha stimato che </w:t>
      </w:r>
      <w:r w:rsidR="001D006C">
        <w:rPr>
          <w:rFonts w:ascii="Segoe UI" w:hAnsi="Segoe UI" w:cs="Segoe UI"/>
          <w:b/>
          <w:bCs/>
          <w:color w:val="3D3C3B"/>
          <w:sz w:val="24"/>
          <w:szCs w:val="24"/>
        </w:rPr>
        <w:t>se</w:t>
      </w:r>
      <w:r w:rsidR="00B270F2">
        <w:rPr>
          <w:rFonts w:ascii="Segoe UI" w:hAnsi="Segoe UI" w:cs="Segoe UI"/>
          <w:b/>
          <w:bCs/>
          <w:color w:val="3D3C3B"/>
          <w:sz w:val="24"/>
          <w:szCs w:val="24"/>
        </w:rPr>
        <w:t xml:space="preserve"> in Italia venissero riqualificati</w:t>
      </w:r>
      <w:r w:rsidR="001D006C">
        <w:rPr>
          <w:rFonts w:ascii="Segoe UI" w:hAnsi="Segoe UI" w:cs="Segoe UI"/>
          <w:b/>
          <w:bCs/>
          <w:color w:val="3D3C3B"/>
          <w:sz w:val="24"/>
          <w:szCs w:val="24"/>
        </w:rPr>
        <w:t xml:space="preserve"> tutti i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circa 11 milioni di edifici classificati nelle classi energetiche F e G</w:t>
      </w:r>
      <w:r w:rsidR="00B270F2">
        <w:rPr>
          <w:rFonts w:ascii="Segoe UI" w:hAnsi="Segoe UI" w:cs="Segoe UI"/>
          <w:b/>
          <w:bCs/>
          <w:color w:val="3D3C3B"/>
          <w:sz w:val="24"/>
          <w:szCs w:val="24"/>
        </w:rPr>
        <w:t xml:space="preserve"> -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ipotizzando un salto medio di </w:t>
      </w:r>
      <w:r w:rsidR="00D3769E">
        <w:rPr>
          <w:rFonts w:ascii="Segoe UI" w:hAnsi="Segoe UI" w:cs="Segoe UI"/>
          <w:b/>
          <w:bCs/>
          <w:color w:val="3D3C3B"/>
          <w:sz w:val="24"/>
          <w:szCs w:val="24"/>
        </w:rPr>
        <w:t>3,2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classi energetiche</w:t>
      </w:r>
      <w:r w:rsidR="00B270F2">
        <w:rPr>
          <w:rFonts w:ascii="Segoe UI" w:hAnsi="Segoe UI" w:cs="Segoe UI"/>
          <w:b/>
          <w:bCs/>
          <w:color w:val="3D3C3B"/>
          <w:sz w:val="24"/>
          <w:szCs w:val="24"/>
        </w:rPr>
        <w:t xml:space="preserve"> -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la riduzione delle emissioni di CO2 potenziale </w:t>
      </w:r>
      <w:r w:rsidR="00B270F2">
        <w:rPr>
          <w:rFonts w:ascii="Segoe UI" w:hAnsi="Segoe UI" w:cs="Segoe UI"/>
          <w:b/>
          <w:bCs/>
          <w:color w:val="3D3C3B"/>
          <w:sz w:val="24"/>
          <w:szCs w:val="24"/>
        </w:rPr>
        <w:t>sarebbe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 di circa il 5</w:t>
      </w:r>
      <w:r w:rsidR="00B178FC">
        <w:rPr>
          <w:rFonts w:ascii="Segoe UI" w:hAnsi="Segoe UI" w:cs="Segoe UI"/>
          <w:b/>
          <w:bCs/>
          <w:color w:val="3D3C3B"/>
          <w:sz w:val="24"/>
          <w:szCs w:val="24"/>
        </w:rPr>
        <w:t>0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%, ossia, </w:t>
      </w:r>
      <w:r w:rsidR="00D3769E">
        <w:rPr>
          <w:rFonts w:ascii="Segoe UI" w:hAnsi="Segoe UI" w:cs="Segoe UI"/>
          <w:b/>
          <w:bCs/>
          <w:color w:val="3D3C3B"/>
          <w:sz w:val="24"/>
          <w:szCs w:val="24"/>
        </w:rPr>
        <w:t>8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0 Milioni </w:t>
      </w:r>
      <w:r w:rsidR="00D3769E">
        <w:rPr>
          <w:rFonts w:ascii="Segoe UI" w:hAnsi="Segoe UI" w:cs="Segoe UI"/>
          <w:b/>
          <w:bCs/>
          <w:color w:val="3D3C3B"/>
          <w:sz w:val="24"/>
          <w:szCs w:val="24"/>
        </w:rPr>
        <w:t xml:space="preserve">di Tonnellate </w:t>
      </w:r>
      <w:r w:rsidR="002C083B">
        <w:rPr>
          <w:rFonts w:ascii="Segoe UI" w:hAnsi="Segoe UI" w:cs="Segoe UI"/>
          <w:b/>
          <w:bCs/>
          <w:color w:val="3D3C3B"/>
          <w:sz w:val="24"/>
          <w:szCs w:val="24"/>
        </w:rPr>
        <w:t>CO2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/anno</w:t>
      </w:r>
      <w:r w:rsidR="001D006C">
        <w:rPr>
          <w:rFonts w:ascii="Segoe UI" w:hAnsi="Segoe UI" w:cs="Segoe UI"/>
          <w:b/>
          <w:bCs/>
          <w:color w:val="3D3C3B"/>
          <w:sz w:val="24"/>
          <w:szCs w:val="24"/>
        </w:rPr>
        <w:t>.</w:t>
      </w:r>
      <w:r w:rsidR="00334C8B">
        <w:rPr>
          <w:rFonts w:ascii="Segoe UI" w:hAnsi="Segoe UI" w:cs="Segoe UI"/>
          <w:color w:val="3D3C3B"/>
          <w:sz w:val="24"/>
          <w:szCs w:val="24"/>
        </w:rPr>
        <w:t xml:space="preserve"> </w:t>
      </w:r>
    </w:p>
    <w:p w:rsidR="00FD6E45" w:rsidRPr="002C083B" w:rsidRDefault="00334C8B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>
        <w:rPr>
          <w:rFonts w:ascii="Segoe UI" w:hAnsi="Segoe UI" w:cs="Segoe UI"/>
          <w:color w:val="3D3C3B"/>
          <w:sz w:val="24"/>
          <w:szCs w:val="24"/>
        </w:rPr>
        <w:lastRenderedPageBreak/>
        <w:t>A conferma di questi numeri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, uno studio redatto dal gruppo di ricerca Energy &amp; </w:t>
      </w:r>
      <w:proofErr w:type="spellStart"/>
      <w:r w:rsidR="00FD6E45" w:rsidRPr="002C083B">
        <w:rPr>
          <w:rFonts w:ascii="Segoe UI" w:hAnsi="Segoe UI" w:cs="Segoe UI"/>
          <w:color w:val="3D3C3B"/>
          <w:sz w:val="24"/>
          <w:szCs w:val="24"/>
        </w:rPr>
        <w:t>Strategy</w:t>
      </w:r>
      <w:proofErr w:type="spellEnd"/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 Group del Politecnico di Milano, ha stimato che per raggiungere l'obiettivo europeo</w:t>
      </w:r>
      <w:r w:rsidR="00B270F2">
        <w:rPr>
          <w:rFonts w:ascii="Segoe UI" w:hAnsi="Segoe UI" w:cs="Segoe UI"/>
          <w:color w:val="3D3C3B"/>
          <w:sz w:val="24"/>
          <w:szCs w:val="24"/>
        </w:rPr>
        <w:t xml:space="preserve"> 2030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 della riduzione delle emissioni climalteranti d</w:t>
      </w:r>
      <w:r w:rsidR="001B671C">
        <w:rPr>
          <w:rFonts w:ascii="Segoe UI" w:hAnsi="Segoe UI" w:cs="Segoe UI"/>
          <w:color w:val="3D3C3B"/>
          <w:sz w:val="24"/>
          <w:szCs w:val="24"/>
        </w:rPr>
        <w:t>i almeno il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 55%</w:t>
      </w:r>
      <w:r w:rsidR="001B671C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1B671C">
        <w:rPr>
          <w:rFonts w:ascii="Calibri" w:hAnsi="Calibri" w:cs="Calibri"/>
          <w:color w:val="3D3C3B"/>
          <w:sz w:val="24"/>
          <w:szCs w:val="24"/>
        </w:rPr>
        <w:t>(rispetto ai livelli del 1990)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 sarà necessario tagliare</w:t>
      </w:r>
      <w:r w:rsidR="00CA2CAD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>94 milioni di tonnellate di CO2</w:t>
      </w:r>
      <w:r w:rsidR="00B270F2">
        <w:rPr>
          <w:rFonts w:ascii="Segoe UI" w:hAnsi="Segoe UI" w:cs="Segoe UI"/>
          <w:color w:val="3D3C3B"/>
          <w:sz w:val="24"/>
          <w:szCs w:val="24"/>
        </w:rPr>
        <w:t>.</w:t>
      </w:r>
      <w:r w:rsidR="00CA2CAD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B270F2">
        <w:rPr>
          <w:rFonts w:ascii="Segoe UI" w:hAnsi="Segoe UI" w:cs="Segoe UI"/>
          <w:color w:val="3D3C3B"/>
          <w:sz w:val="24"/>
          <w:szCs w:val="24"/>
        </w:rPr>
        <w:t>Ovvero</w:t>
      </w:r>
      <w:r w:rsidR="00ED6070">
        <w:rPr>
          <w:rFonts w:ascii="Segoe UI" w:hAnsi="Segoe UI" w:cs="Segoe UI"/>
          <w:color w:val="3D3C3B"/>
          <w:sz w:val="24"/>
          <w:szCs w:val="24"/>
        </w:rPr>
        <w:t>,</w:t>
      </w:r>
      <w:r w:rsidR="00CA2CAD" w:rsidRPr="002C083B">
        <w:rPr>
          <w:rFonts w:ascii="Segoe UI" w:hAnsi="Segoe UI" w:cs="Segoe UI"/>
          <w:color w:val="3D3C3B"/>
          <w:sz w:val="24"/>
          <w:szCs w:val="24"/>
        </w:rPr>
        <w:t xml:space="preserve"> una quantità </w:t>
      </w:r>
      <w:r w:rsidR="00FD2952">
        <w:rPr>
          <w:rFonts w:ascii="Segoe UI" w:hAnsi="Segoe UI" w:cs="Segoe UI"/>
          <w:color w:val="3D3C3B"/>
          <w:sz w:val="24"/>
          <w:szCs w:val="24"/>
        </w:rPr>
        <w:t xml:space="preserve">a cui si avvicina in modo significativo la </w:t>
      </w:r>
      <w:r w:rsidR="00293C2F">
        <w:rPr>
          <w:rFonts w:ascii="Segoe UI" w:hAnsi="Segoe UI" w:cs="Segoe UI"/>
          <w:color w:val="3D3C3B"/>
          <w:sz w:val="24"/>
          <w:szCs w:val="24"/>
        </w:rPr>
        <w:t>diminuzione</w:t>
      </w:r>
      <w:r w:rsidR="00CA2CAD" w:rsidRPr="002C083B">
        <w:rPr>
          <w:rFonts w:ascii="Segoe UI" w:hAnsi="Segoe UI" w:cs="Segoe UI"/>
          <w:color w:val="3D3C3B"/>
          <w:sz w:val="24"/>
          <w:szCs w:val="24"/>
        </w:rPr>
        <w:t xml:space="preserve"> delle emissioni che</w:t>
      </w:r>
      <w:r w:rsidR="008C4EF7">
        <w:rPr>
          <w:rFonts w:ascii="Segoe UI" w:hAnsi="Segoe UI" w:cs="Segoe UI"/>
          <w:color w:val="3D3C3B"/>
          <w:sz w:val="24"/>
          <w:szCs w:val="24"/>
        </w:rPr>
        <w:t>,</w:t>
      </w:r>
      <w:r w:rsidR="00CA2CAD" w:rsidRPr="002C083B">
        <w:rPr>
          <w:rFonts w:ascii="Segoe UI" w:hAnsi="Segoe UI" w:cs="Segoe UI"/>
          <w:color w:val="3D3C3B"/>
          <w:sz w:val="24"/>
          <w:szCs w:val="24"/>
        </w:rPr>
        <w:t xml:space="preserve"> a oggi</w:t>
      </w:r>
      <w:r w:rsidR="008C4EF7">
        <w:rPr>
          <w:rFonts w:ascii="Segoe UI" w:hAnsi="Segoe UI" w:cs="Segoe UI"/>
          <w:color w:val="3D3C3B"/>
          <w:sz w:val="24"/>
          <w:szCs w:val="24"/>
        </w:rPr>
        <w:t>,</w:t>
      </w:r>
      <w:r w:rsidR="00CA2CAD" w:rsidRPr="002C083B">
        <w:rPr>
          <w:rFonts w:ascii="Segoe UI" w:hAnsi="Segoe UI" w:cs="Segoe UI"/>
          <w:color w:val="3D3C3B"/>
          <w:sz w:val="24"/>
          <w:szCs w:val="24"/>
        </w:rPr>
        <w:t xml:space="preserve"> consentirebbe la riqualificazione energetica degli 11 </w:t>
      </w:r>
      <w:r w:rsidR="00B270F2">
        <w:rPr>
          <w:rFonts w:ascii="Segoe UI" w:hAnsi="Segoe UI" w:cs="Segoe UI"/>
          <w:color w:val="3D3C3B"/>
          <w:sz w:val="24"/>
          <w:szCs w:val="24"/>
        </w:rPr>
        <w:t>Milioni</w:t>
      </w:r>
      <w:r w:rsidR="00CA2CAD" w:rsidRPr="002C083B">
        <w:rPr>
          <w:rFonts w:ascii="Segoe UI" w:hAnsi="Segoe UI" w:cs="Segoe UI"/>
          <w:color w:val="3D3C3B"/>
          <w:sz w:val="24"/>
          <w:szCs w:val="24"/>
        </w:rPr>
        <w:t xml:space="preserve"> di edifici in classe F e G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. Questo per dimostrare che, al di là dei vantaggi economici, </w:t>
      </w:r>
      <w:r w:rsidR="00293C2F">
        <w:rPr>
          <w:rFonts w:ascii="Segoe UI" w:hAnsi="Segoe UI" w:cs="Segoe UI"/>
          <w:color w:val="3D3C3B"/>
          <w:sz w:val="24"/>
          <w:szCs w:val="24"/>
        </w:rPr>
        <w:t>tale</w:t>
      </w:r>
      <w:r w:rsidR="00FD6E45" w:rsidRPr="002C083B">
        <w:rPr>
          <w:rFonts w:ascii="Segoe UI" w:hAnsi="Segoe UI" w:cs="Segoe UI"/>
          <w:color w:val="3D3C3B"/>
          <w:sz w:val="24"/>
          <w:szCs w:val="24"/>
        </w:rPr>
        <w:t xml:space="preserve"> riqualificazione è la strada da percorrere per dare un forte impulso alla transizione energetica.</w:t>
      </w:r>
    </w:p>
    <w:p w:rsidR="00FD6E45" w:rsidRPr="002C083B" w:rsidRDefault="00FD6E45" w:rsidP="00FD6E45">
      <w:pPr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ANALISI IMPATTO ECONOMICO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Rispetto allo scenario economico, l’analisi ha preso in considerazione l’intero campione di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138 condomini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per un totale di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3.820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unità immobiliari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</w:t>
      </w:r>
      <w:r w:rsidR="000F373D">
        <w:rPr>
          <w:rFonts w:ascii="Segoe UI" w:hAnsi="Segoe UI" w:cs="Segoe UI"/>
          <w:color w:val="3D3C3B"/>
          <w:sz w:val="24"/>
          <w:szCs w:val="24"/>
        </w:rPr>
        <w:t xml:space="preserve">stimando </w:t>
      </w:r>
      <w:r w:rsidRPr="002C083B">
        <w:rPr>
          <w:rFonts w:ascii="Segoe UI" w:hAnsi="Segoe UI" w:cs="Segoe UI"/>
          <w:color w:val="3D3C3B"/>
          <w:sz w:val="24"/>
          <w:szCs w:val="24"/>
        </w:rPr>
        <w:t>il risparmio economico generato grazie al ricorso all’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Ecobonus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 (con aliquota sia al 65% che al 110%), il volume d’affari generato, il credito d’imposta, </w:t>
      </w:r>
      <w:r w:rsidR="001C75FD">
        <w:rPr>
          <w:rFonts w:ascii="Segoe UI" w:hAnsi="Segoe UI" w:cs="Segoe UI"/>
          <w:color w:val="3D3C3B"/>
          <w:sz w:val="24"/>
          <w:szCs w:val="24"/>
        </w:rPr>
        <w:t xml:space="preserve">la cifra </w:t>
      </w:r>
      <w:r w:rsidRPr="002C083B">
        <w:rPr>
          <w:rFonts w:ascii="Segoe UI" w:hAnsi="Segoe UI" w:cs="Segoe UI"/>
          <w:color w:val="3D3C3B"/>
          <w:sz w:val="24"/>
          <w:szCs w:val="24"/>
        </w:rPr>
        <w:t>effettivamente pagat</w:t>
      </w:r>
      <w:r w:rsidR="001C75FD">
        <w:rPr>
          <w:rFonts w:ascii="Segoe UI" w:hAnsi="Segoe UI" w:cs="Segoe UI"/>
          <w:color w:val="3D3C3B"/>
          <w:sz w:val="24"/>
          <w:szCs w:val="24"/>
        </w:rPr>
        <w:t>a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1C75FD">
        <w:rPr>
          <w:rFonts w:ascii="Segoe UI" w:hAnsi="Segoe UI" w:cs="Segoe UI"/>
          <w:color w:val="3D3C3B"/>
          <w:sz w:val="24"/>
          <w:szCs w:val="24"/>
        </w:rPr>
        <w:t>dai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condomini, quanto è stato speso per gli interventi </w:t>
      </w:r>
      <w:r w:rsidR="001C75FD">
        <w:rPr>
          <w:rFonts w:ascii="Segoe UI" w:hAnsi="Segoe UI" w:cs="Segoe UI"/>
          <w:color w:val="3D3C3B"/>
          <w:sz w:val="24"/>
          <w:szCs w:val="24"/>
        </w:rPr>
        <w:t xml:space="preserve">di 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riqualificazione della centrale termica e quanto per </w:t>
      </w:r>
      <w:r w:rsidR="001C75FD">
        <w:rPr>
          <w:rFonts w:ascii="Segoe UI" w:hAnsi="Segoe UI" w:cs="Segoe UI"/>
          <w:color w:val="3D3C3B"/>
          <w:sz w:val="24"/>
          <w:szCs w:val="24"/>
        </w:rPr>
        <w:t>quelli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1C75FD">
        <w:rPr>
          <w:rFonts w:ascii="Segoe UI" w:hAnsi="Segoe UI" w:cs="Segoe UI"/>
          <w:color w:val="3D3C3B"/>
          <w:sz w:val="24"/>
          <w:szCs w:val="24"/>
        </w:rPr>
        <w:t>relativi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1C75FD">
        <w:rPr>
          <w:rFonts w:ascii="Segoe UI" w:hAnsi="Segoe UI" w:cs="Segoe UI"/>
          <w:color w:val="3D3C3B"/>
          <w:sz w:val="24"/>
          <w:szCs w:val="24"/>
        </w:rPr>
        <w:t>al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l’involucro. </w:t>
      </w:r>
    </w:p>
    <w:p w:rsidR="00FD6E45" w:rsidRPr="007E6C17" w:rsidRDefault="00FD6E45" w:rsidP="002C083B">
      <w:pPr>
        <w:contextualSpacing/>
        <w:jc w:val="both"/>
        <w:rPr>
          <w:rFonts w:ascii="Segoe UI" w:hAnsi="Segoe UI" w:cs="Segoe UI"/>
          <w:b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L’importo totale dei lavori deliberati è di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 xml:space="preserve">138.487.563 </w:t>
      </w:r>
      <w:r w:rsidR="002766A1">
        <w:rPr>
          <w:rFonts w:ascii="Segoe UI" w:hAnsi="Segoe UI" w:cs="Segoe UI"/>
          <w:b/>
          <w:color w:val="3D3C3B"/>
          <w:sz w:val="24"/>
          <w:szCs w:val="24"/>
        </w:rPr>
        <w:t>euro</w:t>
      </w:r>
      <w:r w:rsidR="002766A1" w:rsidRPr="007E6C17">
        <w:rPr>
          <w:rFonts w:ascii="Segoe UI" w:hAnsi="Segoe UI" w:cs="Segoe UI"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di cui una quota residua del 5% ha riguardato opere non legate a efficientamento energetico. </w:t>
      </w:r>
    </w:p>
    <w:p w:rsidR="00FD6E45" w:rsidRPr="002C083B" w:rsidRDefault="00FD6E45" w:rsidP="002C083B">
      <w:pPr>
        <w:contextualSpacing/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Per quanto riguarda gli interventi di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riqualificazione energetica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la quasi totalità, pari a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125.095.424</w:t>
      </w:r>
      <w:r w:rsidR="002766A1">
        <w:rPr>
          <w:rFonts w:ascii="Segoe UI" w:hAnsi="Segoe UI" w:cs="Segoe UI"/>
          <w:b/>
          <w:color w:val="3D3C3B"/>
          <w:sz w:val="24"/>
          <w:szCs w:val="24"/>
        </w:rPr>
        <w:t xml:space="preserve"> euro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ha riguardato gli interventi di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isolamento termico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delle superfici opache verticali, orizzontali e inclinate (cappotto termico) che interessano l’involucro degli edifici, mentre circa 5% (pari a 7.153.657 </w:t>
      </w:r>
      <w:r w:rsidR="002766A1">
        <w:rPr>
          <w:rFonts w:ascii="Segoe UI" w:hAnsi="Segoe UI" w:cs="Segoe UI"/>
          <w:color w:val="3D3C3B"/>
          <w:sz w:val="24"/>
          <w:szCs w:val="24"/>
        </w:rPr>
        <w:t>euro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) gli interventi di sostituzione degli impianti di climatizzazione invernali (generatori di calore). </w:t>
      </w:r>
    </w:p>
    <w:p w:rsidR="00B74635" w:rsidRDefault="00B74635" w:rsidP="002C083B">
      <w:pPr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</w:p>
    <w:p w:rsidR="00FD6E45" w:rsidRPr="002C083B" w:rsidRDefault="003348AD" w:rsidP="00FA37F9">
      <w:pPr>
        <w:jc w:val="center"/>
        <w:rPr>
          <w:rFonts w:ascii="Segoe UI" w:hAnsi="Segoe UI" w:cs="Segoe UI"/>
          <w:color w:val="3D3C3B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3523660" cy="1630018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660" cy="163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Sul fronte della modalità di pagamento, sommando i lavori per tutti i 138 condomini, è prevista una cessione del credito di imposta pari a 123.559.652 </w:t>
      </w:r>
      <w:r w:rsidR="002766A1">
        <w:rPr>
          <w:rFonts w:ascii="Segoe UI" w:hAnsi="Segoe UI" w:cs="Segoe UI"/>
          <w:color w:val="3D3C3B"/>
          <w:sz w:val="24"/>
          <w:szCs w:val="24"/>
        </w:rPr>
        <w:t xml:space="preserve">euro, con </w:t>
      </w:r>
      <w:r w:rsidRPr="002C083B">
        <w:rPr>
          <w:rFonts w:ascii="Segoe UI" w:hAnsi="Segoe UI" w:cs="Segoe UI"/>
          <w:color w:val="3D3C3B"/>
          <w:sz w:val="24"/>
          <w:szCs w:val="24"/>
        </w:rPr>
        <w:t>un residuo a carico del condominio pari a 14.927.911</w:t>
      </w:r>
      <w:r w:rsidR="002766A1">
        <w:rPr>
          <w:rFonts w:ascii="Segoe UI" w:hAnsi="Segoe UI" w:cs="Segoe UI"/>
          <w:color w:val="3D3C3B"/>
          <w:sz w:val="24"/>
          <w:szCs w:val="24"/>
        </w:rPr>
        <w:t xml:space="preserve"> euro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In termini percentuali, significa una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cessione complessiva dell’89%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degli importi </w:t>
      </w:r>
      <w:r w:rsidR="002766A1">
        <w:rPr>
          <w:rFonts w:ascii="Segoe UI" w:hAnsi="Segoe UI" w:cs="Segoe UI"/>
          <w:color w:val="3D3C3B"/>
          <w:sz w:val="24"/>
          <w:szCs w:val="24"/>
        </w:rPr>
        <w:t xml:space="preserve">dei </w:t>
      </w:r>
      <w:r w:rsidRPr="002C083B">
        <w:rPr>
          <w:rFonts w:ascii="Segoe UI" w:hAnsi="Segoe UI" w:cs="Segoe UI"/>
          <w:color w:val="3D3C3B"/>
          <w:sz w:val="24"/>
          <w:szCs w:val="24"/>
        </w:rPr>
        <w:t>lavori</w:t>
      </w:r>
      <w:r w:rsidR="00D3591C">
        <w:rPr>
          <w:rFonts w:ascii="Segoe UI" w:hAnsi="Segoe UI" w:cs="Segoe UI"/>
          <w:color w:val="3D3C3B"/>
          <w:sz w:val="24"/>
          <w:szCs w:val="24"/>
        </w:rPr>
        <w:t>.</w:t>
      </w:r>
    </w:p>
    <w:p w:rsidR="00FD6E45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lastRenderedPageBreak/>
        <w:t>“In riferimento al Superbonus,</w:t>
      </w:r>
      <w:r w:rsidR="00437413">
        <w:rPr>
          <w:rFonts w:ascii="Segoe UI" w:hAnsi="Segoe UI" w:cs="Segoe UI"/>
          <w:i/>
          <w:iCs/>
          <w:color w:val="3D3C3B"/>
          <w:sz w:val="24"/>
          <w:szCs w:val="24"/>
        </w:rPr>
        <w:t xml:space="preserve"> nonostante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un’aliquota indicativa di rimborso pari </w:t>
      </w:r>
      <w:r w:rsidR="00437413">
        <w:rPr>
          <w:rFonts w:ascii="Segoe UI" w:hAnsi="Segoe UI" w:cs="Segoe UI"/>
          <w:i/>
          <w:iCs/>
          <w:color w:val="3D3C3B"/>
          <w:sz w:val="24"/>
          <w:szCs w:val="24"/>
        </w:rPr>
        <w:t xml:space="preserve">al 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110% </w:t>
      </w:r>
      <w:r w:rsidR="00437413">
        <w:rPr>
          <w:rFonts w:ascii="Segoe UI" w:hAnsi="Segoe UI" w:cs="Segoe UI"/>
          <w:i/>
          <w:iCs/>
          <w:color w:val="3D3C3B"/>
          <w:sz w:val="24"/>
          <w:szCs w:val="24"/>
        </w:rPr>
        <w:t xml:space="preserve">dei 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lavori effettuati, non sempre i condomini riescono a ottenere una detrazione integrale delle spese sostenute. </w:t>
      </w:r>
      <w:r w:rsidR="00544119">
        <w:rPr>
          <w:rFonts w:ascii="Segoe UI" w:hAnsi="Segoe UI" w:cs="Segoe UI"/>
          <w:i/>
          <w:iCs/>
          <w:color w:val="3D3C3B"/>
          <w:sz w:val="24"/>
          <w:szCs w:val="24"/>
        </w:rPr>
        <w:t xml:space="preserve">Nella percentuale maggiore di 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casi analizzati, </w:t>
      </w:r>
      <w:r w:rsidRPr="00544119">
        <w:rPr>
          <w:rFonts w:ascii="Segoe UI" w:hAnsi="Segoe UI" w:cs="Segoe UI"/>
          <w:i/>
          <w:iCs/>
          <w:color w:val="3D3C3B"/>
          <w:sz w:val="24"/>
          <w:szCs w:val="24"/>
        </w:rPr>
        <w:t>il 4</w:t>
      </w:r>
      <w:r w:rsidR="00CA2CAD" w:rsidRPr="00544119">
        <w:rPr>
          <w:rFonts w:ascii="Segoe UI" w:hAnsi="Segoe UI" w:cs="Segoe UI"/>
          <w:i/>
          <w:iCs/>
          <w:color w:val="3D3C3B"/>
          <w:sz w:val="24"/>
          <w:szCs w:val="24"/>
        </w:rPr>
        <w:t>6</w:t>
      </w:r>
      <w:r w:rsidRPr="00544119">
        <w:rPr>
          <w:rFonts w:ascii="Segoe UI" w:hAnsi="Segoe UI" w:cs="Segoe UI"/>
          <w:i/>
          <w:iCs/>
          <w:color w:val="3D3C3B"/>
          <w:sz w:val="24"/>
          <w:szCs w:val="24"/>
        </w:rPr>
        <w:t>%</w:t>
      </w:r>
      <w:r w:rsidR="00544119">
        <w:rPr>
          <w:rFonts w:ascii="Segoe UI" w:hAnsi="Segoe UI" w:cs="Segoe UI"/>
          <w:i/>
          <w:iCs/>
          <w:color w:val="3D3C3B"/>
          <w:sz w:val="24"/>
          <w:szCs w:val="24"/>
        </w:rPr>
        <w:t>, l</w:t>
      </w:r>
      <w:r w:rsidR="00544119">
        <w:rPr>
          <w:rFonts w:ascii="Calibri" w:eastAsia="Calibri" w:hAnsi="Calibri" w:cs="Calibri"/>
          <w:i/>
          <w:iCs/>
          <w:color w:val="3D3C3B"/>
          <w:sz w:val="24"/>
          <w:szCs w:val="24"/>
        </w:rPr>
        <w:t>’</w:t>
      </w:r>
      <w:r w:rsidR="00544119">
        <w:rPr>
          <w:rFonts w:ascii="Segoe UI" w:hAnsi="Segoe UI" w:cs="Segoe UI"/>
          <w:i/>
          <w:iCs/>
          <w:color w:val="3D3C3B"/>
          <w:sz w:val="24"/>
          <w:szCs w:val="24"/>
        </w:rPr>
        <w:t>importo detraibile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</w:t>
      </w:r>
      <w:r w:rsidR="00544119">
        <w:rPr>
          <w:rFonts w:ascii="Segoe UI" w:hAnsi="Segoe UI" w:cs="Segoe UI"/>
          <w:i/>
          <w:iCs/>
          <w:color w:val="3D3C3B"/>
          <w:sz w:val="24"/>
          <w:szCs w:val="24"/>
        </w:rPr>
        <w:t xml:space="preserve">varia 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tra il 96</w:t>
      </w:r>
      <w:r w:rsidR="004E642C">
        <w:rPr>
          <w:rFonts w:ascii="Segoe UI" w:hAnsi="Segoe UI" w:cs="Segoe UI"/>
          <w:i/>
          <w:iCs/>
          <w:color w:val="3D3C3B"/>
          <w:sz w:val="24"/>
          <w:szCs w:val="24"/>
        </w:rPr>
        <w:t>%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e il 99%. Questo perché i progetti possono essere di natura complessa e insieme agli interventi </w:t>
      </w:r>
      <w:r w:rsidR="00563EBE">
        <w:rPr>
          <w:rFonts w:ascii="Calibri" w:eastAsia="Calibri" w:hAnsi="Calibri" w:cs="Calibri"/>
          <w:i/>
          <w:iCs/>
          <w:color w:val="3D3C3B"/>
          <w:sz w:val="24"/>
          <w:szCs w:val="24"/>
        </w:rPr>
        <w:t>‘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>trainanti</w:t>
      </w:r>
      <w:r w:rsidR="00563EBE">
        <w:rPr>
          <w:rFonts w:ascii="Calibri" w:eastAsia="Calibri" w:hAnsi="Calibri" w:cs="Calibri"/>
          <w:i/>
          <w:iCs/>
          <w:color w:val="3D3C3B"/>
          <w:sz w:val="24"/>
          <w:szCs w:val="24"/>
        </w:rPr>
        <w:t>’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e</w:t>
      </w:r>
      <w:r w:rsidR="00563EBE">
        <w:rPr>
          <w:rFonts w:ascii="Segoe UI" w:hAnsi="Segoe UI" w:cs="Segoe UI"/>
          <w:i/>
          <w:iCs/>
          <w:color w:val="3D3C3B"/>
          <w:sz w:val="24"/>
          <w:szCs w:val="24"/>
        </w:rPr>
        <w:t xml:space="preserve"> </w:t>
      </w:r>
      <w:r w:rsidR="00563EBE">
        <w:rPr>
          <w:rFonts w:ascii="Calibri" w:eastAsia="Calibri" w:hAnsi="Calibri" w:cs="Calibri"/>
          <w:i/>
          <w:iCs/>
          <w:color w:val="3D3C3B"/>
          <w:sz w:val="24"/>
          <w:szCs w:val="24"/>
        </w:rPr>
        <w:t>‘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>trainati</w:t>
      </w:r>
      <w:r w:rsidR="00563EBE">
        <w:rPr>
          <w:rFonts w:ascii="Calibri" w:eastAsia="Calibri" w:hAnsi="Calibri" w:cs="Calibri"/>
          <w:i/>
          <w:iCs/>
          <w:color w:val="3D3C3B"/>
          <w:sz w:val="24"/>
          <w:szCs w:val="24"/>
        </w:rPr>
        <w:t>’</w:t>
      </w:r>
      <w:r w:rsidRPr="002C083B">
        <w:rPr>
          <w:rFonts w:ascii="Segoe UI" w:hAnsi="Segoe UI" w:cs="Segoe UI"/>
          <w:i/>
          <w:iCs/>
          <w:color w:val="3D3C3B"/>
          <w:sz w:val="24"/>
          <w:szCs w:val="24"/>
        </w:rPr>
        <w:t xml:space="preserve"> prevedere interventi che godono di incentivi con aliquote minori, come la ristrutturazione edilizia che continua a godere di un’aliquota al 50% e il rifacimento delle facciate che è al 90%. Inoltre, talvolta possono essere superati i massimali previsti per ogni intervento, determinando quindi una quota residua a carico del condominio”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7E6C17">
        <w:rPr>
          <w:rFonts w:ascii="Segoe UI" w:hAnsi="Segoe UI" w:cs="Segoe UI"/>
          <w:bCs/>
          <w:color w:val="3D3C3B"/>
          <w:sz w:val="24"/>
          <w:szCs w:val="24"/>
        </w:rPr>
        <w:t>specifica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De Biasio</w:t>
      </w:r>
      <w:r w:rsidRPr="002C083B">
        <w:rPr>
          <w:rFonts w:ascii="Segoe UI" w:hAnsi="Segoe UI" w:cs="Segoe UI"/>
          <w:color w:val="3D3C3B"/>
          <w:sz w:val="24"/>
          <w:szCs w:val="24"/>
        </w:rPr>
        <w:t>.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Analizzando il campione dei 138 condomini</w:t>
      </w:r>
      <w:r w:rsidRPr="002C083B">
        <w:rPr>
          <w:rFonts w:ascii="Segoe UI" w:hAnsi="Segoe UI" w:cs="Segoe UI"/>
          <w:color w:val="3D3C3B"/>
          <w:sz w:val="24"/>
          <w:szCs w:val="24"/>
        </w:rPr>
        <w:t>:</w:t>
      </w:r>
    </w:p>
    <w:p w:rsidR="00FD6E45" w:rsidRPr="00FD6E45" w:rsidRDefault="00FD6E45" w:rsidP="00FD6E45">
      <w:pPr>
        <w:pStyle w:val="Paragrafoelenco"/>
        <w:numPr>
          <w:ilvl w:val="0"/>
          <w:numId w:val="8"/>
        </w:numPr>
        <w:spacing w:before="0"/>
        <w:jc w:val="both"/>
        <w:rPr>
          <w:rFonts w:ascii="Segoe UI" w:hAnsi="Segoe UI" w:cs="Segoe UI"/>
          <w:color w:val="3D3C3B"/>
          <w:sz w:val="24"/>
          <w:szCs w:val="24"/>
        </w:rPr>
      </w:pPr>
      <w:r w:rsidRPr="007E6C17">
        <w:rPr>
          <w:rFonts w:ascii="Segoe UI" w:hAnsi="Segoe UI" w:cs="Segoe UI"/>
          <w:b/>
          <w:color w:val="3D3C3B"/>
          <w:sz w:val="24"/>
          <w:szCs w:val="24"/>
        </w:rPr>
        <w:t>53 condomini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(1.203 unità immobiliari) hanno beneficiato dell’</w:t>
      </w:r>
      <w:proofErr w:type="spellStart"/>
      <w:r w:rsidRPr="007E6C17">
        <w:rPr>
          <w:rFonts w:ascii="Segoe UI" w:hAnsi="Segoe UI" w:cs="Segoe UI"/>
          <w:b/>
          <w:color w:val="3D3C3B"/>
          <w:sz w:val="24"/>
          <w:szCs w:val="24"/>
        </w:rPr>
        <w:t>Ecobonus</w:t>
      </w:r>
      <w:proofErr w:type="spellEnd"/>
      <w:r w:rsidRPr="007E6C17">
        <w:rPr>
          <w:rFonts w:ascii="Segoe UI" w:hAnsi="Segoe UI" w:cs="Segoe UI"/>
          <w:b/>
          <w:color w:val="3D3C3B"/>
          <w:sz w:val="24"/>
          <w:szCs w:val="24"/>
        </w:rPr>
        <w:t xml:space="preserve"> al 65% 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per un totale di importo lavori generato </w:t>
      </w:r>
      <w:r w:rsidR="00FF29E3">
        <w:rPr>
          <w:rFonts w:ascii="Segoe UI" w:hAnsi="Segoe UI" w:cs="Segoe UI"/>
          <w:color w:val="3D3C3B"/>
          <w:sz w:val="24"/>
          <w:szCs w:val="24"/>
        </w:rPr>
        <w:t>di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39.897.041</w:t>
      </w:r>
      <w:r w:rsidR="00FF29E3">
        <w:rPr>
          <w:rFonts w:ascii="Segoe UI" w:hAnsi="Segoe UI" w:cs="Segoe UI"/>
          <w:color w:val="3D3C3B"/>
          <w:sz w:val="24"/>
          <w:szCs w:val="24"/>
        </w:rPr>
        <w:t xml:space="preserve"> 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. Di questi, il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credito d’imposta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ceduto è pari a 28.391.696</w:t>
      </w:r>
      <w:r w:rsidR="00FF29E3">
        <w:rPr>
          <w:rFonts w:ascii="Segoe UI" w:hAnsi="Segoe UI" w:cs="Segoe UI"/>
          <w:color w:val="3D3C3B"/>
          <w:sz w:val="24"/>
          <w:szCs w:val="24"/>
        </w:rPr>
        <w:t xml:space="preserve"> 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(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71%</w:t>
      </w:r>
      <w:r w:rsidRPr="00FD6E45">
        <w:rPr>
          <w:rFonts w:ascii="Segoe UI" w:hAnsi="Segoe UI" w:cs="Segoe UI"/>
          <w:color w:val="3D3C3B"/>
          <w:sz w:val="24"/>
          <w:szCs w:val="24"/>
        </w:rPr>
        <w:t>)</w:t>
      </w:r>
      <w:r w:rsidR="00FF29E3">
        <w:rPr>
          <w:rFonts w:ascii="Segoe UI" w:hAnsi="Segoe UI" w:cs="Segoe UI"/>
          <w:color w:val="3D3C3B"/>
          <w:sz w:val="24"/>
          <w:szCs w:val="24"/>
        </w:rPr>
        <w:t>,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per un totale a carico del condominio di 11.505.346 </w:t>
      </w:r>
      <w:r w:rsidR="00FF29E3">
        <w:rPr>
          <w:rFonts w:ascii="Segoe UI" w:hAnsi="Segoe UI" w:cs="Segoe UI"/>
          <w:color w:val="3D3C3B"/>
          <w:sz w:val="24"/>
          <w:szCs w:val="24"/>
        </w:rPr>
        <w:t>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(29%). </w:t>
      </w:r>
    </w:p>
    <w:p w:rsidR="00FD6E45" w:rsidRPr="00FD6E45" w:rsidRDefault="00FD6E45" w:rsidP="00FD6E45">
      <w:pPr>
        <w:pStyle w:val="Paragrafoelenco"/>
        <w:numPr>
          <w:ilvl w:val="0"/>
          <w:numId w:val="6"/>
        </w:numPr>
        <w:spacing w:before="0"/>
        <w:jc w:val="both"/>
        <w:rPr>
          <w:rFonts w:ascii="Segoe UI" w:hAnsi="Segoe UI" w:cs="Segoe UI"/>
          <w:color w:val="3D3C3B"/>
          <w:sz w:val="24"/>
          <w:szCs w:val="24"/>
        </w:rPr>
      </w:pPr>
      <w:r w:rsidRPr="007E6C17">
        <w:rPr>
          <w:rFonts w:ascii="Segoe UI" w:hAnsi="Segoe UI" w:cs="Segoe UI"/>
          <w:b/>
          <w:color w:val="3D3C3B"/>
          <w:sz w:val="24"/>
          <w:szCs w:val="24"/>
        </w:rPr>
        <w:t xml:space="preserve">85 </w:t>
      </w:r>
      <w:r w:rsidR="00FF29E3">
        <w:rPr>
          <w:rFonts w:ascii="Segoe UI" w:hAnsi="Segoe UI" w:cs="Segoe UI"/>
          <w:b/>
          <w:color w:val="3D3C3B"/>
          <w:sz w:val="24"/>
          <w:szCs w:val="24"/>
        </w:rPr>
        <w:t>condomini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(2.617 unità immobiliari) hanno beneficiato del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Superbonus 110%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per un totale di importo lavori </w:t>
      </w:r>
      <w:r w:rsidR="00FF29E3">
        <w:rPr>
          <w:rFonts w:ascii="Segoe UI" w:hAnsi="Segoe UI" w:cs="Segoe UI"/>
          <w:color w:val="3D3C3B"/>
          <w:sz w:val="24"/>
          <w:szCs w:val="24"/>
        </w:rPr>
        <w:t>di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98.590.522 </w:t>
      </w:r>
      <w:r w:rsidR="00FF29E3">
        <w:rPr>
          <w:rFonts w:ascii="Segoe UI" w:hAnsi="Segoe UI" w:cs="Segoe UI"/>
          <w:color w:val="3D3C3B"/>
          <w:sz w:val="24"/>
          <w:szCs w:val="24"/>
        </w:rPr>
        <w:t>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, di cui 95.167.956 </w:t>
      </w:r>
      <w:r w:rsidR="00FF29E3">
        <w:rPr>
          <w:rFonts w:ascii="Segoe UI" w:hAnsi="Segoe UI" w:cs="Segoe UI"/>
          <w:color w:val="3D3C3B"/>
          <w:sz w:val="24"/>
          <w:szCs w:val="24"/>
        </w:rPr>
        <w:t>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(97%)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è l’importo cedibile, mentre 3.422.565 </w:t>
      </w:r>
      <w:r w:rsidR="00FF29E3">
        <w:rPr>
          <w:rFonts w:ascii="Segoe UI" w:hAnsi="Segoe UI" w:cs="Segoe UI"/>
          <w:color w:val="3D3C3B"/>
          <w:sz w:val="24"/>
          <w:szCs w:val="24"/>
        </w:rPr>
        <w:t>euro</w:t>
      </w:r>
      <w:r w:rsidRPr="00FD6E45">
        <w:rPr>
          <w:rFonts w:ascii="Segoe UI" w:hAnsi="Segoe UI" w:cs="Segoe UI"/>
          <w:color w:val="3D3C3B"/>
          <w:sz w:val="24"/>
          <w:szCs w:val="24"/>
        </w:rPr>
        <w:t xml:space="preserve"> (3%) è il residuo a carico dei condomini. </w:t>
      </w:r>
    </w:p>
    <w:p w:rsidR="00FD6E45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Analizzando i casi in cui è stato fatto ricorso al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Superbonus 110%,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il 21% è riuscito a beneficiare di un credito d’imposta al 100%</w:t>
      </w:r>
      <w:r w:rsidR="00544119">
        <w:rPr>
          <w:rFonts w:ascii="Segoe UI" w:hAnsi="Segoe UI" w:cs="Segoe UI"/>
          <w:color w:val="3D3C3B"/>
          <w:sz w:val="24"/>
          <w:szCs w:val="24"/>
        </w:rPr>
        <w:t>: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="00544119">
        <w:rPr>
          <w:rFonts w:ascii="Segoe UI" w:hAnsi="Segoe UI" w:cs="Segoe UI"/>
          <w:color w:val="3D3C3B"/>
          <w:sz w:val="24"/>
          <w:szCs w:val="24"/>
        </w:rPr>
        <w:t>q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uesto significa che il residuo da pagare è pari a zero. Segue il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46%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del campione i cui progetti hanno generato un credito d’imposta che oscilla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tra il 96 e il 99%</w:t>
      </w:r>
      <w:r w:rsidR="00544119" w:rsidRPr="00FA37F9">
        <w:rPr>
          <w:rFonts w:ascii="Segoe UI" w:hAnsi="Segoe UI" w:cs="Segoe UI"/>
          <w:b/>
          <w:color w:val="3D3C3B"/>
          <w:sz w:val="24"/>
          <w:szCs w:val="24"/>
        </w:rPr>
        <w:t>,</w:t>
      </w:r>
      <w:r w:rsidR="00544119">
        <w:rPr>
          <w:rFonts w:ascii="Segoe UI" w:hAnsi="Segoe UI" w:cs="Segoe UI"/>
          <w:color w:val="3D3C3B"/>
          <w:sz w:val="24"/>
          <w:szCs w:val="24"/>
        </w:rPr>
        <w:t xml:space="preserve"> mentre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il </w:t>
      </w:r>
      <w:r w:rsidR="00544119">
        <w:rPr>
          <w:rFonts w:ascii="Segoe UI" w:hAnsi="Segoe UI" w:cs="Segoe UI"/>
          <w:color w:val="3D3C3B"/>
          <w:sz w:val="24"/>
          <w:szCs w:val="24"/>
        </w:rPr>
        <w:t xml:space="preserve">restante 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24% </w:t>
      </w:r>
      <w:r w:rsidR="00544119">
        <w:rPr>
          <w:rFonts w:ascii="Segoe UI" w:hAnsi="Segoe UI" w:cs="Segoe UI"/>
          <w:color w:val="3D3C3B"/>
          <w:sz w:val="24"/>
          <w:szCs w:val="24"/>
        </w:rPr>
        <w:t xml:space="preserve">gode di </w:t>
      </w:r>
      <w:r w:rsidRPr="002C083B">
        <w:rPr>
          <w:rFonts w:ascii="Segoe UI" w:hAnsi="Segoe UI" w:cs="Segoe UI"/>
          <w:color w:val="3D3C3B"/>
          <w:sz w:val="24"/>
          <w:szCs w:val="24"/>
        </w:rPr>
        <w:t>un’aliquota tra il 91</w:t>
      </w:r>
      <w:r w:rsidR="00544119">
        <w:rPr>
          <w:rFonts w:ascii="Segoe UI" w:hAnsi="Segoe UI" w:cs="Segoe UI"/>
          <w:color w:val="3D3C3B"/>
          <w:sz w:val="24"/>
          <w:szCs w:val="24"/>
        </w:rPr>
        <w:t>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e il 95%. </w:t>
      </w:r>
    </w:p>
    <w:p w:rsidR="00FD6E45" w:rsidRPr="002C083B" w:rsidRDefault="003348AD" w:rsidP="00FD6E45">
      <w:pPr>
        <w:jc w:val="center"/>
        <w:rPr>
          <w:rFonts w:ascii="Segoe UI" w:hAnsi="Segoe UI" w:cs="Segoe UI"/>
          <w:color w:val="3D3C3B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039160" cy="215911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160" cy="215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45" w:rsidRPr="002C083B" w:rsidRDefault="00FD6E45" w:rsidP="003348AD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>Dei condomini che hanno eff</w:t>
      </w:r>
      <w:r w:rsidR="003348AD">
        <w:rPr>
          <w:rFonts w:ascii="Segoe UI" w:hAnsi="Segoe UI" w:cs="Segoe UI"/>
          <w:color w:val="3D3C3B"/>
          <w:sz w:val="24"/>
          <w:szCs w:val="24"/>
        </w:rPr>
        <w:t xml:space="preserve">ettuato interventi in </w:t>
      </w:r>
      <w:proofErr w:type="spellStart"/>
      <w:r w:rsidR="003348AD" w:rsidRPr="00FA37F9">
        <w:rPr>
          <w:rFonts w:ascii="Segoe UI" w:hAnsi="Segoe UI" w:cs="Segoe UI"/>
          <w:b/>
          <w:color w:val="3D3C3B"/>
          <w:sz w:val="24"/>
          <w:szCs w:val="24"/>
        </w:rPr>
        <w:t>Ecobonus</w:t>
      </w:r>
      <w:proofErr w:type="spellEnd"/>
      <w:r w:rsidR="003348AD">
        <w:rPr>
          <w:rFonts w:ascii="Segoe UI" w:hAnsi="Segoe UI" w:cs="Segoe UI"/>
          <w:color w:val="3D3C3B"/>
          <w:sz w:val="24"/>
          <w:szCs w:val="24"/>
        </w:rPr>
        <w:t xml:space="preserve">, 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aliquota al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65%</w:t>
      </w:r>
      <w:r w:rsidR="003348AD">
        <w:rPr>
          <w:rFonts w:ascii="Segoe UI" w:hAnsi="Segoe UI" w:cs="Segoe UI"/>
          <w:color w:val="3D3C3B"/>
          <w:sz w:val="24"/>
          <w:szCs w:val="24"/>
        </w:rPr>
        <w:t xml:space="preserve">, a cui si aggiungono </w:t>
      </w:r>
      <w:r w:rsidR="003348AD" w:rsidRPr="003348AD">
        <w:rPr>
          <w:rFonts w:ascii="Segoe UI" w:hAnsi="Segoe UI" w:cs="Segoe UI"/>
          <w:color w:val="3D3C3B"/>
          <w:sz w:val="24"/>
          <w:szCs w:val="24"/>
        </w:rPr>
        <w:t>casistiche di Bo</w:t>
      </w:r>
      <w:r w:rsidR="003348AD">
        <w:rPr>
          <w:rFonts w:ascii="Segoe UI" w:hAnsi="Segoe UI" w:cs="Segoe UI"/>
          <w:color w:val="3D3C3B"/>
          <w:sz w:val="24"/>
          <w:szCs w:val="24"/>
        </w:rPr>
        <w:t xml:space="preserve">nus Facciate 90% e </w:t>
      </w:r>
      <w:proofErr w:type="spellStart"/>
      <w:r w:rsidR="003348AD">
        <w:rPr>
          <w:rFonts w:ascii="Segoe UI" w:hAnsi="Segoe UI" w:cs="Segoe UI"/>
          <w:color w:val="3D3C3B"/>
          <w:sz w:val="24"/>
          <w:szCs w:val="24"/>
        </w:rPr>
        <w:t>Sismabonus</w:t>
      </w:r>
      <w:proofErr w:type="spellEnd"/>
      <w:r w:rsidR="003348AD">
        <w:rPr>
          <w:rFonts w:ascii="Segoe UI" w:hAnsi="Segoe UI" w:cs="Segoe UI"/>
          <w:color w:val="3D3C3B"/>
          <w:sz w:val="24"/>
          <w:szCs w:val="24"/>
        </w:rPr>
        <w:t xml:space="preserve"> (</w:t>
      </w:r>
      <w:r w:rsidR="003348AD" w:rsidRPr="003348AD">
        <w:rPr>
          <w:rFonts w:ascii="Segoe UI" w:hAnsi="Segoe UI" w:cs="Segoe UI"/>
          <w:color w:val="3D3C3B"/>
          <w:sz w:val="24"/>
          <w:szCs w:val="24"/>
        </w:rPr>
        <w:t>70-80%)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, il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43%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può beneficiare di una detrazione tra il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61</w:t>
      </w:r>
      <w:r w:rsidR="00544119" w:rsidRPr="00FA37F9">
        <w:rPr>
          <w:rFonts w:ascii="Segoe UI" w:hAnsi="Segoe UI" w:cs="Segoe UI"/>
          <w:b/>
          <w:color w:val="3D3C3B"/>
          <w:sz w:val="24"/>
          <w:szCs w:val="24"/>
        </w:rPr>
        <w:t xml:space="preserve">% </w:t>
      </w:r>
      <w:r w:rsidRPr="00FA37F9">
        <w:rPr>
          <w:rFonts w:ascii="Segoe UI" w:hAnsi="Segoe UI" w:cs="Segoe UI"/>
          <w:b/>
          <w:color w:val="3D3C3B"/>
          <w:sz w:val="24"/>
          <w:szCs w:val="24"/>
        </w:rPr>
        <w:t>e il 69%.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Seguono quelli che possono ottenere un credito d’imposta tra il 70</w:t>
      </w:r>
      <w:r w:rsidR="00544119">
        <w:rPr>
          <w:rFonts w:ascii="Segoe UI" w:hAnsi="Segoe UI" w:cs="Segoe UI"/>
          <w:color w:val="3D3C3B"/>
          <w:sz w:val="24"/>
          <w:szCs w:val="24"/>
        </w:rPr>
        <w:t>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e l’80%, circa il 25% dei casi. </w:t>
      </w:r>
    </w:p>
    <w:p w:rsidR="00FD6E45" w:rsidRPr="002C083B" w:rsidRDefault="003348AD" w:rsidP="00FD6E45">
      <w:pPr>
        <w:jc w:val="center"/>
        <w:rPr>
          <w:rFonts w:ascii="Segoe UI" w:hAnsi="Segoe UI" w:cs="Segoe UI"/>
          <w:color w:val="3D3C3B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007409" cy="2152761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409" cy="21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Dal confronto emerge in modo chiaro il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vantaggio fiscale del Superbonus</w:t>
      </w:r>
      <w:r w:rsidRPr="002C083B">
        <w:rPr>
          <w:rFonts w:ascii="Segoe UI" w:hAnsi="Segoe UI" w:cs="Segoe UI"/>
          <w:color w:val="3D3C3B"/>
          <w:sz w:val="24"/>
          <w:szCs w:val="24"/>
        </w:rPr>
        <w:t>, rispetto a quello dell’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Ecobonus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>. Questo nonostante la complessità degli interventi, che possono prevedere una quota di ristrutturazione edilizia o in alcuni casi superare i massimali previsti per l’applicazione del 110%.</w:t>
      </w:r>
    </w:p>
    <w:p w:rsidR="00FD6E45" w:rsidRPr="002C083B" w:rsidRDefault="00FD6E45" w:rsidP="002C083B">
      <w:pPr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QUANTIFICAZIONE DEL RISPARMIO ENERGETICO MEDIO PER UNITÀ ABITATIVA E DELLA RIDUZIONE DELLA CO2 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Per quanto riguarda la parte energetica, </w:t>
      </w:r>
      <w:r w:rsidR="003A5229">
        <w:rPr>
          <w:rFonts w:ascii="Segoe UI" w:hAnsi="Segoe UI" w:cs="Segoe UI"/>
          <w:color w:val="3D3C3B"/>
          <w:sz w:val="24"/>
          <w:szCs w:val="24"/>
        </w:rPr>
        <w:t>rispetto ai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138 condomini complessivi, ne sono stati presi in considerazione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74,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2C083B" w:rsidDel="00237BFE">
        <w:rPr>
          <w:rFonts w:ascii="Segoe UI" w:hAnsi="Segoe UI" w:cs="Segoe UI"/>
          <w:color w:val="3D3C3B"/>
          <w:sz w:val="24"/>
          <w:szCs w:val="24"/>
        </w:rPr>
        <w:t>per un tot</w:t>
      </w:r>
      <w:r w:rsidRPr="002C083B">
        <w:rPr>
          <w:rFonts w:ascii="Segoe UI" w:hAnsi="Segoe UI" w:cs="Segoe UI"/>
          <w:color w:val="3D3C3B"/>
          <w:sz w:val="24"/>
          <w:szCs w:val="24"/>
        </w:rPr>
        <w:t>ale di 2.302 unità immobiliari.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>In questo caso è stato stimato:</w:t>
      </w:r>
    </w:p>
    <w:p w:rsidR="00FD6E45" w:rsidRPr="00FD6E45" w:rsidDel="00237BFE" w:rsidRDefault="00FD6E45" w:rsidP="002C083B">
      <w:pPr>
        <w:pStyle w:val="Paragrafoelenco"/>
        <w:numPr>
          <w:ilvl w:val="0"/>
          <w:numId w:val="6"/>
        </w:num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 w:rsidDel="00237BFE">
        <w:rPr>
          <w:rFonts w:ascii="Segoe UI" w:hAnsi="Segoe UI" w:cs="Segoe UI"/>
          <w:color w:val="3D3C3B"/>
          <w:sz w:val="24"/>
          <w:szCs w:val="24"/>
        </w:rPr>
        <w:t>i</w:t>
      </w:r>
      <w:r w:rsidRPr="00FD6E45" w:rsidDel="00237BFE">
        <w:rPr>
          <w:rFonts w:ascii="Segoe UI" w:hAnsi="Segoe UI" w:cs="Segoe UI"/>
          <w:color w:val="3D3C3B"/>
          <w:sz w:val="24"/>
          <w:szCs w:val="24"/>
        </w:rPr>
        <w:t>l</w:t>
      </w:r>
      <w:r w:rsidRPr="002C083B" w:rsidDel="00237BFE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FD6E45" w:rsidDel="00237BFE">
        <w:rPr>
          <w:rFonts w:ascii="Segoe UI" w:hAnsi="Segoe UI" w:cs="Segoe UI"/>
          <w:color w:val="3D3C3B"/>
          <w:sz w:val="24"/>
          <w:szCs w:val="24"/>
        </w:rPr>
        <w:t>risparmio energetico medio e la riduzione media di emissi</w:t>
      </w:r>
      <w:r w:rsidRPr="00FD6E45">
        <w:rPr>
          <w:rFonts w:ascii="Segoe UI" w:hAnsi="Segoe UI" w:cs="Segoe UI"/>
          <w:color w:val="3D3C3B"/>
          <w:sz w:val="24"/>
          <w:szCs w:val="24"/>
        </w:rPr>
        <w:t>oni di CO2 per unità abitativa;</w:t>
      </w:r>
    </w:p>
    <w:p w:rsidR="00FD6E45" w:rsidRPr="002C083B" w:rsidRDefault="00FD6E45" w:rsidP="002C083B">
      <w:pPr>
        <w:pStyle w:val="Paragrafoelenco"/>
        <w:numPr>
          <w:ilvl w:val="0"/>
          <w:numId w:val="6"/>
        </w:num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>le</w:t>
      </w:r>
      <w:r w:rsidRPr="002C083B" w:rsidDel="00237BFE">
        <w:rPr>
          <w:rFonts w:ascii="Segoe UI" w:hAnsi="Segoe UI" w:cs="Segoe UI"/>
          <w:color w:val="3D3C3B"/>
          <w:sz w:val="24"/>
          <w:szCs w:val="24"/>
        </w:rPr>
        <w:t xml:space="preserve"> percentuali medie di abbattimento della </w:t>
      </w:r>
      <w:proofErr w:type="spellStart"/>
      <w:r w:rsidRPr="002C083B" w:rsidDel="00237BFE">
        <w:rPr>
          <w:rFonts w:ascii="Segoe UI" w:hAnsi="Segoe UI" w:cs="Segoe UI"/>
          <w:color w:val="3D3C3B"/>
          <w:sz w:val="24"/>
          <w:szCs w:val="24"/>
        </w:rPr>
        <w:t>trasmittanza</w:t>
      </w:r>
      <w:proofErr w:type="spellEnd"/>
      <w:r w:rsidRPr="002C083B" w:rsidDel="00237BFE">
        <w:rPr>
          <w:rFonts w:ascii="Segoe UI" w:hAnsi="Segoe UI" w:cs="Segoe UI"/>
          <w:color w:val="3D3C3B"/>
          <w:sz w:val="24"/>
          <w:szCs w:val="24"/>
        </w:rPr>
        <w:t xml:space="preserve"> termica per i diversi componenti </w:t>
      </w:r>
      <w:r w:rsidRPr="002C083B">
        <w:rPr>
          <w:rFonts w:ascii="Segoe UI" w:hAnsi="Segoe UI" w:cs="Segoe UI"/>
          <w:color w:val="3D3C3B"/>
          <w:sz w:val="24"/>
          <w:szCs w:val="24"/>
        </w:rPr>
        <w:t>del</w:t>
      </w:r>
      <w:r w:rsidRPr="002C083B" w:rsidDel="00237BFE">
        <w:rPr>
          <w:rFonts w:ascii="Segoe UI" w:hAnsi="Segoe UI" w:cs="Segoe UI"/>
          <w:color w:val="3D3C3B"/>
          <w:sz w:val="24"/>
          <w:szCs w:val="24"/>
        </w:rPr>
        <w:t>l’involucro edilizio (pareti, coperture, pavimenti, se</w:t>
      </w:r>
      <w:r w:rsidRPr="002C083B">
        <w:rPr>
          <w:rFonts w:ascii="Segoe UI" w:hAnsi="Segoe UI" w:cs="Segoe UI"/>
          <w:color w:val="3D3C3B"/>
          <w:sz w:val="24"/>
          <w:szCs w:val="24"/>
        </w:rPr>
        <w:t>rramenti);</w:t>
      </w:r>
    </w:p>
    <w:p w:rsidR="00FD6E45" w:rsidRPr="002C083B" w:rsidRDefault="00FD6E45" w:rsidP="002C083B">
      <w:pPr>
        <w:pStyle w:val="Paragrafoelenco"/>
        <w:numPr>
          <w:ilvl w:val="0"/>
          <w:numId w:val="6"/>
        </w:num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>la riduzione del consumo di gas.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L’abbattimento del fabbisogno energetico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medio stimato per i condomini analizzati, che vedono un totale di 213.531 mq di isolamento termico,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è del 53%,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mentre la percentuale di risparmio energetico medio stimata è del 48%. A confermare questi valori positivi</w:t>
      </w:r>
      <w:r w:rsidR="003A5229">
        <w:rPr>
          <w:rFonts w:ascii="Segoe UI" w:hAnsi="Segoe UI" w:cs="Segoe UI"/>
          <w:color w:val="3D3C3B"/>
          <w:sz w:val="24"/>
          <w:szCs w:val="24"/>
        </w:rPr>
        <w:t>,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il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salto di classe energetica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medio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che è stato stimato intorno a </w:t>
      </w:r>
      <w:r w:rsidRPr="007E6C17">
        <w:rPr>
          <w:rFonts w:ascii="Segoe UI" w:hAnsi="Segoe UI" w:cs="Segoe UI"/>
          <w:b/>
          <w:color w:val="3D3C3B"/>
          <w:sz w:val="24"/>
          <w:szCs w:val="24"/>
        </w:rPr>
        <w:t>3,2.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</w:p>
    <w:p w:rsidR="00FD6E45" w:rsidRPr="002C083B" w:rsidRDefault="00FD6E45" w:rsidP="002C083B">
      <w:pPr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Un altro degli aspetti positivi che l’analisi ci restituisce è la riduzione del consumo di gas. Partendo dalla stima del consumo di gas complessivo dei condomini ante 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operam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l’abbattimento stimato del consumo al mc di gas post-intervento è del 37%.</w:t>
      </w:r>
    </w:p>
    <w:p w:rsidR="00FD6E45" w:rsidRPr="002C083B" w:rsidRDefault="00FD6E45" w:rsidP="00D13D7C">
      <w:pPr>
        <w:contextualSpacing/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Il risparmio, in termini di minor gas utilizzato per riscaldare l’abitazione e per la produzione di acqua calda, determina anche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una riduzione dei costi annuali di utilizzo </w:t>
      </w:r>
      <w:r w:rsidR="003F7B18">
        <w:rPr>
          <w:rFonts w:ascii="Segoe UI" w:hAnsi="Segoe UI" w:cs="Segoe UI"/>
          <w:b/>
          <w:bCs/>
          <w:color w:val="3D3C3B"/>
          <w:sz w:val="24"/>
          <w:szCs w:val="24"/>
        </w:rPr>
        <w:t xml:space="preserve">del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gas che, per i 74 edifici del campione, è stimata al 43%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A migliorare è anche il rendimento medio </w:t>
      </w:r>
      <w:r w:rsidRPr="002C083B">
        <w:rPr>
          <w:rFonts w:ascii="Segoe UI" w:hAnsi="Segoe UI" w:cs="Segoe UI"/>
          <w:color w:val="3D3C3B"/>
          <w:sz w:val="24"/>
          <w:szCs w:val="24"/>
        </w:rPr>
        <w:lastRenderedPageBreak/>
        <w:t xml:space="preserve">stagionale del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rapporto tra calore fornito dalla caldaia e energia consumata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Dall’analisi dei dati si nota che, se </w:t>
      </w:r>
      <w:proofErr w:type="spellStart"/>
      <w:r w:rsidRPr="002C083B">
        <w:rPr>
          <w:rFonts w:ascii="Segoe UI" w:hAnsi="Segoe UI" w:cs="Segoe UI"/>
          <w:color w:val="3D3C3B"/>
          <w:sz w:val="24"/>
          <w:szCs w:val="24"/>
        </w:rPr>
        <w:t>ante-operam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 xml:space="preserve"> questo rapporto è pari all’82%, con gli interventi di ristrutturazione energetica si arriva al </w:t>
      </w: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106%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. Questo, avrà un impatto notevole in termini </w:t>
      </w:r>
      <w:r w:rsidR="008B14C6">
        <w:rPr>
          <w:rFonts w:ascii="Segoe UI" w:hAnsi="Segoe UI" w:cs="Segoe UI"/>
          <w:color w:val="3D3C3B"/>
          <w:sz w:val="24"/>
          <w:szCs w:val="24"/>
        </w:rPr>
        <w:t xml:space="preserve">sia </w:t>
      </w:r>
      <w:r w:rsidRPr="002C083B">
        <w:rPr>
          <w:rFonts w:ascii="Segoe UI" w:hAnsi="Segoe UI" w:cs="Segoe UI"/>
          <w:color w:val="3D3C3B"/>
          <w:sz w:val="24"/>
          <w:szCs w:val="24"/>
        </w:rPr>
        <w:t xml:space="preserve">di risparmio economico in bolletta e nei costi condominiali, sia di incremento del valore di mercato dell’immobile. </w:t>
      </w:r>
    </w:p>
    <w:p w:rsidR="00FD6E45" w:rsidRDefault="00FD6E45" w:rsidP="00D13D7C">
      <w:pPr>
        <w:contextualSpacing/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 xml:space="preserve">Infine, un terzo dato che si è riusciti a ricavare è il risparmio di emissioni di CO2 che per i 74 condomini analizzati è stimato intorno al 51%. </w:t>
      </w:r>
    </w:p>
    <w:p w:rsidR="003955B8" w:rsidRPr="002C083B" w:rsidRDefault="003955B8" w:rsidP="00D13D7C">
      <w:pPr>
        <w:contextualSpacing/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</w:p>
    <w:p w:rsidR="00FD6E45" w:rsidRPr="002C083B" w:rsidRDefault="00FA37F9" w:rsidP="003955B8">
      <w:pPr>
        <w:jc w:val="center"/>
        <w:rPr>
          <w:rFonts w:ascii="Segoe UI" w:hAnsi="Segoe UI" w:cs="Segoe UI"/>
          <w:color w:val="3D3C3B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868063" cy="1546112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144" cy="154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E45" w:rsidRPr="002C083B" w:rsidRDefault="00FD6E45" w:rsidP="00FD6E45">
      <w:pPr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  <w:r w:rsidRPr="002C083B">
        <w:rPr>
          <w:rFonts w:ascii="Segoe UI" w:hAnsi="Segoe UI" w:cs="Segoe UI"/>
          <w:b/>
          <w:bCs/>
          <w:color w:val="3D3C3B"/>
          <w:sz w:val="24"/>
          <w:szCs w:val="24"/>
        </w:rPr>
        <w:t>PERCENTUALE ABBATTIMENTO DELLA TRASMITTANZA TERMICA</w:t>
      </w:r>
    </w:p>
    <w:p w:rsidR="00FD6E45" w:rsidRPr="002C083B" w:rsidRDefault="00FD6E45" w:rsidP="00355C79">
      <w:pPr>
        <w:spacing w:afterLines="200"/>
        <w:contextualSpacing/>
        <w:jc w:val="both"/>
        <w:rPr>
          <w:rFonts w:ascii="Segoe UI" w:hAnsi="Segoe UI" w:cs="Segoe UI"/>
          <w:color w:val="3D3C3B"/>
          <w:sz w:val="24"/>
          <w:szCs w:val="24"/>
        </w:rPr>
      </w:pPr>
      <w:r w:rsidRPr="002C083B">
        <w:rPr>
          <w:rFonts w:ascii="Segoe UI" w:hAnsi="Segoe UI" w:cs="Segoe UI"/>
          <w:color w:val="3D3C3B"/>
          <w:sz w:val="24"/>
          <w:szCs w:val="24"/>
        </w:rPr>
        <w:t xml:space="preserve">Un altro indicatore che la ricerca fornisce è la percentuale di abbattimento della </w:t>
      </w:r>
      <w:proofErr w:type="spellStart"/>
      <w:r w:rsidRPr="007E6C17">
        <w:rPr>
          <w:rFonts w:ascii="Segoe UI" w:hAnsi="Segoe UI" w:cs="Segoe UI"/>
          <w:b/>
          <w:color w:val="3D3C3B"/>
          <w:sz w:val="24"/>
          <w:szCs w:val="24"/>
        </w:rPr>
        <w:t>trasmittanza</w:t>
      </w:r>
      <w:proofErr w:type="spellEnd"/>
      <w:r w:rsidRPr="002C083B">
        <w:rPr>
          <w:rFonts w:ascii="Segoe UI" w:hAnsi="Segoe UI" w:cs="Segoe UI"/>
          <w:color w:val="3D3C3B"/>
          <w:sz w:val="24"/>
          <w:szCs w:val="24"/>
        </w:rPr>
        <w:t>, ovvero, quanto è migliorata dopo l’intervento di efficientamento energetico la capacità dell’involucro edilizio nell’isolare l’ambiente interno da quello esterno e contenere la dispersione di calore.</w:t>
      </w:r>
    </w:p>
    <w:p w:rsidR="003955B8" w:rsidRDefault="00FD6E45" w:rsidP="00355C79">
      <w:pPr>
        <w:spacing w:before="100" w:beforeAutospacing="1" w:afterLines="200"/>
        <w:contextualSpacing/>
        <w:jc w:val="both"/>
        <w:rPr>
          <w:rFonts w:ascii="Segoe UI" w:hAnsi="Segoe UI" w:cs="Segoe UI"/>
          <w:color w:val="3D3C3B"/>
          <w:sz w:val="24"/>
          <w:szCs w:val="24"/>
        </w:rPr>
      </w:pPr>
      <w:r w:rsidRPr="00D13D7C">
        <w:rPr>
          <w:rFonts w:ascii="Segoe UI" w:hAnsi="Segoe UI" w:cs="Segoe UI"/>
          <w:color w:val="3D3C3B"/>
          <w:sz w:val="24"/>
          <w:szCs w:val="24"/>
        </w:rPr>
        <w:t xml:space="preserve">Dall’analisi dei dati sulla </w:t>
      </w:r>
      <w:proofErr w:type="spellStart"/>
      <w:r w:rsidRPr="00D13D7C">
        <w:rPr>
          <w:rFonts w:ascii="Segoe UI" w:hAnsi="Segoe UI" w:cs="Segoe UI"/>
          <w:color w:val="3D3C3B"/>
          <w:sz w:val="24"/>
          <w:szCs w:val="24"/>
        </w:rPr>
        <w:t>trasmittanza</w:t>
      </w:r>
      <w:proofErr w:type="spellEnd"/>
      <w:r w:rsidR="008B14C6" w:rsidRPr="00D13D7C">
        <w:rPr>
          <w:rFonts w:ascii="Segoe UI" w:hAnsi="Segoe UI" w:cs="Segoe UI"/>
          <w:color w:val="3D3C3B"/>
          <w:sz w:val="24"/>
          <w:szCs w:val="24"/>
        </w:rPr>
        <w:t>,</w:t>
      </w:r>
      <w:r w:rsidRPr="00D13D7C">
        <w:rPr>
          <w:rFonts w:ascii="Segoe UI" w:hAnsi="Segoe UI" w:cs="Segoe UI"/>
          <w:color w:val="3D3C3B"/>
          <w:sz w:val="24"/>
          <w:szCs w:val="24"/>
        </w:rPr>
        <w:t xml:space="preserve"> ante e post </w:t>
      </w:r>
      <w:proofErr w:type="spellStart"/>
      <w:r w:rsidRPr="00D13D7C">
        <w:rPr>
          <w:rFonts w:ascii="Segoe UI" w:hAnsi="Segoe UI" w:cs="Segoe UI"/>
          <w:color w:val="3D3C3B"/>
          <w:sz w:val="24"/>
          <w:szCs w:val="24"/>
        </w:rPr>
        <w:t>operam</w:t>
      </w:r>
      <w:proofErr w:type="spellEnd"/>
      <w:r w:rsidRPr="00D13D7C">
        <w:rPr>
          <w:rFonts w:ascii="Segoe UI" w:hAnsi="Segoe UI" w:cs="Segoe UI"/>
          <w:color w:val="3D3C3B"/>
          <w:sz w:val="24"/>
          <w:szCs w:val="24"/>
        </w:rPr>
        <w:t xml:space="preserve"> stimata</w:t>
      </w:r>
      <w:r w:rsidR="008B14C6" w:rsidRPr="00D13D7C">
        <w:rPr>
          <w:rFonts w:ascii="Segoe UI" w:hAnsi="Segoe UI" w:cs="Segoe UI"/>
          <w:color w:val="3D3C3B"/>
          <w:sz w:val="24"/>
          <w:szCs w:val="24"/>
        </w:rPr>
        <w:t>,</w:t>
      </w:r>
      <w:r w:rsidRPr="00D13D7C">
        <w:rPr>
          <w:rFonts w:ascii="Segoe UI" w:hAnsi="Segoe UI" w:cs="Segoe UI"/>
          <w:color w:val="3D3C3B"/>
          <w:sz w:val="24"/>
          <w:szCs w:val="24"/>
        </w:rPr>
        <w:t xml:space="preserve"> è stato possibile calcolare la percentuale di abbattimento dei diversi elementi (pareti, coperture, pavimenti, serramenti) che compongono l’involucro edilizio. In particolare, la riduzione percentuale</w:t>
      </w:r>
      <w:r w:rsidR="00D3769E" w:rsidRPr="00D13D7C">
        <w:rPr>
          <w:rFonts w:ascii="Segoe UI" w:hAnsi="Segoe UI" w:cs="Segoe UI"/>
          <w:color w:val="3D3C3B"/>
          <w:sz w:val="24"/>
          <w:szCs w:val="24"/>
        </w:rPr>
        <w:t xml:space="preserve"> della </w:t>
      </w:r>
      <w:proofErr w:type="spellStart"/>
      <w:r w:rsidR="00D3769E" w:rsidRPr="00D13D7C">
        <w:rPr>
          <w:rFonts w:ascii="Segoe UI" w:hAnsi="Segoe UI" w:cs="Segoe UI"/>
          <w:color w:val="3D3C3B"/>
          <w:sz w:val="24"/>
          <w:szCs w:val="24"/>
        </w:rPr>
        <w:t>trasmittanza</w:t>
      </w:r>
      <w:proofErr w:type="spellEnd"/>
      <w:r w:rsidR="00D3769E" w:rsidRPr="00D13D7C">
        <w:rPr>
          <w:rFonts w:ascii="Segoe UI" w:hAnsi="Segoe UI" w:cs="Segoe UI"/>
          <w:color w:val="3D3C3B"/>
          <w:sz w:val="24"/>
          <w:szCs w:val="24"/>
        </w:rPr>
        <w:t xml:space="preserve"> termica</w:t>
      </w:r>
      <w:r w:rsidRPr="00D13D7C">
        <w:rPr>
          <w:rFonts w:ascii="Segoe UI" w:hAnsi="Segoe UI" w:cs="Segoe UI"/>
          <w:color w:val="3D3C3B"/>
          <w:sz w:val="24"/>
          <w:szCs w:val="24"/>
        </w:rPr>
        <w:t xml:space="preserve"> emersa è la seguente: </w:t>
      </w:r>
    </w:p>
    <w:p w:rsidR="00FD6E45" w:rsidRPr="003955B8" w:rsidRDefault="00FD6E45" w:rsidP="00355C79">
      <w:pPr>
        <w:pStyle w:val="Paragrafoelenco"/>
        <w:numPr>
          <w:ilvl w:val="0"/>
          <w:numId w:val="11"/>
        </w:numPr>
        <w:spacing w:before="100" w:beforeAutospacing="1" w:afterLines="200"/>
        <w:jc w:val="both"/>
        <w:rPr>
          <w:rFonts w:ascii="Segoe UI" w:hAnsi="Segoe UI" w:cs="Segoe UI"/>
          <w:color w:val="3D3C3B"/>
          <w:sz w:val="24"/>
          <w:szCs w:val="24"/>
        </w:rPr>
      </w:pPr>
      <w:r w:rsidRPr="003955B8">
        <w:rPr>
          <w:rFonts w:ascii="Segoe UI" w:hAnsi="Segoe UI" w:cs="Segoe UI"/>
          <w:color w:val="3D3C3B"/>
          <w:sz w:val="24"/>
          <w:szCs w:val="24"/>
        </w:rPr>
        <w:t xml:space="preserve">strutture opache verticali (pavimenti): </w:t>
      </w:r>
      <w:r w:rsidRPr="003955B8">
        <w:rPr>
          <w:rFonts w:ascii="Segoe UI" w:hAnsi="Segoe UI" w:cs="Segoe UI"/>
          <w:b/>
          <w:color w:val="3D3C3B"/>
          <w:sz w:val="24"/>
          <w:szCs w:val="24"/>
        </w:rPr>
        <w:t>83%</w:t>
      </w:r>
    </w:p>
    <w:p w:rsidR="00D13D7C" w:rsidRPr="00D13D7C" w:rsidRDefault="00FD6E45" w:rsidP="00355C79">
      <w:pPr>
        <w:pStyle w:val="Paragrafoelenco"/>
        <w:numPr>
          <w:ilvl w:val="0"/>
          <w:numId w:val="9"/>
        </w:numPr>
        <w:spacing w:before="100" w:beforeAutospacing="1" w:afterLines="200"/>
        <w:jc w:val="both"/>
        <w:rPr>
          <w:rFonts w:ascii="Segoe UI" w:hAnsi="Segoe UI" w:cs="Segoe UI"/>
          <w:b/>
          <w:color w:val="3D3C3B"/>
          <w:sz w:val="24"/>
          <w:szCs w:val="24"/>
        </w:rPr>
      </w:pPr>
      <w:r w:rsidRPr="00D13D7C">
        <w:rPr>
          <w:rFonts w:ascii="Segoe UI" w:hAnsi="Segoe UI" w:cs="Segoe UI"/>
          <w:color w:val="3D3C3B"/>
          <w:sz w:val="24"/>
          <w:szCs w:val="24"/>
        </w:rPr>
        <w:t>strutture opache orizzontali o inclinate (coperture</w:t>
      </w:r>
      <w:r w:rsidRPr="00D13D7C">
        <w:rPr>
          <w:rFonts w:ascii="Segoe UI" w:hAnsi="Segoe UI" w:cs="Segoe UI"/>
          <w:b/>
          <w:color w:val="3D3C3B"/>
          <w:sz w:val="24"/>
          <w:szCs w:val="24"/>
        </w:rPr>
        <w:t>): 84%</w:t>
      </w:r>
    </w:p>
    <w:p w:rsidR="00FD6E45" w:rsidRPr="00D13D7C" w:rsidRDefault="00FD6E45" w:rsidP="00355C79">
      <w:pPr>
        <w:pStyle w:val="Paragrafoelenco"/>
        <w:numPr>
          <w:ilvl w:val="0"/>
          <w:numId w:val="9"/>
        </w:numPr>
        <w:spacing w:before="100" w:beforeAutospacing="1" w:afterLines="200"/>
        <w:jc w:val="both"/>
        <w:rPr>
          <w:rFonts w:ascii="Segoe UI" w:hAnsi="Segoe UI" w:cs="Segoe UI"/>
          <w:color w:val="3D3C3B"/>
          <w:sz w:val="24"/>
          <w:szCs w:val="24"/>
        </w:rPr>
      </w:pPr>
      <w:r w:rsidRPr="00D13D7C">
        <w:rPr>
          <w:rFonts w:ascii="Segoe UI" w:hAnsi="Segoe UI" w:cs="Segoe UI"/>
          <w:color w:val="3D3C3B"/>
          <w:sz w:val="24"/>
          <w:szCs w:val="24"/>
        </w:rPr>
        <w:t xml:space="preserve">strutture opache orizzontali o inclinate (pavimenti): </w:t>
      </w:r>
      <w:r w:rsidRPr="00D13D7C">
        <w:rPr>
          <w:rFonts w:ascii="Segoe UI" w:hAnsi="Segoe UI" w:cs="Segoe UI"/>
          <w:b/>
          <w:color w:val="3D3C3B"/>
          <w:sz w:val="24"/>
          <w:szCs w:val="24"/>
        </w:rPr>
        <w:t>85%</w:t>
      </w:r>
    </w:p>
    <w:p w:rsidR="00D13D7C" w:rsidRPr="003955B8" w:rsidRDefault="00FD6E45" w:rsidP="00355C79">
      <w:pPr>
        <w:pStyle w:val="Paragrafoelenco"/>
        <w:numPr>
          <w:ilvl w:val="0"/>
          <w:numId w:val="9"/>
        </w:numPr>
        <w:spacing w:before="100" w:beforeAutospacing="1" w:afterLines="200"/>
        <w:jc w:val="both"/>
        <w:rPr>
          <w:rFonts w:ascii="Segoe UI" w:hAnsi="Segoe UI" w:cs="Segoe UI"/>
          <w:color w:val="3D3C3B"/>
          <w:sz w:val="24"/>
          <w:szCs w:val="24"/>
        </w:rPr>
      </w:pPr>
      <w:r w:rsidRPr="00D13D7C">
        <w:rPr>
          <w:rFonts w:ascii="Segoe UI" w:hAnsi="Segoe UI" w:cs="Segoe UI"/>
          <w:color w:val="3D3C3B"/>
          <w:sz w:val="24"/>
          <w:szCs w:val="24"/>
        </w:rPr>
        <w:t xml:space="preserve">chiusure apribili e assimilabili (serramenti): </w:t>
      </w:r>
      <w:r w:rsidRPr="00D13D7C">
        <w:rPr>
          <w:rFonts w:ascii="Segoe UI" w:hAnsi="Segoe UI" w:cs="Segoe UI"/>
          <w:b/>
          <w:color w:val="3D3C3B"/>
          <w:sz w:val="24"/>
          <w:szCs w:val="24"/>
        </w:rPr>
        <w:t>75%</w:t>
      </w:r>
    </w:p>
    <w:p w:rsidR="003955B8" w:rsidRPr="003955B8" w:rsidRDefault="003955B8" w:rsidP="00355C79">
      <w:pPr>
        <w:pStyle w:val="Paragrafoelenco"/>
        <w:spacing w:before="100" w:beforeAutospacing="1" w:afterLines="200"/>
        <w:jc w:val="both"/>
        <w:rPr>
          <w:rFonts w:ascii="Segoe UI" w:hAnsi="Segoe UI" w:cs="Segoe UI"/>
          <w:color w:val="3D3C3B"/>
          <w:sz w:val="24"/>
          <w:szCs w:val="24"/>
        </w:rPr>
      </w:pPr>
    </w:p>
    <w:p w:rsidR="003955B8" w:rsidRDefault="003955B8" w:rsidP="00355C79">
      <w:pPr>
        <w:pStyle w:val="Paragrafoelenco"/>
        <w:spacing w:afterLines="200"/>
        <w:jc w:val="both"/>
        <w:rPr>
          <w:rFonts w:ascii="Segoe UI" w:hAnsi="Segoe UI" w:cs="Segoe UI"/>
          <w:color w:val="3D3C3B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5786013" cy="1452283"/>
            <wp:effectExtent l="0" t="0" r="5715" b="0"/>
            <wp:docPr id="20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575" cy="14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FD" w:rsidRDefault="008E08FD" w:rsidP="00355C79">
      <w:pPr>
        <w:pStyle w:val="Paragrafoelenco"/>
        <w:spacing w:afterLines="200"/>
        <w:jc w:val="both"/>
        <w:rPr>
          <w:rFonts w:ascii="Segoe UI" w:hAnsi="Segoe UI" w:cs="Segoe UI"/>
          <w:color w:val="3D3C3B"/>
          <w:sz w:val="24"/>
          <w:szCs w:val="24"/>
        </w:rPr>
      </w:pPr>
    </w:p>
    <w:p w:rsidR="008E08FD" w:rsidRPr="008E08FD" w:rsidRDefault="008E08FD" w:rsidP="00355C79">
      <w:pPr>
        <w:spacing w:afterLines="200"/>
        <w:jc w:val="both"/>
        <w:rPr>
          <w:rFonts w:ascii="Segoe UI" w:hAnsi="Segoe UI" w:cs="Segoe UI"/>
          <w:b/>
          <w:bCs/>
          <w:color w:val="3D3C3B"/>
          <w:sz w:val="24"/>
          <w:szCs w:val="24"/>
        </w:rPr>
      </w:pPr>
      <w:r w:rsidRPr="008E08FD">
        <w:rPr>
          <w:rFonts w:ascii="Segoe UI" w:hAnsi="Segoe UI" w:cs="Segoe UI"/>
          <w:b/>
          <w:bCs/>
          <w:color w:val="3D3C3B"/>
          <w:sz w:val="24"/>
          <w:szCs w:val="24"/>
        </w:rPr>
        <w:t>Link per scaricare il report completo:</w:t>
      </w:r>
    </w:p>
    <w:p w:rsidR="008E08FD" w:rsidRPr="008E08FD" w:rsidRDefault="005E1B93" w:rsidP="00355C79">
      <w:pPr>
        <w:spacing w:afterLines="200"/>
        <w:jc w:val="both"/>
        <w:rPr>
          <w:rFonts w:ascii="Segoe UI" w:hAnsi="Segoe UI" w:cs="Segoe UI"/>
          <w:color w:val="3D3C3B"/>
          <w:sz w:val="24"/>
          <w:szCs w:val="24"/>
        </w:rPr>
      </w:pPr>
      <w:hyperlink r:id="rId13" w:history="1">
        <w:r w:rsidR="008E08FD" w:rsidRPr="00B12360">
          <w:rPr>
            <w:rStyle w:val="Collegamentoipertestuale"/>
            <w:rFonts w:ascii="Segoe UI" w:hAnsi="Segoe UI" w:cs="Segoe UI"/>
            <w:sz w:val="24"/>
            <w:szCs w:val="24"/>
          </w:rPr>
          <w:t>http://www.gabettigroup.com/it-it/ufficio-studi/dettaglio-tutti-i-report/artmid/1106/articleid/1118/le-opportunit192-del-rinnovo-edilizio</w:t>
        </w:r>
      </w:hyperlink>
    </w:p>
    <w:p w:rsidR="00F16160" w:rsidRPr="008F540D" w:rsidRDefault="00CD60C0" w:rsidP="00D13D7C">
      <w:pPr>
        <w:tabs>
          <w:tab w:val="left" w:pos="5890"/>
        </w:tabs>
        <w:jc w:val="both"/>
        <w:rPr>
          <w:rFonts w:cs="Arial"/>
          <w:i/>
          <w:color w:val="404040" w:themeColor="text1" w:themeTint="BF"/>
        </w:rPr>
      </w:pPr>
      <w:r w:rsidRPr="008F540D">
        <w:rPr>
          <w:rFonts w:ascii="Segoe UI" w:hAnsi="Segoe UI" w:cs="Segoe UI"/>
          <w:color w:val="404040" w:themeColor="text1" w:themeTint="BF"/>
          <w:sz w:val="24"/>
          <w:szCs w:val="24"/>
          <w:shd w:val="clear" w:color="auto" w:fill="FFFFFF"/>
        </w:rPr>
        <w:tab/>
      </w:r>
      <w:r w:rsidR="005E1B93" w:rsidRPr="005E1B93">
        <w:rPr>
          <w:rFonts w:cs="Arial"/>
          <w:i/>
          <w:noProof/>
          <w:color w:val="000000" w:themeColor="text1"/>
          <w:lang w:eastAsia="it-IT"/>
        </w:rPr>
        <w:pict>
          <v:line id="Connettore 1 21" o:spid="_x0000_s1026" style="position:absolute;left:0;text-align:left;z-index:251723776;visibility:visible;mso-position-horizontal-relative:text;mso-position-vertical-relative:text;mso-width-relative:margin;mso-height-relative:margin" from="2.65pt,.15pt" to="48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M32AEAABgEAAAOAAAAZHJzL2Uyb0RvYy54bWysU02P2yAQvVfa/4C4N7bTdltZcfaQ1fZS&#10;tVE/fgCLhxgJBgRs7Pz7DjjxrnZbVa16wR6Y92beY9jcTNawI4SoHXa8WdWcAUrXazx0/Mf3u9cf&#10;OItJYC+MQ+j4CSK/2V692oy+hbUbnOkhMCLB2I6+40NKvq2qKAewIq6cB6RD5YIVicJwqPogRmK3&#10;plrX9XU1utD74CTESLu38yHfFn6lQKYvSkVIzHScektlDWW9z2u13Yj2EIQftDy3If6hCys0UtGF&#10;6lYkwR6CfkFltQwuOpVW0tnKKaUlFA2kpqmfqfk2CA9FC5kT/WJT/H+08vNxH5juO75uOENh6Y52&#10;DhFScgFYw2ibPBp9bCl1h/twjqLfhyx4UsHmL0lhU/H1tPgKU2KSNq+bdfO2Jvvl5ax6BPoQ00dw&#10;luWfjhuNWbJoxfFTTFSMUi8pedsgGzv+pnn/LvNZT51HPBREdEb3d9qYnFcmCHYmsKOguxdSAqai&#10;hQifZFJkkKpkhbOm8pdOBuZyX0GRP6SimYvkyfwdr0HKzjBFXSzA+s/Ac36GQpnavwEviFLZYVrA&#10;VqMLv6qeposVas6/ODDrzhbcu/5UbrtYQ+NXruL8VPJ8P40L/PFBb38CAAD//wMAUEsDBBQABgAI&#10;AAAAIQCKOTUn1wAAAAMBAAAPAAAAZHJzL2Rvd25yZXYueG1sTI5BS8NAEIXvgv9hGcGLtJtaLTZm&#10;U4pQxJut9j7JjkkwOxuy22b9905Pehne4z3efMUmuV6daQydZwOLeQaKuPa248bA58du9gQqRGSL&#10;vWcy8EMBNuX1VYG59RPv6XyIjZIRDjkaaGMccq1D3ZLDMPcDsWRffnQYxY6NtiNOMu56fZ9lK+2w&#10;Y/nQ4kAvLdXfh5MzEB5imurFbjnsj9XrNnl69293xtzepO0zqEgp/pXhgi/oUApT5U9sg+oNPC6l&#10;aECuhOvVWkR1sbos9H/28hcAAP//AwBQSwECLQAUAAYACAAAACEAtoM4kv4AAADhAQAAEwAAAAAA&#10;AAAAAAAAAAAAAAAAW0NvbnRlbnRfVHlwZXNdLnhtbFBLAQItABQABgAIAAAAIQA4/SH/1gAAAJQB&#10;AAALAAAAAAAAAAAAAAAAAC8BAABfcmVscy8ucmVsc1BLAQItABQABgAIAAAAIQDI7dM32AEAABgE&#10;AAAOAAAAAAAAAAAAAAAAAC4CAABkcnMvZTJvRG9jLnhtbFBLAQItABQABgAIAAAAIQCKOTUn1wAA&#10;AAMBAAAPAAAAAAAAAAAAAAAAADIEAABkcnMvZG93bnJldi54bWxQSwUGAAAAAAQABADzAAAANgUA&#10;AAAA&#10;" strokecolor="#a32236 [3204]" strokeweight="2.5pt">
            <v:stroke joinstyle="miter"/>
          </v:line>
        </w:pict>
      </w:r>
    </w:p>
    <w:p w:rsidR="00232E97" w:rsidRPr="008F540D" w:rsidRDefault="00B82C17" w:rsidP="00586F2F">
      <w:pPr>
        <w:spacing w:line="240" w:lineRule="auto"/>
        <w:rPr>
          <w:rFonts w:ascii="Segoe UI" w:hAnsi="Segoe UI" w:cs="Segoe UI"/>
          <w:color w:val="404040" w:themeColor="text1" w:themeTint="BF"/>
          <w:sz w:val="22"/>
          <w:szCs w:val="22"/>
        </w:rPr>
      </w:pPr>
      <w:r w:rsidRPr="008F540D">
        <w:rPr>
          <w:rFonts w:ascii="Segoe UI" w:hAnsi="Segoe UI" w:cs="Segoe UI"/>
          <w:b/>
          <w:color w:val="404040" w:themeColor="text1" w:themeTint="BF"/>
          <w:sz w:val="22"/>
          <w:szCs w:val="22"/>
        </w:rPr>
        <w:t>IL GRUPPO GABETTI</w:t>
      </w:r>
      <w:r w:rsidR="00586F2F" w:rsidRPr="008F540D">
        <w:rPr>
          <w:rFonts w:ascii="Segoe UI" w:hAnsi="Segoe UI" w:cs="Segoe UI"/>
          <w:color w:val="404040" w:themeColor="text1" w:themeTint="BF"/>
          <w:sz w:val="22"/>
          <w:szCs w:val="22"/>
        </w:rPr>
        <w:br/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Gabetti Property Solutions, attraverso le diverse linee di business delle società controllate, eroga servizi per l’intero sistema immobiliare, offrendo consulenza integrata</w:t>
      </w:r>
      <w:r w:rsidR="00D81F80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per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soddisfare esigenz</w:t>
      </w:r>
      <w:r w:rsidR="00F15DCB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e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 aspettativ</w:t>
      </w:r>
      <w:r w:rsidR="00F15DCB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e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di privati, aziende e operatori istituzionali. </w:t>
      </w:r>
      <w:r w:rsidR="00F15DCB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P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roprio dall’integrazione e dalla sinergia di tutti i servizi</w:t>
      </w:r>
      <w:r w:rsidR="00F15DCB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,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emerge il valore aggiunto del gruppo: un modello unico rispetto a</w:t>
      </w:r>
      <w:r w:rsidR="00F15DCB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i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competitor. Il </w:t>
      </w:r>
      <w:r w:rsidR="0050057C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sistema</w:t>
      </w:r>
      <w:r w:rsidR="00232E97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organizzativo di Gabetti Property Solutions consente l’integrazione e il coordinamento delle competenze specifiche di ciascuna società del Gruppo nell’ambito delle seguenti aree: Consulenza, Valorizzazione, Gestione, Intermediazione, Mediazione Creditizia e Assicurativa</w:t>
      </w:r>
      <w:r w:rsidR="001A480F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 Riqualificazione.</w:t>
      </w:r>
    </w:p>
    <w:p w:rsidR="00CD60C0" w:rsidRPr="008F540D" w:rsidRDefault="00CD60C0" w:rsidP="00B82C17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</w:p>
    <w:p w:rsidR="00B82C17" w:rsidRPr="008F540D" w:rsidRDefault="00CD60C0" w:rsidP="00B82C17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8F540D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GABETTI LAB </w:t>
      </w:r>
    </w:p>
    <w:p w:rsidR="00CD60C0" w:rsidRPr="008F540D" w:rsidRDefault="00CD60C0" w:rsidP="00CD60C0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color w:val="404040" w:themeColor="text1" w:themeTint="BF"/>
          <w:sz w:val="22"/>
          <w:szCs w:val="22"/>
        </w:rPr>
      </w:pP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Il nostro Gruppo</w:t>
      </w:r>
      <w:r w:rsidR="002C6C7D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, attraverso la società Gabetti Lab,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lavora da anni con un modello operativo unico nella riqualificazione di condomini e singole abitazioni con Superbonus, </w:t>
      </w:r>
      <w:proofErr w:type="spellStart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Ecobonus</w:t>
      </w:r>
      <w:proofErr w:type="spellEnd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 </w:t>
      </w:r>
      <w:proofErr w:type="spellStart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Sismabonus</w:t>
      </w:r>
      <w:proofErr w:type="spellEnd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.  Opera in tutta Italia con oltre 700 Imprese e Professionisti selezionati e qualificati. Assicura la cessione del credito, grazie agli accordi con </w:t>
      </w:r>
      <w:proofErr w:type="spellStart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Tep</w:t>
      </w:r>
      <w:proofErr w:type="spellEnd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Energy </w:t>
      </w:r>
      <w:proofErr w:type="spellStart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Solution</w:t>
      </w:r>
      <w:proofErr w:type="spellEnd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- Gruppo Snam, Enel X, Prime Green Solutions - Gruppo Rina. Garant</w:t>
      </w:r>
      <w:r w:rsidR="00B37A8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isce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ai clienti un progetto chiavi in mano con le migliori soluzioni di qualità, affidabilità e rispetto dei tempi. </w:t>
      </w:r>
      <w:r w:rsidR="008D384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C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ome </w:t>
      </w:r>
      <w:proofErr w:type="spellStart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Main</w:t>
      </w:r>
      <w:proofErr w:type="spellEnd"/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Contractor</w:t>
      </w:r>
      <w:r w:rsidR="008802CE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,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senza varianti in corso d’opera con il metodo diretto, offre tutti i servizi necessari per fina</w:t>
      </w:r>
      <w:r w:rsidR="00B37A8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lizzare il progetto. Inoltre si occupa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della formazione in ambito tecnico, normativo</w:t>
      </w:r>
      <w:r w:rsidR="008D384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e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commerciale d</w:t>
      </w:r>
      <w:r w:rsidR="008D384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>ell’intera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filiera delle </w:t>
      </w:r>
      <w:r w:rsidR="00B37A84" w:rsidRPr="008F540D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imprese coinvolte nel </w:t>
      </w:r>
      <w:r w:rsidRPr="008F540D">
        <w:rPr>
          <w:rFonts w:ascii="Segoe UI" w:hAnsi="Segoe UI" w:cs="Segoe UI"/>
          <w:color w:val="404040" w:themeColor="text1" w:themeTint="BF"/>
          <w:sz w:val="22"/>
          <w:szCs w:val="22"/>
        </w:rPr>
        <w:t>modello.</w:t>
      </w:r>
    </w:p>
    <w:p w:rsidR="00586F2F" w:rsidRPr="008F540D" w:rsidRDefault="005E1B93" w:rsidP="00586F2F">
      <w:pPr>
        <w:spacing w:line="360" w:lineRule="auto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5E1B93">
        <w:rPr>
          <w:rFonts w:cs="Arial"/>
          <w:i/>
          <w:noProof/>
          <w:color w:val="000000" w:themeColor="text1"/>
          <w:lang w:eastAsia="it-IT"/>
        </w:rPr>
        <w:pict>
          <v:line id="Connettore 1 22" o:spid="_x0000_s1027" style="position:absolute;left:0;text-align:left;z-index:251725824;visibility:visible;mso-width-relative:margin;mso-height-relative:margin" from=".15pt,38.2pt" to="482.1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dt1wEAABgEAAAOAAAAZHJzL2Uyb0RvYy54bWysU9uO2yAQfa/Uf0C8N7603VZWnH3IavtS&#10;tVEvH8DiIUYCBgGNnb/vgBPvqhdVrfqCzTDnzJzDsL2drWEnCFGj63mzqTkDJ3HQ7tjzr1/uX7zl&#10;LCbhBmHQQc/PEPnt7vmz7eQ7aHFEM0BgROJiN/mejyn5rqqiHMGKuEEPjg4VBisSbcOxGoKYiN2a&#10;qq3rm2rCMPiAEmKk6N1yyHeFXymQ6aNSERIzPafeUllDWR/yWu22ojsG4UctL22If+jCCu2o6Ep1&#10;J5Jg34L+icpqGTCiShuJtkKltISigdQ09Q9qPo/CQ9FC5kS/2hT/H638cDoEpoeety1nTli6oz06&#10;BylhANYwCpNHk48dpe7dIVx20R9CFjyrYPOXpLC5+HpefYU5MUnBm6ZtXtVkv7yeVY9AH2J6B2hZ&#10;/um50S5LFp04vY+JilHqNSWHjWNTz182b15nPuup8+iOBRHR6OFeG5PzygTB3gR2EnT3Qkpwqcla&#10;iPBJJu2Mo2BWuGgqf+lsYCn3CRT5QyqapUiezN/xGkfZGaaoixVY/xl4yc9QKFP7N+AVUSqjSyvY&#10;aofhV9XTfLVCLflXBxbd2YIHHM7ltos1NH7FuctTyfP9dF/gjw969x0AAP//AwBQSwMEFAAGAAgA&#10;AAAhAE6K/W/ZAAAABgEAAA8AAABkcnMvZG93bnJldi54bWxMjs1OwzAQhO9IfQdrK3FBrdM2SiHE&#10;qapKFeJGC9ydeEki4nUUu415exZxgOP8aOYrdtH24oqj7xwpWC0TEEi1Mx01Ct5ej4t7ED5oMrp3&#10;hAq+0MOunN0UOjduohNez6ERPEI+1wraEIZcSl+3aLVfugGJsw83Wh1Yjo00o5543PZynSSZtLoj&#10;fmj1gIcW68/zxSrwaYhTvTpuhtN79bSPDl/c851St/O4fwQRMIa/MvzgMzqUzFS5CxkvegUb7inY&#10;ZikITh+ylI3q15BlIf/jl98AAAD//wMAUEsBAi0AFAAGAAgAAAAhALaDOJL+AAAA4QEAABMAAAAA&#10;AAAAAAAAAAAAAAAAAFtDb250ZW50X1R5cGVzXS54bWxQSwECLQAUAAYACAAAACEAOP0h/9YAAACU&#10;AQAACwAAAAAAAAAAAAAAAAAvAQAAX3JlbHMvLnJlbHNQSwECLQAUAAYACAAAACEAHdXnbdcBAAAY&#10;BAAADgAAAAAAAAAAAAAAAAAuAgAAZHJzL2Uyb0RvYy54bWxQSwECLQAUAAYACAAAACEATor9b9kA&#10;AAAGAQAADwAAAAAAAAAAAAAAAAAxBAAAZHJzL2Rvd25yZXYueG1sUEsFBgAAAAAEAAQA8wAAADcF&#10;AAAAAA==&#10;" strokecolor="#a32236 [3204]" strokeweight="2.5pt">
            <v:stroke joinstyle="miter"/>
          </v:line>
        </w:pict>
      </w:r>
    </w:p>
    <w:p w:rsidR="00232E97" w:rsidRDefault="00232E97" w:rsidP="00232E97">
      <w:pPr>
        <w:jc w:val="both"/>
      </w:pPr>
    </w:p>
    <w:sectPr w:rsidR="00232E97" w:rsidSect="00B82C17">
      <w:headerReference w:type="default" r:id="rId14"/>
      <w:footerReference w:type="default" r:id="rId15"/>
      <w:headerReference w:type="first" r:id="rId16"/>
      <w:pgSz w:w="11900" w:h="16840" w:code="9"/>
      <w:pgMar w:top="1440" w:right="1077" w:bottom="1440" w:left="1077" w:header="709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29" w:rsidRDefault="00781129" w:rsidP="002133DD">
      <w:pPr>
        <w:spacing w:before="0" w:after="0" w:line="240" w:lineRule="auto"/>
      </w:pPr>
      <w:r>
        <w:separator/>
      </w:r>
    </w:p>
  </w:endnote>
  <w:endnote w:type="continuationSeparator" w:id="0">
    <w:p w:rsidR="00781129" w:rsidRDefault="00781129" w:rsidP="002133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Light">
    <w:altName w:val="Hoefler Text"/>
    <w:charset w:val="00"/>
    <w:family w:val="auto"/>
    <w:pitch w:val="variable"/>
    <w:sig w:usb0="20000007" w:usb1="00000001" w:usb2="00000000" w:usb3="00000000" w:csb0="00000193" w:csb1="00000000"/>
  </w:font>
  <w:font w:name="Montserrat">
    <w:altName w:val="Hoefler Text"/>
    <w:charset w:val="00"/>
    <w:family w:val="auto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Std">
    <w:charset w:val="00"/>
    <w:family w:val="auto"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17" w:rsidRPr="00B82C17" w:rsidRDefault="00B82C17" w:rsidP="00B82C17">
    <w:pPr>
      <w:pStyle w:val="Pidipagina"/>
      <w:jc w:val="center"/>
      <w:rPr>
        <w:rFonts w:ascii="Segoe UI" w:hAnsi="Segoe UI" w:cs="Segoe UI"/>
        <w:b/>
      </w:rPr>
    </w:pPr>
    <w:r w:rsidRPr="00B82C17">
      <w:rPr>
        <w:rFonts w:ascii="Segoe UI" w:hAnsi="Segoe UI" w:cs="Segoe UI"/>
        <w:b/>
      </w:rPr>
      <w:t>Gabetti Property Solutions</w:t>
    </w:r>
    <w:r>
      <w:rPr>
        <w:rFonts w:ascii="Segoe UI" w:hAnsi="Segoe UI" w:cs="Segoe UI"/>
        <w:b/>
      </w:rPr>
      <w:br/>
    </w:r>
    <w:r w:rsidRPr="00B82C17">
      <w:rPr>
        <w:rFonts w:ascii="Segoe UI" w:hAnsi="Segoe UI" w:cs="Segoe UI"/>
      </w:rPr>
      <w:t>Milano, Roma, Genova, Torino, Padova, Firenze, Bologna, Napoli, Bari, Reggio Calabria</w:t>
    </w:r>
    <w:r>
      <w:rPr>
        <w:rFonts w:ascii="Segoe UI" w:hAnsi="Segoe UI" w:cs="Segoe UI"/>
        <w:b/>
      </w:rPr>
      <w:br/>
    </w:r>
    <w:r w:rsidRPr="00B82C17">
      <w:rPr>
        <w:rFonts w:ascii="Segoe UI" w:hAnsi="Segoe UI" w:cs="Segoe UI"/>
        <w:b/>
      </w:rPr>
      <w:t>www.gabettigroup.com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29" w:rsidRDefault="00781129" w:rsidP="002133DD">
      <w:pPr>
        <w:spacing w:before="0" w:after="0" w:line="240" w:lineRule="auto"/>
      </w:pPr>
      <w:r>
        <w:separator/>
      </w:r>
    </w:p>
  </w:footnote>
  <w:footnote w:type="continuationSeparator" w:id="0">
    <w:p w:rsidR="00781129" w:rsidRDefault="00781129" w:rsidP="002133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DD" w:rsidRDefault="001A480F" w:rsidP="002133DD">
    <w:pPr>
      <w:pStyle w:val="Intestazione"/>
      <w:jc w:val="right"/>
    </w:pPr>
    <w:r w:rsidRPr="00665837">
      <w:rPr>
        <w:noProof/>
        <w:lang w:eastAsia="it-I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4712970</wp:posOffset>
          </wp:positionH>
          <wp:positionV relativeFrom="paragraph">
            <wp:posOffset>-125095</wp:posOffset>
          </wp:positionV>
          <wp:extent cx="1409700" cy="5207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B93">
      <w:rPr>
        <w:noProof/>
        <w:lang w:eastAsia="it-IT"/>
      </w:rPr>
      <w:pict>
        <v:rect id="Rettangolo 14" o:spid="_x0000_s4097" style="position:absolute;left:0;text-align:left;margin-left:-250.8pt;margin-top:-.8pt;width:595.2pt;height:18.2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cX5QEAABQEAAAOAAAAZHJzL2Uyb0RvYy54bWysU01v3CAQvVfqf0Dcu7a32bax1ptDovRS&#10;tVHS/gCChzUSMAjofvz7DuA4VVP1ENUHDMzMmzdvhu3VyRp2gBA1uoF3q5YzcBJH7fYD//H99t0n&#10;zmISbhQGHQz8DJFf7d6+2R59D2uc0IwQGIG42B/9wKeUfN80UU5gRVyhB0dGhcGKRMewb8YgjoRu&#10;TbNu2w/NEcPoA0qIkW5vqpHvCr5SINM3pSIkZgZO3FJZQ1kf89rstqLfB+EnLWca4hUsrNCOki5Q&#10;NyIJ9jPoF1BWy4ARVVpJtA0qpSWUGqiarv2jmodJeCi1kDjRLzLF/wcrvx7uAtMj9Y4zJyy16B4S&#10;NWyPBll3kQU6+tiT34O/C/Mp0jZXe1LB5j/VwU5F1PMiKpwSk3T5cbO5bC9Ie0m29fuuoz3BNM/R&#10;PsT0GdCyvBl4oKYVLcXhS0zV9cklJzMurw5vtTHVmm+azLLyKrt0NlC970FRgcRkXVDLaMG1Cewg&#10;aCiElOBSV02TGKFeb1r6Zp5LRGFtHAFmZEX5F+wZII/tS+zKcvbPoVAmcwlu/0WsBi8RJTO6tARb&#10;7TD8DcBQVXPm6v8kUpUmq/SI45naH5K5xvpAhJMT0vuQKZTg7EWjVyqfn0me7d/PBfb5Me9+AQAA&#10;//8DAFBLAwQUAAYACAAAACEAswIQnuAAAAAKAQAADwAAAGRycy9kb3ducmV2LnhtbEyPQU/DMAyF&#10;70j8h8hI3LZ0FEpVmk7TpF0QQqKwA7esMU2hcaom6wq/Hu8EJ9t6T8/fK9ez68WEY+g8KVgtExBI&#10;jTcdtQreXneLHESImozuPaGCbwywri4vSl0Yf6IXnOrYCg6hUGgFNsahkDI0Fp0OSz8gsfbhR6cj&#10;n2MrzahPHO56eZMkmXS6I/5g9YBbi81XfXQKHj/v09pOm+knfca99fun9902KHV9NW8eQESc458Z&#10;zviMDhUzHfyRTBC9gsVdssrYy9t5siPLcy5zUJDe5iCrUv6vUP0CAAD//wMAUEsBAi0AFAAGAAgA&#10;AAAhALaDOJL+AAAA4QEAABMAAAAAAAAAAAAAAAAAAAAAAFtDb250ZW50X1R5cGVzXS54bWxQSwEC&#10;LQAUAAYACAAAACEAOP0h/9YAAACUAQAACwAAAAAAAAAAAAAAAAAvAQAAX3JlbHMvLnJlbHNQSwEC&#10;LQAUAAYACAAAACEA3NNHF+UBAAAUBAAADgAAAAAAAAAAAAAAAAAuAgAAZHJzL2Uyb0RvYy54bWxQ&#10;SwECLQAUAAYACAAAACEAswIQnuAAAAAKAQAADwAAAAAAAAAAAAAAAAA/BAAAZHJzL2Rvd25yZXYu&#10;eG1sUEsFBgAAAAAEAAQA8wAAAEwFAAAAAA==&#10;" fillcolor="#a32236 [3204]" stroked="f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A1" w:rsidRDefault="00D60AA1">
    <w:pPr>
      <w:pStyle w:val="Intestazione"/>
    </w:pPr>
    <w:r w:rsidRPr="00D60AA1"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3449955</wp:posOffset>
          </wp:positionV>
          <wp:extent cx="6184900" cy="2627630"/>
          <wp:effectExtent l="0" t="0" r="6350" b="127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262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0AA1">
      <w:rPr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3732530</wp:posOffset>
          </wp:positionV>
          <wp:extent cx="5643880" cy="206311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880" cy="206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97"/>
    <w:multiLevelType w:val="hybridMultilevel"/>
    <w:tmpl w:val="BD948FBA"/>
    <w:lvl w:ilvl="0" w:tplc="805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83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6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69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6C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A6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B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1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A3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2517"/>
    <w:multiLevelType w:val="hybridMultilevel"/>
    <w:tmpl w:val="4D120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2CE2"/>
    <w:multiLevelType w:val="hybridMultilevel"/>
    <w:tmpl w:val="0EB2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F0D02"/>
    <w:multiLevelType w:val="hybridMultilevel"/>
    <w:tmpl w:val="28EC4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0F2E"/>
    <w:multiLevelType w:val="hybridMultilevel"/>
    <w:tmpl w:val="1F7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D7F4F"/>
    <w:multiLevelType w:val="hybridMultilevel"/>
    <w:tmpl w:val="2B36359E"/>
    <w:lvl w:ilvl="0" w:tplc="1062C286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26F23"/>
    <w:multiLevelType w:val="hybridMultilevel"/>
    <w:tmpl w:val="C0F4C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2787F"/>
    <w:multiLevelType w:val="hybridMultilevel"/>
    <w:tmpl w:val="BEA8CB46"/>
    <w:lvl w:ilvl="0" w:tplc="7A4E5F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2215A"/>
    <w:multiLevelType w:val="hybridMultilevel"/>
    <w:tmpl w:val="4AA89AE4"/>
    <w:lvl w:ilvl="0" w:tplc="AFA4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60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81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A8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5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69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4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AD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09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04AAA"/>
    <w:multiLevelType w:val="hybridMultilevel"/>
    <w:tmpl w:val="3AA2E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55342"/>
    <w:multiLevelType w:val="hybridMultilevel"/>
    <w:tmpl w:val="801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oNotDisplayPageBoundarie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3DD"/>
    <w:rsid w:val="000212CA"/>
    <w:rsid w:val="0002390F"/>
    <w:rsid w:val="00035C29"/>
    <w:rsid w:val="00044A8E"/>
    <w:rsid w:val="00055210"/>
    <w:rsid w:val="000710A0"/>
    <w:rsid w:val="00084A2D"/>
    <w:rsid w:val="00097A77"/>
    <w:rsid w:val="000A6AB7"/>
    <w:rsid w:val="000B1FFD"/>
    <w:rsid w:val="000B49C8"/>
    <w:rsid w:val="000B4BD1"/>
    <w:rsid w:val="000C2082"/>
    <w:rsid w:val="000C4CD4"/>
    <w:rsid w:val="000C656A"/>
    <w:rsid w:val="000D447A"/>
    <w:rsid w:val="000D610D"/>
    <w:rsid w:val="000F1037"/>
    <w:rsid w:val="000F373D"/>
    <w:rsid w:val="000F7E0C"/>
    <w:rsid w:val="0016789F"/>
    <w:rsid w:val="001A480F"/>
    <w:rsid w:val="001B671C"/>
    <w:rsid w:val="001C75FD"/>
    <w:rsid w:val="001D006C"/>
    <w:rsid w:val="001E5A25"/>
    <w:rsid w:val="002133DD"/>
    <w:rsid w:val="002171A5"/>
    <w:rsid w:val="002257BE"/>
    <w:rsid w:val="00232E97"/>
    <w:rsid w:val="00240932"/>
    <w:rsid w:val="00245829"/>
    <w:rsid w:val="00247FBE"/>
    <w:rsid w:val="0026559F"/>
    <w:rsid w:val="00273494"/>
    <w:rsid w:val="002766A1"/>
    <w:rsid w:val="00293C2F"/>
    <w:rsid w:val="002A1ED9"/>
    <w:rsid w:val="002A20B4"/>
    <w:rsid w:val="002B0B04"/>
    <w:rsid w:val="002C0284"/>
    <w:rsid w:val="002C083B"/>
    <w:rsid w:val="002C4DE1"/>
    <w:rsid w:val="002C6C7D"/>
    <w:rsid w:val="002D15A8"/>
    <w:rsid w:val="002E3B16"/>
    <w:rsid w:val="003111CA"/>
    <w:rsid w:val="00323C03"/>
    <w:rsid w:val="00325D04"/>
    <w:rsid w:val="003348AD"/>
    <w:rsid w:val="00334C8B"/>
    <w:rsid w:val="003529B5"/>
    <w:rsid w:val="00355C79"/>
    <w:rsid w:val="00355EB4"/>
    <w:rsid w:val="00363B52"/>
    <w:rsid w:val="00364C87"/>
    <w:rsid w:val="003679BE"/>
    <w:rsid w:val="003941D2"/>
    <w:rsid w:val="003955B8"/>
    <w:rsid w:val="00395C7F"/>
    <w:rsid w:val="003A5229"/>
    <w:rsid w:val="003B0C19"/>
    <w:rsid w:val="003C66D6"/>
    <w:rsid w:val="003E1866"/>
    <w:rsid w:val="003E1888"/>
    <w:rsid w:val="003E200C"/>
    <w:rsid w:val="003E2B2C"/>
    <w:rsid w:val="003F7B18"/>
    <w:rsid w:val="00417B03"/>
    <w:rsid w:val="00420895"/>
    <w:rsid w:val="00437413"/>
    <w:rsid w:val="00444BCE"/>
    <w:rsid w:val="004B1219"/>
    <w:rsid w:val="004E642C"/>
    <w:rsid w:val="0050057C"/>
    <w:rsid w:val="00503A20"/>
    <w:rsid w:val="005128D7"/>
    <w:rsid w:val="00544119"/>
    <w:rsid w:val="0055103B"/>
    <w:rsid w:val="00563EBE"/>
    <w:rsid w:val="00566B3F"/>
    <w:rsid w:val="00586F2F"/>
    <w:rsid w:val="005B6FF3"/>
    <w:rsid w:val="005E1B93"/>
    <w:rsid w:val="005E3C42"/>
    <w:rsid w:val="005E7442"/>
    <w:rsid w:val="005F128B"/>
    <w:rsid w:val="00625445"/>
    <w:rsid w:val="00643ABC"/>
    <w:rsid w:val="00665837"/>
    <w:rsid w:val="00670B99"/>
    <w:rsid w:val="0068111F"/>
    <w:rsid w:val="0069295E"/>
    <w:rsid w:val="006E1E73"/>
    <w:rsid w:val="006E709D"/>
    <w:rsid w:val="006F66A4"/>
    <w:rsid w:val="00702782"/>
    <w:rsid w:val="007111F8"/>
    <w:rsid w:val="00712D43"/>
    <w:rsid w:val="007312C6"/>
    <w:rsid w:val="0073149A"/>
    <w:rsid w:val="00733E7F"/>
    <w:rsid w:val="007408D3"/>
    <w:rsid w:val="00762BF8"/>
    <w:rsid w:val="007719AB"/>
    <w:rsid w:val="00771EA9"/>
    <w:rsid w:val="00781129"/>
    <w:rsid w:val="00786682"/>
    <w:rsid w:val="007922C1"/>
    <w:rsid w:val="0079297C"/>
    <w:rsid w:val="00797611"/>
    <w:rsid w:val="007B72DC"/>
    <w:rsid w:val="007C3919"/>
    <w:rsid w:val="007D67BE"/>
    <w:rsid w:val="007E2B94"/>
    <w:rsid w:val="007E6C17"/>
    <w:rsid w:val="007F69B5"/>
    <w:rsid w:val="00817157"/>
    <w:rsid w:val="008309E8"/>
    <w:rsid w:val="00845EA9"/>
    <w:rsid w:val="0085150C"/>
    <w:rsid w:val="008550B8"/>
    <w:rsid w:val="00873DB3"/>
    <w:rsid w:val="00874796"/>
    <w:rsid w:val="008802CE"/>
    <w:rsid w:val="00883DA1"/>
    <w:rsid w:val="008A0B39"/>
    <w:rsid w:val="008B0977"/>
    <w:rsid w:val="008B14C6"/>
    <w:rsid w:val="008C1E1D"/>
    <w:rsid w:val="008C4EF7"/>
    <w:rsid w:val="008D3844"/>
    <w:rsid w:val="008D59F7"/>
    <w:rsid w:val="008E08FD"/>
    <w:rsid w:val="008E0EBF"/>
    <w:rsid w:val="008E7235"/>
    <w:rsid w:val="008F0BBD"/>
    <w:rsid w:val="008F540D"/>
    <w:rsid w:val="008F7095"/>
    <w:rsid w:val="009107C4"/>
    <w:rsid w:val="00916F0A"/>
    <w:rsid w:val="009235D5"/>
    <w:rsid w:val="00924927"/>
    <w:rsid w:val="0093166C"/>
    <w:rsid w:val="00983002"/>
    <w:rsid w:val="009D0CF8"/>
    <w:rsid w:val="009F0AD2"/>
    <w:rsid w:val="00A050A0"/>
    <w:rsid w:val="00A06C9C"/>
    <w:rsid w:val="00A15985"/>
    <w:rsid w:val="00A4708E"/>
    <w:rsid w:val="00A515F6"/>
    <w:rsid w:val="00A52684"/>
    <w:rsid w:val="00A6086B"/>
    <w:rsid w:val="00A62938"/>
    <w:rsid w:val="00A80CE1"/>
    <w:rsid w:val="00A823F2"/>
    <w:rsid w:val="00AA7123"/>
    <w:rsid w:val="00AD2B7A"/>
    <w:rsid w:val="00B15909"/>
    <w:rsid w:val="00B178FC"/>
    <w:rsid w:val="00B2075C"/>
    <w:rsid w:val="00B270F2"/>
    <w:rsid w:val="00B37A84"/>
    <w:rsid w:val="00B42F1C"/>
    <w:rsid w:val="00B74635"/>
    <w:rsid w:val="00B82C17"/>
    <w:rsid w:val="00BA7A80"/>
    <w:rsid w:val="00BB55BD"/>
    <w:rsid w:val="00BB57CF"/>
    <w:rsid w:val="00BC0C1C"/>
    <w:rsid w:val="00BE1A85"/>
    <w:rsid w:val="00BE30CF"/>
    <w:rsid w:val="00C06336"/>
    <w:rsid w:val="00C1798E"/>
    <w:rsid w:val="00C45A04"/>
    <w:rsid w:val="00C52C5C"/>
    <w:rsid w:val="00C741C7"/>
    <w:rsid w:val="00C76DC1"/>
    <w:rsid w:val="00C94690"/>
    <w:rsid w:val="00CA185C"/>
    <w:rsid w:val="00CA2CAD"/>
    <w:rsid w:val="00CA6302"/>
    <w:rsid w:val="00CA7734"/>
    <w:rsid w:val="00CD60C0"/>
    <w:rsid w:val="00CF76F2"/>
    <w:rsid w:val="00D026E9"/>
    <w:rsid w:val="00D11947"/>
    <w:rsid w:val="00D13D7C"/>
    <w:rsid w:val="00D239C5"/>
    <w:rsid w:val="00D32327"/>
    <w:rsid w:val="00D3591C"/>
    <w:rsid w:val="00D35ABB"/>
    <w:rsid w:val="00D3769E"/>
    <w:rsid w:val="00D60AA1"/>
    <w:rsid w:val="00D74150"/>
    <w:rsid w:val="00D81F80"/>
    <w:rsid w:val="00DA565E"/>
    <w:rsid w:val="00DC466D"/>
    <w:rsid w:val="00DD4A2B"/>
    <w:rsid w:val="00DE333B"/>
    <w:rsid w:val="00DF3F68"/>
    <w:rsid w:val="00E5693B"/>
    <w:rsid w:val="00EC224F"/>
    <w:rsid w:val="00EC4FC5"/>
    <w:rsid w:val="00ED1D1E"/>
    <w:rsid w:val="00ED6070"/>
    <w:rsid w:val="00EE3713"/>
    <w:rsid w:val="00F0285F"/>
    <w:rsid w:val="00F11B9B"/>
    <w:rsid w:val="00F12ACB"/>
    <w:rsid w:val="00F15DCB"/>
    <w:rsid w:val="00F16160"/>
    <w:rsid w:val="00F23733"/>
    <w:rsid w:val="00F66E72"/>
    <w:rsid w:val="00F80EC5"/>
    <w:rsid w:val="00FA37F9"/>
    <w:rsid w:val="00FC0EC9"/>
    <w:rsid w:val="00FC65F4"/>
    <w:rsid w:val="00FC7314"/>
    <w:rsid w:val="00FC7777"/>
    <w:rsid w:val="00FD2952"/>
    <w:rsid w:val="00FD591A"/>
    <w:rsid w:val="00FD6E45"/>
    <w:rsid w:val="00FE561B"/>
    <w:rsid w:val="00FF29E3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29B5"/>
    <w:pPr>
      <w:pBdr>
        <w:top w:val="single" w:sz="24" w:space="0" w:color="A32236" w:themeColor="accent1"/>
        <w:left w:val="single" w:sz="24" w:space="0" w:color="A32236" w:themeColor="accent1"/>
        <w:bottom w:val="single" w:sz="24" w:space="0" w:color="A32236" w:themeColor="accent1"/>
        <w:right w:val="single" w:sz="24" w:space="0" w:color="A32236" w:themeColor="accent1"/>
      </w:pBdr>
      <w:shd w:val="clear" w:color="auto" w:fill="A3223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9B5"/>
    <w:pPr>
      <w:pBdr>
        <w:top w:val="single" w:sz="24" w:space="0" w:color="F4CBD1" w:themeColor="accent1" w:themeTint="33"/>
        <w:left w:val="single" w:sz="24" w:space="0" w:color="F4CBD1" w:themeColor="accent1" w:themeTint="33"/>
        <w:bottom w:val="single" w:sz="24" w:space="0" w:color="F4CBD1" w:themeColor="accent1" w:themeTint="33"/>
        <w:right w:val="single" w:sz="24" w:space="0" w:color="F4CBD1" w:themeColor="accent1" w:themeTint="33"/>
      </w:pBdr>
      <w:shd w:val="clear" w:color="auto" w:fill="F4CBD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9B5"/>
    <w:pPr>
      <w:pBdr>
        <w:top w:val="single" w:sz="6" w:space="2" w:color="A32236" w:themeColor="accent1"/>
        <w:left w:val="single" w:sz="6" w:space="2" w:color="A32236" w:themeColor="accent1"/>
      </w:pBdr>
      <w:spacing w:before="300" w:after="0"/>
      <w:outlineLvl w:val="2"/>
    </w:pPr>
    <w:rPr>
      <w:caps/>
      <w:color w:val="51111A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9B5"/>
    <w:pPr>
      <w:pBdr>
        <w:top w:val="dotted" w:sz="6" w:space="2" w:color="A32236" w:themeColor="accent1"/>
        <w:left w:val="dotted" w:sz="6" w:space="2" w:color="A32236" w:themeColor="accent1"/>
      </w:pBdr>
      <w:spacing w:before="300" w:after="0"/>
      <w:outlineLvl w:val="3"/>
    </w:pPr>
    <w:rPr>
      <w:caps/>
      <w:color w:val="791928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9B5"/>
    <w:pPr>
      <w:pBdr>
        <w:bottom w:val="single" w:sz="6" w:space="1" w:color="A32236" w:themeColor="accent1"/>
      </w:pBdr>
      <w:spacing w:before="300" w:after="0"/>
      <w:outlineLvl w:val="4"/>
    </w:pPr>
    <w:rPr>
      <w:caps/>
      <w:color w:val="791928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9B5"/>
    <w:pPr>
      <w:pBdr>
        <w:bottom w:val="dotted" w:sz="6" w:space="1" w:color="A32236" w:themeColor="accent1"/>
      </w:pBdr>
      <w:spacing w:before="300" w:after="0"/>
      <w:outlineLvl w:val="5"/>
    </w:pPr>
    <w:rPr>
      <w:caps/>
      <w:color w:val="791928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9B5"/>
    <w:pPr>
      <w:spacing w:before="300" w:after="0"/>
      <w:outlineLvl w:val="6"/>
    </w:pPr>
    <w:rPr>
      <w:caps/>
      <w:color w:val="791928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9B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9B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3DD"/>
  </w:style>
  <w:style w:type="paragraph" w:styleId="Pidipagina">
    <w:name w:val="footer"/>
    <w:basedOn w:val="Normale"/>
    <w:link w:val="PidipaginaCarattere"/>
    <w:uiPriority w:val="99"/>
    <w:unhideWhenUsed/>
    <w:rsid w:val="00213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3DD"/>
  </w:style>
  <w:style w:type="paragraph" w:customStyle="1" w:styleId="p1">
    <w:name w:val="p1"/>
    <w:basedOn w:val="Normale"/>
    <w:rsid w:val="002133DD"/>
    <w:rPr>
      <w:rFonts w:ascii="Montserrat Light" w:hAnsi="Montserrat Light" w:cs="Times New Roman"/>
      <w:color w:val="B50014"/>
      <w:sz w:val="45"/>
      <w:szCs w:val="45"/>
      <w:lang w:eastAsia="it-IT"/>
    </w:rPr>
  </w:style>
  <w:style w:type="character" w:customStyle="1" w:styleId="s1">
    <w:name w:val="s1"/>
    <w:basedOn w:val="Carpredefinitoparagrafo"/>
    <w:rsid w:val="002133DD"/>
    <w:rPr>
      <w:rFonts w:ascii="Montserrat" w:hAnsi="Montserrat" w:hint="default"/>
      <w:sz w:val="45"/>
      <w:szCs w:val="45"/>
    </w:rPr>
  </w:style>
  <w:style w:type="character" w:customStyle="1" w:styleId="apple-converted-space">
    <w:name w:val="apple-converted-space"/>
    <w:basedOn w:val="Carpredefinitoparagrafo"/>
    <w:rsid w:val="002133DD"/>
  </w:style>
  <w:style w:type="character" w:customStyle="1" w:styleId="Titolo1Carattere">
    <w:name w:val="Titolo 1 Carattere"/>
    <w:basedOn w:val="Carpredefinitoparagrafo"/>
    <w:link w:val="Titolo1"/>
    <w:uiPriority w:val="9"/>
    <w:rsid w:val="003529B5"/>
    <w:rPr>
      <w:b/>
      <w:bCs/>
      <w:caps/>
      <w:color w:val="FFFFFF" w:themeColor="background1"/>
      <w:spacing w:val="15"/>
      <w:shd w:val="clear" w:color="auto" w:fill="A32236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9B5"/>
    <w:rPr>
      <w:caps/>
      <w:spacing w:val="15"/>
      <w:shd w:val="clear" w:color="auto" w:fill="F4CBD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9B5"/>
    <w:rPr>
      <w:caps/>
      <w:color w:val="5111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9B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9B5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529B5"/>
    <w:rPr>
      <w:b/>
      <w:bCs/>
      <w:color w:val="791928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9B5"/>
    <w:pPr>
      <w:spacing w:before="720"/>
    </w:pPr>
    <w:rPr>
      <w:caps/>
      <w:color w:val="A32236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529B5"/>
    <w:rPr>
      <w:caps/>
      <w:color w:val="A32236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9B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9B5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3529B5"/>
    <w:rPr>
      <w:b/>
      <w:bCs/>
    </w:rPr>
  </w:style>
  <w:style w:type="character" w:styleId="Enfasicorsivo">
    <w:name w:val="Emphasis"/>
    <w:uiPriority w:val="20"/>
    <w:qFormat/>
    <w:rsid w:val="003529B5"/>
    <w:rPr>
      <w:caps/>
      <w:color w:val="51111A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3529B5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529B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529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529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9B5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9B5"/>
    <w:pPr>
      <w:pBdr>
        <w:top w:val="single" w:sz="4" w:space="10" w:color="A32236" w:themeColor="accent1"/>
        <w:left w:val="single" w:sz="4" w:space="10" w:color="A32236" w:themeColor="accent1"/>
      </w:pBdr>
      <w:spacing w:after="0"/>
      <w:ind w:left="1296" w:right="1152"/>
      <w:jc w:val="both"/>
    </w:pPr>
    <w:rPr>
      <w:i/>
      <w:iCs/>
      <w:color w:val="A3223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9B5"/>
    <w:rPr>
      <w:i/>
      <w:iCs/>
      <w:color w:val="A32236" w:themeColor="accent1"/>
      <w:sz w:val="20"/>
      <w:szCs w:val="20"/>
    </w:rPr>
  </w:style>
  <w:style w:type="character" w:styleId="Enfasidelicata">
    <w:name w:val="Subtle Emphasis"/>
    <w:uiPriority w:val="19"/>
    <w:qFormat/>
    <w:rsid w:val="003529B5"/>
    <w:rPr>
      <w:i/>
      <w:iCs/>
      <w:color w:val="51111A" w:themeColor="accent1" w:themeShade="7F"/>
    </w:rPr>
  </w:style>
  <w:style w:type="character" w:styleId="Enfasiintensa">
    <w:name w:val="Intense Emphasis"/>
    <w:uiPriority w:val="21"/>
    <w:qFormat/>
    <w:rsid w:val="003529B5"/>
    <w:rPr>
      <w:b/>
      <w:bCs/>
      <w:caps/>
      <w:color w:val="51111A" w:themeColor="accent1" w:themeShade="7F"/>
      <w:spacing w:val="10"/>
    </w:rPr>
  </w:style>
  <w:style w:type="character" w:styleId="Riferimentodelicato">
    <w:name w:val="Subtle Reference"/>
    <w:uiPriority w:val="31"/>
    <w:qFormat/>
    <w:rsid w:val="003529B5"/>
    <w:rPr>
      <w:b/>
      <w:bCs/>
      <w:color w:val="A32236" w:themeColor="accent1"/>
    </w:rPr>
  </w:style>
  <w:style w:type="character" w:styleId="Riferimentointenso">
    <w:name w:val="Intense Reference"/>
    <w:uiPriority w:val="32"/>
    <w:qFormat/>
    <w:rsid w:val="003529B5"/>
    <w:rPr>
      <w:b/>
      <w:bCs/>
      <w:i/>
      <w:iCs/>
      <w:caps/>
      <w:color w:val="A32236" w:themeColor="accent1"/>
    </w:rPr>
  </w:style>
  <w:style w:type="character" w:styleId="Titolodellibro">
    <w:name w:val="Book Title"/>
    <w:uiPriority w:val="33"/>
    <w:qFormat/>
    <w:rsid w:val="003529B5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529B5"/>
    <w:pPr>
      <w:outlineLvl w:val="9"/>
    </w:pPr>
  </w:style>
  <w:style w:type="paragraph" w:styleId="NormaleWeb">
    <w:name w:val="Normal (Web)"/>
    <w:basedOn w:val="Normale"/>
    <w:uiPriority w:val="99"/>
    <w:unhideWhenUsed/>
    <w:rsid w:val="00FC7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185C"/>
    <w:pPr>
      <w:spacing w:before="0" w:after="0" w:line="240" w:lineRule="auto"/>
    </w:pPr>
    <w:rPr>
      <w:rFonts w:ascii="Helvetica" w:hAnsi="Helvetica" w:cs="Times New Roman"/>
      <w:color w:val="585757"/>
      <w:sz w:val="14"/>
      <w:szCs w:val="1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5837"/>
    <w:rPr>
      <w:color w:val="0563C1" w:themeColor="hyperlink"/>
      <w:u w:val="single"/>
    </w:rPr>
  </w:style>
  <w:style w:type="character" w:customStyle="1" w:styleId="s2">
    <w:name w:val="s2"/>
    <w:basedOn w:val="Carpredefinitoparagrafo"/>
    <w:rsid w:val="00665837"/>
    <w:rPr>
      <w:rFonts w:ascii="Neo Sans Std" w:hAnsi="Neo Sans Std" w:hint="default"/>
      <w:color w:val="B10832"/>
      <w:sz w:val="14"/>
      <w:szCs w:val="14"/>
    </w:rPr>
  </w:style>
  <w:style w:type="paragraph" w:customStyle="1" w:styleId="Default">
    <w:name w:val="Default"/>
    <w:rsid w:val="00232E97"/>
    <w:pPr>
      <w:autoSpaceDE w:val="0"/>
      <w:autoSpaceDN w:val="0"/>
      <w:adjustRightInd w:val="0"/>
      <w:spacing w:before="0"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FD6E45"/>
    <w:pPr>
      <w:widowControl w:val="0"/>
      <w:spacing w:before="0" w:after="0" w:line="240" w:lineRule="auto"/>
    </w:pPr>
    <w:rPr>
      <w:rFonts w:ascii="Arial" w:eastAsia="Arial" w:hAnsi="Arial" w:cs="Arial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6E45"/>
    <w:rPr>
      <w:rFonts w:ascii="Arial" w:eastAsia="Arial" w:hAnsi="Arial" w:cs="Arial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6E45"/>
    <w:pPr>
      <w:spacing w:before="0" w:after="0" w:line="240" w:lineRule="auto"/>
    </w:pPr>
    <w:rPr>
      <w:rFonts w:ascii="Cambria" w:eastAsia="MS Mincho" w:hAnsi="Cambria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6E45"/>
    <w:rPr>
      <w:rFonts w:ascii="Cambria" w:eastAsia="MS Mincho" w:hAnsi="Cambria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E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6E45"/>
    <w:pPr>
      <w:spacing w:before="0" w:after="0" w:line="240" w:lineRule="auto"/>
    </w:pPr>
    <w:rPr>
      <w:rFonts w:ascii="Cambria" w:eastAsia="MS Mincho" w:hAnsi="Cambria" w:cs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6E45"/>
    <w:rPr>
      <w:rFonts w:ascii="Cambria" w:eastAsia="MS Mincho" w:hAnsi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734"/>
    <w:pPr>
      <w:spacing w:before="200" w:after="200"/>
    </w:pPr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734"/>
    <w:rPr>
      <w:rFonts w:ascii="Cambria" w:eastAsia="MS Mincho" w:hAnsi="Cambria" w:cs="Times New Roman"/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08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8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bettigroup.com/it-it/ufficio-studi/dettaglio-tutti-i-report/artmid/1106/articleid/1118/le-opportunit192-del-rinnovo-edilizi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Gabetti ok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A32236"/>
      </a:accent1>
      <a:accent2>
        <a:srgbClr val="A4A4A4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09AF3A-4D07-4DE2-9587-6C68C77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Donegana</dc:creator>
  <cp:lastModifiedBy>paola</cp:lastModifiedBy>
  <cp:revision>19</cp:revision>
  <cp:lastPrinted>2020-09-15T10:20:00Z</cp:lastPrinted>
  <dcterms:created xsi:type="dcterms:W3CDTF">2021-01-20T17:12:00Z</dcterms:created>
  <dcterms:modified xsi:type="dcterms:W3CDTF">2021-01-27T14:02:00Z</dcterms:modified>
</cp:coreProperties>
</file>