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AB" w:rsidRDefault="00D106AB" w:rsidP="003A1B9C">
      <w:pPr>
        <w:spacing w:after="0" w:line="240" w:lineRule="auto"/>
        <w:ind w:right="-93" w:firstLine="426"/>
        <w:jc w:val="right"/>
        <w:rPr>
          <w:rFonts w:cstheme="minorHAnsi"/>
        </w:rPr>
      </w:pPr>
    </w:p>
    <w:p w:rsidR="00661922" w:rsidRPr="002E13C8" w:rsidRDefault="00661922" w:rsidP="00661922">
      <w:pPr>
        <w:ind w:right="-93" w:firstLine="426"/>
        <w:jc w:val="right"/>
        <w:rPr>
          <w:rFonts w:cstheme="minorHAnsi"/>
          <w:sz w:val="24"/>
          <w:szCs w:val="24"/>
        </w:rPr>
      </w:pPr>
      <w:r w:rsidRPr="002E13C8">
        <w:rPr>
          <w:rFonts w:cstheme="minorHAnsi"/>
          <w:sz w:val="24"/>
          <w:szCs w:val="24"/>
        </w:rPr>
        <w:t>Comunicato stampa</w:t>
      </w:r>
    </w:p>
    <w:p w:rsidR="00661922" w:rsidRDefault="00661922" w:rsidP="00661922">
      <w:pPr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u w:val="single"/>
        </w:rPr>
      </w:pPr>
      <w:r w:rsidRPr="002A1278">
        <w:rPr>
          <w:rFonts w:eastAsia="Times New Roman" w:cstheme="minorHAnsi"/>
          <w:b/>
          <w:color w:val="000000"/>
          <w:sz w:val="32"/>
          <w:szCs w:val="32"/>
          <w:u w:val="single"/>
        </w:rPr>
        <w:t>Osservatorio Abitare Co. sul mercato residenziale delle nuove costruzioni nelle 8 principali città metropolitane</w:t>
      </w:r>
    </w:p>
    <w:p w:rsidR="00357A49" w:rsidRPr="00CB7C56" w:rsidRDefault="00357A49" w:rsidP="0066192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</w:rPr>
      </w:pPr>
      <w:r w:rsidRPr="00CB7C56">
        <w:rPr>
          <w:rFonts w:eastAsia="Times New Roman" w:cstheme="minorHAnsi"/>
          <w:b/>
          <w:sz w:val="32"/>
          <w:szCs w:val="32"/>
          <w:u w:val="single"/>
        </w:rPr>
        <w:t>Focus MILANO</w:t>
      </w:r>
    </w:p>
    <w:p w:rsidR="00661922" w:rsidRDefault="00661922" w:rsidP="00661922">
      <w:pPr>
        <w:spacing w:after="0" w:line="240" w:lineRule="auto"/>
        <w:jc w:val="center"/>
        <w:rPr>
          <w:rFonts w:eastAsia="Times New Roman" w:cstheme="minorHAnsi"/>
          <w:b/>
          <w:color w:val="000000"/>
          <w:sz w:val="30"/>
          <w:szCs w:val="30"/>
        </w:rPr>
      </w:pPr>
    </w:p>
    <w:p w:rsidR="002C74B4" w:rsidRDefault="00661922" w:rsidP="002C74B4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  <w:r w:rsidRPr="002A1278">
        <w:rPr>
          <w:rFonts w:eastAsia="Times New Roman" w:cstheme="minorHAnsi"/>
          <w:b/>
          <w:color w:val="000000"/>
          <w:sz w:val="26"/>
          <w:szCs w:val="26"/>
        </w:rPr>
        <w:t xml:space="preserve">Dopo un calo generale </w:t>
      </w:r>
      <w:r w:rsidR="002C74B4">
        <w:rPr>
          <w:rFonts w:eastAsia="Times New Roman" w:cstheme="minorHAnsi"/>
          <w:b/>
          <w:color w:val="000000"/>
          <w:sz w:val="26"/>
          <w:szCs w:val="26"/>
        </w:rPr>
        <w:t xml:space="preserve">del mercato immobiliare </w:t>
      </w:r>
      <w:r w:rsidR="00164353">
        <w:rPr>
          <w:rFonts w:eastAsia="Times New Roman" w:cstheme="minorHAnsi"/>
          <w:b/>
          <w:color w:val="000000"/>
          <w:sz w:val="26"/>
          <w:szCs w:val="26"/>
        </w:rPr>
        <w:t xml:space="preserve">milanese </w:t>
      </w:r>
      <w:r w:rsidRPr="002A1278">
        <w:rPr>
          <w:rFonts w:eastAsia="Times New Roman" w:cstheme="minorHAnsi"/>
          <w:b/>
          <w:color w:val="000000"/>
          <w:sz w:val="26"/>
          <w:szCs w:val="26"/>
        </w:rPr>
        <w:t>nel 2020 e del fatturato totale, per il 2021 arrivano segnali positivi</w:t>
      </w:r>
      <w:r w:rsidR="002C74B4">
        <w:rPr>
          <w:rFonts w:eastAsia="Times New Roman" w:cstheme="minorHAnsi"/>
          <w:b/>
          <w:color w:val="000000"/>
          <w:sz w:val="26"/>
          <w:szCs w:val="26"/>
        </w:rPr>
        <w:t>, soprattutto per le nuove costruzioni</w:t>
      </w:r>
      <w:r w:rsidRPr="002A1278">
        <w:rPr>
          <w:rFonts w:eastAsia="Times New Roman" w:cstheme="minorHAnsi"/>
          <w:b/>
          <w:color w:val="000000"/>
          <w:sz w:val="26"/>
          <w:szCs w:val="26"/>
        </w:rPr>
        <w:t xml:space="preserve">. </w:t>
      </w:r>
      <w:r w:rsidR="005E6A38">
        <w:rPr>
          <w:rFonts w:eastAsia="Times New Roman" w:cstheme="minorHAnsi"/>
          <w:b/>
          <w:color w:val="000000"/>
          <w:sz w:val="26"/>
          <w:szCs w:val="26"/>
        </w:rPr>
        <w:t xml:space="preserve">Nel 2020 </w:t>
      </w:r>
      <w:r w:rsidR="002C74B4">
        <w:rPr>
          <w:rFonts w:eastAsia="Times New Roman" w:cstheme="minorHAnsi"/>
          <w:b/>
          <w:color w:val="000000"/>
          <w:sz w:val="26"/>
          <w:szCs w:val="26"/>
        </w:rPr>
        <w:t>il mercato del</w:t>
      </w:r>
      <w:r w:rsidR="005E6A38">
        <w:rPr>
          <w:rFonts w:eastAsia="Times New Roman" w:cstheme="minorHAnsi"/>
          <w:b/>
          <w:color w:val="000000"/>
          <w:sz w:val="26"/>
          <w:szCs w:val="26"/>
        </w:rPr>
        <w:t>l</w:t>
      </w:r>
      <w:r w:rsidRPr="002A1278">
        <w:rPr>
          <w:rFonts w:eastAsia="Times New Roman" w:cstheme="minorHAnsi"/>
          <w:b/>
          <w:color w:val="000000"/>
          <w:sz w:val="26"/>
          <w:szCs w:val="26"/>
        </w:rPr>
        <w:t xml:space="preserve">e nuove </w:t>
      </w:r>
      <w:r w:rsidR="002C74B4">
        <w:rPr>
          <w:rFonts w:eastAsia="Times New Roman" w:cstheme="minorHAnsi"/>
          <w:b/>
          <w:color w:val="000000"/>
          <w:sz w:val="26"/>
          <w:szCs w:val="26"/>
        </w:rPr>
        <w:t>residenze ha</w:t>
      </w:r>
      <w:r w:rsidRPr="002A1278">
        <w:rPr>
          <w:rFonts w:eastAsia="Times New Roman" w:cstheme="minorHAnsi"/>
          <w:b/>
          <w:color w:val="000000"/>
          <w:sz w:val="26"/>
          <w:szCs w:val="26"/>
        </w:rPr>
        <w:t xml:space="preserve"> retto meglio rispetto all’usato e</w:t>
      </w:r>
      <w:r w:rsidR="002C74B4">
        <w:rPr>
          <w:rFonts w:eastAsia="Times New Roman" w:cstheme="minorHAnsi"/>
          <w:b/>
          <w:color w:val="000000"/>
          <w:sz w:val="26"/>
          <w:szCs w:val="26"/>
        </w:rPr>
        <w:t>d</w:t>
      </w:r>
      <w:r w:rsidRPr="002A1278">
        <w:rPr>
          <w:rFonts w:eastAsia="Times New Roman" w:cstheme="minorHAnsi"/>
          <w:b/>
          <w:color w:val="000000"/>
          <w:sz w:val="26"/>
          <w:szCs w:val="26"/>
        </w:rPr>
        <w:t xml:space="preserve"> è pronto a ritornare ai valori pre-pandemia</w:t>
      </w:r>
      <w:r w:rsidR="00894903">
        <w:rPr>
          <w:rFonts w:eastAsia="Times New Roman" w:cstheme="minorHAnsi"/>
          <w:b/>
          <w:color w:val="000000"/>
          <w:sz w:val="26"/>
          <w:szCs w:val="26"/>
        </w:rPr>
        <w:t>; e</w:t>
      </w:r>
      <w:r w:rsidR="002C74B4">
        <w:rPr>
          <w:rFonts w:eastAsia="Times New Roman" w:cstheme="minorHAnsi"/>
          <w:b/>
          <w:color w:val="000000"/>
          <w:sz w:val="26"/>
          <w:szCs w:val="26"/>
        </w:rPr>
        <w:t>ntro l’anno previsioni di crescita d</w:t>
      </w:r>
      <w:r w:rsidR="00894903">
        <w:rPr>
          <w:rFonts w:eastAsia="Times New Roman" w:cstheme="minorHAnsi"/>
          <w:b/>
          <w:color w:val="000000"/>
          <w:sz w:val="26"/>
          <w:szCs w:val="26"/>
        </w:rPr>
        <w:t>i</w:t>
      </w:r>
      <w:r w:rsidR="002C74B4">
        <w:rPr>
          <w:rFonts w:eastAsia="Times New Roman" w:cstheme="minorHAnsi"/>
          <w:b/>
          <w:color w:val="000000"/>
          <w:sz w:val="26"/>
          <w:szCs w:val="26"/>
        </w:rPr>
        <w:t xml:space="preserve"> vendite e prezzi</w:t>
      </w:r>
      <w:r w:rsidR="00894903">
        <w:rPr>
          <w:rFonts w:eastAsia="Times New Roman" w:cstheme="minorHAnsi"/>
          <w:b/>
          <w:color w:val="000000"/>
          <w:sz w:val="26"/>
          <w:szCs w:val="26"/>
        </w:rPr>
        <w:t>.</w:t>
      </w:r>
    </w:p>
    <w:p w:rsidR="002C74B4" w:rsidRDefault="002C74B4" w:rsidP="00661922">
      <w:pPr>
        <w:spacing w:after="0" w:line="240" w:lineRule="auto"/>
        <w:jc w:val="center"/>
        <w:rPr>
          <w:rFonts w:eastAsia="Times New Roman" w:cstheme="minorHAnsi"/>
          <w:b/>
          <w:color w:val="000000"/>
          <w:sz w:val="26"/>
          <w:szCs w:val="26"/>
        </w:rPr>
      </w:pPr>
    </w:p>
    <w:p w:rsidR="002C74B4" w:rsidRPr="001500F1" w:rsidRDefault="002C74B4" w:rsidP="002C74B4">
      <w:pPr>
        <w:pStyle w:val="Nessunaspaziatura"/>
        <w:numPr>
          <w:ilvl w:val="0"/>
          <w:numId w:val="33"/>
        </w:numPr>
        <w:ind w:left="426" w:hanging="426"/>
        <w:jc w:val="both"/>
        <w:rPr>
          <w:rFonts w:eastAsia="Times New Roman" w:cstheme="minorHAnsi"/>
          <w:bCs/>
          <w:i/>
        </w:rPr>
      </w:pPr>
      <w:r w:rsidRPr="00164353">
        <w:rPr>
          <w:rFonts w:eastAsia="Times New Roman" w:cstheme="minorHAnsi"/>
          <w:bCs/>
          <w:i/>
        </w:rPr>
        <w:t>Nel 2020 i</w:t>
      </w:r>
      <w:r w:rsidR="00661922" w:rsidRPr="00164353">
        <w:rPr>
          <w:rFonts w:eastAsia="Times New Roman" w:cstheme="minorHAnsi"/>
          <w:bCs/>
          <w:i/>
        </w:rPr>
        <w:t xml:space="preserve"> prezzi </w:t>
      </w:r>
      <w:r w:rsidRPr="00164353">
        <w:rPr>
          <w:rFonts w:eastAsia="Times New Roman" w:cstheme="minorHAnsi"/>
          <w:bCs/>
          <w:i/>
        </w:rPr>
        <w:t xml:space="preserve">per le nuove abitazioni </w:t>
      </w:r>
      <w:r w:rsidR="00661922" w:rsidRPr="00164353">
        <w:rPr>
          <w:rFonts w:eastAsia="Times New Roman" w:cstheme="minorHAnsi"/>
          <w:bCs/>
          <w:i/>
        </w:rPr>
        <w:t xml:space="preserve">sono </w:t>
      </w:r>
      <w:r w:rsidR="00164353" w:rsidRPr="00164353">
        <w:rPr>
          <w:rFonts w:eastAsia="Times New Roman" w:cstheme="minorHAnsi"/>
          <w:bCs/>
          <w:i/>
        </w:rPr>
        <w:t>aumentati del +1,8%</w:t>
      </w:r>
      <w:r w:rsidR="00661922" w:rsidRPr="00164353">
        <w:rPr>
          <w:rFonts w:eastAsia="Times New Roman" w:cstheme="minorHAnsi"/>
          <w:bCs/>
          <w:i/>
        </w:rPr>
        <w:t xml:space="preserve"> </w:t>
      </w:r>
      <w:r w:rsidR="00164353" w:rsidRPr="00164353">
        <w:rPr>
          <w:rFonts w:cstheme="minorHAnsi"/>
          <w:i/>
        </w:rPr>
        <w:t>(€ 5.700 al mq)</w:t>
      </w:r>
      <w:r w:rsidR="00164353">
        <w:rPr>
          <w:rFonts w:eastAsia="Times New Roman" w:cstheme="minorHAnsi"/>
          <w:bCs/>
          <w:i/>
        </w:rPr>
        <w:t xml:space="preserve">. </w:t>
      </w:r>
      <w:r w:rsidRPr="00164353">
        <w:rPr>
          <w:rFonts w:eastAsia="Times New Roman" w:cstheme="minorHAnsi"/>
          <w:bCs/>
          <w:i/>
        </w:rPr>
        <w:t>Il nuovo rappresenta</w:t>
      </w:r>
      <w:r w:rsidR="00164353">
        <w:rPr>
          <w:rFonts w:eastAsia="Times New Roman" w:cstheme="minorHAnsi"/>
          <w:bCs/>
          <w:i/>
        </w:rPr>
        <w:t xml:space="preserve"> </w:t>
      </w:r>
      <w:r w:rsidR="00732F3B">
        <w:rPr>
          <w:rFonts w:eastAsia="Times New Roman" w:cstheme="minorHAnsi"/>
          <w:bCs/>
          <w:i/>
        </w:rPr>
        <w:t xml:space="preserve">quasi </w:t>
      </w:r>
      <w:r w:rsidR="00164353">
        <w:rPr>
          <w:rFonts w:eastAsia="Times New Roman" w:cstheme="minorHAnsi"/>
          <w:bCs/>
          <w:i/>
        </w:rPr>
        <w:t xml:space="preserve">il </w:t>
      </w:r>
      <w:r w:rsidR="00732F3B" w:rsidRPr="001500F1">
        <w:rPr>
          <w:rFonts w:eastAsia="Times New Roman" w:cstheme="minorHAnsi"/>
          <w:bCs/>
          <w:i/>
        </w:rPr>
        <w:t xml:space="preserve">20% </w:t>
      </w:r>
      <w:r w:rsidR="00661922" w:rsidRPr="001500F1">
        <w:rPr>
          <w:rFonts w:eastAsia="Times New Roman" w:cstheme="minorHAnsi"/>
          <w:bCs/>
          <w:i/>
        </w:rPr>
        <w:t>dell’offerta totale</w:t>
      </w:r>
      <w:r w:rsidR="005E6A38" w:rsidRPr="001500F1">
        <w:rPr>
          <w:rFonts w:eastAsia="Times New Roman" w:cstheme="minorHAnsi"/>
          <w:bCs/>
          <w:i/>
        </w:rPr>
        <w:t xml:space="preserve">. </w:t>
      </w:r>
    </w:p>
    <w:p w:rsidR="00164353" w:rsidRPr="00164353" w:rsidRDefault="00164353" w:rsidP="002C74B4">
      <w:pPr>
        <w:pStyle w:val="Nessunaspaziatura"/>
        <w:numPr>
          <w:ilvl w:val="0"/>
          <w:numId w:val="33"/>
        </w:numPr>
        <w:ind w:left="426" w:hanging="426"/>
        <w:jc w:val="both"/>
        <w:rPr>
          <w:rFonts w:eastAsia="Times New Roman" w:cstheme="minorHAnsi"/>
          <w:bCs/>
          <w:i/>
        </w:rPr>
      </w:pPr>
      <w:r>
        <w:rPr>
          <w:rFonts w:eastAsia="Times New Roman" w:cstheme="minorHAnsi"/>
          <w:bCs/>
          <w:i/>
        </w:rPr>
        <w:t>L</w:t>
      </w:r>
      <w:r w:rsidR="00661922" w:rsidRPr="002C74B4">
        <w:rPr>
          <w:rFonts w:eastAsia="Times New Roman" w:cstheme="minorHAnsi"/>
          <w:bCs/>
          <w:i/>
        </w:rPr>
        <w:t xml:space="preserve">e previsioni per il 2021 </w:t>
      </w:r>
      <w:r w:rsidR="002C74B4">
        <w:rPr>
          <w:rFonts w:eastAsia="Times New Roman" w:cstheme="minorHAnsi"/>
          <w:bCs/>
          <w:i/>
        </w:rPr>
        <w:t>indicano</w:t>
      </w:r>
      <w:r w:rsidR="00661922" w:rsidRPr="002C74B4">
        <w:rPr>
          <w:rFonts w:eastAsia="Times New Roman" w:cstheme="minorHAnsi"/>
          <w:bCs/>
          <w:i/>
        </w:rPr>
        <w:t xml:space="preserve"> </w:t>
      </w:r>
      <w:r>
        <w:rPr>
          <w:rFonts w:eastAsia="Times New Roman" w:cstheme="minorHAnsi"/>
          <w:bCs/>
          <w:i/>
        </w:rPr>
        <w:t xml:space="preserve">una crescita delle transazioni di nuove abitazioni da </w:t>
      </w:r>
      <w:r w:rsidRPr="00164353">
        <w:rPr>
          <w:rFonts w:eastAsia="Times New Roman" w:cstheme="minorHAnsi"/>
          <w:bCs/>
          <w:i/>
        </w:rPr>
        <w:t>+4,5% (</w:t>
      </w:r>
      <w:r w:rsidR="00732F3B" w:rsidRPr="001500F1">
        <w:rPr>
          <w:rFonts w:eastAsia="Times New Roman" w:cstheme="minorHAnsi"/>
          <w:bCs/>
          <w:i/>
        </w:rPr>
        <w:t>c</w:t>
      </w:r>
      <w:r w:rsidR="001500F1" w:rsidRPr="001500F1">
        <w:rPr>
          <w:rFonts w:eastAsia="Times New Roman" w:cstheme="minorHAnsi"/>
          <w:bCs/>
          <w:i/>
        </w:rPr>
        <w:t>irca</w:t>
      </w:r>
      <w:r w:rsidR="00732F3B" w:rsidRPr="001500F1">
        <w:rPr>
          <w:rFonts w:eastAsia="Times New Roman" w:cstheme="minorHAnsi"/>
          <w:bCs/>
          <w:i/>
        </w:rPr>
        <w:t xml:space="preserve"> 5.820</w:t>
      </w:r>
      <w:r w:rsidRPr="001500F1">
        <w:rPr>
          <w:rFonts w:eastAsia="Times New Roman" w:cstheme="minorHAnsi"/>
          <w:bCs/>
          <w:i/>
        </w:rPr>
        <w:t>)</w:t>
      </w:r>
      <w:r w:rsidRPr="00164353">
        <w:rPr>
          <w:rFonts w:eastAsia="Times New Roman" w:cstheme="minorHAnsi"/>
          <w:bCs/>
          <w:i/>
        </w:rPr>
        <w:t xml:space="preserve"> a +8% </w:t>
      </w:r>
      <w:r w:rsidRPr="00735711">
        <w:rPr>
          <w:rFonts w:eastAsia="Times New Roman" w:cstheme="minorHAnsi"/>
          <w:bCs/>
          <w:i/>
        </w:rPr>
        <w:t>(</w:t>
      </w:r>
      <w:r w:rsidR="001500F1" w:rsidRPr="001500F1">
        <w:rPr>
          <w:rFonts w:eastAsia="Times New Roman" w:cstheme="minorHAnsi"/>
          <w:bCs/>
          <w:i/>
        </w:rPr>
        <w:t>oltre</w:t>
      </w:r>
      <w:r w:rsidR="00732F3B" w:rsidRPr="001500F1">
        <w:rPr>
          <w:rFonts w:eastAsia="Times New Roman" w:cstheme="minorHAnsi"/>
          <w:bCs/>
          <w:i/>
        </w:rPr>
        <w:t xml:space="preserve"> 6.0</w:t>
      </w:r>
      <w:r w:rsidR="001500F1" w:rsidRPr="001500F1">
        <w:rPr>
          <w:rFonts w:eastAsia="Times New Roman" w:cstheme="minorHAnsi"/>
          <w:bCs/>
          <w:i/>
        </w:rPr>
        <w:t>0</w:t>
      </w:r>
      <w:r w:rsidR="00732F3B" w:rsidRPr="001500F1">
        <w:rPr>
          <w:rFonts w:eastAsia="Times New Roman" w:cstheme="minorHAnsi"/>
          <w:bCs/>
          <w:i/>
        </w:rPr>
        <w:t>0</w:t>
      </w:r>
      <w:r w:rsidRPr="00735711">
        <w:rPr>
          <w:rFonts w:eastAsia="Times New Roman" w:cstheme="minorHAnsi"/>
          <w:bCs/>
          <w:i/>
        </w:rPr>
        <w:t>)</w:t>
      </w:r>
      <w:r w:rsidRPr="00164353">
        <w:rPr>
          <w:rFonts w:eastAsia="Times New Roman" w:cstheme="minorHAnsi"/>
          <w:bCs/>
          <w:i/>
        </w:rPr>
        <w:t xml:space="preserve"> e dei prezzi (+1,5%)</w:t>
      </w:r>
    </w:p>
    <w:p w:rsidR="00B931D1" w:rsidRPr="00800D58" w:rsidRDefault="00800D58" w:rsidP="002C74B4">
      <w:pPr>
        <w:pStyle w:val="Nessunaspaziatura"/>
        <w:numPr>
          <w:ilvl w:val="0"/>
          <w:numId w:val="33"/>
        </w:numPr>
        <w:ind w:left="426" w:hanging="426"/>
        <w:jc w:val="both"/>
        <w:rPr>
          <w:rFonts w:eastAsia="Times New Roman" w:cstheme="minorHAnsi"/>
          <w:bCs/>
          <w:i/>
        </w:rPr>
      </w:pPr>
      <w:r w:rsidRPr="00800D58">
        <w:rPr>
          <w:rFonts w:eastAsia="Times New Roman" w:cstheme="minorHAnsi"/>
          <w:bCs/>
          <w:i/>
        </w:rPr>
        <w:t>Gli effetti della pandemia sta</w:t>
      </w:r>
      <w:r w:rsidR="00BE71DC">
        <w:rPr>
          <w:rFonts w:eastAsia="Times New Roman" w:cstheme="minorHAnsi"/>
          <w:bCs/>
          <w:i/>
        </w:rPr>
        <w:t>nno</w:t>
      </w:r>
      <w:r w:rsidRPr="00800D58">
        <w:rPr>
          <w:rFonts w:eastAsia="Times New Roman" w:cstheme="minorHAnsi"/>
          <w:bCs/>
          <w:i/>
        </w:rPr>
        <w:t xml:space="preserve"> modificando la domanda, sempre più orientata </w:t>
      </w:r>
      <w:r>
        <w:rPr>
          <w:rFonts w:eastAsia="Times New Roman" w:cstheme="minorHAnsi"/>
          <w:bCs/>
          <w:i/>
        </w:rPr>
        <w:t>su</w:t>
      </w:r>
      <w:r w:rsidRPr="00800D58">
        <w:rPr>
          <w:rFonts w:eastAsia="Times New Roman" w:cstheme="minorHAnsi"/>
          <w:bCs/>
          <w:i/>
        </w:rPr>
        <w:t xml:space="preserve"> </w:t>
      </w:r>
      <w:r>
        <w:rPr>
          <w:rFonts w:eastAsia="Times New Roman" w:cstheme="minorHAnsi"/>
          <w:bCs/>
          <w:i/>
        </w:rPr>
        <w:t xml:space="preserve">abitazioni di dimensioni più </w:t>
      </w:r>
      <w:r w:rsidRPr="00800D58">
        <w:rPr>
          <w:rFonts w:eastAsia="Times New Roman" w:cstheme="minorHAnsi"/>
          <w:bCs/>
          <w:i/>
        </w:rPr>
        <w:t>grandi come i quadrilo</w:t>
      </w:r>
      <w:r>
        <w:rPr>
          <w:rFonts w:eastAsia="Times New Roman" w:cstheme="minorHAnsi"/>
          <w:bCs/>
          <w:i/>
        </w:rPr>
        <w:t xml:space="preserve">cali. </w:t>
      </w:r>
    </w:p>
    <w:p w:rsidR="00B931D1" w:rsidRPr="002C74B4" w:rsidRDefault="00B931D1" w:rsidP="00B931D1">
      <w:pPr>
        <w:pStyle w:val="Nessunaspaziatura"/>
        <w:ind w:left="426"/>
        <w:jc w:val="both"/>
        <w:rPr>
          <w:rFonts w:eastAsia="Times New Roman" w:cstheme="minorHAnsi"/>
          <w:b/>
          <w:bCs/>
          <w:i/>
        </w:rPr>
      </w:pPr>
    </w:p>
    <w:p w:rsidR="002C74B4" w:rsidRPr="002C74B4" w:rsidRDefault="002C74B4" w:rsidP="002C74B4">
      <w:pPr>
        <w:pStyle w:val="Nessunaspaziatura"/>
        <w:ind w:left="426"/>
        <w:rPr>
          <w:rFonts w:eastAsia="Times New Roman" w:cstheme="minorHAnsi"/>
          <w:b/>
          <w:bCs/>
          <w:i/>
        </w:rPr>
      </w:pPr>
    </w:p>
    <w:p w:rsidR="00C50F10" w:rsidRPr="00F4387E" w:rsidRDefault="00661922" w:rsidP="00C50F10">
      <w:pPr>
        <w:pStyle w:val="Nessunaspaziatura"/>
        <w:jc w:val="both"/>
        <w:rPr>
          <w:rFonts w:cstheme="minorHAnsi"/>
          <w:b/>
        </w:rPr>
      </w:pPr>
      <w:r w:rsidRPr="00FA6863">
        <w:rPr>
          <w:rFonts w:cstheme="minorHAnsi"/>
          <w:i/>
        </w:rPr>
        <w:t xml:space="preserve">Milano, </w:t>
      </w:r>
      <w:bookmarkStart w:id="0" w:name="_GoBack"/>
      <w:bookmarkEnd w:id="0"/>
      <w:r w:rsidRPr="00FA6863">
        <w:rPr>
          <w:rFonts w:cstheme="minorHAnsi"/>
          <w:i/>
        </w:rPr>
        <w:t>febbraio 2020</w:t>
      </w:r>
      <w:r w:rsidRPr="00FA6863">
        <w:rPr>
          <w:rFonts w:cstheme="minorHAnsi"/>
        </w:rPr>
        <w:t xml:space="preserve"> –</w:t>
      </w:r>
      <w:r w:rsidRPr="00F4387E">
        <w:rPr>
          <w:rFonts w:cstheme="minorHAnsi"/>
        </w:rPr>
        <w:t xml:space="preserve"> Dopo anni di crescita costante, anche il mercato immobiliare </w:t>
      </w:r>
      <w:r w:rsidR="009B299F" w:rsidRPr="00F4387E">
        <w:rPr>
          <w:rFonts w:cstheme="minorHAnsi"/>
        </w:rPr>
        <w:t xml:space="preserve">milanese </w:t>
      </w:r>
      <w:r w:rsidRPr="00F4387E">
        <w:rPr>
          <w:rFonts w:cstheme="minorHAnsi"/>
        </w:rPr>
        <w:t xml:space="preserve">lo scorso anno si è trovato a dover fare i conti con gli effetti del lockdown, ma nel 2021 arrivano i primi segnali positivi, soprattutto per le nuove </w:t>
      </w:r>
      <w:r w:rsidR="00A64C3C" w:rsidRPr="00F4387E">
        <w:rPr>
          <w:rFonts w:cstheme="minorHAnsi"/>
        </w:rPr>
        <w:t>costruzioni</w:t>
      </w:r>
      <w:r w:rsidRPr="00F4387E">
        <w:rPr>
          <w:rFonts w:cstheme="minorHAnsi"/>
        </w:rPr>
        <w:t xml:space="preserve">. Secondo le stime di </w:t>
      </w:r>
      <w:r w:rsidRPr="00F4387E">
        <w:rPr>
          <w:rFonts w:cstheme="minorHAnsi"/>
          <w:b/>
        </w:rPr>
        <w:t>Abitare Co.</w:t>
      </w:r>
      <w:r w:rsidRPr="00164353">
        <w:rPr>
          <w:rFonts w:cstheme="minorHAnsi"/>
        </w:rPr>
        <w:t>,</w:t>
      </w:r>
      <w:r w:rsidRPr="00F4387E">
        <w:rPr>
          <w:rFonts w:cstheme="minorHAnsi"/>
        </w:rPr>
        <w:t xml:space="preserve"> il 2020 </w:t>
      </w:r>
      <w:r w:rsidR="009B299F" w:rsidRPr="00F4387E">
        <w:rPr>
          <w:rFonts w:cstheme="minorHAnsi"/>
        </w:rPr>
        <w:t xml:space="preserve">nella città meneghina </w:t>
      </w:r>
      <w:r w:rsidRPr="00F4387E">
        <w:rPr>
          <w:rFonts w:cstheme="minorHAnsi"/>
        </w:rPr>
        <w:t xml:space="preserve">si è chiuso con un calo sia delle compravendite di abitazioni </w:t>
      </w:r>
      <w:r w:rsidR="005520CE">
        <w:rPr>
          <w:rFonts w:cstheme="minorHAnsi"/>
        </w:rPr>
        <w:t xml:space="preserve">nuove e usate </w:t>
      </w:r>
      <w:r w:rsidR="00164353" w:rsidRPr="00164353">
        <w:rPr>
          <w:rFonts w:cstheme="minorHAnsi"/>
        </w:rPr>
        <w:t>(</w:t>
      </w:r>
      <w:r w:rsidR="009B299F" w:rsidRPr="00164353">
        <w:rPr>
          <w:rFonts w:cstheme="minorHAnsi"/>
        </w:rPr>
        <w:t>-19,2</w:t>
      </w:r>
      <w:r w:rsidRPr="00164353">
        <w:rPr>
          <w:rFonts w:cstheme="minorHAnsi"/>
        </w:rPr>
        <w:t xml:space="preserve">% </w:t>
      </w:r>
      <w:r w:rsidR="00164353" w:rsidRPr="00164353">
        <w:rPr>
          <w:rFonts w:cstheme="minorHAnsi"/>
        </w:rPr>
        <w:t xml:space="preserve">vs </w:t>
      </w:r>
      <w:r w:rsidR="005520CE" w:rsidRPr="00164353">
        <w:rPr>
          <w:rFonts w:cstheme="minorHAnsi"/>
        </w:rPr>
        <w:t>2019</w:t>
      </w:r>
      <w:r w:rsidR="00164353" w:rsidRPr="00164353">
        <w:rPr>
          <w:rFonts w:cstheme="minorHAnsi"/>
        </w:rPr>
        <w:t>)</w:t>
      </w:r>
      <w:r w:rsidR="005520CE" w:rsidRPr="00F4387E">
        <w:rPr>
          <w:rFonts w:cstheme="minorHAnsi"/>
        </w:rPr>
        <w:t xml:space="preserve"> </w:t>
      </w:r>
      <w:r w:rsidRPr="00F4387E">
        <w:rPr>
          <w:rFonts w:cstheme="minorHAnsi"/>
        </w:rPr>
        <w:t xml:space="preserve">sia del fatturato totale, che si </w:t>
      </w:r>
      <w:r w:rsidRPr="00164353">
        <w:rPr>
          <w:rFonts w:cstheme="minorHAnsi"/>
        </w:rPr>
        <w:t>attesta a €</w:t>
      </w:r>
      <w:r w:rsidR="009B299F" w:rsidRPr="00164353">
        <w:rPr>
          <w:rFonts w:cstheme="minorHAnsi"/>
        </w:rPr>
        <w:t>6,5</w:t>
      </w:r>
      <w:r w:rsidRPr="00164353">
        <w:rPr>
          <w:rFonts w:cstheme="minorHAnsi"/>
        </w:rPr>
        <w:t xml:space="preserve"> </w:t>
      </w:r>
      <w:r w:rsidR="009B299F" w:rsidRPr="00164353">
        <w:rPr>
          <w:rFonts w:cstheme="minorHAnsi"/>
        </w:rPr>
        <w:t>mld</w:t>
      </w:r>
      <w:r w:rsidR="009B299F" w:rsidRPr="00F4387E">
        <w:rPr>
          <w:rFonts w:cstheme="minorHAnsi"/>
        </w:rPr>
        <w:t xml:space="preserve"> (-18,8</w:t>
      </w:r>
      <w:r w:rsidRPr="00F4387E">
        <w:rPr>
          <w:rFonts w:cstheme="minorHAnsi"/>
        </w:rPr>
        <w:t>% su 2019).</w:t>
      </w:r>
      <w:r w:rsidRPr="00F4387E">
        <w:rPr>
          <w:rFonts w:cstheme="minorHAnsi"/>
          <w:b/>
        </w:rPr>
        <w:t xml:space="preserve"> </w:t>
      </w:r>
      <w:r w:rsidR="00A64C3C" w:rsidRPr="00F4387E">
        <w:rPr>
          <w:rFonts w:cstheme="minorHAnsi"/>
        </w:rPr>
        <w:t xml:space="preserve">Per quanto riguarda l’anno in corso, al contrario, si prevede un incremento delle compravendite </w:t>
      </w:r>
      <w:r w:rsidR="00D07929">
        <w:rPr>
          <w:rFonts w:cstheme="minorHAnsi"/>
        </w:rPr>
        <w:t>a livello generale</w:t>
      </w:r>
      <w:r w:rsidR="00A64C3C" w:rsidRPr="00436D2B">
        <w:rPr>
          <w:rFonts w:cstheme="minorHAnsi"/>
        </w:rPr>
        <w:t xml:space="preserve">. </w:t>
      </w:r>
      <w:r w:rsidR="00A64C3C" w:rsidRPr="00F4387E">
        <w:rPr>
          <w:rFonts w:cstheme="minorHAnsi"/>
        </w:rPr>
        <w:t>Un dato positivo ma con differenze importanti: se nell’usato a fine anno difficilmente si ritornerà ai valori pre-crisi, le stime per il nuovo indicano invece un recupero totale del mercato</w:t>
      </w:r>
      <w:r w:rsidR="00D07929">
        <w:rPr>
          <w:rFonts w:cstheme="minorHAnsi"/>
        </w:rPr>
        <w:t xml:space="preserve"> </w:t>
      </w:r>
      <w:r w:rsidR="00D07929" w:rsidRPr="00F4387E">
        <w:rPr>
          <w:rFonts w:cstheme="minorHAnsi"/>
        </w:rPr>
        <w:t>(da +4</w:t>
      </w:r>
      <w:r w:rsidR="00D07929">
        <w:rPr>
          <w:rFonts w:cstheme="minorHAnsi"/>
        </w:rPr>
        <w:t>,5</w:t>
      </w:r>
      <w:r w:rsidR="00D07929" w:rsidRPr="00F4387E">
        <w:rPr>
          <w:rFonts w:cstheme="minorHAnsi"/>
        </w:rPr>
        <w:t>% a +8%</w:t>
      </w:r>
      <w:r w:rsidR="00D07929">
        <w:rPr>
          <w:rFonts w:cstheme="minorHAnsi"/>
        </w:rPr>
        <w:t>)</w:t>
      </w:r>
      <w:r w:rsidR="00A64C3C" w:rsidRPr="00F4387E">
        <w:rPr>
          <w:rFonts w:cstheme="minorHAnsi"/>
        </w:rPr>
        <w:t xml:space="preserve">. </w:t>
      </w:r>
      <w:r w:rsidR="00C50F10" w:rsidRPr="00F4387E">
        <w:rPr>
          <w:rFonts w:cstheme="minorHAnsi"/>
        </w:rPr>
        <w:t xml:space="preserve">Questo perché lo scorso anno questo segmento ha retto meglio rispetto alle abitazioni di “seconda mano”. </w:t>
      </w:r>
    </w:p>
    <w:p w:rsidR="00661922" w:rsidRPr="00F4387E" w:rsidRDefault="00661922" w:rsidP="00661922">
      <w:pPr>
        <w:pStyle w:val="Nessunaspaziatura"/>
        <w:jc w:val="both"/>
        <w:rPr>
          <w:rFonts w:cstheme="minorHAnsi"/>
        </w:rPr>
      </w:pPr>
      <w:r w:rsidRPr="00F4387E">
        <w:rPr>
          <w:rFonts w:cstheme="minorHAnsi"/>
        </w:rPr>
        <w:t xml:space="preserve">Sono questi alcuni risultati emersi dall’analisi del </w:t>
      </w:r>
      <w:r w:rsidRPr="00F4387E">
        <w:rPr>
          <w:rFonts w:cstheme="minorHAnsi"/>
          <w:b/>
        </w:rPr>
        <w:t>Centro Studi di Abitare Co.</w:t>
      </w:r>
      <w:r w:rsidRPr="00F4387E">
        <w:rPr>
          <w:rFonts w:cstheme="minorHAnsi"/>
        </w:rPr>
        <w:t xml:space="preserve"> – società di intermediazione immobiliare focalizzata sulle nuove residenze – che ha analizzato l’andamento del mercato immobiliare delle nuove abitazioni nel 2020 nelle principali città metropolitane italiane (Roma, Milano, Torino, Napoli, Genova, Firenze, Bologna e Palermo), con una previsione per il 2021.</w:t>
      </w:r>
    </w:p>
    <w:p w:rsidR="009B299F" w:rsidRDefault="009B299F" w:rsidP="00661922">
      <w:pPr>
        <w:pStyle w:val="Nessunaspaziatura"/>
        <w:jc w:val="both"/>
        <w:rPr>
          <w:rFonts w:cstheme="minorHAnsi"/>
        </w:rPr>
      </w:pPr>
    </w:p>
    <w:p w:rsidR="00D07929" w:rsidRPr="003C5CC4" w:rsidRDefault="00D07929" w:rsidP="00D07929">
      <w:pPr>
        <w:spacing w:after="0" w:line="240" w:lineRule="auto"/>
        <w:ind w:right="49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“Dopo i due mesi di stop delle attività e la ripresa di primavera–estate, il mercato milanese ha continuato anche negli ultimi tre mesi del 2020 a recuperare terreno, limitando la discesa delle transazioni delle nuove case a meno di 5 punti percentuali – </w:t>
      </w:r>
      <w:r w:rsidRPr="00D07929">
        <w:rPr>
          <w:rFonts w:cstheme="minorHAnsi"/>
          <w:sz w:val="24"/>
          <w:szCs w:val="24"/>
        </w:rPr>
        <w:t xml:space="preserve">ha dichiarato </w:t>
      </w:r>
      <w:r w:rsidRPr="00D07929">
        <w:rPr>
          <w:rFonts w:cstheme="minorHAnsi"/>
          <w:b/>
          <w:sz w:val="24"/>
          <w:szCs w:val="24"/>
        </w:rPr>
        <w:t>Giuseppe Crupi CEO di Abitare Co.</w:t>
      </w:r>
      <w:r>
        <w:rPr>
          <w:rFonts w:cstheme="minorHAnsi"/>
          <w:i/>
          <w:sz w:val="24"/>
          <w:szCs w:val="24"/>
        </w:rPr>
        <w:t xml:space="preserve"> -. Sale la richiesta di spazi esterni sfruttabili come il verde o i terrazzi e si consolida l’attenzione per servizi e amenities all’interno dei nuovi immobili. </w:t>
      </w:r>
      <w:r w:rsidRPr="003C5CC4">
        <w:rPr>
          <w:rFonts w:cstheme="minorHAnsi"/>
          <w:i/>
          <w:sz w:val="24"/>
          <w:szCs w:val="24"/>
        </w:rPr>
        <w:t>In prospettiva, non si deve però dimenticare che l’impatto della recessione farà sentire ancora i suoi effetti per tutto il 2021, allungando i tempi di vendita e soprattutto creando delle tensioni sul fronte dell’offerta.”</w:t>
      </w:r>
    </w:p>
    <w:p w:rsidR="00D07929" w:rsidRPr="003C5CC4" w:rsidRDefault="00D07929" w:rsidP="00D07929">
      <w:pPr>
        <w:pStyle w:val="Nessunaspaziatura"/>
        <w:jc w:val="both"/>
        <w:rPr>
          <w:rFonts w:cstheme="minorHAnsi"/>
          <w:i/>
          <w:sz w:val="24"/>
          <w:szCs w:val="24"/>
        </w:rPr>
      </w:pPr>
    </w:p>
    <w:p w:rsidR="001500F1" w:rsidRDefault="001500F1" w:rsidP="00AA4152">
      <w:pPr>
        <w:pStyle w:val="Nessunaspaziatura"/>
        <w:jc w:val="both"/>
        <w:rPr>
          <w:rFonts w:cstheme="minorHAnsi"/>
          <w:b/>
        </w:rPr>
      </w:pPr>
    </w:p>
    <w:p w:rsidR="001500F1" w:rsidRDefault="001500F1" w:rsidP="00AA4152">
      <w:pPr>
        <w:pStyle w:val="Nessunaspaziatura"/>
        <w:jc w:val="both"/>
        <w:rPr>
          <w:rFonts w:cstheme="minorHAnsi"/>
          <w:b/>
        </w:rPr>
      </w:pPr>
    </w:p>
    <w:p w:rsidR="001500F1" w:rsidRDefault="001500F1" w:rsidP="00AA4152">
      <w:pPr>
        <w:pStyle w:val="Nessunaspaziatura"/>
        <w:jc w:val="both"/>
        <w:rPr>
          <w:rFonts w:cstheme="minorHAnsi"/>
          <w:b/>
        </w:rPr>
      </w:pPr>
    </w:p>
    <w:p w:rsidR="001500F1" w:rsidRDefault="001500F1" w:rsidP="00AA4152">
      <w:pPr>
        <w:pStyle w:val="Nessunaspaziatura"/>
        <w:jc w:val="both"/>
        <w:rPr>
          <w:rFonts w:cstheme="minorHAnsi"/>
          <w:b/>
        </w:rPr>
      </w:pPr>
    </w:p>
    <w:p w:rsidR="001500F1" w:rsidRDefault="001500F1" w:rsidP="00AA4152">
      <w:pPr>
        <w:pStyle w:val="Nessunaspaziatura"/>
        <w:jc w:val="both"/>
        <w:rPr>
          <w:rFonts w:cstheme="minorHAnsi"/>
          <w:b/>
        </w:rPr>
      </w:pPr>
    </w:p>
    <w:p w:rsidR="001500F1" w:rsidRDefault="001500F1" w:rsidP="00AA4152">
      <w:pPr>
        <w:pStyle w:val="Nessunaspaziatura"/>
        <w:jc w:val="both"/>
        <w:rPr>
          <w:rFonts w:cstheme="minorHAnsi"/>
          <w:b/>
        </w:rPr>
      </w:pPr>
    </w:p>
    <w:p w:rsidR="001500F1" w:rsidRDefault="001500F1" w:rsidP="00AA4152">
      <w:pPr>
        <w:pStyle w:val="Nessunaspaziatura"/>
        <w:jc w:val="both"/>
        <w:rPr>
          <w:rFonts w:cstheme="minorHAnsi"/>
          <w:b/>
        </w:rPr>
      </w:pPr>
    </w:p>
    <w:p w:rsidR="00AA4152" w:rsidRPr="00F4387E" w:rsidRDefault="00AA4152" w:rsidP="00AA4152">
      <w:pPr>
        <w:pStyle w:val="Nessunaspaziatura"/>
        <w:jc w:val="both"/>
        <w:rPr>
          <w:rFonts w:cstheme="minorHAnsi"/>
          <w:b/>
        </w:rPr>
      </w:pPr>
      <w:r w:rsidRPr="00F4387E">
        <w:rPr>
          <w:rFonts w:cstheme="minorHAnsi"/>
          <w:b/>
        </w:rPr>
        <w:t>Nuove abitazioni</w:t>
      </w:r>
      <w:r w:rsidR="00571D63">
        <w:rPr>
          <w:rFonts w:cstheme="minorHAnsi"/>
          <w:b/>
        </w:rPr>
        <w:t xml:space="preserve"> a Milano</w:t>
      </w:r>
      <w:r w:rsidRPr="00F4387E">
        <w:rPr>
          <w:rFonts w:cstheme="minorHAnsi"/>
          <w:b/>
        </w:rPr>
        <w:t xml:space="preserve">: la fotografia del 2020 </w:t>
      </w:r>
    </w:p>
    <w:p w:rsidR="00AA4152" w:rsidRPr="00F4387E" w:rsidRDefault="00436D2B" w:rsidP="00AA4152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="00571D63">
        <w:rPr>
          <w:rFonts w:cstheme="minorHAnsi"/>
        </w:rPr>
        <w:t xml:space="preserve">Milano </w:t>
      </w:r>
      <w:r w:rsidR="00AA4152" w:rsidRPr="00F4387E">
        <w:rPr>
          <w:rFonts w:cstheme="minorHAnsi"/>
        </w:rPr>
        <w:t xml:space="preserve">nel </w:t>
      </w:r>
      <w:r>
        <w:rPr>
          <w:rFonts w:cstheme="minorHAnsi"/>
        </w:rPr>
        <w:t xml:space="preserve">2020, il calo delle compravendite di nuove abitazioni, nonostante i due mesi di lockdown, ha subito un calo piuttosto contenuto: la stima è infatti del </w:t>
      </w:r>
      <w:r w:rsidR="00AA4152" w:rsidRPr="00F4387E">
        <w:rPr>
          <w:rFonts w:cstheme="minorHAnsi"/>
        </w:rPr>
        <w:t xml:space="preserve">-4% sul 2019 </w:t>
      </w:r>
      <w:r w:rsidRPr="001500F1">
        <w:rPr>
          <w:rFonts w:cstheme="minorHAnsi"/>
        </w:rPr>
        <w:t xml:space="preserve">con </w:t>
      </w:r>
      <w:r w:rsidR="002D0934" w:rsidRPr="001500F1">
        <w:rPr>
          <w:rFonts w:cstheme="minorHAnsi"/>
        </w:rPr>
        <w:t>circa 5.570</w:t>
      </w:r>
      <w:r w:rsidR="00AA4152" w:rsidRPr="001500F1">
        <w:rPr>
          <w:rFonts w:cstheme="minorHAnsi"/>
        </w:rPr>
        <w:t xml:space="preserve"> transazioni</w:t>
      </w:r>
      <w:r>
        <w:rPr>
          <w:rFonts w:cstheme="minorHAnsi"/>
        </w:rPr>
        <w:t>.</w:t>
      </w:r>
      <w:r w:rsidR="00AA4152" w:rsidRPr="00F4387E">
        <w:rPr>
          <w:rFonts w:cstheme="minorHAnsi"/>
        </w:rPr>
        <w:t xml:space="preserve"> </w:t>
      </w:r>
    </w:p>
    <w:p w:rsidR="00B94523" w:rsidRPr="00F4387E" w:rsidRDefault="00436D2B" w:rsidP="00B94523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t>N</w:t>
      </w:r>
      <w:r w:rsidR="00164353">
        <w:rPr>
          <w:rFonts w:cstheme="minorHAnsi"/>
        </w:rPr>
        <w:t xml:space="preserve">onostante </w:t>
      </w:r>
      <w:r>
        <w:rPr>
          <w:rFonts w:cstheme="minorHAnsi"/>
        </w:rPr>
        <w:t xml:space="preserve">la </w:t>
      </w:r>
      <w:r w:rsidR="00164353">
        <w:rPr>
          <w:rFonts w:cstheme="minorHAnsi"/>
        </w:rPr>
        <w:t xml:space="preserve">contrazione </w:t>
      </w:r>
      <w:r w:rsidR="00AA4152" w:rsidRPr="00F4387E">
        <w:rPr>
          <w:rFonts w:cstheme="minorHAnsi"/>
        </w:rPr>
        <w:t>delle vendite, i prezzi medi (€ 5.700 al mq.)</w:t>
      </w:r>
      <w:r w:rsidR="00F4387E" w:rsidRPr="00F4387E">
        <w:rPr>
          <w:rFonts w:cstheme="minorHAnsi"/>
        </w:rPr>
        <w:t xml:space="preserve"> </w:t>
      </w:r>
      <w:r w:rsidR="00AA4152" w:rsidRPr="00F4387E">
        <w:rPr>
          <w:rFonts w:cstheme="minorHAnsi"/>
        </w:rPr>
        <w:t xml:space="preserve">sono aumentati del </w:t>
      </w:r>
      <w:r w:rsidR="00AA4152" w:rsidRPr="00436D2B">
        <w:rPr>
          <w:rFonts w:cstheme="minorHAnsi"/>
        </w:rPr>
        <w:t>+1,8%</w:t>
      </w:r>
      <w:r w:rsidR="00EE6E90" w:rsidRPr="00F4387E">
        <w:rPr>
          <w:rFonts w:cstheme="minorHAnsi"/>
        </w:rPr>
        <w:t xml:space="preserve">, </w:t>
      </w:r>
      <w:r>
        <w:rPr>
          <w:rFonts w:cstheme="minorHAnsi"/>
        </w:rPr>
        <w:t xml:space="preserve">un rialzo minore rispetto a quello rilevato, fra le altre principale aree </w:t>
      </w:r>
      <w:r w:rsidR="00EE6E90" w:rsidRPr="00F4387E">
        <w:rPr>
          <w:rFonts w:cstheme="minorHAnsi"/>
        </w:rPr>
        <w:t>metropolitane</w:t>
      </w:r>
      <w:r>
        <w:rPr>
          <w:rFonts w:cstheme="minorHAnsi"/>
        </w:rPr>
        <w:t>,</w:t>
      </w:r>
      <w:r w:rsidR="00EE6E90" w:rsidRPr="00F4387E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 w:rsidR="00AA4152" w:rsidRPr="00F4387E">
        <w:rPr>
          <w:rFonts w:cstheme="minorHAnsi"/>
        </w:rPr>
        <w:t xml:space="preserve">Bologna </w:t>
      </w:r>
      <w:r w:rsidR="00EE6E90" w:rsidRPr="00F4387E">
        <w:rPr>
          <w:rFonts w:cstheme="minorHAnsi"/>
        </w:rPr>
        <w:t xml:space="preserve">(+5%) </w:t>
      </w:r>
      <w:r w:rsidR="00AA4152" w:rsidRPr="00F4387E">
        <w:rPr>
          <w:rFonts w:cstheme="minorHAnsi"/>
        </w:rPr>
        <w:t xml:space="preserve">e </w:t>
      </w:r>
      <w:r>
        <w:rPr>
          <w:rFonts w:cstheme="minorHAnsi"/>
        </w:rPr>
        <w:t xml:space="preserve">a </w:t>
      </w:r>
      <w:r w:rsidR="00AA4152" w:rsidRPr="001500F1">
        <w:rPr>
          <w:rFonts w:cstheme="minorHAnsi"/>
        </w:rPr>
        <w:t>Fi</w:t>
      </w:r>
      <w:r w:rsidR="009A7C58" w:rsidRPr="001500F1">
        <w:rPr>
          <w:rFonts w:cstheme="minorHAnsi"/>
        </w:rPr>
        <w:t>renze (+3</w:t>
      </w:r>
      <w:r w:rsidR="00EE6E90" w:rsidRPr="001500F1">
        <w:rPr>
          <w:rFonts w:cstheme="minorHAnsi"/>
        </w:rPr>
        <w:t>%).</w:t>
      </w:r>
      <w:r w:rsidR="00B94523" w:rsidRPr="00F4387E">
        <w:rPr>
          <w:rFonts w:cstheme="minorHAnsi"/>
        </w:rPr>
        <w:t xml:space="preserve"> </w:t>
      </w:r>
      <w:r w:rsidR="0099300C">
        <w:rPr>
          <w:rFonts w:cstheme="minorHAnsi"/>
        </w:rPr>
        <w:t>Nel capoluogo lombardo, i</w:t>
      </w:r>
      <w:r w:rsidR="00B94523" w:rsidRPr="00F4387E">
        <w:rPr>
          <w:rFonts w:cstheme="minorHAnsi"/>
        </w:rPr>
        <w:t xml:space="preserve">l prezzo medio varia sensibilmente </w:t>
      </w:r>
      <w:r w:rsidR="0099300C">
        <w:rPr>
          <w:rFonts w:cstheme="minorHAnsi"/>
        </w:rPr>
        <w:t>a seconda delle macroaree urbane</w:t>
      </w:r>
      <w:r w:rsidR="00B94523" w:rsidRPr="00F4387E">
        <w:rPr>
          <w:rFonts w:cstheme="minorHAnsi"/>
        </w:rPr>
        <w:t xml:space="preserve"> </w:t>
      </w:r>
      <w:r w:rsidR="0099300C">
        <w:rPr>
          <w:rFonts w:cstheme="minorHAnsi"/>
        </w:rPr>
        <w:t>in cui ci si trova</w:t>
      </w:r>
      <w:r w:rsidR="00B94523" w:rsidRPr="00F4387E">
        <w:rPr>
          <w:rFonts w:cstheme="minorHAnsi"/>
        </w:rPr>
        <w:t xml:space="preserve">: in quelle centrali </w:t>
      </w:r>
      <w:r w:rsidR="00164353">
        <w:rPr>
          <w:rFonts w:cstheme="minorHAnsi"/>
        </w:rPr>
        <w:t xml:space="preserve">si </w:t>
      </w:r>
      <w:r w:rsidR="00B94523" w:rsidRPr="00F4387E">
        <w:rPr>
          <w:rFonts w:cstheme="minorHAnsi"/>
        </w:rPr>
        <w:t xml:space="preserve">va da €8.500 a €10.200 a mq, con punte che raggiungono gli €16.300; nelle aree semicentrali </w:t>
      </w:r>
      <w:r w:rsidR="00F4387E" w:rsidRPr="00F4387E">
        <w:rPr>
          <w:rFonts w:cstheme="minorHAnsi"/>
        </w:rPr>
        <w:t xml:space="preserve">da </w:t>
      </w:r>
      <w:r w:rsidR="00F4387E" w:rsidRPr="0099300C">
        <w:rPr>
          <w:rFonts w:cstheme="minorHAnsi"/>
        </w:rPr>
        <w:t>€4.2</w:t>
      </w:r>
      <w:r w:rsidR="0099300C">
        <w:rPr>
          <w:rFonts w:cstheme="minorHAnsi"/>
        </w:rPr>
        <w:t>5</w:t>
      </w:r>
      <w:r w:rsidR="00B94523" w:rsidRPr="0099300C">
        <w:rPr>
          <w:rFonts w:cstheme="minorHAnsi"/>
        </w:rPr>
        <w:t>0 a €</w:t>
      </w:r>
      <w:r w:rsidR="00F4387E" w:rsidRPr="0099300C">
        <w:rPr>
          <w:rFonts w:cstheme="minorHAnsi"/>
        </w:rPr>
        <w:t>5.5</w:t>
      </w:r>
      <w:r w:rsidR="0099300C" w:rsidRPr="0099300C">
        <w:rPr>
          <w:rFonts w:cstheme="minorHAnsi"/>
        </w:rPr>
        <w:t>80</w:t>
      </w:r>
      <w:r w:rsidR="00B94523" w:rsidRPr="00F4387E">
        <w:rPr>
          <w:rFonts w:cstheme="minorHAnsi"/>
        </w:rPr>
        <w:t xml:space="preserve"> e in quelle periferiche</w:t>
      </w:r>
      <w:r w:rsidR="00F4387E" w:rsidRPr="00F4387E">
        <w:rPr>
          <w:rFonts w:cstheme="minorHAnsi"/>
        </w:rPr>
        <w:t xml:space="preserve"> da </w:t>
      </w:r>
      <w:r w:rsidR="00F4387E" w:rsidRPr="0099300C">
        <w:rPr>
          <w:rFonts w:cstheme="minorHAnsi"/>
        </w:rPr>
        <w:t>€3.2</w:t>
      </w:r>
      <w:r w:rsidR="0099300C" w:rsidRPr="0099300C">
        <w:rPr>
          <w:rFonts w:cstheme="minorHAnsi"/>
        </w:rPr>
        <w:t>80</w:t>
      </w:r>
      <w:r w:rsidR="00F4387E" w:rsidRPr="0099300C">
        <w:rPr>
          <w:rFonts w:cstheme="minorHAnsi"/>
        </w:rPr>
        <w:t xml:space="preserve"> a €3.9</w:t>
      </w:r>
      <w:r w:rsidR="0099300C" w:rsidRPr="0099300C">
        <w:rPr>
          <w:rFonts w:cstheme="minorHAnsi"/>
        </w:rPr>
        <w:t>50</w:t>
      </w:r>
      <w:r w:rsidR="00B94523" w:rsidRPr="00F4387E">
        <w:rPr>
          <w:rFonts w:cstheme="minorHAnsi"/>
        </w:rPr>
        <w:t>.</w:t>
      </w:r>
      <w:r w:rsidR="00F4387E" w:rsidRPr="00F4387E">
        <w:rPr>
          <w:rFonts w:cstheme="minorHAnsi"/>
        </w:rPr>
        <w:t xml:space="preserve"> </w:t>
      </w:r>
    </w:p>
    <w:p w:rsidR="00EE6E90" w:rsidRDefault="00AA4152" w:rsidP="00AA4152">
      <w:pPr>
        <w:pStyle w:val="Nessunaspaziatura"/>
        <w:jc w:val="both"/>
        <w:rPr>
          <w:rFonts w:cstheme="minorHAnsi"/>
        </w:rPr>
      </w:pPr>
      <w:r w:rsidRPr="00F4387E">
        <w:rPr>
          <w:rFonts w:cstheme="minorHAnsi"/>
        </w:rPr>
        <w:t>Sul fronte dell’offerta presente sul mercato residenziale, le nuove ab</w:t>
      </w:r>
      <w:r w:rsidR="00EE6E90" w:rsidRPr="00F4387E">
        <w:rPr>
          <w:rFonts w:cstheme="minorHAnsi"/>
        </w:rPr>
        <w:t>itazioni</w:t>
      </w:r>
      <w:r w:rsidR="0099300C">
        <w:rPr>
          <w:rFonts w:cstheme="minorHAnsi"/>
        </w:rPr>
        <w:t xml:space="preserve">, rispetto al totale, </w:t>
      </w:r>
      <w:r w:rsidR="00EE6E90" w:rsidRPr="00F4387E">
        <w:rPr>
          <w:rFonts w:cstheme="minorHAnsi"/>
        </w:rPr>
        <w:t>a Milano rappresentano il 19,6</w:t>
      </w:r>
      <w:r w:rsidRPr="00F4387E">
        <w:rPr>
          <w:rFonts w:cstheme="minorHAnsi"/>
        </w:rPr>
        <w:t>%,</w:t>
      </w:r>
      <w:r w:rsidR="00EE6E90" w:rsidRPr="00F4387E">
        <w:rPr>
          <w:rFonts w:cstheme="minorHAnsi"/>
        </w:rPr>
        <w:t xml:space="preserve"> seconda solo a Roma </w:t>
      </w:r>
      <w:r w:rsidR="0099300C">
        <w:rPr>
          <w:rFonts w:cstheme="minorHAnsi"/>
        </w:rPr>
        <w:t xml:space="preserve">con il </w:t>
      </w:r>
      <w:r w:rsidR="00EE6E90" w:rsidRPr="00F4387E">
        <w:rPr>
          <w:rFonts w:cstheme="minorHAnsi"/>
        </w:rPr>
        <w:t>20,4%.</w:t>
      </w:r>
    </w:p>
    <w:p w:rsidR="0099300C" w:rsidRDefault="0099300C" w:rsidP="00AA4152">
      <w:pPr>
        <w:pStyle w:val="Nessunaspaziatura"/>
        <w:jc w:val="both"/>
        <w:rPr>
          <w:rFonts w:cstheme="minorHAnsi"/>
        </w:rPr>
      </w:pPr>
    </w:p>
    <w:p w:rsidR="00AA4152" w:rsidRPr="008A4389" w:rsidRDefault="00AA4152" w:rsidP="00EE6E90">
      <w:pPr>
        <w:pStyle w:val="Nessunaspaziatura"/>
        <w:jc w:val="both"/>
        <w:rPr>
          <w:rFonts w:cstheme="minorHAnsi"/>
          <w:bCs/>
        </w:rPr>
      </w:pPr>
      <w:r w:rsidRPr="00F4387E">
        <w:rPr>
          <w:rFonts w:cstheme="minorHAnsi"/>
        </w:rPr>
        <w:t>Quali sono stati gli immobili più cercati</w:t>
      </w:r>
      <w:r w:rsidR="00F4387E" w:rsidRPr="00F4387E">
        <w:rPr>
          <w:rFonts w:cstheme="minorHAnsi"/>
        </w:rPr>
        <w:t xml:space="preserve"> nel 2020</w:t>
      </w:r>
      <w:r w:rsidRPr="00F4387E">
        <w:rPr>
          <w:rFonts w:cstheme="minorHAnsi"/>
        </w:rPr>
        <w:t>?  In media il taglio più venduto è il trilocale (41%), seguito dal quadr</w:t>
      </w:r>
      <w:r w:rsidR="00EE6E90" w:rsidRPr="00F4387E">
        <w:rPr>
          <w:rFonts w:cstheme="minorHAnsi"/>
        </w:rPr>
        <w:t>ilocale (27%) e dal bilocale (24%). Solo il 3</w:t>
      </w:r>
      <w:r w:rsidRPr="00F4387E">
        <w:rPr>
          <w:rFonts w:cstheme="minorHAnsi"/>
        </w:rPr>
        <w:t xml:space="preserve">% </w:t>
      </w:r>
      <w:r w:rsidR="0099300C">
        <w:rPr>
          <w:rFonts w:cstheme="minorHAnsi"/>
        </w:rPr>
        <w:t xml:space="preserve">della domanda </w:t>
      </w:r>
      <w:r w:rsidRPr="00F4387E">
        <w:rPr>
          <w:rFonts w:cstheme="minorHAnsi"/>
        </w:rPr>
        <w:t xml:space="preserve">si </w:t>
      </w:r>
      <w:r w:rsidR="00EE6E90" w:rsidRPr="00F4387E">
        <w:rPr>
          <w:rFonts w:cstheme="minorHAnsi"/>
        </w:rPr>
        <w:t xml:space="preserve">è </w:t>
      </w:r>
      <w:r w:rsidRPr="00F4387E">
        <w:rPr>
          <w:rFonts w:cstheme="minorHAnsi"/>
        </w:rPr>
        <w:t>orienta</w:t>
      </w:r>
      <w:r w:rsidR="00EE6E90" w:rsidRPr="00F4387E">
        <w:rPr>
          <w:rFonts w:cstheme="minorHAnsi"/>
        </w:rPr>
        <w:t>to</w:t>
      </w:r>
      <w:r w:rsidRPr="00F4387E">
        <w:rPr>
          <w:rFonts w:cstheme="minorHAnsi"/>
        </w:rPr>
        <w:t xml:space="preserve"> sui monolocali. A livello generale</w:t>
      </w:r>
      <w:r w:rsidR="0099300C">
        <w:rPr>
          <w:rFonts w:cstheme="minorHAnsi"/>
        </w:rPr>
        <w:t xml:space="preserve">, la domanda di case anche usate, dopo i due mesi di </w:t>
      </w:r>
      <w:r w:rsidRPr="00F4387E">
        <w:rPr>
          <w:rFonts w:cstheme="minorHAnsi"/>
        </w:rPr>
        <w:t>lockdown</w:t>
      </w:r>
      <w:r w:rsidR="007B5EDA">
        <w:rPr>
          <w:rFonts w:cstheme="minorHAnsi"/>
        </w:rPr>
        <w:t>,</w:t>
      </w:r>
      <w:r w:rsidRPr="00F4387E">
        <w:rPr>
          <w:rFonts w:cstheme="minorHAnsi"/>
        </w:rPr>
        <w:t xml:space="preserve"> </w:t>
      </w:r>
      <w:r w:rsidR="00F4387E" w:rsidRPr="00F4387E">
        <w:rPr>
          <w:rFonts w:cstheme="minorHAnsi"/>
        </w:rPr>
        <w:t xml:space="preserve">ha iniziato a </w:t>
      </w:r>
      <w:r w:rsidR="007B5EDA">
        <w:rPr>
          <w:rFonts w:cstheme="minorHAnsi"/>
        </w:rPr>
        <w:t xml:space="preserve">rivolgere la sua ricerca verso </w:t>
      </w:r>
      <w:r w:rsidR="007B5EDA" w:rsidRPr="00F4387E">
        <w:rPr>
          <w:rFonts w:cstheme="minorHAnsi"/>
        </w:rPr>
        <w:t>abitazioni</w:t>
      </w:r>
      <w:r w:rsidRPr="00F4387E">
        <w:rPr>
          <w:rFonts w:cstheme="minorHAnsi"/>
        </w:rPr>
        <w:t xml:space="preserve"> più</w:t>
      </w:r>
      <w:r w:rsidR="007B5EDA">
        <w:rPr>
          <w:rFonts w:cstheme="minorHAnsi"/>
        </w:rPr>
        <w:t xml:space="preserve"> spaziose in zone semicentrali o periferiche</w:t>
      </w:r>
      <w:r w:rsidRPr="00F4387E">
        <w:rPr>
          <w:rFonts w:cstheme="minorHAnsi"/>
        </w:rPr>
        <w:t xml:space="preserve">. </w:t>
      </w:r>
      <w:r w:rsidRPr="008A4389">
        <w:rPr>
          <w:rFonts w:cstheme="minorHAnsi"/>
          <w:bCs/>
        </w:rPr>
        <w:t xml:space="preserve">La </w:t>
      </w:r>
      <w:r w:rsidR="00EE6E90" w:rsidRPr="008A4389">
        <w:rPr>
          <w:rFonts w:cstheme="minorHAnsi"/>
          <w:bCs/>
        </w:rPr>
        <w:t xml:space="preserve">domanda </w:t>
      </w:r>
      <w:r w:rsidRPr="008A4389">
        <w:rPr>
          <w:rFonts w:cstheme="minorHAnsi"/>
          <w:bCs/>
        </w:rPr>
        <w:t>di quadriloc</w:t>
      </w:r>
      <w:r w:rsidR="00EE6E90" w:rsidRPr="008A4389">
        <w:rPr>
          <w:rFonts w:cstheme="minorHAnsi"/>
          <w:bCs/>
        </w:rPr>
        <w:t xml:space="preserve">ali, ad esempio, è aumentata </w:t>
      </w:r>
      <w:r w:rsidR="00164353" w:rsidRPr="008A4389">
        <w:rPr>
          <w:rFonts w:cstheme="minorHAnsi"/>
          <w:bCs/>
        </w:rPr>
        <w:t xml:space="preserve">del </w:t>
      </w:r>
      <w:r w:rsidR="00EE6E90" w:rsidRPr="008A4389">
        <w:rPr>
          <w:rFonts w:cstheme="minorHAnsi"/>
          <w:bCs/>
        </w:rPr>
        <w:t xml:space="preserve">+14% e </w:t>
      </w:r>
      <w:r w:rsidR="00164353" w:rsidRPr="008A4389">
        <w:rPr>
          <w:rFonts w:cstheme="minorHAnsi"/>
          <w:bCs/>
        </w:rPr>
        <w:t xml:space="preserve">quella </w:t>
      </w:r>
      <w:r w:rsidR="00EE6E90" w:rsidRPr="008A4389">
        <w:rPr>
          <w:rFonts w:cstheme="minorHAnsi"/>
          <w:bCs/>
        </w:rPr>
        <w:t>dei plurilocali del +11</w:t>
      </w:r>
      <w:r w:rsidRPr="008A4389">
        <w:rPr>
          <w:rFonts w:cstheme="minorHAnsi"/>
          <w:bCs/>
        </w:rPr>
        <w:t>%</w:t>
      </w:r>
      <w:r w:rsidR="00EE6E90" w:rsidRPr="008A4389">
        <w:rPr>
          <w:rFonts w:cstheme="minorHAnsi"/>
          <w:bCs/>
        </w:rPr>
        <w:t>.</w:t>
      </w:r>
    </w:p>
    <w:p w:rsidR="00AA4152" w:rsidRPr="00F4387E" w:rsidRDefault="00AA4152" w:rsidP="00661922">
      <w:pPr>
        <w:pStyle w:val="Nessunaspaziatura"/>
        <w:jc w:val="both"/>
        <w:rPr>
          <w:rFonts w:cstheme="minorHAnsi"/>
        </w:rPr>
      </w:pPr>
    </w:p>
    <w:p w:rsidR="007E19A9" w:rsidRPr="00F4387E" w:rsidRDefault="007E19A9" w:rsidP="007E19A9">
      <w:pPr>
        <w:pStyle w:val="Nessunaspaziatura"/>
        <w:jc w:val="both"/>
        <w:rPr>
          <w:rFonts w:cstheme="minorHAnsi"/>
          <w:b/>
        </w:rPr>
      </w:pPr>
      <w:r w:rsidRPr="00F4387E">
        <w:rPr>
          <w:rFonts w:cstheme="minorHAnsi"/>
          <w:b/>
        </w:rPr>
        <w:t>Nuove abitazioni: prospettive per il 2021</w:t>
      </w:r>
    </w:p>
    <w:p w:rsidR="007E19A9" w:rsidRPr="00F4387E" w:rsidRDefault="00164353" w:rsidP="007E19A9">
      <w:pPr>
        <w:pStyle w:val="Nessunaspaziatura"/>
        <w:jc w:val="both"/>
        <w:rPr>
          <w:rFonts w:cstheme="minorHAnsi"/>
        </w:rPr>
      </w:pPr>
      <w:r>
        <w:rPr>
          <w:rFonts w:cstheme="minorHAnsi"/>
        </w:rPr>
        <w:t>D</w:t>
      </w:r>
      <w:r w:rsidR="007E19A9" w:rsidRPr="00F4387E">
        <w:rPr>
          <w:rFonts w:cstheme="minorHAnsi"/>
        </w:rPr>
        <w:t xml:space="preserve">all’analisi di </w:t>
      </w:r>
      <w:r w:rsidR="007E19A9" w:rsidRPr="00F4387E">
        <w:rPr>
          <w:rFonts w:cstheme="minorHAnsi"/>
          <w:b/>
        </w:rPr>
        <w:t>Abitare Co.</w:t>
      </w:r>
      <w:r w:rsidR="007E19A9" w:rsidRPr="00F4387E">
        <w:rPr>
          <w:rFonts w:cstheme="minorHAnsi"/>
        </w:rPr>
        <w:t xml:space="preserve">, considerando la situazione attuale, arrivano alcuni segnali positivi. Per il 2021 si </w:t>
      </w:r>
      <w:r w:rsidR="007B5EDA">
        <w:rPr>
          <w:rFonts w:cstheme="minorHAnsi"/>
        </w:rPr>
        <w:t xml:space="preserve">sono provati a tracciare due tipi di scenario, legati all’andamento della pandemia e all’avvio delle vaccinazioni. Nell’ipotesi più cauta e pessimista (scenario strong) si </w:t>
      </w:r>
      <w:r w:rsidR="007E19A9" w:rsidRPr="00F4387E">
        <w:rPr>
          <w:rFonts w:cstheme="minorHAnsi"/>
        </w:rPr>
        <w:t xml:space="preserve">prevede a Milano una crescita media delle compravendite </w:t>
      </w:r>
      <w:r w:rsidR="007D76FD">
        <w:rPr>
          <w:rFonts w:cstheme="minorHAnsi"/>
        </w:rPr>
        <w:t xml:space="preserve">di abitazioni nuove </w:t>
      </w:r>
      <w:r w:rsidR="007B5EDA">
        <w:rPr>
          <w:rFonts w:cstheme="minorHAnsi"/>
        </w:rPr>
        <w:t xml:space="preserve">nell’ordine del </w:t>
      </w:r>
      <w:r w:rsidR="007E19A9" w:rsidRPr="00F4387E">
        <w:rPr>
          <w:rFonts w:cstheme="minorHAnsi"/>
          <w:b/>
        </w:rPr>
        <w:t>+4,5%</w:t>
      </w:r>
      <w:r w:rsidR="007E19A9" w:rsidRPr="00F4387E">
        <w:rPr>
          <w:rFonts w:cstheme="minorHAnsi"/>
        </w:rPr>
        <w:t xml:space="preserve"> </w:t>
      </w:r>
      <w:r w:rsidR="007E19A9" w:rsidRPr="00F06136">
        <w:rPr>
          <w:rFonts w:cstheme="minorHAnsi"/>
        </w:rPr>
        <w:t>(</w:t>
      </w:r>
      <w:r w:rsidR="007D76FD" w:rsidRPr="00F06136">
        <w:rPr>
          <w:rFonts w:cstheme="minorHAnsi"/>
        </w:rPr>
        <w:t>circa 5.820</w:t>
      </w:r>
      <w:r w:rsidR="007B5EDA" w:rsidRPr="00F06136">
        <w:rPr>
          <w:rFonts w:cstheme="minorHAnsi"/>
        </w:rPr>
        <w:t xml:space="preserve"> transazioni</w:t>
      </w:r>
      <w:r w:rsidR="007E19A9" w:rsidRPr="00F06136">
        <w:rPr>
          <w:rFonts w:cstheme="minorHAnsi"/>
        </w:rPr>
        <w:t>)</w:t>
      </w:r>
      <w:r w:rsidR="007B5EDA" w:rsidRPr="00F06136">
        <w:rPr>
          <w:rFonts w:cstheme="minorHAnsi"/>
        </w:rPr>
        <w:t>,</w:t>
      </w:r>
      <w:r w:rsidR="007B5EDA">
        <w:rPr>
          <w:rFonts w:cstheme="minorHAnsi"/>
        </w:rPr>
        <w:t xml:space="preserve"> in quella più rosea il rialzo degli scambi </w:t>
      </w:r>
      <w:r w:rsidR="00D616CB">
        <w:rPr>
          <w:rFonts w:cstheme="minorHAnsi"/>
        </w:rPr>
        <w:t xml:space="preserve">è previsto al </w:t>
      </w:r>
      <w:r w:rsidR="007E19A9" w:rsidRPr="00F4387E">
        <w:rPr>
          <w:rFonts w:cstheme="minorHAnsi"/>
          <w:b/>
        </w:rPr>
        <w:t>+8%</w:t>
      </w:r>
      <w:r w:rsidR="007E19A9" w:rsidRPr="00F4387E">
        <w:rPr>
          <w:rFonts w:cstheme="minorHAnsi"/>
        </w:rPr>
        <w:t xml:space="preserve"> </w:t>
      </w:r>
      <w:r w:rsidR="007E19A9" w:rsidRPr="00F06136">
        <w:rPr>
          <w:rFonts w:cstheme="minorHAnsi"/>
        </w:rPr>
        <w:t>(</w:t>
      </w:r>
      <w:r w:rsidR="001500F1" w:rsidRPr="00F06136">
        <w:rPr>
          <w:rFonts w:cstheme="minorHAnsi"/>
        </w:rPr>
        <w:t>oltre</w:t>
      </w:r>
      <w:r w:rsidR="007D76FD" w:rsidRPr="00F06136">
        <w:rPr>
          <w:rFonts w:cstheme="minorHAnsi"/>
        </w:rPr>
        <w:t xml:space="preserve"> 6.0</w:t>
      </w:r>
      <w:r w:rsidR="001500F1" w:rsidRPr="00F06136">
        <w:rPr>
          <w:rFonts w:cstheme="minorHAnsi"/>
        </w:rPr>
        <w:t>0</w:t>
      </w:r>
      <w:r w:rsidR="007D76FD" w:rsidRPr="00F06136">
        <w:rPr>
          <w:rFonts w:cstheme="minorHAnsi"/>
        </w:rPr>
        <w:t>0</w:t>
      </w:r>
      <w:r w:rsidR="00D616CB" w:rsidRPr="00F06136">
        <w:rPr>
          <w:rFonts w:cstheme="minorHAnsi"/>
        </w:rPr>
        <w:t xml:space="preserve"> vendite</w:t>
      </w:r>
      <w:r w:rsidR="007E19A9" w:rsidRPr="00735711">
        <w:rPr>
          <w:rFonts w:cstheme="minorHAnsi"/>
        </w:rPr>
        <w:t>)</w:t>
      </w:r>
      <w:r w:rsidR="00D616CB">
        <w:rPr>
          <w:rFonts w:cstheme="minorHAnsi"/>
        </w:rPr>
        <w:t>.</w:t>
      </w:r>
      <w:r w:rsidR="007E19A9" w:rsidRPr="00F4387E">
        <w:rPr>
          <w:rFonts w:cstheme="minorHAnsi"/>
        </w:rPr>
        <w:t xml:space="preserve"> </w:t>
      </w:r>
      <w:r w:rsidR="00D616CB">
        <w:rPr>
          <w:rFonts w:cstheme="minorHAnsi"/>
        </w:rPr>
        <w:t xml:space="preserve">Sia nella prima che nella seconda ipotesi, la stima </w:t>
      </w:r>
      <w:r w:rsidR="007E19A9" w:rsidRPr="00F4387E">
        <w:rPr>
          <w:rFonts w:cstheme="minorHAnsi"/>
        </w:rPr>
        <w:t>riporterebbe la situazione ai livelli pre</w:t>
      </w:r>
      <w:r w:rsidR="00D616CB">
        <w:rPr>
          <w:rFonts w:cstheme="minorHAnsi"/>
        </w:rPr>
        <w:t xml:space="preserve"> Covid-19 con una leggera crescita rispetto ai </w:t>
      </w:r>
      <w:r w:rsidR="007E19A9" w:rsidRPr="00F4387E">
        <w:rPr>
          <w:rFonts w:cstheme="minorHAnsi"/>
        </w:rPr>
        <w:t>valori del 2019</w:t>
      </w:r>
      <w:r w:rsidR="00D616CB">
        <w:rPr>
          <w:rFonts w:cstheme="minorHAnsi"/>
        </w:rPr>
        <w:t xml:space="preserve"> (5.800 compravendite)</w:t>
      </w:r>
      <w:r w:rsidR="007E19A9" w:rsidRPr="00F4387E">
        <w:rPr>
          <w:rFonts w:cstheme="minorHAnsi"/>
        </w:rPr>
        <w:t xml:space="preserve">. </w:t>
      </w:r>
      <w:r w:rsidR="00B94523" w:rsidRPr="00F4387E">
        <w:rPr>
          <w:rFonts w:cstheme="minorHAnsi"/>
        </w:rPr>
        <w:t xml:space="preserve">Indicazioni positive per le nuove residenze giungono </w:t>
      </w:r>
      <w:r w:rsidR="00D616CB">
        <w:rPr>
          <w:rFonts w:cstheme="minorHAnsi"/>
        </w:rPr>
        <w:t xml:space="preserve">anche dai </w:t>
      </w:r>
      <w:r w:rsidR="00B94523" w:rsidRPr="00F4387E">
        <w:rPr>
          <w:rFonts w:cstheme="minorHAnsi"/>
          <w:b/>
        </w:rPr>
        <w:t>prezzi di vendita</w:t>
      </w:r>
      <w:r w:rsidR="00B94523" w:rsidRPr="00D616CB">
        <w:rPr>
          <w:rFonts w:cstheme="minorHAnsi"/>
          <w:b/>
          <w:bCs/>
        </w:rPr>
        <w:t xml:space="preserve">, che </w:t>
      </w:r>
      <w:r w:rsidR="00D616CB" w:rsidRPr="00D616CB">
        <w:rPr>
          <w:rFonts w:cstheme="minorHAnsi"/>
          <w:b/>
          <w:bCs/>
        </w:rPr>
        <w:t xml:space="preserve">potrebbero </w:t>
      </w:r>
      <w:r w:rsidR="00F4387E" w:rsidRPr="00D616CB">
        <w:rPr>
          <w:rFonts w:cstheme="minorHAnsi"/>
          <w:b/>
          <w:bCs/>
        </w:rPr>
        <w:t>aument</w:t>
      </w:r>
      <w:r w:rsidR="00D616CB" w:rsidRPr="00D616CB">
        <w:rPr>
          <w:rFonts w:cstheme="minorHAnsi"/>
          <w:b/>
          <w:bCs/>
        </w:rPr>
        <w:t>are</w:t>
      </w:r>
      <w:r w:rsidR="00F4387E" w:rsidRPr="00D616CB">
        <w:rPr>
          <w:rFonts w:cstheme="minorHAnsi"/>
          <w:b/>
          <w:bCs/>
        </w:rPr>
        <w:t xml:space="preserve"> </w:t>
      </w:r>
      <w:r w:rsidR="007D76FD" w:rsidRPr="00F06136">
        <w:rPr>
          <w:rFonts w:cstheme="minorHAnsi"/>
          <w:b/>
          <w:bCs/>
        </w:rPr>
        <w:t>a fine 2021</w:t>
      </w:r>
      <w:r w:rsidR="007D76FD">
        <w:rPr>
          <w:rFonts w:cstheme="minorHAnsi"/>
          <w:b/>
          <w:bCs/>
        </w:rPr>
        <w:t xml:space="preserve"> </w:t>
      </w:r>
      <w:r w:rsidR="00B94523" w:rsidRPr="00D616CB">
        <w:rPr>
          <w:rFonts w:cstheme="minorHAnsi"/>
          <w:b/>
          <w:bCs/>
        </w:rPr>
        <w:t>del +1,5%</w:t>
      </w:r>
      <w:r w:rsidR="007D76FD">
        <w:rPr>
          <w:rFonts w:cstheme="minorHAnsi"/>
        </w:rPr>
        <w:t xml:space="preserve"> rispetto al </w:t>
      </w:r>
      <w:r w:rsidR="007D76FD" w:rsidRPr="00F06136">
        <w:rPr>
          <w:rFonts w:cstheme="minorHAnsi"/>
        </w:rPr>
        <w:t>2020</w:t>
      </w:r>
      <w:r w:rsidR="00B94523" w:rsidRPr="00F06136">
        <w:rPr>
          <w:rFonts w:cstheme="minorHAnsi"/>
        </w:rPr>
        <w:t>.</w:t>
      </w:r>
      <w:r w:rsidR="00B94523" w:rsidRPr="00F4387E">
        <w:rPr>
          <w:rFonts w:cstheme="minorHAnsi"/>
        </w:rPr>
        <w:t xml:space="preserve"> </w:t>
      </w:r>
      <w:r w:rsidR="007E19A9" w:rsidRPr="00F4387E">
        <w:rPr>
          <w:rFonts w:cstheme="minorHAnsi"/>
        </w:rPr>
        <w:t xml:space="preserve">Gli effetti </w:t>
      </w:r>
      <w:r w:rsidR="00DE6380">
        <w:rPr>
          <w:rFonts w:cstheme="minorHAnsi"/>
        </w:rPr>
        <w:t xml:space="preserve">della pandemia </w:t>
      </w:r>
      <w:r w:rsidR="007E19A9" w:rsidRPr="00F4387E">
        <w:rPr>
          <w:rFonts w:cstheme="minorHAnsi"/>
        </w:rPr>
        <w:t xml:space="preserve">si fanno però sentire sui </w:t>
      </w:r>
      <w:r w:rsidR="007E19A9" w:rsidRPr="00F4387E">
        <w:rPr>
          <w:rFonts w:cstheme="minorHAnsi"/>
          <w:b/>
        </w:rPr>
        <w:t>tempi di vendita</w:t>
      </w:r>
      <w:r w:rsidR="007E19A9" w:rsidRPr="00F4387E">
        <w:rPr>
          <w:rFonts w:cstheme="minorHAnsi"/>
        </w:rPr>
        <w:t>,</w:t>
      </w:r>
      <w:r w:rsidR="007E19A9" w:rsidRPr="00F4387E">
        <w:rPr>
          <w:rFonts w:cstheme="minorHAnsi"/>
          <w:b/>
        </w:rPr>
        <w:t xml:space="preserve"> </w:t>
      </w:r>
      <w:r w:rsidR="007E19A9" w:rsidRPr="00F4387E">
        <w:rPr>
          <w:rFonts w:cstheme="minorHAnsi"/>
        </w:rPr>
        <w:t xml:space="preserve">che </w:t>
      </w:r>
      <w:r w:rsidR="00B94523" w:rsidRPr="00F4387E">
        <w:rPr>
          <w:rFonts w:cstheme="minorHAnsi"/>
        </w:rPr>
        <w:t xml:space="preserve">potrebbero allungarsi </w:t>
      </w:r>
      <w:r w:rsidR="007E19A9" w:rsidRPr="00F4387E">
        <w:rPr>
          <w:rFonts w:cstheme="minorHAnsi"/>
        </w:rPr>
        <w:t xml:space="preserve">dai </w:t>
      </w:r>
      <w:r w:rsidR="00B94523" w:rsidRPr="00F4387E">
        <w:rPr>
          <w:rFonts w:cstheme="minorHAnsi"/>
        </w:rPr>
        <w:t xml:space="preserve">70 giorni </w:t>
      </w:r>
      <w:r w:rsidR="00DE6380">
        <w:rPr>
          <w:rFonts w:cstheme="minorHAnsi"/>
        </w:rPr>
        <w:t>del 2020</w:t>
      </w:r>
      <w:r w:rsidR="007E19A9" w:rsidRPr="00F4387E">
        <w:rPr>
          <w:rFonts w:cstheme="minorHAnsi"/>
        </w:rPr>
        <w:t xml:space="preserve"> ai </w:t>
      </w:r>
      <w:r w:rsidR="00B94523" w:rsidRPr="00F4387E">
        <w:rPr>
          <w:rFonts w:cstheme="minorHAnsi"/>
        </w:rPr>
        <w:t>9</w:t>
      </w:r>
      <w:r w:rsidR="00DE6380">
        <w:rPr>
          <w:rFonts w:cstheme="minorHAnsi"/>
        </w:rPr>
        <w:t>5</w:t>
      </w:r>
      <w:r w:rsidR="00B94523" w:rsidRPr="00F4387E">
        <w:rPr>
          <w:rFonts w:cstheme="minorHAnsi"/>
        </w:rPr>
        <w:t xml:space="preserve"> </w:t>
      </w:r>
      <w:r w:rsidR="00DE6380">
        <w:rPr>
          <w:rFonts w:cstheme="minorHAnsi"/>
        </w:rPr>
        <w:t>del 2021 (</w:t>
      </w:r>
      <w:r w:rsidR="00B94523" w:rsidRPr="00F4387E">
        <w:rPr>
          <w:rFonts w:cstheme="minorHAnsi"/>
        </w:rPr>
        <w:t xml:space="preserve">scenario </w:t>
      </w:r>
      <w:r w:rsidR="00D616CB">
        <w:rPr>
          <w:rFonts w:cstheme="minorHAnsi"/>
        </w:rPr>
        <w:t>strong</w:t>
      </w:r>
      <w:r w:rsidR="00DE6380">
        <w:rPr>
          <w:rFonts w:cstheme="minorHAnsi"/>
        </w:rPr>
        <w:t>)</w:t>
      </w:r>
      <w:r w:rsidR="007E19A9" w:rsidRPr="00F4387E">
        <w:rPr>
          <w:rFonts w:cstheme="minorHAnsi"/>
        </w:rPr>
        <w:t xml:space="preserve">. </w:t>
      </w:r>
      <w:r w:rsidR="00B94523" w:rsidRPr="00F4387E">
        <w:rPr>
          <w:rFonts w:cstheme="minorHAnsi"/>
        </w:rPr>
        <w:t>Milano</w:t>
      </w:r>
      <w:r w:rsidR="003E10C1">
        <w:rPr>
          <w:rFonts w:cstheme="minorHAnsi"/>
        </w:rPr>
        <w:t xml:space="preserve">, </w:t>
      </w:r>
      <w:r w:rsidR="007D76FD" w:rsidRPr="00F06136">
        <w:rPr>
          <w:rFonts w:cstheme="minorHAnsi"/>
        </w:rPr>
        <w:t>comunque</w:t>
      </w:r>
      <w:r w:rsidR="003E10C1">
        <w:rPr>
          <w:rFonts w:cstheme="minorHAnsi"/>
        </w:rPr>
        <w:t>,</w:t>
      </w:r>
      <w:r w:rsidR="00B94523" w:rsidRPr="00F4387E">
        <w:rPr>
          <w:rFonts w:cstheme="minorHAnsi"/>
        </w:rPr>
        <w:t xml:space="preserve"> si conferma </w:t>
      </w:r>
      <w:r w:rsidR="00D616CB">
        <w:rPr>
          <w:rFonts w:cstheme="minorHAnsi"/>
        </w:rPr>
        <w:t xml:space="preserve">ancora come </w:t>
      </w:r>
      <w:r w:rsidR="00B94523" w:rsidRPr="00F4387E">
        <w:rPr>
          <w:rFonts w:cstheme="minorHAnsi"/>
        </w:rPr>
        <w:t xml:space="preserve">la più dinamica </w:t>
      </w:r>
      <w:r w:rsidR="00D616CB">
        <w:rPr>
          <w:rFonts w:cstheme="minorHAnsi"/>
        </w:rPr>
        <w:t>f</w:t>
      </w:r>
      <w:r w:rsidR="00B94523" w:rsidRPr="00F4387E">
        <w:rPr>
          <w:rFonts w:cstheme="minorHAnsi"/>
        </w:rPr>
        <w:t>ra le otto città metropolitane</w:t>
      </w:r>
      <w:r w:rsidR="00D616CB">
        <w:rPr>
          <w:rFonts w:cstheme="minorHAnsi"/>
        </w:rPr>
        <w:t xml:space="preserve">, nonostante il periodo di recessione. </w:t>
      </w:r>
    </w:p>
    <w:p w:rsidR="00AA4152" w:rsidRDefault="00AA4152" w:rsidP="003C5CC4">
      <w:pPr>
        <w:pStyle w:val="Nessunaspaziatura"/>
        <w:jc w:val="both"/>
        <w:rPr>
          <w:rFonts w:cstheme="minorHAnsi"/>
        </w:rPr>
      </w:pPr>
    </w:p>
    <w:tbl>
      <w:tblPr>
        <w:tblW w:w="10460" w:type="dxa"/>
        <w:tblCellMar>
          <w:left w:w="70" w:type="dxa"/>
          <w:right w:w="70" w:type="dxa"/>
        </w:tblCellMar>
        <w:tblLook w:val="04A0"/>
      </w:tblPr>
      <w:tblGrid>
        <w:gridCol w:w="2620"/>
        <w:gridCol w:w="2620"/>
        <w:gridCol w:w="2620"/>
        <w:gridCol w:w="2600"/>
      </w:tblGrid>
      <w:tr w:rsidR="003C5CC4" w:rsidRPr="003C5CC4" w:rsidTr="003C5CC4">
        <w:trPr>
          <w:trHeight w:val="360"/>
        </w:trPr>
        <w:tc>
          <w:tcPr>
            <w:tcW w:w="10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2929E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it-IT"/>
              </w:rPr>
              <w:t xml:space="preserve">MILANO - Mercato residenziale nuove costruzioni - </w:t>
            </w:r>
          </w:p>
        </w:tc>
      </w:tr>
      <w:tr w:rsidR="003C5CC4" w:rsidRPr="003C5CC4" w:rsidTr="003C5CC4">
        <w:trPr>
          <w:trHeight w:val="70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22929E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22929E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2020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22929E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Previsione 2021                       scenario strong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22929E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Previsione 2021                      scenario light</w:t>
            </w:r>
          </w:p>
        </w:tc>
      </w:tr>
      <w:tr w:rsidR="003C5CC4" w:rsidRPr="003C5CC4" w:rsidTr="003C5CC4">
        <w:trPr>
          <w:trHeight w:val="54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N. Transazioni Totale </w:t>
            </w:r>
          </w:p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(nuovo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+ </w:t>
            </w:r>
            <w:r w:rsidRPr="003C5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usato)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21.103 (-19,2% su 2019)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22.000 (+4% su 2020)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23.500 (+11,0% su 2020)</w:t>
            </w:r>
          </w:p>
        </w:tc>
      </w:tr>
      <w:tr w:rsidR="003C5CC4" w:rsidRPr="003C5CC4" w:rsidTr="003C5CC4">
        <w:trPr>
          <w:trHeight w:val="54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Fatturato Totale</w:t>
            </w:r>
          </w:p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(nuovo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3C5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3C5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usato)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6,5 miliardi (-18,8% su 2019)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6,7 miliardi (+3,0% su 2020)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7,1 miliardi (+9,5% su 2020)</w:t>
            </w:r>
          </w:p>
        </w:tc>
      </w:tr>
      <w:tr w:rsidR="003C5CC4" w:rsidRPr="003C5CC4" w:rsidTr="003C5CC4">
        <w:trPr>
          <w:trHeight w:val="54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N. Transazioni nuove costruzioni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5.568 (-4,0% su 2019)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5.818 (+4,5% su 2020)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6.013 (+8,0% su 2020)</w:t>
            </w:r>
          </w:p>
        </w:tc>
      </w:tr>
      <w:tr w:rsidR="003C5CC4" w:rsidRPr="003C5CC4" w:rsidTr="003C5CC4">
        <w:trPr>
          <w:trHeight w:val="54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Prezzo medio vendite nuove costruzioni (euro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/</w:t>
            </w:r>
            <w:r w:rsidRPr="003C5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mq.)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0613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5.700 </w:t>
            </w:r>
            <w:r w:rsidR="002D0934" w:rsidRPr="00F0613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(+1,8% su 2019)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5.785 (+1,5% su 2020)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5.785(+1,5% su 2020)</w:t>
            </w:r>
          </w:p>
        </w:tc>
      </w:tr>
      <w:tr w:rsidR="003C5CC4" w:rsidRPr="003C5CC4" w:rsidTr="003C5CC4">
        <w:trPr>
          <w:trHeight w:val="54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% Offerta nuove abitazioni sul totale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5C3EB6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19,6</w:t>
            </w:r>
            <w:r w:rsidR="003C5CC4"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5C3EB6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15,9</w:t>
            </w:r>
            <w:r w:rsidR="003C5CC4"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%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5C3EB6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17,7</w:t>
            </w:r>
            <w:r w:rsidR="003C5CC4"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%</w:t>
            </w:r>
          </w:p>
        </w:tc>
      </w:tr>
      <w:tr w:rsidR="003C5CC4" w:rsidRPr="003C5CC4" w:rsidTr="003C5CC4">
        <w:trPr>
          <w:trHeight w:val="54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Tempi di vendita (giorni)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80</w:t>
            </w:r>
          </w:p>
        </w:tc>
      </w:tr>
      <w:tr w:rsidR="003C5CC4" w:rsidRPr="003C5CC4" w:rsidTr="003C5CC4">
        <w:trPr>
          <w:trHeight w:val="300"/>
        </w:trPr>
        <w:tc>
          <w:tcPr>
            <w:tcW w:w="10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2929E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Centro Studi Abitare Co.</w:t>
            </w:r>
          </w:p>
        </w:tc>
      </w:tr>
    </w:tbl>
    <w:p w:rsidR="007E19A9" w:rsidRPr="003C5CC4" w:rsidRDefault="007E19A9" w:rsidP="00661922">
      <w:pPr>
        <w:pStyle w:val="Nessunaspaziatura"/>
        <w:jc w:val="both"/>
        <w:rPr>
          <w:rFonts w:cstheme="minorHAnsi"/>
          <w:iCs/>
          <w:sz w:val="24"/>
          <w:szCs w:val="24"/>
        </w:rPr>
      </w:pPr>
    </w:p>
    <w:p w:rsidR="00661922" w:rsidRDefault="00661922" w:rsidP="00661922">
      <w:pPr>
        <w:pStyle w:val="Nessunaspaziatura"/>
        <w:ind w:right="49"/>
        <w:jc w:val="both"/>
        <w:rPr>
          <w:rStyle w:val="Enfasicorsivo"/>
          <w:rFonts w:cstheme="minorHAnsi"/>
          <w:i w:val="0"/>
          <w:iCs w:val="0"/>
        </w:rPr>
      </w:pPr>
    </w:p>
    <w:p w:rsidR="00542551" w:rsidRDefault="00542551" w:rsidP="00661922">
      <w:pPr>
        <w:pStyle w:val="Nessunaspaziatura"/>
        <w:ind w:right="49"/>
        <w:jc w:val="both"/>
        <w:rPr>
          <w:rStyle w:val="Enfasicorsivo"/>
          <w:rFonts w:cstheme="minorHAnsi"/>
          <w:i w:val="0"/>
          <w:iCs w:val="0"/>
        </w:rPr>
      </w:pPr>
    </w:p>
    <w:p w:rsidR="00542551" w:rsidRDefault="00542551" w:rsidP="00661922">
      <w:pPr>
        <w:pStyle w:val="Nessunaspaziatura"/>
        <w:ind w:right="49"/>
        <w:jc w:val="both"/>
        <w:rPr>
          <w:rStyle w:val="Enfasicorsivo"/>
          <w:rFonts w:cstheme="minorHAnsi"/>
          <w:i w:val="0"/>
          <w:iCs w:val="0"/>
        </w:rPr>
      </w:pPr>
    </w:p>
    <w:p w:rsidR="00542551" w:rsidRDefault="00542551" w:rsidP="00661922">
      <w:pPr>
        <w:pStyle w:val="Nessunaspaziatura"/>
        <w:ind w:right="49"/>
        <w:jc w:val="both"/>
        <w:rPr>
          <w:rStyle w:val="Enfasicorsivo"/>
          <w:rFonts w:cstheme="minorHAnsi"/>
          <w:i w:val="0"/>
          <w:iCs w:val="0"/>
        </w:rPr>
      </w:pPr>
    </w:p>
    <w:p w:rsidR="003C5CC4" w:rsidRDefault="003C5CC4" w:rsidP="00661922">
      <w:pPr>
        <w:pStyle w:val="Nessunaspaziatura"/>
        <w:ind w:right="49"/>
        <w:jc w:val="both"/>
        <w:rPr>
          <w:rStyle w:val="Enfasicorsivo"/>
          <w:i w:val="0"/>
        </w:rPr>
      </w:pPr>
    </w:p>
    <w:p w:rsidR="003C5CC4" w:rsidRDefault="003C5CC4" w:rsidP="00661922">
      <w:pPr>
        <w:pStyle w:val="Nessunaspaziatura"/>
        <w:ind w:right="49"/>
        <w:jc w:val="both"/>
        <w:rPr>
          <w:rStyle w:val="Enfasicorsivo"/>
          <w:rFonts w:cstheme="minorHAnsi"/>
          <w:i w:val="0"/>
          <w:iCs w:val="0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/>
      </w:tblPr>
      <w:tblGrid>
        <w:gridCol w:w="3219"/>
        <w:gridCol w:w="1487"/>
        <w:gridCol w:w="1714"/>
        <w:gridCol w:w="1783"/>
        <w:gridCol w:w="2357"/>
      </w:tblGrid>
      <w:tr w:rsidR="003C5CC4" w:rsidRPr="003C5CC4" w:rsidTr="003C5CC4">
        <w:trPr>
          <w:trHeight w:val="30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2929E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 xml:space="preserve">Prezzi medi di vendita minimi e massimi per abitazioni nuove                                                                                       </w:t>
            </w:r>
          </w:p>
        </w:tc>
      </w:tr>
      <w:tr w:rsidR="003C5CC4" w:rsidRPr="003C5CC4" w:rsidTr="003C5CC4">
        <w:trPr>
          <w:trHeight w:val="30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2929E"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Febbraio 2021</w:t>
            </w:r>
          </w:p>
        </w:tc>
      </w:tr>
      <w:tr w:rsidR="003C5CC4" w:rsidRPr="003C5CC4" w:rsidTr="003C5CC4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22929E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22929E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 xml:space="preserve">minimo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22929E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massimo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22929E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Top price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22929E"/>
            <w:noWrap/>
            <w:vAlign w:val="bottom"/>
            <w:hideMark/>
          </w:tcPr>
          <w:p w:rsidR="003C5CC4" w:rsidRPr="003C5CC4" w:rsidRDefault="00C345FC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 xml:space="preserve">Var. </w:t>
            </w:r>
            <w:r w:rsidR="003C5CC4" w:rsidRPr="003C5CC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% annua</w:t>
            </w:r>
          </w:p>
        </w:tc>
      </w:tr>
      <w:tr w:rsidR="003C5CC4" w:rsidRPr="003C5CC4" w:rsidTr="003C5CC4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Centro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8.500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10.200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16.300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1,9%</w:t>
            </w:r>
          </w:p>
        </w:tc>
      </w:tr>
      <w:tr w:rsidR="003C5CC4" w:rsidRPr="003C5CC4" w:rsidTr="003C5CC4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Semicentro nord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4.300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6.200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7.800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1,1%</w:t>
            </w:r>
          </w:p>
        </w:tc>
      </w:tr>
      <w:tr w:rsidR="003C5CC4" w:rsidRPr="003C5CC4" w:rsidTr="003C5CC4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Semicentro sud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4.300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5.800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7.800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1,5%</w:t>
            </w:r>
          </w:p>
        </w:tc>
      </w:tr>
      <w:tr w:rsidR="003C5CC4" w:rsidRPr="003C5CC4" w:rsidTr="003C5CC4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Semicentro ovest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4.250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5.200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7.300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1,6%</w:t>
            </w:r>
          </w:p>
        </w:tc>
      </w:tr>
      <w:tr w:rsidR="003C5CC4" w:rsidRPr="003C5CC4" w:rsidTr="003C5CC4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Semicentro est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4.200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5.100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7.200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1,2%</w:t>
            </w:r>
          </w:p>
        </w:tc>
      </w:tr>
      <w:tr w:rsidR="003C5CC4" w:rsidRPr="003C5CC4" w:rsidTr="003C5CC4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Periferia nord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3.200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3.900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5.200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1,3%</w:t>
            </w:r>
          </w:p>
        </w:tc>
      </w:tr>
      <w:tr w:rsidR="003C5CC4" w:rsidRPr="003C5CC4" w:rsidTr="003C5CC4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Periferia sud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3.300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3.800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5.300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1,1%</w:t>
            </w:r>
          </w:p>
        </w:tc>
      </w:tr>
      <w:tr w:rsidR="003C5CC4" w:rsidRPr="003C5CC4" w:rsidTr="003C5CC4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Periferia ovest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3.500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4.500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5.400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0,8%</w:t>
            </w:r>
          </w:p>
        </w:tc>
      </w:tr>
      <w:tr w:rsidR="003C5CC4" w:rsidRPr="003C5CC4" w:rsidTr="003C5CC4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Periferia est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3.100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3.500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5.600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color w:val="000000"/>
                <w:lang w:eastAsia="it-IT"/>
              </w:rPr>
              <w:t>0,9%</w:t>
            </w:r>
          </w:p>
        </w:tc>
      </w:tr>
      <w:tr w:rsidR="003C5CC4" w:rsidRPr="003C5CC4" w:rsidTr="003C5CC4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5CC4" w:rsidRPr="003C5CC4" w:rsidRDefault="003C5CC4" w:rsidP="003C5C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Medie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4.200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5.350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7.550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1,3%</w:t>
            </w:r>
          </w:p>
        </w:tc>
      </w:tr>
      <w:tr w:rsidR="003C5CC4" w:rsidRPr="003C5CC4" w:rsidTr="003C5CC4">
        <w:trPr>
          <w:trHeight w:val="30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2929E"/>
            <w:noWrap/>
            <w:vAlign w:val="bottom"/>
            <w:hideMark/>
          </w:tcPr>
          <w:p w:rsidR="003C5CC4" w:rsidRPr="003C5CC4" w:rsidRDefault="003C5CC4" w:rsidP="003C5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3C5CC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Centro Studi Abitare Co.</w:t>
            </w:r>
          </w:p>
        </w:tc>
      </w:tr>
    </w:tbl>
    <w:p w:rsidR="00542551" w:rsidRDefault="00542551" w:rsidP="00661922">
      <w:pPr>
        <w:pStyle w:val="Nessunaspaziatura"/>
        <w:ind w:right="49"/>
        <w:jc w:val="both"/>
        <w:rPr>
          <w:rStyle w:val="Enfasicorsivo"/>
          <w:rFonts w:cstheme="minorHAnsi"/>
          <w:i w:val="0"/>
          <w:iCs w:val="0"/>
        </w:rPr>
      </w:pPr>
    </w:p>
    <w:p w:rsidR="003C5CC4" w:rsidRDefault="003C5CC4" w:rsidP="00661922">
      <w:pPr>
        <w:pStyle w:val="Nessunaspaziatura"/>
        <w:ind w:right="49"/>
        <w:jc w:val="both"/>
        <w:rPr>
          <w:rStyle w:val="Enfasicorsivo"/>
          <w:rFonts w:cstheme="minorHAnsi"/>
          <w:i w:val="0"/>
          <w:iCs w:val="0"/>
        </w:rPr>
      </w:pPr>
    </w:p>
    <w:p w:rsidR="00542551" w:rsidRDefault="00542551" w:rsidP="00661922">
      <w:pPr>
        <w:pStyle w:val="Nessunaspaziatura"/>
        <w:ind w:right="49"/>
        <w:jc w:val="both"/>
        <w:rPr>
          <w:rStyle w:val="Enfasicorsivo"/>
          <w:rFonts w:cstheme="minorHAnsi"/>
          <w:i w:val="0"/>
          <w:iCs w:val="0"/>
        </w:rPr>
      </w:pPr>
    </w:p>
    <w:p w:rsidR="009B299F" w:rsidRDefault="009B299F" w:rsidP="00661922">
      <w:pPr>
        <w:spacing w:after="0"/>
        <w:rPr>
          <w:rStyle w:val="Collegamentoipertestuale"/>
          <w:rFonts w:eastAsia="Calibri" w:cstheme="minorHAnsi"/>
          <w:sz w:val="18"/>
          <w:szCs w:val="18"/>
        </w:rPr>
      </w:pPr>
    </w:p>
    <w:p w:rsidR="009B299F" w:rsidRDefault="009B299F" w:rsidP="00661922">
      <w:pPr>
        <w:spacing w:after="0"/>
        <w:rPr>
          <w:rStyle w:val="Collegamentoipertestuale"/>
          <w:rFonts w:eastAsia="Calibri" w:cstheme="minorHAnsi"/>
          <w:sz w:val="18"/>
          <w:szCs w:val="18"/>
        </w:rPr>
      </w:pPr>
    </w:p>
    <w:p w:rsidR="009B299F" w:rsidRDefault="009B299F" w:rsidP="00661922">
      <w:pPr>
        <w:spacing w:after="0"/>
        <w:rPr>
          <w:rStyle w:val="Collegamentoipertestuale"/>
          <w:rFonts w:eastAsia="Calibri" w:cstheme="minorHAnsi"/>
          <w:sz w:val="18"/>
          <w:szCs w:val="18"/>
        </w:rPr>
      </w:pPr>
    </w:p>
    <w:p w:rsidR="00231104" w:rsidRPr="00872E44" w:rsidRDefault="00231104" w:rsidP="00661922">
      <w:pPr>
        <w:spacing w:after="0" w:line="240" w:lineRule="auto"/>
        <w:ind w:right="-93" w:firstLine="426"/>
        <w:jc w:val="right"/>
        <w:rPr>
          <w:rStyle w:val="Enfasicorsivo"/>
          <w:rFonts w:eastAsia="Calibri" w:cstheme="minorHAnsi"/>
          <w:b/>
          <w:i w:val="0"/>
          <w:iCs w:val="0"/>
          <w:sz w:val="18"/>
          <w:szCs w:val="18"/>
        </w:rPr>
      </w:pPr>
    </w:p>
    <w:sectPr w:rsidR="00231104" w:rsidRPr="00872E44" w:rsidSect="00D767D2">
      <w:headerReference w:type="default" r:id="rId8"/>
      <w:footerReference w:type="default" r:id="rId9"/>
      <w:pgSz w:w="12240" w:h="15840"/>
      <w:pgMar w:top="993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679" w:rsidRDefault="00907679" w:rsidP="00A97351">
      <w:pPr>
        <w:spacing w:after="0" w:line="240" w:lineRule="auto"/>
      </w:pPr>
      <w:r>
        <w:separator/>
      </w:r>
    </w:p>
  </w:endnote>
  <w:endnote w:type="continuationSeparator" w:id="0">
    <w:p w:rsidR="00907679" w:rsidRDefault="00907679" w:rsidP="00A9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tika">
    <w:altName w:val="Kartika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A9" w:rsidRDefault="004A72A9" w:rsidP="00287264">
    <w:pPr>
      <w:spacing w:after="0"/>
      <w:ind w:left="426"/>
      <w:rPr>
        <w:rFonts w:ascii="Segoe UI" w:eastAsia="Calibri" w:hAnsi="Segoe UI" w:cs="Segoe UI"/>
        <w:b/>
        <w:sz w:val="14"/>
        <w:szCs w:val="14"/>
      </w:rPr>
    </w:pPr>
    <w:bookmarkStart w:id="1" w:name="OLE_LINK3"/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5156835</wp:posOffset>
          </wp:positionH>
          <wp:positionV relativeFrom="margin">
            <wp:posOffset>8323580</wp:posOffset>
          </wp:positionV>
          <wp:extent cx="1143000" cy="590550"/>
          <wp:effectExtent l="0" t="0" r="0" b="0"/>
          <wp:wrapSquare wrapText="bothSides"/>
          <wp:docPr id="3" name="Immagine 3" descr="cid:image001.jpg@01D3C079.A5603D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3C079.A5603D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</w:p>
  <w:p w:rsidR="004A72A9" w:rsidRPr="000468FD" w:rsidRDefault="004A72A9" w:rsidP="00287264">
    <w:pPr>
      <w:spacing w:after="0"/>
      <w:ind w:left="426"/>
      <w:rPr>
        <w:rFonts w:ascii="Segoe UI" w:eastAsia="Calibri" w:hAnsi="Segoe UI" w:cs="Segoe UI"/>
        <w:b/>
        <w:sz w:val="14"/>
        <w:szCs w:val="14"/>
      </w:rPr>
    </w:pPr>
  </w:p>
  <w:p w:rsidR="004A72A9" w:rsidRPr="000468FD" w:rsidRDefault="004A72A9" w:rsidP="00287264">
    <w:pPr>
      <w:pStyle w:val="Pidipagina"/>
      <w:ind w:left="426"/>
      <w:rPr>
        <w:rFonts w:ascii="Kartika" w:hAnsi="Kartika" w:cs="Kartika"/>
        <w:lang w:val="it-IT"/>
      </w:rPr>
    </w:pPr>
  </w:p>
  <w:p w:rsidR="004A72A9" w:rsidRPr="00287264" w:rsidRDefault="004A72A9" w:rsidP="00287264">
    <w:pPr>
      <w:pStyle w:val="Pidipagina"/>
      <w:ind w:left="426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679" w:rsidRDefault="00907679" w:rsidP="00A97351">
      <w:pPr>
        <w:spacing w:after="0" w:line="240" w:lineRule="auto"/>
      </w:pPr>
      <w:r>
        <w:separator/>
      </w:r>
    </w:p>
  </w:footnote>
  <w:footnote w:type="continuationSeparator" w:id="0">
    <w:p w:rsidR="00907679" w:rsidRDefault="00907679" w:rsidP="00A9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A9" w:rsidRDefault="001F61A7" w:rsidP="00604528">
    <w:pPr>
      <w:pStyle w:val="Intestazione"/>
      <w:jc w:val="center"/>
    </w:pPr>
    <w:r w:rsidRPr="001F61A7">
      <w:rPr>
        <w:noProof/>
        <w:lang w:val="it-IT" w:eastAsia="it-IT"/>
      </w:rPr>
      <w:drawing>
        <wp:inline distT="0" distB="0" distL="0" distR="0">
          <wp:extent cx="1967865" cy="381542"/>
          <wp:effectExtent l="0" t="0" r="0" b="0"/>
          <wp:docPr id="1" name="Immagine 1" descr="U:\Abitare Co\2020\Immagini\Logo Abitare 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bitare Co\2020\Immagini\Logo Abitare 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730" cy="39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242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E0A7A"/>
    <w:multiLevelType w:val="hybridMultilevel"/>
    <w:tmpl w:val="7FBA7BBA"/>
    <w:lvl w:ilvl="0" w:tplc="5EFA25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B68A4"/>
    <w:multiLevelType w:val="hybridMultilevel"/>
    <w:tmpl w:val="2AD82B4A"/>
    <w:lvl w:ilvl="0" w:tplc="BFE8AB32">
      <w:numFmt w:val="bullet"/>
      <w:lvlText w:val="-"/>
      <w:lvlJc w:val="left"/>
      <w:pPr>
        <w:ind w:left="720" w:hanging="360"/>
      </w:pPr>
      <w:rPr>
        <w:rFonts w:ascii="Calibri" w:eastAsia="Calibri" w:hAnsi="Calibri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96F5A"/>
    <w:multiLevelType w:val="hybridMultilevel"/>
    <w:tmpl w:val="3DEC1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5C9"/>
    <w:multiLevelType w:val="hybridMultilevel"/>
    <w:tmpl w:val="3C7A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669"/>
    <w:multiLevelType w:val="hybridMultilevel"/>
    <w:tmpl w:val="CA6877E2"/>
    <w:lvl w:ilvl="0" w:tplc="3FEA76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B0F14"/>
    <w:multiLevelType w:val="hybridMultilevel"/>
    <w:tmpl w:val="4BD0C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12820"/>
    <w:multiLevelType w:val="hybridMultilevel"/>
    <w:tmpl w:val="ADE6F3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075EB"/>
    <w:multiLevelType w:val="hybridMultilevel"/>
    <w:tmpl w:val="528C5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15FD0"/>
    <w:multiLevelType w:val="hybridMultilevel"/>
    <w:tmpl w:val="35461D1E"/>
    <w:lvl w:ilvl="0" w:tplc="16DAE83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407CC"/>
    <w:multiLevelType w:val="hybridMultilevel"/>
    <w:tmpl w:val="A418D9C4"/>
    <w:lvl w:ilvl="0" w:tplc="E8326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24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A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26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02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61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A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AE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8E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021A55"/>
    <w:multiLevelType w:val="hybridMultilevel"/>
    <w:tmpl w:val="D21880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B378B"/>
    <w:multiLevelType w:val="hybridMultilevel"/>
    <w:tmpl w:val="3B0C83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C613D"/>
    <w:multiLevelType w:val="hybridMultilevel"/>
    <w:tmpl w:val="3BA23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E4F36"/>
    <w:multiLevelType w:val="hybridMultilevel"/>
    <w:tmpl w:val="171E3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81D0E"/>
    <w:multiLevelType w:val="hybridMultilevel"/>
    <w:tmpl w:val="9790F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548E7"/>
    <w:multiLevelType w:val="multilevel"/>
    <w:tmpl w:val="0978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905F5"/>
    <w:multiLevelType w:val="hybridMultilevel"/>
    <w:tmpl w:val="8ABEFD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70C95"/>
    <w:multiLevelType w:val="hybridMultilevel"/>
    <w:tmpl w:val="A0A8E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A4D9B"/>
    <w:multiLevelType w:val="hybridMultilevel"/>
    <w:tmpl w:val="FB1C204E"/>
    <w:lvl w:ilvl="0" w:tplc="CDC45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61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4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8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8A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C2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6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6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943796E"/>
    <w:multiLevelType w:val="hybridMultilevel"/>
    <w:tmpl w:val="73B0BFFA"/>
    <w:lvl w:ilvl="0" w:tplc="10063A6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D7B8D"/>
    <w:multiLevelType w:val="hybridMultilevel"/>
    <w:tmpl w:val="62549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A73CE"/>
    <w:multiLevelType w:val="hybridMultilevel"/>
    <w:tmpl w:val="90F0D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67C61"/>
    <w:multiLevelType w:val="hybridMultilevel"/>
    <w:tmpl w:val="D1DC8A9E"/>
    <w:lvl w:ilvl="0" w:tplc="5F4EB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8A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8D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A7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AD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4E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82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8D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C5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1104CBE"/>
    <w:multiLevelType w:val="hybridMultilevel"/>
    <w:tmpl w:val="E580F87E"/>
    <w:lvl w:ilvl="0" w:tplc="4BD480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11850"/>
    <w:multiLevelType w:val="multilevel"/>
    <w:tmpl w:val="FA2C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C3431D"/>
    <w:multiLevelType w:val="hybridMultilevel"/>
    <w:tmpl w:val="3D08AA56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73EA2567"/>
    <w:multiLevelType w:val="hybridMultilevel"/>
    <w:tmpl w:val="EFB6C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A3B43"/>
    <w:multiLevelType w:val="hybridMultilevel"/>
    <w:tmpl w:val="3DD6AB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F22044"/>
    <w:multiLevelType w:val="hybridMultilevel"/>
    <w:tmpl w:val="BA9A5F60"/>
    <w:lvl w:ilvl="0" w:tplc="A296C0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37C65"/>
    <w:multiLevelType w:val="hybridMultilevel"/>
    <w:tmpl w:val="C43E03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C5B94"/>
    <w:multiLevelType w:val="hybridMultilevel"/>
    <w:tmpl w:val="25A8E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0"/>
  </w:num>
  <w:num w:numId="4">
    <w:abstractNumId w:val="6"/>
  </w:num>
  <w:num w:numId="5">
    <w:abstractNumId w:val="28"/>
  </w:num>
  <w:num w:numId="6">
    <w:abstractNumId w:val="17"/>
  </w:num>
  <w:num w:numId="7">
    <w:abstractNumId w:val="12"/>
  </w:num>
  <w:num w:numId="8">
    <w:abstractNumId w:val="11"/>
  </w:num>
  <w:num w:numId="9">
    <w:abstractNumId w:val="7"/>
  </w:num>
  <w:num w:numId="10">
    <w:abstractNumId w:val="30"/>
  </w:num>
  <w:num w:numId="11">
    <w:abstractNumId w:val="5"/>
  </w:num>
  <w:num w:numId="12">
    <w:abstractNumId w:val="15"/>
  </w:num>
  <w:num w:numId="13">
    <w:abstractNumId w:val="31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6"/>
  </w:num>
  <w:num w:numId="17">
    <w:abstractNumId w:val="13"/>
  </w:num>
  <w:num w:numId="18">
    <w:abstractNumId w:val="21"/>
  </w:num>
  <w:num w:numId="19">
    <w:abstractNumId w:val="0"/>
  </w:num>
  <w:num w:numId="20">
    <w:abstractNumId w:val="19"/>
  </w:num>
  <w:num w:numId="21">
    <w:abstractNumId w:val="23"/>
  </w:num>
  <w:num w:numId="22">
    <w:abstractNumId w:val="29"/>
  </w:num>
  <w:num w:numId="23">
    <w:abstractNumId w:val="2"/>
  </w:num>
  <w:num w:numId="24">
    <w:abstractNumId w:val="8"/>
  </w:num>
  <w:num w:numId="25">
    <w:abstractNumId w:val="10"/>
  </w:num>
  <w:num w:numId="26">
    <w:abstractNumId w:val="22"/>
  </w:num>
  <w:num w:numId="27">
    <w:abstractNumId w:val="24"/>
  </w:num>
  <w:num w:numId="28">
    <w:abstractNumId w:val="3"/>
  </w:num>
  <w:num w:numId="29">
    <w:abstractNumId w:val="1"/>
  </w:num>
  <w:num w:numId="30">
    <w:abstractNumId w:val="9"/>
  </w:num>
  <w:num w:numId="31">
    <w:abstractNumId w:val="18"/>
  </w:num>
  <w:num w:numId="32">
    <w:abstractNumId w:val="4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proofState w:spelling="clean"/>
  <w:defaultTabStop w:val="720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97351"/>
    <w:rsid w:val="000009F9"/>
    <w:rsid w:val="00003177"/>
    <w:rsid w:val="0000398F"/>
    <w:rsid w:val="00004C10"/>
    <w:rsid w:val="0000547D"/>
    <w:rsid w:val="00006420"/>
    <w:rsid w:val="0000732D"/>
    <w:rsid w:val="00007AFC"/>
    <w:rsid w:val="000105E0"/>
    <w:rsid w:val="00013E9F"/>
    <w:rsid w:val="000156FA"/>
    <w:rsid w:val="00020963"/>
    <w:rsid w:val="00023398"/>
    <w:rsid w:val="00024F9A"/>
    <w:rsid w:val="0002538D"/>
    <w:rsid w:val="00025786"/>
    <w:rsid w:val="0002677A"/>
    <w:rsid w:val="00026878"/>
    <w:rsid w:val="00026EF4"/>
    <w:rsid w:val="00032623"/>
    <w:rsid w:val="0003324C"/>
    <w:rsid w:val="0003331B"/>
    <w:rsid w:val="0003564D"/>
    <w:rsid w:val="00035D96"/>
    <w:rsid w:val="000468FD"/>
    <w:rsid w:val="00047039"/>
    <w:rsid w:val="00050CCD"/>
    <w:rsid w:val="00052C34"/>
    <w:rsid w:val="00053A7F"/>
    <w:rsid w:val="0005466B"/>
    <w:rsid w:val="00055128"/>
    <w:rsid w:val="00056C9B"/>
    <w:rsid w:val="00061E56"/>
    <w:rsid w:val="00062358"/>
    <w:rsid w:val="000660DF"/>
    <w:rsid w:val="00070743"/>
    <w:rsid w:val="00072FAC"/>
    <w:rsid w:val="000739D5"/>
    <w:rsid w:val="00076E0D"/>
    <w:rsid w:val="00082B1B"/>
    <w:rsid w:val="0008443F"/>
    <w:rsid w:val="00085295"/>
    <w:rsid w:val="000909A5"/>
    <w:rsid w:val="00092F56"/>
    <w:rsid w:val="00095B8D"/>
    <w:rsid w:val="000A3202"/>
    <w:rsid w:val="000B32A7"/>
    <w:rsid w:val="000B5D82"/>
    <w:rsid w:val="000B7810"/>
    <w:rsid w:val="000C272C"/>
    <w:rsid w:val="000C2EDF"/>
    <w:rsid w:val="000C318A"/>
    <w:rsid w:val="000C50E7"/>
    <w:rsid w:val="000C6FE9"/>
    <w:rsid w:val="000D2AE4"/>
    <w:rsid w:val="000D6E12"/>
    <w:rsid w:val="000D7F1A"/>
    <w:rsid w:val="000E0F70"/>
    <w:rsid w:val="000E3C7D"/>
    <w:rsid w:val="000E5A2B"/>
    <w:rsid w:val="000E7C64"/>
    <w:rsid w:val="000F47F2"/>
    <w:rsid w:val="000F6229"/>
    <w:rsid w:val="000F6347"/>
    <w:rsid w:val="000F7044"/>
    <w:rsid w:val="00100E4D"/>
    <w:rsid w:val="00101193"/>
    <w:rsid w:val="00101CC1"/>
    <w:rsid w:val="00104219"/>
    <w:rsid w:val="00106A7A"/>
    <w:rsid w:val="00106EE4"/>
    <w:rsid w:val="00112320"/>
    <w:rsid w:val="00113CDC"/>
    <w:rsid w:val="00114A0F"/>
    <w:rsid w:val="00120ABF"/>
    <w:rsid w:val="00121924"/>
    <w:rsid w:val="001237C3"/>
    <w:rsid w:val="001237E0"/>
    <w:rsid w:val="00125452"/>
    <w:rsid w:val="001313C2"/>
    <w:rsid w:val="001326A1"/>
    <w:rsid w:val="00136DF9"/>
    <w:rsid w:val="00144564"/>
    <w:rsid w:val="00145198"/>
    <w:rsid w:val="001466CA"/>
    <w:rsid w:val="001500F1"/>
    <w:rsid w:val="00155713"/>
    <w:rsid w:val="001563C2"/>
    <w:rsid w:val="0016358A"/>
    <w:rsid w:val="00164353"/>
    <w:rsid w:val="00164989"/>
    <w:rsid w:val="00165649"/>
    <w:rsid w:val="00165FAA"/>
    <w:rsid w:val="00172486"/>
    <w:rsid w:val="001727A6"/>
    <w:rsid w:val="001734DB"/>
    <w:rsid w:val="00174F0B"/>
    <w:rsid w:val="00183065"/>
    <w:rsid w:val="001831E6"/>
    <w:rsid w:val="00190B4C"/>
    <w:rsid w:val="00192E17"/>
    <w:rsid w:val="00194217"/>
    <w:rsid w:val="001A0D7D"/>
    <w:rsid w:val="001A1389"/>
    <w:rsid w:val="001A2361"/>
    <w:rsid w:val="001A3218"/>
    <w:rsid w:val="001A38F9"/>
    <w:rsid w:val="001A3BE9"/>
    <w:rsid w:val="001B12EF"/>
    <w:rsid w:val="001B3DF7"/>
    <w:rsid w:val="001C028A"/>
    <w:rsid w:val="001C373C"/>
    <w:rsid w:val="001C54AE"/>
    <w:rsid w:val="001D302E"/>
    <w:rsid w:val="001D6AFC"/>
    <w:rsid w:val="001E19D7"/>
    <w:rsid w:val="001E2175"/>
    <w:rsid w:val="001E265D"/>
    <w:rsid w:val="001E3FED"/>
    <w:rsid w:val="001E57D9"/>
    <w:rsid w:val="001E580C"/>
    <w:rsid w:val="001E750F"/>
    <w:rsid w:val="001F18E4"/>
    <w:rsid w:val="001F61A7"/>
    <w:rsid w:val="001F6266"/>
    <w:rsid w:val="0020121D"/>
    <w:rsid w:val="00202B7C"/>
    <w:rsid w:val="00205B3F"/>
    <w:rsid w:val="00215D6E"/>
    <w:rsid w:val="0022074D"/>
    <w:rsid w:val="00220A67"/>
    <w:rsid w:val="00220CA7"/>
    <w:rsid w:val="002270D2"/>
    <w:rsid w:val="002274A7"/>
    <w:rsid w:val="00230D61"/>
    <w:rsid w:val="00231104"/>
    <w:rsid w:val="00231D4F"/>
    <w:rsid w:val="00231FF3"/>
    <w:rsid w:val="00235AF7"/>
    <w:rsid w:val="00243957"/>
    <w:rsid w:val="00245530"/>
    <w:rsid w:val="00251B8A"/>
    <w:rsid w:val="00252CDD"/>
    <w:rsid w:val="00253F30"/>
    <w:rsid w:val="00260C70"/>
    <w:rsid w:val="0026397D"/>
    <w:rsid w:val="00264DC5"/>
    <w:rsid w:val="002659B3"/>
    <w:rsid w:val="00265CCA"/>
    <w:rsid w:val="002660BF"/>
    <w:rsid w:val="00270006"/>
    <w:rsid w:val="00271B3E"/>
    <w:rsid w:val="00271DDF"/>
    <w:rsid w:val="00274E1B"/>
    <w:rsid w:val="002763F5"/>
    <w:rsid w:val="00276682"/>
    <w:rsid w:val="00277E39"/>
    <w:rsid w:val="00280451"/>
    <w:rsid w:val="0028054E"/>
    <w:rsid w:val="00281669"/>
    <w:rsid w:val="00282560"/>
    <w:rsid w:val="00283AB3"/>
    <w:rsid w:val="00287264"/>
    <w:rsid w:val="002929C0"/>
    <w:rsid w:val="002A0FA5"/>
    <w:rsid w:val="002A27A8"/>
    <w:rsid w:val="002B6861"/>
    <w:rsid w:val="002B6863"/>
    <w:rsid w:val="002B6D05"/>
    <w:rsid w:val="002B7642"/>
    <w:rsid w:val="002C1DB4"/>
    <w:rsid w:val="002C1E28"/>
    <w:rsid w:val="002C4A06"/>
    <w:rsid w:val="002C74B4"/>
    <w:rsid w:val="002C7651"/>
    <w:rsid w:val="002D0169"/>
    <w:rsid w:val="002D0934"/>
    <w:rsid w:val="002D3361"/>
    <w:rsid w:val="002D5F66"/>
    <w:rsid w:val="002D69A2"/>
    <w:rsid w:val="002E13C8"/>
    <w:rsid w:val="002E6ED8"/>
    <w:rsid w:val="002E789F"/>
    <w:rsid w:val="002F15DE"/>
    <w:rsid w:val="002F1A3F"/>
    <w:rsid w:val="002F38F1"/>
    <w:rsid w:val="002F3917"/>
    <w:rsid w:val="002F5569"/>
    <w:rsid w:val="002F6EE5"/>
    <w:rsid w:val="00302140"/>
    <w:rsid w:val="00303A1A"/>
    <w:rsid w:val="00307E1F"/>
    <w:rsid w:val="00310477"/>
    <w:rsid w:val="0032093C"/>
    <w:rsid w:val="00327EAE"/>
    <w:rsid w:val="003300B8"/>
    <w:rsid w:val="003319DF"/>
    <w:rsid w:val="00334E9A"/>
    <w:rsid w:val="003351CB"/>
    <w:rsid w:val="0033547C"/>
    <w:rsid w:val="00344AEC"/>
    <w:rsid w:val="0034581D"/>
    <w:rsid w:val="00346453"/>
    <w:rsid w:val="00350F1C"/>
    <w:rsid w:val="003527D2"/>
    <w:rsid w:val="00352DEB"/>
    <w:rsid w:val="00353C4C"/>
    <w:rsid w:val="00357A49"/>
    <w:rsid w:val="003604B6"/>
    <w:rsid w:val="00360AD4"/>
    <w:rsid w:val="003645BB"/>
    <w:rsid w:val="00371DA8"/>
    <w:rsid w:val="00375559"/>
    <w:rsid w:val="003757BE"/>
    <w:rsid w:val="003775F0"/>
    <w:rsid w:val="00377EA8"/>
    <w:rsid w:val="00381799"/>
    <w:rsid w:val="00381AE2"/>
    <w:rsid w:val="00383489"/>
    <w:rsid w:val="00386E57"/>
    <w:rsid w:val="00387206"/>
    <w:rsid w:val="00390481"/>
    <w:rsid w:val="00390BC0"/>
    <w:rsid w:val="00390D58"/>
    <w:rsid w:val="00391B6D"/>
    <w:rsid w:val="003A1B9C"/>
    <w:rsid w:val="003B0673"/>
    <w:rsid w:val="003B2F2A"/>
    <w:rsid w:val="003C1691"/>
    <w:rsid w:val="003C3B4A"/>
    <w:rsid w:val="003C4CF1"/>
    <w:rsid w:val="003C5CC4"/>
    <w:rsid w:val="003D1042"/>
    <w:rsid w:val="003D10D1"/>
    <w:rsid w:val="003D2CBC"/>
    <w:rsid w:val="003D5E95"/>
    <w:rsid w:val="003D69AE"/>
    <w:rsid w:val="003D7FEC"/>
    <w:rsid w:val="003E012C"/>
    <w:rsid w:val="003E10C1"/>
    <w:rsid w:val="003E12BA"/>
    <w:rsid w:val="003E3C1A"/>
    <w:rsid w:val="003E731A"/>
    <w:rsid w:val="003F0397"/>
    <w:rsid w:val="003F03B2"/>
    <w:rsid w:val="003F1272"/>
    <w:rsid w:val="003F24D2"/>
    <w:rsid w:val="003F3BF9"/>
    <w:rsid w:val="003F499C"/>
    <w:rsid w:val="003F5545"/>
    <w:rsid w:val="004040DE"/>
    <w:rsid w:val="00414DD2"/>
    <w:rsid w:val="00415447"/>
    <w:rsid w:val="00415E2F"/>
    <w:rsid w:val="0042138A"/>
    <w:rsid w:val="00421B40"/>
    <w:rsid w:val="00424A74"/>
    <w:rsid w:val="00424BE2"/>
    <w:rsid w:val="0042503E"/>
    <w:rsid w:val="00430525"/>
    <w:rsid w:val="00430608"/>
    <w:rsid w:val="0043560F"/>
    <w:rsid w:val="00436C05"/>
    <w:rsid w:val="00436D2B"/>
    <w:rsid w:val="00437647"/>
    <w:rsid w:val="004376E0"/>
    <w:rsid w:val="00437ED8"/>
    <w:rsid w:val="004401AC"/>
    <w:rsid w:val="00446193"/>
    <w:rsid w:val="00446A0B"/>
    <w:rsid w:val="00447626"/>
    <w:rsid w:val="00452770"/>
    <w:rsid w:val="00453A6A"/>
    <w:rsid w:val="004552DA"/>
    <w:rsid w:val="00462847"/>
    <w:rsid w:val="00462D28"/>
    <w:rsid w:val="00467A0A"/>
    <w:rsid w:val="00471B41"/>
    <w:rsid w:val="00472B7A"/>
    <w:rsid w:val="00473A0D"/>
    <w:rsid w:val="00475E7A"/>
    <w:rsid w:val="00477AD0"/>
    <w:rsid w:val="00481695"/>
    <w:rsid w:val="00481BF0"/>
    <w:rsid w:val="00496582"/>
    <w:rsid w:val="00496D35"/>
    <w:rsid w:val="004A0B2D"/>
    <w:rsid w:val="004A1DB0"/>
    <w:rsid w:val="004A1E59"/>
    <w:rsid w:val="004A68D1"/>
    <w:rsid w:val="004A72A9"/>
    <w:rsid w:val="004B3BDF"/>
    <w:rsid w:val="004B5370"/>
    <w:rsid w:val="004B7681"/>
    <w:rsid w:val="004C2B60"/>
    <w:rsid w:val="004C5EFB"/>
    <w:rsid w:val="004D0048"/>
    <w:rsid w:val="004D06EF"/>
    <w:rsid w:val="004D2ED8"/>
    <w:rsid w:val="004E206D"/>
    <w:rsid w:val="004E59A0"/>
    <w:rsid w:val="004E5A03"/>
    <w:rsid w:val="004E69D1"/>
    <w:rsid w:val="004F35CA"/>
    <w:rsid w:val="004F4E3D"/>
    <w:rsid w:val="004F5CFE"/>
    <w:rsid w:val="00500CE6"/>
    <w:rsid w:val="00503604"/>
    <w:rsid w:val="00507CFD"/>
    <w:rsid w:val="00513A13"/>
    <w:rsid w:val="00514500"/>
    <w:rsid w:val="00517719"/>
    <w:rsid w:val="005266A8"/>
    <w:rsid w:val="0052742B"/>
    <w:rsid w:val="00527DBB"/>
    <w:rsid w:val="00527E24"/>
    <w:rsid w:val="00530002"/>
    <w:rsid w:val="00530571"/>
    <w:rsid w:val="0053259D"/>
    <w:rsid w:val="0053525D"/>
    <w:rsid w:val="00536209"/>
    <w:rsid w:val="00536DCF"/>
    <w:rsid w:val="00540498"/>
    <w:rsid w:val="0054157A"/>
    <w:rsid w:val="00541D13"/>
    <w:rsid w:val="00542551"/>
    <w:rsid w:val="00544938"/>
    <w:rsid w:val="005452E1"/>
    <w:rsid w:val="005454E9"/>
    <w:rsid w:val="00551B9B"/>
    <w:rsid w:val="005520CE"/>
    <w:rsid w:val="005522AB"/>
    <w:rsid w:val="00555509"/>
    <w:rsid w:val="00560D7D"/>
    <w:rsid w:val="00565730"/>
    <w:rsid w:val="00570B1A"/>
    <w:rsid w:val="005712B0"/>
    <w:rsid w:val="00571D63"/>
    <w:rsid w:val="00572967"/>
    <w:rsid w:val="005767FC"/>
    <w:rsid w:val="0058162E"/>
    <w:rsid w:val="0058364F"/>
    <w:rsid w:val="005A05F3"/>
    <w:rsid w:val="005A55E5"/>
    <w:rsid w:val="005A643F"/>
    <w:rsid w:val="005A68A3"/>
    <w:rsid w:val="005B32CC"/>
    <w:rsid w:val="005B6E93"/>
    <w:rsid w:val="005C04E4"/>
    <w:rsid w:val="005C2FA6"/>
    <w:rsid w:val="005C3EB6"/>
    <w:rsid w:val="005C4B3F"/>
    <w:rsid w:val="005C7D76"/>
    <w:rsid w:val="005D248B"/>
    <w:rsid w:val="005D2C82"/>
    <w:rsid w:val="005D548A"/>
    <w:rsid w:val="005D7E76"/>
    <w:rsid w:val="005E2A11"/>
    <w:rsid w:val="005E365F"/>
    <w:rsid w:val="005E4701"/>
    <w:rsid w:val="005E6A38"/>
    <w:rsid w:val="005F77D8"/>
    <w:rsid w:val="005F78E9"/>
    <w:rsid w:val="0060012D"/>
    <w:rsid w:val="00600D84"/>
    <w:rsid w:val="0060165F"/>
    <w:rsid w:val="00603579"/>
    <w:rsid w:val="00603AEA"/>
    <w:rsid w:val="006041B2"/>
    <w:rsid w:val="0060443B"/>
    <w:rsid w:val="00604528"/>
    <w:rsid w:val="006069BA"/>
    <w:rsid w:val="006100FE"/>
    <w:rsid w:val="00612426"/>
    <w:rsid w:val="006144A2"/>
    <w:rsid w:val="006149AE"/>
    <w:rsid w:val="00616C83"/>
    <w:rsid w:val="00616FEB"/>
    <w:rsid w:val="00621572"/>
    <w:rsid w:val="00622E46"/>
    <w:rsid w:val="0062414C"/>
    <w:rsid w:val="006308AB"/>
    <w:rsid w:val="006328F0"/>
    <w:rsid w:val="006351AC"/>
    <w:rsid w:val="00637281"/>
    <w:rsid w:val="00641077"/>
    <w:rsid w:val="00641493"/>
    <w:rsid w:val="006465A7"/>
    <w:rsid w:val="00647B02"/>
    <w:rsid w:val="0065355B"/>
    <w:rsid w:val="00655055"/>
    <w:rsid w:val="006567B7"/>
    <w:rsid w:val="0065681A"/>
    <w:rsid w:val="00660004"/>
    <w:rsid w:val="00661922"/>
    <w:rsid w:val="0066192C"/>
    <w:rsid w:val="00662193"/>
    <w:rsid w:val="00664002"/>
    <w:rsid w:val="0066414C"/>
    <w:rsid w:val="006641FB"/>
    <w:rsid w:val="0066610E"/>
    <w:rsid w:val="0067049D"/>
    <w:rsid w:val="00672A7A"/>
    <w:rsid w:val="006738EE"/>
    <w:rsid w:val="0067586F"/>
    <w:rsid w:val="00675B6E"/>
    <w:rsid w:val="006800A8"/>
    <w:rsid w:val="00681D6A"/>
    <w:rsid w:val="006823BE"/>
    <w:rsid w:val="0069130E"/>
    <w:rsid w:val="00691925"/>
    <w:rsid w:val="00693ED5"/>
    <w:rsid w:val="00696407"/>
    <w:rsid w:val="006A0695"/>
    <w:rsid w:val="006A164F"/>
    <w:rsid w:val="006A6340"/>
    <w:rsid w:val="006A65EE"/>
    <w:rsid w:val="006B04CB"/>
    <w:rsid w:val="006B13F6"/>
    <w:rsid w:val="006B486A"/>
    <w:rsid w:val="006B6504"/>
    <w:rsid w:val="006B6719"/>
    <w:rsid w:val="006C2BB5"/>
    <w:rsid w:val="006D044C"/>
    <w:rsid w:val="006D6051"/>
    <w:rsid w:val="006E1742"/>
    <w:rsid w:val="006E3EB1"/>
    <w:rsid w:val="006E75C8"/>
    <w:rsid w:val="006E769A"/>
    <w:rsid w:val="006E7B5C"/>
    <w:rsid w:val="006F21FB"/>
    <w:rsid w:val="006F4EB9"/>
    <w:rsid w:val="006F5061"/>
    <w:rsid w:val="006F6323"/>
    <w:rsid w:val="007010BF"/>
    <w:rsid w:val="00702335"/>
    <w:rsid w:val="00703FE5"/>
    <w:rsid w:val="00710514"/>
    <w:rsid w:val="00712F21"/>
    <w:rsid w:val="0071510F"/>
    <w:rsid w:val="007202E9"/>
    <w:rsid w:val="00720A98"/>
    <w:rsid w:val="00721114"/>
    <w:rsid w:val="007229DB"/>
    <w:rsid w:val="0072344F"/>
    <w:rsid w:val="00725137"/>
    <w:rsid w:val="00727A2B"/>
    <w:rsid w:val="00732F3B"/>
    <w:rsid w:val="007349BA"/>
    <w:rsid w:val="00735711"/>
    <w:rsid w:val="00735F8F"/>
    <w:rsid w:val="00746E85"/>
    <w:rsid w:val="00750012"/>
    <w:rsid w:val="00750107"/>
    <w:rsid w:val="00751006"/>
    <w:rsid w:val="0075270D"/>
    <w:rsid w:val="00752862"/>
    <w:rsid w:val="007550DE"/>
    <w:rsid w:val="00756DF8"/>
    <w:rsid w:val="00760473"/>
    <w:rsid w:val="00761397"/>
    <w:rsid w:val="0076433A"/>
    <w:rsid w:val="00765BF8"/>
    <w:rsid w:val="0076617A"/>
    <w:rsid w:val="0077009B"/>
    <w:rsid w:val="00773130"/>
    <w:rsid w:val="007742BD"/>
    <w:rsid w:val="007749E5"/>
    <w:rsid w:val="0078155C"/>
    <w:rsid w:val="00781ED5"/>
    <w:rsid w:val="0078256D"/>
    <w:rsid w:val="00785C6F"/>
    <w:rsid w:val="007875F5"/>
    <w:rsid w:val="0079209F"/>
    <w:rsid w:val="00792653"/>
    <w:rsid w:val="00792F1F"/>
    <w:rsid w:val="007955D4"/>
    <w:rsid w:val="007A0820"/>
    <w:rsid w:val="007A22FC"/>
    <w:rsid w:val="007A63D5"/>
    <w:rsid w:val="007A7A93"/>
    <w:rsid w:val="007B5EDA"/>
    <w:rsid w:val="007B5F3E"/>
    <w:rsid w:val="007C092E"/>
    <w:rsid w:val="007C2915"/>
    <w:rsid w:val="007C3C80"/>
    <w:rsid w:val="007C3D67"/>
    <w:rsid w:val="007C4AC7"/>
    <w:rsid w:val="007C5B78"/>
    <w:rsid w:val="007D197E"/>
    <w:rsid w:val="007D1E44"/>
    <w:rsid w:val="007D2302"/>
    <w:rsid w:val="007D33DE"/>
    <w:rsid w:val="007D49C3"/>
    <w:rsid w:val="007D5877"/>
    <w:rsid w:val="007D645D"/>
    <w:rsid w:val="007D76FD"/>
    <w:rsid w:val="007E1053"/>
    <w:rsid w:val="007E1592"/>
    <w:rsid w:val="007E19A9"/>
    <w:rsid w:val="007E1E1F"/>
    <w:rsid w:val="007E278A"/>
    <w:rsid w:val="007E42D8"/>
    <w:rsid w:val="007F0F4F"/>
    <w:rsid w:val="007F3E72"/>
    <w:rsid w:val="007F7DD5"/>
    <w:rsid w:val="00800D58"/>
    <w:rsid w:val="00802632"/>
    <w:rsid w:val="0080783B"/>
    <w:rsid w:val="0081237B"/>
    <w:rsid w:val="0081656B"/>
    <w:rsid w:val="0082083E"/>
    <w:rsid w:val="00821153"/>
    <w:rsid w:val="00822E49"/>
    <w:rsid w:val="00823A9C"/>
    <w:rsid w:val="00825588"/>
    <w:rsid w:val="00831C03"/>
    <w:rsid w:val="00831F96"/>
    <w:rsid w:val="00832FDB"/>
    <w:rsid w:val="008362E6"/>
    <w:rsid w:val="00841526"/>
    <w:rsid w:val="008435DD"/>
    <w:rsid w:val="00844B8A"/>
    <w:rsid w:val="00846605"/>
    <w:rsid w:val="00850F1F"/>
    <w:rsid w:val="00854F5D"/>
    <w:rsid w:val="00856C16"/>
    <w:rsid w:val="00863013"/>
    <w:rsid w:val="00866321"/>
    <w:rsid w:val="00870582"/>
    <w:rsid w:val="00871F62"/>
    <w:rsid w:val="00872ADA"/>
    <w:rsid w:val="00872E44"/>
    <w:rsid w:val="00874EA4"/>
    <w:rsid w:val="00876058"/>
    <w:rsid w:val="00886111"/>
    <w:rsid w:val="00886DC9"/>
    <w:rsid w:val="00890DB5"/>
    <w:rsid w:val="00891C45"/>
    <w:rsid w:val="008940F3"/>
    <w:rsid w:val="00894903"/>
    <w:rsid w:val="00894D75"/>
    <w:rsid w:val="008972F4"/>
    <w:rsid w:val="00897A44"/>
    <w:rsid w:val="008A4389"/>
    <w:rsid w:val="008A7008"/>
    <w:rsid w:val="008A7367"/>
    <w:rsid w:val="008A7780"/>
    <w:rsid w:val="008B00CF"/>
    <w:rsid w:val="008B00F5"/>
    <w:rsid w:val="008B51F8"/>
    <w:rsid w:val="008C153B"/>
    <w:rsid w:val="008C5C2F"/>
    <w:rsid w:val="008D531B"/>
    <w:rsid w:val="008D733A"/>
    <w:rsid w:val="008D7EEA"/>
    <w:rsid w:val="008E040E"/>
    <w:rsid w:val="008E5D80"/>
    <w:rsid w:val="008E6A3F"/>
    <w:rsid w:val="008F000F"/>
    <w:rsid w:val="008F097F"/>
    <w:rsid w:val="008F1E87"/>
    <w:rsid w:val="008F21FF"/>
    <w:rsid w:val="008F3804"/>
    <w:rsid w:val="008F3A56"/>
    <w:rsid w:val="0090089E"/>
    <w:rsid w:val="00902D16"/>
    <w:rsid w:val="00906529"/>
    <w:rsid w:val="00907679"/>
    <w:rsid w:val="00907A8B"/>
    <w:rsid w:val="00916BF8"/>
    <w:rsid w:val="00923226"/>
    <w:rsid w:val="00923F0A"/>
    <w:rsid w:val="0092740A"/>
    <w:rsid w:val="00927563"/>
    <w:rsid w:val="009310E5"/>
    <w:rsid w:val="00932B2F"/>
    <w:rsid w:val="00934E3D"/>
    <w:rsid w:val="0093745C"/>
    <w:rsid w:val="00941585"/>
    <w:rsid w:val="0094335E"/>
    <w:rsid w:val="009437C3"/>
    <w:rsid w:val="0094383F"/>
    <w:rsid w:val="00946424"/>
    <w:rsid w:val="009518D5"/>
    <w:rsid w:val="00951CB0"/>
    <w:rsid w:val="00954036"/>
    <w:rsid w:val="00956265"/>
    <w:rsid w:val="00957678"/>
    <w:rsid w:val="00962F63"/>
    <w:rsid w:val="00964026"/>
    <w:rsid w:val="00964449"/>
    <w:rsid w:val="0096494E"/>
    <w:rsid w:val="00966310"/>
    <w:rsid w:val="009669EF"/>
    <w:rsid w:val="00967A9B"/>
    <w:rsid w:val="009710DE"/>
    <w:rsid w:val="0097488A"/>
    <w:rsid w:val="009803AE"/>
    <w:rsid w:val="0098193F"/>
    <w:rsid w:val="0098266A"/>
    <w:rsid w:val="00985C4B"/>
    <w:rsid w:val="00985EBB"/>
    <w:rsid w:val="0099300C"/>
    <w:rsid w:val="009A6D36"/>
    <w:rsid w:val="009A6F51"/>
    <w:rsid w:val="009A7C58"/>
    <w:rsid w:val="009B2977"/>
    <w:rsid w:val="009B299F"/>
    <w:rsid w:val="009B705E"/>
    <w:rsid w:val="009C0D98"/>
    <w:rsid w:val="009C1C7D"/>
    <w:rsid w:val="009C21BD"/>
    <w:rsid w:val="009C2A3A"/>
    <w:rsid w:val="009C7A79"/>
    <w:rsid w:val="009D1D22"/>
    <w:rsid w:val="009E1FAD"/>
    <w:rsid w:val="009E205D"/>
    <w:rsid w:val="009E32CE"/>
    <w:rsid w:val="009E6BD1"/>
    <w:rsid w:val="009F5867"/>
    <w:rsid w:val="009F5D64"/>
    <w:rsid w:val="00A03FD5"/>
    <w:rsid w:val="00A05420"/>
    <w:rsid w:val="00A07126"/>
    <w:rsid w:val="00A07D52"/>
    <w:rsid w:val="00A109D6"/>
    <w:rsid w:val="00A14505"/>
    <w:rsid w:val="00A16483"/>
    <w:rsid w:val="00A16B78"/>
    <w:rsid w:val="00A2060D"/>
    <w:rsid w:val="00A20ADA"/>
    <w:rsid w:val="00A21385"/>
    <w:rsid w:val="00A255EB"/>
    <w:rsid w:val="00A3083D"/>
    <w:rsid w:val="00A356D8"/>
    <w:rsid w:val="00A4077C"/>
    <w:rsid w:val="00A40E19"/>
    <w:rsid w:val="00A433F8"/>
    <w:rsid w:val="00A5222F"/>
    <w:rsid w:val="00A608AF"/>
    <w:rsid w:val="00A60977"/>
    <w:rsid w:val="00A643CA"/>
    <w:rsid w:val="00A64C3C"/>
    <w:rsid w:val="00A67034"/>
    <w:rsid w:val="00A7305A"/>
    <w:rsid w:val="00A750F7"/>
    <w:rsid w:val="00A76AAC"/>
    <w:rsid w:val="00A812AF"/>
    <w:rsid w:val="00A81398"/>
    <w:rsid w:val="00A860D1"/>
    <w:rsid w:val="00A861BB"/>
    <w:rsid w:val="00A90CA8"/>
    <w:rsid w:val="00A92C6E"/>
    <w:rsid w:val="00A9446A"/>
    <w:rsid w:val="00A946D9"/>
    <w:rsid w:val="00A94C93"/>
    <w:rsid w:val="00A94D32"/>
    <w:rsid w:val="00A95039"/>
    <w:rsid w:val="00A97351"/>
    <w:rsid w:val="00AA3C1E"/>
    <w:rsid w:val="00AA4152"/>
    <w:rsid w:val="00AA50CB"/>
    <w:rsid w:val="00AB42B5"/>
    <w:rsid w:val="00AB5087"/>
    <w:rsid w:val="00AB5918"/>
    <w:rsid w:val="00AC177D"/>
    <w:rsid w:val="00AC19E4"/>
    <w:rsid w:val="00AC31B2"/>
    <w:rsid w:val="00AC4D26"/>
    <w:rsid w:val="00AC53DD"/>
    <w:rsid w:val="00AC55EB"/>
    <w:rsid w:val="00AC659E"/>
    <w:rsid w:val="00AC66BB"/>
    <w:rsid w:val="00AC7328"/>
    <w:rsid w:val="00AC73DC"/>
    <w:rsid w:val="00AD036D"/>
    <w:rsid w:val="00AD58DA"/>
    <w:rsid w:val="00AD5B4F"/>
    <w:rsid w:val="00AE118D"/>
    <w:rsid w:val="00AE51DF"/>
    <w:rsid w:val="00AE7B70"/>
    <w:rsid w:val="00AF1A06"/>
    <w:rsid w:val="00AF3B9A"/>
    <w:rsid w:val="00AF45D2"/>
    <w:rsid w:val="00AF4A2E"/>
    <w:rsid w:val="00AF6A36"/>
    <w:rsid w:val="00AF77A9"/>
    <w:rsid w:val="00B00629"/>
    <w:rsid w:val="00B00C74"/>
    <w:rsid w:val="00B01919"/>
    <w:rsid w:val="00B03067"/>
    <w:rsid w:val="00B0372F"/>
    <w:rsid w:val="00B06D2F"/>
    <w:rsid w:val="00B07511"/>
    <w:rsid w:val="00B07745"/>
    <w:rsid w:val="00B11AAF"/>
    <w:rsid w:val="00B14F14"/>
    <w:rsid w:val="00B15490"/>
    <w:rsid w:val="00B2188D"/>
    <w:rsid w:val="00B221C6"/>
    <w:rsid w:val="00B26527"/>
    <w:rsid w:val="00B26859"/>
    <w:rsid w:val="00B27A26"/>
    <w:rsid w:val="00B3131A"/>
    <w:rsid w:val="00B341DF"/>
    <w:rsid w:val="00B34230"/>
    <w:rsid w:val="00B35CAE"/>
    <w:rsid w:val="00B400D4"/>
    <w:rsid w:val="00B4120D"/>
    <w:rsid w:val="00B43418"/>
    <w:rsid w:val="00B507E7"/>
    <w:rsid w:val="00B50F1A"/>
    <w:rsid w:val="00B51FEB"/>
    <w:rsid w:val="00B526B2"/>
    <w:rsid w:val="00B52BD8"/>
    <w:rsid w:val="00B53139"/>
    <w:rsid w:val="00B55CD8"/>
    <w:rsid w:val="00B60CDB"/>
    <w:rsid w:val="00B61453"/>
    <w:rsid w:val="00B61BD1"/>
    <w:rsid w:val="00B63767"/>
    <w:rsid w:val="00B64448"/>
    <w:rsid w:val="00B677ED"/>
    <w:rsid w:val="00B70FB4"/>
    <w:rsid w:val="00B7330D"/>
    <w:rsid w:val="00B7428E"/>
    <w:rsid w:val="00B8041A"/>
    <w:rsid w:val="00B833B0"/>
    <w:rsid w:val="00B85E54"/>
    <w:rsid w:val="00B928B9"/>
    <w:rsid w:val="00B931D1"/>
    <w:rsid w:val="00B94523"/>
    <w:rsid w:val="00BA4D58"/>
    <w:rsid w:val="00BA68DB"/>
    <w:rsid w:val="00BB085F"/>
    <w:rsid w:val="00BB452C"/>
    <w:rsid w:val="00BB511B"/>
    <w:rsid w:val="00BC1F78"/>
    <w:rsid w:val="00BC4D80"/>
    <w:rsid w:val="00BC5F5F"/>
    <w:rsid w:val="00BC6892"/>
    <w:rsid w:val="00BD0CDC"/>
    <w:rsid w:val="00BD3362"/>
    <w:rsid w:val="00BD5B8D"/>
    <w:rsid w:val="00BD7D40"/>
    <w:rsid w:val="00BE5C4B"/>
    <w:rsid w:val="00BE6272"/>
    <w:rsid w:val="00BE71DC"/>
    <w:rsid w:val="00BE7986"/>
    <w:rsid w:val="00BF02DD"/>
    <w:rsid w:val="00BF0EA8"/>
    <w:rsid w:val="00C01C6F"/>
    <w:rsid w:val="00C03095"/>
    <w:rsid w:val="00C1040F"/>
    <w:rsid w:val="00C106FC"/>
    <w:rsid w:val="00C107BC"/>
    <w:rsid w:val="00C11553"/>
    <w:rsid w:val="00C1665B"/>
    <w:rsid w:val="00C173E3"/>
    <w:rsid w:val="00C20205"/>
    <w:rsid w:val="00C22D47"/>
    <w:rsid w:val="00C23C7D"/>
    <w:rsid w:val="00C23F61"/>
    <w:rsid w:val="00C259EA"/>
    <w:rsid w:val="00C2686F"/>
    <w:rsid w:val="00C31A87"/>
    <w:rsid w:val="00C345FC"/>
    <w:rsid w:val="00C34778"/>
    <w:rsid w:val="00C36678"/>
    <w:rsid w:val="00C36CBA"/>
    <w:rsid w:val="00C41AEC"/>
    <w:rsid w:val="00C42932"/>
    <w:rsid w:val="00C4345D"/>
    <w:rsid w:val="00C43A8B"/>
    <w:rsid w:val="00C443C4"/>
    <w:rsid w:val="00C50F10"/>
    <w:rsid w:val="00C515E8"/>
    <w:rsid w:val="00C55BC3"/>
    <w:rsid w:val="00C63954"/>
    <w:rsid w:val="00C64078"/>
    <w:rsid w:val="00C6449F"/>
    <w:rsid w:val="00C67A41"/>
    <w:rsid w:val="00C70EA1"/>
    <w:rsid w:val="00C7212A"/>
    <w:rsid w:val="00C77CFA"/>
    <w:rsid w:val="00C82A1A"/>
    <w:rsid w:val="00C85E3E"/>
    <w:rsid w:val="00C8631A"/>
    <w:rsid w:val="00C936E3"/>
    <w:rsid w:val="00C9653C"/>
    <w:rsid w:val="00C96BA2"/>
    <w:rsid w:val="00CA046A"/>
    <w:rsid w:val="00CA20D5"/>
    <w:rsid w:val="00CA30D9"/>
    <w:rsid w:val="00CA314D"/>
    <w:rsid w:val="00CA3653"/>
    <w:rsid w:val="00CB564B"/>
    <w:rsid w:val="00CB7C56"/>
    <w:rsid w:val="00CC0A1B"/>
    <w:rsid w:val="00CC343B"/>
    <w:rsid w:val="00CC6B55"/>
    <w:rsid w:val="00CD439A"/>
    <w:rsid w:val="00CD560C"/>
    <w:rsid w:val="00CD578D"/>
    <w:rsid w:val="00CE0A74"/>
    <w:rsid w:val="00CE169E"/>
    <w:rsid w:val="00CE357D"/>
    <w:rsid w:val="00CE6964"/>
    <w:rsid w:val="00CE6AAF"/>
    <w:rsid w:val="00CF11B2"/>
    <w:rsid w:val="00CF5B31"/>
    <w:rsid w:val="00CF7EA4"/>
    <w:rsid w:val="00D012CA"/>
    <w:rsid w:val="00D01AEE"/>
    <w:rsid w:val="00D07929"/>
    <w:rsid w:val="00D106AB"/>
    <w:rsid w:val="00D11495"/>
    <w:rsid w:val="00D13DD8"/>
    <w:rsid w:val="00D152E1"/>
    <w:rsid w:val="00D15362"/>
    <w:rsid w:val="00D174CB"/>
    <w:rsid w:val="00D2120B"/>
    <w:rsid w:val="00D25859"/>
    <w:rsid w:val="00D30C49"/>
    <w:rsid w:val="00D40742"/>
    <w:rsid w:val="00D41536"/>
    <w:rsid w:val="00D42365"/>
    <w:rsid w:val="00D42D18"/>
    <w:rsid w:val="00D45028"/>
    <w:rsid w:val="00D45F2C"/>
    <w:rsid w:val="00D53F5C"/>
    <w:rsid w:val="00D616CB"/>
    <w:rsid w:val="00D6219D"/>
    <w:rsid w:val="00D64183"/>
    <w:rsid w:val="00D7026A"/>
    <w:rsid w:val="00D75FB6"/>
    <w:rsid w:val="00D76379"/>
    <w:rsid w:val="00D767D2"/>
    <w:rsid w:val="00D77A18"/>
    <w:rsid w:val="00D82F6A"/>
    <w:rsid w:val="00D84F57"/>
    <w:rsid w:val="00D86F9A"/>
    <w:rsid w:val="00D911DA"/>
    <w:rsid w:val="00D912B3"/>
    <w:rsid w:val="00D93A69"/>
    <w:rsid w:val="00DA1DC0"/>
    <w:rsid w:val="00DA2C1B"/>
    <w:rsid w:val="00DA2D93"/>
    <w:rsid w:val="00DA4A66"/>
    <w:rsid w:val="00DB044E"/>
    <w:rsid w:val="00DB20F9"/>
    <w:rsid w:val="00DB383E"/>
    <w:rsid w:val="00DB47A0"/>
    <w:rsid w:val="00DB47F9"/>
    <w:rsid w:val="00DB50E7"/>
    <w:rsid w:val="00DB685C"/>
    <w:rsid w:val="00DC0BCE"/>
    <w:rsid w:val="00DC2EC0"/>
    <w:rsid w:val="00DC45E5"/>
    <w:rsid w:val="00DC668B"/>
    <w:rsid w:val="00DC7D2D"/>
    <w:rsid w:val="00DD01BA"/>
    <w:rsid w:val="00DD3D5C"/>
    <w:rsid w:val="00DD73D2"/>
    <w:rsid w:val="00DE5A95"/>
    <w:rsid w:val="00DE6196"/>
    <w:rsid w:val="00DE6380"/>
    <w:rsid w:val="00DE7E17"/>
    <w:rsid w:val="00DF07F4"/>
    <w:rsid w:val="00DF1396"/>
    <w:rsid w:val="00DF13C0"/>
    <w:rsid w:val="00DF19D4"/>
    <w:rsid w:val="00DF1F5B"/>
    <w:rsid w:val="00DF2550"/>
    <w:rsid w:val="00DF4809"/>
    <w:rsid w:val="00DF7978"/>
    <w:rsid w:val="00E0368E"/>
    <w:rsid w:val="00E04350"/>
    <w:rsid w:val="00E06FDB"/>
    <w:rsid w:val="00E110DE"/>
    <w:rsid w:val="00E1127F"/>
    <w:rsid w:val="00E1155E"/>
    <w:rsid w:val="00E134EA"/>
    <w:rsid w:val="00E24076"/>
    <w:rsid w:val="00E307CD"/>
    <w:rsid w:val="00E30B8F"/>
    <w:rsid w:val="00E3119A"/>
    <w:rsid w:val="00E367A6"/>
    <w:rsid w:val="00E4416F"/>
    <w:rsid w:val="00E473C6"/>
    <w:rsid w:val="00E47874"/>
    <w:rsid w:val="00E54376"/>
    <w:rsid w:val="00E56438"/>
    <w:rsid w:val="00E61DE1"/>
    <w:rsid w:val="00E649F0"/>
    <w:rsid w:val="00E664F0"/>
    <w:rsid w:val="00E678C9"/>
    <w:rsid w:val="00E72937"/>
    <w:rsid w:val="00E76294"/>
    <w:rsid w:val="00E77475"/>
    <w:rsid w:val="00E87DDE"/>
    <w:rsid w:val="00E95BEA"/>
    <w:rsid w:val="00EA13D7"/>
    <w:rsid w:val="00EA17EC"/>
    <w:rsid w:val="00EA55E5"/>
    <w:rsid w:val="00EA5B54"/>
    <w:rsid w:val="00EB02B8"/>
    <w:rsid w:val="00EB0CD0"/>
    <w:rsid w:val="00EC2A0E"/>
    <w:rsid w:val="00EC4313"/>
    <w:rsid w:val="00EC4527"/>
    <w:rsid w:val="00EC64CD"/>
    <w:rsid w:val="00EC65EF"/>
    <w:rsid w:val="00EC6811"/>
    <w:rsid w:val="00EC7CF8"/>
    <w:rsid w:val="00EE15BF"/>
    <w:rsid w:val="00EE257D"/>
    <w:rsid w:val="00EE368C"/>
    <w:rsid w:val="00EE60A3"/>
    <w:rsid w:val="00EE6249"/>
    <w:rsid w:val="00EE6E90"/>
    <w:rsid w:val="00EF0669"/>
    <w:rsid w:val="00EF22F5"/>
    <w:rsid w:val="00EF3672"/>
    <w:rsid w:val="00EF3C04"/>
    <w:rsid w:val="00EF42E9"/>
    <w:rsid w:val="00EF4746"/>
    <w:rsid w:val="00EF557A"/>
    <w:rsid w:val="00F011D3"/>
    <w:rsid w:val="00F0303C"/>
    <w:rsid w:val="00F05B05"/>
    <w:rsid w:val="00F06136"/>
    <w:rsid w:val="00F12324"/>
    <w:rsid w:val="00F12D24"/>
    <w:rsid w:val="00F12FCD"/>
    <w:rsid w:val="00F14F88"/>
    <w:rsid w:val="00F22ED2"/>
    <w:rsid w:val="00F249A1"/>
    <w:rsid w:val="00F2565A"/>
    <w:rsid w:val="00F25DF0"/>
    <w:rsid w:val="00F267EE"/>
    <w:rsid w:val="00F30C82"/>
    <w:rsid w:val="00F30CE6"/>
    <w:rsid w:val="00F3134D"/>
    <w:rsid w:val="00F34522"/>
    <w:rsid w:val="00F4387E"/>
    <w:rsid w:val="00F43EFD"/>
    <w:rsid w:val="00F45CF4"/>
    <w:rsid w:val="00F46655"/>
    <w:rsid w:val="00F479CF"/>
    <w:rsid w:val="00F50794"/>
    <w:rsid w:val="00F521A1"/>
    <w:rsid w:val="00F54226"/>
    <w:rsid w:val="00F54718"/>
    <w:rsid w:val="00F56885"/>
    <w:rsid w:val="00F62CCB"/>
    <w:rsid w:val="00F71620"/>
    <w:rsid w:val="00F72E35"/>
    <w:rsid w:val="00F85D2E"/>
    <w:rsid w:val="00F90BB6"/>
    <w:rsid w:val="00F9121A"/>
    <w:rsid w:val="00F92649"/>
    <w:rsid w:val="00F95480"/>
    <w:rsid w:val="00F95B12"/>
    <w:rsid w:val="00FA0657"/>
    <w:rsid w:val="00FA4746"/>
    <w:rsid w:val="00FA4BFF"/>
    <w:rsid w:val="00FA510E"/>
    <w:rsid w:val="00FA6863"/>
    <w:rsid w:val="00FB280C"/>
    <w:rsid w:val="00FB39D9"/>
    <w:rsid w:val="00FB6BE7"/>
    <w:rsid w:val="00FC2548"/>
    <w:rsid w:val="00FC28B7"/>
    <w:rsid w:val="00FC7687"/>
    <w:rsid w:val="00FC7BB6"/>
    <w:rsid w:val="00FD0CDE"/>
    <w:rsid w:val="00FD4EE1"/>
    <w:rsid w:val="00FD68E6"/>
    <w:rsid w:val="00FE6626"/>
    <w:rsid w:val="00FF0C2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922"/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F95480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i/>
      <w:iCs/>
      <w:sz w:val="20"/>
      <w:szCs w:val="24"/>
      <w:lang/>
    </w:rPr>
  </w:style>
  <w:style w:type="paragraph" w:styleId="Titolo2">
    <w:name w:val="heading 2"/>
    <w:basedOn w:val="Normale"/>
    <w:next w:val="Normale"/>
    <w:link w:val="Titolo2Carattere"/>
    <w:qFormat/>
    <w:rsid w:val="00F95480"/>
    <w:pPr>
      <w:keepNext/>
      <w:spacing w:after="0" w:line="240" w:lineRule="auto"/>
      <w:jc w:val="both"/>
      <w:outlineLvl w:val="1"/>
    </w:pPr>
    <w:rPr>
      <w:rFonts w:ascii="Verdana" w:eastAsia="Times New Roman" w:hAnsi="Verdana" w:cs="Times New Roman"/>
      <w:b/>
      <w:bCs/>
      <w:sz w:val="20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7351"/>
    <w:pPr>
      <w:tabs>
        <w:tab w:val="center" w:pos="4986"/>
        <w:tab w:val="right" w:pos="9972"/>
      </w:tabs>
      <w:spacing w:after="0" w:line="240" w:lineRule="auto"/>
    </w:pPr>
    <w:rPr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351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97351"/>
    <w:pPr>
      <w:tabs>
        <w:tab w:val="center" w:pos="4986"/>
        <w:tab w:val="right" w:pos="9972"/>
      </w:tabs>
      <w:spacing w:after="0" w:line="240" w:lineRule="auto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351"/>
    <w:rPr>
      <w:lang w:val="en-GB"/>
    </w:rPr>
  </w:style>
  <w:style w:type="paragraph" w:styleId="NormaleWeb">
    <w:name w:val="Normal (Web)"/>
    <w:basedOn w:val="Normale"/>
    <w:uiPriority w:val="99"/>
    <w:unhideWhenUsed/>
    <w:rsid w:val="00FB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C64"/>
    <w:rPr>
      <w:rFonts w:ascii="Segoe UI" w:hAnsi="Segoe UI" w:cs="Segoe UI"/>
      <w:sz w:val="18"/>
      <w:szCs w:val="18"/>
      <w:lang w:val="it-IT"/>
    </w:rPr>
  </w:style>
  <w:style w:type="character" w:styleId="Enfasicorsivo">
    <w:name w:val="Emphasis"/>
    <w:basedOn w:val="Carpredefinitoparagrafo"/>
    <w:uiPriority w:val="20"/>
    <w:qFormat/>
    <w:rsid w:val="001A0D7D"/>
    <w:rPr>
      <w:i/>
      <w:iCs/>
    </w:rPr>
  </w:style>
  <w:style w:type="character" w:styleId="Collegamentoipertestuale">
    <w:name w:val="Hyperlink"/>
    <w:basedOn w:val="Carpredefinitoparagrafo"/>
    <w:unhideWhenUsed/>
    <w:rsid w:val="00962F63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A2D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2D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2D93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2D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2D93"/>
    <w:rPr>
      <w:b/>
      <w:bCs/>
      <w:sz w:val="20"/>
      <w:szCs w:val="20"/>
      <w:lang w:val="it-IT"/>
    </w:rPr>
  </w:style>
  <w:style w:type="character" w:styleId="Enfasigrassetto">
    <w:name w:val="Strong"/>
    <w:basedOn w:val="Carpredefinitoparagrafo"/>
    <w:uiPriority w:val="22"/>
    <w:qFormat/>
    <w:rsid w:val="0078155C"/>
    <w:rPr>
      <w:b/>
      <w:bCs/>
    </w:rPr>
  </w:style>
  <w:style w:type="character" w:customStyle="1" w:styleId="apple-converted-space">
    <w:name w:val="apple-converted-space"/>
    <w:basedOn w:val="Carpredefinitoparagrafo"/>
    <w:rsid w:val="0052742B"/>
  </w:style>
  <w:style w:type="paragraph" w:styleId="Nessunaspaziatura">
    <w:name w:val="No Spacing"/>
    <w:uiPriority w:val="1"/>
    <w:qFormat/>
    <w:rsid w:val="0042138A"/>
    <w:pPr>
      <w:spacing w:after="0" w:line="240" w:lineRule="auto"/>
    </w:pPr>
    <w:rPr>
      <w:lang w:val="it-IT"/>
    </w:rPr>
  </w:style>
  <w:style w:type="character" w:customStyle="1" w:styleId="Titolo1Carattere">
    <w:name w:val="Titolo 1 Carattere"/>
    <w:basedOn w:val="Carpredefinitoparagrafo"/>
    <w:link w:val="Titolo1"/>
    <w:rsid w:val="00F95480"/>
    <w:rPr>
      <w:rFonts w:ascii="Verdana" w:eastAsia="Times New Roman" w:hAnsi="Verdana" w:cs="Times New Roman"/>
      <w:b/>
      <w:bCs/>
      <w:i/>
      <w:iCs/>
      <w:sz w:val="20"/>
      <w:szCs w:val="24"/>
      <w:lang/>
    </w:rPr>
  </w:style>
  <w:style w:type="character" w:customStyle="1" w:styleId="Titolo2Carattere">
    <w:name w:val="Titolo 2 Carattere"/>
    <w:basedOn w:val="Carpredefinitoparagrafo"/>
    <w:link w:val="Titolo2"/>
    <w:rsid w:val="00F95480"/>
    <w:rPr>
      <w:rFonts w:ascii="Verdana" w:eastAsia="Times New Roman" w:hAnsi="Verdana" w:cs="Times New Roman"/>
      <w:b/>
      <w:bCs/>
      <w:sz w:val="20"/>
      <w:szCs w:val="24"/>
      <w:lang/>
    </w:rPr>
  </w:style>
  <w:style w:type="character" w:customStyle="1" w:styleId="span">
    <w:name w:val="span"/>
    <w:rsid w:val="00F95480"/>
  </w:style>
  <w:style w:type="character" w:styleId="Collegamentovisitato">
    <w:name w:val="FollowedHyperlink"/>
    <w:uiPriority w:val="99"/>
    <w:semiHidden/>
    <w:unhideWhenUsed/>
    <w:rsid w:val="00F95480"/>
    <w:rPr>
      <w:color w:val="800080"/>
      <w:u w:val="single"/>
    </w:rPr>
  </w:style>
  <w:style w:type="character" w:customStyle="1" w:styleId="st1">
    <w:name w:val="st1"/>
    <w:rsid w:val="00F95480"/>
  </w:style>
  <w:style w:type="table" w:styleId="Grigliatabella">
    <w:name w:val="Table Grid"/>
    <w:basedOn w:val="Tabellanormale"/>
    <w:uiPriority w:val="59"/>
    <w:rsid w:val="00F95480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5480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5480"/>
    <w:rPr>
      <w:rFonts w:ascii="Calibri" w:eastAsia="Calibri" w:hAnsi="Calibri" w:cs="Times New Roman"/>
      <w:sz w:val="20"/>
      <w:szCs w:val="20"/>
      <w:lang/>
    </w:rPr>
  </w:style>
  <w:style w:type="character" w:styleId="Rimandonotaapidipagina">
    <w:name w:val="footnote reference"/>
    <w:uiPriority w:val="99"/>
    <w:semiHidden/>
    <w:unhideWhenUsed/>
    <w:rsid w:val="00F95480"/>
    <w:rPr>
      <w:vertAlign w:val="superscript"/>
    </w:rPr>
  </w:style>
  <w:style w:type="paragraph" w:customStyle="1" w:styleId="Default">
    <w:name w:val="Default"/>
    <w:rsid w:val="00F954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F954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F95480"/>
    <w:pPr>
      <w:suppressAutoHyphens/>
      <w:spacing w:after="0" w:line="240" w:lineRule="auto"/>
    </w:pPr>
    <w:rPr>
      <w:rFonts w:ascii="Tahoma" w:eastAsia="Times New Roman" w:hAnsi="Tahoma" w:cs="Tahoma"/>
      <w:szCs w:val="20"/>
      <w:lang w:eastAsia="ar-SA"/>
    </w:rPr>
  </w:style>
  <w:style w:type="paragraph" w:customStyle="1" w:styleId="Normale1">
    <w:name w:val="Normale1"/>
    <w:rsid w:val="00DC7D2D"/>
    <w:pPr>
      <w:spacing w:after="200" w:line="276" w:lineRule="auto"/>
    </w:pPr>
    <w:rPr>
      <w:rFonts w:ascii="Calibri" w:eastAsia="Calibri" w:hAnsi="Calibri" w:cs="Calibri"/>
      <w:color w:val="000000"/>
      <w:lang w:val="it-IT" w:eastAsia="it-IT"/>
    </w:rPr>
  </w:style>
  <w:style w:type="paragraph" w:styleId="Revisione">
    <w:name w:val="Revision"/>
    <w:hidden/>
    <w:uiPriority w:val="99"/>
    <w:semiHidden/>
    <w:rsid w:val="00AC177D"/>
    <w:pPr>
      <w:spacing w:after="0" w:line="240" w:lineRule="auto"/>
    </w:pPr>
    <w:rPr>
      <w:lang w:val="it-IT"/>
    </w:rPr>
  </w:style>
  <w:style w:type="paragraph" w:customStyle="1" w:styleId="xmsonormal">
    <w:name w:val="x_msonormal"/>
    <w:basedOn w:val="Normale"/>
    <w:rsid w:val="0000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text">
    <w:name w:val="atext"/>
    <w:basedOn w:val="Normale"/>
    <w:rsid w:val="00F4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ellagriglia4-colore61">
    <w:name w:val="Tabella griglia 4 - colore 61"/>
    <w:basedOn w:val="Tabellanormale"/>
    <w:uiPriority w:val="49"/>
    <w:rsid w:val="00967A9B"/>
    <w:pPr>
      <w:spacing w:after="0" w:line="240" w:lineRule="auto"/>
    </w:pPr>
    <w:rPr>
      <w:lang w:val="it-IT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dtitle">
    <w:name w:val="dtitle"/>
    <w:basedOn w:val="Carpredefinitoparagrafo"/>
    <w:rsid w:val="00375559"/>
  </w:style>
  <w:style w:type="character" w:customStyle="1" w:styleId="qtitle">
    <w:name w:val="qtitle"/>
    <w:basedOn w:val="Carpredefinitoparagrafo"/>
    <w:rsid w:val="00375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5570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C079.A5603D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9D20-3EA8-4EF0-903F-0366589C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Gazzola</dc:creator>
  <cp:keywords/>
  <dc:description/>
  <cp:lastModifiedBy>paola</cp:lastModifiedBy>
  <cp:revision>6</cp:revision>
  <cp:lastPrinted>2021-02-18T15:58:00Z</cp:lastPrinted>
  <dcterms:created xsi:type="dcterms:W3CDTF">2021-02-18T16:54:00Z</dcterms:created>
  <dcterms:modified xsi:type="dcterms:W3CDTF">2021-02-23T11:10:00Z</dcterms:modified>
</cp:coreProperties>
</file>