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F9" w:rsidRDefault="00AA1C4B">
      <w:pPr>
        <w:ind w:left="567" w:right="424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43075" cy="563736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563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459F9" w:rsidRDefault="00F459F9">
      <w:pPr>
        <w:ind w:left="567" w:right="424"/>
        <w:jc w:val="center"/>
      </w:pPr>
    </w:p>
    <w:p w:rsidR="00F459F9" w:rsidRPr="009B65D6" w:rsidRDefault="009B65D6">
      <w:pPr>
        <w:ind w:left="567" w:right="424"/>
        <w:jc w:val="center"/>
        <w:rPr>
          <w:sz w:val="28"/>
          <w:szCs w:val="28"/>
        </w:rPr>
      </w:pPr>
      <w:r w:rsidRPr="009B65D6">
        <w:rPr>
          <w:sz w:val="28"/>
          <w:szCs w:val="28"/>
        </w:rPr>
        <w:t>Le rilevazioni della Commissione Immobili della Camera di commercio</w:t>
      </w:r>
    </w:p>
    <w:p w:rsidR="00104527" w:rsidRDefault="00D0315B" w:rsidP="00C56E9E">
      <w:pPr>
        <w:spacing w:after="0" w:line="240" w:lineRule="auto"/>
        <w:ind w:left="567" w:right="425"/>
        <w:jc w:val="center"/>
        <w:rPr>
          <w:b/>
          <w:bCs/>
          <w:sz w:val="40"/>
          <w:szCs w:val="40"/>
        </w:rPr>
      </w:pPr>
      <w:r w:rsidRPr="00277B70">
        <w:rPr>
          <w:b/>
          <w:bCs/>
          <w:sz w:val="40"/>
          <w:szCs w:val="40"/>
        </w:rPr>
        <w:t xml:space="preserve">A MILANO TENGONO </w:t>
      </w:r>
      <w:r w:rsidR="007A77A7">
        <w:rPr>
          <w:b/>
          <w:bCs/>
          <w:sz w:val="40"/>
          <w:szCs w:val="40"/>
        </w:rPr>
        <w:t xml:space="preserve">I </w:t>
      </w:r>
      <w:r w:rsidR="007A77A7" w:rsidRPr="00277B70">
        <w:rPr>
          <w:b/>
          <w:bCs/>
          <w:sz w:val="44"/>
          <w:szCs w:val="44"/>
        </w:rPr>
        <w:t>PREZZI</w:t>
      </w:r>
      <w:r w:rsidR="007A77A7" w:rsidRPr="00277B70">
        <w:rPr>
          <w:b/>
          <w:bCs/>
          <w:sz w:val="40"/>
          <w:szCs w:val="40"/>
        </w:rPr>
        <w:t xml:space="preserve"> </w:t>
      </w:r>
      <w:r w:rsidR="00104527">
        <w:rPr>
          <w:b/>
          <w:bCs/>
          <w:sz w:val="40"/>
          <w:szCs w:val="40"/>
        </w:rPr>
        <w:t xml:space="preserve">DELLE NUOVE </w:t>
      </w:r>
    </w:p>
    <w:p w:rsidR="00F459F9" w:rsidRPr="00277B70" w:rsidRDefault="00104527" w:rsidP="00C56E9E">
      <w:pPr>
        <w:spacing w:after="0" w:line="240" w:lineRule="auto"/>
        <w:ind w:left="567" w:right="425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CO</w:t>
      </w:r>
      <w:r w:rsidR="007A77A7">
        <w:rPr>
          <w:b/>
          <w:bCs/>
          <w:sz w:val="40"/>
          <w:szCs w:val="40"/>
        </w:rPr>
        <w:t xml:space="preserve">STRUZIONI </w:t>
      </w:r>
      <w:r w:rsidR="00D0315B" w:rsidRPr="00277B70">
        <w:rPr>
          <w:b/>
          <w:bCs/>
          <w:sz w:val="40"/>
          <w:szCs w:val="40"/>
        </w:rPr>
        <w:t>IN CITTA’</w:t>
      </w:r>
    </w:p>
    <w:p w:rsidR="00C56E9E" w:rsidRPr="009B65D6" w:rsidRDefault="00C56E9E" w:rsidP="00C56E9E">
      <w:pPr>
        <w:spacing w:after="0" w:line="240" w:lineRule="auto"/>
        <w:ind w:left="567" w:right="425"/>
        <w:jc w:val="center"/>
        <w:rPr>
          <w:sz w:val="28"/>
          <w:szCs w:val="28"/>
        </w:rPr>
      </w:pPr>
    </w:p>
    <w:p w:rsidR="009B65D6" w:rsidRPr="00D0315B" w:rsidRDefault="009B65D6" w:rsidP="00D0315B">
      <w:pPr>
        <w:spacing w:after="0" w:line="360" w:lineRule="auto"/>
        <w:ind w:left="142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Nel 2020 </w:t>
      </w:r>
      <w:r w:rsidR="00D0315B">
        <w:rPr>
          <w:b/>
          <w:bCs/>
          <w:sz w:val="28"/>
          <w:szCs w:val="28"/>
        </w:rPr>
        <w:t>s</w:t>
      </w:r>
      <w:r w:rsidRPr="009B65D6">
        <w:rPr>
          <w:b/>
          <w:bCs/>
          <w:sz w:val="28"/>
          <w:szCs w:val="28"/>
        </w:rPr>
        <w:t xml:space="preserve">i pagano in media </w:t>
      </w:r>
      <w:r w:rsidRPr="00041041">
        <w:rPr>
          <w:b/>
          <w:bCs/>
          <w:sz w:val="28"/>
          <w:szCs w:val="28"/>
        </w:rPr>
        <w:t xml:space="preserve">€ </w:t>
      </w:r>
      <w:r w:rsidR="00041041" w:rsidRPr="00041041">
        <w:rPr>
          <w:b/>
          <w:bCs/>
          <w:sz w:val="28"/>
          <w:szCs w:val="28"/>
        </w:rPr>
        <w:t>5.7</w:t>
      </w:r>
      <w:r w:rsidR="007076FF">
        <w:rPr>
          <w:b/>
          <w:bCs/>
          <w:sz w:val="28"/>
          <w:szCs w:val="28"/>
        </w:rPr>
        <w:t>1</w:t>
      </w:r>
      <w:r w:rsidR="00041041" w:rsidRPr="00041041">
        <w:rPr>
          <w:b/>
          <w:bCs/>
          <w:sz w:val="28"/>
          <w:szCs w:val="28"/>
        </w:rPr>
        <w:t>0</w:t>
      </w:r>
      <w:r w:rsidRPr="00041041">
        <w:rPr>
          <w:b/>
          <w:bCs/>
          <w:sz w:val="28"/>
          <w:szCs w:val="28"/>
        </w:rPr>
        <w:t xml:space="preserve"> al</w:t>
      </w:r>
      <w:r w:rsidRPr="009B65D6">
        <w:rPr>
          <w:b/>
          <w:bCs/>
          <w:sz w:val="28"/>
          <w:szCs w:val="28"/>
        </w:rPr>
        <w:t xml:space="preserve"> mq per il nuovo</w:t>
      </w:r>
      <w:r w:rsidR="00D0315B" w:rsidRPr="00041041">
        <w:rPr>
          <w:b/>
          <w:bCs/>
          <w:sz w:val="28"/>
          <w:szCs w:val="28"/>
        </w:rPr>
        <w:t>, +1</w:t>
      </w:r>
      <w:r w:rsidR="00041041" w:rsidRPr="00041041">
        <w:rPr>
          <w:b/>
          <w:bCs/>
          <w:sz w:val="28"/>
          <w:szCs w:val="28"/>
        </w:rPr>
        <w:t>,3</w:t>
      </w:r>
      <w:r w:rsidR="00D0315B" w:rsidRPr="00041041">
        <w:rPr>
          <w:b/>
          <w:bCs/>
          <w:sz w:val="28"/>
          <w:szCs w:val="28"/>
        </w:rPr>
        <w:t>% in</w:t>
      </w:r>
      <w:r w:rsidR="00D0315B">
        <w:rPr>
          <w:b/>
          <w:bCs/>
          <w:sz w:val="28"/>
          <w:szCs w:val="28"/>
        </w:rPr>
        <w:t xml:space="preserve"> un anno</w:t>
      </w:r>
    </w:p>
    <w:p w:rsidR="007F6EFE" w:rsidRDefault="00633036" w:rsidP="00FC1787">
      <w:pPr>
        <w:spacing w:after="0" w:line="360" w:lineRule="auto"/>
        <w:ind w:left="142" w:righ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Effetto smart</w:t>
      </w:r>
      <w:r w:rsidR="003709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working: p</w:t>
      </w:r>
      <w:r w:rsidR="007F6EFE">
        <w:rPr>
          <w:b/>
          <w:bCs/>
          <w:sz w:val="28"/>
          <w:szCs w:val="28"/>
        </w:rPr>
        <w:t>iù attenzione al verde e alla qualità dei servizi</w:t>
      </w:r>
    </w:p>
    <w:p w:rsidR="00A52696" w:rsidRDefault="00A52696" w:rsidP="00FC1787">
      <w:pPr>
        <w:spacing w:after="0" w:line="360" w:lineRule="auto"/>
        <w:ind w:left="142" w:right="142"/>
        <w:jc w:val="center"/>
        <w:rPr>
          <w:b/>
          <w:bCs/>
          <w:sz w:val="28"/>
          <w:szCs w:val="28"/>
        </w:rPr>
      </w:pPr>
      <w:r w:rsidRPr="00A52696">
        <w:rPr>
          <w:b/>
          <w:bCs/>
          <w:sz w:val="28"/>
          <w:szCs w:val="28"/>
        </w:rPr>
        <w:t>Nell’hinterland crescono il quadrante nord e la zona est</w:t>
      </w:r>
    </w:p>
    <w:p w:rsidR="00FC1787" w:rsidRPr="00FC1787" w:rsidRDefault="00865C36" w:rsidP="00B559B3">
      <w:pPr>
        <w:spacing w:after="0" w:line="360" w:lineRule="auto"/>
        <w:ind w:left="142" w:righ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 conferma come da attese il calo dei prezzi degli affitti</w:t>
      </w:r>
    </w:p>
    <w:tbl>
      <w:tblPr>
        <w:tblW w:w="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96"/>
        <w:gridCol w:w="1640"/>
        <w:gridCol w:w="1640"/>
        <w:gridCol w:w="1910"/>
      </w:tblGrid>
      <w:tr w:rsidR="00D0315B" w:rsidTr="00D0315B">
        <w:trPr>
          <w:trHeight w:val="3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041041" w:rsidRDefault="00D031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41041">
              <w:rPr>
                <w:rFonts w:eastAsia="Times New Roman" w:cs="Times New Roman"/>
                <w:b/>
                <w:sz w:val="24"/>
                <w:szCs w:val="24"/>
              </w:rPr>
              <w:t> </w:t>
            </w:r>
            <w:r w:rsidR="00041041" w:rsidRPr="00041041">
              <w:rPr>
                <w:rFonts w:eastAsia="Times New Roman" w:cs="Times New Roman"/>
                <w:b/>
                <w:sz w:val="24"/>
                <w:szCs w:val="24"/>
              </w:rPr>
              <w:t>Milano Città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1498C" w:rsidRPr="00041041" w:rsidRDefault="00D031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41041">
              <w:rPr>
                <w:rFonts w:eastAsia="Times New Roman" w:cs="Times New Roman"/>
                <w:b/>
                <w:sz w:val="24"/>
                <w:szCs w:val="24"/>
              </w:rPr>
              <w:t xml:space="preserve"> Media 2019</w:t>
            </w:r>
          </w:p>
          <w:p w:rsidR="00D0315B" w:rsidRPr="00041041" w:rsidRDefault="009149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41041">
              <w:rPr>
                <w:rFonts w:eastAsia="Times New Roman" w:cs="Times New Roman"/>
                <w:b/>
                <w:sz w:val="24"/>
                <w:szCs w:val="24"/>
              </w:rPr>
              <w:t>€/mq</w:t>
            </w:r>
            <w:r w:rsidR="00D0315B" w:rsidRPr="00041041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1498C" w:rsidRPr="00041041" w:rsidRDefault="00D031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41041">
              <w:rPr>
                <w:rFonts w:eastAsia="Times New Roman" w:cs="Times New Roman"/>
                <w:b/>
                <w:sz w:val="24"/>
                <w:szCs w:val="24"/>
              </w:rPr>
              <w:t xml:space="preserve"> Media 2020</w:t>
            </w:r>
          </w:p>
          <w:p w:rsidR="00D0315B" w:rsidRPr="00041041" w:rsidRDefault="0091498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41041">
              <w:rPr>
                <w:rFonts w:eastAsia="Times New Roman" w:cs="Times New Roman"/>
                <w:b/>
                <w:sz w:val="24"/>
                <w:szCs w:val="24"/>
              </w:rPr>
              <w:t>€/mq</w:t>
            </w:r>
            <w:r w:rsidR="00D0315B" w:rsidRPr="00041041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041041" w:rsidRDefault="00D031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41041">
              <w:rPr>
                <w:rFonts w:eastAsia="Times New Roman" w:cs="Times New Roman"/>
                <w:b/>
                <w:sz w:val="24"/>
                <w:szCs w:val="24"/>
              </w:rPr>
              <w:t>Var. %</w:t>
            </w:r>
          </w:p>
        </w:tc>
      </w:tr>
      <w:tr w:rsidR="00D0315B" w:rsidTr="00D0315B">
        <w:trPr>
          <w:trHeight w:val="3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 xml:space="preserve"> Centro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10.272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10.228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-0,4%</w:t>
            </w:r>
          </w:p>
        </w:tc>
      </w:tr>
      <w:tr w:rsidR="00D0315B" w:rsidTr="00D0315B">
        <w:trPr>
          <w:trHeight w:val="3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 xml:space="preserve"> Nord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4.268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4.335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1,6%</w:t>
            </w:r>
          </w:p>
        </w:tc>
      </w:tr>
      <w:tr w:rsidR="00633036" w:rsidTr="00D0315B">
        <w:trPr>
          <w:trHeight w:val="3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33036" w:rsidRPr="00865C36" w:rsidRDefault="0063303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Sud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036" w:rsidRPr="00865C36" w:rsidRDefault="00041041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3.891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036" w:rsidRPr="00865C36" w:rsidRDefault="00041041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4.104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33036" w:rsidRPr="00865C36" w:rsidRDefault="00041041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5,5%</w:t>
            </w:r>
          </w:p>
        </w:tc>
      </w:tr>
      <w:tr w:rsidR="00D0315B" w:rsidTr="00D0315B">
        <w:trPr>
          <w:trHeight w:val="3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 xml:space="preserve"> Ovest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5.159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5.177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0,3%</w:t>
            </w:r>
          </w:p>
        </w:tc>
      </w:tr>
      <w:tr w:rsidR="00D0315B" w:rsidTr="00D0315B">
        <w:trPr>
          <w:trHeight w:val="3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 xml:space="preserve"> Est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4.575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4.704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0315B" w:rsidRPr="00865C36" w:rsidRDefault="00D0315B" w:rsidP="00D0315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865C36">
              <w:rPr>
                <w:rFonts w:eastAsia="Times New Roman" w:cs="Times New Roman"/>
                <w:bCs/>
                <w:sz w:val="24"/>
                <w:szCs w:val="24"/>
              </w:rPr>
              <w:t>2,8%</w:t>
            </w:r>
          </w:p>
        </w:tc>
      </w:tr>
      <w:tr w:rsidR="007076FF" w:rsidTr="00D0315B">
        <w:trPr>
          <w:trHeight w:val="350"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076FF" w:rsidRPr="007076FF" w:rsidRDefault="007076F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Media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076FF" w:rsidRPr="007076FF" w:rsidRDefault="007076FF" w:rsidP="00D031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5.633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076FF" w:rsidRPr="007076FF" w:rsidRDefault="007076FF" w:rsidP="00D031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5.710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076FF" w:rsidRPr="007076FF" w:rsidRDefault="007076FF" w:rsidP="00D0315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76FF">
              <w:rPr>
                <w:rFonts w:eastAsia="Times New Roman" w:cs="Times New Roman"/>
                <w:b/>
                <w:sz w:val="24"/>
                <w:szCs w:val="24"/>
              </w:rPr>
              <w:t>1,3%</w:t>
            </w:r>
          </w:p>
        </w:tc>
      </w:tr>
    </w:tbl>
    <w:p w:rsidR="00D0315B" w:rsidRDefault="00D0315B" w:rsidP="00D03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315B" w:rsidRPr="00277B70" w:rsidRDefault="00D0315B" w:rsidP="00D0315B">
      <w:pPr>
        <w:jc w:val="both"/>
        <w:rPr>
          <w:rFonts w:cs="Times New Roman"/>
          <w:sz w:val="24"/>
          <w:szCs w:val="24"/>
        </w:rPr>
      </w:pPr>
      <w:r w:rsidRPr="00D0315B">
        <w:rPr>
          <w:rFonts w:cs="Times New Roman"/>
          <w:sz w:val="24"/>
          <w:szCs w:val="24"/>
        </w:rPr>
        <w:t>Appartamenti nuovi e nuove costruzioni, tengono i prezzi delle case a Milano nel 2020</w:t>
      </w:r>
      <w:r w:rsidR="00277B70">
        <w:rPr>
          <w:rFonts w:cs="Times New Roman"/>
          <w:sz w:val="24"/>
          <w:szCs w:val="24"/>
        </w:rPr>
        <w:t xml:space="preserve">, con gli </w:t>
      </w:r>
      <w:r w:rsidR="00277B70">
        <w:rPr>
          <w:rFonts w:cs="Times New Roman"/>
          <w:sz w:val="24"/>
          <w:szCs w:val="24"/>
        </w:rPr>
        <w:t>o</w:t>
      </w:r>
      <w:r w:rsidR="00277B70">
        <w:rPr>
          <w:rFonts w:cs="Times New Roman"/>
          <w:sz w:val="24"/>
          <w:szCs w:val="24"/>
        </w:rPr>
        <w:t>peratori che segnalano una domanda sempre maggiormente selettiva</w:t>
      </w:r>
      <w:r w:rsidR="00277B70" w:rsidRPr="00277B70">
        <w:rPr>
          <w:rFonts w:cs="Times New Roman"/>
          <w:sz w:val="24"/>
          <w:szCs w:val="24"/>
        </w:rPr>
        <w:t xml:space="preserve"> e attenta alla qualità, in uno scenario di mercato reso complesso dalla pandemia e dall’emergenza economica. </w:t>
      </w:r>
      <w:r w:rsidRPr="00D0315B">
        <w:rPr>
          <w:rFonts w:cs="Times New Roman"/>
          <w:sz w:val="24"/>
          <w:szCs w:val="24"/>
        </w:rPr>
        <w:t xml:space="preserve"> </w:t>
      </w:r>
      <w:r w:rsidR="00277B70">
        <w:rPr>
          <w:rFonts w:cs="Times New Roman"/>
          <w:sz w:val="24"/>
          <w:szCs w:val="24"/>
        </w:rPr>
        <w:t xml:space="preserve">E’ quanto emerge dalla </w:t>
      </w:r>
      <w:r w:rsidRPr="00D0315B">
        <w:rPr>
          <w:rFonts w:cs="Times New Roman"/>
          <w:sz w:val="24"/>
          <w:szCs w:val="24"/>
        </w:rPr>
        <w:t>“Rilevazione dei prezzi degli Immobili sulla piazza di Milano e Provincia”</w:t>
      </w:r>
      <w:r w:rsidR="007F6EFE">
        <w:rPr>
          <w:rFonts w:cs="Times New Roman"/>
          <w:sz w:val="24"/>
          <w:szCs w:val="24"/>
        </w:rPr>
        <w:t>,</w:t>
      </w:r>
      <w:r w:rsidRPr="00D0315B">
        <w:rPr>
          <w:rFonts w:cs="Times New Roman"/>
          <w:sz w:val="24"/>
          <w:szCs w:val="24"/>
        </w:rPr>
        <w:t xml:space="preserve"> realizzata dalla Camera di commercio di Milano Monza Brianza Lodi, in collaborazione con FIMAA Milano </w:t>
      </w:r>
      <w:r w:rsidR="0091498C">
        <w:rPr>
          <w:rFonts w:cs="Times New Roman"/>
          <w:sz w:val="24"/>
          <w:szCs w:val="24"/>
        </w:rPr>
        <w:t xml:space="preserve">Lodi </w:t>
      </w:r>
      <w:r w:rsidRPr="00D0315B">
        <w:rPr>
          <w:rFonts w:cs="Times New Roman"/>
          <w:sz w:val="24"/>
          <w:szCs w:val="24"/>
        </w:rPr>
        <w:t xml:space="preserve">Monza </w:t>
      </w:r>
      <w:r w:rsidR="0091498C">
        <w:rPr>
          <w:rFonts w:cs="Times New Roman"/>
          <w:sz w:val="24"/>
          <w:szCs w:val="24"/>
        </w:rPr>
        <w:t>e Brianza</w:t>
      </w:r>
      <w:r w:rsidRPr="00D0315B">
        <w:rPr>
          <w:rFonts w:cs="Times New Roman"/>
          <w:sz w:val="24"/>
          <w:szCs w:val="24"/>
        </w:rPr>
        <w:t xml:space="preserve">, Assimpredil </w:t>
      </w:r>
      <w:r w:rsidR="00633036">
        <w:rPr>
          <w:rFonts w:cs="Times New Roman"/>
          <w:sz w:val="24"/>
          <w:szCs w:val="24"/>
        </w:rPr>
        <w:t xml:space="preserve">ANCE </w:t>
      </w:r>
      <w:r w:rsidRPr="00D0315B">
        <w:rPr>
          <w:rFonts w:cs="Times New Roman"/>
          <w:sz w:val="24"/>
          <w:szCs w:val="24"/>
        </w:rPr>
        <w:t>Milano</w:t>
      </w:r>
      <w:r w:rsidR="00633036">
        <w:rPr>
          <w:rFonts w:cs="Times New Roman"/>
          <w:sz w:val="24"/>
          <w:szCs w:val="24"/>
        </w:rPr>
        <w:t xml:space="preserve"> Lodi Monza e Brianza</w:t>
      </w:r>
      <w:r w:rsidRPr="00D0315B">
        <w:rPr>
          <w:rFonts w:cs="Times New Roman"/>
          <w:sz w:val="24"/>
          <w:szCs w:val="24"/>
        </w:rPr>
        <w:t>, Fiaip Lombardia, Anama Milano, ISIVI Milano, Ordine dei Geometri della Pr</w:t>
      </w:r>
      <w:r w:rsidRPr="00D0315B">
        <w:rPr>
          <w:rFonts w:cs="Times New Roman"/>
          <w:sz w:val="24"/>
          <w:szCs w:val="24"/>
        </w:rPr>
        <w:t>o</w:t>
      </w:r>
      <w:r w:rsidRPr="00D0315B">
        <w:rPr>
          <w:rFonts w:cs="Times New Roman"/>
          <w:sz w:val="24"/>
          <w:szCs w:val="24"/>
        </w:rPr>
        <w:t>vincia di Milano</w:t>
      </w:r>
      <w:r>
        <w:rPr>
          <w:rFonts w:cs="Times New Roman"/>
          <w:sz w:val="24"/>
          <w:szCs w:val="24"/>
        </w:rPr>
        <w:t>  e altre a</w:t>
      </w:r>
      <w:r w:rsidRPr="00D0315B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>sociazioni di categoria ed ordini p</w:t>
      </w:r>
      <w:r w:rsidRPr="00D0315B">
        <w:rPr>
          <w:rFonts w:cs="Times New Roman"/>
          <w:sz w:val="24"/>
          <w:szCs w:val="24"/>
        </w:rPr>
        <w:t xml:space="preserve">rofessionali del settore. Comprare una casa nuova costa in città in media </w:t>
      </w:r>
      <w:r w:rsidR="00041041">
        <w:rPr>
          <w:rFonts w:cs="Times New Roman"/>
          <w:sz w:val="24"/>
          <w:szCs w:val="24"/>
        </w:rPr>
        <w:t>5.7</w:t>
      </w:r>
      <w:r w:rsidR="007076FF">
        <w:rPr>
          <w:rFonts w:cs="Times New Roman"/>
          <w:sz w:val="24"/>
          <w:szCs w:val="24"/>
        </w:rPr>
        <w:t>1</w:t>
      </w:r>
      <w:r w:rsidR="00041041">
        <w:rPr>
          <w:rFonts w:cs="Times New Roman"/>
          <w:sz w:val="24"/>
          <w:szCs w:val="24"/>
        </w:rPr>
        <w:t>0</w:t>
      </w:r>
      <w:r w:rsidRPr="00D0315B">
        <w:rPr>
          <w:rFonts w:cs="Times New Roman"/>
          <w:sz w:val="24"/>
          <w:szCs w:val="24"/>
        </w:rPr>
        <w:t xml:space="preserve"> euro al mq, </w:t>
      </w:r>
      <w:r w:rsidR="0091498C">
        <w:rPr>
          <w:rFonts w:cs="Times New Roman"/>
          <w:sz w:val="24"/>
          <w:szCs w:val="24"/>
        </w:rPr>
        <w:t xml:space="preserve">con una variazione </w:t>
      </w:r>
      <w:r w:rsidR="0091498C" w:rsidRPr="00041041">
        <w:rPr>
          <w:rFonts w:cs="Times New Roman"/>
          <w:sz w:val="24"/>
          <w:szCs w:val="24"/>
        </w:rPr>
        <w:t xml:space="preserve">positiva di </w:t>
      </w:r>
      <w:r w:rsidRPr="00041041">
        <w:rPr>
          <w:rFonts w:cs="Times New Roman"/>
          <w:sz w:val="24"/>
          <w:szCs w:val="24"/>
        </w:rPr>
        <w:t>+1</w:t>
      </w:r>
      <w:r w:rsidR="00041041" w:rsidRPr="00041041">
        <w:rPr>
          <w:rFonts w:cs="Times New Roman"/>
          <w:sz w:val="24"/>
          <w:szCs w:val="24"/>
        </w:rPr>
        <w:t>,3</w:t>
      </w:r>
      <w:r w:rsidRPr="00041041">
        <w:rPr>
          <w:rFonts w:cs="Times New Roman"/>
          <w:sz w:val="24"/>
          <w:szCs w:val="24"/>
        </w:rPr>
        <w:t>% in</w:t>
      </w:r>
      <w:r w:rsidRPr="00D0315B">
        <w:rPr>
          <w:rFonts w:cs="Times New Roman"/>
          <w:sz w:val="24"/>
          <w:szCs w:val="24"/>
        </w:rPr>
        <w:t xml:space="preserve"> un anno. La media in centro è di </w:t>
      </w:r>
      <w:r w:rsidRPr="00D0315B">
        <w:rPr>
          <w:rFonts w:eastAsia="Times New Roman" w:cs="Times New Roman"/>
          <w:sz w:val="24"/>
          <w:szCs w:val="24"/>
        </w:rPr>
        <w:t>10.228 euro al mq r</w:t>
      </w:r>
      <w:r w:rsidRPr="00D0315B">
        <w:rPr>
          <w:rFonts w:eastAsia="Times New Roman" w:cs="Times New Roman"/>
          <w:sz w:val="24"/>
          <w:szCs w:val="24"/>
        </w:rPr>
        <w:t>i</w:t>
      </w:r>
      <w:r w:rsidRPr="00D0315B">
        <w:rPr>
          <w:rFonts w:eastAsia="Times New Roman" w:cs="Times New Roman"/>
          <w:sz w:val="24"/>
          <w:szCs w:val="24"/>
        </w:rPr>
        <w:t xml:space="preserve">spetto a 10.272 euro al mq del 2019, </w:t>
      </w:r>
      <w:r w:rsidR="0091498C">
        <w:rPr>
          <w:rFonts w:eastAsia="Times New Roman" w:cs="Times New Roman"/>
          <w:sz w:val="24"/>
          <w:szCs w:val="24"/>
        </w:rPr>
        <w:t xml:space="preserve">segnando una leggera flessione </w:t>
      </w:r>
      <w:r w:rsidRPr="00D0315B">
        <w:rPr>
          <w:rFonts w:eastAsia="Times New Roman" w:cs="Times New Roman"/>
          <w:sz w:val="24"/>
          <w:szCs w:val="24"/>
        </w:rPr>
        <w:t xml:space="preserve">-0,4%. Nella zona nord, i </w:t>
      </w:r>
      <w:r w:rsidRPr="00041041">
        <w:rPr>
          <w:rFonts w:eastAsia="Times New Roman" w:cs="Times New Roman"/>
          <w:sz w:val="24"/>
          <w:szCs w:val="24"/>
        </w:rPr>
        <w:t>prezzi passano da 4.268 euro al mq a 4.335</w:t>
      </w:r>
      <w:r w:rsidR="007F6EFE" w:rsidRPr="00041041">
        <w:rPr>
          <w:rFonts w:eastAsia="Times New Roman" w:cs="Times New Roman"/>
          <w:sz w:val="24"/>
          <w:szCs w:val="24"/>
        </w:rPr>
        <w:t xml:space="preserve"> €/mq</w:t>
      </w:r>
      <w:r w:rsidRPr="00041041">
        <w:rPr>
          <w:rFonts w:eastAsia="Times New Roman" w:cs="Times New Roman"/>
          <w:sz w:val="24"/>
          <w:szCs w:val="24"/>
        </w:rPr>
        <w:t xml:space="preserve">, +1,6%. </w:t>
      </w:r>
      <w:r w:rsidR="00633036" w:rsidRPr="00041041">
        <w:rPr>
          <w:rFonts w:eastAsia="Times New Roman" w:cs="Times New Roman"/>
          <w:sz w:val="24"/>
          <w:szCs w:val="24"/>
        </w:rPr>
        <w:t xml:space="preserve">Nel quadrante meridionale </w:t>
      </w:r>
      <w:r w:rsidR="00B35FE9" w:rsidRPr="00041041">
        <w:rPr>
          <w:rFonts w:eastAsia="Times New Roman" w:cs="Times New Roman"/>
          <w:sz w:val="24"/>
          <w:szCs w:val="24"/>
        </w:rPr>
        <w:t xml:space="preserve">la variazione </w:t>
      </w:r>
      <w:r w:rsidR="00041041" w:rsidRPr="00041041">
        <w:rPr>
          <w:rFonts w:eastAsia="Times New Roman" w:cs="Times New Roman"/>
          <w:sz w:val="24"/>
          <w:szCs w:val="24"/>
        </w:rPr>
        <w:t>più significativa con quotazioni che crescono a +5,5%.</w:t>
      </w:r>
      <w:r w:rsidR="00B35FE9" w:rsidRPr="00041041">
        <w:rPr>
          <w:rFonts w:eastAsia="Times New Roman" w:cs="Times New Roman"/>
          <w:sz w:val="24"/>
          <w:szCs w:val="24"/>
        </w:rPr>
        <w:t xml:space="preserve"> </w:t>
      </w:r>
      <w:r w:rsidRPr="00041041">
        <w:rPr>
          <w:rFonts w:eastAsia="Times New Roman" w:cs="Times New Roman"/>
          <w:sz w:val="24"/>
          <w:szCs w:val="24"/>
        </w:rPr>
        <w:t>Nella</w:t>
      </w:r>
      <w:r w:rsidRPr="00D0315B">
        <w:rPr>
          <w:rFonts w:eastAsia="Times New Roman" w:cs="Times New Roman"/>
          <w:sz w:val="24"/>
          <w:szCs w:val="24"/>
        </w:rPr>
        <w:t xml:space="preserve"> zona ovest </w:t>
      </w:r>
      <w:r w:rsidR="007F6EFE">
        <w:rPr>
          <w:rFonts w:eastAsia="Times New Roman" w:cs="Times New Roman"/>
          <w:sz w:val="24"/>
          <w:szCs w:val="24"/>
        </w:rPr>
        <w:t xml:space="preserve">si </w:t>
      </w:r>
      <w:r w:rsidRPr="00D0315B">
        <w:rPr>
          <w:rFonts w:eastAsia="Times New Roman" w:cs="Times New Roman"/>
          <w:sz w:val="24"/>
          <w:szCs w:val="24"/>
        </w:rPr>
        <w:t xml:space="preserve">passa da 5.159 </w:t>
      </w:r>
      <w:r w:rsidR="007F6EFE">
        <w:rPr>
          <w:rFonts w:eastAsia="Times New Roman" w:cs="Times New Roman"/>
          <w:sz w:val="24"/>
          <w:szCs w:val="24"/>
        </w:rPr>
        <w:t xml:space="preserve">€/mq </w:t>
      </w:r>
      <w:r w:rsidRPr="00D0315B">
        <w:rPr>
          <w:rFonts w:eastAsia="Times New Roman" w:cs="Times New Roman"/>
          <w:sz w:val="24"/>
          <w:szCs w:val="24"/>
        </w:rPr>
        <w:t>a 5.177</w:t>
      </w:r>
      <w:r w:rsidR="007F6EFE">
        <w:rPr>
          <w:rFonts w:eastAsia="Times New Roman" w:cs="Times New Roman"/>
          <w:sz w:val="24"/>
          <w:szCs w:val="24"/>
        </w:rPr>
        <w:t xml:space="preserve"> €/mq</w:t>
      </w:r>
      <w:r w:rsidRPr="00D0315B">
        <w:rPr>
          <w:rFonts w:eastAsia="Times New Roman" w:cs="Times New Roman"/>
          <w:sz w:val="24"/>
          <w:szCs w:val="24"/>
        </w:rPr>
        <w:t xml:space="preserve">, +0,3%. </w:t>
      </w:r>
      <w:r w:rsidR="00041041">
        <w:rPr>
          <w:rFonts w:eastAsia="Times New Roman" w:cs="Times New Roman"/>
          <w:sz w:val="24"/>
          <w:szCs w:val="24"/>
        </w:rPr>
        <w:t>In c</w:t>
      </w:r>
      <w:r w:rsidRPr="00D0315B">
        <w:rPr>
          <w:rFonts w:eastAsia="Times New Roman" w:cs="Times New Roman"/>
          <w:sz w:val="24"/>
          <w:szCs w:val="24"/>
        </w:rPr>
        <w:t xml:space="preserve">rescita la zona est, da 4.575 </w:t>
      </w:r>
      <w:r w:rsidR="007F6EFE">
        <w:rPr>
          <w:rFonts w:eastAsia="Times New Roman" w:cs="Times New Roman"/>
          <w:sz w:val="24"/>
          <w:szCs w:val="24"/>
        </w:rPr>
        <w:t>€/mq</w:t>
      </w:r>
      <w:r w:rsidRPr="00D0315B">
        <w:rPr>
          <w:rFonts w:eastAsia="Times New Roman" w:cs="Times New Roman"/>
          <w:sz w:val="24"/>
          <w:szCs w:val="24"/>
        </w:rPr>
        <w:t xml:space="preserve"> a 4.704 </w:t>
      </w:r>
      <w:r w:rsidR="007F6EFE">
        <w:rPr>
          <w:rFonts w:eastAsia="Times New Roman" w:cs="Times New Roman"/>
          <w:sz w:val="24"/>
          <w:szCs w:val="24"/>
        </w:rPr>
        <w:t>€/mq</w:t>
      </w:r>
      <w:r w:rsidRPr="00D0315B">
        <w:rPr>
          <w:rFonts w:eastAsia="Times New Roman" w:cs="Times New Roman"/>
          <w:sz w:val="24"/>
          <w:szCs w:val="24"/>
        </w:rPr>
        <w:t xml:space="preserve">, </w:t>
      </w:r>
      <w:r w:rsidR="007F6EFE">
        <w:rPr>
          <w:rFonts w:eastAsia="Times New Roman" w:cs="Times New Roman"/>
          <w:sz w:val="24"/>
          <w:szCs w:val="24"/>
        </w:rPr>
        <w:t>con un incremento de</w:t>
      </w:r>
      <w:r w:rsidR="0091498C">
        <w:rPr>
          <w:rFonts w:eastAsia="Times New Roman" w:cs="Times New Roman"/>
          <w:sz w:val="24"/>
          <w:szCs w:val="24"/>
        </w:rPr>
        <w:t>i</w:t>
      </w:r>
      <w:r w:rsidR="007F6EFE">
        <w:rPr>
          <w:rFonts w:eastAsia="Times New Roman" w:cs="Times New Roman"/>
          <w:sz w:val="24"/>
          <w:szCs w:val="24"/>
        </w:rPr>
        <w:t xml:space="preserve"> prezzi pari a </w:t>
      </w:r>
      <w:r w:rsidRPr="00D0315B">
        <w:rPr>
          <w:rFonts w:eastAsia="Times New Roman" w:cs="Times New Roman"/>
          <w:sz w:val="24"/>
          <w:szCs w:val="24"/>
        </w:rPr>
        <w:t xml:space="preserve">+2,8%. </w:t>
      </w:r>
    </w:p>
    <w:p w:rsidR="00D0315B" w:rsidRPr="00D0315B" w:rsidRDefault="00D0315B" w:rsidP="00D0315B">
      <w:pPr>
        <w:jc w:val="both"/>
        <w:rPr>
          <w:rFonts w:cs="Times New Roman"/>
          <w:sz w:val="24"/>
          <w:szCs w:val="24"/>
        </w:rPr>
      </w:pPr>
      <w:r w:rsidRPr="00D0315B">
        <w:rPr>
          <w:rFonts w:cs="Times New Roman"/>
          <w:b/>
          <w:sz w:val="24"/>
          <w:szCs w:val="24"/>
        </w:rPr>
        <w:t xml:space="preserve">Hinterland in ripresa a </w:t>
      </w:r>
      <w:r w:rsidR="00865C36">
        <w:rPr>
          <w:rFonts w:cs="Times New Roman"/>
          <w:b/>
          <w:sz w:val="24"/>
          <w:szCs w:val="24"/>
        </w:rPr>
        <w:t xml:space="preserve">est e a </w:t>
      </w:r>
      <w:r w:rsidRPr="00D0315B">
        <w:rPr>
          <w:rFonts w:cs="Times New Roman"/>
          <w:b/>
          <w:sz w:val="24"/>
          <w:szCs w:val="24"/>
        </w:rPr>
        <w:t>nord.</w:t>
      </w:r>
      <w:r w:rsidRPr="00D0315B">
        <w:rPr>
          <w:rFonts w:cs="Times New Roman"/>
          <w:sz w:val="24"/>
          <w:szCs w:val="24"/>
        </w:rPr>
        <w:t xml:space="preserve"> Da Cologno Monzese a Bresso, da Cormano a Cusano Milan</w:t>
      </w:r>
      <w:r w:rsidRPr="00D0315B">
        <w:rPr>
          <w:rFonts w:cs="Times New Roman"/>
          <w:sz w:val="24"/>
          <w:szCs w:val="24"/>
        </w:rPr>
        <w:t>i</w:t>
      </w:r>
      <w:r w:rsidRPr="00D0315B">
        <w:rPr>
          <w:rFonts w:cs="Times New Roman"/>
          <w:sz w:val="24"/>
          <w:szCs w:val="24"/>
        </w:rPr>
        <w:t xml:space="preserve">no, crescono soprattutto a nord </w:t>
      </w:r>
      <w:r w:rsidR="007F6EFE">
        <w:rPr>
          <w:rFonts w:cs="Times New Roman"/>
          <w:sz w:val="24"/>
          <w:szCs w:val="24"/>
        </w:rPr>
        <w:t xml:space="preserve">e nel quadrante est </w:t>
      </w:r>
      <w:r w:rsidRPr="00D0315B">
        <w:rPr>
          <w:rFonts w:cs="Times New Roman"/>
          <w:sz w:val="24"/>
          <w:szCs w:val="24"/>
        </w:rPr>
        <w:t xml:space="preserve">i prezzi in alcuni </w:t>
      </w:r>
      <w:r w:rsidR="007F6EFE">
        <w:rPr>
          <w:rFonts w:cs="Times New Roman"/>
          <w:sz w:val="24"/>
          <w:szCs w:val="24"/>
        </w:rPr>
        <w:t>centri nell’hinterland milan</w:t>
      </w:r>
      <w:r w:rsidR="007F6EFE">
        <w:rPr>
          <w:rFonts w:cs="Times New Roman"/>
          <w:sz w:val="24"/>
          <w:szCs w:val="24"/>
        </w:rPr>
        <w:t>e</w:t>
      </w:r>
      <w:r w:rsidR="007F6EFE">
        <w:rPr>
          <w:rFonts w:cs="Times New Roman"/>
          <w:sz w:val="24"/>
          <w:szCs w:val="24"/>
        </w:rPr>
        <w:lastRenderedPageBreak/>
        <w:t>se, in un quadro che si mantiene comunque all’insegna della stabilità per gli appartamenti nuovi. L’attenzione degli operatori si concentra sulla qualità dei servizi e sulla diponibilità di zone verdi</w:t>
      </w:r>
      <w:r w:rsidR="00633036">
        <w:rPr>
          <w:rFonts w:cs="Times New Roman"/>
          <w:sz w:val="24"/>
          <w:szCs w:val="24"/>
        </w:rPr>
        <w:t xml:space="preserve">, in </w:t>
      </w:r>
      <w:r w:rsidR="00633036" w:rsidRPr="00633036">
        <w:rPr>
          <w:rFonts w:cs="Times New Roman"/>
          <w:sz w:val="24"/>
          <w:szCs w:val="24"/>
        </w:rPr>
        <w:t>un mercato che comincia a riflettere il cambio di paradigma conseguente all’emergenza sanitaria.</w:t>
      </w:r>
    </w:p>
    <w:p w:rsidR="00D0315B" w:rsidRPr="00865C36" w:rsidRDefault="00D0315B" w:rsidP="00D0315B">
      <w:pPr>
        <w:jc w:val="both"/>
        <w:rPr>
          <w:rFonts w:cs="Times New Roman"/>
          <w:sz w:val="24"/>
          <w:szCs w:val="24"/>
        </w:rPr>
      </w:pPr>
      <w:r w:rsidRPr="00865C36">
        <w:rPr>
          <w:rFonts w:cs="Times New Roman"/>
          <w:b/>
          <w:sz w:val="24"/>
          <w:szCs w:val="24"/>
        </w:rPr>
        <w:t>Le zone che crescono di più in città</w:t>
      </w:r>
      <w:r w:rsidR="00865C36">
        <w:rPr>
          <w:rFonts w:cs="Times New Roman"/>
          <w:b/>
          <w:sz w:val="24"/>
          <w:szCs w:val="24"/>
        </w:rPr>
        <w:t>.</w:t>
      </w:r>
      <w:r w:rsidRPr="00865C36">
        <w:rPr>
          <w:rFonts w:cs="Times New Roman"/>
          <w:sz w:val="24"/>
          <w:szCs w:val="24"/>
        </w:rPr>
        <w:t xml:space="preserve"> </w:t>
      </w:r>
      <w:r w:rsidR="00865C36">
        <w:rPr>
          <w:rFonts w:cs="Times New Roman"/>
          <w:sz w:val="24"/>
          <w:szCs w:val="24"/>
        </w:rPr>
        <w:t>A</w:t>
      </w:r>
      <w:r w:rsidRPr="00865C36">
        <w:rPr>
          <w:rFonts w:cs="Times New Roman"/>
          <w:sz w:val="24"/>
          <w:szCs w:val="24"/>
        </w:rPr>
        <w:t xml:space="preserve">l primo posto Greco, da 3.200 a 3.750 </w:t>
      </w:r>
      <w:r w:rsidR="007F6EFE">
        <w:rPr>
          <w:rFonts w:cs="Times New Roman"/>
          <w:sz w:val="24"/>
          <w:szCs w:val="24"/>
        </w:rPr>
        <w:t>€/mq, + 17,2%;</w:t>
      </w:r>
      <w:r w:rsidRPr="00865C36">
        <w:rPr>
          <w:rFonts w:cs="Times New Roman"/>
          <w:sz w:val="24"/>
          <w:szCs w:val="24"/>
        </w:rPr>
        <w:t xml:space="preserve"> </w:t>
      </w:r>
      <w:r w:rsidR="00B35FE9">
        <w:rPr>
          <w:rFonts w:cs="Times New Roman"/>
          <w:sz w:val="24"/>
          <w:szCs w:val="24"/>
        </w:rPr>
        <w:t>Co</w:t>
      </w:r>
      <w:r w:rsidR="00B35FE9">
        <w:rPr>
          <w:rFonts w:cs="Times New Roman"/>
          <w:sz w:val="24"/>
          <w:szCs w:val="24"/>
        </w:rPr>
        <w:t>r</w:t>
      </w:r>
      <w:r w:rsidR="00B35FE9">
        <w:rPr>
          <w:rFonts w:cs="Times New Roman"/>
          <w:sz w:val="24"/>
          <w:szCs w:val="24"/>
        </w:rPr>
        <w:t xml:space="preserve">vetto con quotazioni in crescita di + 16% a 3.700 €/mq; la zona Solari - Napoli + 15% a quota 6.500 €/mq; </w:t>
      </w:r>
      <w:r w:rsidRPr="00865C36">
        <w:rPr>
          <w:rFonts w:cs="Times New Roman"/>
          <w:sz w:val="24"/>
          <w:szCs w:val="24"/>
        </w:rPr>
        <w:t xml:space="preserve">piazza Udine </w:t>
      </w:r>
      <w:r w:rsidR="007F6EFE">
        <w:rPr>
          <w:rFonts w:cs="Times New Roman"/>
          <w:sz w:val="24"/>
          <w:szCs w:val="24"/>
        </w:rPr>
        <w:t xml:space="preserve">che passa </w:t>
      </w:r>
      <w:r w:rsidRPr="00865C36">
        <w:rPr>
          <w:rFonts w:cs="Times New Roman"/>
          <w:sz w:val="24"/>
          <w:szCs w:val="24"/>
        </w:rPr>
        <w:t xml:space="preserve">da </w:t>
      </w:r>
      <w:r w:rsidR="007F6EFE">
        <w:rPr>
          <w:rFonts w:cs="Times New Roman"/>
          <w:sz w:val="24"/>
          <w:szCs w:val="24"/>
        </w:rPr>
        <w:t xml:space="preserve">€ </w:t>
      </w:r>
      <w:r w:rsidRPr="00865C36">
        <w:rPr>
          <w:rFonts w:cs="Times New Roman"/>
          <w:sz w:val="24"/>
          <w:szCs w:val="24"/>
        </w:rPr>
        <w:t xml:space="preserve">3.150 </w:t>
      </w:r>
      <w:r w:rsidR="007F6EFE">
        <w:rPr>
          <w:rFonts w:cs="Times New Roman"/>
          <w:sz w:val="24"/>
          <w:szCs w:val="24"/>
        </w:rPr>
        <w:t xml:space="preserve">al mq </w:t>
      </w:r>
      <w:r w:rsidRPr="00865C36">
        <w:rPr>
          <w:rFonts w:cs="Times New Roman"/>
          <w:sz w:val="24"/>
          <w:szCs w:val="24"/>
        </w:rPr>
        <w:t xml:space="preserve">a </w:t>
      </w:r>
      <w:r w:rsidR="007F6EFE">
        <w:rPr>
          <w:rFonts w:cs="Times New Roman"/>
          <w:sz w:val="24"/>
          <w:szCs w:val="24"/>
        </w:rPr>
        <w:t xml:space="preserve">€ </w:t>
      </w:r>
      <w:r w:rsidRPr="00865C36">
        <w:rPr>
          <w:rFonts w:cs="Times New Roman"/>
          <w:sz w:val="24"/>
          <w:szCs w:val="24"/>
        </w:rPr>
        <w:t>3.600</w:t>
      </w:r>
      <w:r w:rsidR="007F6EFE">
        <w:rPr>
          <w:rFonts w:cs="Times New Roman"/>
          <w:sz w:val="24"/>
          <w:szCs w:val="24"/>
        </w:rPr>
        <w:t xml:space="preserve"> al mq, +14,3%;</w:t>
      </w:r>
      <w:r w:rsidRPr="00865C36">
        <w:rPr>
          <w:rFonts w:cs="Times New Roman"/>
          <w:sz w:val="24"/>
          <w:szCs w:val="24"/>
        </w:rPr>
        <w:t xml:space="preserve"> Forlanini e Mecenate da 3.025</w:t>
      </w:r>
      <w:r w:rsidR="007F6EFE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 a 3.400</w:t>
      </w:r>
      <w:r w:rsidR="007F6EFE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>, +12,4%</w:t>
      </w:r>
      <w:r w:rsidR="007F6EFE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Musocco</w:t>
      </w:r>
      <w:r w:rsidR="007F6EFE">
        <w:rPr>
          <w:rFonts w:cs="Times New Roman"/>
          <w:sz w:val="24"/>
          <w:szCs w:val="24"/>
        </w:rPr>
        <w:t xml:space="preserve"> - </w:t>
      </w:r>
      <w:r w:rsidRPr="00865C36">
        <w:rPr>
          <w:rFonts w:cs="Times New Roman"/>
          <w:sz w:val="24"/>
          <w:szCs w:val="24"/>
        </w:rPr>
        <w:t>Villapizzone a 3.075 euro al mq, +11,8%</w:t>
      </w:r>
      <w:r w:rsidR="007F6EFE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La</w:t>
      </w:r>
      <w:r w:rsidRPr="00865C36">
        <w:rPr>
          <w:rFonts w:cs="Times New Roman"/>
          <w:sz w:val="24"/>
          <w:szCs w:val="24"/>
        </w:rPr>
        <w:t>m</w:t>
      </w:r>
      <w:r w:rsidRPr="00865C36">
        <w:rPr>
          <w:rFonts w:cs="Times New Roman"/>
          <w:sz w:val="24"/>
          <w:szCs w:val="24"/>
        </w:rPr>
        <w:t>brate a 3.400 euro al mq, +11,5%</w:t>
      </w:r>
      <w:r w:rsidR="007F6EFE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Brianza </w:t>
      </w:r>
      <w:r w:rsidR="007F6EFE">
        <w:rPr>
          <w:rFonts w:cs="Times New Roman"/>
          <w:sz w:val="24"/>
          <w:szCs w:val="24"/>
        </w:rPr>
        <w:t xml:space="preserve">- </w:t>
      </w:r>
      <w:r w:rsidRPr="00865C36">
        <w:rPr>
          <w:rFonts w:cs="Times New Roman"/>
          <w:sz w:val="24"/>
          <w:szCs w:val="24"/>
        </w:rPr>
        <w:t>Pasteur a 3.650, +7,4%</w:t>
      </w:r>
      <w:r w:rsidR="007F6EFE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Bovisa e Dergano a 3.500</w:t>
      </w:r>
      <w:r w:rsidR="007F6EFE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>, +6,9%</w:t>
      </w:r>
      <w:r w:rsidR="007F6EFE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Santa Giulia e Rogoredo a 3.150</w:t>
      </w:r>
      <w:r w:rsidR="003D6C96">
        <w:rPr>
          <w:rFonts w:cs="Times New Roman"/>
          <w:sz w:val="24"/>
          <w:szCs w:val="24"/>
        </w:rPr>
        <w:t xml:space="preserve"> €/mq, +5%;</w:t>
      </w:r>
      <w:r w:rsidRPr="00865C36">
        <w:rPr>
          <w:rFonts w:cs="Times New Roman"/>
          <w:sz w:val="24"/>
          <w:szCs w:val="24"/>
        </w:rPr>
        <w:t xml:space="preserve"> Nirone e S. Ambrogio </w:t>
      </w:r>
      <w:r w:rsidR="003D6C96">
        <w:rPr>
          <w:rFonts w:cs="Times New Roman"/>
          <w:sz w:val="24"/>
          <w:szCs w:val="24"/>
        </w:rPr>
        <w:t xml:space="preserve">passano </w:t>
      </w:r>
      <w:r w:rsidRPr="00865C36">
        <w:rPr>
          <w:rFonts w:cs="Times New Roman"/>
          <w:sz w:val="24"/>
          <w:szCs w:val="24"/>
        </w:rPr>
        <w:t>da 9.050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 a 9.500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, </w:t>
      </w:r>
      <w:r w:rsidR="003D6C96">
        <w:rPr>
          <w:rFonts w:cs="Times New Roman"/>
          <w:sz w:val="24"/>
          <w:szCs w:val="24"/>
        </w:rPr>
        <w:t>con una variazione di +5%;</w:t>
      </w:r>
      <w:r w:rsidRPr="00865C36">
        <w:rPr>
          <w:rFonts w:cs="Times New Roman"/>
          <w:sz w:val="24"/>
          <w:szCs w:val="24"/>
        </w:rPr>
        <w:t xml:space="preserve"> Fulvio Testi e Ca’ Granda a 3.200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>, +4,9%</w:t>
      </w:r>
      <w:r w:rsidR="003D6C96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Abruzzi </w:t>
      </w:r>
      <w:r w:rsidR="003D6C96">
        <w:rPr>
          <w:rFonts w:cs="Times New Roman"/>
          <w:sz w:val="24"/>
          <w:szCs w:val="24"/>
        </w:rPr>
        <w:t xml:space="preserve">- </w:t>
      </w:r>
      <w:r w:rsidRPr="00865C36">
        <w:rPr>
          <w:rFonts w:cs="Times New Roman"/>
          <w:sz w:val="24"/>
          <w:szCs w:val="24"/>
        </w:rPr>
        <w:t>Romagna a 4.800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>, +4,9%</w:t>
      </w:r>
      <w:r w:rsidR="003D6C96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Gallaratese e Trenno a 2.750</w:t>
      </w:r>
      <w:r w:rsidR="003D6C96">
        <w:rPr>
          <w:rFonts w:cs="Times New Roman"/>
          <w:sz w:val="24"/>
          <w:szCs w:val="24"/>
        </w:rPr>
        <w:t xml:space="preserve"> €/mq, +3,8%;</w:t>
      </w:r>
      <w:r w:rsidRPr="00865C36">
        <w:rPr>
          <w:rFonts w:cs="Times New Roman"/>
          <w:sz w:val="24"/>
          <w:szCs w:val="24"/>
        </w:rPr>
        <w:t xml:space="preserve"> Niguarda </w:t>
      </w:r>
      <w:r w:rsidR="003D6C96">
        <w:rPr>
          <w:rFonts w:cs="Times New Roman"/>
          <w:sz w:val="24"/>
          <w:szCs w:val="24"/>
        </w:rPr>
        <w:t>v</w:t>
      </w:r>
      <w:r w:rsidRPr="00865C36">
        <w:rPr>
          <w:rFonts w:cs="Times New Roman"/>
          <w:sz w:val="24"/>
          <w:szCs w:val="24"/>
        </w:rPr>
        <w:t>a</w:t>
      </w:r>
      <w:r w:rsidR="003D6C96">
        <w:rPr>
          <w:rFonts w:cs="Times New Roman"/>
          <w:sz w:val="24"/>
          <w:szCs w:val="24"/>
        </w:rPr>
        <w:t>le</w:t>
      </w:r>
      <w:r w:rsidRPr="00865C36">
        <w:rPr>
          <w:rFonts w:cs="Times New Roman"/>
          <w:sz w:val="24"/>
          <w:szCs w:val="24"/>
        </w:rPr>
        <w:t xml:space="preserve"> 3.200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>, +3,2%</w:t>
      </w:r>
      <w:r w:rsidR="003D6C96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Turro e Precotto </w:t>
      </w:r>
      <w:r w:rsidR="003D6C96">
        <w:rPr>
          <w:rFonts w:cs="Times New Roman"/>
          <w:sz w:val="24"/>
          <w:szCs w:val="24"/>
        </w:rPr>
        <w:t xml:space="preserve">prezzi </w:t>
      </w:r>
      <w:r w:rsidRPr="00865C36">
        <w:rPr>
          <w:rFonts w:cs="Times New Roman"/>
          <w:sz w:val="24"/>
          <w:szCs w:val="24"/>
        </w:rPr>
        <w:t>a 3.300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, +3,1%. Tra le maggiori crescite </w:t>
      </w:r>
      <w:r w:rsidR="003D6C96">
        <w:rPr>
          <w:rFonts w:cs="Times New Roman"/>
          <w:sz w:val="24"/>
          <w:szCs w:val="24"/>
        </w:rPr>
        <w:t xml:space="preserve">si evidenziano </w:t>
      </w:r>
      <w:r w:rsidRPr="00865C36">
        <w:rPr>
          <w:rFonts w:cs="Times New Roman"/>
          <w:sz w:val="24"/>
          <w:szCs w:val="24"/>
        </w:rPr>
        <w:t xml:space="preserve">anche Fulvio Testi e Bicocca </w:t>
      </w:r>
      <w:r w:rsidR="003D6C96">
        <w:rPr>
          <w:rFonts w:cs="Times New Roman"/>
          <w:sz w:val="24"/>
          <w:szCs w:val="24"/>
        </w:rPr>
        <w:t xml:space="preserve">con </w:t>
      </w:r>
      <w:r w:rsidRPr="00865C36">
        <w:rPr>
          <w:rFonts w:cs="Times New Roman"/>
          <w:sz w:val="24"/>
          <w:szCs w:val="24"/>
        </w:rPr>
        <w:t>3.300</w:t>
      </w:r>
      <w:r w:rsidR="003D6C96">
        <w:rPr>
          <w:rFonts w:cs="Times New Roman"/>
          <w:sz w:val="24"/>
          <w:szCs w:val="24"/>
        </w:rPr>
        <w:t xml:space="preserve"> €/mq,</w:t>
      </w:r>
      <w:r w:rsidRPr="00865C36">
        <w:rPr>
          <w:rFonts w:cs="Times New Roman"/>
          <w:sz w:val="24"/>
          <w:szCs w:val="24"/>
        </w:rPr>
        <w:t xml:space="preserve"> +3,1%</w:t>
      </w:r>
      <w:r w:rsidR="003D6C96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Istria e Maciachini a </w:t>
      </w:r>
      <w:r w:rsidR="003D6C96">
        <w:rPr>
          <w:rFonts w:cs="Times New Roman"/>
          <w:sz w:val="24"/>
          <w:szCs w:val="24"/>
        </w:rPr>
        <w:t xml:space="preserve">quota </w:t>
      </w:r>
      <w:r w:rsidRPr="00865C36">
        <w:rPr>
          <w:rFonts w:cs="Times New Roman"/>
          <w:sz w:val="24"/>
          <w:szCs w:val="24"/>
        </w:rPr>
        <w:t>3.500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>, +2,9%</w:t>
      </w:r>
      <w:r w:rsidR="003D6C96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Buenos Aires e Vitr</w:t>
      </w:r>
      <w:r w:rsidRPr="00865C36">
        <w:rPr>
          <w:rFonts w:cs="Times New Roman"/>
          <w:sz w:val="24"/>
          <w:szCs w:val="24"/>
        </w:rPr>
        <w:t>u</w:t>
      </w:r>
      <w:r w:rsidRPr="00865C36">
        <w:rPr>
          <w:rFonts w:cs="Times New Roman"/>
          <w:sz w:val="24"/>
          <w:szCs w:val="24"/>
        </w:rPr>
        <w:t>vio a 5.300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, +2,9%. Anche Baggio e Quarto Oggiaro crescono del 2%. </w:t>
      </w:r>
    </w:p>
    <w:p w:rsidR="00D0315B" w:rsidRPr="00865C36" w:rsidRDefault="00D0315B" w:rsidP="00D0315B">
      <w:pPr>
        <w:jc w:val="both"/>
        <w:rPr>
          <w:rFonts w:cs="Times New Roman"/>
          <w:sz w:val="24"/>
          <w:szCs w:val="24"/>
        </w:rPr>
      </w:pPr>
      <w:r w:rsidRPr="00865C36">
        <w:rPr>
          <w:rFonts w:cs="Times New Roman"/>
          <w:b/>
          <w:sz w:val="24"/>
          <w:szCs w:val="24"/>
        </w:rPr>
        <w:t>Le zone più care</w:t>
      </w:r>
      <w:r w:rsidR="00865C36">
        <w:rPr>
          <w:rFonts w:cs="Times New Roman"/>
          <w:b/>
          <w:sz w:val="24"/>
          <w:szCs w:val="24"/>
        </w:rPr>
        <w:t>.</w:t>
      </w:r>
      <w:r w:rsidRPr="00865C36">
        <w:rPr>
          <w:rFonts w:cs="Times New Roman"/>
          <w:sz w:val="24"/>
          <w:szCs w:val="24"/>
        </w:rPr>
        <w:t xml:space="preserve"> </w:t>
      </w:r>
      <w:r w:rsidR="003D6C96">
        <w:rPr>
          <w:rFonts w:cs="Times New Roman"/>
          <w:sz w:val="24"/>
          <w:szCs w:val="24"/>
        </w:rPr>
        <w:t>Rimangono in centro città i quartieri più cari, seppure in lieve ridimensioname</w:t>
      </w:r>
      <w:r w:rsidR="003D6C96">
        <w:rPr>
          <w:rFonts w:cs="Times New Roman"/>
          <w:sz w:val="24"/>
          <w:szCs w:val="24"/>
        </w:rPr>
        <w:t>n</w:t>
      </w:r>
      <w:r w:rsidR="003D6C96">
        <w:rPr>
          <w:rFonts w:cs="Times New Roman"/>
          <w:sz w:val="24"/>
          <w:szCs w:val="24"/>
        </w:rPr>
        <w:t xml:space="preserve">to. </w:t>
      </w:r>
      <w:r w:rsidR="00865C36">
        <w:rPr>
          <w:rFonts w:cs="Times New Roman"/>
          <w:sz w:val="24"/>
          <w:szCs w:val="24"/>
        </w:rPr>
        <w:t>S</w:t>
      </w:r>
      <w:r w:rsidR="003D6C96">
        <w:rPr>
          <w:rFonts w:cs="Times New Roman"/>
          <w:sz w:val="24"/>
          <w:szCs w:val="24"/>
        </w:rPr>
        <w:t>i tratta di S</w:t>
      </w:r>
      <w:r w:rsidRPr="00865C36">
        <w:rPr>
          <w:rFonts w:cs="Times New Roman"/>
          <w:sz w:val="24"/>
          <w:szCs w:val="24"/>
        </w:rPr>
        <w:t xml:space="preserve">piga </w:t>
      </w:r>
      <w:r w:rsidR="00B97AC9">
        <w:rPr>
          <w:rFonts w:cs="Times New Roman"/>
          <w:sz w:val="24"/>
          <w:szCs w:val="24"/>
        </w:rPr>
        <w:t xml:space="preserve">- </w:t>
      </w:r>
      <w:r w:rsidRPr="00865C36">
        <w:rPr>
          <w:rFonts w:cs="Times New Roman"/>
          <w:sz w:val="24"/>
          <w:szCs w:val="24"/>
        </w:rPr>
        <w:t xml:space="preserve">Montenapoleone a 12.800 </w:t>
      </w:r>
      <w:r w:rsidR="003D6C96">
        <w:rPr>
          <w:rFonts w:cs="Times New Roman"/>
          <w:sz w:val="24"/>
          <w:szCs w:val="24"/>
        </w:rPr>
        <w:t>€/mq</w:t>
      </w:r>
      <w:r w:rsidRPr="00865C36">
        <w:rPr>
          <w:rFonts w:cs="Times New Roman"/>
          <w:sz w:val="24"/>
          <w:szCs w:val="24"/>
        </w:rPr>
        <w:t xml:space="preserve">, </w:t>
      </w:r>
      <w:r w:rsidR="003D6C96">
        <w:rPr>
          <w:rFonts w:cs="Times New Roman"/>
          <w:sz w:val="24"/>
          <w:szCs w:val="24"/>
        </w:rPr>
        <w:t>i</w:t>
      </w:r>
      <w:r w:rsidRPr="00865C36">
        <w:rPr>
          <w:rFonts w:cs="Times New Roman"/>
          <w:sz w:val="24"/>
          <w:szCs w:val="24"/>
        </w:rPr>
        <w:t>n calo di 100 euro in un anno</w:t>
      </w:r>
      <w:r w:rsidR="003D6C96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Vittorio </w:t>
      </w:r>
      <w:r w:rsidRPr="00865C36">
        <w:rPr>
          <w:rFonts w:cs="Times New Roman"/>
          <w:sz w:val="24"/>
          <w:szCs w:val="24"/>
        </w:rPr>
        <w:t>E</w:t>
      </w:r>
      <w:r w:rsidRPr="00865C36">
        <w:rPr>
          <w:rFonts w:cs="Times New Roman"/>
          <w:sz w:val="24"/>
          <w:szCs w:val="24"/>
        </w:rPr>
        <w:t xml:space="preserve">manuele </w:t>
      </w:r>
      <w:r w:rsidR="00B97AC9">
        <w:rPr>
          <w:rFonts w:cs="Times New Roman"/>
          <w:sz w:val="24"/>
          <w:szCs w:val="24"/>
        </w:rPr>
        <w:t>-</w:t>
      </w:r>
      <w:r w:rsidRPr="00865C36">
        <w:rPr>
          <w:rFonts w:cs="Times New Roman"/>
          <w:sz w:val="24"/>
          <w:szCs w:val="24"/>
        </w:rPr>
        <w:t xml:space="preserve"> San Babila a 12.375 euro </w:t>
      </w:r>
      <w:r w:rsidR="003D6C96">
        <w:rPr>
          <w:rFonts w:cs="Times New Roman"/>
          <w:sz w:val="24"/>
          <w:szCs w:val="24"/>
        </w:rPr>
        <w:t>rispetto a 12.750 € mq di un anno fa;</w:t>
      </w:r>
      <w:r w:rsidRPr="00865C36">
        <w:rPr>
          <w:rFonts w:cs="Times New Roman"/>
          <w:sz w:val="24"/>
          <w:szCs w:val="24"/>
        </w:rPr>
        <w:t xml:space="preserve"> Diaz con Duomo e Scala a 11.700 </w:t>
      </w:r>
      <w:r w:rsidR="003D6C96">
        <w:rPr>
          <w:rFonts w:cs="Times New Roman"/>
          <w:sz w:val="24"/>
          <w:szCs w:val="24"/>
        </w:rPr>
        <w:t xml:space="preserve">€/mq </w:t>
      </w:r>
      <w:r w:rsidRPr="00865C36">
        <w:rPr>
          <w:rFonts w:cs="Times New Roman"/>
          <w:sz w:val="24"/>
          <w:szCs w:val="24"/>
        </w:rPr>
        <w:t>rispetto a 11.850</w:t>
      </w:r>
      <w:r w:rsidR="003D6C96">
        <w:rPr>
          <w:rFonts w:cs="Times New Roman"/>
          <w:sz w:val="24"/>
          <w:szCs w:val="24"/>
        </w:rPr>
        <w:t xml:space="preserve"> €/mq;</w:t>
      </w:r>
      <w:r w:rsidRPr="00865C36">
        <w:rPr>
          <w:rFonts w:cs="Times New Roman"/>
          <w:sz w:val="24"/>
          <w:szCs w:val="24"/>
        </w:rPr>
        <w:t xml:space="preserve"> Parco e Castello a 10.850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, in calo di </w:t>
      </w:r>
      <w:r w:rsidR="003D6C96">
        <w:rPr>
          <w:rFonts w:cs="Times New Roman"/>
          <w:sz w:val="24"/>
          <w:szCs w:val="24"/>
        </w:rPr>
        <w:t>100</w:t>
      </w:r>
      <w:r w:rsidRPr="00865C36">
        <w:rPr>
          <w:rFonts w:cs="Times New Roman"/>
          <w:sz w:val="24"/>
          <w:szCs w:val="24"/>
        </w:rPr>
        <w:t xml:space="preserve"> euro al mq</w:t>
      </w:r>
      <w:r w:rsidR="003D6C96">
        <w:rPr>
          <w:rFonts w:cs="Times New Roman"/>
          <w:sz w:val="24"/>
          <w:szCs w:val="24"/>
        </w:rPr>
        <w:t>;</w:t>
      </w:r>
      <w:r w:rsidRPr="00865C36">
        <w:rPr>
          <w:rFonts w:cs="Times New Roman"/>
          <w:sz w:val="24"/>
          <w:szCs w:val="24"/>
        </w:rPr>
        <w:t xml:space="preserve">  Cairoli e Cordusio a 10.625 </w:t>
      </w:r>
      <w:r w:rsidR="003D6C96">
        <w:rPr>
          <w:rFonts w:cs="Times New Roman"/>
          <w:sz w:val="24"/>
          <w:szCs w:val="24"/>
        </w:rPr>
        <w:t xml:space="preserve">€/mq </w:t>
      </w:r>
      <w:r w:rsidRPr="00865C36">
        <w:rPr>
          <w:rFonts w:cs="Times New Roman"/>
          <w:sz w:val="24"/>
          <w:szCs w:val="24"/>
        </w:rPr>
        <w:t>rispetto a 10.750</w:t>
      </w:r>
      <w:r w:rsidR="003D6C96">
        <w:rPr>
          <w:rFonts w:cs="Times New Roman"/>
          <w:sz w:val="24"/>
          <w:szCs w:val="24"/>
        </w:rPr>
        <w:t xml:space="preserve"> €/mq.</w:t>
      </w:r>
      <w:r w:rsidRPr="00865C36">
        <w:rPr>
          <w:rFonts w:cs="Times New Roman"/>
          <w:sz w:val="24"/>
          <w:szCs w:val="24"/>
        </w:rPr>
        <w:t xml:space="preserve"> </w:t>
      </w:r>
      <w:r w:rsidR="003D6C96">
        <w:rPr>
          <w:rFonts w:cs="Times New Roman"/>
          <w:sz w:val="24"/>
          <w:szCs w:val="24"/>
        </w:rPr>
        <w:t xml:space="preserve">Tra i segni positivi cresce </w:t>
      </w:r>
      <w:r w:rsidRPr="00865C36">
        <w:rPr>
          <w:rFonts w:cs="Times New Roman"/>
          <w:sz w:val="24"/>
          <w:szCs w:val="24"/>
        </w:rPr>
        <w:t>Brera a 10.500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, </w:t>
      </w:r>
      <w:r w:rsidR="003D6C96">
        <w:rPr>
          <w:rFonts w:cs="Times New Roman"/>
          <w:sz w:val="24"/>
          <w:szCs w:val="24"/>
        </w:rPr>
        <w:t xml:space="preserve">in crescita di </w:t>
      </w:r>
      <w:r w:rsidRPr="00865C36">
        <w:rPr>
          <w:rFonts w:cs="Times New Roman"/>
          <w:sz w:val="24"/>
          <w:szCs w:val="24"/>
        </w:rPr>
        <w:t>50 eu</w:t>
      </w:r>
      <w:r w:rsidR="003D6C96">
        <w:rPr>
          <w:rFonts w:cs="Times New Roman"/>
          <w:sz w:val="24"/>
          <w:szCs w:val="24"/>
        </w:rPr>
        <w:t>ro</w:t>
      </w:r>
      <w:r w:rsidRPr="00865C36">
        <w:rPr>
          <w:rFonts w:cs="Times New Roman"/>
          <w:sz w:val="24"/>
          <w:szCs w:val="24"/>
        </w:rPr>
        <w:t xml:space="preserve">. Nirone e S. Ambrogio </w:t>
      </w:r>
      <w:r w:rsidR="003D6C96">
        <w:rPr>
          <w:rFonts w:cs="Times New Roman"/>
          <w:sz w:val="24"/>
          <w:szCs w:val="24"/>
        </w:rPr>
        <w:t>s</w:t>
      </w:r>
      <w:r w:rsidRPr="00865C36">
        <w:rPr>
          <w:rFonts w:cs="Times New Roman"/>
          <w:sz w:val="24"/>
          <w:szCs w:val="24"/>
        </w:rPr>
        <w:t>a</w:t>
      </w:r>
      <w:r w:rsidR="003D6C96">
        <w:rPr>
          <w:rFonts w:cs="Times New Roman"/>
          <w:sz w:val="24"/>
          <w:szCs w:val="24"/>
        </w:rPr>
        <w:t>lgono a</w:t>
      </w:r>
      <w:r w:rsidRPr="00865C36">
        <w:rPr>
          <w:rFonts w:cs="Times New Roman"/>
          <w:sz w:val="24"/>
          <w:szCs w:val="24"/>
        </w:rPr>
        <w:t xml:space="preserve"> 9.500 </w:t>
      </w:r>
      <w:r w:rsidR="003D6C96">
        <w:rPr>
          <w:rFonts w:cs="Times New Roman"/>
          <w:sz w:val="24"/>
          <w:szCs w:val="24"/>
        </w:rPr>
        <w:t xml:space="preserve">€/mq </w:t>
      </w:r>
      <w:r w:rsidRPr="00865C36">
        <w:rPr>
          <w:rFonts w:cs="Times New Roman"/>
          <w:sz w:val="24"/>
          <w:szCs w:val="24"/>
        </w:rPr>
        <w:t>rispetto a 9.050</w:t>
      </w:r>
      <w:r w:rsidR="003D6C96">
        <w:rPr>
          <w:rFonts w:cs="Times New Roman"/>
          <w:sz w:val="24"/>
          <w:szCs w:val="24"/>
        </w:rPr>
        <w:t xml:space="preserve"> €/mq della precedente rilevazione e</w:t>
      </w:r>
      <w:r w:rsidRPr="00865C36">
        <w:rPr>
          <w:rFonts w:cs="Times New Roman"/>
          <w:sz w:val="24"/>
          <w:szCs w:val="24"/>
        </w:rPr>
        <w:t xml:space="preserve"> </w:t>
      </w:r>
      <w:r w:rsidR="003D6C96">
        <w:rPr>
          <w:rFonts w:cs="Times New Roman"/>
          <w:sz w:val="24"/>
          <w:szCs w:val="24"/>
        </w:rPr>
        <w:t xml:space="preserve">sorpassano </w:t>
      </w:r>
      <w:r w:rsidRPr="00865C36">
        <w:rPr>
          <w:rFonts w:cs="Times New Roman"/>
          <w:sz w:val="24"/>
          <w:szCs w:val="24"/>
        </w:rPr>
        <w:t xml:space="preserve">in valore in un anno </w:t>
      </w:r>
      <w:r w:rsidR="003D6C96">
        <w:rPr>
          <w:rFonts w:cs="Times New Roman"/>
          <w:sz w:val="24"/>
          <w:szCs w:val="24"/>
        </w:rPr>
        <w:t xml:space="preserve">gli immobili di </w:t>
      </w:r>
      <w:r w:rsidRPr="00865C36">
        <w:rPr>
          <w:rFonts w:cs="Times New Roman"/>
          <w:sz w:val="24"/>
          <w:szCs w:val="24"/>
        </w:rPr>
        <w:t>Repubblica</w:t>
      </w:r>
      <w:r w:rsidR="003D6C96">
        <w:rPr>
          <w:rFonts w:cs="Times New Roman"/>
          <w:sz w:val="24"/>
          <w:szCs w:val="24"/>
        </w:rPr>
        <w:t xml:space="preserve"> - </w:t>
      </w:r>
      <w:r w:rsidRPr="00865C36">
        <w:rPr>
          <w:rFonts w:cs="Times New Roman"/>
          <w:sz w:val="24"/>
          <w:szCs w:val="24"/>
        </w:rPr>
        <w:t>Porta Nuova</w:t>
      </w:r>
      <w:r w:rsidR="003D6C96">
        <w:rPr>
          <w:rFonts w:cs="Times New Roman"/>
          <w:sz w:val="24"/>
          <w:szCs w:val="24"/>
        </w:rPr>
        <w:t>,</w:t>
      </w:r>
      <w:r w:rsidRPr="00865C36">
        <w:rPr>
          <w:rFonts w:cs="Times New Roman"/>
          <w:sz w:val="24"/>
          <w:szCs w:val="24"/>
        </w:rPr>
        <w:t xml:space="preserve"> che cala</w:t>
      </w:r>
      <w:r w:rsidR="003D6C96">
        <w:rPr>
          <w:rFonts w:cs="Times New Roman"/>
          <w:sz w:val="24"/>
          <w:szCs w:val="24"/>
        </w:rPr>
        <w:t>no</w:t>
      </w:r>
      <w:r w:rsidRPr="00865C36">
        <w:rPr>
          <w:rFonts w:cs="Times New Roman"/>
          <w:sz w:val="24"/>
          <w:szCs w:val="24"/>
        </w:rPr>
        <w:t xml:space="preserve"> da 9.500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 a 9.375</w:t>
      </w:r>
      <w:r w:rsidR="003D6C96">
        <w:rPr>
          <w:rFonts w:cs="Times New Roman"/>
          <w:sz w:val="24"/>
          <w:szCs w:val="24"/>
        </w:rPr>
        <w:t xml:space="preserve"> €/mq,</w:t>
      </w:r>
      <w:r w:rsidRPr="00865C36">
        <w:rPr>
          <w:rFonts w:cs="Times New Roman"/>
          <w:sz w:val="24"/>
          <w:szCs w:val="24"/>
        </w:rPr>
        <w:t xml:space="preserve"> e </w:t>
      </w:r>
      <w:r w:rsidR="003D6C96">
        <w:rPr>
          <w:rFonts w:cs="Times New Roman"/>
          <w:sz w:val="24"/>
          <w:szCs w:val="24"/>
        </w:rPr>
        <w:t xml:space="preserve">di </w:t>
      </w:r>
      <w:r w:rsidRPr="00865C36">
        <w:rPr>
          <w:rFonts w:cs="Times New Roman"/>
          <w:sz w:val="24"/>
          <w:szCs w:val="24"/>
        </w:rPr>
        <w:t xml:space="preserve">Venezia </w:t>
      </w:r>
      <w:r w:rsidR="00B35FE9">
        <w:rPr>
          <w:rFonts w:cs="Times New Roman"/>
          <w:sz w:val="24"/>
          <w:szCs w:val="24"/>
        </w:rPr>
        <w:t>-</w:t>
      </w:r>
      <w:r w:rsidR="003D6C96">
        <w:rPr>
          <w:rFonts w:cs="Times New Roman"/>
          <w:sz w:val="24"/>
          <w:szCs w:val="24"/>
        </w:rPr>
        <w:t xml:space="preserve"> </w:t>
      </w:r>
      <w:r w:rsidRPr="00865C36">
        <w:rPr>
          <w:rFonts w:cs="Times New Roman"/>
          <w:sz w:val="24"/>
          <w:szCs w:val="24"/>
        </w:rPr>
        <w:t>Monforte</w:t>
      </w:r>
      <w:r w:rsidR="003D6C96">
        <w:rPr>
          <w:rFonts w:cs="Times New Roman"/>
          <w:sz w:val="24"/>
          <w:szCs w:val="24"/>
        </w:rPr>
        <w:t>,</w:t>
      </w:r>
      <w:r w:rsidRPr="00865C36">
        <w:rPr>
          <w:rFonts w:cs="Times New Roman"/>
          <w:sz w:val="24"/>
          <w:szCs w:val="24"/>
        </w:rPr>
        <w:t xml:space="preserve"> che resta</w:t>
      </w:r>
      <w:r w:rsidR="003D6C96">
        <w:rPr>
          <w:rFonts w:cs="Times New Roman"/>
          <w:sz w:val="24"/>
          <w:szCs w:val="24"/>
        </w:rPr>
        <w:t>no</w:t>
      </w:r>
      <w:r w:rsidRPr="00865C36">
        <w:rPr>
          <w:rFonts w:cs="Times New Roman"/>
          <w:sz w:val="24"/>
          <w:szCs w:val="24"/>
        </w:rPr>
        <w:t xml:space="preserve"> stabil</w:t>
      </w:r>
      <w:r w:rsidR="003D6C96">
        <w:rPr>
          <w:rFonts w:cs="Times New Roman"/>
          <w:sz w:val="24"/>
          <w:szCs w:val="24"/>
        </w:rPr>
        <w:t>i</w:t>
      </w:r>
      <w:r w:rsidRPr="00865C36">
        <w:rPr>
          <w:rFonts w:cs="Times New Roman"/>
          <w:sz w:val="24"/>
          <w:szCs w:val="24"/>
        </w:rPr>
        <w:t xml:space="preserve"> a 9.350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. </w:t>
      </w:r>
      <w:r w:rsidR="003D6C96">
        <w:rPr>
          <w:rFonts w:cs="Times New Roman"/>
          <w:sz w:val="24"/>
          <w:szCs w:val="24"/>
        </w:rPr>
        <w:t xml:space="preserve">In crescita lieve le quotazioni anche a </w:t>
      </w:r>
      <w:r w:rsidRPr="00865C36">
        <w:rPr>
          <w:rFonts w:cs="Times New Roman"/>
          <w:sz w:val="24"/>
          <w:szCs w:val="24"/>
        </w:rPr>
        <w:t>Largo Augusto</w:t>
      </w:r>
      <w:r w:rsidR="003D6C96">
        <w:rPr>
          <w:rFonts w:cs="Times New Roman"/>
          <w:sz w:val="24"/>
          <w:szCs w:val="24"/>
        </w:rPr>
        <w:t>, che passa</w:t>
      </w:r>
      <w:r w:rsidRPr="00865C36">
        <w:rPr>
          <w:rFonts w:cs="Times New Roman"/>
          <w:sz w:val="24"/>
          <w:szCs w:val="24"/>
        </w:rPr>
        <w:t xml:space="preserve"> da 8.400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 a 8.450</w:t>
      </w:r>
      <w:r w:rsidR="003D6C96">
        <w:rPr>
          <w:rFonts w:cs="Times New Roman"/>
          <w:sz w:val="24"/>
          <w:szCs w:val="24"/>
        </w:rPr>
        <w:t xml:space="preserve"> €/mq</w:t>
      </w:r>
      <w:r w:rsidRPr="00865C36">
        <w:rPr>
          <w:rFonts w:cs="Times New Roman"/>
          <w:sz w:val="24"/>
          <w:szCs w:val="24"/>
        </w:rPr>
        <w:t xml:space="preserve">. </w:t>
      </w:r>
    </w:p>
    <w:p w:rsidR="00343DB6" w:rsidRDefault="00D0315B" w:rsidP="00D0315B">
      <w:pPr>
        <w:jc w:val="both"/>
        <w:rPr>
          <w:rFonts w:cs="Times New Roman"/>
          <w:sz w:val="24"/>
          <w:szCs w:val="24"/>
        </w:rPr>
      </w:pPr>
      <w:r w:rsidRPr="00633036">
        <w:rPr>
          <w:rFonts w:cs="Times New Roman"/>
          <w:b/>
          <w:sz w:val="24"/>
          <w:szCs w:val="24"/>
        </w:rPr>
        <w:t>Cala il prezzo massimo degli affitti in tutte le zone.</w:t>
      </w:r>
      <w:r w:rsidRPr="00633036">
        <w:rPr>
          <w:rFonts w:cs="Times New Roman"/>
          <w:sz w:val="24"/>
          <w:szCs w:val="24"/>
        </w:rPr>
        <w:t xml:space="preserve"> </w:t>
      </w:r>
      <w:r w:rsidR="00633036" w:rsidRPr="00633036">
        <w:rPr>
          <w:rFonts w:cs="Times New Roman"/>
          <w:sz w:val="24"/>
          <w:szCs w:val="24"/>
        </w:rPr>
        <w:t xml:space="preserve">Per quanto riguarda il mercato delle locazioni </w:t>
      </w:r>
      <w:r w:rsidRPr="00633036">
        <w:rPr>
          <w:rFonts w:cs="Times New Roman"/>
          <w:sz w:val="24"/>
          <w:szCs w:val="24"/>
        </w:rPr>
        <w:t xml:space="preserve">nelle diverse zone della città, sono i prezzi massimi </w:t>
      </w:r>
      <w:r w:rsidR="00633036" w:rsidRPr="00633036">
        <w:rPr>
          <w:rFonts w:cs="Times New Roman"/>
          <w:sz w:val="24"/>
          <w:szCs w:val="24"/>
        </w:rPr>
        <w:t xml:space="preserve">- </w:t>
      </w:r>
      <w:r w:rsidRPr="00633036">
        <w:rPr>
          <w:rFonts w:cs="Times New Roman"/>
          <w:sz w:val="24"/>
          <w:szCs w:val="24"/>
        </w:rPr>
        <w:t>per appartamenti pregiati, ben collocati e r</w:t>
      </w:r>
      <w:r w:rsidRPr="00633036">
        <w:rPr>
          <w:rFonts w:cs="Times New Roman"/>
          <w:sz w:val="24"/>
          <w:szCs w:val="24"/>
        </w:rPr>
        <w:t>i</w:t>
      </w:r>
      <w:r w:rsidRPr="00633036">
        <w:rPr>
          <w:rFonts w:cs="Times New Roman"/>
          <w:sz w:val="24"/>
          <w:szCs w:val="24"/>
        </w:rPr>
        <w:t>chiesti</w:t>
      </w:r>
      <w:r w:rsidR="00633036" w:rsidRPr="00633036">
        <w:rPr>
          <w:rFonts w:cs="Times New Roman"/>
          <w:sz w:val="24"/>
          <w:szCs w:val="24"/>
        </w:rPr>
        <w:t xml:space="preserve"> -</w:t>
      </w:r>
      <w:r w:rsidRPr="00633036">
        <w:rPr>
          <w:rFonts w:cs="Times New Roman"/>
          <w:sz w:val="24"/>
          <w:szCs w:val="24"/>
        </w:rPr>
        <w:t xml:space="preserve"> a dover</w:t>
      </w:r>
      <w:r w:rsidR="00633036" w:rsidRPr="00633036">
        <w:rPr>
          <w:rFonts w:cs="Times New Roman"/>
          <w:sz w:val="24"/>
          <w:szCs w:val="24"/>
        </w:rPr>
        <w:t>e</w:t>
      </w:r>
      <w:r w:rsidRPr="00633036">
        <w:rPr>
          <w:rFonts w:cs="Times New Roman"/>
          <w:sz w:val="24"/>
          <w:szCs w:val="24"/>
        </w:rPr>
        <w:t xml:space="preserve"> </w:t>
      </w:r>
      <w:r w:rsidR="00633036" w:rsidRPr="00633036">
        <w:rPr>
          <w:rFonts w:cs="Times New Roman"/>
          <w:sz w:val="24"/>
          <w:szCs w:val="24"/>
        </w:rPr>
        <w:t xml:space="preserve">registrare la </w:t>
      </w:r>
      <w:r w:rsidRPr="00633036">
        <w:rPr>
          <w:rFonts w:cs="Times New Roman"/>
          <w:sz w:val="24"/>
          <w:szCs w:val="24"/>
        </w:rPr>
        <w:t>ridu</w:t>
      </w:r>
      <w:r w:rsidR="00633036" w:rsidRPr="00633036">
        <w:rPr>
          <w:rFonts w:cs="Times New Roman"/>
          <w:sz w:val="24"/>
          <w:szCs w:val="24"/>
        </w:rPr>
        <w:t xml:space="preserve">zione di valore </w:t>
      </w:r>
      <w:r w:rsidR="007F6EFE" w:rsidRPr="00633036">
        <w:rPr>
          <w:rFonts w:cs="Times New Roman"/>
          <w:sz w:val="24"/>
          <w:szCs w:val="24"/>
        </w:rPr>
        <w:t>più significativa</w:t>
      </w:r>
      <w:r w:rsidRPr="00633036">
        <w:rPr>
          <w:rFonts w:cs="Times New Roman"/>
          <w:sz w:val="24"/>
          <w:szCs w:val="24"/>
        </w:rPr>
        <w:t xml:space="preserve">. In centro </w:t>
      </w:r>
      <w:r w:rsidR="00633036" w:rsidRPr="00633036">
        <w:rPr>
          <w:rFonts w:cs="Times New Roman"/>
          <w:sz w:val="24"/>
          <w:szCs w:val="24"/>
        </w:rPr>
        <w:t>le quotazioni calano a -</w:t>
      </w:r>
      <w:r w:rsidRPr="00633036">
        <w:rPr>
          <w:rFonts w:cs="Times New Roman"/>
          <w:sz w:val="24"/>
          <w:szCs w:val="24"/>
        </w:rPr>
        <w:t xml:space="preserve">11% per i monolocali e </w:t>
      </w:r>
      <w:r w:rsidR="00633036" w:rsidRPr="00633036">
        <w:rPr>
          <w:rFonts w:cs="Times New Roman"/>
          <w:sz w:val="24"/>
          <w:szCs w:val="24"/>
        </w:rPr>
        <w:t xml:space="preserve">a </w:t>
      </w:r>
      <w:r w:rsidRPr="00633036">
        <w:rPr>
          <w:rFonts w:cs="Times New Roman"/>
          <w:sz w:val="24"/>
          <w:szCs w:val="24"/>
        </w:rPr>
        <w:t xml:space="preserve">-20% per i bilocali. Nella cerchia </w:t>
      </w:r>
      <w:r w:rsidR="00633036" w:rsidRPr="00633036">
        <w:rPr>
          <w:rFonts w:cs="Times New Roman"/>
          <w:sz w:val="24"/>
          <w:szCs w:val="24"/>
        </w:rPr>
        <w:t xml:space="preserve">dei </w:t>
      </w:r>
      <w:r w:rsidRPr="00633036">
        <w:rPr>
          <w:rFonts w:cs="Times New Roman"/>
          <w:sz w:val="24"/>
          <w:szCs w:val="24"/>
        </w:rPr>
        <w:t>Ba</w:t>
      </w:r>
      <w:r w:rsidR="00B97AC9" w:rsidRPr="00633036">
        <w:rPr>
          <w:rFonts w:cs="Times New Roman"/>
          <w:sz w:val="24"/>
          <w:szCs w:val="24"/>
        </w:rPr>
        <w:t xml:space="preserve">stioni </w:t>
      </w:r>
      <w:r w:rsidR="00633036" w:rsidRPr="00633036">
        <w:rPr>
          <w:rFonts w:cs="Times New Roman"/>
          <w:sz w:val="24"/>
          <w:szCs w:val="24"/>
        </w:rPr>
        <w:t>si evidenziano valori in dim</w:t>
      </w:r>
      <w:r w:rsidR="00633036" w:rsidRPr="00633036">
        <w:rPr>
          <w:rFonts w:cs="Times New Roman"/>
          <w:sz w:val="24"/>
          <w:szCs w:val="24"/>
        </w:rPr>
        <w:t>i</w:t>
      </w:r>
      <w:r w:rsidR="00633036" w:rsidRPr="00633036">
        <w:rPr>
          <w:rFonts w:cs="Times New Roman"/>
          <w:sz w:val="24"/>
          <w:szCs w:val="24"/>
        </w:rPr>
        <w:t xml:space="preserve">nuzione di </w:t>
      </w:r>
      <w:r w:rsidR="00B97AC9" w:rsidRPr="00633036">
        <w:rPr>
          <w:rFonts w:cs="Times New Roman"/>
          <w:sz w:val="24"/>
          <w:szCs w:val="24"/>
        </w:rPr>
        <w:t xml:space="preserve">-4% per i monolocali e </w:t>
      </w:r>
      <w:r w:rsidR="00633036" w:rsidRPr="00633036">
        <w:rPr>
          <w:rFonts w:cs="Times New Roman"/>
          <w:sz w:val="24"/>
          <w:szCs w:val="24"/>
        </w:rPr>
        <w:t xml:space="preserve">di </w:t>
      </w:r>
      <w:r w:rsidR="00B97AC9" w:rsidRPr="00633036">
        <w:rPr>
          <w:rFonts w:cs="Times New Roman"/>
          <w:sz w:val="24"/>
          <w:szCs w:val="24"/>
        </w:rPr>
        <w:t>-</w:t>
      </w:r>
      <w:r w:rsidRPr="00633036">
        <w:rPr>
          <w:rFonts w:cs="Times New Roman"/>
          <w:sz w:val="24"/>
          <w:szCs w:val="24"/>
        </w:rPr>
        <w:t xml:space="preserve">5% per i trilocali. </w:t>
      </w:r>
      <w:r w:rsidR="00633036" w:rsidRPr="00633036">
        <w:rPr>
          <w:rFonts w:cs="Times New Roman"/>
          <w:sz w:val="24"/>
          <w:szCs w:val="24"/>
        </w:rPr>
        <w:t xml:space="preserve">Più stabile il mercato degli affitti in </w:t>
      </w:r>
      <w:r w:rsidRPr="00633036">
        <w:rPr>
          <w:rFonts w:cs="Times New Roman"/>
          <w:sz w:val="24"/>
          <w:szCs w:val="24"/>
        </w:rPr>
        <w:t>Circo</w:t>
      </w:r>
      <w:r w:rsidRPr="00633036">
        <w:rPr>
          <w:rFonts w:cs="Times New Roman"/>
          <w:sz w:val="24"/>
          <w:szCs w:val="24"/>
        </w:rPr>
        <w:t>n</w:t>
      </w:r>
      <w:r w:rsidRPr="00633036">
        <w:rPr>
          <w:rFonts w:cs="Times New Roman"/>
          <w:sz w:val="24"/>
          <w:szCs w:val="24"/>
        </w:rPr>
        <w:t xml:space="preserve">vallazione, in calo </w:t>
      </w:r>
      <w:r w:rsidR="00B35FE9">
        <w:rPr>
          <w:rFonts w:cs="Times New Roman"/>
          <w:sz w:val="24"/>
          <w:szCs w:val="24"/>
        </w:rPr>
        <w:t xml:space="preserve">però </w:t>
      </w:r>
      <w:r w:rsidRPr="00633036">
        <w:rPr>
          <w:rFonts w:cs="Times New Roman"/>
          <w:sz w:val="24"/>
          <w:szCs w:val="24"/>
        </w:rPr>
        <w:t xml:space="preserve">per i quadrilocali e </w:t>
      </w:r>
      <w:r w:rsidR="00B35FE9">
        <w:rPr>
          <w:rFonts w:cs="Times New Roman"/>
          <w:sz w:val="24"/>
          <w:szCs w:val="24"/>
        </w:rPr>
        <w:t>le metrature ulteriori</w:t>
      </w:r>
      <w:r w:rsidRPr="00633036">
        <w:rPr>
          <w:rFonts w:cs="Times New Roman"/>
          <w:sz w:val="24"/>
          <w:szCs w:val="24"/>
        </w:rPr>
        <w:t xml:space="preserve"> del 9%. In periferia </w:t>
      </w:r>
      <w:r w:rsidR="00B35FE9">
        <w:rPr>
          <w:rFonts w:cs="Times New Roman"/>
          <w:sz w:val="24"/>
          <w:szCs w:val="24"/>
        </w:rPr>
        <w:t>gli affitti s</w:t>
      </w:r>
      <w:r w:rsidR="00B35FE9">
        <w:rPr>
          <w:rFonts w:cs="Times New Roman"/>
          <w:sz w:val="24"/>
          <w:szCs w:val="24"/>
        </w:rPr>
        <w:t>e</w:t>
      </w:r>
      <w:r w:rsidR="00B35FE9">
        <w:rPr>
          <w:rFonts w:cs="Times New Roman"/>
          <w:sz w:val="24"/>
          <w:szCs w:val="24"/>
        </w:rPr>
        <w:t xml:space="preserve">gnano quotazioni in calo di </w:t>
      </w:r>
      <w:r w:rsidRPr="00633036">
        <w:rPr>
          <w:rFonts w:cs="Times New Roman"/>
          <w:sz w:val="24"/>
          <w:szCs w:val="24"/>
        </w:rPr>
        <w:t>-3% per monolocali e trilocali, -2% per i bilocali.</w:t>
      </w:r>
    </w:p>
    <w:p w:rsidR="00865C36" w:rsidRPr="00343DB6" w:rsidRDefault="00343DB6" w:rsidP="00D0315B">
      <w:pPr>
        <w:jc w:val="both"/>
        <w:rPr>
          <w:rFonts w:cs="Times New Roman"/>
          <w:sz w:val="24"/>
          <w:szCs w:val="24"/>
        </w:rPr>
      </w:pPr>
      <w:r w:rsidRPr="00343DB6">
        <w:rPr>
          <w:rFonts w:cs="Times New Roman"/>
          <w:b/>
          <w:i/>
          <w:sz w:val="24"/>
          <w:szCs w:val="24"/>
        </w:rPr>
        <w:br/>
      </w:r>
      <w:r w:rsidRPr="00343DB6">
        <w:rPr>
          <w:rFonts w:cs="Times New Roman"/>
          <w:i/>
          <w:sz w:val="24"/>
          <w:szCs w:val="24"/>
        </w:rPr>
        <w:t>“Soprattutto in una situazione complessa e di grandi incertezze come quella conseguente alla pa</w:t>
      </w:r>
      <w:r w:rsidRPr="00343DB6">
        <w:rPr>
          <w:rFonts w:cs="Times New Roman"/>
          <w:i/>
          <w:sz w:val="24"/>
          <w:szCs w:val="24"/>
        </w:rPr>
        <w:t>n</w:t>
      </w:r>
      <w:r w:rsidRPr="00343DB6">
        <w:rPr>
          <w:rFonts w:cs="Times New Roman"/>
          <w:i/>
          <w:sz w:val="24"/>
          <w:szCs w:val="24"/>
        </w:rPr>
        <w:t>demia</w:t>
      </w:r>
      <w:r w:rsidRPr="00343DB6">
        <w:rPr>
          <w:rFonts w:cs="Times New Roman"/>
          <w:b/>
          <w:sz w:val="24"/>
          <w:szCs w:val="24"/>
        </w:rPr>
        <w:t xml:space="preserve"> - dichiara </w:t>
      </w:r>
      <w:r w:rsidRPr="00343DB6">
        <w:rPr>
          <w:rFonts w:cs="Times New Roman"/>
          <w:b/>
          <w:bCs/>
          <w:sz w:val="24"/>
          <w:szCs w:val="24"/>
        </w:rPr>
        <w:t>Beatrice Zanolini</w:t>
      </w:r>
      <w:r w:rsidRPr="00343DB6">
        <w:rPr>
          <w:rFonts w:cs="Times New Roman"/>
          <w:b/>
          <w:sz w:val="24"/>
          <w:szCs w:val="24"/>
        </w:rPr>
        <w:t xml:space="preserve">, consigliere della Camera di commercio di Milano Monza Brianza Lodi – </w:t>
      </w:r>
      <w:r w:rsidRPr="00343DB6">
        <w:rPr>
          <w:rFonts w:cs="Times New Roman"/>
          <w:i/>
          <w:sz w:val="24"/>
          <w:szCs w:val="24"/>
        </w:rPr>
        <w:t>questa rilevazione dei prezzi si conferma essere una fotografia reale, condivisa da tutte le associazioni e le organizzazioni che raccolgono i dati. L’impatto della pandemia si riflette nel settore immobiliare in modo evidente e i dati vanno letti con molta attenzione. Lo studentato, lo smart working, la maggiore sensibilità alla qualità della vita, il comparto commerciale in soff</w:t>
      </w:r>
      <w:r w:rsidRPr="00343DB6">
        <w:rPr>
          <w:rFonts w:cs="Times New Roman"/>
          <w:i/>
          <w:sz w:val="24"/>
          <w:szCs w:val="24"/>
        </w:rPr>
        <w:t>e</w:t>
      </w:r>
      <w:r w:rsidRPr="00343DB6">
        <w:rPr>
          <w:rFonts w:cs="Times New Roman"/>
          <w:i/>
          <w:sz w:val="24"/>
          <w:szCs w:val="24"/>
        </w:rPr>
        <w:t xml:space="preserve">renza ed il cambio di rotta di molte aziende rispetto ai propri uffici sono solo alcuni dei fattori che </w:t>
      </w:r>
      <w:r w:rsidRPr="00343DB6">
        <w:rPr>
          <w:rFonts w:cs="Times New Roman"/>
          <w:i/>
          <w:sz w:val="24"/>
          <w:szCs w:val="24"/>
        </w:rPr>
        <w:lastRenderedPageBreak/>
        <w:t>meritano la nostra attenzione; ciò affinché la nostra Camera di commercio continui ad essere di r</w:t>
      </w:r>
      <w:r w:rsidRPr="00343DB6">
        <w:rPr>
          <w:rFonts w:cs="Times New Roman"/>
          <w:i/>
          <w:sz w:val="24"/>
          <w:szCs w:val="24"/>
        </w:rPr>
        <w:t>i</w:t>
      </w:r>
      <w:r w:rsidRPr="00343DB6">
        <w:rPr>
          <w:rFonts w:cs="Times New Roman"/>
          <w:i/>
          <w:sz w:val="24"/>
          <w:szCs w:val="24"/>
        </w:rPr>
        <w:t>ferimento e di supporto anche per le istituzioni nei progetti di sviluppo urbano”.</w:t>
      </w:r>
    </w:p>
    <w:p w:rsidR="008E130A" w:rsidRPr="009A0CB5" w:rsidRDefault="00865C36" w:rsidP="00D0315B">
      <w:pPr>
        <w:jc w:val="both"/>
        <w:rPr>
          <w:rFonts w:cs="Times New Roman"/>
          <w:bCs/>
          <w:i/>
          <w:iCs/>
          <w:sz w:val="24"/>
          <w:szCs w:val="24"/>
        </w:rPr>
      </w:pPr>
      <w:r w:rsidRPr="008E130A">
        <w:rPr>
          <w:rFonts w:cs="Times New Roman"/>
          <w:b/>
          <w:sz w:val="24"/>
          <w:szCs w:val="24"/>
        </w:rPr>
        <w:t>Andrea Marietti</w:t>
      </w:r>
      <w:r w:rsidR="008E130A">
        <w:rPr>
          <w:rFonts w:cs="Times New Roman"/>
          <w:b/>
          <w:sz w:val="24"/>
          <w:szCs w:val="24"/>
        </w:rPr>
        <w:t>, Vice Presidente Commissione Immobili</w:t>
      </w:r>
      <w:r w:rsidR="009A0CB5">
        <w:rPr>
          <w:rFonts w:cs="Times New Roman"/>
          <w:b/>
          <w:sz w:val="24"/>
          <w:szCs w:val="24"/>
        </w:rPr>
        <w:t xml:space="preserve">, rileva come </w:t>
      </w:r>
      <w:r w:rsidR="009A0CB5">
        <w:rPr>
          <w:rFonts w:cs="Times New Roman"/>
          <w:bCs/>
          <w:sz w:val="24"/>
          <w:szCs w:val="24"/>
        </w:rPr>
        <w:t>“</w:t>
      </w:r>
      <w:r w:rsidR="009A0CB5">
        <w:rPr>
          <w:rFonts w:cs="Times New Roman"/>
          <w:bCs/>
          <w:i/>
          <w:iCs/>
          <w:sz w:val="24"/>
          <w:szCs w:val="24"/>
        </w:rPr>
        <w:t>n</w:t>
      </w:r>
      <w:r w:rsidR="009A0CB5" w:rsidRPr="009A0CB5">
        <w:rPr>
          <w:rFonts w:cs="Times New Roman"/>
          <w:bCs/>
          <w:i/>
          <w:iCs/>
          <w:sz w:val="24"/>
          <w:szCs w:val="24"/>
        </w:rPr>
        <w:t>onostante i timori prov</w:t>
      </w:r>
      <w:r w:rsidR="009A0CB5" w:rsidRPr="009A0CB5">
        <w:rPr>
          <w:rFonts w:cs="Times New Roman"/>
          <w:bCs/>
          <w:i/>
          <w:iCs/>
          <w:sz w:val="24"/>
          <w:szCs w:val="24"/>
        </w:rPr>
        <w:t>o</w:t>
      </w:r>
      <w:r w:rsidR="009A0CB5" w:rsidRPr="009A0CB5">
        <w:rPr>
          <w:rFonts w:cs="Times New Roman"/>
          <w:bCs/>
          <w:i/>
          <w:iCs/>
          <w:sz w:val="24"/>
          <w:szCs w:val="24"/>
        </w:rPr>
        <w:t>cati dalla pandemia e</w:t>
      </w:r>
      <w:r w:rsidR="009A0CB5">
        <w:rPr>
          <w:rFonts w:cs="Times New Roman"/>
          <w:bCs/>
          <w:i/>
          <w:iCs/>
          <w:sz w:val="24"/>
          <w:szCs w:val="24"/>
        </w:rPr>
        <w:t>d</w:t>
      </w:r>
      <w:r w:rsidR="009A0CB5" w:rsidRPr="009A0CB5">
        <w:rPr>
          <w:rFonts w:cs="Times New Roman"/>
          <w:bCs/>
          <w:i/>
          <w:iCs/>
          <w:sz w:val="24"/>
          <w:szCs w:val="24"/>
        </w:rPr>
        <w:t xml:space="preserve"> i mesi di attività mancata o ridotta, con leggero calo del numero delle tra</w:t>
      </w:r>
      <w:r w:rsidR="009A0CB5" w:rsidRPr="009A0CB5">
        <w:rPr>
          <w:rFonts w:cs="Times New Roman"/>
          <w:bCs/>
          <w:i/>
          <w:iCs/>
          <w:sz w:val="24"/>
          <w:szCs w:val="24"/>
        </w:rPr>
        <w:t>n</w:t>
      </w:r>
      <w:r w:rsidR="009A0CB5" w:rsidRPr="009A0CB5">
        <w:rPr>
          <w:rFonts w:cs="Times New Roman"/>
          <w:bCs/>
          <w:i/>
          <w:iCs/>
          <w:sz w:val="24"/>
          <w:szCs w:val="24"/>
        </w:rPr>
        <w:t>sazioni, il mercato immobiliare di Milano e dell’hinterland ha mantenuto tratti di grande vitalità. I prezzi a Milano sono cresciuti in un anno in modo contenuto (</w:t>
      </w:r>
      <w:r w:rsidR="009A0CB5">
        <w:rPr>
          <w:rFonts w:cs="Times New Roman"/>
          <w:bCs/>
          <w:i/>
          <w:iCs/>
          <w:sz w:val="24"/>
          <w:szCs w:val="24"/>
        </w:rPr>
        <w:t>+</w:t>
      </w:r>
      <w:r w:rsidR="009A0CB5" w:rsidRPr="009A0CB5">
        <w:rPr>
          <w:rFonts w:cs="Times New Roman"/>
          <w:bCs/>
          <w:i/>
          <w:iCs/>
          <w:sz w:val="24"/>
          <w:szCs w:val="24"/>
        </w:rPr>
        <w:t>1%), ma soprattutto nelle periferie nord ed est in conseguenza di processi di gentrificazione e crescita dei servizi. Addirittura si è i</w:t>
      </w:r>
      <w:r w:rsidR="009A0CB5" w:rsidRPr="009A0CB5">
        <w:rPr>
          <w:rFonts w:cs="Times New Roman"/>
          <w:bCs/>
          <w:i/>
          <w:iCs/>
          <w:sz w:val="24"/>
          <w:szCs w:val="24"/>
        </w:rPr>
        <w:t>m</w:t>
      </w:r>
      <w:r w:rsidR="009A0CB5" w:rsidRPr="009A0CB5">
        <w:rPr>
          <w:rFonts w:cs="Times New Roman"/>
          <w:bCs/>
          <w:i/>
          <w:iCs/>
          <w:sz w:val="24"/>
          <w:szCs w:val="24"/>
        </w:rPr>
        <w:t>provvisamente accelerato lo spostamento dalla città verso l’hinterland con una crescita del numero delle transazioni ed un aumento dei prezzi, soprattutto nelle aree a nord della città. All’opposto una significativa crisi segna il mercato dell’affitto per la drastica riduzione della richiesta di loc</w:t>
      </w:r>
      <w:r w:rsidR="009A0CB5" w:rsidRPr="009A0CB5">
        <w:rPr>
          <w:rFonts w:cs="Times New Roman"/>
          <w:bCs/>
          <w:i/>
          <w:iCs/>
          <w:sz w:val="24"/>
          <w:szCs w:val="24"/>
        </w:rPr>
        <w:t>a</w:t>
      </w:r>
      <w:r w:rsidR="009A0CB5" w:rsidRPr="009A0CB5">
        <w:rPr>
          <w:rFonts w:cs="Times New Roman"/>
          <w:bCs/>
          <w:i/>
          <w:iCs/>
          <w:sz w:val="24"/>
          <w:szCs w:val="24"/>
        </w:rPr>
        <w:t>zione a breve  termine</w:t>
      </w:r>
      <w:r w:rsidR="009A0CB5">
        <w:rPr>
          <w:rFonts w:cs="Times New Roman"/>
          <w:bCs/>
          <w:i/>
          <w:iCs/>
          <w:sz w:val="24"/>
          <w:szCs w:val="24"/>
        </w:rPr>
        <w:t>”</w:t>
      </w:r>
      <w:r w:rsidR="009A0CB5" w:rsidRPr="009A0CB5">
        <w:rPr>
          <w:rFonts w:cs="Times New Roman"/>
          <w:bCs/>
          <w:i/>
          <w:iCs/>
          <w:sz w:val="24"/>
          <w:szCs w:val="24"/>
        </w:rPr>
        <w:t>.</w:t>
      </w:r>
    </w:p>
    <w:p w:rsidR="00865C36" w:rsidRPr="008E130A" w:rsidRDefault="00865C36" w:rsidP="00D0315B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“</w:t>
      </w:r>
      <w:r w:rsidRPr="00865C36">
        <w:rPr>
          <w:rFonts w:cs="Times New Roman"/>
          <w:i/>
          <w:sz w:val="24"/>
          <w:szCs w:val="24"/>
        </w:rPr>
        <w:t>I tre principali trend immobiliari della Milano 2021 saranno il passaggio dal </w:t>
      </w:r>
      <w:r w:rsidRPr="00865C36">
        <w:rPr>
          <w:rFonts w:cs="Times New Roman"/>
          <w:i/>
          <w:iCs/>
          <w:sz w:val="24"/>
          <w:szCs w:val="24"/>
        </w:rPr>
        <w:t>residenziale</w:t>
      </w:r>
      <w:r w:rsidRPr="00865C36">
        <w:rPr>
          <w:rFonts w:cs="Times New Roman"/>
          <w:i/>
          <w:sz w:val="24"/>
          <w:szCs w:val="24"/>
        </w:rPr>
        <w:t> al </w:t>
      </w:r>
      <w:r w:rsidRPr="00865C36">
        <w:rPr>
          <w:rFonts w:cs="Times New Roman"/>
          <w:i/>
          <w:iCs/>
          <w:sz w:val="24"/>
          <w:szCs w:val="24"/>
        </w:rPr>
        <w:t>living</w:t>
      </w:r>
      <w:r w:rsidRPr="00865C36">
        <w:rPr>
          <w:rFonts w:cs="Times New Roman"/>
          <w:i/>
          <w:sz w:val="24"/>
          <w:szCs w:val="24"/>
        </w:rPr>
        <w:t>, la </w:t>
      </w:r>
      <w:r w:rsidRPr="00865C36">
        <w:rPr>
          <w:rFonts w:cs="Times New Roman"/>
          <w:i/>
          <w:iCs/>
          <w:sz w:val="24"/>
          <w:szCs w:val="24"/>
        </w:rPr>
        <w:t>Milano dei quartieri</w:t>
      </w:r>
      <w:r w:rsidRPr="00865C36">
        <w:rPr>
          <w:rFonts w:cs="Times New Roman"/>
          <w:i/>
          <w:sz w:val="24"/>
          <w:szCs w:val="24"/>
        </w:rPr>
        <w:t> e la definizione di un approccio all’abitare</w:t>
      </w:r>
      <w:r w:rsidRPr="00865C36">
        <w:rPr>
          <w:rFonts w:cs="Times New Roman"/>
          <w:i/>
          <w:iCs/>
          <w:sz w:val="24"/>
          <w:szCs w:val="24"/>
        </w:rPr>
        <w:t xml:space="preserve"> wellness oriented </w:t>
      </w:r>
      <w:r w:rsidRPr="008E130A">
        <w:rPr>
          <w:rFonts w:cs="Times New Roman"/>
          <w:iCs/>
          <w:sz w:val="24"/>
          <w:szCs w:val="24"/>
        </w:rPr>
        <w:t>- </w:t>
      </w:r>
      <w:r w:rsidRPr="008E130A">
        <w:rPr>
          <w:rFonts w:cs="Times New Roman"/>
          <w:b/>
          <w:sz w:val="24"/>
          <w:szCs w:val="24"/>
        </w:rPr>
        <w:t>sostiene Vi</w:t>
      </w:r>
      <w:r w:rsidRPr="008E130A">
        <w:rPr>
          <w:rFonts w:cs="Times New Roman"/>
          <w:b/>
          <w:sz w:val="24"/>
          <w:szCs w:val="24"/>
        </w:rPr>
        <w:t>n</w:t>
      </w:r>
      <w:r w:rsidRPr="008E130A">
        <w:rPr>
          <w:rFonts w:cs="Times New Roman"/>
          <w:b/>
          <w:sz w:val="24"/>
          <w:szCs w:val="24"/>
        </w:rPr>
        <w:t>cenzo Albanese</w:t>
      </w:r>
      <w:r w:rsidR="00517A8A">
        <w:rPr>
          <w:rFonts w:cs="Times New Roman"/>
          <w:b/>
          <w:sz w:val="24"/>
          <w:szCs w:val="24"/>
        </w:rPr>
        <w:t>,</w:t>
      </w:r>
      <w:r w:rsidRPr="008E130A">
        <w:rPr>
          <w:rFonts w:cs="Times New Roman"/>
          <w:b/>
          <w:sz w:val="24"/>
          <w:szCs w:val="24"/>
        </w:rPr>
        <w:t xml:space="preserve"> Presidente FIMAA Mi</w:t>
      </w:r>
      <w:r w:rsidR="008E130A">
        <w:rPr>
          <w:rFonts w:cs="Times New Roman"/>
          <w:b/>
          <w:sz w:val="24"/>
          <w:szCs w:val="24"/>
        </w:rPr>
        <w:t xml:space="preserve">lano </w:t>
      </w:r>
      <w:r w:rsidR="00517A8A">
        <w:rPr>
          <w:rFonts w:cs="Times New Roman"/>
          <w:b/>
          <w:sz w:val="24"/>
          <w:szCs w:val="24"/>
        </w:rPr>
        <w:t xml:space="preserve">Lodi </w:t>
      </w:r>
      <w:r w:rsidRPr="008E130A">
        <w:rPr>
          <w:rFonts w:cs="Times New Roman"/>
          <w:b/>
          <w:sz w:val="24"/>
          <w:szCs w:val="24"/>
        </w:rPr>
        <w:t>M</w:t>
      </w:r>
      <w:r w:rsidR="008E130A">
        <w:rPr>
          <w:rFonts w:cs="Times New Roman"/>
          <w:b/>
          <w:sz w:val="24"/>
          <w:szCs w:val="24"/>
        </w:rPr>
        <w:t xml:space="preserve">onza </w:t>
      </w:r>
      <w:r w:rsidR="00517A8A">
        <w:rPr>
          <w:rFonts w:cs="Times New Roman"/>
          <w:b/>
          <w:sz w:val="24"/>
          <w:szCs w:val="24"/>
        </w:rPr>
        <w:t xml:space="preserve">e </w:t>
      </w:r>
      <w:r w:rsidR="008E130A">
        <w:rPr>
          <w:rFonts w:cs="Times New Roman"/>
          <w:b/>
          <w:sz w:val="24"/>
          <w:szCs w:val="24"/>
        </w:rPr>
        <w:t>Brianza</w:t>
      </w:r>
      <w:r w:rsidRPr="008E130A">
        <w:rPr>
          <w:rFonts w:cs="Times New Roman"/>
          <w:iCs/>
          <w:sz w:val="24"/>
          <w:szCs w:val="24"/>
        </w:rPr>
        <w:t>.</w:t>
      </w:r>
      <w:r w:rsidRPr="00865C36">
        <w:rPr>
          <w:rFonts w:cs="Times New Roman"/>
          <w:i/>
          <w:iCs/>
          <w:sz w:val="24"/>
          <w:szCs w:val="24"/>
        </w:rPr>
        <w:t xml:space="preserve"> </w:t>
      </w:r>
      <w:r w:rsidRPr="00865C36">
        <w:rPr>
          <w:rFonts w:cs="Times New Roman"/>
          <w:i/>
          <w:sz w:val="24"/>
          <w:szCs w:val="24"/>
        </w:rPr>
        <w:t>Complice il grande interesse per il comparto residenziale negli ultimi mesi, si assisterà infatti a un’importante diffusione di progetti alternativi quali gli </w:t>
      </w:r>
      <w:r w:rsidRPr="00865C36">
        <w:rPr>
          <w:rFonts w:cs="Times New Roman"/>
          <w:i/>
          <w:iCs/>
          <w:sz w:val="24"/>
          <w:szCs w:val="24"/>
        </w:rPr>
        <w:t>student housing, i senior living</w:t>
      </w:r>
      <w:r w:rsidRPr="00865C36">
        <w:rPr>
          <w:rFonts w:cs="Times New Roman"/>
          <w:i/>
          <w:sz w:val="24"/>
          <w:szCs w:val="24"/>
        </w:rPr>
        <w:t> e gli sviluppi dedicati all’affitto. Si cons</w:t>
      </w:r>
      <w:r w:rsidRPr="00865C36">
        <w:rPr>
          <w:rFonts w:cs="Times New Roman"/>
          <w:i/>
          <w:sz w:val="24"/>
          <w:szCs w:val="24"/>
        </w:rPr>
        <w:t>o</w:t>
      </w:r>
      <w:r w:rsidRPr="00865C36">
        <w:rPr>
          <w:rFonts w:cs="Times New Roman"/>
          <w:i/>
          <w:sz w:val="24"/>
          <w:szCs w:val="24"/>
        </w:rPr>
        <w:t>liderà la “città dei quartieri” nella quale la qualità dell’abitare sarà percepita come strettamente connessa alla presenza di servizi a breve distanza (città dei 15 minu</w:t>
      </w:r>
      <w:r w:rsidR="008E130A">
        <w:rPr>
          <w:rFonts w:cs="Times New Roman"/>
          <w:i/>
          <w:sz w:val="24"/>
          <w:szCs w:val="24"/>
        </w:rPr>
        <w:t>ti) e</w:t>
      </w:r>
      <w:r w:rsidRPr="00865C36">
        <w:rPr>
          <w:rFonts w:cs="Times New Roman"/>
          <w:i/>
          <w:sz w:val="24"/>
          <w:szCs w:val="24"/>
        </w:rPr>
        <w:t xml:space="preserve"> di verde e di quartieri mixed use. I</w:t>
      </w:r>
      <w:r w:rsidRPr="00865C36">
        <w:rPr>
          <w:rFonts w:cs="Times New Roman"/>
          <w:i/>
          <w:sz w:val="24"/>
          <w:szCs w:val="24"/>
        </w:rPr>
        <w:t>n</w:t>
      </w:r>
      <w:r w:rsidRPr="00865C36">
        <w:rPr>
          <w:rFonts w:cs="Times New Roman"/>
          <w:i/>
          <w:sz w:val="24"/>
          <w:szCs w:val="24"/>
        </w:rPr>
        <w:t>fine, assisteremo all’affermarsi dell’approccio residenziale </w:t>
      </w:r>
      <w:r w:rsidRPr="00865C36">
        <w:rPr>
          <w:rFonts w:cs="Times New Roman"/>
          <w:i/>
          <w:iCs/>
          <w:sz w:val="24"/>
          <w:szCs w:val="24"/>
        </w:rPr>
        <w:t>wellness oriented </w:t>
      </w:r>
      <w:r w:rsidRPr="00865C36">
        <w:rPr>
          <w:rFonts w:cs="Times New Roman"/>
          <w:i/>
          <w:sz w:val="24"/>
          <w:szCs w:val="24"/>
        </w:rPr>
        <w:t>improntato a layout riconfigurabili, alla presenza di spazi esterni green, alla salubrità intesa come wellness (ossia del benessere psicofisico di spazi, materiale, luci e colori). Milano ha tutte le carte in regola per ripart</w:t>
      </w:r>
      <w:r w:rsidRPr="00865C36">
        <w:rPr>
          <w:rFonts w:cs="Times New Roman"/>
          <w:i/>
          <w:sz w:val="24"/>
          <w:szCs w:val="24"/>
        </w:rPr>
        <w:t>i</w:t>
      </w:r>
      <w:r w:rsidRPr="00865C36">
        <w:rPr>
          <w:rFonts w:cs="Times New Roman"/>
          <w:i/>
          <w:sz w:val="24"/>
          <w:szCs w:val="24"/>
        </w:rPr>
        <w:t>re dalla discontinuità generata dalla pandemia e diventare ancora più attrattiva, non solo per i c</w:t>
      </w:r>
      <w:r w:rsidRPr="00865C36">
        <w:rPr>
          <w:rFonts w:cs="Times New Roman"/>
          <w:i/>
          <w:sz w:val="24"/>
          <w:szCs w:val="24"/>
        </w:rPr>
        <w:t>a</w:t>
      </w:r>
      <w:r w:rsidRPr="00865C36">
        <w:rPr>
          <w:rFonts w:cs="Times New Roman"/>
          <w:i/>
          <w:sz w:val="24"/>
          <w:szCs w:val="24"/>
        </w:rPr>
        <w:t>pitali internazionali, ma anche per chi la sceglierà per lavorarci, abitarci e viverci“</w:t>
      </w:r>
      <w:r w:rsidR="008E130A">
        <w:rPr>
          <w:rFonts w:cs="Times New Roman"/>
          <w:sz w:val="24"/>
          <w:szCs w:val="24"/>
        </w:rPr>
        <w:t>.</w:t>
      </w:r>
    </w:p>
    <w:p w:rsidR="00B559B3" w:rsidRPr="00B559B3" w:rsidRDefault="00B559B3" w:rsidP="00B559B3">
      <w:pPr>
        <w:jc w:val="both"/>
        <w:rPr>
          <w:rFonts w:cs="Times New Roman"/>
          <w:bCs/>
          <w:i/>
          <w:iCs/>
          <w:sz w:val="24"/>
          <w:szCs w:val="24"/>
        </w:rPr>
      </w:pPr>
      <w:r w:rsidRPr="00B559B3">
        <w:rPr>
          <w:rFonts w:cs="Times New Roman"/>
          <w:bCs/>
          <w:i/>
          <w:iCs/>
          <w:sz w:val="24"/>
          <w:szCs w:val="24"/>
        </w:rPr>
        <w:t>“Anche nel perdurare di questa emergenza sanitaria, Milano riconferma la propria attrattivita’ e vede affacciarsi il rinnovato interesse da parte di investitori istit</w:t>
      </w:r>
      <w:r w:rsidRPr="00B559B3">
        <w:rPr>
          <w:rFonts w:cs="Times New Roman"/>
          <w:bCs/>
          <w:i/>
          <w:iCs/>
          <w:sz w:val="24"/>
          <w:szCs w:val="24"/>
        </w:rPr>
        <w:t>u</w:t>
      </w:r>
      <w:r w:rsidRPr="00B559B3">
        <w:rPr>
          <w:rFonts w:cs="Times New Roman"/>
          <w:bCs/>
          <w:i/>
          <w:iCs/>
          <w:sz w:val="24"/>
          <w:szCs w:val="24"/>
        </w:rPr>
        <w:t xml:space="preserve">zionali per il mercato delle nuove costruzioni </w:t>
      </w:r>
      <w:r w:rsidRPr="00B559B3">
        <w:rPr>
          <w:rFonts w:cs="Times New Roman"/>
          <w:b/>
          <w:sz w:val="24"/>
          <w:szCs w:val="24"/>
        </w:rPr>
        <w:t>- afferma Carlo Rusconi, Vice Presidente di Assimpredil Ance per l’Edilizia, la Prom</w:t>
      </w:r>
      <w:r w:rsidRPr="00B559B3">
        <w:rPr>
          <w:rFonts w:cs="Times New Roman"/>
          <w:b/>
          <w:sz w:val="24"/>
          <w:szCs w:val="24"/>
        </w:rPr>
        <w:t>o</w:t>
      </w:r>
      <w:r w:rsidRPr="00B559B3">
        <w:rPr>
          <w:rFonts w:cs="Times New Roman"/>
          <w:b/>
          <w:sz w:val="24"/>
          <w:szCs w:val="24"/>
        </w:rPr>
        <w:t xml:space="preserve">zione Immobiliare e il Territorio. </w:t>
      </w:r>
      <w:r w:rsidRPr="00B559B3">
        <w:rPr>
          <w:rFonts w:cs="Times New Roman"/>
          <w:bCs/>
          <w:i/>
          <w:iCs/>
          <w:sz w:val="24"/>
          <w:szCs w:val="24"/>
        </w:rPr>
        <w:t>Milano, dunque, regge e sulle nuove costruzioni migliora le pe</w:t>
      </w:r>
      <w:r w:rsidRPr="00B559B3">
        <w:rPr>
          <w:rFonts w:cs="Times New Roman"/>
          <w:bCs/>
          <w:i/>
          <w:iCs/>
          <w:sz w:val="24"/>
          <w:szCs w:val="24"/>
        </w:rPr>
        <w:t>r</w:t>
      </w:r>
      <w:r w:rsidRPr="00B559B3">
        <w:rPr>
          <w:rFonts w:cs="Times New Roman"/>
          <w:bCs/>
          <w:i/>
          <w:iCs/>
          <w:sz w:val="24"/>
          <w:szCs w:val="24"/>
        </w:rPr>
        <w:t>formance in termini di prezzi e tempi di assorbimento, segno che il mercato inizia a valutare in termini concreti i vantaggi del nuovo rispetto all’usato</w:t>
      </w:r>
      <w:r>
        <w:rPr>
          <w:rFonts w:cs="Times New Roman"/>
          <w:bCs/>
          <w:i/>
          <w:iCs/>
          <w:sz w:val="24"/>
          <w:szCs w:val="24"/>
        </w:rPr>
        <w:t>. Le nuove costruzioni</w:t>
      </w:r>
      <w:r w:rsidRPr="00B559B3">
        <w:rPr>
          <w:rFonts w:cs="Times New Roman"/>
          <w:bCs/>
          <w:i/>
          <w:iCs/>
          <w:sz w:val="24"/>
          <w:szCs w:val="24"/>
        </w:rPr>
        <w:t xml:space="preserve"> raccol</w:t>
      </w:r>
      <w:r>
        <w:rPr>
          <w:rFonts w:cs="Times New Roman"/>
          <w:bCs/>
          <w:i/>
          <w:iCs/>
          <w:sz w:val="24"/>
          <w:szCs w:val="24"/>
        </w:rPr>
        <w:t>gono</w:t>
      </w:r>
      <w:r w:rsidRPr="00B559B3">
        <w:rPr>
          <w:rFonts w:cs="Times New Roman"/>
          <w:bCs/>
          <w:i/>
          <w:iCs/>
          <w:sz w:val="24"/>
          <w:szCs w:val="24"/>
        </w:rPr>
        <w:t xml:space="preserve"> l’interesse di acquirenti che si spostano dal centro verso aree più periferiche, dove la qualità del prodotto è superiore, i tagli degli appartamenti sono efficienti, l’integrazione della domotica è già presente e il risparmio energetico consolidato.</w:t>
      </w:r>
      <w:r>
        <w:rPr>
          <w:rFonts w:cs="Times New Roman"/>
          <w:bCs/>
          <w:i/>
          <w:iCs/>
          <w:sz w:val="24"/>
          <w:szCs w:val="24"/>
        </w:rPr>
        <w:t xml:space="preserve"> </w:t>
      </w:r>
      <w:r w:rsidRPr="00B559B3">
        <w:rPr>
          <w:rFonts w:cs="Times New Roman"/>
          <w:bCs/>
          <w:i/>
          <w:iCs/>
          <w:sz w:val="24"/>
          <w:szCs w:val="24"/>
        </w:rPr>
        <w:t>Il nuovo, inoltre, è in grado di offrire quegli spazi comuni destin</w:t>
      </w:r>
      <w:r w:rsidRPr="00B559B3">
        <w:rPr>
          <w:rFonts w:cs="Times New Roman"/>
          <w:bCs/>
          <w:i/>
          <w:iCs/>
          <w:sz w:val="24"/>
          <w:szCs w:val="24"/>
        </w:rPr>
        <w:t>a</w:t>
      </w:r>
      <w:r w:rsidRPr="00B559B3">
        <w:rPr>
          <w:rFonts w:cs="Times New Roman"/>
          <w:bCs/>
          <w:i/>
          <w:iCs/>
          <w:sz w:val="24"/>
          <w:szCs w:val="24"/>
        </w:rPr>
        <w:t>ti a servizi, quali sale riunioni, palestre, coworking, verde condominiale, che ampliano la fruibilità del proprio appartamento ed introducono un nuovo concetto dell’abitare.</w:t>
      </w:r>
      <w:r>
        <w:rPr>
          <w:rFonts w:cs="Times New Roman"/>
          <w:bCs/>
          <w:i/>
          <w:iCs/>
          <w:sz w:val="24"/>
          <w:szCs w:val="24"/>
        </w:rPr>
        <w:t xml:space="preserve"> N</w:t>
      </w:r>
      <w:r w:rsidRPr="00B559B3">
        <w:rPr>
          <w:rFonts w:cs="Times New Roman"/>
          <w:bCs/>
          <w:i/>
          <w:iCs/>
          <w:sz w:val="24"/>
          <w:szCs w:val="24"/>
        </w:rPr>
        <w:t>on sempre queste po</w:t>
      </w:r>
      <w:r w:rsidRPr="00B559B3">
        <w:rPr>
          <w:rFonts w:cs="Times New Roman"/>
          <w:bCs/>
          <w:i/>
          <w:iCs/>
          <w:sz w:val="24"/>
          <w:szCs w:val="24"/>
        </w:rPr>
        <w:t>s</w:t>
      </w:r>
      <w:r w:rsidRPr="00B559B3">
        <w:rPr>
          <w:rFonts w:cs="Times New Roman"/>
          <w:bCs/>
          <w:i/>
          <w:iCs/>
          <w:sz w:val="24"/>
          <w:szCs w:val="24"/>
        </w:rPr>
        <w:t>sibilità di migliorare la qualità dell’abitare sono recepite dalle norme urbanist</w:t>
      </w:r>
      <w:r w:rsidRPr="00B559B3">
        <w:rPr>
          <w:rFonts w:cs="Times New Roman"/>
          <w:bCs/>
          <w:i/>
          <w:iCs/>
          <w:sz w:val="24"/>
          <w:szCs w:val="24"/>
        </w:rPr>
        <w:t>i</w:t>
      </w:r>
      <w:r w:rsidRPr="00B559B3">
        <w:rPr>
          <w:rFonts w:cs="Times New Roman"/>
          <w:bCs/>
          <w:i/>
          <w:iCs/>
          <w:sz w:val="24"/>
          <w:szCs w:val="24"/>
        </w:rPr>
        <w:t>che ed edilizie e, in questa direzione, non viene comunque meno la nostra sollecitazione per un proficuo confronto con l’Amministrazione comunale</w:t>
      </w:r>
      <w:r>
        <w:rPr>
          <w:rFonts w:cs="Times New Roman"/>
          <w:bCs/>
          <w:i/>
          <w:iCs/>
          <w:sz w:val="24"/>
          <w:szCs w:val="24"/>
        </w:rPr>
        <w:t>”</w:t>
      </w:r>
      <w:r w:rsidRPr="00B559B3">
        <w:rPr>
          <w:rFonts w:cs="Times New Roman"/>
          <w:bCs/>
          <w:i/>
          <w:iCs/>
          <w:sz w:val="24"/>
          <w:szCs w:val="24"/>
        </w:rPr>
        <w:t>. </w:t>
      </w:r>
    </w:p>
    <w:p w:rsidR="00BC74FF" w:rsidRDefault="00B559B3" w:rsidP="00B97AC9">
      <w:pPr>
        <w:jc w:val="both"/>
        <w:rPr>
          <w:rFonts w:cs="Times New Roman"/>
          <w:b/>
          <w:sz w:val="24"/>
          <w:szCs w:val="24"/>
        </w:rPr>
      </w:pPr>
      <w:r w:rsidRPr="00B559B3">
        <w:rPr>
          <w:rFonts w:cs="Times New Roman"/>
          <w:b/>
          <w:sz w:val="24"/>
          <w:szCs w:val="24"/>
        </w:rPr>
        <w:t> </w:t>
      </w:r>
    </w:p>
    <w:p w:rsidR="00BC74FF" w:rsidRDefault="00BC74FF" w:rsidP="00B97AC9">
      <w:pPr>
        <w:jc w:val="both"/>
        <w:rPr>
          <w:rFonts w:cs="Times New Roman"/>
          <w:b/>
          <w:sz w:val="24"/>
          <w:szCs w:val="24"/>
        </w:rPr>
      </w:pPr>
    </w:p>
    <w:p w:rsidR="00BC74FF" w:rsidRDefault="00BC74FF" w:rsidP="00B97AC9">
      <w:pPr>
        <w:jc w:val="both"/>
        <w:rPr>
          <w:rFonts w:cs="Times New Roman"/>
          <w:b/>
          <w:sz w:val="24"/>
          <w:szCs w:val="24"/>
        </w:rPr>
      </w:pPr>
    </w:p>
    <w:p w:rsidR="00BC74FF" w:rsidRDefault="00BC74FF" w:rsidP="00B97AC9">
      <w:pPr>
        <w:jc w:val="both"/>
        <w:rPr>
          <w:rFonts w:cs="Times New Roman"/>
          <w:b/>
          <w:sz w:val="24"/>
          <w:szCs w:val="24"/>
        </w:rPr>
      </w:pPr>
    </w:p>
    <w:p w:rsidR="00BC74FF" w:rsidRDefault="00BC74FF" w:rsidP="00B97AC9">
      <w:pPr>
        <w:jc w:val="both"/>
        <w:rPr>
          <w:rFonts w:cs="Times New Roman"/>
          <w:b/>
          <w:sz w:val="24"/>
          <w:szCs w:val="24"/>
        </w:rPr>
      </w:pPr>
    </w:p>
    <w:p w:rsidR="00B47A57" w:rsidRDefault="00B97AC9" w:rsidP="00B97AC9">
      <w:pPr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Allegat</w:t>
      </w:r>
      <w:r w:rsidR="0091498C"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</w:rPr>
        <w:t xml:space="preserve">: </w:t>
      </w:r>
    </w:p>
    <w:p w:rsidR="00B47A57" w:rsidRDefault="00B97AC9" w:rsidP="00B97AC9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Infografica variazione compravendite città centro</w:t>
      </w:r>
    </w:p>
    <w:p w:rsidR="00D0315B" w:rsidRPr="00B35FE9" w:rsidRDefault="001C1DE3" w:rsidP="00B35FE9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Estratto</w:t>
      </w:r>
      <w:r w:rsidR="0091498C">
        <w:rPr>
          <w:rFonts w:cs="Times New Roman"/>
          <w:b/>
          <w:sz w:val="24"/>
          <w:szCs w:val="24"/>
        </w:rPr>
        <w:t xml:space="preserve"> Prezzi Immobili Milano 2020</w:t>
      </w:r>
    </w:p>
    <w:p w:rsidR="00F459F9" w:rsidRDefault="00F459F9" w:rsidP="00C56E9E">
      <w:pPr>
        <w:spacing w:after="0"/>
        <w:ind w:right="424"/>
        <w:jc w:val="both"/>
        <w:rPr>
          <w:rStyle w:val="Nessuno"/>
          <w:sz w:val="20"/>
          <w:szCs w:val="20"/>
        </w:rPr>
      </w:pPr>
    </w:p>
    <w:p w:rsidR="00B35FE9" w:rsidRDefault="00B35FE9" w:rsidP="00B35FE9">
      <w:pPr>
        <w:spacing w:after="0"/>
        <w:ind w:right="424"/>
        <w:jc w:val="both"/>
        <w:rPr>
          <w:rStyle w:val="Nessuno"/>
          <w:sz w:val="20"/>
          <w:szCs w:val="20"/>
        </w:rPr>
      </w:pPr>
    </w:p>
    <w:p w:rsidR="00B35FE9" w:rsidRDefault="00B35FE9" w:rsidP="00B35FE9">
      <w:pPr>
        <w:spacing w:after="0"/>
        <w:ind w:right="424"/>
        <w:jc w:val="both"/>
        <w:rPr>
          <w:rStyle w:val="Nessuno"/>
          <w:sz w:val="20"/>
          <w:szCs w:val="20"/>
        </w:rPr>
      </w:pPr>
    </w:p>
    <w:p w:rsidR="00F459F9" w:rsidRDefault="00F459F9" w:rsidP="00B35FE9">
      <w:pPr>
        <w:spacing w:after="0" w:line="240" w:lineRule="auto"/>
        <w:ind w:right="425"/>
      </w:pPr>
    </w:p>
    <w:sectPr w:rsidR="00F459F9" w:rsidSect="008C33D2">
      <w:pgSz w:w="11900" w:h="16840"/>
      <w:pgMar w:top="993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51" w:rsidRDefault="00225451">
      <w:pPr>
        <w:spacing w:after="0" w:line="240" w:lineRule="auto"/>
      </w:pPr>
      <w:r>
        <w:separator/>
      </w:r>
    </w:p>
  </w:endnote>
  <w:endnote w:type="continuationSeparator" w:id="0">
    <w:p w:rsidR="00225451" w:rsidRDefault="00225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51" w:rsidRDefault="00225451">
      <w:pPr>
        <w:spacing w:after="0" w:line="240" w:lineRule="auto"/>
      </w:pPr>
      <w:r>
        <w:separator/>
      </w:r>
    </w:p>
  </w:footnote>
  <w:footnote w:type="continuationSeparator" w:id="0">
    <w:p w:rsidR="00225451" w:rsidRDefault="00225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5334"/>
    <w:multiLevelType w:val="hybridMultilevel"/>
    <w:tmpl w:val="E636222E"/>
    <w:numStyleLink w:val="Stileimportato1"/>
  </w:abstractNum>
  <w:abstractNum w:abstractNumId="1">
    <w:nsid w:val="5D0F4352"/>
    <w:multiLevelType w:val="hybridMultilevel"/>
    <w:tmpl w:val="E636222E"/>
    <w:styleLink w:val="Stileimportato1"/>
    <w:lvl w:ilvl="0" w:tplc="C322A028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E2007E4">
      <w:start w:val="1"/>
      <w:numFmt w:val="bullet"/>
      <w:lvlText w:val="o"/>
      <w:lvlJc w:val="left"/>
      <w:pPr>
        <w:ind w:left="136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E581BFC">
      <w:start w:val="1"/>
      <w:numFmt w:val="bullet"/>
      <w:lvlText w:val="▪"/>
      <w:lvlJc w:val="left"/>
      <w:pPr>
        <w:ind w:left="208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32AF70">
      <w:start w:val="1"/>
      <w:numFmt w:val="bullet"/>
      <w:lvlText w:val="•"/>
      <w:lvlJc w:val="left"/>
      <w:pPr>
        <w:ind w:left="280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24C886">
      <w:start w:val="1"/>
      <w:numFmt w:val="bullet"/>
      <w:lvlText w:val="o"/>
      <w:lvlJc w:val="left"/>
      <w:pPr>
        <w:ind w:left="352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046BC98">
      <w:start w:val="1"/>
      <w:numFmt w:val="bullet"/>
      <w:lvlText w:val="▪"/>
      <w:lvlJc w:val="left"/>
      <w:pPr>
        <w:ind w:left="424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BA82844">
      <w:start w:val="1"/>
      <w:numFmt w:val="bullet"/>
      <w:lvlText w:val="•"/>
      <w:lvlJc w:val="left"/>
      <w:pPr>
        <w:ind w:left="496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581062">
      <w:start w:val="1"/>
      <w:numFmt w:val="bullet"/>
      <w:lvlText w:val="o"/>
      <w:lvlJc w:val="left"/>
      <w:pPr>
        <w:ind w:left="568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27AFB12">
      <w:start w:val="1"/>
      <w:numFmt w:val="bullet"/>
      <w:lvlText w:val="▪"/>
      <w:lvlJc w:val="left"/>
      <w:pPr>
        <w:ind w:left="6404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59F9"/>
    <w:rsid w:val="00041041"/>
    <w:rsid w:val="000411A0"/>
    <w:rsid w:val="00104527"/>
    <w:rsid w:val="001625E9"/>
    <w:rsid w:val="001C1DE3"/>
    <w:rsid w:val="00223CF9"/>
    <w:rsid w:val="00225451"/>
    <w:rsid w:val="00255205"/>
    <w:rsid w:val="00265FD6"/>
    <w:rsid w:val="00277B70"/>
    <w:rsid w:val="002E1E4E"/>
    <w:rsid w:val="002E2675"/>
    <w:rsid w:val="00343DB6"/>
    <w:rsid w:val="0034746A"/>
    <w:rsid w:val="00370949"/>
    <w:rsid w:val="0038533C"/>
    <w:rsid w:val="003D6C96"/>
    <w:rsid w:val="004222C2"/>
    <w:rsid w:val="00425614"/>
    <w:rsid w:val="004573D6"/>
    <w:rsid w:val="00483966"/>
    <w:rsid w:val="00484DF8"/>
    <w:rsid w:val="00517A8A"/>
    <w:rsid w:val="005724F9"/>
    <w:rsid w:val="00633036"/>
    <w:rsid w:val="00655BF6"/>
    <w:rsid w:val="00682DBD"/>
    <w:rsid w:val="006867D1"/>
    <w:rsid w:val="006C5467"/>
    <w:rsid w:val="007076FF"/>
    <w:rsid w:val="007A77A7"/>
    <w:rsid w:val="007F6EFE"/>
    <w:rsid w:val="00820570"/>
    <w:rsid w:val="00820F11"/>
    <w:rsid w:val="00853768"/>
    <w:rsid w:val="00865C36"/>
    <w:rsid w:val="008C005F"/>
    <w:rsid w:val="008C33D2"/>
    <w:rsid w:val="008E130A"/>
    <w:rsid w:val="0091498C"/>
    <w:rsid w:val="009543D3"/>
    <w:rsid w:val="0098277A"/>
    <w:rsid w:val="009A0CB5"/>
    <w:rsid w:val="009B65D6"/>
    <w:rsid w:val="009F7802"/>
    <w:rsid w:val="00A52696"/>
    <w:rsid w:val="00AA1C4B"/>
    <w:rsid w:val="00AA2B0B"/>
    <w:rsid w:val="00AE252F"/>
    <w:rsid w:val="00B35FE9"/>
    <w:rsid w:val="00B47A57"/>
    <w:rsid w:val="00B559B3"/>
    <w:rsid w:val="00B61A9B"/>
    <w:rsid w:val="00B97AC9"/>
    <w:rsid w:val="00BC74FF"/>
    <w:rsid w:val="00C010D9"/>
    <w:rsid w:val="00C56E9E"/>
    <w:rsid w:val="00C95C2D"/>
    <w:rsid w:val="00D0315B"/>
    <w:rsid w:val="00D05D0B"/>
    <w:rsid w:val="00D444C6"/>
    <w:rsid w:val="00DC79FD"/>
    <w:rsid w:val="00E261B0"/>
    <w:rsid w:val="00E273AE"/>
    <w:rsid w:val="00F432A8"/>
    <w:rsid w:val="00F459F9"/>
    <w:rsid w:val="00F96C63"/>
    <w:rsid w:val="00FA1556"/>
    <w:rsid w:val="00FA3A88"/>
    <w:rsid w:val="00FC1787"/>
    <w:rsid w:val="00FE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3D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33D2"/>
    <w:rPr>
      <w:u w:val="single"/>
    </w:rPr>
  </w:style>
  <w:style w:type="table" w:customStyle="1" w:styleId="TableNormal">
    <w:name w:val="Table Normal"/>
    <w:rsid w:val="008C3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C33D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8C33D2"/>
  </w:style>
  <w:style w:type="character" w:customStyle="1" w:styleId="Hyperlink0">
    <w:name w:val="Hyperlink.0"/>
    <w:basedOn w:val="Nessuno"/>
    <w:rsid w:val="008C33D2"/>
    <w:rPr>
      <w:color w:val="0000FF"/>
      <w:sz w:val="24"/>
      <w:szCs w:val="24"/>
      <w:u w:val="single" w:color="0000FF"/>
    </w:rPr>
  </w:style>
  <w:style w:type="paragraph" w:styleId="Paragrafoelenco">
    <w:name w:val="List Paragraph"/>
    <w:rsid w:val="008C33D2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8C33D2"/>
    <w:pPr>
      <w:numPr>
        <w:numId w:val="1"/>
      </w:numPr>
    </w:pPr>
  </w:style>
  <w:style w:type="character" w:customStyle="1" w:styleId="Hyperlink1">
    <w:name w:val="Hyperlink.1"/>
    <w:basedOn w:val="Nessuno"/>
    <w:rsid w:val="008C33D2"/>
    <w:rPr>
      <w:rFonts w:ascii="Calibri" w:eastAsia="Calibri" w:hAnsi="Calibri" w:cs="Calibri"/>
      <w:i/>
      <w:iCs/>
      <w:color w:val="0000FF"/>
      <w:sz w:val="20"/>
      <w:szCs w:val="20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11A0"/>
    <w:rPr>
      <w:rFonts w:ascii="Tahoma" w:hAnsi="Tahoma" w:cs="Tahoma"/>
      <w:color w:val="000000"/>
      <w:sz w:val="16"/>
      <w:szCs w:val="16"/>
      <w:u w:color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25E9"/>
    <w:rPr>
      <w:color w:val="605E5C"/>
      <w:shd w:val="clear" w:color="auto" w:fill="E1DFDD"/>
    </w:rPr>
  </w:style>
  <w:style w:type="character" w:customStyle="1" w:styleId="il">
    <w:name w:val="il"/>
    <w:basedOn w:val="Carpredefinitoparagrafo"/>
    <w:rsid w:val="00D0315B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5F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8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Patrizia Barberis</dc:creator>
  <cp:lastModifiedBy>paola</cp:lastModifiedBy>
  <cp:revision>7</cp:revision>
  <cp:lastPrinted>2021-02-12T09:54:00Z</cp:lastPrinted>
  <dcterms:created xsi:type="dcterms:W3CDTF">2021-02-23T08:13:00Z</dcterms:created>
  <dcterms:modified xsi:type="dcterms:W3CDTF">2021-02-23T12:17:00Z</dcterms:modified>
</cp:coreProperties>
</file>