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A1D21" w14:textId="35264FC1" w:rsidR="002D3762" w:rsidRDefault="000B0CE8" w:rsidP="000B0CE8">
      <w:pPr>
        <w:tabs>
          <w:tab w:val="left" w:pos="3420"/>
        </w:tabs>
        <w:suppressAutoHyphens/>
        <w:rPr>
          <w:rFonts w:ascii="Calibri" w:hAnsi="Calibri" w:cs="Calibri"/>
          <w:color w:val="1F497D"/>
          <w:sz w:val="28"/>
          <w:szCs w:val="28"/>
        </w:rPr>
      </w:pPr>
      <w:r>
        <w:rPr>
          <w:noProof/>
        </w:rPr>
        <w:drawing>
          <wp:anchor distT="0" distB="0" distL="114300" distR="114300" simplePos="0" relativeHeight="251661824" behindDoc="1" locked="0" layoutInCell="1" allowOverlap="1" wp14:anchorId="195D8ABC" wp14:editId="3335F31E">
            <wp:simplePos x="0" y="0"/>
            <wp:positionH relativeFrom="column">
              <wp:posOffset>2476500</wp:posOffset>
            </wp:positionH>
            <wp:positionV relativeFrom="paragraph">
              <wp:posOffset>0</wp:posOffset>
            </wp:positionV>
            <wp:extent cx="1324800" cy="1512000"/>
            <wp:effectExtent l="0" t="0" r="8890" b="0"/>
            <wp:wrapTight wrapText="bothSides">
              <wp:wrapPolygon edited="0">
                <wp:start x="0" y="0"/>
                <wp:lineTo x="0" y="21228"/>
                <wp:lineTo x="21434" y="21228"/>
                <wp:lineTo x="21434"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MAA_ITAL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800" cy="1512000"/>
                    </a:xfrm>
                    <a:prstGeom prst="rect">
                      <a:avLst/>
                    </a:prstGeom>
                  </pic:spPr>
                </pic:pic>
              </a:graphicData>
            </a:graphic>
            <wp14:sizeRelH relativeFrom="margin">
              <wp14:pctWidth>0</wp14:pctWidth>
            </wp14:sizeRelH>
            <wp14:sizeRelV relativeFrom="margin">
              <wp14:pctHeight>0</wp14:pctHeight>
            </wp14:sizeRelV>
          </wp:anchor>
        </w:drawing>
      </w:r>
      <w:r w:rsidR="00EE766C">
        <w:rPr>
          <w:rFonts w:ascii="Calibri" w:hAnsi="Calibri" w:cs="Calibri"/>
          <w:color w:val="1F497D"/>
          <w:sz w:val="28"/>
          <w:szCs w:val="28"/>
        </w:rPr>
        <w:tab/>
      </w:r>
    </w:p>
    <w:p w14:paraId="523C6BAE" w14:textId="77777777" w:rsidR="002D3762" w:rsidRDefault="002D3762" w:rsidP="00AE50F2">
      <w:pPr>
        <w:tabs>
          <w:tab w:val="left" w:pos="357"/>
        </w:tabs>
        <w:suppressAutoHyphens/>
        <w:rPr>
          <w:rFonts w:ascii="Calibri" w:hAnsi="Calibri" w:cs="Calibri"/>
          <w:color w:val="1F497D"/>
          <w:sz w:val="28"/>
          <w:szCs w:val="28"/>
        </w:rPr>
      </w:pPr>
    </w:p>
    <w:p w14:paraId="72FBD33E" w14:textId="77777777" w:rsidR="002D3762" w:rsidRDefault="002D3762" w:rsidP="00AE50F2">
      <w:pPr>
        <w:tabs>
          <w:tab w:val="left" w:pos="357"/>
        </w:tabs>
        <w:suppressAutoHyphens/>
        <w:rPr>
          <w:rFonts w:ascii="Calibri" w:hAnsi="Calibri" w:cs="Calibri"/>
          <w:color w:val="1F497D"/>
          <w:sz w:val="28"/>
          <w:szCs w:val="28"/>
        </w:rPr>
      </w:pPr>
    </w:p>
    <w:p w14:paraId="41E3D3FB" w14:textId="77777777" w:rsidR="002D3762" w:rsidRDefault="002D3762" w:rsidP="00AE50F2">
      <w:pPr>
        <w:tabs>
          <w:tab w:val="left" w:pos="357"/>
        </w:tabs>
        <w:suppressAutoHyphens/>
        <w:rPr>
          <w:rFonts w:ascii="Calibri" w:hAnsi="Calibri" w:cs="Calibri"/>
          <w:color w:val="1F497D"/>
          <w:sz w:val="28"/>
          <w:szCs w:val="28"/>
        </w:rPr>
      </w:pPr>
    </w:p>
    <w:p w14:paraId="5C4811BC" w14:textId="4CEEB73F" w:rsidR="002D3762" w:rsidRPr="00DE1EFA" w:rsidRDefault="00207589" w:rsidP="00207589">
      <w:pPr>
        <w:tabs>
          <w:tab w:val="left" w:pos="1093"/>
        </w:tabs>
        <w:suppressAutoHyphens/>
        <w:rPr>
          <w:rFonts w:ascii="Calibri" w:hAnsi="Calibri" w:cs="Calibri"/>
          <w:b/>
          <w:color w:val="1F497D"/>
          <w:sz w:val="28"/>
          <w:szCs w:val="28"/>
        </w:rPr>
      </w:pPr>
      <w:r w:rsidRPr="00DE1EFA">
        <w:rPr>
          <w:rFonts w:ascii="Calibri" w:hAnsi="Calibri" w:cs="Calibri"/>
          <w:b/>
          <w:color w:val="1F497D"/>
          <w:sz w:val="28"/>
          <w:szCs w:val="28"/>
        </w:rPr>
        <w:t xml:space="preserve">         </w:t>
      </w:r>
      <w:r w:rsidRPr="00DE1EFA">
        <w:rPr>
          <w:rFonts w:ascii="Calibri" w:hAnsi="Calibri" w:cs="Calibri"/>
          <w:b/>
          <w:color w:val="1F497D"/>
          <w:sz w:val="28"/>
          <w:szCs w:val="28"/>
        </w:rPr>
        <w:tab/>
      </w:r>
    </w:p>
    <w:p w14:paraId="53DD330F" w14:textId="77777777" w:rsidR="002D3762" w:rsidRDefault="002D3762" w:rsidP="00AE50F2">
      <w:pPr>
        <w:tabs>
          <w:tab w:val="left" w:pos="357"/>
        </w:tabs>
        <w:suppressAutoHyphens/>
        <w:rPr>
          <w:rFonts w:ascii="Calibri" w:hAnsi="Calibri" w:cs="Calibri"/>
          <w:color w:val="1F497D"/>
          <w:sz w:val="28"/>
          <w:szCs w:val="28"/>
        </w:rPr>
      </w:pPr>
    </w:p>
    <w:p w14:paraId="19CE6DDE" w14:textId="77777777" w:rsidR="000B0CE8" w:rsidRDefault="000B0CE8" w:rsidP="000B0CE8">
      <w:pPr>
        <w:tabs>
          <w:tab w:val="left" w:pos="357"/>
        </w:tabs>
        <w:suppressAutoHyphens/>
        <w:jc w:val="center"/>
        <w:rPr>
          <w:rFonts w:ascii="Calibri" w:hAnsi="Calibri" w:cs="Calibri"/>
          <w:b/>
          <w:color w:val="1F497D"/>
          <w:sz w:val="32"/>
          <w:szCs w:val="28"/>
        </w:rPr>
      </w:pPr>
    </w:p>
    <w:p w14:paraId="67CFE7A0" w14:textId="77777777" w:rsidR="000B0CE8" w:rsidRPr="000832E8" w:rsidRDefault="000B0CE8" w:rsidP="000B0CE8">
      <w:pPr>
        <w:tabs>
          <w:tab w:val="left" w:pos="357"/>
        </w:tabs>
        <w:suppressAutoHyphens/>
        <w:jc w:val="center"/>
        <w:rPr>
          <w:rFonts w:ascii="Calibri" w:hAnsi="Calibri" w:cs="Calibri"/>
          <w:b/>
          <w:color w:val="1F497D"/>
          <w:sz w:val="32"/>
          <w:szCs w:val="28"/>
        </w:rPr>
      </w:pPr>
      <w:r w:rsidRPr="000832E8">
        <w:rPr>
          <w:rFonts w:ascii="Calibri" w:hAnsi="Calibri" w:cs="Calibri"/>
          <w:b/>
          <w:color w:val="1F497D"/>
          <w:sz w:val="32"/>
          <w:szCs w:val="28"/>
        </w:rPr>
        <w:t>Federazione Italiana Mediatori Agenti d’Affari</w:t>
      </w:r>
    </w:p>
    <w:p w14:paraId="67FCB784" w14:textId="3D9CC3BB" w:rsidR="002D3762" w:rsidRDefault="000B0CE8" w:rsidP="00AE50F2">
      <w:pPr>
        <w:tabs>
          <w:tab w:val="left" w:pos="357"/>
        </w:tabs>
        <w:suppressAutoHyphens/>
        <w:rPr>
          <w:rFonts w:ascii="Calibri" w:hAnsi="Calibri" w:cs="Calibri"/>
          <w:color w:val="1F497D"/>
          <w:sz w:val="28"/>
          <w:szCs w:val="28"/>
        </w:rPr>
      </w:pPr>
      <w:r>
        <w:rPr>
          <w:rFonts w:ascii="Calibri" w:hAnsi="Calibri" w:cs="Calibri"/>
          <w:noProof/>
          <w:color w:val="1F497D"/>
          <w:sz w:val="28"/>
          <w:szCs w:val="28"/>
        </w:rPr>
        <w:drawing>
          <wp:anchor distT="0" distB="0" distL="114300" distR="114300" simplePos="0" relativeHeight="251663872" behindDoc="1" locked="0" layoutInCell="1" allowOverlap="1" wp14:anchorId="7DD0BE36" wp14:editId="1595D712">
            <wp:simplePos x="0" y="0"/>
            <wp:positionH relativeFrom="column">
              <wp:posOffset>2337435</wp:posOffset>
            </wp:positionH>
            <wp:positionV relativeFrom="paragraph">
              <wp:posOffset>130810</wp:posOffset>
            </wp:positionV>
            <wp:extent cx="1619250" cy="764540"/>
            <wp:effectExtent l="0" t="0" r="0" b="0"/>
            <wp:wrapTight wrapText="bothSides">
              <wp:wrapPolygon edited="0">
                <wp:start x="0" y="0"/>
                <wp:lineTo x="0" y="20990"/>
                <wp:lineTo x="21346" y="20990"/>
                <wp:lineTo x="21346"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FCOMMERC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764540"/>
                    </a:xfrm>
                    <a:prstGeom prst="rect">
                      <a:avLst/>
                    </a:prstGeom>
                  </pic:spPr>
                </pic:pic>
              </a:graphicData>
            </a:graphic>
            <wp14:sizeRelH relativeFrom="page">
              <wp14:pctWidth>0</wp14:pctWidth>
            </wp14:sizeRelH>
            <wp14:sizeRelV relativeFrom="page">
              <wp14:pctHeight>0</wp14:pctHeight>
            </wp14:sizeRelV>
          </wp:anchor>
        </w:drawing>
      </w:r>
    </w:p>
    <w:p w14:paraId="200B445D" w14:textId="23E90620" w:rsidR="000B0CE8" w:rsidRDefault="000B0CE8" w:rsidP="00AE50F2">
      <w:pPr>
        <w:tabs>
          <w:tab w:val="left" w:pos="357"/>
        </w:tabs>
        <w:suppressAutoHyphens/>
        <w:rPr>
          <w:rFonts w:ascii="Calibri" w:hAnsi="Calibri" w:cs="Calibri"/>
          <w:color w:val="1F497D"/>
          <w:sz w:val="28"/>
          <w:szCs w:val="28"/>
        </w:rPr>
      </w:pPr>
    </w:p>
    <w:p w14:paraId="6B4A5F80" w14:textId="77777777" w:rsidR="000B0CE8" w:rsidRDefault="000B0CE8" w:rsidP="00AE50F2">
      <w:pPr>
        <w:tabs>
          <w:tab w:val="left" w:pos="357"/>
        </w:tabs>
        <w:suppressAutoHyphens/>
        <w:rPr>
          <w:rFonts w:ascii="Calibri" w:hAnsi="Calibri" w:cs="Calibri"/>
          <w:color w:val="1F497D"/>
          <w:sz w:val="28"/>
          <w:szCs w:val="28"/>
        </w:rPr>
      </w:pPr>
    </w:p>
    <w:p w14:paraId="1F3EA8CA" w14:textId="77777777" w:rsidR="000B0CE8" w:rsidRDefault="000B0CE8" w:rsidP="00AE50F2">
      <w:pPr>
        <w:tabs>
          <w:tab w:val="left" w:pos="357"/>
        </w:tabs>
        <w:suppressAutoHyphens/>
        <w:rPr>
          <w:rFonts w:ascii="Calibri" w:hAnsi="Calibri" w:cs="Calibri"/>
          <w:color w:val="1F497D"/>
          <w:sz w:val="28"/>
          <w:szCs w:val="28"/>
        </w:rPr>
      </w:pPr>
    </w:p>
    <w:p w14:paraId="65192076" w14:textId="77777777" w:rsidR="002D3762" w:rsidRDefault="002D3762" w:rsidP="00AE50F2">
      <w:pPr>
        <w:tabs>
          <w:tab w:val="left" w:pos="357"/>
        </w:tabs>
        <w:suppressAutoHyphens/>
        <w:rPr>
          <w:rFonts w:ascii="Calibri" w:hAnsi="Calibri" w:cs="Calibri"/>
          <w:color w:val="1F497D"/>
          <w:sz w:val="28"/>
          <w:szCs w:val="28"/>
        </w:rPr>
      </w:pPr>
    </w:p>
    <w:p w14:paraId="0FFF4316" w14:textId="77777777" w:rsidR="002D3762" w:rsidRDefault="002D3762" w:rsidP="00AE50F2">
      <w:pPr>
        <w:tabs>
          <w:tab w:val="left" w:pos="357"/>
        </w:tabs>
        <w:suppressAutoHyphens/>
        <w:rPr>
          <w:rFonts w:ascii="Calibri" w:hAnsi="Calibri" w:cs="Calibri"/>
          <w:color w:val="1F497D"/>
          <w:sz w:val="28"/>
          <w:szCs w:val="28"/>
        </w:rPr>
      </w:pPr>
      <w:r>
        <w:rPr>
          <w:rFonts w:asciiTheme="minorHAnsi" w:hAnsiTheme="minorHAnsi"/>
          <w:b/>
          <w:noProof/>
          <w:sz w:val="28"/>
          <w:szCs w:val="28"/>
        </w:rPr>
        <w:drawing>
          <wp:anchor distT="0" distB="0" distL="114300" distR="114300" simplePos="0" relativeHeight="251658240" behindDoc="0" locked="0" layoutInCell="1" allowOverlap="1" wp14:anchorId="30FF6ACD" wp14:editId="51B10819">
            <wp:simplePos x="0" y="0"/>
            <wp:positionH relativeFrom="column">
              <wp:posOffset>109644</wp:posOffset>
            </wp:positionH>
            <wp:positionV relativeFrom="paragraph">
              <wp:posOffset>13970</wp:posOffset>
            </wp:positionV>
            <wp:extent cx="6002444" cy="214206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2444" cy="2142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D4BE7" w14:textId="77777777" w:rsidR="002D3762" w:rsidRDefault="007351F6" w:rsidP="00AE50F2">
      <w:pPr>
        <w:tabs>
          <w:tab w:val="left" w:pos="357"/>
        </w:tabs>
        <w:suppressAutoHyphens/>
        <w:rPr>
          <w:rFonts w:ascii="Calibri" w:hAnsi="Calibri" w:cs="Calibri"/>
          <w:color w:val="1F497D"/>
          <w:sz w:val="28"/>
          <w:szCs w:val="28"/>
        </w:rPr>
      </w:pPr>
      <w:r>
        <w:rPr>
          <w:rFonts w:asciiTheme="minorHAnsi" w:hAnsiTheme="minorHAnsi"/>
          <w:b/>
          <w:noProof/>
          <w:sz w:val="28"/>
          <w:szCs w:val="28"/>
        </w:rPr>
        <mc:AlternateContent>
          <mc:Choice Requires="wps">
            <w:drawing>
              <wp:anchor distT="0" distB="0" distL="114300" distR="114300" simplePos="0" relativeHeight="251659264" behindDoc="0" locked="0" layoutInCell="1" allowOverlap="1" wp14:anchorId="0F9087D1" wp14:editId="36B72382">
                <wp:simplePos x="0" y="0"/>
                <wp:positionH relativeFrom="column">
                  <wp:posOffset>99060</wp:posOffset>
                </wp:positionH>
                <wp:positionV relativeFrom="paragraph">
                  <wp:posOffset>191135</wp:posOffset>
                </wp:positionV>
                <wp:extent cx="6010910" cy="1304925"/>
                <wp:effectExtent l="0" t="0" r="0"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CACC6" w14:textId="6E4F0306" w:rsidR="00DC3E45" w:rsidRDefault="00DC3E45" w:rsidP="00207589">
                            <w:pPr>
                              <w:jc w:val="center"/>
                              <w:rPr>
                                <w:rFonts w:ascii="Calibri" w:hAnsi="Calibri" w:cs="Calibri"/>
                                <w:iCs/>
                                <w:color w:val="FFFFFF"/>
                                <w:sz w:val="36"/>
                                <w:szCs w:val="36"/>
                              </w:rPr>
                            </w:pPr>
                            <w:r w:rsidRPr="002D3762">
                              <w:rPr>
                                <w:rFonts w:ascii="Calibri" w:hAnsi="Calibri" w:cs="Calibri"/>
                                <w:iCs/>
                                <w:color w:val="FFFFFF"/>
                                <w:sz w:val="36"/>
                                <w:szCs w:val="36"/>
                              </w:rPr>
                              <w:t xml:space="preserve">OSSERVATORIO </w:t>
                            </w:r>
                            <w:r>
                              <w:rPr>
                                <w:rFonts w:ascii="Calibri" w:hAnsi="Calibri" w:cs="Calibri"/>
                                <w:iCs/>
                                <w:color w:val="FFFFFF"/>
                                <w:sz w:val="36"/>
                                <w:szCs w:val="36"/>
                              </w:rPr>
                              <w:t xml:space="preserve">NAZIONALE </w:t>
                            </w:r>
                            <w:r w:rsidRPr="002D3762">
                              <w:rPr>
                                <w:rFonts w:ascii="Calibri" w:hAnsi="Calibri" w:cs="Calibri"/>
                                <w:iCs/>
                                <w:color w:val="FFFFFF"/>
                                <w:sz w:val="36"/>
                                <w:szCs w:val="36"/>
                              </w:rPr>
                              <w:t>IMMOBILIARE TURISTICO 20</w:t>
                            </w:r>
                            <w:r>
                              <w:rPr>
                                <w:rFonts w:ascii="Calibri" w:hAnsi="Calibri" w:cs="Calibri"/>
                                <w:iCs/>
                                <w:color w:val="FFFFFF"/>
                                <w:sz w:val="36"/>
                                <w:szCs w:val="36"/>
                              </w:rPr>
                              <w:t>2</w:t>
                            </w:r>
                            <w:r w:rsidR="00CB16CB">
                              <w:rPr>
                                <w:rFonts w:ascii="Calibri" w:hAnsi="Calibri" w:cs="Calibri"/>
                                <w:iCs/>
                                <w:color w:val="FFFFFF"/>
                                <w:sz w:val="36"/>
                                <w:szCs w:val="36"/>
                              </w:rPr>
                              <w:t>1</w:t>
                            </w:r>
                          </w:p>
                          <w:p w14:paraId="62FD2343" w14:textId="77777777" w:rsidR="00DC3E45" w:rsidRDefault="00DC3E45" w:rsidP="00207589">
                            <w:pPr>
                              <w:jc w:val="center"/>
                              <w:rPr>
                                <w:rFonts w:ascii="Calibri" w:hAnsi="Calibri" w:cs="Calibri"/>
                                <w:iCs/>
                                <w:color w:val="FFFFFF"/>
                                <w:sz w:val="36"/>
                                <w:szCs w:val="36"/>
                              </w:rPr>
                            </w:pPr>
                          </w:p>
                          <w:p w14:paraId="243E9A95" w14:textId="77777777" w:rsidR="00DC3E45" w:rsidRPr="002D3762" w:rsidRDefault="00DC3E45" w:rsidP="00207589">
                            <w:pPr>
                              <w:jc w:val="center"/>
                              <w:rPr>
                                <w:rFonts w:ascii="Calibri" w:hAnsi="Calibri" w:cs="Calibri"/>
                                <w:iCs/>
                                <w:color w:val="FFFFFF"/>
                                <w:sz w:val="36"/>
                                <w:szCs w:val="36"/>
                              </w:rPr>
                            </w:pPr>
                            <w:r>
                              <w:rPr>
                                <w:rFonts w:ascii="Calibri" w:hAnsi="Calibri" w:cs="Calibri"/>
                                <w:iCs/>
                                <w:color w:val="FFFFFF"/>
                                <w:sz w:val="36"/>
                                <w:szCs w:val="36"/>
                              </w:rPr>
                              <w:t xml:space="preserve">Il mercato delle case nelle località turistiche </w:t>
                            </w:r>
                          </w:p>
                          <w:p w14:paraId="10BD066C" w14:textId="77777777" w:rsidR="00DC3E45" w:rsidRPr="002D3762" w:rsidRDefault="00DC3E45" w:rsidP="00575691">
                            <w:pPr>
                              <w:jc w:val="right"/>
                              <w:rPr>
                                <w:rFonts w:ascii="Calibri" w:hAnsi="Calibri" w:cs="Calibri"/>
                                <w:iCs/>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087D1" id="_x0000_t202" coordsize="21600,21600" o:spt="202" path="m,l,21600r21600,l21600,xe">
                <v:stroke joinstyle="miter"/>
                <v:path gradientshapeok="t" o:connecttype="rect"/>
              </v:shapetype>
              <v:shape id="Casella di testo 3" o:spid="_x0000_s1026" type="#_x0000_t202" style="position:absolute;margin-left:7.8pt;margin-top:15.05pt;width:473.3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" filled="f" stroked="f">
                <v:textbox>
                  <w:txbxContent>
                    <w:p w14:paraId="6D7CACC6" w14:textId="6E4F0306" w:rsidR="00DC3E45" w:rsidRDefault="00DC3E45" w:rsidP="00207589">
                      <w:pPr>
                        <w:jc w:val="center"/>
                        <w:rPr>
                          <w:rFonts w:ascii="Calibri" w:hAnsi="Calibri" w:cs="Calibri"/>
                          <w:iCs/>
                          <w:color w:val="FFFFFF"/>
                          <w:sz w:val="36"/>
                          <w:szCs w:val="36"/>
                        </w:rPr>
                      </w:pPr>
                      <w:r w:rsidRPr="002D3762">
                        <w:rPr>
                          <w:rFonts w:ascii="Calibri" w:hAnsi="Calibri" w:cs="Calibri"/>
                          <w:iCs/>
                          <w:color w:val="FFFFFF"/>
                          <w:sz w:val="36"/>
                          <w:szCs w:val="36"/>
                        </w:rPr>
                        <w:t xml:space="preserve">OSSERVATORIO </w:t>
                      </w:r>
                      <w:r>
                        <w:rPr>
                          <w:rFonts w:ascii="Calibri" w:hAnsi="Calibri" w:cs="Calibri"/>
                          <w:iCs/>
                          <w:color w:val="FFFFFF"/>
                          <w:sz w:val="36"/>
                          <w:szCs w:val="36"/>
                        </w:rPr>
                        <w:t xml:space="preserve">NAZIONALE </w:t>
                      </w:r>
                      <w:r w:rsidRPr="002D3762">
                        <w:rPr>
                          <w:rFonts w:ascii="Calibri" w:hAnsi="Calibri" w:cs="Calibri"/>
                          <w:iCs/>
                          <w:color w:val="FFFFFF"/>
                          <w:sz w:val="36"/>
                          <w:szCs w:val="36"/>
                        </w:rPr>
                        <w:t>IMMOBILIARE TURISTICO 20</w:t>
                      </w:r>
                      <w:r>
                        <w:rPr>
                          <w:rFonts w:ascii="Calibri" w:hAnsi="Calibri" w:cs="Calibri"/>
                          <w:iCs/>
                          <w:color w:val="FFFFFF"/>
                          <w:sz w:val="36"/>
                          <w:szCs w:val="36"/>
                        </w:rPr>
                        <w:t>2</w:t>
                      </w:r>
                      <w:r w:rsidR="00CB16CB">
                        <w:rPr>
                          <w:rFonts w:ascii="Calibri" w:hAnsi="Calibri" w:cs="Calibri"/>
                          <w:iCs/>
                          <w:color w:val="FFFFFF"/>
                          <w:sz w:val="36"/>
                          <w:szCs w:val="36"/>
                        </w:rPr>
                        <w:t>1</w:t>
                      </w:r>
                    </w:p>
                    <w:p w14:paraId="62FD2343" w14:textId="77777777" w:rsidR="00DC3E45" w:rsidRDefault="00DC3E45" w:rsidP="00207589">
                      <w:pPr>
                        <w:jc w:val="center"/>
                        <w:rPr>
                          <w:rFonts w:ascii="Calibri" w:hAnsi="Calibri" w:cs="Calibri"/>
                          <w:iCs/>
                          <w:color w:val="FFFFFF"/>
                          <w:sz w:val="36"/>
                          <w:szCs w:val="36"/>
                        </w:rPr>
                      </w:pPr>
                    </w:p>
                    <w:p w14:paraId="243E9A95" w14:textId="77777777" w:rsidR="00DC3E45" w:rsidRPr="002D3762" w:rsidRDefault="00DC3E45" w:rsidP="00207589">
                      <w:pPr>
                        <w:jc w:val="center"/>
                        <w:rPr>
                          <w:rFonts w:ascii="Calibri" w:hAnsi="Calibri" w:cs="Calibri"/>
                          <w:iCs/>
                          <w:color w:val="FFFFFF"/>
                          <w:sz w:val="36"/>
                          <w:szCs w:val="36"/>
                        </w:rPr>
                      </w:pPr>
                      <w:r>
                        <w:rPr>
                          <w:rFonts w:ascii="Calibri" w:hAnsi="Calibri" w:cs="Calibri"/>
                          <w:iCs/>
                          <w:color w:val="FFFFFF"/>
                          <w:sz w:val="36"/>
                          <w:szCs w:val="36"/>
                        </w:rPr>
                        <w:t xml:space="preserve">Il mercato delle case nelle località turistiche </w:t>
                      </w:r>
                    </w:p>
                    <w:p w14:paraId="10BD066C" w14:textId="77777777" w:rsidR="00DC3E45" w:rsidRPr="002D3762" w:rsidRDefault="00DC3E45" w:rsidP="00575691">
                      <w:pPr>
                        <w:jc w:val="right"/>
                        <w:rPr>
                          <w:rFonts w:ascii="Calibri" w:hAnsi="Calibri" w:cs="Calibri"/>
                          <w:iCs/>
                          <w:color w:val="FFFFFF"/>
                          <w:sz w:val="36"/>
                          <w:szCs w:val="36"/>
                        </w:rPr>
                      </w:pPr>
                    </w:p>
                  </w:txbxContent>
                </v:textbox>
              </v:shape>
            </w:pict>
          </mc:Fallback>
        </mc:AlternateContent>
      </w:r>
    </w:p>
    <w:p w14:paraId="4F15BD80" w14:textId="77777777" w:rsidR="002D3762" w:rsidRDefault="002D3762" w:rsidP="00AE50F2">
      <w:pPr>
        <w:tabs>
          <w:tab w:val="left" w:pos="357"/>
        </w:tabs>
        <w:suppressAutoHyphens/>
        <w:rPr>
          <w:rFonts w:ascii="Calibri" w:hAnsi="Calibri" w:cs="Calibri"/>
          <w:color w:val="1F497D"/>
          <w:sz w:val="28"/>
          <w:szCs w:val="28"/>
        </w:rPr>
      </w:pPr>
    </w:p>
    <w:p w14:paraId="1013B683" w14:textId="77777777" w:rsidR="002D3762" w:rsidRDefault="002D3762" w:rsidP="00AE50F2">
      <w:pPr>
        <w:tabs>
          <w:tab w:val="left" w:pos="357"/>
        </w:tabs>
        <w:suppressAutoHyphens/>
        <w:rPr>
          <w:rFonts w:ascii="Calibri" w:hAnsi="Calibri" w:cs="Calibri"/>
          <w:color w:val="1F497D"/>
          <w:sz w:val="28"/>
          <w:szCs w:val="28"/>
        </w:rPr>
      </w:pPr>
    </w:p>
    <w:p w14:paraId="5F4D7F5A" w14:textId="77777777" w:rsidR="002D3762" w:rsidRDefault="002D3762" w:rsidP="00AE50F2">
      <w:pPr>
        <w:tabs>
          <w:tab w:val="left" w:pos="357"/>
        </w:tabs>
        <w:suppressAutoHyphens/>
        <w:rPr>
          <w:rFonts w:ascii="Calibri" w:hAnsi="Calibri" w:cs="Calibri"/>
          <w:color w:val="1F497D"/>
          <w:sz w:val="28"/>
          <w:szCs w:val="28"/>
        </w:rPr>
      </w:pPr>
    </w:p>
    <w:p w14:paraId="3B1B8FA4" w14:textId="77777777" w:rsidR="002D3762" w:rsidRDefault="002D3762" w:rsidP="00AE50F2">
      <w:pPr>
        <w:tabs>
          <w:tab w:val="left" w:pos="357"/>
        </w:tabs>
        <w:suppressAutoHyphens/>
        <w:rPr>
          <w:rFonts w:ascii="Calibri" w:hAnsi="Calibri" w:cs="Calibri"/>
          <w:color w:val="1F497D"/>
          <w:sz w:val="28"/>
          <w:szCs w:val="28"/>
        </w:rPr>
      </w:pPr>
    </w:p>
    <w:p w14:paraId="2B62484B" w14:textId="77777777" w:rsidR="002D3762" w:rsidRDefault="002D3762" w:rsidP="00AE50F2">
      <w:pPr>
        <w:tabs>
          <w:tab w:val="left" w:pos="357"/>
        </w:tabs>
        <w:suppressAutoHyphens/>
        <w:rPr>
          <w:rFonts w:ascii="Calibri" w:hAnsi="Calibri" w:cs="Calibri"/>
          <w:color w:val="1F497D"/>
          <w:sz w:val="28"/>
          <w:szCs w:val="28"/>
        </w:rPr>
      </w:pPr>
    </w:p>
    <w:p w14:paraId="747C242F" w14:textId="77777777" w:rsidR="002D3762" w:rsidRDefault="002D3762" w:rsidP="00AE50F2">
      <w:pPr>
        <w:tabs>
          <w:tab w:val="left" w:pos="357"/>
        </w:tabs>
        <w:suppressAutoHyphens/>
        <w:rPr>
          <w:rFonts w:ascii="Calibri" w:hAnsi="Calibri" w:cs="Calibri"/>
          <w:color w:val="1F497D"/>
          <w:sz w:val="28"/>
          <w:szCs w:val="28"/>
        </w:rPr>
      </w:pPr>
    </w:p>
    <w:p w14:paraId="59850F17" w14:textId="77777777" w:rsidR="002D3762" w:rsidRDefault="002D3762" w:rsidP="00AE50F2">
      <w:pPr>
        <w:tabs>
          <w:tab w:val="left" w:pos="357"/>
        </w:tabs>
        <w:suppressAutoHyphens/>
        <w:rPr>
          <w:rFonts w:ascii="Calibri" w:hAnsi="Calibri" w:cs="Calibri"/>
          <w:color w:val="1F497D"/>
          <w:sz w:val="28"/>
          <w:szCs w:val="28"/>
        </w:rPr>
      </w:pPr>
    </w:p>
    <w:p w14:paraId="60A0D479" w14:textId="77777777" w:rsidR="002D3762" w:rsidRDefault="002D3762" w:rsidP="00AE50F2">
      <w:pPr>
        <w:tabs>
          <w:tab w:val="left" w:pos="357"/>
        </w:tabs>
        <w:suppressAutoHyphens/>
        <w:rPr>
          <w:rFonts w:ascii="Calibri" w:hAnsi="Calibri" w:cs="Calibri"/>
          <w:color w:val="1F497D"/>
          <w:sz w:val="28"/>
          <w:szCs w:val="28"/>
        </w:rPr>
      </w:pPr>
    </w:p>
    <w:p w14:paraId="15040E1C" w14:textId="77777777" w:rsidR="002D3762" w:rsidRDefault="002D3762" w:rsidP="00AE50F2">
      <w:pPr>
        <w:tabs>
          <w:tab w:val="left" w:pos="357"/>
        </w:tabs>
        <w:suppressAutoHyphens/>
        <w:rPr>
          <w:rFonts w:ascii="Calibri" w:hAnsi="Calibri" w:cs="Calibri"/>
          <w:color w:val="1F497D"/>
          <w:sz w:val="28"/>
          <w:szCs w:val="28"/>
        </w:rPr>
      </w:pPr>
    </w:p>
    <w:p w14:paraId="579E0E14" w14:textId="77777777" w:rsidR="00D859D7" w:rsidRPr="00D859D7" w:rsidRDefault="00D859D7" w:rsidP="00D859D7">
      <w:pPr>
        <w:tabs>
          <w:tab w:val="left" w:pos="357"/>
        </w:tabs>
        <w:suppressAutoHyphens/>
        <w:jc w:val="center"/>
        <w:rPr>
          <w:rFonts w:ascii="Calibri" w:hAnsi="Calibri" w:cs="Calibri"/>
          <w:b/>
          <w:color w:val="1F497D"/>
          <w:sz w:val="28"/>
          <w:szCs w:val="28"/>
          <w:u w:val="single"/>
        </w:rPr>
      </w:pPr>
      <w:r w:rsidRPr="00D859D7">
        <w:rPr>
          <w:rFonts w:ascii="Calibri" w:hAnsi="Calibri" w:cs="Calibri"/>
          <w:b/>
          <w:color w:val="1F497D"/>
          <w:sz w:val="28"/>
          <w:szCs w:val="28"/>
          <w:u w:val="single"/>
        </w:rPr>
        <w:t>SINTESI PER LA STAMPA</w:t>
      </w:r>
    </w:p>
    <w:p w14:paraId="658F0129" w14:textId="624395E3" w:rsidR="00207589" w:rsidRDefault="00821140" w:rsidP="00207589">
      <w:pPr>
        <w:tabs>
          <w:tab w:val="left" w:pos="357"/>
        </w:tabs>
        <w:suppressAutoHyphens/>
        <w:jc w:val="center"/>
        <w:rPr>
          <w:rFonts w:ascii="Calibri" w:hAnsi="Calibri" w:cs="Calibri"/>
          <w:color w:val="1F497D"/>
          <w:sz w:val="28"/>
          <w:szCs w:val="28"/>
        </w:rPr>
      </w:pPr>
      <w:r>
        <w:rPr>
          <w:rFonts w:ascii="Calibri" w:hAnsi="Calibri" w:cs="Calibri"/>
          <w:color w:val="1F497D"/>
          <w:sz w:val="28"/>
          <w:szCs w:val="28"/>
        </w:rPr>
        <w:t>29</w:t>
      </w:r>
      <w:r w:rsidR="00E12B72" w:rsidRPr="00E668A5">
        <w:rPr>
          <w:rFonts w:ascii="Calibri" w:hAnsi="Calibri" w:cs="Calibri"/>
          <w:color w:val="1F497D"/>
          <w:sz w:val="28"/>
          <w:szCs w:val="28"/>
        </w:rPr>
        <w:t xml:space="preserve"> </w:t>
      </w:r>
      <w:r w:rsidR="00207589" w:rsidRPr="00E668A5">
        <w:rPr>
          <w:rFonts w:ascii="Calibri" w:hAnsi="Calibri" w:cs="Calibri"/>
          <w:color w:val="1F497D"/>
          <w:sz w:val="28"/>
          <w:szCs w:val="28"/>
        </w:rPr>
        <w:t>luglio 2</w:t>
      </w:r>
      <w:r w:rsidR="00E12B72" w:rsidRPr="00E668A5">
        <w:rPr>
          <w:rFonts w:ascii="Calibri" w:hAnsi="Calibri" w:cs="Calibri"/>
          <w:color w:val="1F497D"/>
          <w:sz w:val="28"/>
          <w:szCs w:val="28"/>
        </w:rPr>
        <w:t>02</w:t>
      </w:r>
      <w:r w:rsidR="0004240C">
        <w:rPr>
          <w:rFonts w:ascii="Calibri" w:hAnsi="Calibri" w:cs="Calibri"/>
          <w:color w:val="1F497D"/>
          <w:sz w:val="28"/>
          <w:szCs w:val="28"/>
        </w:rPr>
        <w:t>1</w:t>
      </w:r>
    </w:p>
    <w:p w14:paraId="3A2C7150" w14:textId="77777777" w:rsidR="002D3762" w:rsidRDefault="002D3762" w:rsidP="002D3762">
      <w:pPr>
        <w:tabs>
          <w:tab w:val="left" w:pos="357"/>
        </w:tabs>
        <w:suppressAutoHyphens/>
        <w:jc w:val="center"/>
        <w:rPr>
          <w:rFonts w:ascii="Calibri" w:hAnsi="Calibri" w:cs="Calibri"/>
          <w:color w:val="1F497D"/>
          <w:sz w:val="28"/>
          <w:szCs w:val="28"/>
        </w:rPr>
      </w:pPr>
    </w:p>
    <w:p w14:paraId="5603E7B9" w14:textId="77777777" w:rsidR="002D3762" w:rsidRDefault="002D3762" w:rsidP="002D3762">
      <w:pPr>
        <w:tabs>
          <w:tab w:val="left" w:pos="357"/>
        </w:tabs>
        <w:suppressAutoHyphens/>
        <w:jc w:val="center"/>
        <w:rPr>
          <w:rFonts w:ascii="Calibri" w:hAnsi="Calibri" w:cs="Calibri"/>
          <w:color w:val="1F497D"/>
          <w:sz w:val="28"/>
          <w:szCs w:val="28"/>
        </w:rPr>
      </w:pPr>
    </w:p>
    <w:p w14:paraId="428420AB" w14:textId="77777777" w:rsidR="00207589" w:rsidRDefault="00207589" w:rsidP="002D3762">
      <w:pPr>
        <w:tabs>
          <w:tab w:val="left" w:pos="357"/>
        </w:tabs>
        <w:suppressAutoHyphens/>
        <w:jc w:val="center"/>
        <w:rPr>
          <w:rFonts w:ascii="Calibri" w:hAnsi="Calibri" w:cs="Calibri"/>
          <w:color w:val="1F497D"/>
          <w:sz w:val="28"/>
          <w:szCs w:val="28"/>
        </w:rPr>
      </w:pPr>
    </w:p>
    <w:p w14:paraId="61E62174" w14:textId="77777777" w:rsidR="008A4E21" w:rsidRDefault="008A4E21" w:rsidP="002D3762">
      <w:pPr>
        <w:tabs>
          <w:tab w:val="left" w:pos="357"/>
        </w:tabs>
        <w:suppressAutoHyphens/>
        <w:jc w:val="center"/>
        <w:rPr>
          <w:rFonts w:ascii="Calibri" w:hAnsi="Calibri" w:cs="Calibri"/>
          <w:color w:val="1F497D"/>
          <w:sz w:val="28"/>
          <w:szCs w:val="28"/>
        </w:rPr>
      </w:pPr>
    </w:p>
    <w:p w14:paraId="549E371B" w14:textId="77777777" w:rsidR="008A4E21" w:rsidRDefault="008A4E21" w:rsidP="002D3762">
      <w:pPr>
        <w:tabs>
          <w:tab w:val="left" w:pos="357"/>
        </w:tabs>
        <w:suppressAutoHyphens/>
        <w:jc w:val="center"/>
        <w:rPr>
          <w:rFonts w:ascii="Calibri" w:hAnsi="Calibri" w:cs="Calibri"/>
          <w:color w:val="1F497D"/>
          <w:sz w:val="28"/>
          <w:szCs w:val="28"/>
        </w:rPr>
      </w:pPr>
    </w:p>
    <w:p w14:paraId="54B4EA16" w14:textId="77777777" w:rsidR="008A4E21" w:rsidRDefault="00207589" w:rsidP="002D3762">
      <w:pPr>
        <w:tabs>
          <w:tab w:val="left" w:pos="357"/>
        </w:tabs>
        <w:suppressAutoHyphens/>
        <w:jc w:val="center"/>
        <w:rPr>
          <w:rFonts w:asciiTheme="minorHAnsi" w:hAnsiTheme="minorHAnsi"/>
          <w:b/>
          <w:sz w:val="28"/>
          <w:szCs w:val="28"/>
        </w:rPr>
      </w:pPr>
      <w:r w:rsidRPr="00207589">
        <w:rPr>
          <w:rFonts w:asciiTheme="minorHAnsi" w:hAnsiTheme="minorHAnsi"/>
          <w:sz w:val="28"/>
          <w:szCs w:val="28"/>
        </w:rPr>
        <w:t>Con la collaborazione di</w:t>
      </w:r>
      <w:r>
        <w:rPr>
          <w:rFonts w:asciiTheme="minorHAnsi" w:hAnsiTheme="minorHAnsi"/>
          <w:b/>
          <w:sz w:val="28"/>
          <w:szCs w:val="28"/>
        </w:rPr>
        <w:t xml:space="preserve"> </w:t>
      </w:r>
      <w:r w:rsidRPr="00E4690F">
        <w:rPr>
          <w:noProof/>
        </w:rPr>
        <w:drawing>
          <wp:inline distT="0" distB="0" distL="0" distR="0" wp14:anchorId="2ADA101D" wp14:editId="0AA8F2DE">
            <wp:extent cx="2162610" cy="1074567"/>
            <wp:effectExtent l="0" t="0" r="9525" b="0"/>
            <wp:docPr id="17" name="Immagine 2" descr="C:\Users\margherita.tamburini\Desktop\Nomisma - pant 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herita.tamburini\Desktop\Nomisma - pant 28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8921" cy="1077703"/>
                    </a:xfrm>
                    <a:prstGeom prst="rect">
                      <a:avLst/>
                    </a:prstGeom>
                    <a:noFill/>
                    <a:ln>
                      <a:noFill/>
                    </a:ln>
                  </pic:spPr>
                </pic:pic>
              </a:graphicData>
            </a:graphic>
          </wp:inline>
        </w:drawing>
      </w:r>
    </w:p>
    <w:p w14:paraId="04FAF546" w14:textId="77777777" w:rsidR="00B85F41" w:rsidRPr="00B85F41" w:rsidRDefault="00B85F41" w:rsidP="00B558AA">
      <w:pPr>
        <w:spacing w:after="120" w:line="276" w:lineRule="auto"/>
        <w:jc w:val="both"/>
        <w:rPr>
          <w:rFonts w:asciiTheme="minorHAnsi" w:eastAsia="Calibri" w:hAnsiTheme="minorHAnsi" w:cstheme="minorHAnsi"/>
          <w:sz w:val="6"/>
        </w:rPr>
      </w:pPr>
    </w:p>
    <w:p w14:paraId="02359B70" w14:textId="3EBDE8F5" w:rsidR="006A0BF2" w:rsidRPr="00AD1FA3" w:rsidRDefault="007A64EE" w:rsidP="00B558AA">
      <w:pPr>
        <w:spacing w:after="120" w:line="276" w:lineRule="auto"/>
        <w:jc w:val="both"/>
        <w:rPr>
          <w:rFonts w:asciiTheme="minorHAnsi" w:eastAsia="Calibri" w:hAnsiTheme="minorHAnsi" w:cstheme="minorHAnsi"/>
        </w:rPr>
      </w:pPr>
      <w:r w:rsidRPr="00AD1FA3">
        <w:rPr>
          <w:rFonts w:asciiTheme="minorHAnsi" w:eastAsia="Calibri" w:hAnsiTheme="minorHAnsi" w:cstheme="minorHAnsi"/>
        </w:rPr>
        <w:lastRenderedPageBreak/>
        <w:t>L’Osser</w:t>
      </w:r>
      <w:r w:rsidR="00693364" w:rsidRPr="00AD1FA3">
        <w:rPr>
          <w:rFonts w:asciiTheme="minorHAnsi" w:eastAsia="Calibri" w:hAnsiTheme="minorHAnsi" w:cstheme="minorHAnsi"/>
        </w:rPr>
        <w:t>v</w:t>
      </w:r>
      <w:r w:rsidRPr="00AD1FA3">
        <w:rPr>
          <w:rFonts w:asciiTheme="minorHAnsi" w:eastAsia="Calibri" w:hAnsiTheme="minorHAnsi" w:cstheme="minorHAnsi"/>
        </w:rPr>
        <w:t>atorio Nazionale Immobiliare Turistico 20</w:t>
      </w:r>
      <w:r w:rsidR="00FE7546">
        <w:rPr>
          <w:rFonts w:asciiTheme="minorHAnsi" w:eastAsia="Calibri" w:hAnsiTheme="minorHAnsi" w:cstheme="minorHAnsi"/>
        </w:rPr>
        <w:t>2</w:t>
      </w:r>
      <w:r w:rsidR="00430438">
        <w:rPr>
          <w:rFonts w:asciiTheme="minorHAnsi" w:eastAsia="Calibri" w:hAnsiTheme="minorHAnsi" w:cstheme="minorHAnsi"/>
        </w:rPr>
        <w:t>1</w:t>
      </w:r>
      <w:r w:rsidRPr="00AD1FA3">
        <w:rPr>
          <w:rFonts w:asciiTheme="minorHAnsi" w:eastAsia="Calibri" w:hAnsiTheme="minorHAnsi" w:cstheme="minorHAnsi"/>
        </w:rPr>
        <w:t xml:space="preserve"> di F</w:t>
      </w:r>
      <w:r w:rsidR="00E1487A">
        <w:rPr>
          <w:rFonts w:asciiTheme="minorHAnsi" w:eastAsia="Calibri" w:hAnsiTheme="minorHAnsi" w:cstheme="minorHAnsi"/>
        </w:rPr>
        <w:t>.</w:t>
      </w:r>
      <w:r w:rsidRPr="00AD1FA3">
        <w:rPr>
          <w:rFonts w:asciiTheme="minorHAnsi" w:eastAsia="Calibri" w:hAnsiTheme="minorHAnsi" w:cstheme="minorHAnsi"/>
        </w:rPr>
        <w:t>I</w:t>
      </w:r>
      <w:r w:rsidR="00E1487A">
        <w:rPr>
          <w:rFonts w:asciiTheme="minorHAnsi" w:eastAsia="Calibri" w:hAnsiTheme="minorHAnsi" w:cstheme="minorHAnsi"/>
        </w:rPr>
        <w:t>.</w:t>
      </w:r>
      <w:r w:rsidRPr="00AD1FA3">
        <w:rPr>
          <w:rFonts w:asciiTheme="minorHAnsi" w:eastAsia="Calibri" w:hAnsiTheme="minorHAnsi" w:cstheme="minorHAnsi"/>
        </w:rPr>
        <w:t>M</w:t>
      </w:r>
      <w:r w:rsidR="00E1487A">
        <w:rPr>
          <w:rFonts w:asciiTheme="minorHAnsi" w:eastAsia="Calibri" w:hAnsiTheme="minorHAnsi" w:cstheme="minorHAnsi"/>
        </w:rPr>
        <w:t>.</w:t>
      </w:r>
      <w:r w:rsidRPr="00AD1FA3">
        <w:rPr>
          <w:rFonts w:asciiTheme="minorHAnsi" w:eastAsia="Calibri" w:hAnsiTheme="minorHAnsi" w:cstheme="minorHAnsi"/>
        </w:rPr>
        <w:t>A</w:t>
      </w:r>
      <w:r w:rsidR="00E1487A">
        <w:rPr>
          <w:rFonts w:asciiTheme="minorHAnsi" w:eastAsia="Calibri" w:hAnsiTheme="minorHAnsi" w:cstheme="minorHAnsi"/>
        </w:rPr>
        <w:t>.</w:t>
      </w:r>
      <w:r w:rsidRPr="00AD1FA3">
        <w:rPr>
          <w:rFonts w:asciiTheme="minorHAnsi" w:eastAsia="Calibri" w:hAnsiTheme="minorHAnsi" w:cstheme="minorHAnsi"/>
        </w:rPr>
        <w:t>A</w:t>
      </w:r>
      <w:r w:rsidR="00E1487A">
        <w:rPr>
          <w:rFonts w:asciiTheme="minorHAnsi" w:eastAsia="Calibri" w:hAnsiTheme="minorHAnsi" w:cstheme="minorHAnsi"/>
        </w:rPr>
        <w:t>.</w:t>
      </w:r>
      <w:r w:rsidRPr="00AD1FA3">
        <w:rPr>
          <w:rFonts w:asciiTheme="minorHAnsi" w:eastAsia="Calibri" w:hAnsiTheme="minorHAnsi" w:cstheme="minorHAnsi"/>
        </w:rPr>
        <w:t xml:space="preserve"> (Federazione Italiana Mediatori Agenti d’Affari</w:t>
      </w:r>
      <w:r w:rsidR="000B0CE8">
        <w:rPr>
          <w:rFonts w:asciiTheme="minorHAnsi" w:eastAsia="Calibri" w:hAnsiTheme="minorHAnsi" w:cstheme="minorHAnsi"/>
        </w:rPr>
        <w:t>, aderente a Confcommercio-Imprese per l’Italia</w:t>
      </w:r>
      <w:r w:rsidRPr="00AD1FA3">
        <w:rPr>
          <w:rFonts w:asciiTheme="minorHAnsi" w:eastAsia="Calibri" w:hAnsiTheme="minorHAnsi" w:cstheme="minorHAnsi"/>
        </w:rPr>
        <w:t>) con la collaborazione della Società di Studi Economici NOMISMA ha</w:t>
      </w:r>
      <w:r w:rsidR="006A0BF2" w:rsidRPr="00AD1FA3">
        <w:rPr>
          <w:rFonts w:asciiTheme="minorHAnsi" w:eastAsia="Calibri" w:hAnsiTheme="minorHAnsi" w:cstheme="minorHAnsi"/>
        </w:rPr>
        <w:t xml:space="preserve"> </w:t>
      </w:r>
      <w:r w:rsidRPr="00AD1FA3">
        <w:rPr>
          <w:rFonts w:asciiTheme="minorHAnsi" w:eastAsia="Calibri" w:hAnsiTheme="minorHAnsi" w:cstheme="minorHAnsi"/>
        </w:rPr>
        <w:t>“</w:t>
      </w:r>
      <w:r w:rsidR="006A0BF2" w:rsidRPr="00AD1FA3">
        <w:rPr>
          <w:rFonts w:asciiTheme="minorHAnsi" w:eastAsia="Calibri" w:hAnsiTheme="minorHAnsi" w:cstheme="minorHAnsi"/>
        </w:rPr>
        <w:t>fotogra</w:t>
      </w:r>
      <w:r w:rsidRPr="00AD1FA3">
        <w:rPr>
          <w:rFonts w:asciiTheme="minorHAnsi" w:eastAsia="Calibri" w:hAnsiTheme="minorHAnsi" w:cstheme="minorHAnsi"/>
        </w:rPr>
        <w:t>f</w:t>
      </w:r>
      <w:r w:rsidR="006A0BF2" w:rsidRPr="00AD1FA3">
        <w:rPr>
          <w:rFonts w:asciiTheme="minorHAnsi" w:eastAsia="Calibri" w:hAnsiTheme="minorHAnsi" w:cstheme="minorHAnsi"/>
        </w:rPr>
        <w:t>a</w:t>
      </w:r>
      <w:r w:rsidRPr="00AD1FA3">
        <w:rPr>
          <w:rFonts w:asciiTheme="minorHAnsi" w:eastAsia="Calibri" w:hAnsiTheme="minorHAnsi" w:cstheme="minorHAnsi"/>
        </w:rPr>
        <w:t>to”</w:t>
      </w:r>
      <w:r w:rsidR="006A0BF2" w:rsidRPr="00AD1FA3">
        <w:rPr>
          <w:rFonts w:asciiTheme="minorHAnsi" w:eastAsia="Calibri" w:hAnsiTheme="minorHAnsi" w:cstheme="minorHAnsi"/>
        </w:rPr>
        <w:t xml:space="preserve"> </w:t>
      </w:r>
      <w:r w:rsidR="00864A95" w:rsidRPr="00AD1FA3">
        <w:rPr>
          <w:rFonts w:asciiTheme="minorHAnsi" w:eastAsia="Calibri" w:hAnsiTheme="minorHAnsi" w:cstheme="minorHAnsi"/>
        </w:rPr>
        <w:t>l’andamento del</w:t>
      </w:r>
      <w:r w:rsidR="006A0BF2" w:rsidRPr="00AD1FA3">
        <w:rPr>
          <w:rFonts w:asciiTheme="minorHAnsi" w:eastAsia="Calibri" w:hAnsiTheme="minorHAnsi" w:cstheme="minorHAnsi"/>
        </w:rPr>
        <w:t xml:space="preserve"> m</w:t>
      </w:r>
      <w:r w:rsidR="009C78FC" w:rsidRPr="00AD1FA3">
        <w:rPr>
          <w:rFonts w:asciiTheme="minorHAnsi" w:eastAsia="Calibri" w:hAnsiTheme="minorHAnsi" w:cstheme="minorHAnsi"/>
        </w:rPr>
        <w:t xml:space="preserve">ercato </w:t>
      </w:r>
      <w:r w:rsidR="001534C0" w:rsidRPr="00AD1FA3">
        <w:rPr>
          <w:rFonts w:asciiTheme="minorHAnsi" w:eastAsia="Calibri" w:hAnsiTheme="minorHAnsi" w:cstheme="minorHAnsi"/>
        </w:rPr>
        <w:t>20</w:t>
      </w:r>
      <w:r w:rsidR="00915C63">
        <w:rPr>
          <w:rFonts w:asciiTheme="minorHAnsi" w:eastAsia="Calibri" w:hAnsiTheme="minorHAnsi" w:cstheme="minorHAnsi"/>
        </w:rPr>
        <w:t>2</w:t>
      </w:r>
      <w:r w:rsidR="00430438">
        <w:rPr>
          <w:rFonts w:asciiTheme="minorHAnsi" w:eastAsia="Calibri" w:hAnsiTheme="minorHAnsi" w:cstheme="minorHAnsi"/>
        </w:rPr>
        <w:t>1</w:t>
      </w:r>
      <w:r w:rsidR="001534C0" w:rsidRPr="00AD1FA3">
        <w:rPr>
          <w:rFonts w:asciiTheme="minorHAnsi" w:eastAsia="Calibri" w:hAnsiTheme="minorHAnsi" w:cstheme="minorHAnsi"/>
        </w:rPr>
        <w:t xml:space="preserve"> </w:t>
      </w:r>
      <w:r w:rsidR="006A0BF2" w:rsidRPr="00AD1FA3">
        <w:rPr>
          <w:rFonts w:asciiTheme="minorHAnsi" w:eastAsia="Calibri" w:hAnsiTheme="minorHAnsi" w:cstheme="minorHAnsi"/>
        </w:rPr>
        <w:t>d</w:t>
      </w:r>
      <w:r w:rsidR="00430438">
        <w:rPr>
          <w:rFonts w:asciiTheme="minorHAnsi" w:eastAsia="Calibri" w:hAnsiTheme="minorHAnsi" w:cstheme="minorHAnsi"/>
        </w:rPr>
        <w:t>i un panel di</w:t>
      </w:r>
      <w:r w:rsidR="006A0BF2" w:rsidRPr="00AD1FA3">
        <w:rPr>
          <w:rFonts w:asciiTheme="minorHAnsi" w:eastAsia="Calibri" w:hAnsiTheme="minorHAnsi" w:cstheme="minorHAnsi"/>
        </w:rPr>
        <w:t xml:space="preserve"> case per vacanza </w:t>
      </w:r>
      <w:r w:rsidR="00864A95" w:rsidRPr="00AD1FA3">
        <w:rPr>
          <w:rFonts w:asciiTheme="minorHAnsi" w:eastAsia="Calibri" w:hAnsiTheme="minorHAnsi" w:cstheme="minorHAnsi"/>
        </w:rPr>
        <w:t xml:space="preserve">in </w:t>
      </w:r>
      <w:r w:rsidR="006A0BF2" w:rsidRPr="00AD1FA3">
        <w:rPr>
          <w:rFonts w:asciiTheme="minorHAnsi" w:eastAsia="Calibri" w:hAnsiTheme="minorHAnsi" w:cstheme="minorHAnsi"/>
        </w:rPr>
        <w:t>Italia</w:t>
      </w:r>
      <w:r w:rsidR="00AF3CF5" w:rsidRPr="00AD1FA3">
        <w:rPr>
          <w:rFonts w:asciiTheme="minorHAnsi" w:eastAsia="Calibri" w:hAnsiTheme="minorHAnsi" w:cstheme="minorHAnsi"/>
        </w:rPr>
        <w:t>,</w:t>
      </w:r>
      <w:r w:rsidR="00864A95" w:rsidRPr="00AD1FA3">
        <w:rPr>
          <w:rFonts w:asciiTheme="minorHAnsi" w:eastAsia="Calibri" w:hAnsiTheme="minorHAnsi" w:cstheme="minorHAnsi"/>
        </w:rPr>
        <w:t xml:space="preserve"> attraverso l’analisi dei dati </w:t>
      </w:r>
      <w:r w:rsidR="004D2B7B" w:rsidRPr="00AD1FA3">
        <w:rPr>
          <w:rFonts w:asciiTheme="minorHAnsi" w:eastAsia="Calibri" w:hAnsiTheme="minorHAnsi" w:cstheme="minorHAnsi"/>
        </w:rPr>
        <w:t xml:space="preserve">delle </w:t>
      </w:r>
      <w:r w:rsidR="00F72B38" w:rsidRPr="00AD1FA3">
        <w:rPr>
          <w:rFonts w:asciiTheme="minorHAnsi" w:eastAsia="Calibri" w:hAnsiTheme="minorHAnsi" w:cstheme="minorHAnsi"/>
        </w:rPr>
        <w:t xml:space="preserve">compravendite e delle locazioni </w:t>
      </w:r>
      <w:r w:rsidR="0019429B" w:rsidRPr="00AD1FA3">
        <w:rPr>
          <w:rFonts w:asciiTheme="minorHAnsi" w:eastAsia="Calibri" w:hAnsiTheme="minorHAnsi" w:cstheme="minorHAnsi"/>
        </w:rPr>
        <w:t xml:space="preserve">di </w:t>
      </w:r>
      <w:r w:rsidR="00430438" w:rsidRPr="00430438">
        <w:rPr>
          <w:rFonts w:asciiTheme="minorHAnsi" w:eastAsia="Calibri" w:hAnsiTheme="minorHAnsi" w:cstheme="minorHAnsi"/>
        </w:rPr>
        <w:t>111</w:t>
      </w:r>
      <w:r w:rsidR="00864A95" w:rsidRPr="00430438">
        <w:rPr>
          <w:rFonts w:asciiTheme="minorHAnsi" w:eastAsia="Calibri" w:hAnsiTheme="minorHAnsi" w:cstheme="minorHAnsi"/>
        </w:rPr>
        <w:t xml:space="preserve"> località</w:t>
      </w:r>
      <w:r w:rsidR="00430438" w:rsidRPr="00430438">
        <w:rPr>
          <w:rFonts w:asciiTheme="minorHAnsi" w:eastAsia="Calibri" w:hAnsiTheme="minorHAnsi" w:cstheme="minorHAnsi"/>
        </w:rPr>
        <w:t xml:space="preserve"> turistiche</w:t>
      </w:r>
      <w:r w:rsidR="00430438" w:rsidRPr="00430438">
        <w:rPr>
          <w:rFonts w:asciiTheme="minorHAnsi" w:eastAsia="Calibri" w:hAnsiTheme="minorHAnsi" w:cstheme="minorHAnsi"/>
          <w:b/>
          <w:bCs/>
        </w:rPr>
        <w:t>.</w:t>
      </w:r>
    </w:p>
    <w:p w14:paraId="38ED08A3" w14:textId="571C1AFD" w:rsidR="00430438" w:rsidRPr="00430438" w:rsidRDefault="00430438" w:rsidP="009D39DB">
      <w:pPr>
        <w:pStyle w:val="NormaleWeb"/>
        <w:shd w:val="clear" w:color="auto" w:fill="FFFFFF"/>
        <w:spacing w:before="0" w:beforeAutospacing="0" w:after="120" w:afterAutospacing="0" w:line="276" w:lineRule="auto"/>
        <w:jc w:val="both"/>
        <w:rPr>
          <w:rFonts w:asciiTheme="minorHAnsi" w:eastAsia="Calibri" w:hAnsiTheme="minorHAnsi" w:cstheme="minorHAnsi"/>
        </w:rPr>
      </w:pPr>
      <w:r w:rsidRPr="00430438">
        <w:rPr>
          <w:rFonts w:asciiTheme="minorHAnsi" w:eastAsia="Calibri" w:hAnsiTheme="minorHAnsi" w:cstheme="minorHAnsi"/>
        </w:rPr>
        <w:t>Quest’anno le performance che emergono dall’Osservatorio immobiliare turistico - sebbene risultino ancora condizionate dalla pandemia per effetto del protrarsi delle misure di contenimento – mettono in evidenza un ritorno di interesse della domanda</w:t>
      </w:r>
      <w:r w:rsidR="00580160">
        <w:rPr>
          <w:rFonts w:asciiTheme="minorHAnsi" w:eastAsia="Calibri" w:hAnsiTheme="minorHAnsi" w:cstheme="minorHAnsi"/>
        </w:rPr>
        <w:t xml:space="preserve"> sia di acquisto che di locazione</w:t>
      </w:r>
      <w:r w:rsidRPr="00430438">
        <w:rPr>
          <w:rFonts w:asciiTheme="minorHAnsi" w:eastAsia="Calibri" w:hAnsiTheme="minorHAnsi" w:cstheme="minorHAnsi"/>
        </w:rPr>
        <w:t xml:space="preserve"> verso il mercato italiano delle abitazioni per vacanza. </w:t>
      </w:r>
    </w:p>
    <w:p w14:paraId="494C80B8" w14:textId="23B175C2" w:rsidR="00D859D7" w:rsidRPr="00EC798A" w:rsidRDefault="00580160" w:rsidP="009D39DB">
      <w:pPr>
        <w:spacing w:after="120" w:line="276" w:lineRule="auto"/>
        <w:rPr>
          <w:rFonts w:asciiTheme="minorHAnsi" w:eastAsia="Calibri" w:hAnsiTheme="minorHAnsi" w:cstheme="minorHAnsi"/>
        </w:rPr>
      </w:pPr>
      <w:r w:rsidRPr="00EC798A">
        <w:rPr>
          <w:rFonts w:asciiTheme="minorHAnsi" w:eastAsia="Calibri" w:hAnsiTheme="minorHAnsi" w:cstheme="minorHAnsi"/>
        </w:rPr>
        <w:t>Di seguito g</w:t>
      </w:r>
      <w:r w:rsidR="00430438" w:rsidRPr="00EC798A">
        <w:rPr>
          <w:rFonts w:asciiTheme="minorHAnsi" w:eastAsia="Calibri" w:hAnsiTheme="minorHAnsi" w:cstheme="minorHAnsi"/>
        </w:rPr>
        <w:t>li aspetti</w:t>
      </w:r>
      <w:r w:rsidR="00D859D7" w:rsidRPr="00EC798A">
        <w:rPr>
          <w:rFonts w:asciiTheme="minorHAnsi" w:eastAsia="Calibri" w:hAnsiTheme="minorHAnsi" w:cstheme="minorHAnsi"/>
        </w:rPr>
        <w:t xml:space="preserve"> principali dell’analisi:</w:t>
      </w:r>
    </w:p>
    <w:p w14:paraId="349D2A8A" w14:textId="5DD69E68" w:rsidR="00914BB2" w:rsidRPr="00914BB2" w:rsidRDefault="00914BB2" w:rsidP="00866D1A">
      <w:pPr>
        <w:pStyle w:val="NormaleWeb"/>
        <w:numPr>
          <w:ilvl w:val="0"/>
          <w:numId w:val="5"/>
        </w:numPr>
        <w:shd w:val="clear" w:color="auto" w:fill="FFFFFF"/>
        <w:spacing w:before="0" w:beforeAutospacing="0" w:after="120" w:afterAutospacing="0" w:line="276" w:lineRule="auto"/>
        <w:jc w:val="both"/>
        <w:rPr>
          <w:rFonts w:asciiTheme="minorHAnsi" w:eastAsia="Calibri" w:hAnsiTheme="minorHAnsi" w:cstheme="minorHAnsi"/>
          <w:b/>
          <w:bCs/>
          <w:strike/>
        </w:rPr>
      </w:pPr>
      <w:r w:rsidRPr="00914BB2">
        <w:rPr>
          <w:rFonts w:asciiTheme="minorHAnsi" w:eastAsia="Calibri" w:hAnsiTheme="minorHAnsi" w:cstheme="minorHAnsi"/>
          <w:b/>
          <w:bCs/>
        </w:rPr>
        <w:t xml:space="preserve">Le evidenze rilevate </w:t>
      </w:r>
      <w:r w:rsidR="00995F8A">
        <w:rPr>
          <w:rFonts w:asciiTheme="minorHAnsi" w:eastAsia="Calibri" w:hAnsiTheme="minorHAnsi" w:cstheme="minorHAnsi"/>
          <w:b/>
          <w:bCs/>
        </w:rPr>
        <w:t>nel</w:t>
      </w:r>
      <w:r w:rsidRPr="00914BB2">
        <w:rPr>
          <w:rFonts w:asciiTheme="minorHAnsi" w:eastAsia="Calibri" w:hAnsiTheme="minorHAnsi" w:cstheme="minorHAnsi"/>
          <w:b/>
          <w:bCs/>
        </w:rPr>
        <w:t xml:space="preserve"> segmento delle compravendite di abitazioni nelle località turistiche restituiscono un quadro</w:t>
      </w:r>
      <w:r w:rsidR="00995F8A">
        <w:rPr>
          <w:rFonts w:asciiTheme="minorHAnsi" w:eastAsia="Calibri" w:hAnsiTheme="minorHAnsi" w:cstheme="minorHAnsi"/>
          <w:b/>
          <w:bCs/>
        </w:rPr>
        <w:t xml:space="preserve"> </w:t>
      </w:r>
      <w:r w:rsidRPr="00914BB2">
        <w:rPr>
          <w:rFonts w:asciiTheme="minorHAnsi" w:eastAsia="Calibri" w:hAnsiTheme="minorHAnsi" w:cstheme="minorHAnsi"/>
          <w:b/>
          <w:bCs/>
        </w:rPr>
        <w:t>incoraggiante</w:t>
      </w:r>
      <w:r w:rsidR="00995F8A">
        <w:rPr>
          <w:rFonts w:asciiTheme="minorHAnsi" w:eastAsia="Calibri" w:hAnsiTheme="minorHAnsi" w:cstheme="minorHAnsi"/>
          <w:b/>
          <w:bCs/>
        </w:rPr>
        <w:t xml:space="preserve">. </w:t>
      </w:r>
      <w:r w:rsidR="00866D1A">
        <w:rPr>
          <w:rFonts w:asciiTheme="minorHAnsi" w:eastAsia="Calibri" w:hAnsiTheme="minorHAnsi" w:cstheme="minorHAnsi"/>
          <w:b/>
          <w:bCs/>
        </w:rPr>
        <w:t>Sette</w:t>
      </w:r>
      <w:r w:rsidR="00995F8A">
        <w:rPr>
          <w:rFonts w:asciiTheme="minorHAnsi" w:eastAsia="Calibri" w:hAnsiTheme="minorHAnsi" w:cstheme="minorHAnsi"/>
          <w:b/>
          <w:bCs/>
        </w:rPr>
        <w:t xml:space="preserve"> agenti immobiliari </w:t>
      </w:r>
      <w:r w:rsidR="00866D1A">
        <w:rPr>
          <w:rFonts w:asciiTheme="minorHAnsi" w:eastAsia="Calibri" w:hAnsiTheme="minorHAnsi" w:cstheme="minorHAnsi"/>
          <w:b/>
          <w:bCs/>
        </w:rPr>
        <w:t>su dieci</w:t>
      </w:r>
      <w:r w:rsidR="00995F8A">
        <w:rPr>
          <w:rFonts w:asciiTheme="minorHAnsi" w:eastAsia="Calibri" w:hAnsiTheme="minorHAnsi" w:cstheme="minorHAnsi"/>
          <w:b/>
          <w:bCs/>
        </w:rPr>
        <w:t xml:space="preserve"> </w:t>
      </w:r>
      <w:r w:rsidR="00866D1A">
        <w:rPr>
          <w:rFonts w:asciiTheme="minorHAnsi" w:eastAsia="Calibri" w:hAnsiTheme="minorHAnsi" w:cstheme="minorHAnsi"/>
          <w:b/>
          <w:bCs/>
        </w:rPr>
        <w:t>hanno percepito, infatti,</w:t>
      </w:r>
      <w:r w:rsidR="00995F8A">
        <w:rPr>
          <w:rFonts w:asciiTheme="minorHAnsi" w:eastAsia="Calibri" w:hAnsiTheme="minorHAnsi" w:cstheme="minorHAnsi"/>
          <w:b/>
          <w:bCs/>
        </w:rPr>
        <w:t xml:space="preserve"> un sostanziale aumento delle compravendite </w:t>
      </w:r>
      <w:r w:rsidR="00866D1A">
        <w:rPr>
          <w:rFonts w:asciiTheme="minorHAnsi" w:eastAsia="Calibri" w:hAnsiTheme="minorHAnsi" w:cstheme="minorHAnsi"/>
          <w:b/>
          <w:bCs/>
        </w:rPr>
        <w:t xml:space="preserve">di abitazioni per vacanza </w:t>
      </w:r>
      <w:r w:rsidR="00995F8A">
        <w:rPr>
          <w:rFonts w:asciiTheme="minorHAnsi" w:eastAsia="Calibri" w:hAnsiTheme="minorHAnsi" w:cstheme="minorHAnsi"/>
          <w:b/>
          <w:bCs/>
        </w:rPr>
        <w:t>rispetto al 2020.</w:t>
      </w:r>
    </w:p>
    <w:p w14:paraId="70783C58" w14:textId="13DE2A10" w:rsidR="00BC5743" w:rsidRPr="00EC798A" w:rsidRDefault="00BC5743" w:rsidP="00E87EF0">
      <w:pPr>
        <w:pStyle w:val="NormaleWeb"/>
        <w:numPr>
          <w:ilvl w:val="0"/>
          <w:numId w:val="5"/>
        </w:numPr>
        <w:shd w:val="clear" w:color="auto" w:fill="FFFFFF"/>
        <w:spacing w:before="0" w:beforeAutospacing="0" w:after="120" w:afterAutospacing="0" w:line="276" w:lineRule="auto"/>
        <w:jc w:val="both"/>
        <w:rPr>
          <w:rFonts w:asciiTheme="minorHAnsi" w:eastAsia="Calibri" w:hAnsiTheme="minorHAnsi" w:cstheme="minorHAnsi"/>
          <w:strike/>
          <w:sz w:val="22"/>
          <w:szCs w:val="22"/>
        </w:rPr>
      </w:pPr>
      <w:r w:rsidRPr="00EC798A">
        <w:rPr>
          <w:rFonts w:asciiTheme="minorHAnsi" w:eastAsia="Calibri" w:hAnsiTheme="minorHAnsi" w:cstheme="minorHAnsi"/>
          <w:b/>
          <w:spacing w:val="-2"/>
        </w:rPr>
        <w:t>Nel 202</w:t>
      </w:r>
      <w:r w:rsidR="006A50C6" w:rsidRPr="00EC798A">
        <w:rPr>
          <w:rFonts w:asciiTheme="minorHAnsi" w:eastAsia="Calibri" w:hAnsiTheme="minorHAnsi" w:cstheme="minorHAnsi"/>
          <w:b/>
          <w:spacing w:val="-2"/>
        </w:rPr>
        <w:t>1</w:t>
      </w:r>
      <w:r w:rsidRPr="00EC798A">
        <w:rPr>
          <w:rFonts w:asciiTheme="minorHAnsi" w:eastAsia="Calibri" w:hAnsiTheme="minorHAnsi" w:cstheme="minorHAnsi"/>
          <w:b/>
          <w:spacing w:val="-2"/>
        </w:rPr>
        <w:t xml:space="preserve"> il prezzo medio per l’acquisto di un’abitazione</w:t>
      </w:r>
      <w:r w:rsidR="006A50C6" w:rsidRPr="00EC798A">
        <w:rPr>
          <w:rFonts w:asciiTheme="minorHAnsi" w:eastAsia="Calibri" w:hAnsiTheme="minorHAnsi" w:cstheme="minorHAnsi"/>
          <w:b/>
          <w:spacing w:val="-2"/>
        </w:rPr>
        <w:t xml:space="preserve"> nelle località </w:t>
      </w:r>
      <w:r w:rsidRPr="00EC798A">
        <w:rPr>
          <w:rFonts w:asciiTheme="minorHAnsi" w:eastAsia="Calibri" w:hAnsiTheme="minorHAnsi" w:cstheme="minorHAnsi"/>
          <w:b/>
          <w:spacing w:val="-2"/>
        </w:rPr>
        <w:t>turistic</w:t>
      </w:r>
      <w:r w:rsidR="006A50C6" w:rsidRPr="00EC798A">
        <w:rPr>
          <w:rFonts w:asciiTheme="minorHAnsi" w:eastAsia="Calibri" w:hAnsiTheme="minorHAnsi" w:cstheme="minorHAnsi"/>
          <w:b/>
          <w:spacing w:val="-2"/>
        </w:rPr>
        <w:t>he</w:t>
      </w:r>
      <w:r w:rsidRPr="00EC798A">
        <w:rPr>
          <w:rFonts w:asciiTheme="minorHAnsi" w:eastAsia="Calibri" w:hAnsiTheme="minorHAnsi" w:cstheme="minorHAnsi"/>
          <w:b/>
          <w:spacing w:val="-2"/>
        </w:rPr>
        <w:t xml:space="preserve"> in Italia si attesta a 2.</w:t>
      </w:r>
      <w:r w:rsidR="006A50C6" w:rsidRPr="00EC798A">
        <w:rPr>
          <w:rFonts w:asciiTheme="minorHAnsi" w:eastAsia="Calibri" w:hAnsiTheme="minorHAnsi" w:cstheme="minorHAnsi"/>
          <w:b/>
          <w:spacing w:val="-2"/>
        </w:rPr>
        <w:t>730</w:t>
      </w:r>
      <w:r w:rsidRPr="00EC798A">
        <w:rPr>
          <w:rFonts w:asciiTheme="minorHAnsi" w:eastAsia="Calibri" w:hAnsiTheme="minorHAnsi" w:cstheme="minorHAnsi"/>
          <w:b/>
          <w:spacing w:val="-2"/>
        </w:rPr>
        <w:t xml:space="preserve"> euro al mq commerciale, con un trend dei prezzi di vendita delle case per vacanza </w:t>
      </w:r>
      <w:r w:rsidR="006A50C6" w:rsidRPr="00EC798A">
        <w:rPr>
          <w:rFonts w:asciiTheme="minorHAnsi" w:eastAsia="Calibri" w:hAnsiTheme="minorHAnsi" w:cstheme="minorHAnsi"/>
          <w:b/>
          <w:spacing w:val="-2"/>
        </w:rPr>
        <w:t>in aumento</w:t>
      </w:r>
      <w:r w:rsidR="00580160" w:rsidRPr="00EC798A">
        <w:rPr>
          <w:rFonts w:asciiTheme="minorHAnsi" w:eastAsia="Calibri" w:hAnsiTheme="minorHAnsi" w:cstheme="minorHAnsi"/>
          <w:b/>
          <w:spacing w:val="-2"/>
        </w:rPr>
        <w:t xml:space="preserve"> del +3,1% su base annua</w:t>
      </w:r>
      <w:r w:rsidR="00DC3FE6">
        <w:rPr>
          <w:rFonts w:asciiTheme="minorHAnsi" w:eastAsia="Calibri" w:hAnsiTheme="minorHAnsi" w:cstheme="minorHAnsi"/>
          <w:b/>
          <w:spacing w:val="-2"/>
        </w:rPr>
        <w:t xml:space="preserve"> e </w:t>
      </w:r>
      <w:r w:rsidR="00580160" w:rsidRPr="00EC798A">
        <w:rPr>
          <w:rFonts w:asciiTheme="minorHAnsi" w:eastAsia="Calibri" w:hAnsiTheme="minorHAnsi" w:cstheme="minorHAnsi"/>
          <w:b/>
          <w:spacing w:val="-2"/>
        </w:rPr>
        <w:t xml:space="preserve">un campo di oscillazione compreso </w:t>
      </w:r>
      <w:r w:rsidR="00EC798A" w:rsidRPr="00EC798A">
        <w:rPr>
          <w:rFonts w:asciiTheme="minorHAnsi" w:eastAsia="Calibri" w:hAnsiTheme="minorHAnsi" w:cstheme="minorHAnsi"/>
          <w:b/>
          <w:spacing w:val="-2"/>
        </w:rPr>
        <w:t>tra -1,2% e +5,5%</w:t>
      </w:r>
      <w:r w:rsidR="006A50C6" w:rsidRPr="00EC798A">
        <w:rPr>
          <w:rFonts w:asciiTheme="minorHAnsi" w:eastAsia="Calibri" w:hAnsiTheme="minorHAnsi" w:cstheme="minorHAnsi"/>
          <w:b/>
          <w:spacing w:val="-2"/>
        </w:rPr>
        <w:t xml:space="preserve">, </w:t>
      </w:r>
      <w:r w:rsidR="00DC3FE6">
        <w:rPr>
          <w:rFonts w:asciiTheme="minorHAnsi" w:eastAsia="Calibri" w:hAnsiTheme="minorHAnsi" w:cstheme="minorHAnsi"/>
          <w:b/>
          <w:spacing w:val="-2"/>
        </w:rPr>
        <w:t>mettendo in evidenza un deciso recupero</w:t>
      </w:r>
      <w:r w:rsidR="00D84924">
        <w:rPr>
          <w:rFonts w:asciiTheme="minorHAnsi" w:eastAsia="Calibri" w:hAnsiTheme="minorHAnsi" w:cstheme="minorHAnsi"/>
          <w:b/>
          <w:spacing w:val="-2"/>
        </w:rPr>
        <w:t xml:space="preserve"> </w:t>
      </w:r>
      <w:r w:rsidR="006A50C6" w:rsidRPr="00EC798A">
        <w:rPr>
          <w:rFonts w:asciiTheme="minorHAnsi" w:eastAsia="Calibri" w:hAnsiTheme="minorHAnsi" w:cstheme="minorHAnsi"/>
          <w:b/>
          <w:spacing w:val="-2"/>
        </w:rPr>
        <w:t>dopo la battuta di arresto dello scorso anno</w:t>
      </w:r>
      <w:r w:rsidR="00580160" w:rsidRPr="00EC798A">
        <w:rPr>
          <w:rFonts w:asciiTheme="minorHAnsi" w:eastAsia="Calibri" w:hAnsiTheme="minorHAnsi" w:cstheme="minorHAnsi"/>
          <w:b/>
          <w:spacing w:val="-2"/>
        </w:rPr>
        <w:t xml:space="preserve"> (-0,8%</w:t>
      </w:r>
      <w:r w:rsidR="007B79AF" w:rsidRPr="00EC798A">
        <w:rPr>
          <w:rFonts w:asciiTheme="minorHAnsi" w:eastAsia="Calibri" w:hAnsiTheme="minorHAnsi" w:cstheme="minorHAnsi"/>
          <w:b/>
          <w:spacing w:val="-2"/>
        </w:rPr>
        <w:t xml:space="preserve"> su base annua</w:t>
      </w:r>
      <w:r w:rsidR="00580160" w:rsidRPr="00EC798A">
        <w:rPr>
          <w:rFonts w:asciiTheme="minorHAnsi" w:eastAsia="Calibri" w:hAnsiTheme="minorHAnsi" w:cstheme="minorHAnsi"/>
          <w:b/>
          <w:spacing w:val="-2"/>
        </w:rPr>
        <w:t>).</w:t>
      </w:r>
    </w:p>
    <w:p w14:paraId="0F5C1E61" w14:textId="77777777" w:rsidR="00157AFF" w:rsidRPr="00157AFF" w:rsidRDefault="00F231EB" w:rsidP="00157AFF">
      <w:pPr>
        <w:pStyle w:val="Paragrafoelenco"/>
        <w:numPr>
          <w:ilvl w:val="0"/>
          <w:numId w:val="5"/>
        </w:numPr>
        <w:spacing w:after="120" w:line="276" w:lineRule="auto"/>
        <w:contextualSpacing w:val="0"/>
        <w:jc w:val="both"/>
        <w:rPr>
          <w:rFonts w:asciiTheme="minorHAnsi" w:eastAsia="Calibri" w:hAnsiTheme="minorHAnsi" w:cstheme="minorHAnsi"/>
          <w:b/>
          <w:sz w:val="22"/>
          <w:szCs w:val="22"/>
        </w:rPr>
      </w:pPr>
      <w:r w:rsidRPr="00EC798A">
        <w:rPr>
          <w:rFonts w:asciiTheme="minorHAnsi" w:eastAsia="Calibri" w:hAnsiTheme="minorHAnsi" w:cstheme="minorHAnsi"/>
          <w:b/>
          <w:spacing w:val="-2"/>
        </w:rPr>
        <w:t>Per le abitazioni top nuove nelle località turistiche</w:t>
      </w:r>
      <w:r w:rsidRPr="00EC798A">
        <w:rPr>
          <w:rFonts w:asciiTheme="minorHAnsi" w:eastAsia="Calibri" w:hAnsiTheme="minorHAnsi" w:cstheme="minorHAnsi"/>
          <w:b/>
        </w:rPr>
        <w:t xml:space="preserve">, le quotazioni medie si attestano su valori che superano i 3.700 euro al mq (con un </w:t>
      </w:r>
      <w:proofErr w:type="spellStart"/>
      <w:r w:rsidRPr="00EC798A">
        <w:rPr>
          <w:rFonts w:asciiTheme="minorHAnsi" w:eastAsia="Calibri" w:hAnsiTheme="minorHAnsi" w:cstheme="minorHAnsi"/>
          <w:b/>
        </w:rPr>
        <w:t>range</w:t>
      </w:r>
      <w:proofErr w:type="spellEnd"/>
      <w:r w:rsidR="00580160" w:rsidRPr="00EC798A">
        <w:rPr>
          <w:rFonts w:asciiTheme="minorHAnsi" w:eastAsia="Calibri" w:hAnsiTheme="minorHAnsi" w:cstheme="minorHAnsi"/>
          <w:b/>
        </w:rPr>
        <w:t xml:space="preserve"> </w:t>
      </w:r>
      <w:r w:rsidR="00DC3FE6">
        <w:rPr>
          <w:rFonts w:asciiTheme="minorHAnsi" w:eastAsia="Calibri" w:hAnsiTheme="minorHAnsi" w:cstheme="minorHAnsi"/>
          <w:b/>
        </w:rPr>
        <w:t>di oscillazione dei valori medi</w:t>
      </w:r>
      <w:r w:rsidRPr="00EC798A">
        <w:rPr>
          <w:rFonts w:asciiTheme="minorHAnsi" w:eastAsia="Calibri" w:hAnsiTheme="minorHAnsi" w:cstheme="minorHAnsi"/>
          <w:b/>
        </w:rPr>
        <w:t xml:space="preserve"> tra 2.900 e 4.200 </w:t>
      </w:r>
      <w:r w:rsidRPr="00513D96">
        <w:rPr>
          <w:rFonts w:asciiTheme="minorHAnsi" w:eastAsia="Calibri" w:hAnsiTheme="minorHAnsi" w:cstheme="minorHAnsi"/>
          <w:b/>
        </w:rPr>
        <w:t>euro al mq)</w:t>
      </w:r>
      <w:r w:rsidR="00580160" w:rsidRPr="00513D96">
        <w:rPr>
          <w:rFonts w:asciiTheme="minorHAnsi" w:eastAsia="Calibri" w:hAnsiTheme="minorHAnsi" w:cstheme="minorHAnsi"/>
          <w:b/>
        </w:rPr>
        <w:t>;</w:t>
      </w:r>
      <w:r w:rsidRPr="00513D96">
        <w:rPr>
          <w:rFonts w:asciiTheme="minorHAnsi" w:eastAsia="Calibri" w:hAnsiTheme="minorHAnsi" w:cstheme="minorHAnsi"/>
          <w:b/>
        </w:rPr>
        <w:t xml:space="preserve"> </w:t>
      </w:r>
      <w:r w:rsidRPr="00513D96">
        <w:rPr>
          <w:rFonts w:asciiTheme="minorHAnsi" w:eastAsia="Calibri" w:hAnsiTheme="minorHAnsi" w:cstheme="minorHAnsi"/>
          <w:b/>
          <w:spacing w:val="-2"/>
        </w:rPr>
        <w:t xml:space="preserve">per le abitazioni centrali usate i valori </w:t>
      </w:r>
      <w:r w:rsidR="00DC3FE6">
        <w:rPr>
          <w:rFonts w:asciiTheme="minorHAnsi" w:eastAsia="Calibri" w:hAnsiTheme="minorHAnsi" w:cstheme="minorHAnsi"/>
          <w:b/>
          <w:spacing w:val="-2"/>
        </w:rPr>
        <w:t xml:space="preserve">medi </w:t>
      </w:r>
      <w:r w:rsidRPr="00513D96">
        <w:rPr>
          <w:rFonts w:asciiTheme="minorHAnsi" w:eastAsia="Calibri" w:hAnsiTheme="minorHAnsi" w:cstheme="minorHAnsi"/>
          <w:b/>
          <w:spacing w:val="-2"/>
        </w:rPr>
        <w:t xml:space="preserve">oscillano </w:t>
      </w:r>
      <w:r w:rsidRPr="00513D96">
        <w:rPr>
          <w:rFonts w:asciiTheme="minorHAnsi" w:eastAsia="Calibri" w:hAnsiTheme="minorHAnsi" w:cstheme="minorHAnsi"/>
          <w:b/>
        </w:rPr>
        <w:t xml:space="preserve">tra 2.110 e 3.160 euro al mq, mentre </w:t>
      </w:r>
      <w:r w:rsidRPr="00513D96">
        <w:rPr>
          <w:rFonts w:asciiTheme="minorHAnsi" w:eastAsia="Calibri" w:hAnsiTheme="minorHAnsi" w:cstheme="minorHAnsi"/>
          <w:b/>
          <w:spacing w:val="-2"/>
        </w:rPr>
        <w:t xml:space="preserve">per le abitazioni periferiche usate si mantengono </w:t>
      </w:r>
      <w:r w:rsidRPr="00513D96">
        <w:rPr>
          <w:rFonts w:asciiTheme="minorHAnsi" w:eastAsia="Calibri" w:hAnsiTheme="minorHAnsi" w:cstheme="minorHAnsi"/>
          <w:b/>
        </w:rPr>
        <w:t>tra 1.520 e 2.200 euro al mq</w:t>
      </w:r>
      <w:r w:rsidRPr="00513D96">
        <w:rPr>
          <w:rFonts w:asciiTheme="minorHAnsi" w:eastAsia="Calibri" w:hAnsiTheme="minorHAnsi" w:cstheme="minorHAnsi"/>
          <w:b/>
          <w:sz w:val="22"/>
          <w:szCs w:val="22"/>
        </w:rPr>
        <w:t xml:space="preserve"> </w:t>
      </w:r>
      <w:r w:rsidRPr="00513D96">
        <w:rPr>
          <w:rFonts w:asciiTheme="minorHAnsi" w:eastAsia="Calibri" w:hAnsiTheme="minorHAnsi" w:cstheme="minorHAnsi"/>
          <w:b/>
          <w:spacing w:val="-2"/>
        </w:rPr>
        <w:t>(</w:t>
      </w:r>
      <w:proofErr w:type="spellStart"/>
      <w:r w:rsidRPr="00513D96">
        <w:rPr>
          <w:rFonts w:asciiTheme="minorHAnsi" w:eastAsia="Calibri" w:hAnsiTheme="minorHAnsi" w:cstheme="minorHAnsi"/>
          <w:b/>
          <w:spacing w:val="-2"/>
        </w:rPr>
        <w:t>tav</w:t>
      </w:r>
      <w:proofErr w:type="spellEnd"/>
      <w:r w:rsidRPr="00513D96">
        <w:rPr>
          <w:rFonts w:asciiTheme="minorHAnsi" w:eastAsia="Calibri" w:hAnsiTheme="minorHAnsi" w:cstheme="minorHAnsi"/>
          <w:b/>
          <w:spacing w:val="-2"/>
        </w:rPr>
        <w:t xml:space="preserve"> </w:t>
      </w:r>
      <w:r w:rsidR="00792393">
        <w:rPr>
          <w:rFonts w:asciiTheme="minorHAnsi" w:eastAsia="Calibri" w:hAnsiTheme="minorHAnsi" w:cstheme="minorHAnsi"/>
          <w:b/>
          <w:spacing w:val="-2"/>
        </w:rPr>
        <w:t>2</w:t>
      </w:r>
      <w:r w:rsidR="009D39DB" w:rsidRPr="00513D96">
        <w:rPr>
          <w:rFonts w:asciiTheme="minorHAnsi" w:eastAsia="Calibri" w:hAnsiTheme="minorHAnsi" w:cstheme="minorHAnsi"/>
          <w:b/>
          <w:spacing w:val="-2"/>
        </w:rPr>
        <w:t>)</w:t>
      </w:r>
      <w:r w:rsidRPr="00513D96">
        <w:rPr>
          <w:rFonts w:asciiTheme="minorHAnsi" w:eastAsia="Calibri" w:hAnsiTheme="minorHAnsi" w:cstheme="minorHAnsi"/>
          <w:b/>
          <w:spacing w:val="-2"/>
        </w:rPr>
        <w:t>.</w:t>
      </w:r>
    </w:p>
    <w:p w14:paraId="314E0308" w14:textId="5C06364E" w:rsidR="00B31B03" w:rsidRPr="00157AFF" w:rsidRDefault="00B31B03" w:rsidP="00157AFF">
      <w:pPr>
        <w:pStyle w:val="Paragrafoelenco"/>
        <w:numPr>
          <w:ilvl w:val="0"/>
          <w:numId w:val="5"/>
        </w:numPr>
        <w:spacing w:after="120" w:line="276" w:lineRule="auto"/>
        <w:contextualSpacing w:val="0"/>
        <w:jc w:val="both"/>
        <w:rPr>
          <w:rFonts w:asciiTheme="minorHAnsi" w:eastAsia="Calibri" w:hAnsiTheme="minorHAnsi" w:cstheme="minorHAnsi"/>
          <w:b/>
          <w:sz w:val="22"/>
          <w:szCs w:val="22"/>
        </w:rPr>
      </w:pPr>
      <w:r w:rsidRPr="00157AFF">
        <w:rPr>
          <w:rFonts w:asciiTheme="minorHAnsi" w:eastAsia="Calibri" w:hAnsiTheme="minorHAnsi" w:cstheme="minorHAnsi"/>
          <w:b/>
          <w:bCs/>
        </w:rPr>
        <w:t>In cima alla classifica delle principali località turistiche - per quanto riguarda i prezzi massimi di compravendita di appartamenti top o nuovi</w:t>
      </w:r>
      <w:r w:rsidRPr="00513D96">
        <w:rPr>
          <w:rFonts w:eastAsia="Calibri"/>
          <w:vertAlign w:val="superscript"/>
        </w:rPr>
        <w:footnoteReference w:id="1"/>
      </w:r>
      <w:r w:rsidRPr="00157AFF">
        <w:rPr>
          <w:rFonts w:asciiTheme="minorHAnsi" w:eastAsia="Calibri" w:hAnsiTheme="minorHAnsi" w:cstheme="minorHAnsi"/>
          <w:b/>
          <w:bCs/>
        </w:rPr>
        <w:t xml:space="preserve"> - troviamo anche quest’anno una destinazione montana. Cortina d'Ampezzo (BL) si posiziona </w:t>
      </w:r>
      <w:r w:rsidR="00580160" w:rsidRPr="00157AFF">
        <w:rPr>
          <w:rFonts w:asciiTheme="minorHAnsi" w:eastAsia="Calibri" w:hAnsiTheme="minorHAnsi" w:cstheme="minorHAnsi"/>
          <w:b/>
          <w:bCs/>
        </w:rPr>
        <w:t>in vetta</w:t>
      </w:r>
      <w:r w:rsidRPr="00157AFF">
        <w:rPr>
          <w:rFonts w:asciiTheme="minorHAnsi" w:eastAsia="Calibri" w:hAnsiTheme="minorHAnsi" w:cstheme="minorHAnsi"/>
          <w:b/>
          <w:bCs/>
        </w:rPr>
        <w:t xml:space="preserve"> alla classifica con valori che raggiungono i 13.500 €/mq, </w:t>
      </w:r>
      <w:r w:rsidR="00580160" w:rsidRPr="00157AFF">
        <w:rPr>
          <w:rFonts w:asciiTheme="minorHAnsi" w:eastAsia="Calibri" w:hAnsiTheme="minorHAnsi" w:cstheme="minorHAnsi"/>
          <w:b/>
          <w:bCs/>
        </w:rPr>
        <w:t xml:space="preserve">superando </w:t>
      </w:r>
      <w:r w:rsidRPr="00157AFF">
        <w:rPr>
          <w:rFonts w:asciiTheme="minorHAnsi" w:eastAsia="Calibri" w:hAnsiTheme="minorHAnsi" w:cstheme="minorHAnsi"/>
          <w:b/>
          <w:bCs/>
        </w:rPr>
        <w:t xml:space="preserve">Madonna di Campiglio con 13.000 €/mq. In terza e quarta posizione vi sono due destinazioni marittime, ovvero Forte dei Marmi (LU) e Capri (NA), rispettivamente con un prezzo per abitazioni di 13.000 €/mq e 12.500 €/mq. In quinta posizione Courmayeur (AO) con un valore di 11.000 €/mq, </w:t>
      </w:r>
      <w:r w:rsidR="00580160" w:rsidRPr="00157AFF">
        <w:rPr>
          <w:rFonts w:asciiTheme="minorHAnsi" w:eastAsia="Calibri" w:hAnsiTheme="minorHAnsi" w:cstheme="minorHAnsi"/>
          <w:b/>
          <w:bCs/>
        </w:rPr>
        <w:t>arretrando</w:t>
      </w:r>
      <w:r w:rsidRPr="00157AFF">
        <w:rPr>
          <w:rFonts w:asciiTheme="minorHAnsi" w:eastAsia="Calibri" w:hAnsiTheme="minorHAnsi" w:cstheme="minorHAnsi"/>
          <w:b/>
          <w:bCs/>
        </w:rPr>
        <w:t xml:space="preserve"> rispetto allo scorso anno, e Santa Margherita Ligure (GE) che con un valore di 10.500 €/mq mantiene la stessa posizione del 2020 </w:t>
      </w:r>
      <w:r w:rsidRPr="00157AFF">
        <w:rPr>
          <w:rFonts w:asciiTheme="minorHAnsi" w:eastAsia="Calibri" w:hAnsiTheme="minorHAnsi" w:cstheme="minorHAnsi"/>
          <w:b/>
          <w:bCs/>
          <w:spacing w:val="-2"/>
        </w:rPr>
        <w:t>(</w:t>
      </w:r>
      <w:proofErr w:type="spellStart"/>
      <w:r w:rsidRPr="00157AFF">
        <w:rPr>
          <w:rFonts w:asciiTheme="minorHAnsi" w:eastAsia="Calibri" w:hAnsiTheme="minorHAnsi" w:cstheme="minorHAnsi"/>
          <w:b/>
          <w:spacing w:val="-2"/>
        </w:rPr>
        <w:t>tav</w:t>
      </w:r>
      <w:proofErr w:type="spellEnd"/>
      <w:r w:rsidRPr="00157AFF">
        <w:rPr>
          <w:rFonts w:asciiTheme="minorHAnsi" w:eastAsia="Calibri" w:hAnsiTheme="minorHAnsi" w:cstheme="minorHAnsi"/>
          <w:b/>
          <w:spacing w:val="-2"/>
        </w:rPr>
        <w:t xml:space="preserve"> </w:t>
      </w:r>
      <w:r w:rsidR="00792393" w:rsidRPr="00157AFF">
        <w:rPr>
          <w:rFonts w:asciiTheme="minorHAnsi" w:eastAsia="Calibri" w:hAnsiTheme="minorHAnsi" w:cstheme="minorHAnsi"/>
          <w:b/>
          <w:spacing w:val="-2"/>
        </w:rPr>
        <w:t>3</w:t>
      </w:r>
      <w:r w:rsidRPr="00157AFF">
        <w:rPr>
          <w:rFonts w:asciiTheme="minorHAnsi" w:eastAsia="Calibri" w:hAnsiTheme="minorHAnsi" w:cstheme="minorHAnsi"/>
          <w:b/>
          <w:spacing w:val="-2"/>
        </w:rPr>
        <w:t>).</w:t>
      </w:r>
    </w:p>
    <w:p w14:paraId="4C24370A" w14:textId="5DED53BD" w:rsidR="00B31B03" w:rsidRPr="00513D96" w:rsidRDefault="00B31B03" w:rsidP="009D39DB">
      <w:pPr>
        <w:pStyle w:val="Paragrafoelenco"/>
        <w:numPr>
          <w:ilvl w:val="0"/>
          <w:numId w:val="5"/>
        </w:numPr>
        <w:spacing w:after="120" w:line="276" w:lineRule="auto"/>
        <w:contextualSpacing w:val="0"/>
        <w:jc w:val="both"/>
        <w:rPr>
          <w:rFonts w:asciiTheme="minorHAnsi" w:eastAsia="Calibri" w:hAnsiTheme="minorHAnsi" w:cstheme="minorHAnsi"/>
          <w:b/>
          <w:strike/>
          <w:spacing w:val="-2"/>
        </w:rPr>
      </w:pPr>
      <w:r w:rsidRPr="00513D96">
        <w:rPr>
          <w:rFonts w:asciiTheme="minorHAnsi" w:eastAsia="Calibri" w:hAnsiTheme="minorHAnsi" w:cstheme="minorHAnsi"/>
          <w:b/>
          <w:spacing w:val="-2"/>
        </w:rPr>
        <w:lastRenderedPageBreak/>
        <w:t>Dal comparto locativo emergono segnali di maggior dinamismo rispetto al segmento delle compravendite</w:t>
      </w:r>
      <w:r w:rsidR="00D308D8" w:rsidRPr="00513D96">
        <w:rPr>
          <w:rFonts w:asciiTheme="minorHAnsi" w:eastAsia="Calibri" w:hAnsiTheme="minorHAnsi" w:cstheme="minorHAnsi"/>
          <w:b/>
          <w:spacing w:val="-2"/>
        </w:rPr>
        <w:t xml:space="preserve"> in termini di variazione dei canoni di locazione</w:t>
      </w:r>
      <w:r w:rsidRPr="00513D96">
        <w:rPr>
          <w:rFonts w:asciiTheme="minorHAnsi" w:eastAsia="Calibri" w:hAnsiTheme="minorHAnsi" w:cstheme="minorHAnsi"/>
          <w:b/>
          <w:spacing w:val="-2"/>
        </w:rPr>
        <w:t xml:space="preserve">. Il dato medio, sintesi dei canoni richiesti in giugno, luglio e agosto nelle singole località turistiche monitorate, evidenzia un +5,5% su base annua, </w:t>
      </w:r>
      <w:r w:rsidR="00D308D8" w:rsidRPr="00513D96">
        <w:rPr>
          <w:rFonts w:asciiTheme="minorHAnsi" w:eastAsia="Calibri" w:hAnsiTheme="minorHAnsi" w:cstheme="minorHAnsi"/>
          <w:b/>
          <w:spacing w:val="-2"/>
        </w:rPr>
        <w:t>con un campo di oscillazione, in funzione del mese, compreso tra +1,7% e +9,0%.</w:t>
      </w:r>
    </w:p>
    <w:p w14:paraId="373AFB12" w14:textId="2037BA70" w:rsidR="00F231EB" w:rsidRPr="00CB16CB" w:rsidRDefault="00F23C4C" w:rsidP="009D39DB">
      <w:pPr>
        <w:pStyle w:val="Paragrafoelenco"/>
        <w:numPr>
          <w:ilvl w:val="0"/>
          <w:numId w:val="5"/>
        </w:numPr>
        <w:spacing w:after="120" w:line="276" w:lineRule="auto"/>
        <w:contextualSpacing w:val="0"/>
        <w:jc w:val="both"/>
        <w:rPr>
          <w:rFonts w:asciiTheme="minorHAnsi" w:eastAsia="Calibri" w:hAnsiTheme="minorHAnsi" w:cstheme="minorHAnsi"/>
          <w:b/>
          <w:spacing w:val="-2"/>
        </w:rPr>
      </w:pPr>
      <w:r w:rsidRPr="009D39DB">
        <w:rPr>
          <w:rFonts w:asciiTheme="minorHAnsi" w:eastAsia="Calibri" w:hAnsiTheme="minorHAnsi" w:cstheme="minorHAnsi"/>
          <w:b/>
          <w:spacing w:val="-2"/>
        </w:rPr>
        <w:t>L</w:t>
      </w:r>
      <w:r w:rsidR="001E5073" w:rsidRPr="009D39DB">
        <w:rPr>
          <w:rFonts w:asciiTheme="minorHAnsi" w:eastAsia="Calibri" w:hAnsiTheme="minorHAnsi" w:cstheme="minorHAnsi"/>
          <w:b/>
          <w:spacing w:val="-2"/>
        </w:rPr>
        <w:t>a domanda di</w:t>
      </w:r>
      <w:r w:rsidRPr="009D39DB">
        <w:rPr>
          <w:rFonts w:asciiTheme="minorHAnsi" w:eastAsia="Calibri" w:hAnsiTheme="minorHAnsi" w:cstheme="minorHAnsi"/>
          <w:b/>
          <w:spacing w:val="-2"/>
        </w:rPr>
        <w:t xml:space="preserve"> acquisto</w:t>
      </w:r>
      <w:r w:rsidR="00E74CE3" w:rsidRPr="009D39DB">
        <w:rPr>
          <w:rFonts w:asciiTheme="minorHAnsi" w:eastAsia="Calibri" w:hAnsiTheme="minorHAnsi" w:cstheme="minorHAnsi"/>
          <w:b/>
          <w:spacing w:val="-2"/>
        </w:rPr>
        <w:t xml:space="preserve"> </w:t>
      </w:r>
      <w:r w:rsidRPr="009D39DB">
        <w:rPr>
          <w:rFonts w:asciiTheme="minorHAnsi" w:eastAsia="Calibri" w:hAnsiTheme="minorHAnsi" w:cstheme="minorHAnsi"/>
          <w:b/>
          <w:spacing w:val="-2"/>
        </w:rPr>
        <w:t>di</w:t>
      </w:r>
      <w:r w:rsidR="001E5073" w:rsidRPr="009D39DB">
        <w:rPr>
          <w:rFonts w:asciiTheme="minorHAnsi" w:eastAsia="Calibri" w:hAnsiTheme="minorHAnsi" w:cstheme="minorHAnsi"/>
          <w:b/>
          <w:spacing w:val="-2"/>
        </w:rPr>
        <w:t xml:space="preserve"> abitazioni </w:t>
      </w:r>
      <w:r w:rsidR="00E74CE3" w:rsidRPr="009D39DB">
        <w:rPr>
          <w:rFonts w:asciiTheme="minorHAnsi" w:eastAsia="Calibri" w:hAnsiTheme="minorHAnsi" w:cstheme="minorHAnsi"/>
          <w:b/>
          <w:spacing w:val="-2"/>
        </w:rPr>
        <w:t>nelle località turistiche</w:t>
      </w:r>
      <w:r w:rsidR="001E5073" w:rsidRPr="009D39DB">
        <w:rPr>
          <w:rFonts w:asciiTheme="minorHAnsi" w:eastAsia="Calibri" w:hAnsiTheme="minorHAnsi" w:cstheme="minorHAnsi"/>
          <w:b/>
          <w:spacing w:val="-2"/>
        </w:rPr>
        <w:t xml:space="preserve"> </w:t>
      </w:r>
      <w:r w:rsidR="00430438" w:rsidRPr="009D39DB">
        <w:rPr>
          <w:rFonts w:asciiTheme="minorHAnsi" w:eastAsia="Calibri" w:hAnsiTheme="minorHAnsi" w:cstheme="minorHAnsi"/>
          <w:b/>
          <w:spacing w:val="-2"/>
        </w:rPr>
        <w:t>continua ad essere sostenuta prevalentemente dalla</w:t>
      </w:r>
      <w:r w:rsidR="001E5073" w:rsidRPr="009D39DB">
        <w:rPr>
          <w:rFonts w:asciiTheme="minorHAnsi" w:eastAsia="Calibri" w:hAnsiTheme="minorHAnsi" w:cstheme="minorHAnsi"/>
          <w:b/>
          <w:spacing w:val="-2"/>
        </w:rPr>
        <w:t xml:space="preserve"> componente domestica nell’85% </w:t>
      </w:r>
      <w:r w:rsidR="005F5BA9" w:rsidRPr="009D39DB">
        <w:rPr>
          <w:rFonts w:asciiTheme="minorHAnsi" w:eastAsia="Calibri" w:hAnsiTheme="minorHAnsi" w:cstheme="minorHAnsi"/>
          <w:b/>
          <w:spacing w:val="-2"/>
        </w:rPr>
        <w:t xml:space="preserve">delle </w:t>
      </w:r>
      <w:r w:rsidR="00DC3FE6">
        <w:rPr>
          <w:rFonts w:asciiTheme="minorHAnsi" w:eastAsia="Calibri" w:hAnsiTheme="minorHAnsi" w:cstheme="minorHAnsi"/>
          <w:b/>
          <w:spacing w:val="-2"/>
        </w:rPr>
        <w:t>manifestazioni di interesse</w:t>
      </w:r>
      <w:r w:rsidR="001E5073" w:rsidRPr="009D39DB">
        <w:rPr>
          <w:rFonts w:asciiTheme="minorHAnsi" w:eastAsia="Calibri" w:hAnsiTheme="minorHAnsi" w:cstheme="minorHAnsi"/>
          <w:b/>
          <w:spacing w:val="-2"/>
        </w:rPr>
        <w:t>, mentre nel restante 15% risulta alimentata da soggetti stranieri</w:t>
      </w:r>
      <w:r w:rsidR="00DC3FE6">
        <w:rPr>
          <w:rFonts w:asciiTheme="minorHAnsi" w:eastAsia="Calibri" w:hAnsiTheme="minorHAnsi" w:cstheme="minorHAnsi"/>
          <w:b/>
          <w:spacing w:val="-2"/>
        </w:rPr>
        <w:t>, che si attestano su pe</w:t>
      </w:r>
      <w:r w:rsidR="001E5073" w:rsidRPr="009D39DB">
        <w:rPr>
          <w:rFonts w:asciiTheme="minorHAnsi" w:eastAsia="Calibri" w:hAnsiTheme="minorHAnsi" w:cstheme="minorHAnsi"/>
          <w:b/>
          <w:spacing w:val="-2"/>
        </w:rPr>
        <w:t>rcentuali simili allo scorso anno.</w:t>
      </w:r>
      <w:r w:rsidRPr="009D39DB">
        <w:rPr>
          <w:rFonts w:asciiTheme="minorHAnsi" w:eastAsia="Calibri" w:hAnsiTheme="minorHAnsi" w:cstheme="minorHAnsi"/>
          <w:b/>
          <w:spacing w:val="-2"/>
        </w:rPr>
        <w:t xml:space="preserve"> </w:t>
      </w:r>
      <w:r w:rsidR="00E74CE3" w:rsidRPr="00CB16CB">
        <w:rPr>
          <w:rFonts w:asciiTheme="minorHAnsi" w:eastAsia="Calibri" w:hAnsiTheme="minorHAnsi" w:cstheme="minorHAnsi"/>
          <w:b/>
          <w:spacing w:val="-2"/>
        </w:rPr>
        <w:t>Allo stesso modo il segmento locativo è sorretto</w:t>
      </w:r>
      <w:r w:rsidR="00DC3FE6" w:rsidRPr="00CB16CB">
        <w:rPr>
          <w:rFonts w:asciiTheme="minorHAnsi" w:eastAsia="Calibri" w:hAnsiTheme="minorHAnsi" w:cstheme="minorHAnsi"/>
          <w:b/>
          <w:spacing w:val="-2"/>
        </w:rPr>
        <w:t xml:space="preserve"> in prevalenza</w:t>
      </w:r>
      <w:r w:rsidR="00E74CE3" w:rsidRPr="00CB16CB">
        <w:rPr>
          <w:rFonts w:asciiTheme="minorHAnsi" w:eastAsia="Calibri" w:hAnsiTheme="minorHAnsi" w:cstheme="minorHAnsi"/>
          <w:b/>
          <w:spacing w:val="-2"/>
        </w:rPr>
        <w:t xml:space="preserve"> dai turisti italiani (8</w:t>
      </w:r>
      <w:r w:rsidR="00CB16CB" w:rsidRPr="00CB16CB">
        <w:rPr>
          <w:rFonts w:asciiTheme="minorHAnsi" w:eastAsia="Calibri" w:hAnsiTheme="minorHAnsi" w:cstheme="minorHAnsi"/>
          <w:b/>
          <w:spacing w:val="-2"/>
        </w:rPr>
        <w:t>4</w:t>
      </w:r>
      <w:r w:rsidR="00E74CE3" w:rsidRPr="00CB16CB">
        <w:rPr>
          <w:rFonts w:asciiTheme="minorHAnsi" w:eastAsia="Calibri" w:hAnsiTheme="minorHAnsi" w:cstheme="minorHAnsi"/>
          <w:b/>
          <w:spacing w:val="-2"/>
        </w:rPr>
        <w:t xml:space="preserve">% delle risposte), mentre gli stranieri rappresentano </w:t>
      </w:r>
      <w:r w:rsidR="00DC3FE6" w:rsidRPr="00CB16CB">
        <w:rPr>
          <w:rFonts w:asciiTheme="minorHAnsi" w:eastAsia="Calibri" w:hAnsiTheme="minorHAnsi" w:cstheme="minorHAnsi"/>
          <w:b/>
          <w:spacing w:val="-2"/>
        </w:rPr>
        <w:t>un non trascurabile</w:t>
      </w:r>
      <w:r w:rsidR="00E74CE3" w:rsidRPr="00CB16CB">
        <w:rPr>
          <w:rFonts w:asciiTheme="minorHAnsi" w:eastAsia="Calibri" w:hAnsiTheme="minorHAnsi" w:cstheme="minorHAnsi"/>
          <w:b/>
          <w:spacing w:val="-2"/>
        </w:rPr>
        <w:t xml:space="preserve"> </w:t>
      </w:r>
      <w:r w:rsidR="00CB16CB" w:rsidRPr="00CB16CB">
        <w:rPr>
          <w:rFonts w:asciiTheme="minorHAnsi" w:eastAsia="Calibri" w:hAnsiTheme="minorHAnsi" w:cstheme="minorHAnsi"/>
          <w:b/>
          <w:spacing w:val="-2"/>
        </w:rPr>
        <w:t>16</w:t>
      </w:r>
      <w:r w:rsidR="00E74CE3" w:rsidRPr="00CB16CB">
        <w:rPr>
          <w:rFonts w:asciiTheme="minorHAnsi" w:eastAsia="Calibri" w:hAnsiTheme="minorHAnsi" w:cstheme="minorHAnsi"/>
          <w:b/>
          <w:spacing w:val="-2"/>
        </w:rPr>
        <w:t>%</w:t>
      </w:r>
      <w:r w:rsidR="00F231EB" w:rsidRPr="00CB16CB">
        <w:rPr>
          <w:rFonts w:asciiTheme="minorHAnsi" w:eastAsia="Calibri" w:hAnsiTheme="minorHAnsi" w:cstheme="minorHAnsi"/>
          <w:b/>
          <w:spacing w:val="-2"/>
        </w:rPr>
        <w:t xml:space="preserve"> </w:t>
      </w:r>
      <w:r w:rsidR="009D39DB" w:rsidRPr="00CB16CB">
        <w:rPr>
          <w:rFonts w:asciiTheme="minorHAnsi" w:eastAsia="Calibri" w:hAnsiTheme="minorHAnsi" w:cstheme="minorHAnsi"/>
          <w:b/>
          <w:spacing w:val="-2"/>
        </w:rPr>
        <w:t>(</w:t>
      </w:r>
      <w:proofErr w:type="spellStart"/>
      <w:r w:rsidR="009D39DB" w:rsidRPr="00CB16CB">
        <w:rPr>
          <w:rFonts w:asciiTheme="minorHAnsi" w:eastAsia="Calibri" w:hAnsiTheme="minorHAnsi" w:cstheme="minorHAnsi"/>
          <w:b/>
          <w:spacing w:val="-2"/>
        </w:rPr>
        <w:t>fig</w:t>
      </w:r>
      <w:proofErr w:type="spellEnd"/>
      <w:r w:rsidR="009D39DB" w:rsidRPr="00CB16CB">
        <w:rPr>
          <w:rFonts w:asciiTheme="minorHAnsi" w:eastAsia="Calibri" w:hAnsiTheme="minorHAnsi" w:cstheme="minorHAnsi"/>
          <w:b/>
          <w:spacing w:val="-2"/>
        </w:rPr>
        <w:t xml:space="preserve"> </w:t>
      </w:r>
      <w:r w:rsidR="00792393" w:rsidRPr="00CB16CB">
        <w:rPr>
          <w:rFonts w:asciiTheme="minorHAnsi" w:eastAsia="Calibri" w:hAnsiTheme="minorHAnsi" w:cstheme="minorHAnsi"/>
          <w:b/>
          <w:spacing w:val="-2"/>
        </w:rPr>
        <w:t>7</w:t>
      </w:r>
      <w:r w:rsidR="00F231EB" w:rsidRPr="00CB16CB">
        <w:rPr>
          <w:rFonts w:asciiTheme="minorHAnsi" w:eastAsia="Calibri" w:hAnsiTheme="minorHAnsi" w:cstheme="minorHAnsi"/>
          <w:b/>
          <w:spacing w:val="-2"/>
        </w:rPr>
        <w:t xml:space="preserve">). </w:t>
      </w:r>
    </w:p>
    <w:p w14:paraId="33EA804B" w14:textId="61264DAB" w:rsidR="00F231EB" w:rsidRDefault="00813021" w:rsidP="009D39DB">
      <w:pPr>
        <w:pStyle w:val="Paragrafoelenco"/>
        <w:numPr>
          <w:ilvl w:val="0"/>
          <w:numId w:val="5"/>
        </w:numPr>
        <w:spacing w:after="120" w:line="276" w:lineRule="auto"/>
        <w:contextualSpacing w:val="0"/>
        <w:jc w:val="both"/>
        <w:rPr>
          <w:rFonts w:asciiTheme="minorHAnsi" w:eastAsia="Calibri" w:hAnsiTheme="minorHAnsi" w:cstheme="minorHAnsi"/>
          <w:b/>
          <w:spacing w:val="-2"/>
        </w:rPr>
      </w:pPr>
      <w:r>
        <w:rPr>
          <w:rFonts w:asciiTheme="minorHAnsi" w:eastAsia="Calibri" w:hAnsiTheme="minorHAnsi" w:cstheme="minorHAnsi"/>
          <w:b/>
          <w:spacing w:val="-2"/>
        </w:rPr>
        <w:t>Volendo tracciare l’i</w:t>
      </w:r>
      <w:r w:rsidR="00260B7F" w:rsidRPr="009D39DB">
        <w:rPr>
          <w:rFonts w:asciiTheme="minorHAnsi" w:eastAsia="Calibri" w:hAnsiTheme="minorHAnsi" w:cstheme="minorHAnsi"/>
          <w:b/>
          <w:spacing w:val="-2"/>
        </w:rPr>
        <w:t>dentikit delle famiglie che prendono in locazione una casa per vacanza per almeno un mese</w:t>
      </w:r>
      <w:r>
        <w:rPr>
          <w:rFonts w:asciiTheme="minorHAnsi" w:eastAsia="Calibri" w:hAnsiTheme="minorHAnsi" w:cstheme="minorHAnsi"/>
          <w:b/>
          <w:spacing w:val="-2"/>
        </w:rPr>
        <w:t>,</w:t>
      </w:r>
      <w:r w:rsidR="00260B7F" w:rsidRPr="009D39DB">
        <w:rPr>
          <w:rFonts w:asciiTheme="minorHAnsi" w:eastAsia="Calibri" w:hAnsiTheme="minorHAnsi" w:cstheme="minorHAnsi"/>
          <w:b/>
          <w:spacing w:val="-2"/>
        </w:rPr>
        <w:t xml:space="preserve"> </w:t>
      </w:r>
      <w:r w:rsidR="00B31B03" w:rsidRPr="009D39DB">
        <w:rPr>
          <w:rFonts w:asciiTheme="minorHAnsi" w:eastAsia="Calibri" w:hAnsiTheme="minorHAnsi" w:cstheme="minorHAnsi"/>
          <w:b/>
          <w:spacing w:val="-2"/>
        </w:rPr>
        <w:t>si conferma anche quest’anno la netta prevalenza delle famiglie numerose con 4 e più componenti (oltre il 77,3% delle risposte)</w:t>
      </w:r>
      <w:r w:rsidR="00F231EB" w:rsidRPr="009D39DB">
        <w:rPr>
          <w:rFonts w:asciiTheme="minorHAnsi" w:eastAsia="Calibri" w:hAnsiTheme="minorHAnsi" w:cstheme="minorHAnsi"/>
          <w:b/>
          <w:spacing w:val="-2"/>
        </w:rPr>
        <w:t xml:space="preserve"> </w:t>
      </w:r>
      <w:r w:rsidR="009D39DB">
        <w:rPr>
          <w:rFonts w:asciiTheme="minorHAnsi" w:eastAsia="Calibri" w:hAnsiTheme="minorHAnsi" w:cstheme="minorHAnsi"/>
          <w:b/>
          <w:spacing w:val="-2"/>
        </w:rPr>
        <w:t>(</w:t>
      </w:r>
      <w:proofErr w:type="spellStart"/>
      <w:r w:rsidR="009D39DB">
        <w:rPr>
          <w:rFonts w:asciiTheme="minorHAnsi" w:eastAsia="Calibri" w:hAnsiTheme="minorHAnsi" w:cstheme="minorHAnsi"/>
          <w:b/>
          <w:spacing w:val="-2"/>
        </w:rPr>
        <w:t>f</w:t>
      </w:r>
      <w:r w:rsidR="009D39DB" w:rsidRPr="009D39DB">
        <w:rPr>
          <w:rFonts w:asciiTheme="minorHAnsi" w:eastAsia="Calibri" w:hAnsiTheme="minorHAnsi" w:cstheme="minorHAnsi"/>
          <w:b/>
          <w:spacing w:val="-2"/>
        </w:rPr>
        <w:t>ig</w:t>
      </w:r>
      <w:proofErr w:type="spellEnd"/>
      <w:r w:rsidR="009D39DB" w:rsidRPr="009D39DB">
        <w:rPr>
          <w:rFonts w:asciiTheme="minorHAnsi" w:eastAsia="Calibri" w:hAnsiTheme="minorHAnsi" w:cstheme="minorHAnsi"/>
          <w:b/>
          <w:spacing w:val="-2"/>
        </w:rPr>
        <w:t xml:space="preserve"> </w:t>
      </w:r>
      <w:r w:rsidR="00792393">
        <w:rPr>
          <w:rFonts w:asciiTheme="minorHAnsi" w:eastAsia="Calibri" w:hAnsiTheme="minorHAnsi" w:cstheme="minorHAnsi"/>
          <w:b/>
          <w:spacing w:val="-2"/>
        </w:rPr>
        <w:t>8</w:t>
      </w:r>
      <w:r w:rsidR="009D39DB" w:rsidRPr="009D39DB">
        <w:rPr>
          <w:rFonts w:asciiTheme="minorHAnsi" w:eastAsia="Calibri" w:hAnsiTheme="minorHAnsi" w:cstheme="minorHAnsi"/>
          <w:b/>
          <w:spacing w:val="-2"/>
        </w:rPr>
        <w:t>).</w:t>
      </w:r>
    </w:p>
    <w:p w14:paraId="595BBB8B" w14:textId="77777777" w:rsidR="00555EC1" w:rsidRPr="00357C31" w:rsidRDefault="00555EC1" w:rsidP="00555EC1">
      <w:pPr>
        <w:pStyle w:val="Paragrafoelenco"/>
        <w:spacing w:after="120" w:line="276" w:lineRule="auto"/>
        <w:contextualSpacing w:val="0"/>
        <w:jc w:val="both"/>
        <w:rPr>
          <w:rFonts w:asciiTheme="minorHAnsi" w:eastAsia="Calibri" w:hAnsiTheme="minorHAnsi" w:cstheme="minorHAnsi"/>
          <w:b/>
          <w:spacing w:val="-2"/>
          <w:sz w:val="16"/>
        </w:rPr>
      </w:pPr>
    </w:p>
    <w:p w14:paraId="6C34AB07" w14:textId="77777777" w:rsidR="000B0CE8" w:rsidRPr="00DB04E0" w:rsidRDefault="000B0CE8" w:rsidP="000B0CE8">
      <w:pPr>
        <w:rPr>
          <w:rFonts w:asciiTheme="minorHAnsi" w:hAnsiTheme="minorHAnsi"/>
          <w:b/>
          <w:sz w:val="2"/>
          <w:szCs w:val="28"/>
        </w:rPr>
      </w:pPr>
    </w:p>
    <w:p w14:paraId="5E5E3DC8" w14:textId="1E4FE0F9" w:rsidR="000B0CE8" w:rsidRDefault="000B0CE8" w:rsidP="000B0CE8">
      <w:pPr>
        <w:ind w:firstLine="708"/>
        <w:rPr>
          <w:rFonts w:asciiTheme="minorHAnsi" w:hAnsiTheme="minorHAnsi" w:cstheme="minorHAnsi"/>
          <w:b/>
        </w:rPr>
      </w:pPr>
      <w:r w:rsidRPr="000B0CE8">
        <w:rPr>
          <w:rFonts w:asciiTheme="minorHAnsi" w:hAnsiTheme="minorHAnsi" w:cstheme="minorHAnsi"/>
          <w:b/>
        </w:rPr>
        <w:t>Il commento di Santino Taverna, presidente nazionale Fimaa</w:t>
      </w:r>
    </w:p>
    <w:p w14:paraId="7976832D" w14:textId="77777777" w:rsidR="00B0337A" w:rsidRPr="002025D5" w:rsidRDefault="00B0337A" w:rsidP="000B0CE8">
      <w:pPr>
        <w:ind w:firstLine="708"/>
        <w:rPr>
          <w:rFonts w:asciiTheme="minorHAnsi" w:hAnsiTheme="minorHAnsi" w:cstheme="minorHAnsi"/>
          <w:b/>
          <w:sz w:val="6"/>
        </w:rPr>
      </w:pPr>
    </w:p>
    <w:p w14:paraId="5EE1EAAA" w14:textId="7D88BB55" w:rsidR="000B0CE8" w:rsidRPr="00157AFF" w:rsidRDefault="000B0CE8" w:rsidP="00157AFF">
      <w:pPr>
        <w:pStyle w:val="Paragrafoelenco"/>
        <w:jc w:val="both"/>
        <w:rPr>
          <w:rFonts w:asciiTheme="minorHAnsi" w:hAnsiTheme="minorHAnsi" w:cstheme="minorHAnsi"/>
          <w:i/>
          <w:iCs/>
        </w:rPr>
      </w:pPr>
      <w:r w:rsidRPr="00271E70">
        <w:rPr>
          <w:rFonts w:asciiTheme="minorHAnsi" w:hAnsiTheme="minorHAnsi" w:cstheme="minorHAnsi"/>
          <w:i/>
          <w:iCs/>
        </w:rPr>
        <w:t>“</w:t>
      </w:r>
      <w:r w:rsidR="00143041" w:rsidRPr="00143041">
        <w:rPr>
          <w:rFonts w:asciiTheme="minorHAnsi" w:hAnsiTheme="minorHAnsi" w:cstheme="minorHAnsi"/>
          <w:i/>
          <w:iCs/>
        </w:rPr>
        <w:t xml:space="preserve">In Italia il turismo di prossimità sta alimentando la richiesta di case vacanza sia per l’acquisto sia per la locazione. Le restrizioni negli spostamenti e la circolazione delle varianti Covid-19 stanno però ancora influenzando negativamente gli investimenti esteri nel comparto. Soprattutto da parte di investitori americani, russi e nordeuropei. Le richieste delle famiglie italiane si concentrano specialmente verso immobili spaziosi, con terrazza o giardino, se possibile con vista panoramica e anche con un locale da dedicare allo </w:t>
      </w:r>
      <w:proofErr w:type="spellStart"/>
      <w:r w:rsidR="00143041" w:rsidRPr="00143041">
        <w:rPr>
          <w:rFonts w:asciiTheme="minorHAnsi" w:hAnsiTheme="minorHAnsi" w:cstheme="minorHAnsi"/>
          <w:i/>
          <w:iCs/>
        </w:rPr>
        <w:t>smart</w:t>
      </w:r>
      <w:proofErr w:type="spellEnd"/>
      <w:r w:rsidR="00143041" w:rsidRPr="00143041">
        <w:rPr>
          <w:rFonts w:asciiTheme="minorHAnsi" w:hAnsiTheme="minorHAnsi" w:cstheme="minorHAnsi"/>
          <w:i/>
          <w:iCs/>
        </w:rPr>
        <w:t xml:space="preserve"> </w:t>
      </w:r>
      <w:proofErr w:type="spellStart"/>
      <w:r w:rsidR="00143041" w:rsidRPr="00143041">
        <w:rPr>
          <w:rFonts w:asciiTheme="minorHAnsi" w:hAnsiTheme="minorHAnsi" w:cstheme="minorHAnsi"/>
          <w:i/>
          <w:iCs/>
        </w:rPr>
        <w:t>working</w:t>
      </w:r>
      <w:proofErr w:type="spellEnd"/>
      <w:r w:rsidR="00143041" w:rsidRPr="00143041">
        <w:rPr>
          <w:rFonts w:asciiTheme="minorHAnsi" w:hAnsiTheme="minorHAnsi" w:cstheme="minorHAnsi"/>
          <w:i/>
          <w:iCs/>
        </w:rPr>
        <w:t>. Siamo sulla buona strada e la diffusione capillare del vaccino può certamente contribuire per il ritorno alla normalità</w:t>
      </w:r>
      <w:r w:rsidR="00CD2C25">
        <w:rPr>
          <w:rFonts w:asciiTheme="minorHAnsi" w:hAnsiTheme="minorHAnsi" w:cstheme="minorHAnsi"/>
          <w:i/>
          <w:iCs/>
        </w:rPr>
        <w:t>.</w:t>
      </w:r>
      <w:r w:rsidR="00143041" w:rsidRPr="00143041">
        <w:rPr>
          <w:rFonts w:asciiTheme="minorHAnsi" w:hAnsiTheme="minorHAnsi" w:cstheme="minorHAnsi"/>
          <w:i/>
          <w:iCs/>
        </w:rPr>
        <w:t>”</w:t>
      </w:r>
    </w:p>
    <w:p w14:paraId="1BF4693C" w14:textId="77777777" w:rsidR="000B0CE8" w:rsidRPr="00F46623" w:rsidRDefault="000B0CE8" w:rsidP="000B0CE8">
      <w:pPr>
        <w:pStyle w:val="Paragrafoelenco"/>
        <w:jc w:val="both"/>
        <w:rPr>
          <w:rFonts w:asciiTheme="minorHAnsi" w:hAnsiTheme="minorHAnsi" w:cstheme="minorHAnsi"/>
          <w:i/>
          <w:iCs/>
          <w:sz w:val="14"/>
        </w:rPr>
      </w:pPr>
    </w:p>
    <w:p w14:paraId="0A75D561" w14:textId="77777777" w:rsidR="000B0CE8" w:rsidRDefault="000B0CE8" w:rsidP="000B0CE8">
      <w:pPr>
        <w:pStyle w:val="Paragrafoelenco"/>
        <w:rPr>
          <w:rFonts w:asciiTheme="minorHAnsi" w:hAnsiTheme="minorHAnsi" w:cstheme="minorHAnsi"/>
          <w:b/>
        </w:rPr>
      </w:pPr>
      <w:r w:rsidRPr="00271E70">
        <w:rPr>
          <w:rFonts w:asciiTheme="minorHAnsi" w:hAnsiTheme="minorHAnsi" w:cstheme="minorHAnsi"/>
          <w:b/>
        </w:rPr>
        <w:t xml:space="preserve">Il commento di Luca Dondi, </w:t>
      </w:r>
      <w:r>
        <w:rPr>
          <w:rFonts w:asciiTheme="minorHAnsi" w:hAnsiTheme="minorHAnsi" w:cstheme="minorHAnsi"/>
          <w:b/>
        </w:rPr>
        <w:t>a</w:t>
      </w:r>
      <w:r w:rsidRPr="00271E70">
        <w:rPr>
          <w:rFonts w:asciiTheme="minorHAnsi" w:hAnsiTheme="minorHAnsi" w:cstheme="minorHAnsi"/>
          <w:b/>
        </w:rPr>
        <w:t>mministratore delegato di Nomisma</w:t>
      </w:r>
    </w:p>
    <w:p w14:paraId="52934391" w14:textId="77777777" w:rsidR="00B0337A" w:rsidRPr="002025D5" w:rsidRDefault="00B0337A" w:rsidP="000B0CE8">
      <w:pPr>
        <w:pStyle w:val="Paragrafoelenco"/>
        <w:rPr>
          <w:rFonts w:asciiTheme="minorHAnsi" w:hAnsiTheme="minorHAnsi" w:cstheme="minorHAnsi"/>
          <w:b/>
          <w:sz w:val="6"/>
        </w:rPr>
      </w:pPr>
    </w:p>
    <w:p w14:paraId="1C788126" w14:textId="4AC50BB0" w:rsidR="000B0CE8" w:rsidRPr="00051BA3" w:rsidRDefault="000B0CE8" w:rsidP="000B0CE8">
      <w:pPr>
        <w:pStyle w:val="Paragrafoelenco"/>
        <w:jc w:val="both"/>
        <w:rPr>
          <w:rFonts w:asciiTheme="minorHAnsi" w:hAnsiTheme="minorHAnsi" w:cstheme="minorHAnsi"/>
          <w:i/>
        </w:rPr>
      </w:pPr>
      <w:r w:rsidRPr="00271E70">
        <w:rPr>
          <w:rFonts w:asciiTheme="minorHAnsi" w:hAnsiTheme="minorHAnsi" w:cstheme="minorHAnsi"/>
        </w:rPr>
        <w:t xml:space="preserve">Secondo Luca Dondi, </w:t>
      </w:r>
      <w:r w:rsidR="00DB04E0">
        <w:rPr>
          <w:rFonts w:asciiTheme="minorHAnsi" w:hAnsiTheme="minorHAnsi" w:cstheme="minorHAnsi"/>
        </w:rPr>
        <w:t>a</w:t>
      </w:r>
      <w:r w:rsidRPr="00271E70">
        <w:rPr>
          <w:rFonts w:asciiTheme="minorHAnsi" w:hAnsiTheme="minorHAnsi" w:cstheme="minorHAnsi"/>
        </w:rPr>
        <w:t xml:space="preserve">mministratore delegato di Nomisma </w:t>
      </w:r>
      <w:r w:rsidRPr="00DB04E0">
        <w:rPr>
          <w:rFonts w:asciiTheme="minorHAnsi" w:hAnsiTheme="minorHAnsi" w:cstheme="minorHAnsi"/>
          <w:iCs/>
        </w:rPr>
        <w:t>“</w:t>
      </w:r>
      <w:r w:rsidR="00051BA3" w:rsidRPr="00DB04E0">
        <w:rPr>
          <w:rFonts w:ascii="Calibri" w:hAnsi="Calibri" w:cs="Calibri"/>
          <w:i/>
          <w:color w:val="000000"/>
          <w:shd w:val="clear" w:color="auto" w:fill="FFFFFF"/>
        </w:rPr>
        <w:t>La quarantena forzosa a cui siamo stati costretti, unita alla percezione di sicurezza dell’impiego immobiliare, hanno contribuito ad alimentare nelle famiglie italiane la voglia di accrescere gli spazi abitativi a disposizione del nucleo. Di questo impulso ha beneficiato il mercato immobiliare delle località turistiche, che dopo anni di incertezze ha fatto registrare un ritorno di interessi con riflessi sia sui livelli di attività che sui valo</w:t>
      </w:r>
      <w:r w:rsidR="00A1362C">
        <w:rPr>
          <w:rFonts w:ascii="Calibri" w:hAnsi="Calibri" w:cs="Calibri"/>
          <w:i/>
          <w:color w:val="000000"/>
          <w:shd w:val="clear" w:color="auto" w:fill="FFFFFF"/>
        </w:rPr>
        <w:t>ri di compravendita e locazione</w:t>
      </w:r>
      <w:r w:rsidR="00CD2C25">
        <w:rPr>
          <w:rFonts w:ascii="Calibri" w:hAnsi="Calibri" w:cs="Calibri"/>
          <w:i/>
          <w:color w:val="000000"/>
          <w:shd w:val="clear" w:color="auto" w:fill="FFFFFF"/>
        </w:rPr>
        <w:t>.</w:t>
      </w:r>
      <w:r w:rsidRPr="00DB04E0">
        <w:rPr>
          <w:rFonts w:asciiTheme="minorHAnsi" w:hAnsiTheme="minorHAnsi" w:cstheme="minorHAnsi"/>
          <w:i/>
        </w:rPr>
        <w:t>”</w:t>
      </w:r>
    </w:p>
    <w:p w14:paraId="55FF5888" w14:textId="77777777" w:rsidR="000B0CE8" w:rsidRPr="00F46623" w:rsidRDefault="000B0CE8" w:rsidP="000B0CE8">
      <w:pPr>
        <w:pStyle w:val="Paragrafoelenco"/>
        <w:jc w:val="both"/>
        <w:rPr>
          <w:rFonts w:asciiTheme="minorHAnsi" w:hAnsiTheme="minorHAnsi" w:cstheme="minorHAnsi"/>
          <w:sz w:val="14"/>
        </w:rPr>
      </w:pPr>
    </w:p>
    <w:p w14:paraId="3FF44F6B" w14:textId="407EE216" w:rsidR="000B0CE8" w:rsidRDefault="000B0CE8" w:rsidP="000B0CE8">
      <w:pPr>
        <w:pStyle w:val="Paragrafoelenco"/>
        <w:rPr>
          <w:rFonts w:asciiTheme="minorHAnsi" w:hAnsiTheme="minorHAnsi" w:cstheme="minorHAnsi"/>
          <w:b/>
          <w:szCs w:val="23"/>
        </w:rPr>
      </w:pPr>
      <w:r w:rsidRPr="007054C6">
        <w:rPr>
          <w:rFonts w:asciiTheme="minorHAnsi" w:hAnsiTheme="minorHAnsi" w:cstheme="minorHAnsi"/>
          <w:b/>
          <w:szCs w:val="23"/>
        </w:rPr>
        <w:t xml:space="preserve">Il commento di Fabrizio Savorani, </w:t>
      </w:r>
      <w:r w:rsidR="007054C6" w:rsidRPr="007054C6">
        <w:rPr>
          <w:rFonts w:asciiTheme="minorHAnsi" w:hAnsiTheme="minorHAnsi" w:cstheme="minorHAnsi"/>
          <w:b/>
          <w:szCs w:val="23"/>
        </w:rPr>
        <w:t xml:space="preserve">referente settore turistico Ufficio </w:t>
      </w:r>
      <w:r w:rsidR="002E1F2C">
        <w:rPr>
          <w:rFonts w:asciiTheme="minorHAnsi" w:hAnsiTheme="minorHAnsi" w:cstheme="minorHAnsi"/>
          <w:b/>
          <w:szCs w:val="23"/>
        </w:rPr>
        <w:t>s</w:t>
      </w:r>
      <w:r w:rsidR="007054C6" w:rsidRPr="007054C6">
        <w:rPr>
          <w:rFonts w:asciiTheme="minorHAnsi" w:hAnsiTheme="minorHAnsi" w:cstheme="minorHAnsi"/>
          <w:b/>
          <w:szCs w:val="23"/>
        </w:rPr>
        <w:t xml:space="preserve">tudi </w:t>
      </w:r>
      <w:r w:rsidRPr="007054C6">
        <w:rPr>
          <w:rFonts w:asciiTheme="minorHAnsi" w:hAnsiTheme="minorHAnsi" w:cstheme="minorHAnsi"/>
          <w:b/>
          <w:szCs w:val="23"/>
        </w:rPr>
        <w:t>Fimaa</w:t>
      </w:r>
    </w:p>
    <w:p w14:paraId="24DE6BB2" w14:textId="77777777" w:rsidR="00B0337A" w:rsidRPr="002025D5" w:rsidRDefault="00B0337A" w:rsidP="000B0CE8">
      <w:pPr>
        <w:pStyle w:val="Paragrafoelenco"/>
        <w:rPr>
          <w:rFonts w:asciiTheme="minorHAnsi" w:hAnsiTheme="minorHAnsi" w:cstheme="minorHAnsi"/>
          <w:b/>
          <w:sz w:val="6"/>
          <w:szCs w:val="23"/>
        </w:rPr>
      </w:pPr>
    </w:p>
    <w:p w14:paraId="17B88687" w14:textId="2FCE8F3F" w:rsidR="001B23F7" w:rsidRPr="001B23F7" w:rsidRDefault="000B0CE8" w:rsidP="001B23F7">
      <w:pPr>
        <w:pStyle w:val="Paragrafoelenco"/>
        <w:jc w:val="both"/>
        <w:rPr>
          <w:rFonts w:asciiTheme="minorHAnsi" w:hAnsiTheme="minorHAnsi" w:cstheme="minorHAnsi"/>
          <w:i/>
        </w:rPr>
      </w:pPr>
      <w:r w:rsidRPr="00271E70">
        <w:rPr>
          <w:rFonts w:asciiTheme="minorHAnsi" w:hAnsiTheme="minorHAnsi" w:cstheme="minorHAnsi"/>
          <w:i/>
        </w:rPr>
        <w:t>“</w:t>
      </w:r>
      <w:r w:rsidR="00AA1B94" w:rsidRPr="00AA1B94">
        <w:rPr>
          <w:rFonts w:asciiTheme="minorHAnsi" w:hAnsiTheme="minorHAnsi" w:cstheme="minorHAnsi"/>
          <w:i/>
        </w:rPr>
        <w:t>Il settore turistico, che è stato tra i più colpiti dalla pandemia</w:t>
      </w:r>
      <w:r w:rsidR="00AA1B94">
        <w:rPr>
          <w:rFonts w:asciiTheme="minorHAnsi" w:hAnsiTheme="minorHAnsi" w:cstheme="minorHAnsi"/>
          <w:i/>
        </w:rPr>
        <w:t xml:space="preserve"> da Covid-19 </w:t>
      </w:r>
      <w:r w:rsidR="00AA1B94" w:rsidRPr="00AA1B94">
        <w:rPr>
          <w:rFonts w:asciiTheme="minorHAnsi" w:hAnsiTheme="minorHAnsi" w:cstheme="minorHAnsi"/>
          <w:i/>
        </w:rPr>
        <w:t>e dai lockdown, rivede la luce. Torna la voglia di andare in vacanza</w:t>
      </w:r>
      <w:r w:rsidR="00AA1B94">
        <w:rPr>
          <w:rFonts w:asciiTheme="minorHAnsi" w:hAnsiTheme="minorHAnsi" w:cstheme="minorHAnsi"/>
          <w:i/>
        </w:rPr>
        <w:t xml:space="preserve"> e</w:t>
      </w:r>
      <w:r w:rsidR="00AA1B94" w:rsidRPr="00AA1B94">
        <w:rPr>
          <w:rFonts w:asciiTheme="minorHAnsi" w:hAnsiTheme="minorHAnsi" w:cstheme="minorHAnsi"/>
          <w:i/>
        </w:rPr>
        <w:t xml:space="preserve"> di investire nel mattone </w:t>
      </w:r>
      <w:r w:rsidR="00AA1B94">
        <w:rPr>
          <w:rFonts w:asciiTheme="minorHAnsi" w:hAnsiTheme="minorHAnsi" w:cstheme="minorHAnsi"/>
          <w:i/>
        </w:rPr>
        <w:t xml:space="preserve">soprattutto </w:t>
      </w:r>
      <w:r w:rsidR="00AA1B94" w:rsidRPr="00AA1B94">
        <w:rPr>
          <w:rFonts w:asciiTheme="minorHAnsi" w:hAnsiTheme="minorHAnsi" w:cstheme="minorHAnsi"/>
          <w:i/>
        </w:rPr>
        <w:t>in montagna</w:t>
      </w:r>
      <w:r w:rsidR="00AA1B94">
        <w:rPr>
          <w:rFonts w:asciiTheme="minorHAnsi" w:hAnsiTheme="minorHAnsi" w:cstheme="minorHAnsi"/>
          <w:i/>
        </w:rPr>
        <w:t xml:space="preserve">, </w:t>
      </w:r>
      <w:r w:rsidR="00AA1B94" w:rsidRPr="00AA1B94">
        <w:rPr>
          <w:rFonts w:asciiTheme="minorHAnsi" w:hAnsiTheme="minorHAnsi" w:cstheme="minorHAnsi"/>
          <w:i/>
        </w:rPr>
        <w:t xml:space="preserve">dove la richiesta è </w:t>
      </w:r>
      <w:r w:rsidR="00AA1B94">
        <w:rPr>
          <w:rFonts w:asciiTheme="minorHAnsi" w:hAnsiTheme="minorHAnsi" w:cstheme="minorHAnsi"/>
          <w:i/>
        </w:rPr>
        <w:t xml:space="preserve">tra le più vivaci </w:t>
      </w:r>
      <w:r w:rsidR="00AA1B94" w:rsidRPr="00AA1B94">
        <w:rPr>
          <w:rFonts w:asciiTheme="minorHAnsi" w:hAnsiTheme="minorHAnsi" w:cstheme="minorHAnsi"/>
          <w:i/>
        </w:rPr>
        <w:t>non solo nei luoghi di grande</w:t>
      </w:r>
      <w:r w:rsidR="00AA1B94">
        <w:rPr>
          <w:rFonts w:asciiTheme="minorHAnsi" w:hAnsiTheme="minorHAnsi" w:cstheme="minorHAnsi"/>
          <w:i/>
        </w:rPr>
        <w:t xml:space="preserve"> </w:t>
      </w:r>
      <w:r w:rsidR="00AA1B94" w:rsidRPr="00AA1B94">
        <w:rPr>
          <w:rFonts w:asciiTheme="minorHAnsi" w:hAnsiTheme="minorHAnsi" w:cstheme="minorHAnsi"/>
          <w:i/>
        </w:rPr>
        <w:t>prestigio come</w:t>
      </w:r>
      <w:r w:rsidR="00AA1B94">
        <w:rPr>
          <w:rFonts w:asciiTheme="minorHAnsi" w:hAnsiTheme="minorHAnsi" w:cstheme="minorHAnsi"/>
          <w:i/>
        </w:rPr>
        <w:t xml:space="preserve"> Cortina d’Ampezzo, Madonna di Campiglio o </w:t>
      </w:r>
      <w:r w:rsidR="00AA1B94" w:rsidRPr="00AA1B94">
        <w:rPr>
          <w:rFonts w:asciiTheme="minorHAnsi" w:hAnsiTheme="minorHAnsi" w:cstheme="minorHAnsi"/>
          <w:i/>
        </w:rPr>
        <w:t>Courmayeur, ma anche</w:t>
      </w:r>
      <w:r w:rsidR="00AA1B94">
        <w:rPr>
          <w:rFonts w:asciiTheme="minorHAnsi" w:hAnsiTheme="minorHAnsi" w:cstheme="minorHAnsi"/>
          <w:i/>
        </w:rPr>
        <w:t xml:space="preserve"> nelle </w:t>
      </w:r>
      <w:r w:rsidR="00AA1B94" w:rsidRPr="00AA1B94">
        <w:rPr>
          <w:rFonts w:asciiTheme="minorHAnsi" w:hAnsiTheme="minorHAnsi" w:cstheme="minorHAnsi"/>
          <w:i/>
        </w:rPr>
        <w:t xml:space="preserve">zone meno rinomate </w:t>
      </w:r>
      <w:r w:rsidR="00AA1B94">
        <w:rPr>
          <w:rFonts w:asciiTheme="minorHAnsi" w:hAnsiTheme="minorHAnsi" w:cstheme="minorHAnsi"/>
          <w:i/>
        </w:rPr>
        <w:t>ma ben collegate con le grandi reti infrastrutturali. T</w:t>
      </w:r>
      <w:r w:rsidR="00AA1B94" w:rsidRPr="00AA1B94">
        <w:rPr>
          <w:rFonts w:asciiTheme="minorHAnsi" w:hAnsiTheme="minorHAnsi" w:cstheme="minorHAnsi"/>
          <w:i/>
        </w:rPr>
        <w:t>utto il comparto turistico sta crescendo a livelli molto interessanti e località</w:t>
      </w:r>
      <w:r w:rsidR="00AA1B94">
        <w:rPr>
          <w:rFonts w:asciiTheme="minorHAnsi" w:hAnsiTheme="minorHAnsi" w:cstheme="minorHAnsi"/>
          <w:i/>
        </w:rPr>
        <w:t xml:space="preserve"> </w:t>
      </w:r>
      <w:r w:rsidR="00E27D06">
        <w:rPr>
          <w:rFonts w:asciiTheme="minorHAnsi" w:hAnsiTheme="minorHAnsi" w:cstheme="minorHAnsi"/>
          <w:i/>
        </w:rPr>
        <w:t>come Capri, Forte dei Marmi</w:t>
      </w:r>
      <w:r w:rsidR="00AA1B94" w:rsidRPr="00AA1B94">
        <w:rPr>
          <w:rFonts w:asciiTheme="minorHAnsi" w:hAnsiTheme="minorHAnsi" w:cstheme="minorHAnsi"/>
          <w:i/>
        </w:rPr>
        <w:t xml:space="preserve"> </w:t>
      </w:r>
      <w:r w:rsidR="00AA1B94">
        <w:rPr>
          <w:rFonts w:asciiTheme="minorHAnsi" w:hAnsiTheme="minorHAnsi" w:cstheme="minorHAnsi"/>
          <w:i/>
        </w:rPr>
        <w:t xml:space="preserve">e Santa Margherita Ligure </w:t>
      </w:r>
      <w:r w:rsidR="00AA1B94" w:rsidRPr="00AA1B94">
        <w:rPr>
          <w:rFonts w:asciiTheme="minorHAnsi" w:hAnsiTheme="minorHAnsi" w:cstheme="minorHAnsi"/>
          <w:i/>
        </w:rPr>
        <w:t>continuano a essere le scelt</w:t>
      </w:r>
      <w:r w:rsidR="00AA1B94">
        <w:rPr>
          <w:rFonts w:asciiTheme="minorHAnsi" w:hAnsiTheme="minorHAnsi" w:cstheme="minorHAnsi"/>
          <w:i/>
        </w:rPr>
        <w:t>e predilette dai vip</w:t>
      </w:r>
      <w:r w:rsidR="005B2704">
        <w:rPr>
          <w:rFonts w:asciiTheme="minorHAnsi" w:hAnsiTheme="minorHAnsi" w:cstheme="minorHAnsi"/>
          <w:i/>
        </w:rPr>
        <w:t>. L</w:t>
      </w:r>
      <w:r w:rsidR="005B2704" w:rsidRPr="005B2704">
        <w:rPr>
          <w:rFonts w:asciiTheme="minorHAnsi" w:hAnsiTheme="minorHAnsi" w:cstheme="minorHAnsi"/>
          <w:i/>
        </w:rPr>
        <w:t xml:space="preserve">a riviera </w:t>
      </w:r>
      <w:r w:rsidR="005B2704">
        <w:rPr>
          <w:rFonts w:asciiTheme="minorHAnsi" w:hAnsiTheme="minorHAnsi" w:cstheme="minorHAnsi"/>
          <w:i/>
        </w:rPr>
        <w:t>r</w:t>
      </w:r>
      <w:r w:rsidR="005B2704" w:rsidRPr="005B2704">
        <w:rPr>
          <w:rFonts w:asciiTheme="minorHAnsi" w:hAnsiTheme="minorHAnsi" w:cstheme="minorHAnsi"/>
          <w:i/>
        </w:rPr>
        <w:t xml:space="preserve">omagnola ha </w:t>
      </w:r>
      <w:r w:rsidR="005B2704" w:rsidRPr="005B2704">
        <w:rPr>
          <w:rFonts w:asciiTheme="minorHAnsi" w:hAnsiTheme="minorHAnsi" w:cstheme="minorHAnsi"/>
          <w:i/>
        </w:rPr>
        <w:lastRenderedPageBreak/>
        <w:t xml:space="preserve">visto il ritorno dei turisti stranieri, soprattutto tedeschi, con predilezione delle case per vacanze </w:t>
      </w:r>
      <w:r w:rsidR="007E3FEF">
        <w:rPr>
          <w:rFonts w:asciiTheme="minorHAnsi" w:hAnsiTheme="minorHAnsi" w:cstheme="minorHAnsi"/>
          <w:i/>
        </w:rPr>
        <w:t>ma</w:t>
      </w:r>
      <w:r w:rsidR="005B2704" w:rsidRPr="005B2704">
        <w:rPr>
          <w:rFonts w:asciiTheme="minorHAnsi" w:hAnsiTheme="minorHAnsi" w:cstheme="minorHAnsi"/>
          <w:i/>
        </w:rPr>
        <w:t xml:space="preserve"> la richiesta è aumentata, rispetto l’anno scorso, anche nelle strutture alberghiere</w:t>
      </w:r>
      <w:r w:rsidR="00CD2C25">
        <w:rPr>
          <w:rFonts w:asciiTheme="minorHAnsi" w:hAnsiTheme="minorHAnsi" w:cstheme="minorHAnsi"/>
          <w:i/>
        </w:rPr>
        <w:t>.</w:t>
      </w:r>
      <w:r w:rsidR="005B2704">
        <w:rPr>
          <w:rFonts w:asciiTheme="minorHAnsi" w:hAnsiTheme="minorHAnsi" w:cstheme="minorHAnsi"/>
          <w:i/>
        </w:rPr>
        <w:t>”</w:t>
      </w:r>
    </w:p>
    <w:p w14:paraId="6A11BEB3" w14:textId="6E05FEF1" w:rsidR="00B74650" w:rsidRPr="00A02EB4" w:rsidRDefault="000B0CE8" w:rsidP="001B23F7">
      <w:pPr>
        <w:spacing w:after="200" w:line="276" w:lineRule="auto"/>
        <w:rPr>
          <w:rFonts w:asciiTheme="minorHAnsi" w:hAnsiTheme="minorHAnsi"/>
          <w:b/>
          <w:sz w:val="28"/>
          <w:szCs w:val="28"/>
        </w:rPr>
      </w:pPr>
      <w:r>
        <w:rPr>
          <w:rFonts w:asciiTheme="minorHAnsi" w:hAnsiTheme="minorHAnsi"/>
          <w:b/>
          <w:sz w:val="28"/>
          <w:szCs w:val="28"/>
        </w:rPr>
        <w:br w:type="page"/>
      </w:r>
      <w:r w:rsidR="002D3762" w:rsidRPr="00A02EB4">
        <w:rPr>
          <w:rFonts w:asciiTheme="minorHAnsi" w:hAnsiTheme="minorHAnsi"/>
          <w:b/>
          <w:sz w:val="28"/>
          <w:szCs w:val="28"/>
        </w:rPr>
        <w:t>I</w:t>
      </w:r>
      <w:r w:rsidR="00AE50F2" w:rsidRPr="00A02EB4">
        <w:rPr>
          <w:rFonts w:asciiTheme="minorHAnsi" w:hAnsiTheme="minorHAnsi"/>
          <w:b/>
          <w:sz w:val="28"/>
          <w:szCs w:val="28"/>
        </w:rPr>
        <w:t>l mercato immobiliare in Italia</w:t>
      </w:r>
    </w:p>
    <w:p w14:paraId="7EEBC17D" w14:textId="77777777" w:rsidR="00E137B2" w:rsidRPr="00E137B2" w:rsidRDefault="00E137B2" w:rsidP="00E137B2">
      <w:pPr>
        <w:spacing w:after="120"/>
        <w:jc w:val="both"/>
        <w:rPr>
          <w:rFonts w:ascii="Calibri" w:eastAsia="Calibri" w:hAnsi="Calibri"/>
          <w:sz w:val="22"/>
          <w:szCs w:val="22"/>
          <w:lang w:eastAsia="en-US"/>
        </w:rPr>
      </w:pPr>
      <w:r w:rsidRPr="00E137B2">
        <w:rPr>
          <w:rFonts w:ascii="Calibri" w:eastAsia="Calibri" w:hAnsi="Calibri"/>
          <w:sz w:val="22"/>
          <w:szCs w:val="22"/>
          <w:lang w:eastAsia="en-US"/>
        </w:rPr>
        <w:t xml:space="preserve">Sul mercato immobiliare italiano continua a soffiare un vento di sorprendente ottimismo. Superata anche la seconda ondata pandemica, con le inevitabili misure di contenimento adottate nel tentativo di limitarne la diffusione, molte famiglie hanno manifestato l’esigenza di un </w:t>
      </w:r>
      <w:proofErr w:type="spellStart"/>
      <w:r w:rsidRPr="00E137B2">
        <w:rPr>
          <w:rFonts w:ascii="Calibri" w:eastAsia="Calibri" w:hAnsi="Calibri"/>
          <w:sz w:val="22"/>
          <w:szCs w:val="22"/>
          <w:lang w:eastAsia="en-US"/>
        </w:rPr>
        <w:t>upgrading</w:t>
      </w:r>
      <w:proofErr w:type="spellEnd"/>
      <w:r w:rsidRPr="00E137B2">
        <w:rPr>
          <w:rFonts w:ascii="Calibri" w:eastAsia="Calibri" w:hAnsi="Calibri"/>
          <w:sz w:val="22"/>
          <w:szCs w:val="22"/>
          <w:lang w:eastAsia="en-US"/>
        </w:rPr>
        <w:t xml:space="preserve"> della propria condizione abitativa. </w:t>
      </w:r>
    </w:p>
    <w:p w14:paraId="356AD504" w14:textId="77777777" w:rsidR="00E137B2" w:rsidRPr="00E137B2" w:rsidRDefault="00E137B2" w:rsidP="00E137B2">
      <w:pPr>
        <w:spacing w:after="120"/>
        <w:jc w:val="both"/>
        <w:rPr>
          <w:rFonts w:ascii="Calibri" w:eastAsia="Calibri" w:hAnsi="Calibri"/>
          <w:sz w:val="22"/>
          <w:szCs w:val="22"/>
          <w:lang w:eastAsia="en-US"/>
        </w:rPr>
      </w:pPr>
      <w:r w:rsidRPr="00E137B2">
        <w:rPr>
          <w:rFonts w:ascii="Calibri" w:eastAsia="Calibri" w:hAnsi="Calibri"/>
          <w:sz w:val="22"/>
          <w:szCs w:val="22"/>
          <w:lang w:eastAsia="en-US"/>
        </w:rPr>
        <w:t xml:space="preserve">Le inadeguatezze rilevate nel corso della reiterata quarantena forzosa a cui siamo costretti, da una parte, la percezione di sicurezza che l’impiego immobiliare continua a garantire nell’immaginario collettivo, dall’altra, sono solo due dei fattori che hanno alimentato la rinnovata voglia di casa manifestatasi in maniera veemente nell’ultimo anno. Poco importa in questa fase se quella presunzione di affidabilità rappresenti un retaggio di una storia quasi sempre drogata da dinamiche inflative non coerenti con lo scenario attuale. Quello che oggi si rileva è il portato fiduciario di una manifestazione di interesse tanto diffusa quanto in taluni casi inconsapevole. Non si deve, infatti, sottovalutare la vastità del disagio economico e sociale che la recessione indotta dal Covid-19 lascerà dietro di sé, solo in parte oggi già tangibile. </w:t>
      </w:r>
    </w:p>
    <w:tbl>
      <w:tblPr>
        <w:tblStyle w:val="Grigliatabel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144"/>
        <w:gridCol w:w="4355"/>
      </w:tblGrid>
      <w:tr w:rsidR="00E137B2" w:rsidRPr="00E137B2" w14:paraId="0D54FB13" w14:textId="77777777" w:rsidTr="00FA3887">
        <w:tc>
          <w:tcPr>
            <w:tcW w:w="2100" w:type="pct"/>
          </w:tcPr>
          <w:p w14:paraId="5E7AD6FD" w14:textId="77777777" w:rsidR="00E137B2" w:rsidRPr="00E137B2" w:rsidRDefault="00E137B2" w:rsidP="00E137B2">
            <w:pPr>
              <w:jc w:val="both"/>
              <w:rPr>
                <w:rFonts w:ascii="Calibri" w:eastAsia="Calibri" w:hAnsi="Calibri" w:cs="Calibri"/>
                <w:b/>
                <w:color w:val="2E74B5"/>
                <w:sz w:val="20"/>
                <w:szCs w:val="22"/>
                <w:lang w:eastAsia="en-US"/>
              </w:rPr>
            </w:pPr>
            <w:bookmarkStart w:id="0" w:name="_Hlk77085794"/>
            <w:r w:rsidRPr="00E137B2">
              <w:rPr>
                <w:rFonts w:ascii="Calibri" w:eastAsia="Calibri" w:hAnsi="Calibri" w:cs="Calibri"/>
                <w:b/>
                <w:color w:val="2E74B5"/>
                <w:sz w:val="20"/>
                <w:szCs w:val="22"/>
                <w:lang w:eastAsia="en-US"/>
              </w:rPr>
              <w:t>Figura 1</w:t>
            </w:r>
          </w:p>
          <w:p w14:paraId="29968E44" w14:textId="77777777" w:rsidR="00E137B2" w:rsidRPr="00E137B2" w:rsidRDefault="00E137B2" w:rsidP="00E137B2">
            <w:pPr>
              <w:spacing w:after="120"/>
              <w:rPr>
                <w:rFonts w:ascii="Calibri" w:eastAsia="Calibri" w:hAnsi="Calibri"/>
                <w:sz w:val="22"/>
                <w:szCs w:val="22"/>
                <w:lang w:eastAsia="en-US"/>
              </w:rPr>
            </w:pPr>
            <w:r w:rsidRPr="00E137B2">
              <w:rPr>
                <w:rFonts w:ascii="Calibri" w:eastAsia="Calibri" w:hAnsi="Calibri" w:cs="Calibri"/>
                <w:b/>
                <w:color w:val="2E74B5"/>
                <w:sz w:val="20"/>
                <w:szCs w:val="22"/>
                <w:lang w:eastAsia="en-US"/>
              </w:rPr>
              <w:t xml:space="preserve">Intenzioni di acquisto di abitazioni </w:t>
            </w:r>
            <w:r w:rsidRPr="00E137B2">
              <w:rPr>
                <w:rFonts w:ascii="Calibri" w:eastAsia="Calibri" w:hAnsi="Calibri" w:cs="Calibri"/>
                <w:b/>
                <w:color w:val="2E74B5"/>
                <w:sz w:val="20"/>
                <w:szCs w:val="22"/>
                <w:lang w:eastAsia="en-US"/>
              </w:rPr>
              <w:br/>
              <w:t xml:space="preserve">nei prossimi 12 mesi </w:t>
            </w:r>
            <w:r w:rsidRPr="00E137B2">
              <w:rPr>
                <w:rFonts w:ascii="Calibri" w:eastAsia="Calibri" w:hAnsi="Calibri" w:cs="Calibri"/>
                <w:b/>
                <w:color w:val="2E74B5"/>
                <w:sz w:val="20"/>
                <w:szCs w:val="22"/>
                <w:lang w:eastAsia="en-US"/>
              </w:rPr>
              <w:br/>
            </w:r>
            <w:r w:rsidRPr="00E137B2">
              <w:rPr>
                <w:rFonts w:ascii="Calibri" w:eastAsia="Calibri" w:hAnsi="Calibri" w:cs="Calibri"/>
                <w:bCs/>
                <w:color w:val="2E74B5"/>
                <w:sz w:val="20"/>
                <w:szCs w:val="22"/>
                <w:lang w:eastAsia="en-US"/>
              </w:rPr>
              <w:t>(2D Dichiarate – 3D Sostenibili)</w:t>
            </w:r>
          </w:p>
        </w:tc>
        <w:tc>
          <w:tcPr>
            <w:tcW w:w="690" w:type="pct"/>
          </w:tcPr>
          <w:p w14:paraId="0FDC7ED4" w14:textId="77777777" w:rsidR="00E137B2" w:rsidRPr="00E137B2" w:rsidRDefault="00E137B2" w:rsidP="00E137B2">
            <w:pPr>
              <w:jc w:val="both"/>
              <w:rPr>
                <w:rFonts w:ascii="Calibri" w:eastAsia="Calibri" w:hAnsi="Calibri" w:cs="Calibri"/>
                <w:b/>
                <w:color w:val="2E74B5"/>
                <w:sz w:val="20"/>
                <w:szCs w:val="22"/>
                <w:lang w:eastAsia="en-US"/>
              </w:rPr>
            </w:pPr>
          </w:p>
        </w:tc>
        <w:tc>
          <w:tcPr>
            <w:tcW w:w="2210" w:type="pct"/>
          </w:tcPr>
          <w:p w14:paraId="18FA405E" w14:textId="77777777" w:rsidR="00E137B2" w:rsidRPr="00E137B2" w:rsidRDefault="00E137B2" w:rsidP="00E137B2">
            <w:pPr>
              <w:jc w:val="both"/>
              <w:rPr>
                <w:rFonts w:ascii="Calibri" w:eastAsia="Calibri" w:hAnsi="Calibri" w:cs="Calibri"/>
                <w:b/>
                <w:color w:val="2E74B5"/>
                <w:sz w:val="20"/>
                <w:szCs w:val="22"/>
                <w:lang w:eastAsia="en-US"/>
              </w:rPr>
            </w:pPr>
            <w:r w:rsidRPr="00E137B2">
              <w:rPr>
                <w:rFonts w:ascii="Calibri" w:eastAsia="Calibri" w:hAnsi="Calibri" w:cs="Calibri"/>
                <w:b/>
                <w:color w:val="2E74B5"/>
                <w:sz w:val="20"/>
                <w:szCs w:val="22"/>
                <w:lang w:eastAsia="en-US"/>
              </w:rPr>
              <w:t>Figura 2</w:t>
            </w:r>
          </w:p>
          <w:p w14:paraId="53841636" w14:textId="77777777" w:rsidR="00E137B2" w:rsidRPr="00E137B2" w:rsidRDefault="00E137B2" w:rsidP="00E137B2">
            <w:pPr>
              <w:keepNext/>
              <w:suppressAutoHyphens/>
              <w:spacing w:after="60"/>
              <w:rPr>
                <w:rFonts w:ascii="Calibri" w:eastAsia="Calibri" w:hAnsi="Calibri"/>
                <w:sz w:val="22"/>
                <w:szCs w:val="22"/>
                <w:lang w:eastAsia="en-US"/>
              </w:rPr>
            </w:pPr>
            <w:r w:rsidRPr="00E137B2">
              <w:rPr>
                <w:rFonts w:ascii="Calibri" w:eastAsia="Calibri" w:hAnsi="Calibri" w:cs="Calibri"/>
                <w:b/>
                <w:color w:val="2E74B5"/>
                <w:sz w:val="20"/>
                <w:szCs w:val="22"/>
                <w:lang w:eastAsia="en-US"/>
              </w:rPr>
              <w:t xml:space="preserve">Quota di famiglie che hanno effettuato le seguenti spese legate alla propria abitazione </w:t>
            </w:r>
            <w:r w:rsidRPr="00E137B2">
              <w:rPr>
                <w:rFonts w:ascii="Calibri" w:eastAsia="Calibri" w:hAnsi="Calibri" w:cs="Calibri"/>
                <w:bCs/>
                <w:color w:val="2E74B5"/>
                <w:sz w:val="20"/>
                <w:szCs w:val="22"/>
                <w:lang w:eastAsia="en-US"/>
              </w:rPr>
              <w:t>(risposte multiple; % sul totale delle famiglie)</w:t>
            </w:r>
          </w:p>
        </w:tc>
      </w:tr>
      <w:tr w:rsidR="00E137B2" w:rsidRPr="00E137B2" w14:paraId="763303DA" w14:textId="77777777" w:rsidTr="00FA3887">
        <w:tblPrEx>
          <w:tblCellMar>
            <w:left w:w="70" w:type="dxa"/>
            <w:right w:w="70" w:type="dxa"/>
          </w:tblCellMar>
        </w:tblPrEx>
        <w:tc>
          <w:tcPr>
            <w:tcW w:w="2100" w:type="pct"/>
            <w:shd w:val="clear" w:color="auto" w:fill="auto"/>
            <w:vAlign w:val="center"/>
          </w:tcPr>
          <w:tbl>
            <w:tblPr>
              <w:tblStyle w:val="Grigliatabella1"/>
              <w:tblW w:w="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3999"/>
            </w:tblGrid>
            <w:tr w:rsidR="00E137B2" w:rsidRPr="00E137B2" w14:paraId="4C8CE050" w14:textId="77777777" w:rsidTr="00E137B2">
              <w:tc>
                <w:tcPr>
                  <w:tcW w:w="3999" w:type="dxa"/>
                  <w:shd w:val="clear" w:color="auto" w:fill="F2F2F2"/>
                </w:tcPr>
                <w:p w14:paraId="1030B922" w14:textId="77777777" w:rsidR="00E137B2" w:rsidRPr="00E137B2" w:rsidRDefault="00E137B2" w:rsidP="00E137B2">
                  <w:pPr>
                    <w:spacing w:before="120"/>
                    <w:rPr>
                      <w:rFonts w:ascii="Rubik" w:eastAsia="Calibri" w:hAnsi="Rubik" w:cs="Rubik"/>
                      <w:b/>
                      <w:bCs/>
                      <w:color w:val="5B9BD5"/>
                      <w:sz w:val="28"/>
                      <w:szCs w:val="28"/>
                      <w:lang w:eastAsia="en-US"/>
                    </w:rPr>
                  </w:pPr>
                  <w:r w:rsidRPr="00E137B2">
                    <w:rPr>
                      <w:rFonts w:ascii="Rubik" w:eastAsia="Calibri" w:hAnsi="Rubik" w:cs="Rubik"/>
                      <w:b/>
                      <w:bCs/>
                      <w:color w:val="5B9BD5"/>
                      <w:sz w:val="28"/>
                      <w:szCs w:val="28"/>
                      <w:lang w:eastAsia="en-US"/>
                    </w:rPr>
                    <w:t>3,3 milioni (2D)</w:t>
                  </w:r>
                </w:p>
                <w:p w14:paraId="383B0DCA" w14:textId="77777777" w:rsidR="00E137B2" w:rsidRPr="00E137B2" w:rsidRDefault="00E137B2" w:rsidP="00E137B2">
                  <w:pPr>
                    <w:jc w:val="both"/>
                    <w:rPr>
                      <w:rFonts w:ascii="Calibri" w:eastAsia="Calibri" w:hAnsi="Calibri"/>
                      <w:sz w:val="20"/>
                      <w:szCs w:val="20"/>
                      <w:lang w:eastAsia="en-US"/>
                    </w:rPr>
                  </w:pPr>
                  <w:r w:rsidRPr="00E137B2">
                    <w:rPr>
                      <w:rFonts w:ascii="Calibri" w:eastAsia="Calibri" w:hAnsi="Calibri"/>
                      <w:noProof/>
                      <w:sz w:val="22"/>
                      <w:szCs w:val="22"/>
                    </w:rPr>
                    <w:drawing>
                      <wp:anchor distT="0" distB="0" distL="114300" distR="114300" simplePos="0" relativeHeight="251659776" behindDoc="0" locked="0" layoutInCell="1" allowOverlap="1" wp14:anchorId="719EBD4F" wp14:editId="71D17ACE">
                        <wp:simplePos x="0" y="0"/>
                        <wp:positionH relativeFrom="margin">
                          <wp:posOffset>1708785</wp:posOffset>
                        </wp:positionH>
                        <wp:positionV relativeFrom="paragraph">
                          <wp:posOffset>231775</wp:posOffset>
                        </wp:positionV>
                        <wp:extent cx="679450" cy="546735"/>
                        <wp:effectExtent l="0" t="0" r="0" b="0"/>
                        <wp:wrapNone/>
                        <wp:docPr id="481" name="Elemento grafico 4" descr="Famiglia con due figli contorn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8429426-7A1F-4A47-BA13-EF14C856C5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4" descr="Famiglia con due figli contorn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8429426-7A1F-4A47-BA13-EF14C856C57B}"/>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3"/>
                                    </a:ext>
                                  </a:extLst>
                                </a:blip>
                                <a:stretch>
                                  <a:fillRect/>
                                </a:stretch>
                              </pic:blipFill>
                              <pic:spPr>
                                <a:xfrm>
                                  <a:off x="0" y="0"/>
                                  <a:ext cx="679450" cy="546735"/>
                                </a:xfrm>
                                <a:prstGeom prst="rect">
                                  <a:avLst/>
                                </a:prstGeom>
                              </pic:spPr>
                            </pic:pic>
                          </a:graphicData>
                        </a:graphic>
                        <wp14:sizeRelH relativeFrom="margin">
                          <wp14:pctWidth>0</wp14:pctWidth>
                        </wp14:sizeRelH>
                        <wp14:sizeRelV relativeFrom="margin">
                          <wp14:pctHeight>0</wp14:pctHeight>
                        </wp14:sizeRelV>
                      </wp:anchor>
                    </w:drawing>
                  </w:r>
                  <w:r w:rsidRPr="00E137B2">
                    <w:rPr>
                      <w:rFonts w:ascii="Calibri" w:eastAsia="Calibri" w:hAnsi="Calibri"/>
                      <w:sz w:val="20"/>
                      <w:szCs w:val="20"/>
                      <w:lang w:eastAsia="en-US"/>
                    </w:rPr>
                    <w:t>Famiglie che hanno dichiarato di volere acquistare una casa nei prossimi mesi</w:t>
                  </w:r>
                </w:p>
              </w:tc>
            </w:tr>
            <w:tr w:rsidR="00E137B2" w:rsidRPr="00E137B2" w14:paraId="614812D1" w14:textId="77777777" w:rsidTr="00E137B2">
              <w:tc>
                <w:tcPr>
                  <w:tcW w:w="3999" w:type="dxa"/>
                  <w:shd w:val="clear" w:color="auto" w:fill="F2F2F2"/>
                </w:tcPr>
                <w:p w14:paraId="53864669" w14:textId="77777777" w:rsidR="00E137B2" w:rsidRPr="00E137B2" w:rsidRDefault="00E137B2" w:rsidP="00E137B2">
                  <w:pPr>
                    <w:rPr>
                      <w:rFonts w:ascii="Rubik" w:eastAsia="Calibri" w:hAnsi="Rubik" w:cs="Rubik"/>
                      <w:b/>
                      <w:bCs/>
                      <w:color w:val="5B9BD5"/>
                      <w:sz w:val="28"/>
                      <w:szCs w:val="28"/>
                      <w:lang w:eastAsia="en-US"/>
                    </w:rPr>
                  </w:pPr>
                </w:p>
              </w:tc>
            </w:tr>
            <w:tr w:rsidR="00E137B2" w:rsidRPr="00E137B2" w14:paraId="256C37AC" w14:textId="77777777" w:rsidTr="00E137B2">
              <w:tc>
                <w:tcPr>
                  <w:tcW w:w="3999" w:type="dxa"/>
                  <w:shd w:val="clear" w:color="auto" w:fill="F2F2F2"/>
                </w:tcPr>
                <w:p w14:paraId="2506D29D" w14:textId="77777777" w:rsidR="00E137B2" w:rsidRPr="00E137B2" w:rsidRDefault="00E137B2" w:rsidP="00E137B2">
                  <w:pPr>
                    <w:rPr>
                      <w:rFonts w:ascii="Rubik" w:eastAsia="Calibri" w:hAnsi="Rubik" w:cs="Rubik"/>
                      <w:b/>
                      <w:bCs/>
                      <w:color w:val="5B9BD5"/>
                      <w:sz w:val="28"/>
                      <w:szCs w:val="28"/>
                      <w:lang w:eastAsia="en-US"/>
                    </w:rPr>
                  </w:pPr>
                  <w:r w:rsidRPr="00E137B2">
                    <w:rPr>
                      <w:rFonts w:ascii="Rubik" w:eastAsia="Calibri" w:hAnsi="Rubik" w:cs="Rubik"/>
                      <w:b/>
                      <w:bCs/>
                      <w:color w:val="5B9BD5"/>
                      <w:sz w:val="28"/>
                      <w:szCs w:val="28"/>
                      <w:lang w:eastAsia="en-US"/>
                    </w:rPr>
                    <w:t>800 mila (3D)</w:t>
                  </w:r>
                </w:p>
                <w:p w14:paraId="11CAA016" w14:textId="77777777" w:rsidR="00E137B2" w:rsidRPr="00E137B2" w:rsidRDefault="00E137B2" w:rsidP="00E137B2">
                  <w:pPr>
                    <w:spacing w:after="120"/>
                    <w:jc w:val="both"/>
                    <w:rPr>
                      <w:rFonts w:ascii="Calibri" w:eastAsia="Calibri" w:hAnsi="Calibri"/>
                      <w:sz w:val="20"/>
                      <w:szCs w:val="20"/>
                      <w:lang w:eastAsia="en-US"/>
                    </w:rPr>
                  </w:pPr>
                  <w:r w:rsidRPr="00E137B2">
                    <w:rPr>
                      <w:rFonts w:ascii="Calibri" w:eastAsia="Calibri" w:hAnsi="Calibri"/>
                      <w:sz w:val="20"/>
                      <w:szCs w:val="20"/>
                      <w:lang w:eastAsia="en-US"/>
                    </w:rPr>
                    <w:t>Famiglie che hanno dichiarato di volere acquistare una casa nei prossimi mesi e dispongono di un reddito adeguato</w:t>
                  </w:r>
                </w:p>
              </w:tc>
            </w:tr>
          </w:tbl>
          <w:p w14:paraId="43A0867E" w14:textId="77777777" w:rsidR="00E137B2" w:rsidRPr="00E137B2" w:rsidRDefault="00E137B2" w:rsidP="00E137B2">
            <w:pPr>
              <w:jc w:val="both"/>
              <w:rPr>
                <w:rFonts w:ascii="Calibri" w:eastAsia="Calibri" w:hAnsi="Calibri" w:cs="Calibri"/>
                <w:b/>
                <w:color w:val="2E74B5"/>
                <w:sz w:val="20"/>
                <w:szCs w:val="22"/>
                <w:lang w:eastAsia="en-US"/>
              </w:rPr>
            </w:pPr>
          </w:p>
        </w:tc>
        <w:tc>
          <w:tcPr>
            <w:tcW w:w="690" w:type="pct"/>
          </w:tcPr>
          <w:p w14:paraId="005474C8" w14:textId="77777777" w:rsidR="00E137B2" w:rsidRPr="00E137B2" w:rsidRDefault="00E137B2" w:rsidP="00E137B2">
            <w:pPr>
              <w:spacing w:after="120"/>
              <w:rPr>
                <w:rFonts w:ascii="Calibri" w:eastAsia="Calibri" w:hAnsi="Calibri"/>
                <w:noProof/>
                <w:sz w:val="16"/>
                <w:szCs w:val="16"/>
                <w:lang w:eastAsia="en-US"/>
              </w:rPr>
            </w:pPr>
          </w:p>
        </w:tc>
        <w:tc>
          <w:tcPr>
            <w:tcW w:w="2210" w:type="pct"/>
            <w:vAlign w:val="center"/>
          </w:tcPr>
          <w:p w14:paraId="4310CA70" w14:textId="77777777" w:rsidR="00E137B2" w:rsidRPr="00E137B2" w:rsidRDefault="00E137B2" w:rsidP="00E137B2">
            <w:pPr>
              <w:spacing w:after="120"/>
              <w:rPr>
                <w:rFonts w:ascii="Calibri" w:eastAsia="Calibri" w:hAnsi="Calibri" w:cs="Calibri"/>
                <w:b/>
                <w:color w:val="2E74B5"/>
                <w:sz w:val="16"/>
                <w:szCs w:val="16"/>
                <w:lang w:eastAsia="en-US"/>
              </w:rPr>
            </w:pPr>
            <w:r w:rsidRPr="00E137B2">
              <w:rPr>
                <w:rFonts w:ascii="Calibri" w:eastAsia="Calibri" w:hAnsi="Calibri"/>
                <w:noProof/>
                <w:sz w:val="16"/>
                <w:szCs w:val="16"/>
              </w:rPr>
              <w:drawing>
                <wp:inline distT="0" distB="0" distL="0" distR="0" wp14:anchorId="0C611B76" wp14:editId="046743A1">
                  <wp:extent cx="2676525" cy="1571625"/>
                  <wp:effectExtent l="0" t="0" r="0" b="0"/>
                  <wp:docPr id="2006" name="Grafico 200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855D1BE-D256-483A-B50A-B79E1990D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E137B2" w:rsidRPr="00E137B2" w14:paraId="4F08506A" w14:textId="77777777" w:rsidTr="00FA3887">
        <w:tblPrEx>
          <w:tblCellMar>
            <w:left w:w="70" w:type="dxa"/>
            <w:right w:w="70" w:type="dxa"/>
          </w:tblCellMar>
        </w:tblPrEx>
        <w:tc>
          <w:tcPr>
            <w:tcW w:w="2100" w:type="pct"/>
            <w:shd w:val="clear" w:color="auto" w:fill="auto"/>
            <w:vAlign w:val="center"/>
          </w:tcPr>
          <w:p w14:paraId="1E27B044" w14:textId="77777777" w:rsidR="00E137B2" w:rsidRPr="00E137B2" w:rsidRDefault="00E137B2" w:rsidP="00E137B2">
            <w:pPr>
              <w:spacing w:before="60" w:after="120"/>
              <w:rPr>
                <w:rFonts w:ascii="Calibri" w:eastAsia="Calibri" w:hAnsi="Calibri" w:cs="Calibri"/>
                <w:b/>
                <w:noProof/>
                <w:color w:val="2E74B5"/>
                <w:sz w:val="20"/>
                <w:szCs w:val="22"/>
                <w:lang w:eastAsia="en-US"/>
              </w:rPr>
            </w:pPr>
            <w:r w:rsidRPr="00E137B2">
              <w:rPr>
                <w:rFonts w:ascii="Calibri" w:eastAsia="Calibri" w:hAnsi="Calibri"/>
                <w:sz w:val="18"/>
                <w:szCs w:val="18"/>
                <w:lang w:eastAsia="en-US"/>
              </w:rPr>
              <w:t>Fonte: Indagine Nomisma sulle famiglie, 2021</w:t>
            </w:r>
          </w:p>
        </w:tc>
        <w:tc>
          <w:tcPr>
            <w:tcW w:w="690" w:type="pct"/>
          </w:tcPr>
          <w:p w14:paraId="73A1F418" w14:textId="77777777" w:rsidR="00E137B2" w:rsidRPr="00E137B2" w:rsidRDefault="00E137B2" w:rsidP="00E137B2">
            <w:pPr>
              <w:spacing w:before="60" w:after="120"/>
              <w:rPr>
                <w:rFonts w:ascii="Calibri" w:eastAsia="Calibri" w:hAnsi="Calibri"/>
                <w:sz w:val="18"/>
                <w:szCs w:val="18"/>
                <w:lang w:eastAsia="en-US"/>
              </w:rPr>
            </w:pPr>
          </w:p>
        </w:tc>
        <w:tc>
          <w:tcPr>
            <w:tcW w:w="2210" w:type="pct"/>
            <w:shd w:val="clear" w:color="auto" w:fill="auto"/>
            <w:vAlign w:val="center"/>
          </w:tcPr>
          <w:p w14:paraId="271E434B" w14:textId="77777777" w:rsidR="00E137B2" w:rsidRPr="00E137B2" w:rsidRDefault="00E137B2" w:rsidP="00E137B2">
            <w:pPr>
              <w:spacing w:before="60" w:after="120"/>
              <w:rPr>
                <w:rFonts w:ascii="Calibri" w:eastAsia="Calibri" w:hAnsi="Calibri"/>
                <w:noProof/>
                <w:sz w:val="16"/>
                <w:szCs w:val="16"/>
                <w:lang w:eastAsia="en-US"/>
              </w:rPr>
            </w:pPr>
            <w:r w:rsidRPr="00E137B2">
              <w:rPr>
                <w:rFonts w:ascii="Calibri" w:eastAsia="Calibri" w:hAnsi="Calibri"/>
                <w:sz w:val="18"/>
                <w:szCs w:val="18"/>
                <w:lang w:eastAsia="en-US"/>
              </w:rPr>
              <w:t>Fonte: Indagine Nomisma sulle famiglie, 2021</w:t>
            </w:r>
          </w:p>
        </w:tc>
      </w:tr>
    </w:tbl>
    <w:p w14:paraId="07289B64" w14:textId="77777777" w:rsidR="00FA3887" w:rsidRDefault="00FA3887" w:rsidP="00E137B2">
      <w:pPr>
        <w:spacing w:before="60" w:after="120"/>
        <w:rPr>
          <w:rFonts w:ascii="Calibri" w:eastAsia="Calibri" w:hAnsi="Calibri"/>
          <w:sz w:val="22"/>
          <w:szCs w:val="22"/>
          <w:lang w:eastAsia="en-US"/>
        </w:rPr>
      </w:pPr>
    </w:p>
    <w:p w14:paraId="0D01C6E1" w14:textId="304FF9A2" w:rsidR="00E137B2" w:rsidRDefault="00FA3887" w:rsidP="00FA3887">
      <w:pPr>
        <w:spacing w:before="60" w:after="120"/>
        <w:jc w:val="both"/>
        <w:rPr>
          <w:rFonts w:ascii="Calibri" w:eastAsia="Calibri" w:hAnsi="Calibri"/>
          <w:sz w:val="18"/>
          <w:szCs w:val="18"/>
          <w:lang w:eastAsia="en-US"/>
        </w:rPr>
      </w:pPr>
      <w:r w:rsidRPr="00E137B2">
        <w:rPr>
          <w:rFonts w:ascii="Calibri" w:eastAsia="Calibri" w:hAnsi="Calibri"/>
          <w:sz w:val="22"/>
          <w:szCs w:val="22"/>
          <w:lang w:eastAsia="en-US"/>
        </w:rPr>
        <w:t>I provvedimenti di salvaguardia, adottati a più riprese dai Governi che si sono succeduti, hanno permesso di contenere la portata delle conseguenze del tracollo registrato lo scorso anno sui bilanci familiari. Il progressivo venir meno di tali misure esporrà inevitabilmente altri nuclei agli effetti ritardati di una batosta, che solo una pronta ed efficace attivazione dei programmi contenuti nel Piano Nazionale di Ripresa e Resilienza (PNRR) potrà scongiurare.</w:t>
      </w:r>
    </w:p>
    <w:bookmarkEnd w:id="0"/>
    <w:p w14:paraId="3B39A594" w14:textId="77777777" w:rsidR="00E137B2" w:rsidRPr="00E137B2" w:rsidRDefault="00E137B2" w:rsidP="00E137B2">
      <w:pPr>
        <w:spacing w:after="120"/>
        <w:jc w:val="both"/>
        <w:rPr>
          <w:rFonts w:ascii="Calibri" w:eastAsia="Calibri" w:hAnsi="Calibri"/>
          <w:sz w:val="22"/>
          <w:szCs w:val="22"/>
          <w:lang w:eastAsia="en-US"/>
        </w:rPr>
      </w:pPr>
      <w:r w:rsidRPr="00E137B2">
        <w:rPr>
          <w:rFonts w:ascii="Calibri" w:eastAsia="Calibri" w:hAnsi="Calibri"/>
          <w:sz w:val="22"/>
          <w:szCs w:val="22"/>
          <w:lang w:eastAsia="en-US"/>
        </w:rPr>
        <w:t xml:space="preserve">La nuova fase potrebbe esporre nuclei familiari fin qui solo marginalmente interessati e trasformare alcune volontà in velleitarie manifestazioni di interesse. Alla diffusa consapevolezza sulla precarietà delle prospettive economiche generali, spesso non fa riscontro un’analoga preoccupazione con riferimento al proprio nucleo. Questa percezione di riparo alimenta ambizioni proprietarie che rischiano di rilevarsi non adeguatamente sostenute dalle reali possibilità future. Se si segmentano le intenzioni di acquisto immediato o prossimo (nei 12 mesi) manifestate da addirittura 3,3 milioni di famiglie, ci si rende conto di quanto parte di esse presenti già oggi presupposti di solidità talmente labili da pregiudicarne la credibilità. </w:t>
      </w:r>
    </w:p>
    <w:p w14:paraId="2D91F4A3" w14:textId="77777777" w:rsidR="00E137B2" w:rsidRPr="00E137B2" w:rsidRDefault="00E137B2" w:rsidP="00E137B2">
      <w:pPr>
        <w:spacing w:after="120"/>
        <w:jc w:val="both"/>
        <w:rPr>
          <w:rFonts w:ascii="Calibri" w:eastAsia="Calibri" w:hAnsi="Calibri"/>
          <w:sz w:val="22"/>
          <w:szCs w:val="22"/>
          <w:lang w:eastAsia="en-US"/>
        </w:rPr>
      </w:pPr>
      <w:r w:rsidRPr="00E137B2">
        <w:rPr>
          <w:rFonts w:ascii="Calibri" w:eastAsia="Calibri" w:hAnsi="Calibri"/>
          <w:sz w:val="22"/>
          <w:szCs w:val="22"/>
          <w:lang w:eastAsia="en-US"/>
        </w:rPr>
        <w:t xml:space="preserve">Sulla base di una valutazione del grado di concretezza e sostenibilità delle dichiarazioni di intenti, l’effettivo bacino di riferimento potenziale per il settore residenziale può essere quantificato in poco più di 800 mila unità. Si tratta di un novero considerevole e in espansione rispetto alla rilevazione dello scorso anno, a testimonianza dell’accresciuto interesse delle famiglie per l’impiego immobiliare, ma di gran lunga più contenuto rispetto agli intendimenti. </w:t>
      </w:r>
    </w:p>
    <w:p w14:paraId="5362D879" w14:textId="77777777" w:rsidR="00E137B2" w:rsidRPr="00E137B2" w:rsidRDefault="00E137B2" w:rsidP="00E137B2">
      <w:pPr>
        <w:spacing w:after="120"/>
        <w:jc w:val="both"/>
        <w:rPr>
          <w:rFonts w:ascii="Calibri" w:eastAsia="Calibri" w:hAnsi="Calibri"/>
          <w:sz w:val="22"/>
          <w:szCs w:val="22"/>
          <w:lang w:eastAsia="en-US"/>
        </w:rPr>
      </w:pPr>
      <w:r w:rsidRPr="00E137B2">
        <w:rPr>
          <w:rFonts w:ascii="Calibri" w:eastAsia="Calibri" w:hAnsi="Calibri"/>
          <w:sz w:val="22"/>
          <w:szCs w:val="22"/>
          <w:lang w:eastAsia="en-US"/>
        </w:rPr>
        <w:t xml:space="preserve">La concretizzazione dei propositi passa in misura rilevante per il riscontro che il settore bancario darà alle promesse di restituzione implicite nelle richieste di credito avanzate dai potenziali mutuatari. Fino ad oggi l’orientamento è stato marcatamente accomodante, come si può evincere sia dalla dinamica dei mutui erogati che da quella delle compravendite di abitazioni. Se si sia trattato di un azzardo sarà il tempo a dirlo, quello che però pare finora evidente è la tutto sommata modesta preoccupazione sollevata dall’ingente ricorso alle moratorie da parte dei mutuatari di più recente attivazione, nonché dalle potenziali ricadute sulla continuità reddituale dei richiedenti della prospettiva di una accresciuta precarietà occupazionale. Proprio lo spauracchio di una nuova stagione di crediti deteriorati era logico ipotizzare potesse ostacolare la riproposizione di politiche spiccatamente espansive, la cui </w:t>
      </w:r>
      <w:proofErr w:type="spellStart"/>
      <w:r w:rsidRPr="00E137B2">
        <w:rPr>
          <w:rFonts w:ascii="Calibri" w:eastAsia="Calibri" w:hAnsi="Calibri"/>
          <w:sz w:val="22"/>
          <w:szCs w:val="22"/>
          <w:lang w:eastAsia="en-US"/>
        </w:rPr>
        <w:t>remuneratività</w:t>
      </w:r>
      <w:proofErr w:type="spellEnd"/>
      <w:r w:rsidRPr="00E137B2">
        <w:rPr>
          <w:rFonts w:ascii="Calibri" w:eastAsia="Calibri" w:hAnsi="Calibri"/>
          <w:sz w:val="22"/>
          <w:szCs w:val="22"/>
          <w:lang w:eastAsia="en-US"/>
        </w:rPr>
        <w:t xml:space="preserve"> nell’immediato è evidente almeno quanto la potenziale rischiosità futura. Su tale fronte, la fiducia riposta nell’affidabilità degli strumenti di </w:t>
      </w:r>
      <w:proofErr w:type="spellStart"/>
      <w:r w:rsidRPr="00E137B2">
        <w:rPr>
          <w:rFonts w:ascii="Calibri" w:eastAsia="Calibri" w:hAnsi="Calibri"/>
          <w:sz w:val="22"/>
          <w:szCs w:val="22"/>
          <w:lang w:eastAsia="en-US"/>
        </w:rPr>
        <w:t>scoring</w:t>
      </w:r>
      <w:proofErr w:type="spellEnd"/>
      <w:r w:rsidRPr="00E137B2">
        <w:rPr>
          <w:rFonts w:ascii="Calibri" w:eastAsia="Calibri" w:hAnsi="Calibri"/>
          <w:sz w:val="22"/>
          <w:szCs w:val="22"/>
          <w:lang w:eastAsia="en-US"/>
        </w:rPr>
        <w:t xml:space="preserve"> della clientela rappresenta di fatto il baluardo per scongiurare le possibili ricadute degli eccessi </w:t>
      </w:r>
      <w:proofErr w:type="spellStart"/>
      <w:r w:rsidRPr="00E137B2">
        <w:rPr>
          <w:rFonts w:ascii="Calibri" w:eastAsia="Calibri" w:hAnsi="Calibri"/>
          <w:sz w:val="22"/>
          <w:szCs w:val="22"/>
          <w:lang w:eastAsia="en-US"/>
        </w:rPr>
        <w:t>prociclici</w:t>
      </w:r>
      <w:proofErr w:type="spellEnd"/>
      <w:r w:rsidRPr="00E137B2">
        <w:rPr>
          <w:rFonts w:ascii="Calibri" w:eastAsia="Calibri" w:hAnsi="Calibri"/>
          <w:sz w:val="22"/>
          <w:szCs w:val="22"/>
          <w:lang w:eastAsia="en-US"/>
        </w:rPr>
        <w:t xml:space="preserve"> dell’ultimo anno.</w:t>
      </w:r>
    </w:p>
    <w:p w14:paraId="121769D5" w14:textId="77777777" w:rsidR="00E137B2" w:rsidRPr="00E137B2" w:rsidRDefault="00E137B2" w:rsidP="00E137B2">
      <w:pPr>
        <w:spacing w:after="120"/>
        <w:jc w:val="both"/>
        <w:rPr>
          <w:rFonts w:ascii="Calibri" w:eastAsia="Calibri" w:hAnsi="Calibri"/>
          <w:sz w:val="22"/>
          <w:szCs w:val="22"/>
          <w:lang w:eastAsia="en-US"/>
        </w:rPr>
      </w:pPr>
    </w:p>
    <w:tbl>
      <w:tblPr>
        <w:tblStyle w:val="Grigliatabella1"/>
        <w:tblW w:w="497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4672"/>
        <w:gridCol w:w="238"/>
        <w:gridCol w:w="4672"/>
      </w:tblGrid>
      <w:tr w:rsidR="00E137B2" w:rsidRPr="00E137B2" w14:paraId="33ADAC84" w14:textId="77777777" w:rsidTr="00E137B2">
        <w:trPr>
          <w:trHeight w:val="567"/>
        </w:trPr>
        <w:tc>
          <w:tcPr>
            <w:tcW w:w="2438" w:type="pct"/>
            <w:shd w:val="clear" w:color="auto" w:fill="FFFFFF"/>
          </w:tcPr>
          <w:p w14:paraId="2743DBFC" w14:textId="3D43855C" w:rsidR="00E137B2" w:rsidRPr="00E137B2" w:rsidRDefault="00E137B2" w:rsidP="00E137B2">
            <w:pPr>
              <w:rPr>
                <w:rFonts w:ascii="Calibri" w:eastAsia="Calibri" w:hAnsi="Calibri" w:cs="Calibri"/>
                <w:b/>
                <w:color w:val="2E74B5"/>
                <w:sz w:val="20"/>
                <w:szCs w:val="22"/>
                <w:lang w:eastAsia="en-US"/>
              </w:rPr>
            </w:pPr>
            <w:r w:rsidRPr="00E137B2">
              <w:rPr>
                <w:rFonts w:ascii="Calibri" w:eastAsia="Calibri" w:hAnsi="Calibri" w:cs="Calibri"/>
                <w:b/>
                <w:color w:val="2E74B5"/>
                <w:sz w:val="20"/>
                <w:szCs w:val="22"/>
                <w:lang w:eastAsia="en-US"/>
              </w:rPr>
              <w:t xml:space="preserve">Figura </w:t>
            </w:r>
            <w:r w:rsidR="007B6F39">
              <w:rPr>
                <w:rFonts w:ascii="Calibri" w:eastAsia="Calibri" w:hAnsi="Calibri" w:cs="Calibri"/>
                <w:b/>
                <w:color w:val="2E74B5"/>
                <w:sz w:val="20"/>
                <w:szCs w:val="22"/>
                <w:lang w:eastAsia="en-US"/>
              </w:rPr>
              <w:t>3</w:t>
            </w:r>
          </w:p>
          <w:p w14:paraId="715B1096" w14:textId="77777777" w:rsidR="00E137B2" w:rsidRPr="00E137B2" w:rsidRDefault="00E137B2" w:rsidP="00E137B2">
            <w:pPr>
              <w:spacing w:after="60"/>
              <w:rPr>
                <w:rFonts w:ascii="Calibri" w:eastAsia="Calibri" w:hAnsi="Calibri"/>
                <w:sz w:val="22"/>
                <w:szCs w:val="22"/>
                <w:lang w:eastAsia="en-US"/>
              </w:rPr>
            </w:pPr>
            <w:r w:rsidRPr="00E137B2">
              <w:rPr>
                <w:rFonts w:ascii="Calibri" w:eastAsia="Calibri" w:hAnsi="Calibri" w:cs="Calibri"/>
                <w:b/>
                <w:color w:val="2E74B5"/>
                <w:sz w:val="20"/>
                <w:szCs w:val="22"/>
                <w:lang w:eastAsia="en-US"/>
              </w:rPr>
              <w:t xml:space="preserve">Erogazioni di mutui alle famiglie per l’acquisto </w:t>
            </w:r>
            <w:r w:rsidRPr="00E137B2">
              <w:rPr>
                <w:rFonts w:ascii="Calibri" w:eastAsia="Calibri" w:hAnsi="Calibri" w:cs="Calibri"/>
                <w:b/>
                <w:color w:val="2E74B5"/>
                <w:sz w:val="20"/>
                <w:szCs w:val="22"/>
                <w:lang w:eastAsia="en-US"/>
              </w:rPr>
              <w:br/>
              <w:t xml:space="preserve">di abitazioni </w:t>
            </w:r>
            <w:r w:rsidRPr="00E137B2">
              <w:rPr>
                <w:rFonts w:ascii="Calibri" w:eastAsia="Calibri" w:hAnsi="Calibri" w:cs="Calibri"/>
                <w:bCs/>
                <w:color w:val="2E74B5"/>
                <w:sz w:val="20"/>
                <w:szCs w:val="22"/>
                <w:lang w:eastAsia="en-US"/>
              </w:rPr>
              <w:t>(miliardi di euro)</w:t>
            </w:r>
          </w:p>
        </w:tc>
        <w:tc>
          <w:tcPr>
            <w:tcW w:w="124" w:type="pct"/>
            <w:shd w:val="clear" w:color="auto" w:fill="FFFFFF"/>
          </w:tcPr>
          <w:p w14:paraId="4D98339E" w14:textId="77777777" w:rsidR="00E137B2" w:rsidRPr="00E137B2" w:rsidRDefault="00E137B2" w:rsidP="00E137B2">
            <w:pPr>
              <w:rPr>
                <w:rFonts w:ascii="Calibri" w:eastAsia="Calibri" w:hAnsi="Calibri" w:cs="Calibri"/>
                <w:b/>
                <w:color w:val="2E74B5"/>
                <w:sz w:val="20"/>
                <w:szCs w:val="22"/>
                <w:lang w:eastAsia="en-US"/>
              </w:rPr>
            </w:pPr>
          </w:p>
        </w:tc>
        <w:tc>
          <w:tcPr>
            <w:tcW w:w="2438" w:type="pct"/>
            <w:shd w:val="clear" w:color="auto" w:fill="FFFFFF"/>
          </w:tcPr>
          <w:p w14:paraId="6301083E" w14:textId="13E8BA02" w:rsidR="00E137B2" w:rsidRPr="00E137B2" w:rsidRDefault="00E137B2" w:rsidP="00E137B2">
            <w:pPr>
              <w:rPr>
                <w:rFonts w:ascii="Calibri" w:eastAsia="Calibri" w:hAnsi="Calibri" w:cs="Calibri"/>
                <w:b/>
                <w:color w:val="2E74B5"/>
                <w:sz w:val="20"/>
                <w:szCs w:val="22"/>
                <w:lang w:eastAsia="en-US"/>
              </w:rPr>
            </w:pPr>
            <w:r w:rsidRPr="00E137B2">
              <w:rPr>
                <w:rFonts w:ascii="Calibri" w:eastAsia="Calibri" w:hAnsi="Calibri" w:cs="Calibri"/>
                <w:b/>
                <w:color w:val="2E74B5"/>
                <w:sz w:val="20"/>
                <w:szCs w:val="22"/>
                <w:lang w:eastAsia="en-US"/>
              </w:rPr>
              <w:t xml:space="preserve">Figura </w:t>
            </w:r>
            <w:r w:rsidR="007B6F39">
              <w:rPr>
                <w:rFonts w:ascii="Calibri" w:eastAsia="Calibri" w:hAnsi="Calibri" w:cs="Calibri"/>
                <w:b/>
                <w:color w:val="2E74B5"/>
                <w:sz w:val="20"/>
                <w:szCs w:val="22"/>
                <w:lang w:eastAsia="en-US"/>
              </w:rPr>
              <w:t>4</w:t>
            </w:r>
          </w:p>
          <w:p w14:paraId="39A6162E" w14:textId="77777777" w:rsidR="00E137B2" w:rsidRPr="00E137B2" w:rsidRDefault="00E137B2" w:rsidP="00E137B2">
            <w:pPr>
              <w:rPr>
                <w:rFonts w:ascii="Calibri" w:eastAsia="Calibri" w:hAnsi="Calibri"/>
                <w:sz w:val="22"/>
                <w:szCs w:val="22"/>
                <w:highlight w:val="yellow"/>
                <w:lang w:eastAsia="en-US"/>
              </w:rPr>
            </w:pPr>
            <w:r w:rsidRPr="00E137B2">
              <w:rPr>
                <w:rFonts w:ascii="Calibri" w:eastAsia="Calibri" w:hAnsi="Calibri" w:cs="Calibri"/>
                <w:b/>
                <w:color w:val="2E74B5"/>
                <w:sz w:val="20"/>
                <w:szCs w:val="22"/>
                <w:lang w:eastAsia="en-US"/>
              </w:rPr>
              <w:t xml:space="preserve">Italia - Numero di compravendite residenziali </w:t>
            </w:r>
            <w:r w:rsidRPr="00E137B2">
              <w:rPr>
                <w:rFonts w:ascii="Calibri" w:eastAsia="Calibri" w:hAnsi="Calibri" w:cs="Calibri"/>
                <w:b/>
                <w:color w:val="2E74B5"/>
                <w:sz w:val="20"/>
                <w:szCs w:val="22"/>
                <w:lang w:eastAsia="en-US"/>
              </w:rPr>
              <w:br/>
              <w:t xml:space="preserve">e previsioni </w:t>
            </w:r>
            <w:r w:rsidRPr="00E137B2">
              <w:rPr>
                <w:rFonts w:ascii="Calibri" w:eastAsia="Calibri" w:hAnsi="Calibri" w:cs="Calibri"/>
                <w:bCs/>
                <w:color w:val="2E74B5"/>
                <w:sz w:val="20"/>
                <w:szCs w:val="22"/>
                <w:lang w:eastAsia="en-US"/>
              </w:rPr>
              <w:t>(migliaia)</w:t>
            </w:r>
          </w:p>
        </w:tc>
      </w:tr>
      <w:tr w:rsidR="00E137B2" w:rsidRPr="00E137B2" w14:paraId="3DB3EFFF" w14:textId="77777777" w:rsidTr="00E137B2">
        <w:tblPrEx>
          <w:tblCellMar>
            <w:left w:w="70" w:type="dxa"/>
            <w:right w:w="70" w:type="dxa"/>
          </w:tblCellMar>
        </w:tblPrEx>
        <w:tc>
          <w:tcPr>
            <w:tcW w:w="2438" w:type="pct"/>
            <w:shd w:val="clear" w:color="auto" w:fill="FFFFFF"/>
          </w:tcPr>
          <w:p w14:paraId="28C01A92" w14:textId="77777777" w:rsidR="00E137B2" w:rsidRPr="00E137B2" w:rsidRDefault="00E137B2" w:rsidP="00E137B2">
            <w:pPr>
              <w:spacing w:before="120" w:after="120"/>
              <w:jc w:val="center"/>
              <w:rPr>
                <w:rFonts w:ascii="Calibri" w:eastAsia="Calibri" w:hAnsi="Calibri"/>
                <w:sz w:val="22"/>
                <w:szCs w:val="22"/>
                <w:lang w:eastAsia="en-US"/>
              </w:rPr>
            </w:pPr>
            <w:r w:rsidRPr="00E137B2">
              <w:rPr>
                <w:rFonts w:ascii="Calibri" w:eastAsia="Calibri" w:hAnsi="Calibri"/>
                <w:noProof/>
                <w:sz w:val="22"/>
                <w:szCs w:val="22"/>
              </w:rPr>
              <w:drawing>
                <wp:inline distT="0" distB="0" distL="0" distR="0" wp14:anchorId="7B0263CA" wp14:editId="25BB4594">
                  <wp:extent cx="2677885" cy="1763395"/>
                  <wp:effectExtent l="0" t="0" r="8255" b="8255"/>
                  <wp:docPr id="2008" name="Grafico 200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7F702D3-E668-4EAE-9D27-B74EF363D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124" w:type="pct"/>
            <w:shd w:val="clear" w:color="auto" w:fill="FFFFFF"/>
          </w:tcPr>
          <w:p w14:paraId="6CC82BFA" w14:textId="77777777" w:rsidR="00E137B2" w:rsidRPr="00E137B2" w:rsidRDefault="00E137B2" w:rsidP="00E137B2">
            <w:pPr>
              <w:spacing w:before="120" w:after="120"/>
              <w:jc w:val="center"/>
              <w:rPr>
                <w:rFonts w:ascii="Calibri" w:eastAsia="Calibri" w:hAnsi="Calibri"/>
                <w:noProof/>
                <w:sz w:val="16"/>
                <w:szCs w:val="16"/>
                <w:lang w:eastAsia="en-US"/>
              </w:rPr>
            </w:pPr>
          </w:p>
        </w:tc>
        <w:tc>
          <w:tcPr>
            <w:tcW w:w="2438" w:type="pct"/>
            <w:shd w:val="clear" w:color="auto" w:fill="FFFFFF"/>
          </w:tcPr>
          <w:p w14:paraId="564C06F6" w14:textId="77777777" w:rsidR="00E137B2" w:rsidRPr="00E137B2" w:rsidRDefault="00E137B2" w:rsidP="00E137B2">
            <w:pPr>
              <w:spacing w:before="120" w:after="120"/>
              <w:jc w:val="center"/>
              <w:rPr>
                <w:rFonts w:ascii="Calibri" w:eastAsia="Calibri" w:hAnsi="Calibri"/>
                <w:sz w:val="16"/>
                <w:szCs w:val="16"/>
                <w:lang w:eastAsia="en-US"/>
              </w:rPr>
            </w:pPr>
            <w:r w:rsidRPr="00E137B2">
              <w:rPr>
                <w:rFonts w:ascii="Calibri" w:eastAsia="Calibri" w:hAnsi="Calibri"/>
                <w:noProof/>
                <w:sz w:val="16"/>
                <w:szCs w:val="16"/>
              </w:rPr>
              <w:drawing>
                <wp:inline distT="0" distB="0" distL="0" distR="0" wp14:anchorId="1C6908B9" wp14:editId="04805F67">
                  <wp:extent cx="2647950" cy="1781175"/>
                  <wp:effectExtent l="0" t="0" r="0" b="0"/>
                  <wp:docPr id="2010" name="Grafico 20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B7D2B7A-709E-4580-A8B0-DBD846FC8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E137B2" w:rsidRPr="00E137B2" w14:paraId="11C5B59A" w14:textId="77777777" w:rsidTr="00E137B2">
        <w:tc>
          <w:tcPr>
            <w:tcW w:w="2438" w:type="pct"/>
            <w:shd w:val="clear" w:color="auto" w:fill="FFFFFF"/>
          </w:tcPr>
          <w:p w14:paraId="3B0AE14E" w14:textId="77777777" w:rsidR="00E137B2" w:rsidRPr="00E137B2" w:rsidRDefault="00E137B2" w:rsidP="00E137B2">
            <w:pPr>
              <w:spacing w:before="60"/>
              <w:jc w:val="both"/>
              <w:rPr>
                <w:rFonts w:ascii="Calibri" w:eastAsia="Calibri" w:hAnsi="Calibri"/>
                <w:sz w:val="22"/>
                <w:szCs w:val="22"/>
                <w:lang w:eastAsia="en-US"/>
              </w:rPr>
            </w:pPr>
            <w:r w:rsidRPr="00E137B2">
              <w:rPr>
                <w:rFonts w:ascii="Calibri" w:eastAsia="Calibri" w:hAnsi="Calibri"/>
                <w:sz w:val="18"/>
                <w:szCs w:val="18"/>
                <w:lang w:eastAsia="en-US"/>
              </w:rPr>
              <w:t>Fonte: Banca d’Italia</w:t>
            </w:r>
          </w:p>
        </w:tc>
        <w:tc>
          <w:tcPr>
            <w:tcW w:w="124" w:type="pct"/>
            <w:shd w:val="clear" w:color="auto" w:fill="FFFFFF"/>
          </w:tcPr>
          <w:p w14:paraId="2B7234BF" w14:textId="77777777" w:rsidR="00E137B2" w:rsidRPr="00E137B2" w:rsidRDefault="00E137B2" w:rsidP="00E137B2">
            <w:pPr>
              <w:spacing w:before="60"/>
              <w:jc w:val="both"/>
              <w:rPr>
                <w:rFonts w:ascii="Calibri" w:eastAsia="Calibri" w:hAnsi="Calibri"/>
                <w:sz w:val="18"/>
                <w:szCs w:val="18"/>
                <w:lang w:eastAsia="en-US"/>
              </w:rPr>
            </w:pPr>
          </w:p>
        </w:tc>
        <w:tc>
          <w:tcPr>
            <w:tcW w:w="2438" w:type="pct"/>
            <w:shd w:val="clear" w:color="auto" w:fill="FFFFFF"/>
          </w:tcPr>
          <w:p w14:paraId="575E3AD5" w14:textId="77777777" w:rsidR="00E137B2" w:rsidRPr="00E137B2" w:rsidRDefault="00E137B2" w:rsidP="00E137B2">
            <w:pPr>
              <w:spacing w:before="60"/>
              <w:jc w:val="both"/>
              <w:rPr>
                <w:rFonts w:ascii="Calibri" w:eastAsia="Calibri" w:hAnsi="Calibri"/>
                <w:sz w:val="18"/>
                <w:szCs w:val="18"/>
                <w:lang w:eastAsia="en-US"/>
              </w:rPr>
            </w:pPr>
            <w:r w:rsidRPr="00E137B2">
              <w:rPr>
                <w:rFonts w:ascii="Calibri" w:eastAsia="Calibri" w:hAnsi="Calibri"/>
                <w:sz w:val="18"/>
                <w:szCs w:val="18"/>
                <w:lang w:eastAsia="en-US"/>
              </w:rPr>
              <w:t>* Previsioni Nomisma</w:t>
            </w:r>
          </w:p>
          <w:p w14:paraId="5503E71A" w14:textId="77777777" w:rsidR="00E137B2" w:rsidRPr="00E137B2" w:rsidRDefault="00E137B2" w:rsidP="00E137B2">
            <w:pPr>
              <w:spacing w:before="60"/>
              <w:jc w:val="both"/>
              <w:rPr>
                <w:rFonts w:ascii="Calibri" w:eastAsia="Calibri" w:hAnsi="Calibri"/>
                <w:sz w:val="22"/>
                <w:szCs w:val="22"/>
                <w:lang w:eastAsia="en-US"/>
              </w:rPr>
            </w:pPr>
            <w:r w:rsidRPr="00E137B2">
              <w:rPr>
                <w:rFonts w:ascii="Calibri" w:eastAsia="Calibri" w:hAnsi="Calibri"/>
                <w:sz w:val="18"/>
                <w:szCs w:val="18"/>
                <w:lang w:eastAsia="en-US"/>
              </w:rPr>
              <w:t>Fonte: Agenzia delle Entrate</w:t>
            </w:r>
          </w:p>
        </w:tc>
      </w:tr>
    </w:tbl>
    <w:p w14:paraId="68D490A9" w14:textId="77777777" w:rsidR="00E137B2" w:rsidRPr="00E137B2" w:rsidRDefault="00E137B2" w:rsidP="00E137B2">
      <w:pPr>
        <w:jc w:val="both"/>
        <w:rPr>
          <w:rFonts w:ascii="Calibri" w:eastAsia="Calibri" w:hAnsi="Calibri"/>
          <w:sz w:val="22"/>
          <w:szCs w:val="22"/>
          <w:lang w:eastAsia="en-US"/>
        </w:rPr>
      </w:pPr>
    </w:p>
    <w:p w14:paraId="5EB3E398" w14:textId="72B62E5B" w:rsidR="00E137B2" w:rsidRDefault="00E137B2" w:rsidP="00FA3887">
      <w:pPr>
        <w:jc w:val="both"/>
        <w:rPr>
          <w:rFonts w:ascii="Calibri" w:eastAsia="Calibri" w:hAnsi="Calibri"/>
          <w:sz w:val="22"/>
          <w:szCs w:val="22"/>
          <w:lang w:eastAsia="en-US"/>
        </w:rPr>
      </w:pPr>
      <w:r w:rsidRPr="00E137B2">
        <w:rPr>
          <w:rFonts w:ascii="Calibri" w:eastAsia="Calibri" w:hAnsi="Calibri"/>
          <w:sz w:val="22"/>
          <w:szCs w:val="22"/>
          <w:lang w:eastAsia="en-US"/>
        </w:rPr>
        <w:t xml:space="preserve">Seppure gli indicatori di rischiosità del credito restituiscano un quadro tuttora ampiamente rassicurante, uno scenario di progressivo deterioramento appare tutt’altro che improbabile, con le implicazioni sistemiche sperimentate in un passato troppo recente per essere dimenticate. Ad oggi, il connubio tra una rinvigorita pulsione proprietaria e un’impostazione solo marginalmente selettiva nella concessione dei finanziamenti, rappresenta il presupposto per un ritorno di erogazioni e compravendite residenziali al di sopra dei livelli </w:t>
      </w:r>
      <w:proofErr w:type="spellStart"/>
      <w:r w:rsidRPr="00E137B2">
        <w:rPr>
          <w:rFonts w:ascii="Calibri" w:eastAsia="Calibri" w:hAnsi="Calibri"/>
          <w:sz w:val="22"/>
          <w:szCs w:val="22"/>
          <w:lang w:eastAsia="en-US"/>
        </w:rPr>
        <w:t>pre</w:t>
      </w:r>
      <w:proofErr w:type="spellEnd"/>
      <w:r w:rsidRPr="00E137B2">
        <w:rPr>
          <w:rFonts w:ascii="Calibri" w:eastAsia="Calibri" w:hAnsi="Calibri"/>
          <w:sz w:val="22"/>
          <w:szCs w:val="22"/>
          <w:lang w:eastAsia="en-US"/>
        </w:rPr>
        <w:t xml:space="preserve">-Covid già a partire da quest’anno. Dopo l’ottima performance registrata nella seconda parte del 2020, il mercato immobiliare continua a restituire un’insospettabile immagine di esuberanza, alimentata dall’esigenza di utilizzo primario (prima casa e sostituzione), ancorché caratterizzata da una ricerca di condizioni di accessibilità più facilmente rinvenibili non in prossimità dei centri urbani maggiori. Oltre al desiderio di dimensioni più generose e di spazi accessori rivelatisi spesso salvifici nell’alienante esperienza della pandemia, è proprio il tema del potere di acquisto immobiliare a rappresentare il driver principale delle scelte di una quota significativa delle famiglie interessate all’acquisto. Come già accaduto in passato, il processo di suburbanizzazione assume in epoca moderna più i tratti congiunturali di risposta al progressivo disallineamento tra possibilità finanziarie della domanda e valori di mercato, che non quelli strutturali di revisione delle gerarchie nelle preferenze individuali. </w:t>
      </w:r>
    </w:p>
    <w:tbl>
      <w:tblPr>
        <w:tblpPr w:leftFromText="141" w:rightFromText="141" w:vertAnchor="text" w:horzAnchor="margin" w:tblpY="184"/>
        <w:tblOverlap w:val="never"/>
        <w:tblW w:w="2589" w:type="pct"/>
        <w:tblLook w:val="00A0" w:firstRow="1" w:lastRow="0" w:firstColumn="1" w:lastColumn="0" w:noHBand="0" w:noVBand="0"/>
      </w:tblPr>
      <w:tblGrid>
        <w:gridCol w:w="4991"/>
      </w:tblGrid>
      <w:tr w:rsidR="00FA3887" w:rsidRPr="002B1DBB" w14:paraId="0A4875CD" w14:textId="77777777" w:rsidTr="00073209">
        <w:trPr>
          <w:trHeight w:val="397"/>
        </w:trPr>
        <w:tc>
          <w:tcPr>
            <w:tcW w:w="5000" w:type="pct"/>
            <w:tcBorders>
              <w:bottom w:val="single" w:sz="4" w:space="0" w:color="5B9BD5" w:themeColor="accent1"/>
            </w:tcBorders>
            <w:vAlign w:val="center"/>
          </w:tcPr>
          <w:p w14:paraId="7DC36C02" w14:textId="192F6028" w:rsidR="00FA3887" w:rsidRPr="00E137B2" w:rsidRDefault="00FA3887" w:rsidP="00FA3887">
            <w:pPr>
              <w:jc w:val="both"/>
              <w:rPr>
                <w:rFonts w:ascii="Calibri" w:eastAsia="Calibri" w:hAnsi="Calibri" w:cs="Calibri"/>
                <w:b/>
                <w:color w:val="2E74B5"/>
                <w:sz w:val="20"/>
                <w:szCs w:val="22"/>
                <w:lang w:eastAsia="en-US"/>
              </w:rPr>
            </w:pPr>
            <w:r w:rsidRPr="00E137B2">
              <w:rPr>
                <w:rFonts w:ascii="Calibri" w:eastAsia="Calibri" w:hAnsi="Calibri" w:cs="Calibri"/>
                <w:b/>
                <w:color w:val="2E74B5"/>
                <w:sz w:val="20"/>
                <w:szCs w:val="22"/>
                <w:lang w:eastAsia="en-US"/>
              </w:rPr>
              <w:t xml:space="preserve">Figura </w:t>
            </w:r>
            <w:r w:rsidR="007B6F39">
              <w:rPr>
                <w:rFonts w:ascii="Calibri" w:eastAsia="Calibri" w:hAnsi="Calibri" w:cs="Calibri"/>
                <w:b/>
                <w:color w:val="2E74B5"/>
                <w:sz w:val="20"/>
                <w:szCs w:val="22"/>
                <w:lang w:eastAsia="en-US"/>
              </w:rPr>
              <w:t>5</w:t>
            </w:r>
          </w:p>
          <w:p w14:paraId="760A7571" w14:textId="35BA1678" w:rsidR="00FA3887" w:rsidRPr="002B1DBB" w:rsidRDefault="00FA3887" w:rsidP="00FA3887">
            <w:pPr>
              <w:keepNext/>
              <w:widowControl w:val="0"/>
              <w:suppressAutoHyphens/>
              <w:spacing w:after="120"/>
              <w:jc w:val="both"/>
              <w:rPr>
                <w:rFonts w:ascii="Calibri" w:hAnsi="Calibri"/>
                <w:b/>
                <w:sz w:val="19"/>
                <w:szCs w:val="19"/>
              </w:rPr>
            </w:pPr>
            <w:r w:rsidRPr="00E137B2">
              <w:rPr>
                <w:rFonts w:ascii="Calibri" w:eastAsia="Calibri" w:hAnsi="Calibri" w:cs="Calibri"/>
                <w:b/>
                <w:color w:val="2E74B5"/>
                <w:sz w:val="20"/>
                <w:szCs w:val="22"/>
                <w:lang w:eastAsia="en-US"/>
              </w:rPr>
              <w:t>Indice Nomisma di performance</w:t>
            </w:r>
            <w:r>
              <w:rPr>
                <w:rFonts w:ascii="Calibri" w:eastAsia="Calibri" w:hAnsi="Calibri" w:cs="Calibri"/>
                <w:b/>
                <w:color w:val="2E74B5"/>
                <w:sz w:val="20"/>
                <w:szCs w:val="22"/>
                <w:lang w:eastAsia="en-US"/>
              </w:rPr>
              <w:t xml:space="preserve"> settore </w:t>
            </w:r>
            <w:proofErr w:type="gramStart"/>
            <w:r>
              <w:rPr>
                <w:rFonts w:ascii="Calibri" w:eastAsia="Calibri" w:hAnsi="Calibri" w:cs="Calibri"/>
                <w:b/>
                <w:color w:val="2E74B5"/>
                <w:sz w:val="20"/>
                <w:szCs w:val="22"/>
                <w:lang w:eastAsia="en-US"/>
              </w:rPr>
              <w:t>residenziale</w:t>
            </w:r>
            <w:r>
              <w:rPr>
                <w:rStyle w:val="Rimandonotaapidipagina"/>
                <w:rFonts w:ascii="Calibri" w:eastAsia="Calibri" w:hAnsi="Calibri" w:cs="Calibri"/>
                <w:b/>
                <w:color w:val="2E74B5"/>
                <w:sz w:val="20"/>
                <w:szCs w:val="22"/>
                <w:lang w:eastAsia="en-US"/>
              </w:rPr>
              <w:footnoteReference w:id="2"/>
            </w:r>
            <w:r>
              <w:rPr>
                <w:rFonts w:ascii="Calibri" w:eastAsia="Calibri" w:hAnsi="Calibri" w:cs="Calibri"/>
                <w:b/>
                <w:color w:val="2E74B5"/>
                <w:sz w:val="20"/>
                <w:szCs w:val="22"/>
                <w:lang w:eastAsia="en-US"/>
              </w:rPr>
              <w:t xml:space="preserve"> </w:t>
            </w:r>
            <w:r w:rsidRPr="00E137B2">
              <w:rPr>
                <w:rFonts w:ascii="Calibri" w:eastAsia="Calibri" w:hAnsi="Calibri" w:cs="Calibri"/>
                <w:b/>
                <w:color w:val="2E74B5"/>
                <w:sz w:val="20"/>
                <w:szCs w:val="22"/>
                <w:lang w:eastAsia="en-US"/>
              </w:rPr>
              <w:t xml:space="preserve"> –</w:t>
            </w:r>
            <w:proofErr w:type="gramEnd"/>
            <w:r w:rsidRPr="00E137B2">
              <w:rPr>
                <w:rFonts w:ascii="Calibri" w:eastAsia="Calibri" w:hAnsi="Calibri" w:cs="Calibri"/>
                <w:b/>
                <w:color w:val="2E74B5"/>
                <w:sz w:val="20"/>
                <w:szCs w:val="22"/>
                <w:lang w:eastAsia="en-US"/>
              </w:rPr>
              <w:t xml:space="preserve"> Media 13 grandi città </w:t>
            </w:r>
            <w:r w:rsidRPr="002B7CB1">
              <w:rPr>
                <w:rFonts w:ascii="Calibri" w:hAnsi="Calibri" w:cs="Calibri"/>
                <w:b/>
                <w:sz w:val="20"/>
              </w:rPr>
              <w:t xml:space="preserve"> </w:t>
            </w:r>
          </w:p>
        </w:tc>
      </w:tr>
      <w:tr w:rsidR="00FA3887" w:rsidRPr="002B1DBB" w14:paraId="497128B0" w14:textId="77777777" w:rsidTr="00073209">
        <w:tblPrEx>
          <w:tblCellMar>
            <w:left w:w="70" w:type="dxa"/>
            <w:right w:w="70" w:type="dxa"/>
          </w:tblCellMar>
        </w:tblPrEx>
        <w:tc>
          <w:tcPr>
            <w:tcW w:w="5000" w:type="pct"/>
            <w:tcBorders>
              <w:top w:val="single" w:sz="4" w:space="0" w:color="5B9BD5" w:themeColor="accent1"/>
              <w:bottom w:val="single" w:sz="4" w:space="0" w:color="5B9BD5" w:themeColor="accent1"/>
            </w:tcBorders>
            <w:vAlign w:val="center"/>
          </w:tcPr>
          <w:p w14:paraId="18DBF5CB" w14:textId="4300DFD5" w:rsidR="00FA3887" w:rsidRPr="002B1DBB" w:rsidRDefault="00FA3887" w:rsidP="00073209">
            <w:pPr>
              <w:suppressAutoHyphens/>
              <w:spacing w:before="120" w:after="120"/>
              <w:jc w:val="both"/>
              <w:rPr>
                <w:rFonts w:ascii="Calibri" w:hAnsi="Calibri"/>
              </w:rPr>
            </w:pPr>
            <w:r w:rsidRPr="00E137B2">
              <w:rPr>
                <w:rFonts w:ascii="Calibri" w:eastAsia="Calibri" w:hAnsi="Calibri"/>
                <w:noProof/>
                <w:sz w:val="16"/>
                <w:szCs w:val="16"/>
              </w:rPr>
              <w:drawing>
                <wp:inline distT="0" distB="0" distL="0" distR="0" wp14:anchorId="1397B3FE" wp14:editId="3DE0C0EF">
                  <wp:extent cx="2590800" cy="157162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0" cy="1571625"/>
                          </a:xfrm>
                          <a:prstGeom prst="rect">
                            <a:avLst/>
                          </a:prstGeom>
                          <a:noFill/>
                          <a:ln>
                            <a:noFill/>
                          </a:ln>
                        </pic:spPr>
                      </pic:pic>
                    </a:graphicData>
                  </a:graphic>
                </wp:inline>
              </w:drawing>
            </w:r>
          </w:p>
        </w:tc>
      </w:tr>
      <w:tr w:rsidR="00FA3887" w:rsidRPr="002B1DBB" w14:paraId="590CAC45" w14:textId="77777777" w:rsidTr="00073209">
        <w:tblPrEx>
          <w:tblCellMar>
            <w:left w:w="70" w:type="dxa"/>
            <w:right w:w="70" w:type="dxa"/>
          </w:tblCellMar>
        </w:tblPrEx>
        <w:tc>
          <w:tcPr>
            <w:tcW w:w="5000" w:type="pct"/>
            <w:tcBorders>
              <w:top w:val="single" w:sz="4" w:space="0" w:color="5B9BD5" w:themeColor="accent1"/>
            </w:tcBorders>
            <w:vAlign w:val="center"/>
          </w:tcPr>
          <w:p w14:paraId="1532CDC5" w14:textId="77777777" w:rsidR="00FA3887" w:rsidRPr="007C2D93" w:rsidRDefault="00FA3887" w:rsidP="00073209">
            <w:pPr>
              <w:suppressAutoHyphens/>
              <w:spacing w:before="60"/>
              <w:jc w:val="both"/>
              <w:rPr>
                <w:rFonts w:ascii="Calibri" w:hAnsi="Calibri"/>
                <w:noProof/>
              </w:rPr>
            </w:pPr>
            <w:r w:rsidRPr="00FD6E0B">
              <w:rPr>
                <w:rFonts w:ascii="Calibri" w:hAnsi="Calibri" w:cs="Calibri"/>
                <w:noProof/>
                <w:sz w:val="18"/>
              </w:rPr>
              <w:t>Fonte: Nomisma</w:t>
            </w:r>
          </w:p>
        </w:tc>
      </w:tr>
    </w:tbl>
    <w:p w14:paraId="57A8684D" w14:textId="77777777" w:rsidR="00FA3887" w:rsidRPr="00E137B2" w:rsidRDefault="00FA3887" w:rsidP="00FA3887">
      <w:pPr>
        <w:spacing w:before="120" w:after="120"/>
        <w:jc w:val="both"/>
        <w:rPr>
          <w:rFonts w:ascii="Calibri" w:eastAsia="Calibri" w:hAnsi="Calibri"/>
          <w:sz w:val="22"/>
          <w:szCs w:val="22"/>
          <w:lang w:eastAsia="en-US"/>
        </w:rPr>
      </w:pPr>
      <w:r w:rsidRPr="00E137B2">
        <w:rPr>
          <w:rFonts w:ascii="Calibri" w:eastAsia="Calibri" w:hAnsi="Calibri"/>
          <w:sz w:val="22"/>
          <w:szCs w:val="22"/>
          <w:lang w:eastAsia="en-US"/>
        </w:rPr>
        <w:t xml:space="preserve">In tale quadro, la risalita delle quotazioni immobiliari registrata nel primo semestre di quest’anno rappresenta un fattore di accentuazione delle distanze e un ulteriore impulso centrifugo rispetto alle tendenze già oggi in atto. La resistenza prima e la reattività poi, dimostrate dal mercato residenziale italiano, hanno consentito di chiudere la lunga parentesi Covid con impronosticabile rapidità, come dimostrano gli effetti del massiccio ritorno di interesse su tutti i principali indicatori di settore. Già a partire da quest’anno, il numero di transazioni tornerà infatti ad allinearsi alle previsioni formulate prima che insorgesse la pandemia, con una flessione cumulata nel biennio 2020-21, rispetto allo scenario pre-crisi, che non eccederà il 4%. Analoga tendenza riguarderà i prezzi, la cui risalita consentirà di contenere le perdite totali nell’ordine di qualche punto percentuale, a fronte di una prospettiva di debolezza che si pensava potesse protrarsi per almeno un biennio. Dagli sviluppi macroeconomici dei prossimi mesi arriverà il responso sulla sostenibilità di un’effervescenza che trae vigore dalle aspettative, ma che ha bisogno della robustezza delle dinamiche reali per non tramutarsi in una bolla destinata a scoppiare. </w:t>
      </w:r>
    </w:p>
    <w:p w14:paraId="71E4CD23" w14:textId="1BF8E69E" w:rsidR="00E137B2" w:rsidRPr="00E137B2" w:rsidRDefault="00E137B2" w:rsidP="00E137B2">
      <w:pPr>
        <w:spacing w:after="120"/>
        <w:jc w:val="both"/>
        <w:rPr>
          <w:rFonts w:ascii="Calibri" w:eastAsia="Calibri" w:hAnsi="Calibri"/>
          <w:sz w:val="22"/>
          <w:szCs w:val="22"/>
          <w:lang w:eastAsia="en-US"/>
        </w:rPr>
      </w:pPr>
      <w:r w:rsidRPr="00E137B2">
        <w:rPr>
          <w:rFonts w:ascii="Calibri" w:eastAsia="Calibri" w:hAnsi="Calibri"/>
          <w:sz w:val="22"/>
          <w:szCs w:val="22"/>
          <w:lang w:eastAsia="en-US"/>
        </w:rPr>
        <w:t>In ultima analisi, per consolidare la tenuta che il mercato immobiliare italiano, sia residenziale che d’impresa, ha saputo dimostrare nel corso delle ondate pandemiche, occorrerà che all’ottimismo delle aspettative macroeconomiche faccia seguito la concretezza delle dinamiche reali. Si tratta di una prospettiva verosimile, che tuttavia impone attenzione e cautela. Il costo di eventuali azzardi sarebbe ancora una volta elevatissimo.</w:t>
      </w:r>
    </w:p>
    <w:p w14:paraId="2CC0B0D2" w14:textId="77777777" w:rsidR="00806746" w:rsidRPr="0004240C" w:rsidRDefault="00806746" w:rsidP="00806746">
      <w:pPr>
        <w:suppressAutoHyphens/>
        <w:spacing w:after="120"/>
        <w:rPr>
          <w:rFonts w:ascii="Calibri" w:hAnsi="Calibri" w:cs="Calibri"/>
          <w:noProof/>
          <w:color w:val="FF0000"/>
          <w:sz w:val="18"/>
        </w:rPr>
      </w:pPr>
    </w:p>
    <w:p w14:paraId="047FA32C" w14:textId="48BA4E91" w:rsidR="004F585F" w:rsidRDefault="004F585F">
      <w:pPr>
        <w:spacing w:after="200" w:line="276" w:lineRule="auto"/>
        <w:rPr>
          <w:rFonts w:asciiTheme="minorHAnsi" w:eastAsia="Calibri" w:hAnsiTheme="minorHAnsi"/>
          <w:strike/>
          <w:sz w:val="22"/>
          <w:szCs w:val="22"/>
          <w:lang w:eastAsia="en-US"/>
        </w:rPr>
      </w:pPr>
    </w:p>
    <w:p w14:paraId="0C0281CA" w14:textId="77777777" w:rsidR="00464BC2" w:rsidRDefault="00464BC2">
      <w:pPr>
        <w:spacing w:after="200" w:line="276" w:lineRule="auto"/>
        <w:rPr>
          <w:rFonts w:asciiTheme="minorHAnsi" w:eastAsia="Calibri" w:hAnsiTheme="minorHAnsi" w:cs="Calibri"/>
          <w:b/>
          <w:sz w:val="28"/>
          <w:szCs w:val="28"/>
        </w:rPr>
      </w:pPr>
      <w:r>
        <w:rPr>
          <w:rFonts w:asciiTheme="minorHAnsi" w:hAnsiTheme="minorHAnsi" w:cs="Calibri"/>
          <w:b/>
          <w:sz w:val="28"/>
          <w:szCs w:val="28"/>
        </w:rPr>
        <w:br w:type="page"/>
      </w:r>
    </w:p>
    <w:p w14:paraId="409944AE" w14:textId="487357F7" w:rsidR="00170F64" w:rsidRPr="003D3270" w:rsidRDefault="00170F64" w:rsidP="007F37E0">
      <w:pPr>
        <w:pStyle w:val="Paragrafoelenco1"/>
        <w:tabs>
          <w:tab w:val="left" w:pos="1418"/>
        </w:tabs>
        <w:suppressAutoHyphens/>
        <w:ind w:left="0"/>
        <w:rPr>
          <w:rFonts w:asciiTheme="minorHAnsi" w:hAnsiTheme="minorHAnsi" w:cs="Calibri"/>
          <w:b/>
          <w:sz w:val="28"/>
          <w:szCs w:val="28"/>
        </w:rPr>
      </w:pPr>
      <w:r w:rsidRPr="003D3270">
        <w:rPr>
          <w:rFonts w:asciiTheme="minorHAnsi" w:hAnsiTheme="minorHAnsi" w:cs="Calibri"/>
          <w:b/>
          <w:sz w:val="28"/>
          <w:szCs w:val="28"/>
        </w:rPr>
        <w:t xml:space="preserve">Il mercato delle abitazioni per vacanza </w:t>
      </w:r>
    </w:p>
    <w:p w14:paraId="13122586" w14:textId="77777777" w:rsidR="00913D2F" w:rsidRDefault="00913D2F"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p>
    <w:p w14:paraId="4B432626" w14:textId="61772F4A" w:rsidR="00A27F59" w:rsidRDefault="008948EB" w:rsidP="008948EB">
      <w:pPr>
        <w:pStyle w:val="NormaleWeb"/>
        <w:shd w:val="clear" w:color="auto" w:fill="FFFFFF"/>
        <w:spacing w:before="0" w:beforeAutospacing="0" w:after="120" w:afterAutospacing="0"/>
        <w:jc w:val="both"/>
        <w:rPr>
          <w:rFonts w:asciiTheme="minorHAnsi" w:eastAsia="Calibri" w:hAnsiTheme="minorHAnsi" w:cstheme="minorHAnsi"/>
          <w:sz w:val="22"/>
          <w:szCs w:val="22"/>
        </w:rPr>
      </w:pPr>
      <w:r>
        <w:rPr>
          <w:rFonts w:asciiTheme="minorHAnsi" w:eastAsia="Calibri" w:hAnsiTheme="minorHAnsi" w:cstheme="minorHAnsi"/>
          <w:sz w:val="22"/>
          <w:szCs w:val="22"/>
        </w:rPr>
        <w:t>L</w:t>
      </w:r>
      <w:r w:rsidR="00524A8B">
        <w:rPr>
          <w:rFonts w:asciiTheme="minorHAnsi" w:eastAsia="Calibri" w:hAnsiTheme="minorHAnsi" w:cstheme="minorHAnsi"/>
          <w:sz w:val="22"/>
          <w:szCs w:val="22"/>
        </w:rPr>
        <w:t>e performance che emergono dall’Osservatorio immobiliare turistico</w:t>
      </w:r>
      <w:r>
        <w:rPr>
          <w:rFonts w:asciiTheme="minorHAnsi" w:eastAsia="Calibri" w:hAnsiTheme="minorHAnsi" w:cstheme="minorHAnsi"/>
          <w:sz w:val="22"/>
          <w:szCs w:val="22"/>
        </w:rPr>
        <w:t xml:space="preserve"> nel 2021</w:t>
      </w:r>
      <w:r w:rsidR="002A0946">
        <w:rPr>
          <w:rFonts w:asciiTheme="minorHAnsi" w:eastAsia="Calibri" w:hAnsiTheme="minorHAnsi" w:cstheme="minorHAnsi"/>
          <w:sz w:val="22"/>
          <w:szCs w:val="22"/>
        </w:rPr>
        <w:t xml:space="preserve"> -</w:t>
      </w:r>
      <w:r w:rsidR="00524A8B">
        <w:rPr>
          <w:rFonts w:asciiTheme="minorHAnsi" w:eastAsia="Calibri" w:hAnsiTheme="minorHAnsi" w:cstheme="minorHAnsi"/>
          <w:sz w:val="22"/>
          <w:szCs w:val="22"/>
        </w:rPr>
        <w:t xml:space="preserve"> sebbene</w:t>
      </w:r>
      <w:r w:rsidR="004B71AA" w:rsidRPr="00A27F59">
        <w:rPr>
          <w:rFonts w:asciiTheme="minorHAnsi" w:eastAsia="Calibri" w:hAnsiTheme="minorHAnsi" w:cstheme="minorHAnsi"/>
          <w:sz w:val="22"/>
          <w:szCs w:val="22"/>
        </w:rPr>
        <w:t xml:space="preserve"> </w:t>
      </w:r>
      <w:r w:rsidR="00524A8B">
        <w:rPr>
          <w:rFonts w:asciiTheme="minorHAnsi" w:eastAsia="Calibri" w:hAnsiTheme="minorHAnsi" w:cstheme="minorHAnsi"/>
          <w:sz w:val="22"/>
          <w:szCs w:val="22"/>
        </w:rPr>
        <w:t>risultino ancora condizionat</w:t>
      </w:r>
      <w:r w:rsidR="002A0946">
        <w:rPr>
          <w:rFonts w:asciiTheme="minorHAnsi" w:eastAsia="Calibri" w:hAnsiTheme="minorHAnsi" w:cstheme="minorHAnsi"/>
          <w:sz w:val="22"/>
          <w:szCs w:val="22"/>
        </w:rPr>
        <w:t>e</w:t>
      </w:r>
      <w:r w:rsidR="00524A8B">
        <w:rPr>
          <w:rFonts w:asciiTheme="minorHAnsi" w:eastAsia="Calibri" w:hAnsiTheme="minorHAnsi" w:cstheme="minorHAnsi"/>
          <w:sz w:val="22"/>
          <w:szCs w:val="22"/>
        </w:rPr>
        <w:t xml:space="preserve"> dalla pandemia per effetto del protrarsi delle misure di contenimento </w:t>
      </w:r>
      <w:r w:rsidR="002A0946">
        <w:rPr>
          <w:rFonts w:asciiTheme="minorHAnsi" w:eastAsia="Calibri" w:hAnsiTheme="minorHAnsi" w:cstheme="minorHAnsi"/>
          <w:sz w:val="22"/>
          <w:szCs w:val="22"/>
        </w:rPr>
        <w:t>–</w:t>
      </w:r>
      <w:r w:rsidR="00524A8B">
        <w:rPr>
          <w:rFonts w:asciiTheme="minorHAnsi" w:eastAsia="Calibri" w:hAnsiTheme="minorHAnsi" w:cstheme="minorHAnsi"/>
          <w:sz w:val="22"/>
          <w:szCs w:val="22"/>
        </w:rPr>
        <w:t xml:space="preserve"> </w:t>
      </w:r>
      <w:r w:rsidR="002A0946">
        <w:rPr>
          <w:rFonts w:asciiTheme="minorHAnsi" w:eastAsia="Calibri" w:hAnsiTheme="minorHAnsi" w:cstheme="minorHAnsi"/>
          <w:sz w:val="22"/>
          <w:szCs w:val="22"/>
        </w:rPr>
        <w:t>mettono in evidenza</w:t>
      </w:r>
      <w:r w:rsidR="00524A8B">
        <w:rPr>
          <w:rFonts w:asciiTheme="minorHAnsi" w:eastAsia="Calibri" w:hAnsiTheme="minorHAnsi" w:cstheme="minorHAnsi"/>
          <w:sz w:val="22"/>
          <w:szCs w:val="22"/>
        </w:rPr>
        <w:t xml:space="preserve"> un ritorno di interesse della domanda verso il mercato delle abitazioni per vacanza.   </w:t>
      </w:r>
    </w:p>
    <w:p w14:paraId="2EB821E4" w14:textId="69C0D020" w:rsidR="009D15F9" w:rsidRDefault="00914BB2" w:rsidP="00914BB2">
      <w:pPr>
        <w:pStyle w:val="NormaleWeb"/>
        <w:shd w:val="clear" w:color="auto" w:fill="FFFFFF"/>
        <w:spacing w:before="0" w:beforeAutospacing="0" w:after="120" w:afterAutospacing="0"/>
        <w:jc w:val="both"/>
        <w:rPr>
          <w:rFonts w:asciiTheme="minorHAnsi" w:eastAsia="Calibri" w:hAnsiTheme="minorHAnsi" w:cstheme="minorHAnsi"/>
          <w:sz w:val="22"/>
          <w:szCs w:val="22"/>
        </w:rPr>
      </w:pPr>
      <w:bookmarkStart w:id="1" w:name="_Hlk46760834"/>
      <w:r w:rsidRPr="00914BB2">
        <w:rPr>
          <w:rFonts w:asciiTheme="minorHAnsi" w:eastAsia="Calibri" w:hAnsiTheme="minorHAnsi" w:cstheme="minorHAnsi"/>
          <w:sz w:val="22"/>
          <w:szCs w:val="22"/>
        </w:rPr>
        <w:t xml:space="preserve">Le evidenze rilevate presso gli operatori relativamente al segmento delle compravendite di abitazioni nelle località turistiche restituiscono un </w:t>
      </w:r>
      <w:r w:rsidR="009D15F9">
        <w:rPr>
          <w:rFonts w:asciiTheme="minorHAnsi" w:eastAsia="Calibri" w:hAnsiTheme="minorHAnsi" w:cstheme="minorHAnsi"/>
          <w:sz w:val="22"/>
          <w:szCs w:val="22"/>
        </w:rPr>
        <w:t xml:space="preserve">quadro incoraggiante. </w:t>
      </w:r>
      <w:r w:rsidR="009D15F9" w:rsidRPr="009D15F9">
        <w:rPr>
          <w:rFonts w:asciiTheme="minorHAnsi" w:eastAsia="Calibri" w:hAnsiTheme="minorHAnsi" w:cstheme="minorHAnsi"/>
          <w:sz w:val="22"/>
          <w:szCs w:val="22"/>
        </w:rPr>
        <w:t>Sette agenti immobiliari su dieci hanno percepito, infatti, un sostanziale aumento delle compravendite di abitazioni per vacanza rispetto al 2020</w:t>
      </w:r>
      <w:r w:rsidR="009D15F9">
        <w:rPr>
          <w:rFonts w:asciiTheme="minorHAnsi" w:eastAsia="Calibri" w:hAnsiTheme="minorHAnsi" w:cstheme="minorHAnsi"/>
          <w:sz w:val="22"/>
          <w:szCs w:val="22"/>
        </w:rPr>
        <w:t xml:space="preserve">. </w:t>
      </w:r>
    </w:p>
    <w:p w14:paraId="352127B0" w14:textId="0666B78B" w:rsidR="00914BB2" w:rsidRDefault="009D15F9" w:rsidP="00914BB2">
      <w:pPr>
        <w:pStyle w:val="NormaleWeb"/>
        <w:shd w:val="clear" w:color="auto" w:fill="FFFFFF"/>
        <w:spacing w:before="0" w:beforeAutospacing="0" w:after="120" w:afterAutospacing="0"/>
        <w:jc w:val="both"/>
        <w:rPr>
          <w:rFonts w:asciiTheme="minorHAnsi" w:eastAsia="Calibri" w:hAnsiTheme="minorHAnsi" w:cstheme="minorHAnsi"/>
          <w:sz w:val="22"/>
          <w:szCs w:val="22"/>
        </w:rPr>
      </w:pPr>
      <w:r>
        <w:rPr>
          <w:rFonts w:asciiTheme="minorHAnsi" w:eastAsia="Calibri" w:hAnsiTheme="minorHAnsi" w:cstheme="minorHAnsi"/>
          <w:sz w:val="22"/>
          <w:szCs w:val="22"/>
        </w:rPr>
        <w:t>Lo scorso anno l</w:t>
      </w:r>
      <w:r w:rsidR="00914BB2" w:rsidRPr="00914BB2">
        <w:rPr>
          <w:rFonts w:asciiTheme="minorHAnsi" w:eastAsia="Calibri" w:hAnsiTheme="minorHAnsi" w:cstheme="minorHAnsi"/>
          <w:sz w:val="22"/>
          <w:szCs w:val="22"/>
        </w:rPr>
        <w:t>a battuta di arresto è risultata di circa il 6% secondo i dati consuntivi dell’Agenzia dell’Entrate. In questo contesto, si segnala la maggiore tenuta delle località di montagna, rispetto al mare e ai laghi, avendo scontato una flessione di minore intensità se paragonata alla media delle località turistiche (2,9% vs 6,0%).</w:t>
      </w:r>
    </w:p>
    <w:p w14:paraId="78C3EE3C" w14:textId="34D2DC88" w:rsidR="007D6016" w:rsidRPr="007D6016" w:rsidRDefault="007D6016" w:rsidP="008948EB">
      <w:pPr>
        <w:spacing w:after="120"/>
        <w:jc w:val="both"/>
        <w:rPr>
          <w:rFonts w:asciiTheme="minorHAnsi" w:eastAsia="Calibri" w:hAnsiTheme="minorHAnsi" w:cstheme="minorHAnsi"/>
          <w:sz w:val="22"/>
          <w:szCs w:val="22"/>
        </w:rPr>
      </w:pPr>
      <w:r w:rsidRPr="007D6016">
        <w:rPr>
          <w:rFonts w:asciiTheme="minorHAnsi" w:eastAsia="Calibri" w:hAnsiTheme="minorHAnsi" w:cstheme="minorHAnsi"/>
          <w:sz w:val="22"/>
          <w:szCs w:val="22"/>
        </w:rPr>
        <w:t xml:space="preserve">Il mercato della locazione viene percepito </w:t>
      </w:r>
      <w:r w:rsidR="00B73898">
        <w:rPr>
          <w:rFonts w:asciiTheme="minorHAnsi" w:eastAsia="Calibri" w:hAnsiTheme="minorHAnsi" w:cstheme="minorHAnsi"/>
          <w:sz w:val="22"/>
          <w:szCs w:val="22"/>
        </w:rPr>
        <w:t xml:space="preserve">dinamico </w:t>
      </w:r>
      <w:r w:rsidR="002E3183">
        <w:rPr>
          <w:rFonts w:asciiTheme="minorHAnsi" w:eastAsia="Calibri" w:hAnsiTheme="minorHAnsi" w:cstheme="minorHAnsi"/>
          <w:sz w:val="22"/>
          <w:szCs w:val="22"/>
        </w:rPr>
        <w:t>da parte degli operatori</w:t>
      </w:r>
      <w:r w:rsidRPr="007D6016">
        <w:rPr>
          <w:rFonts w:asciiTheme="minorHAnsi" w:eastAsia="Calibri" w:hAnsiTheme="minorHAnsi" w:cstheme="minorHAnsi"/>
          <w:sz w:val="22"/>
          <w:szCs w:val="22"/>
        </w:rPr>
        <w:t>, sia rispetto ai contratti che ai canoni applicati, per effetto di un</w:t>
      </w:r>
      <w:r w:rsidR="002E3183">
        <w:rPr>
          <w:rFonts w:asciiTheme="minorHAnsi" w:eastAsia="Calibri" w:hAnsiTheme="minorHAnsi" w:cstheme="minorHAnsi"/>
          <w:sz w:val="22"/>
          <w:szCs w:val="22"/>
        </w:rPr>
        <w:t xml:space="preserve"> interesse</w:t>
      </w:r>
      <w:r w:rsidR="0026725C">
        <w:rPr>
          <w:rFonts w:asciiTheme="minorHAnsi" w:eastAsia="Calibri" w:hAnsiTheme="minorHAnsi" w:cstheme="minorHAnsi"/>
          <w:sz w:val="22"/>
          <w:szCs w:val="22"/>
        </w:rPr>
        <w:t xml:space="preserve"> </w:t>
      </w:r>
      <w:r w:rsidR="008948EB">
        <w:rPr>
          <w:rFonts w:asciiTheme="minorHAnsi" w:eastAsia="Calibri" w:hAnsiTheme="minorHAnsi" w:cstheme="minorHAnsi"/>
          <w:sz w:val="22"/>
          <w:szCs w:val="22"/>
        </w:rPr>
        <w:t>consistente</w:t>
      </w:r>
      <w:r w:rsidR="0026725C">
        <w:rPr>
          <w:rFonts w:asciiTheme="minorHAnsi" w:eastAsia="Calibri" w:hAnsiTheme="minorHAnsi" w:cstheme="minorHAnsi"/>
          <w:sz w:val="22"/>
          <w:szCs w:val="22"/>
        </w:rPr>
        <w:t xml:space="preserve"> da parte </w:t>
      </w:r>
      <w:r w:rsidR="00AA4253">
        <w:rPr>
          <w:rFonts w:asciiTheme="minorHAnsi" w:eastAsia="Calibri" w:hAnsiTheme="minorHAnsi" w:cstheme="minorHAnsi"/>
          <w:sz w:val="22"/>
          <w:szCs w:val="22"/>
        </w:rPr>
        <w:t>della domanda</w:t>
      </w:r>
      <w:r w:rsidRPr="007D6016">
        <w:rPr>
          <w:rFonts w:asciiTheme="minorHAnsi" w:eastAsia="Calibri" w:hAnsiTheme="minorHAnsi" w:cstheme="minorHAnsi"/>
          <w:sz w:val="22"/>
          <w:szCs w:val="22"/>
        </w:rPr>
        <w:t xml:space="preserve"> verso la casa vacanza </w:t>
      </w:r>
      <w:r w:rsidR="008948EB">
        <w:rPr>
          <w:rFonts w:asciiTheme="minorHAnsi" w:eastAsia="Calibri" w:hAnsiTheme="minorHAnsi" w:cstheme="minorHAnsi"/>
          <w:sz w:val="22"/>
          <w:szCs w:val="22"/>
        </w:rPr>
        <w:t xml:space="preserve">anche </w:t>
      </w:r>
      <w:r w:rsidRPr="007D6016">
        <w:rPr>
          <w:rFonts w:asciiTheme="minorHAnsi" w:eastAsia="Calibri" w:hAnsiTheme="minorHAnsi" w:cstheme="minorHAnsi"/>
          <w:sz w:val="22"/>
          <w:szCs w:val="22"/>
        </w:rPr>
        <w:t>in questo periodo di pandemia</w:t>
      </w:r>
      <w:bookmarkEnd w:id="1"/>
      <w:r w:rsidR="002E3183">
        <w:rPr>
          <w:rFonts w:asciiTheme="minorHAnsi" w:eastAsia="Calibri" w:hAnsiTheme="minorHAnsi" w:cstheme="minorHAnsi"/>
          <w:sz w:val="22"/>
          <w:szCs w:val="22"/>
        </w:rPr>
        <w:t>.</w:t>
      </w:r>
    </w:p>
    <w:p w14:paraId="5F103F45" w14:textId="0ECC5037" w:rsidR="00864A1E" w:rsidRDefault="00864A1E"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bookmarkStart w:id="2" w:name="_Hlk77927877"/>
    </w:p>
    <w:tbl>
      <w:tblPr>
        <w:tblStyle w:val="Grigliatabella"/>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1312"/>
        <w:gridCol w:w="1313"/>
        <w:gridCol w:w="1312"/>
        <w:gridCol w:w="1313"/>
        <w:gridCol w:w="1313"/>
        <w:gridCol w:w="1313"/>
      </w:tblGrid>
      <w:tr w:rsidR="007C7C6B" w:rsidRPr="0041716C" w14:paraId="2C701FF0" w14:textId="77777777" w:rsidTr="008948EB">
        <w:trPr>
          <w:trHeight w:val="340"/>
        </w:trPr>
        <w:tc>
          <w:tcPr>
            <w:tcW w:w="2211" w:type="dxa"/>
            <w:vAlign w:val="center"/>
          </w:tcPr>
          <w:p w14:paraId="0AC92D23" w14:textId="17D1C2D7" w:rsidR="007C7C6B" w:rsidRPr="008948EB" w:rsidRDefault="007C7C6B" w:rsidP="007C34AC">
            <w:pPr>
              <w:rPr>
                <w:rFonts w:asciiTheme="minorHAnsi" w:eastAsia="Calibri" w:hAnsiTheme="minorHAnsi" w:cstheme="minorHAnsi"/>
                <w:bCs w:val="0"/>
                <w:sz w:val="20"/>
              </w:rPr>
            </w:pPr>
            <w:r w:rsidRPr="008948EB">
              <w:rPr>
                <w:rFonts w:asciiTheme="minorHAnsi" w:eastAsia="Calibri" w:hAnsiTheme="minorHAnsi" w:cstheme="minorHAnsi"/>
                <w:bCs w:val="0"/>
                <w:caps w:val="0"/>
                <w:sz w:val="20"/>
              </w:rPr>
              <w:t xml:space="preserve">Tavola </w:t>
            </w:r>
            <w:r w:rsidR="007B6F39">
              <w:rPr>
                <w:rFonts w:asciiTheme="minorHAnsi" w:eastAsia="Calibri" w:hAnsiTheme="minorHAnsi" w:cstheme="minorHAnsi"/>
                <w:bCs w:val="0"/>
                <w:sz w:val="20"/>
              </w:rPr>
              <w:t>1</w:t>
            </w:r>
          </w:p>
        </w:tc>
        <w:tc>
          <w:tcPr>
            <w:tcW w:w="7876" w:type="dxa"/>
            <w:gridSpan w:val="6"/>
            <w:shd w:val="clear" w:color="auto" w:fill="F2F2F2" w:themeFill="background1" w:themeFillShade="F2"/>
            <w:vAlign w:val="center"/>
          </w:tcPr>
          <w:p w14:paraId="62D55022" w14:textId="77777777" w:rsidR="007C7C6B" w:rsidRPr="0041716C" w:rsidRDefault="007C7C6B" w:rsidP="007C34AC">
            <w:pPr>
              <w:jc w:val="center"/>
              <w:rPr>
                <w:rFonts w:ascii="Calibri" w:hAnsi="Calibri" w:cs="Arial"/>
                <w:sz w:val="20"/>
              </w:rPr>
            </w:pPr>
            <w:r w:rsidRPr="0041716C">
              <w:rPr>
                <w:rFonts w:ascii="Calibri" w:hAnsi="Calibri" w:cs="Arial"/>
                <w:caps w:val="0"/>
                <w:sz w:val="20"/>
              </w:rPr>
              <w:t>Numero di compravendite di abitazioni – Variazioni % annuali</w:t>
            </w:r>
          </w:p>
        </w:tc>
      </w:tr>
      <w:tr w:rsidR="00561019" w:rsidRPr="0041716C" w14:paraId="5C749AB8" w14:textId="77777777" w:rsidTr="008948EB">
        <w:trPr>
          <w:trHeight w:val="340"/>
        </w:trPr>
        <w:tc>
          <w:tcPr>
            <w:tcW w:w="2211" w:type="dxa"/>
            <w:vAlign w:val="center"/>
          </w:tcPr>
          <w:p w14:paraId="64861021" w14:textId="77777777" w:rsidR="00561019" w:rsidRPr="0041716C" w:rsidRDefault="00561019" w:rsidP="00561019">
            <w:pPr>
              <w:rPr>
                <w:rFonts w:asciiTheme="minorHAnsi" w:eastAsia="Calibri" w:hAnsiTheme="minorHAnsi" w:cstheme="minorHAnsi"/>
                <w:b w:val="0"/>
                <w:sz w:val="20"/>
              </w:rPr>
            </w:pPr>
          </w:p>
        </w:tc>
        <w:tc>
          <w:tcPr>
            <w:tcW w:w="1312" w:type="dxa"/>
            <w:shd w:val="clear" w:color="auto" w:fill="F2F2F2" w:themeFill="background1" w:themeFillShade="F2"/>
            <w:vAlign w:val="center"/>
          </w:tcPr>
          <w:p w14:paraId="0625A8F2" w14:textId="3A231A02" w:rsidR="00561019" w:rsidRPr="0041716C" w:rsidRDefault="00561019" w:rsidP="00561019">
            <w:pPr>
              <w:jc w:val="center"/>
              <w:rPr>
                <w:rFonts w:ascii="Calibri" w:hAnsi="Calibri" w:cs="Arial"/>
                <w:caps w:val="0"/>
                <w:sz w:val="20"/>
              </w:rPr>
            </w:pPr>
            <w:r w:rsidRPr="0041716C">
              <w:rPr>
                <w:rFonts w:ascii="Calibri" w:hAnsi="Calibri" w:cs="Arial"/>
                <w:caps w:val="0"/>
                <w:sz w:val="20"/>
              </w:rPr>
              <w:t>2015/2014</w:t>
            </w:r>
          </w:p>
        </w:tc>
        <w:tc>
          <w:tcPr>
            <w:tcW w:w="1313" w:type="dxa"/>
            <w:shd w:val="clear" w:color="auto" w:fill="F2F2F2" w:themeFill="background1" w:themeFillShade="F2"/>
            <w:vAlign w:val="center"/>
          </w:tcPr>
          <w:p w14:paraId="6DCEEF0E" w14:textId="5585E46B" w:rsidR="00561019" w:rsidRPr="0041716C" w:rsidRDefault="00561019" w:rsidP="00561019">
            <w:pPr>
              <w:jc w:val="center"/>
              <w:rPr>
                <w:rFonts w:ascii="Calibri" w:hAnsi="Calibri" w:cs="Arial"/>
                <w:caps w:val="0"/>
                <w:sz w:val="20"/>
              </w:rPr>
            </w:pPr>
            <w:r w:rsidRPr="0041716C">
              <w:rPr>
                <w:rFonts w:ascii="Calibri" w:hAnsi="Calibri" w:cs="Arial"/>
                <w:caps w:val="0"/>
                <w:sz w:val="20"/>
              </w:rPr>
              <w:t>2016/2015</w:t>
            </w:r>
          </w:p>
        </w:tc>
        <w:tc>
          <w:tcPr>
            <w:tcW w:w="1312" w:type="dxa"/>
            <w:shd w:val="clear" w:color="auto" w:fill="F2F2F2" w:themeFill="background1" w:themeFillShade="F2"/>
            <w:vAlign w:val="center"/>
          </w:tcPr>
          <w:p w14:paraId="36B5CD32" w14:textId="5D498BE3" w:rsidR="00561019" w:rsidRPr="0041716C" w:rsidRDefault="00561019" w:rsidP="00561019">
            <w:pPr>
              <w:jc w:val="center"/>
              <w:rPr>
                <w:rFonts w:ascii="Calibri" w:hAnsi="Calibri" w:cs="Arial"/>
                <w:caps w:val="0"/>
                <w:sz w:val="20"/>
              </w:rPr>
            </w:pPr>
            <w:r w:rsidRPr="0041716C">
              <w:rPr>
                <w:rFonts w:ascii="Calibri" w:hAnsi="Calibri" w:cs="Arial"/>
                <w:caps w:val="0"/>
                <w:sz w:val="20"/>
              </w:rPr>
              <w:t>2017/2016</w:t>
            </w:r>
          </w:p>
        </w:tc>
        <w:tc>
          <w:tcPr>
            <w:tcW w:w="1313" w:type="dxa"/>
            <w:shd w:val="clear" w:color="auto" w:fill="F2F2F2" w:themeFill="background1" w:themeFillShade="F2"/>
            <w:vAlign w:val="center"/>
          </w:tcPr>
          <w:p w14:paraId="778DBA39" w14:textId="307E7EDA" w:rsidR="00561019" w:rsidRPr="0041716C" w:rsidRDefault="00561019" w:rsidP="00561019">
            <w:pPr>
              <w:jc w:val="center"/>
              <w:rPr>
                <w:rFonts w:ascii="Calibri" w:hAnsi="Calibri" w:cs="Arial"/>
                <w:caps w:val="0"/>
                <w:sz w:val="20"/>
              </w:rPr>
            </w:pPr>
            <w:r w:rsidRPr="0041716C">
              <w:rPr>
                <w:rFonts w:ascii="Calibri" w:hAnsi="Calibri" w:cs="Arial"/>
                <w:caps w:val="0"/>
                <w:sz w:val="20"/>
              </w:rPr>
              <w:t>201</w:t>
            </w:r>
            <w:r>
              <w:rPr>
                <w:rFonts w:ascii="Calibri" w:hAnsi="Calibri" w:cs="Arial"/>
                <w:caps w:val="0"/>
                <w:sz w:val="20"/>
              </w:rPr>
              <w:t>8</w:t>
            </w:r>
            <w:r w:rsidRPr="0041716C">
              <w:rPr>
                <w:rFonts w:ascii="Calibri" w:hAnsi="Calibri" w:cs="Arial"/>
                <w:caps w:val="0"/>
                <w:sz w:val="20"/>
              </w:rPr>
              <w:t>/201</w:t>
            </w:r>
            <w:r>
              <w:rPr>
                <w:rFonts w:ascii="Calibri" w:hAnsi="Calibri" w:cs="Arial"/>
                <w:caps w:val="0"/>
                <w:sz w:val="20"/>
              </w:rPr>
              <w:t>7</w:t>
            </w:r>
          </w:p>
        </w:tc>
        <w:tc>
          <w:tcPr>
            <w:tcW w:w="1313" w:type="dxa"/>
            <w:shd w:val="clear" w:color="auto" w:fill="F2F2F2" w:themeFill="background1" w:themeFillShade="F2"/>
            <w:vAlign w:val="center"/>
          </w:tcPr>
          <w:p w14:paraId="132E0C5A" w14:textId="340B712F" w:rsidR="00561019" w:rsidRPr="0041716C" w:rsidRDefault="00561019" w:rsidP="00561019">
            <w:pPr>
              <w:jc w:val="center"/>
              <w:rPr>
                <w:rFonts w:ascii="Calibri" w:hAnsi="Calibri" w:cs="Arial"/>
                <w:caps w:val="0"/>
                <w:sz w:val="20"/>
              </w:rPr>
            </w:pPr>
            <w:r w:rsidRPr="0041716C">
              <w:rPr>
                <w:rFonts w:ascii="Calibri" w:hAnsi="Calibri" w:cs="Arial"/>
                <w:caps w:val="0"/>
                <w:sz w:val="20"/>
              </w:rPr>
              <w:t>201</w:t>
            </w:r>
            <w:r>
              <w:rPr>
                <w:rFonts w:ascii="Calibri" w:hAnsi="Calibri" w:cs="Arial"/>
                <w:caps w:val="0"/>
                <w:sz w:val="20"/>
              </w:rPr>
              <w:t>9</w:t>
            </w:r>
            <w:r w:rsidRPr="0041716C">
              <w:rPr>
                <w:rFonts w:ascii="Calibri" w:hAnsi="Calibri" w:cs="Arial"/>
                <w:caps w:val="0"/>
                <w:sz w:val="20"/>
              </w:rPr>
              <w:t>/201</w:t>
            </w:r>
            <w:r>
              <w:rPr>
                <w:rFonts w:ascii="Calibri" w:hAnsi="Calibri" w:cs="Arial"/>
                <w:caps w:val="0"/>
                <w:sz w:val="20"/>
              </w:rPr>
              <w:t>8</w:t>
            </w:r>
          </w:p>
        </w:tc>
        <w:tc>
          <w:tcPr>
            <w:tcW w:w="1313" w:type="dxa"/>
            <w:shd w:val="clear" w:color="auto" w:fill="F2F2F2" w:themeFill="background1" w:themeFillShade="F2"/>
            <w:vAlign w:val="center"/>
          </w:tcPr>
          <w:p w14:paraId="689CA50C" w14:textId="4375CE43" w:rsidR="00561019" w:rsidRPr="0041716C" w:rsidRDefault="00561019" w:rsidP="00561019">
            <w:pPr>
              <w:jc w:val="center"/>
              <w:rPr>
                <w:rFonts w:ascii="Calibri" w:hAnsi="Calibri" w:cs="Arial"/>
                <w:caps w:val="0"/>
                <w:sz w:val="20"/>
              </w:rPr>
            </w:pPr>
            <w:r w:rsidRPr="0041716C">
              <w:rPr>
                <w:rFonts w:ascii="Calibri" w:hAnsi="Calibri" w:cs="Arial"/>
                <w:caps w:val="0"/>
                <w:sz w:val="20"/>
              </w:rPr>
              <w:t>20</w:t>
            </w:r>
            <w:r>
              <w:rPr>
                <w:rFonts w:ascii="Calibri" w:hAnsi="Calibri" w:cs="Arial"/>
                <w:caps w:val="0"/>
                <w:sz w:val="20"/>
              </w:rPr>
              <w:t>20</w:t>
            </w:r>
            <w:r w:rsidRPr="0041716C">
              <w:rPr>
                <w:rFonts w:ascii="Calibri" w:hAnsi="Calibri" w:cs="Arial"/>
                <w:caps w:val="0"/>
                <w:sz w:val="20"/>
              </w:rPr>
              <w:t>/20</w:t>
            </w:r>
            <w:r>
              <w:rPr>
                <w:rFonts w:ascii="Calibri" w:hAnsi="Calibri" w:cs="Arial"/>
                <w:caps w:val="0"/>
                <w:sz w:val="20"/>
              </w:rPr>
              <w:t>19</w:t>
            </w:r>
          </w:p>
        </w:tc>
      </w:tr>
      <w:tr w:rsidR="00561019" w:rsidRPr="00DD1D71" w14:paraId="0186790E" w14:textId="77777777" w:rsidTr="008948EB">
        <w:trPr>
          <w:trHeight w:val="340"/>
        </w:trPr>
        <w:tc>
          <w:tcPr>
            <w:tcW w:w="2211" w:type="dxa"/>
            <w:shd w:val="clear" w:color="auto" w:fill="DEEAF6" w:themeFill="accent1" w:themeFillTint="33"/>
            <w:vAlign w:val="center"/>
          </w:tcPr>
          <w:p w14:paraId="00606B20" w14:textId="77777777" w:rsidR="00561019" w:rsidRPr="008948EB" w:rsidRDefault="00561019" w:rsidP="00612767">
            <w:pPr>
              <w:jc w:val="center"/>
              <w:rPr>
                <w:rFonts w:asciiTheme="minorHAnsi" w:eastAsia="Calibri" w:hAnsiTheme="minorHAnsi" w:cstheme="minorHAnsi"/>
                <w:sz w:val="20"/>
                <w:szCs w:val="20"/>
              </w:rPr>
            </w:pPr>
            <w:r w:rsidRPr="008948EB">
              <w:rPr>
                <w:rFonts w:asciiTheme="minorHAnsi" w:eastAsia="Calibri" w:hAnsiTheme="minorHAnsi" w:cstheme="minorHAnsi"/>
                <w:caps w:val="0"/>
                <w:sz w:val="20"/>
                <w:szCs w:val="20"/>
              </w:rPr>
              <w:t>Località lacuali (13)</w:t>
            </w:r>
          </w:p>
        </w:tc>
        <w:tc>
          <w:tcPr>
            <w:tcW w:w="1312" w:type="dxa"/>
            <w:shd w:val="clear" w:color="auto" w:fill="DEEAF6" w:themeFill="accent1" w:themeFillTint="33"/>
            <w:vAlign w:val="center"/>
          </w:tcPr>
          <w:p w14:paraId="0DFA5BC8" w14:textId="1955BBF9"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16,7</w:t>
            </w:r>
          </w:p>
        </w:tc>
        <w:tc>
          <w:tcPr>
            <w:tcW w:w="1313" w:type="dxa"/>
            <w:shd w:val="clear" w:color="auto" w:fill="DEEAF6" w:themeFill="accent1" w:themeFillTint="33"/>
            <w:vAlign w:val="center"/>
          </w:tcPr>
          <w:p w14:paraId="589FC120" w14:textId="091904C5"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15,2</w:t>
            </w:r>
          </w:p>
        </w:tc>
        <w:tc>
          <w:tcPr>
            <w:tcW w:w="1312" w:type="dxa"/>
            <w:shd w:val="clear" w:color="auto" w:fill="DEEAF6" w:themeFill="accent1" w:themeFillTint="33"/>
            <w:vAlign w:val="center"/>
          </w:tcPr>
          <w:p w14:paraId="03C0DD0D" w14:textId="6F3C82E7" w:rsidR="00561019" w:rsidRPr="00561019" w:rsidRDefault="00561019" w:rsidP="00612767">
            <w:pPr>
              <w:jc w:val="center"/>
              <w:rPr>
                <w:rFonts w:ascii="Calibri" w:hAnsi="Calibri" w:cs="Arial"/>
                <w:b w:val="0"/>
                <w:bCs w:val="0"/>
                <w:color w:val="70AD47" w:themeColor="accent6"/>
                <w:sz w:val="20"/>
              </w:rPr>
            </w:pPr>
            <w:r w:rsidRPr="00561019">
              <w:rPr>
                <w:rFonts w:ascii="Calibri" w:hAnsi="Calibri" w:cs="Calibri"/>
                <w:b w:val="0"/>
                <w:bCs w:val="0"/>
                <w:color w:val="000000"/>
                <w:sz w:val="20"/>
                <w:szCs w:val="20"/>
              </w:rPr>
              <w:t>8,0</w:t>
            </w:r>
          </w:p>
        </w:tc>
        <w:tc>
          <w:tcPr>
            <w:tcW w:w="1313" w:type="dxa"/>
            <w:shd w:val="clear" w:color="auto" w:fill="DEEAF6" w:themeFill="accent1" w:themeFillTint="33"/>
            <w:vAlign w:val="center"/>
          </w:tcPr>
          <w:p w14:paraId="18ECDB0C" w14:textId="09881A77"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7,6</w:t>
            </w:r>
          </w:p>
        </w:tc>
        <w:tc>
          <w:tcPr>
            <w:tcW w:w="1313" w:type="dxa"/>
            <w:shd w:val="clear" w:color="auto" w:fill="DEEAF6" w:themeFill="accent1" w:themeFillTint="33"/>
            <w:vAlign w:val="center"/>
          </w:tcPr>
          <w:p w14:paraId="519C0BFD" w14:textId="5C04B1D6"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2,1</w:t>
            </w:r>
          </w:p>
        </w:tc>
        <w:tc>
          <w:tcPr>
            <w:tcW w:w="1313" w:type="dxa"/>
            <w:shd w:val="clear" w:color="auto" w:fill="DEEAF6" w:themeFill="accent1" w:themeFillTint="33"/>
            <w:vAlign w:val="center"/>
          </w:tcPr>
          <w:p w14:paraId="6A84BE53" w14:textId="4C000E56"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-3,4</w:t>
            </w:r>
          </w:p>
        </w:tc>
      </w:tr>
      <w:tr w:rsidR="00561019" w:rsidRPr="00DD1D71" w14:paraId="552BFED4" w14:textId="77777777" w:rsidTr="008948EB">
        <w:trPr>
          <w:trHeight w:val="340"/>
        </w:trPr>
        <w:tc>
          <w:tcPr>
            <w:tcW w:w="2211" w:type="dxa"/>
            <w:shd w:val="clear" w:color="auto" w:fill="DEEAF6" w:themeFill="accent1" w:themeFillTint="33"/>
            <w:vAlign w:val="center"/>
          </w:tcPr>
          <w:p w14:paraId="1EDECE14" w14:textId="023217C3" w:rsidR="00561019" w:rsidRPr="008948EB" w:rsidRDefault="00561019" w:rsidP="00612767">
            <w:pPr>
              <w:jc w:val="center"/>
              <w:rPr>
                <w:rFonts w:asciiTheme="minorHAnsi" w:eastAsia="Calibri" w:hAnsiTheme="minorHAnsi" w:cstheme="minorHAnsi"/>
                <w:sz w:val="20"/>
                <w:szCs w:val="20"/>
              </w:rPr>
            </w:pPr>
            <w:r w:rsidRPr="008948EB">
              <w:rPr>
                <w:rFonts w:asciiTheme="minorHAnsi" w:eastAsia="Calibri" w:hAnsiTheme="minorHAnsi" w:cstheme="minorHAnsi"/>
                <w:caps w:val="0"/>
                <w:sz w:val="20"/>
                <w:szCs w:val="20"/>
              </w:rPr>
              <w:t>Località marine (</w:t>
            </w:r>
            <w:r w:rsidR="00253504" w:rsidRPr="008948EB">
              <w:rPr>
                <w:rFonts w:asciiTheme="minorHAnsi" w:eastAsia="Calibri" w:hAnsiTheme="minorHAnsi" w:cstheme="minorHAnsi"/>
                <w:caps w:val="0"/>
                <w:sz w:val="20"/>
                <w:szCs w:val="20"/>
              </w:rPr>
              <w:t>124</w:t>
            </w:r>
            <w:r w:rsidRPr="008948EB">
              <w:rPr>
                <w:rFonts w:asciiTheme="minorHAnsi" w:eastAsia="Calibri" w:hAnsiTheme="minorHAnsi" w:cstheme="minorHAnsi"/>
                <w:caps w:val="0"/>
                <w:sz w:val="20"/>
                <w:szCs w:val="20"/>
              </w:rPr>
              <w:t>)</w:t>
            </w:r>
          </w:p>
        </w:tc>
        <w:tc>
          <w:tcPr>
            <w:tcW w:w="1312" w:type="dxa"/>
            <w:shd w:val="clear" w:color="auto" w:fill="DEEAF6" w:themeFill="accent1" w:themeFillTint="33"/>
            <w:vAlign w:val="center"/>
          </w:tcPr>
          <w:p w14:paraId="64948D63" w14:textId="38609400"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5,5</w:t>
            </w:r>
          </w:p>
        </w:tc>
        <w:tc>
          <w:tcPr>
            <w:tcW w:w="1313" w:type="dxa"/>
            <w:shd w:val="clear" w:color="auto" w:fill="DEEAF6" w:themeFill="accent1" w:themeFillTint="33"/>
            <w:vAlign w:val="center"/>
          </w:tcPr>
          <w:p w14:paraId="3200F62E" w14:textId="6C1AA1E2"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22,5</w:t>
            </w:r>
          </w:p>
        </w:tc>
        <w:tc>
          <w:tcPr>
            <w:tcW w:w="1312" w:type="dxa"/>
            <w:shd w:val="clear" w:color="auto" w:fill="DEEAF6" w:themeFill="accent1" w:themeFillTint="33"/>
            <w:vAlign w:val="center"/>
          </w:tcPr>
          <w:p w14:paraId="69F11162" w14:textId="3B27471E" w:rsidR="00561019" w:rsidRPr="00561019" w:rsidRDefault="00561019" w:rsidP="00612767">
            <w:pPr>
              <w:jc w:val="center"/>
              <w:rPr>
                <w:rFonts w:ascii="Calibri" w:hAnsi="Calibri" w:cs="Arial"/>
                <w:b w:val="0"/>
                <w:bCs w:val="0"/>
                <w:color w:val="70AD47" w:themeColor="accent6"/>
                <w:sz w:val="20"/>
              </w:rPr>
            </w:pPr>
            <w:r w:rsidRPr="00561019">
              <w:rPr>
                <w:rFonts w:ascii="Calibri" w:hAnsi="Calibri" w:cs="Calibri"/>
                <w:b w:val="0"/>
                <w:bCs w:val="0"/>
                <w:color w:val="000000"/>
                <w:sz w:val="20"/>
                <w:szCs w:val="20"/>
              </w:rPr>
              <w:t>4,1</w:t>
            </w:r>
          </w:p>
        </w:tc>
        <w:tc>
          <w:tcPr>
            <w:tcW w:w="1313" w:type="dxa"/>
            <w:shd w:val="clear" w:color="auto" w:fill="DEEAF6" w:themeFill="accent1" w:themeFillTint="33"/>
            <w:vAlign w:val="center"/>
          </w:tcPr>
          <w:p w14:paraId="6034D22A" w14:textId="6DED39A6"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6,2</w:t>
            </w:r>
          </w:p>
        </w:tc>
        <w:tc>
          <w:tcPr>
            <w:tcW w:w="1313" w:type="dxa"/>
            <w:shd w:val="clear" w:color="auto" w:fill="DEEAF6" w:themeFill="accent1" w:themeFillTint="33"/>
            <w:vAlign w:val="center"/>
          </w:tcPr>
          <w:p w14:paraId="656F6EDF" w14:textId="0E2388E0"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3,5</w:t>
            </w:r>
          </w:p>
        </w:tc>
        <w:tc>
          <w:tcPr>
            <w:tcW w:w="1313" w:type="dxa"/>
            <w:shd w:val="clear" w:color="auto" w:fill="DEEAF6" w:themeFill="accent1" w:themeFillTint="33"/>
            <w:vAlign w:val="center"/>
          </w:tcPr>
          <w:p w14:paraId="7EFD4423" w14:textId="3932E13E"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-6,8</w:t>
            </w:r>
          </w:p>
        </w:tc>
      </w:tr>
      <w:tr w:rsidR="00561019" w:rsidRPr="00DD1D71" w14:paraId="3E170D7E" w14:textId="77777777" w:rsidTr="008948EB">
        <w:trPr>
          <w:trHeight w:val="340"/>
        </w:trPr>
        <w:tc>
          <w:tcPr>
            <w:tcW w:w="2211" w:type="dxa"/>
            <w:shd w:val="clear" w:color="auto" w:fill="DEEAF6" w:themeFill="accent1" w:themeFillTint="33"/>
            <w:vAlign w:val="center"/>
          </w:tcPr>
          <w:p w14:paraId="13DBFEA2" w14:textId="0DBC5659" w:rsidR="00561019" w:rsidRPr="008948EB" w:rsidRDefault="00561019" w:rsidP="00612767">
            <w:pPr>
              <w:jc w:val="center"/>
              <w:rPr>
                <w:rFonts w:asciiTheme="minorHAnsi" w:eastAsia="Calibri" w:hAnsiTheme="minorHAnsi" w:cstheme="minorHAnsi"/>
                <w:sz w:val="20"/>
                <w:szCs w:val="20"/>
              </w:rPr>
            </w:pPr>
            <w:r w:rsidRPr="008948EB">
              <w:rPr>
                <w:rFonts w:asciiTheme="minorHAnsi" w:eastAsia="Calibri" w:hAnsiTheme="minorHAnsi" w:cstheme="minorHAnsi"/>
                <w:caps w:val="0"/>
                <w:sz w:val="20"/>
                <w:szCs w:val="20"/>
              </w:rPr>
              <w:t>Località montane (5</w:t>
            </w:r>
            <w:r w:rsidR="00253504" w:rsidRPr="008948EB">
              <w:rPr>
                <w:rFonts w:asciiTheme="minorHAnsi" w:eastAsia="Calibri" w:hAnsiTheme="minorHAnsi" w:cstheme="minorHAnsi"/>
                <w:caps w:val="0"/>
                <w:sz w:val="20"/>
                <w:szCs w:val="20"/>
              </w:rPr>
              <w:t>0</w:t>
            </w:r>
            <w:r w:rsidRPr="008948EB">
              <w:rPr>
                <w:rFonts w:asciiTheme="minorHAnsi" w:eastAsia="Calibri" w:hAnsiTheme="minorHAnsi" w:cstheme="minorHAnsi"/>
                <w:caps w:val="0"/>
                <w:sz w:val="20"/>
                <w:szCs w:val="20"/>
              </w:rPr>
              <w:t>)</w:t>
            </w:r>
          </w:p>
        </w:tc>
        <w:tc>
          <w:tcPr>
            <w:tcW w:w="1312" w:type="dxa"/>
            <w:shd w:val="clear" w:color="auto" w:fill="DEEAF6" w:themeFill="accent1" w:themeFillTint="33"/>
            <w:vAlign w:val="center"/>
          </w:tcPr>
          <w:p w14:paraId="79C44ABD" w14:textId="4BDE1A27"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8,8</w:t>
            </w:r>
          </w:p>
        </w:tc>
        <w:tc>
          <w:tcPr>
            <w:tcW w:w="1313" w:type="dxa"/>
            <w:shd w:val="clear" w:color="auto" w:fill="DEEAF6" w:themeFill="accent1" w:themeFillTint="33"/>
            <w:vAlign w:val="center"/>
          </w:tcPr>
          <w:p w14:paraId="7A743635" w14:textId="229E15FF"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24,8</w:t>
            </w:r>
          </w:p>
        </w:tc>
        <w:tc>
          <w:tcPr>
            <w:tcW w:w="1312" w:type="dxa"/>
            <w:shd w:val="clear" w:color="auto" w:fill="DEEAF6" w:themeFill="accent1" w:themeFillTint="33"/>
            <w:vAlign w:val="center"/>
          </w:tcPr>
          <w:p w14:paraId="575091B4" w14:textId="2955F6DB" w:rsidR="00561019" w:rsidRPr="00561019" w:rsidRDefault="00561019" w:rsidP="00612767">
            <w:pPr>
              <w:jc w:val="center"/>
              <w:rPr>
                <w:rFonts w:ascii="Calibri" w:hAnsi="Calibri" w:cs="Arial"/>
                <w:b w:val="0"/>
                <w:bCs w:val="0"/>
                <w:color w:val="70AD47" w:themeColor="accent6"/>
                <w:sz w:val="20"/>
              </w:rPr>
            </w:pPr>
            <w:r w:rsidRPr="00561019">
              <w:rPr>
                <w:rFonts w:ascii="Calibri" w:hAnsi="Calibri" w:cs="Calibri"/>
                <w:b w:val="0"/>
                <w:bCs w:val="0"/>
                <w:color w:val="000000"/>
                <w:sz w:val="20"/>
                <w:szCs w:val="20"/>
              </w:rPr>
              <w:t>-7,2</w:t>
            </w:r>
          </w:p>
        </w:tc>
        <w:tc>
          <w:tcPr>
            <w:tcW w:w="1313" w:type="dxa"/>
            <w:shd w:val="clear" w:color="auto" w:fill="DEEAF6" w:themeFill="accent1" w:themeFillTint="33"/>
            <w:vAlign w:val="center"/>
          </w:tcPr>
          <w:p w14:paraId="48F2895F" w14:textId="35AD5130"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5,6</w:t>
            </w:r>
          </w:p>
        </w:tc>
        <w:tc>
          <w:tcPr>
            <w:tcW w:w="1313" w:type="dxa"/>
            <w:shd w:val="clear" w:color="auto" w:fill="DEEAF6" w:themeFill="accent1" w:themeFillTint="33"/>
            <w:vAlign w:val="center"/>
          </w:tcPr>
          <w:p w14:paraId="1B8CD955" w14:textId="70F4CF37"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13,0</w:t>
            </w:r>
          </w:p>
        </w:tc>
        <w:tc>
          <w:tcPr>
            <w:tcW w:w="1313" w:type="dxa"/>
            <w:shd w:val="clear" w:color="auto" w:fill="DEEAF6" w:themeFill="accent1" w:themeFillTint="33"/>
            <w:vAlign w:val="center"/>
          </w:tcPr>
          <w:p w14:paraId="057A40DD" w14:textId="6FF7E5DB" w:rsidR="00561019" w:rsidRPr="00561019" w:rsidRDefault="00561019" w:rsidP="00612767">
            <w:pPr>
              <w:jc w:val="center"/>
              <w:rPr>
                <w:rFonts w:ascii="Calibri" w:hAnsi="Calibri" w:cs="Arial"/>
                <w:b w:val="0"/>
                <w:bCs w:val="0"/>
                <w:color w:val="FF0000"/>
                <w:sz w:val="20"/>
              </w:rPr>
            </w:pPr>
            <w:r w:rsidRPr="00561019">
              <w:rPr>
                <w:rFonts w:ascii="Calibri" w:hAnsi="Calibri" w:cs="Calibri"/>
                <w:b w:val="0"/>
                <w:bCs w:val="0"/>
                <w:color w:val="000000"/>
                <w:sz w:val="20"/>
                <w:szCs w:val="20"/>
              </w:rPr>
              <w:t>-2,9</w:t>
            </w:r>
          </w:p>
        </w:tc>
      </w:tr>
      <w:tr w:rsidR="00561019" w:rsidRPr="00C420B9" w14:paraId="505D19CC" w14:textId="77777777" w:rsidTr="008948EB">
        <w:trPr>
          <w:trHeight w:val="340"/>
        </w:trPr>
        <w:tc>
          <w:tcPr>
            <w:tcW w:w="2211" w:type="dxa"/>
            <w:shd w:val="clear" w:color="auto" w:fill="F2F2F2" w:themeFill="background1" w:themeFillShade="F2"/>
            <w:vAlign w:val="center"/>
          </w:tcPr>
          <w:p w14:paraId="156D5EE3" w14:textId="574A4C21" w:rsidR="00561019" w:rsidRPr="008948EB" w:rsidRDefault="00596F57" w:rsidP="00612767">
            <w:pPr>
              <w:jc w:val="center"/>
              <w:rPr>
                <w:rFonts w:asciiTheme="minorHAnsi" w:eastAsia="Calibri" w:hAnsiTheme="minorHAnsi" w:cstheme="minorHAnsi"/>
                <w:caps w:val="0"/>
                <w:sz w:val="20"/>
                <w:szCs w:val="20"/>
              </w:rPr>
            </w:pPr>
            <w:r w:rsidRPr="008948EB">
              <w:rPr>
                <w:rFonts w:asciiTheme="minorHAnsi" w:eastAsia="Calibri" w:hAnsiTheme="minorHAnsi" w:cstheme="minorHAnsi"/>
                <w:caps w:val="0"/>
                <w:sz w:val="20"/>
                <w:szCs w:val="20"/>
              </w:rPr>
              <w:t>Località turistiche</w:t>
            </w:r>
            <w:r w:rsidR="00253504" w:rsidRPr="008948EB">
              <w:rPr>
                <w:rFonts w:asciiTheme="minorHAnsi" w:eastAsia="Calibri" w:hAnsiTheme="minorHAnsi" w:cstheme="minorHAnsi"/>
                <w:caps w:val="0"/>
                <w:sz w:val="20"/>
                <w:szCs w:val="20"/>
              </w:rPr>
              <w:t xml:space="preserve"> (</w:t>
            </w:r>
            <w:r w:rsidR="00612767" w:rsidRPr="008948EB">
              <w:rPr>
                <w:rFonts w:asciiTheme="minorHAnsi" w:eastAsia="Calibri" w:hAnsiTheme="minorHAnsi" w:cstheme="minorHAnsi"/>
                <w:caps w:val="0"/>
                <w:sz w:val="20"/>
                <w:szCs w:val="20"/>
              </w:rPr>
              <w:t>187)</w:t>
            </w:r>
          </w:p>
        </w:tc>
        <w:tc>
          <w:tcPr>
            <w:tcW w:w="1312" w:type="dxa"/>
            <w:shd w:val="clear" w:color="auto" w:fill="F2F2F2" w:themeFill="background1" w:themeFillShade="F2"/>
            <w:vAlign w:val="center"/>
          </w:tcPr>
          <w:p w14:paraId="1FDDE237" w14:textId="24DDE35B" w:rsidR="00561019" w:rsidRPr="00561019" w:rsidRDefault="00561019" w:rsidP="00612767">
            <w:pPr>
              <w:jc w:val="center"/>
              <w:rPr>
                <w:rFonts w:ascii="Calibri" w:hAnsi="Calibri" w:cs="Arial"/>
                <w:sz w:val="20"/>
              </w:rPr>
            </w:pPr>
            <w:r w:rsidRPr="00561019">
              <w:rPr>
                <w:rFonts w:ascii="Calibri" w:hAnsi="Calibri" w:cs="Calibri"/>
                <w:color w:val="000000"/>
                <w:sz w:val="20"/>
                <w:szCs w:val="20"/>
              </w:rPr>
              <w:t>6,7</w:t>
            </w:r>
          </w:p>
        </w:tc>
        <w:tc>
          <w:tcPr>
            <w:tcW w:w="1313" w:type="dxa"/>
            <w:shd w:val="clear" w:color="auto" w:fill="F2F2F2" w:themeFill="background1" w:themeFillShade="F2"/>
            <w:vAlign w:val="center"/>
          </w:tcPr>
          <w:p w14:paraId="1E3C10DA" w14:textId="6F67CF8E" w:rsidR="00561019" w:rsidRPr="00561019" w:rsidRDefault="00561019" w:rsidP="00612767">
            <w:pPr>
              <w:jc w:val="center"/>
              <w:rPr>
                <w:rFonts w:ascii="Calibri" w:hAnsi="Calibri" w:cs="Arial"/>
                <w:sz w:val="20"/>
              </w:rPr>
            </w:pPr>
            <w:r w:rsidRPr="00561019">
              <w:rPr>
                <w:rFonts w:ascii="Calibri" w:hAnsi="Calibri" w:cs="Calibri"/>
                <w:color w:val="000000"/>
                <w:sz w:val="20"/>
                <w:szCs w:val="20"/>
              </w:rPr>
              <w:t>22,3</w:t>
            </w:r>
          </w:p>
        </w:tc>
        <w:tc>
          <w:tcPr>
            <w:tcW w:w="1312" w:type="dxa"/>
            <w:shd w:val="clear" w:color="auto" w:fill="F2F2F2" w:themeFill="background1" w:themeFillShade="F2"/>
            <w:vAlign w:val="center"/>
          </w:tcPr>
          <w:p w14:paraId="015F4FDE" w14:textId="7ABE7227" w:rsidR="00561019" w:rsidRPr="00561019" w:rsidRDefault="00561019" w:rsidP="00612767">
            <w:pPr>
              <w:jc w:val="center"/>
              <w:rPr>
                <w:rFonts w:ascii="Calibri" w:hAnsi="Calibri" w:cs="Arial"/>
                <w:color w:val="70AD47" w:themeColor="accent6"/>
                <w:sz w:val="20"/>
              </w:rPr>
            </w:pPr>
            <w:r w:rsidRPr="00561019">
              <w:rPr>
                <w:rFonts w:ascii="Calibri" w:hAnsi="Calibri" w:cs="Calibri"/>
                <w:color w:val="000000"/>
                <w:sz w:val="20"/>
                <w:szCs w:val="20"/>
              </w:rPr>
              <w:t>2,7</w:t>
            </w:r>
          </w:p>
        </w:tc>
        <w:tc>
          <w:tcPr>
            <w:tcW w:w="1313" w:type="dxa"/>
            <w:shd w:val="clear" w:color="auto" w:fill="F2F2F2" w:themeFill="background1" w:themeFillShade="F2"/>
            <w:vAlign w:val="center"/>
          </w:tcPr>
          <w:p w14:paraId="4087B4DD" w14:textId="458F7E6E" w:rsidR="00561019" w:rsidRPr="00561019" w:rsidRDefault="00561019" w:rsidP="00612767">
            <w:pPr>
              <w:jc w:val="center"/>
              <w:rPr>
                <w:rFonts w:ascii="Calibri" w:hAnsi="Calibri" w:cs="Arial"/>
                <w:sz w:val="20"/>
              </w:rPr>
            </w:pPr>
            <w:r w:rsidRPr="00561019">
              <w:rPr>
                <w:rFonts w:ascii="Calibri" w:hAnsi="Calibri" w:cs="Calibri"/>
                <w:color w:val="000000"/>
                <w:sz w:val="20"/>
                <w:szCs w:val="20"/>
              </w:rPr>
              <w:t>6,2</w:t>
            </w:r>
          </w:p>
        </w:tc>
        <w:tc>
          <w:tcPr>
            <w:tcW w:w="1313" w:type="dxa"/>
            <w:shd w:val="clear" w:color="auto" w:fill="F2F2F2" w:themeFill="background1" w:themeFillShade="F2"/>
            <w:vAlign w:val="center"/>
          </w:tcPr>
          <w:p w14:paraId="31326B7D" w14:textId="5F2CD8A0" w:rsidR="00561019" w:rsidRPr="00561019" w:rsidRDefault="00561019" w:rsidP="00612767">
            <w:pPr>
              <w:jc w:val="center"/>
              <w:rPr>
                <w:rFonts w:ascii="Calibri" w:hAnsi="Calibri" w:cs="Arial"/>
                <w:sz w:val="20"/>
              </w:rPr>
            </w:pPr>
            <w:r w:rsidRPr="00561019">
              <w:rPr>
                <w:rFonts w:ascii="Calibri" w:hAnsi="Calibri" w:cs="Calibri"/>
                <w:color w:val="000000"/>
                <w:sz w:val="20"/>
                <w:szCs w:val="20"/>
              </w:rPr>
              <w:t>4,7</w:t>
            </w:r>
          </w:p>
        </w:tc>
        <w:tc>
          <w:tcPr>
            <w:tcW w:w="1313" w:type="dxa"/>
            <w:shd w:val="clear" w:color="auto" w:fill="F2F2F2" w:themeFill="background1" w:themeFillShade="F2"/>
            <w:vAlign w:val="center"/>
          </w:tcPr>
          <w:p w14:paraId="76525A3F" w14:textId="1439F6B3" w:rsidR="00561019" w:rsidRPr="00561019" w:rsidRDefault="00561019" w:rsidP="00612767">
            <w:pPr>
              <w:jc w:val="center"/>
              <w:rPr>
                <w:rFonts w:ascii="Calibri" w:hAnsi="Calibri" w:cs="Arial"/>
                <w:sz w:val="20"/>
              </w:rPr>
            </w:pPr>
            <w:r w:rsidRPr="00561019">
              <w:rPr>
                <w:rFonts w:ascii="Calibri" w:hAnsi="Calibri" w:cs="Calibri"/>
                <w:color w:val="000000"/>
                <w:sz w:val="20"/>
                <w:szCs w:val="20"/>
              </w:rPr>
              <w:t>-6,0</w:t>
            </w:r>
          </w:p>
        </w:tc>
      </w:tr>
    </w:tbl>
    <w:p w14:paraId="4BDFA167" w14:textId="77777777" w:rsidR="00561019" w:rsidRPr="0041716C" w:rsidRDefault="00561019" w:rsidP="00561019">
      <w:pPr>
        <w:spacing w:before="60"/>
        <w:rPr>
          <w:rFonts w:asciiTheme="minorHAnsi" w:eastAsia="Calibri" w:hAnsiTheme="minorHAnsi" w:cstheme="minorHAnsi"/>
          <w:sz w:val="18"/>
        </w:rPr>
      </w:pPr>
      <w:r w:rsidRPr="0041716C">
        <w:rPr>
          <w:rFonts w:asciiTheme="minorHAnsi" w:eastAsia="Calibri" w:hAnsiTheme="minorHAnsi" w:cstheme="minorHAnsi"/>
          <w:sz w:val="18"/>
        </w:rPr>
        <w:t>Fonte: elaborazioni Nomisma su dati Agenzia delle Entrate</w:t>
      </w:r>
    </w:p>
    <w:bookmarkEnd w:id="2"/>
    <w:p w14:paraId="7B4E3EFA" w14:textId="03D3093E" w:rsidR="00596F57" w:rsidRDefault="00596F57" w:rsidP="00775E1B">
      <w:pPr>
        <w:pStyle w:val="NormaleWeb"/>
        <w:shd w:val="clear" w:color="auto" w:fill="FFFFFF"/>
        <w:spacing w:before="0" w:beforeAutospacing="0" w:after="0" w:afterAutospacing="0"/>
        <w:jc w:val="both"/>
        <w:rPr>
          <w:rFonts w:asciiTheme="minorHAnsi" w:eastAsia="Calibri" w:hAnsiTheme="minorHAnsi" w:cstheme="minorHAnsi"/>
          <w:strike/>
          <w:sz w:val="22"/>
          <w:szCs w:val="22"/>
        </w:rPr>
      </w:pPr>
    </w:p>
    <w:p w14:paraId="429912E2" w14:textId="35907505" w:rsidR="00AA4253" w:rsidRPr="009751A6" w:rsidRDefault="00AA4253" w:rsidP="009751A6">
      <w:pPr>
        <w:spacing w:after="120"/>
        <w:jc w:val="both"/>
        <w:rPr>
          <w:rFonts w:asciiTheme="minorHAnsi" w:eastAsia="Calibri" w:hAnsiTheme="minorHAnsi" w:cstheme="minorHAnsi"/>
          <w:sz w:val="22"/>
          <w:szCs w:val="22"/>
        </w:rPr>
      </w:pPr>
      <w:bookmarkStart w:id="3" w:name="_Hlk77942521"/>
      <w:r w:rsidRPr="009751A6">
        <w:rPr>
          <w:rFonts w:asciiTheme="minorHAnsi" w:eastAsia="Calibri" w:hAnsiTheme="minorHAnsi" w:cstheme="minorHAnsi"/>
          <w:sz w:val="22"/>
          <w:szCs w:val="22"/>
        </w:rPr>
        <w:t>Per effetto dei primi segnali di ripresa del mercato immobiliare, le quotazioni delle case per vacanza nelle località turistiche, secondo l’Osservatorio</w:t>
      </w:r>
      <w:r w:rsidR="005D159E" w:rsidRPr="009751A6">
        <w:rPr>
          <w:rFonts w:asciiTheme="minorHAnsi" w:eastAsia="Calibri" w:hAnsiTheme="minorHAnsi" w:cstheme="minorHAnsi"/>
          <w:sz w:val="22"/>
          <w:szCs w:val="22"/>
        </w:rPr>
        <w:t>,</w:t>
      </w:r>
      <w:r w:rsidRPr="009751A6">
        <w:rPr>
          <w:rFonts w:asciiTheme="minorHAnsi" w:eastAsia="Calibri" w:hAnsiTheme="minorHAnsi" w:cstheme="minorHAnsi"/>
          <w:sz w:val="22"/>
          <w:szCs w:val="22"/>
        </w:rPr>
        <w:t xml:space="preserve"> tornano a crescere, dopo la flessione registrata nell’ultimo anno monitorato, per effetto dell’allentamento delle </w:t>
      </w:r>
      <w:r w:rsidR="003D628F" w:rsidRPr="009751A6">
        <w:rPr>
          <w:rFonts w:asciiTheme="minorHAnsi" w:eastAsia="Calibri" w:hAnsiTheme="minorHAnsi" w:cstheme="minorHAnsi"/>
          <w:sz w:val="22"/>
          <w:szCs w:val="22"/>
        </w:rPr>
        <w:t>restrizioni</w:t>
      </w:r>
      <w:r w:rsidRPr="009751A6">
        <w:rPr>
          <w:rFonts w:asciiTheme="minorHAnsi" w:eastAsia="Calibri" w:hAnsiTheme="minorHAnsi" w:cstheme="minorHAnsi"/>
          <w:sz w:val="22"/>
          <w:szCs w:val="22"/>
        </w:rPr>
        <w:t xml:space="preserve"> e del</w:t>
      </w:r>
      <w:r w:rsidR="00B73898">
        <w:rPr>
          <w:rFonts w:asciiTheme="minorHAnsi" w:eastAsia="Calibri" w:hAnsiTheme="minorHAnsi" w:cstheme="minorHAnsi"/>
          <w:sz w:val="22"/>
          <w:szCs w:val="22"/>
        </w:rPr>
        <w:t xml:space="preserve"> ri</w:t>
      </w:r>
      <w:r w:rsidRPr="009751A6">
        <w:rPr>
          <w:rFonts w:asciiTheme="minorHAnsi" w:eastAsia="Calibri" w:hAnsiTheme="minorHAnsi" w:cstheme="minorHAnsi"/>
          <w:sz w:val="22"/>
          <w:szCs w:val="22"/>
        </w:rPr>
        <w:t>avvio delle attività economiche e turistiche.</w:t>
      </w:r>
    </w:p>
    <w:p w14:paraId="26D15CDB" w14:textId="161D1BF0" w:rsidR="009751A6" w:rsidRPr="009751A6" w:rsidRDefault="0027617D" w:rsidP="009751A6">
      <w:pPr>
        <w:pStyle w:val="xmsonormal"/>
        <w:shd w:val="clear" w:color="auto" w:fill="FFFFFF"/>
        <w:spacing w:after="120"/>
        <w:jc w:val="both"/>
        <w:rPr>
          <w:rFonts w:asciiTheme="minorHAnsi" w:eastAsia="Calibri" w:hAnsiTheme="minorHAnsi" w:cstheme="minorHAnsi"/>
          <w:sz w:val="22"/>
          <w:szCs w:val="22"/>
        </w:rPr>
      </w:pPr>
      <w:r w:rsidRPr="009751A6">
        <w:rPr>
          <w:rFonts w:asciiTheme="minorHAnsi" w:eastAsia="Calibri" w:hAnsiTheme="minorHAnsi" w:cstheme="minorHAnsi"/>
          <w:sz w:val="22"/>
          <w:szCs w:val="22"/>
        </w:rPr>
        <w:t>La variazione media, sintesi dei mercati top, centrali e periferici</w:t>
      </w:r>
      <w:r w:rsidR="00B73898">
        <w:rPr>
          <w:rFonts w:asciiTheme="minorHAnsi" w:eastAsia="Calibri" w:hAnsiTheme="minorHAnsi" w:cstheme="minorHAnsi"/>
          <w:sz w:val="22"/>
          <w:szCs w:val="22"/>
        </w:rPr>
        <w:t>,</w:t>
      </w:r>
      <w:r w:rsidRPr="009751A6">
        <w:rPr>
          <w:rFonts w:asciiTheme="minorHAnsi" w:eastAsia="Calibri" w:hAnsiTheme="minorHAnsi" w:cstheme="minorHAnsi"/>
          <w:sz w:val="22"/>
          <w:szCs w:val="22"/>
        </w:rPr>
        <w:t xml:space="preserve"> delle singole località turistiche</w:t>
      </w:r>
      <w:r w:rsidR="00B73898">
        <w:rPr>
          <w:rFonts w:asciiTheme="minorHAnsi" w:eastAsia="Calibri" w:hAnsiTheme="minorHAnsi" w:cstheme="minorHAnsi"/>
          <w:sz w:val="22"/>
          <w:szCs w:val="22"/>
        </w:rPr>
        <w:t xml:space="preserve"> monitora</w:t>
      </w:r>
      <w:r w:rsidRPr="009751A6">
        <w:rPr>
          <w:rFonts w:asciiTheme="minorHAnsi" w:eastAsia="Calibri" w:hAnsiTheme="minorHAnsi" w:cstheme="minorHAnsi"/>
          <w:sz w:val="22"/>
          <w:szCs w:val="22"/>
        </w:rPr>
        <w:t>te</w:t>
      </w:r>
      <w:r w:rsidR="00FF4622" w:rsidRPr="009751A6">
        <w:rPr>
          <w:rFonts w:asciiTheme="minorHAnsi" w:eastAsia="Calibri" w:hAnsiTheme="minorHAnsi" w:cstheme="minorHAnsi"/>
          <w:sz w:val="22"/>
          <w:szCs w:val="22"/>
        </w:rPr>
        <w:t xml:space="preserve"> </w:t>
      </w:r>
      <w:r w:rsidR="00B73898">
        <w:rPr>
          <w:rFonts w:asciiTheme="minorHAnsi" w:eastAsia="Calibri" w:hAnsiTheme="minorHAnsi" w:cstheme="minorHAnsi"/>
          <w:sz w:val="22"/>
          <w:szCs w:val="22"/>
        </w:rPr>
        <w:t>evidenzia</w:t>
      </w:r>
      <w:r w:rsidR="00FF4622" w:rsidRPr="009751A6">
        <w:rPr>
          <w:rFonts w:asciiTheme="minorHAnsi" w:eastAsia="Calibri" w:hAnsiTheme="minorHAnsi" w:cstheme="minorHAnsi"/>
          <w:sz w:val="22"/>
          <w:szCs w:val="22"/>
        </w:rPr>
        <w:t xml:space="preserve"> </w:t>
      </w:r>
      <w:r w:rsidR="005D159E" w:rsidRPr="009751A6">
        <w:rPr>
          <w:rFonts w:asciiTheme="minorHAnsi" w:eastAsia="Calibri" w:hAnsiTheme="minorHAnsi" w:cstheme="minorHAnsi"/>
          <w:sz w:val="22"/>
          <w:szCs w:val="22"/>
        </w:rPr>
        <w:t>una crescita</w:t>
      </w:r>
      <w:r w:rsidR="00FF4622" w:rsidRPr="009751A6">
        <w:rPr>
          <w:rFonts w:asciiTheme="minorHAnsi" w:eastAsia="Calibri" w:hAnsiTheme="minorHAnsi" w:cstheme="minorHAnsi"/>
          <w:sz w:val="22"/>
          <w:szCs w:val="22"/>
        </w:rPr>
        <w:t xml:space="preserve"> dei valori di mercato del </w:t>
      </w:r>
      <w:r w:rsidR="005D159E" w:rsidRPr="009751A6">
        <w:rPr>
          <w:rFonts w:asciiTheme="minorHAnsi" w:eastAsia="Calibri" w:hAnsiTheme="minorHAnsi" w:cstheme="minorHAnsi"/>
          <w:sz w:val="22"/>
          <w:szCs w:val="22"/>
        </w:rPr>
        <w:t>3,1</w:t>
      </w:r>
      <w:r w:rsidR="00FF4622" w:rsidRPr="009751A6">
        <w:rPr>
          <w:rFonts w:asciiTheme="minorHAnsi" w:eastAsia="Calibri" w:hAnsiTheme="minorHAnsi" w:cstheme="minorHAnsi"/>
          <w:sz w:val="22"/>
          <w:szCs w:val="22"/>
        </w:rPr>
        <w:t>% su base annua,</w:t>
      </w:r>
      <w:r w:rsidR="00C205F9" w:rsidRPr="009751A6">
        <w:rPr>
          <w:rFonts w:asciiTheme="minorHAnsi" w:eastAsia="Calibri" w:hAnsiTheme="minorHAnsi" w:cstheme="minorHAnsi"/>
          <w:sz w:val="22"/>
          <w:szCs w:val="22"/>
        </w:rPr>
        <w:t xml:space="preserve"> </w:t>
      </w:r>
      <w:r w:rsidR="00B7239C" w:rsidRPr="009751A6">
        <w:rPr>
          <w:rFonts w:asciiTheme="minorHAnsi" w:eastAsia="Calibri" w:hAnsiTheme="minorHAnsi" w:cstheme="minorHAnsi"/>
          <w:sz w:val="22"/>
          <w:szCs w:val="22"/>
        </w:rPr>
        <w:t>con un campo di oscillazione, in funzione della tipologia abitativa, compreso tra</w:t>
      </w:r>
      <w:r w:rsidR="009751A6" w:rsidRPr="009751A6">
        <w:rPr>
          <w:rFonts w:asciiTheme="minorHAnsi" w:eastAsia="Calibri" w:hAnsiTheme="minorHAnsi" w:cstheme="minorHAnsi"/>
          <w:sz w:val="22"/>
          <w:szCs w:val="22"/>
        </w:rPr>
        <w:t xml:space="preserve"> -0,2% e +5,5%.</w:t>
      </w:r>
    </w:p>
    <w:p w14:paraId="3A75C8DF" w14:textId="6DB05D37" w:rsidR="009751A6" w:rsidRPr="009751A6" w:rsidRDefault="005D159E" w:rsidP="009751A6">
      <w:pPr>
        <w:pStyle w:val="xmsonormal"/>
        <w:shd w:val="clear" w:color="auto" w:fill="FFFFFF"/>
        <w:spacing w:after="120"/>
        <w:jc w:val="both"/>
        <w:rPr>
          <w:rFonts w:asciiTheme="minorHAnsi" w:eastAsia="Calibri" w:hAnsiTheme="minorHAnsi" w:cstheme="minorHAnsi"/>
          <w:sz w:val="22"/>
          <w:szCs w:val="22"/>
        </w:rPr>
      </w:pPr>
      <w:r w:rsidRPr="009751A6">
        <w:rPr>
          <w:rFonts w:asciiTheme="minorHAnsi" w:eastAsia="Calibri" w:hAnsiTheme="minorHAnsi" w:cstheme="minorHAnsi"/>
          <w:sz w:val="22"/>
          <w:szCs w:val="22"/>
        </w:rPr>
        <w:t xml:space="preserve">La ripresa dei valori di mercato delle abitazioni </w:t>
      </w:r>
      <w:r w:rsidR="00432049" w:rsidRPr="009751A6">
        <w:rPr>
          <w:rFonts w:asciiTheme="minorHAnsi" w:eastAsia="Calibri" w:hAnsiTheme="minorHAnsi" w:cstheme="minorHAnsi"/>
          <w:sz w:val="22"/>
          <w:szCs w:val="22"/>
        </w:rPr>
        <w:t>riguarda</w:t>
      </w:r>
      <w:r w:rsidR="0074764C" w:rsidRPr="009751A6">
        <w:rPr>
          <w:rFonts w:asciiTheme="minorHAnsi" w:eastAsia="Calibri" w:hAnsiTheme="minorHAnsi" w:cstheme="minorHAnsi"/>
          <w:sz w:val="22"/>
          <w:szCs w:val="22"/>
        </w:rPr>
        <w:t xml:space="preserve"> </w:t>
      </w:r>
      <w:r w:rsidR="008130D6" w:rsidRPr="009751A6">
        <w:rPr>
          <w:rFonts w:asciiTheme="minorHAnsi" w:eastAsia="Calibri" w:hAnsiTheme="minorHAnsi" w:cstheme="minorHAnsi"/>
          <w:sz w:val="22"/>
          <w:szCs w:val="22"/>
        </w:rPr>
        <w:t xml:space="preserve">- </w:t>
      </w:r>
      <w:r w:rsidR="0074764C" w:rsidRPr="009751A6">
        <w:rPr>
          <w:rFonts w:asciiTheme="minorHAnsi" w:eastAsia="Calibri" w:hAnsiTheme="minorHAnsi" w:cstheme="minorHAnsi"/>
          <w:sz w:val="22"/>
          <w:szCs w:val="22"/>
        </w:rPr>
        <w:t xml:space="preserve">come accennato </w:t>
      </w:r>
      <w:r w:rsidR="008130D6" w:rsidRPr="009751A6">
        <w:rPr>
          <w:rFonts w:asciiTheme="minorHAnsi" w:eastAsia="Calibri" w:hAnsiTheme="minorHAnsi" w:cstheme="minorHAnsi"/>
          <w:sz w:val="22"/>
          <w:szCs w:val="22"/>
        </w:rPr>
        <w:t xml:space="preserve">- </w:t>
      </w:r>
      <w:r w:rsidR="00605517" w:rsidRPr="009751A6">
        <w:rPr>
          <w:rFonts w:asciiTheme="minorHAnsi" w:eastAsia="Calibri" w:hAnsiTheme="minorHAnsi" w:cstheme="minorHAnsi"/>
          <w:sz w:val="22"/>
          <w:szCs w:val="22"/>
        </w:rPr>
        <w:t xml:space="preserve">tutte le tipologie </w:t>
      </w:r>
      <w:r w:rsidR="009B5A9D" w:rsidRPr="009751A6">
        <w:rPr>
          <w:rFonts w:asciiTheme="minorHAnsi" w:eastAsia="Calibri" w:hAnsiTheme="minorHAnsi" w:cstheme="minorHAnsi"/>
          <w:sz w:val="22"/>
          <w:szCs w:val="22"/>
        </w:rPr>
        <w:t>seppur</w:t>
      </w:r>
      <w:r w:rsidR="00B73898">
        <w:rPr>
          <w:rFonts w:asciiTheme="minorHAnsi" w:eastAsia="Calibri" w:hAnsiTheme="minorHAnsi" w:cstheme="minorHAnsi"/>
          <w:sz w:val="22"/>
          <w:szCs w:val="22"/>
        </w:rPr>
        <w:t>e</w:t>
      </w:r>
      <w:r w:rsidR="009B5A9D" w:rsidRPr="009751A6">
        <w:rPr>
          <w:rFonts w:asciiTheme="minorHAnsi" w:eastAsia="Calibri" w:hAnsiTheme="minorHAnsi" w:cstheme="minorHAnsi"/>
          <w:sz w:val="22"/>
          <w:szCs w:val="22"/>
        </w:rPr>
        <w:t xml:space="preserve"> </w:t>
      </w:r>
      <w:r w:rsidR="00605517" w:rsidRPr="009751A6">
        <w:rPr>
          <w:rFonts w:asciiTheme="minorHAnsi" w:eastAsia="Calibri" w:hAnsiTheme="minorHAnsi" w:cstheme="minorHAnsi"/>
          <w:sz w:val="22"/>
          <w:szCs w:val="22"/>
        </w:rPr>
        <w:t xml:space="preserve">con </w:t>
      </w:r>
      <w:r w:rsidR="008130D6" w:rsidRPr="009751A6">
        <w:rPr>
          <w:rFonts w:asciiTheme="minorHAnsi" w:eastAsia="Calibri" w:hAnsiTheme="minorHAnsi" w:cstheme="minorHAnsi"/>
          <w:sz w:val="22"/>
          <w:szCs w:val="22"/>
        </w:rPr>
        <w:t>intensità diverse</w:t>
      </w:r>
      <w:r w:rsidR="00FF047F" w:rsidRPr="009751A6">
        <w:rPr>
          <w:rFonts w:asciiTheme="minorHAnsi" w:eastAsia="Calibri" w:hAnsiTheme="minorHAnsi" w:cstheme="minorHAnsi"/>
          <w:sz w:val="22"/>
          <w:szCs w:val="22"/>
        </w:rPr>
        <w:t>. L</w:t>
      </w:r>
      <w:r w:rsidR="0074764C" w:rsidRPr="009751A6">
        <w:rPr>
          <w:rFonts w:asciiTheme="minorHAnsi" w:eastAsia="Calibri" w:hAnsiTheme="minorHAnsi" w:cstheme="minorHAnsi"/>
          <w:sz w:val="22"/>
          <w:szCs w:val="22"/>
        </w:rPr>
        <w:t>e case vacanze “top nuove”</w:t>
      </w:r>
      <w:r w:rsidR="00605517" w:rsidRPr="009751A6">
        <w:rPr>
          <w:rFonts w:asciiTheme="minorHAnsi" w:eastAsia="Calibri" w:hAnsiTheme="minorHAnsi" w:cstheme="minorHAnsi"/>
          <w:sz w:val="22"/>
          <w:szCs w:val="22"/>
        </w:rPr>
        <w:t xml:space="preserve"> </w:t>
      </w:r>
      <w:r w:rsidR="00B73898">
        <w:rPr>
          <w:rFonts w:asciiTheme="minorHAnsi" w:eastAsia="Calibri" w:hAnsiTheme="minorHAnsi" w:cstheme="minorHAnsi"/>
          <w:sz w:val="22"/>
          <w:szCs w:val="22"/>
        </w:rPr>
        <w:t xml:space="preserve">mostrano </w:t>
      </w:r>
      <w:r w:rsidR="00FF047F" w:rsidRPr="009751A6">
        <w:rPr>
          <w:rFonts w:asciiTheme="minorHAnsi" w:eastAsia="Calibri" w:hAnsiTheme="minorHAnsi" w:cstheme="minorHAnsi"/>
          <w:sz w:val="22"/>
          <w:szCs w:val="22"/>
        </w:rPr>
        <w:t>variazion</w:t>
      </w:r>
      <w:r w:rsidR="00B73898">
        <w:rPr>
          <w:rFonts w:asciiTheme="minorHAnsi" w:eastAsia="Calibri" w:hAnsiTheme="minorHAnsi" w:cstheme="minorHAnsi"/>
          <w:sz w:val="22"/>
          <w:szCs w:val="22"/>
        </w:rPr>
        <w:t>i medie</w:t>
      </w:r>
      <w:r w:rsidR="00FF047F" w:rsidRPr="009751A6">
        <w:rPr>
          <w:rFonts w:asciiTheme="minorHAnsi" w:eastAsia="Calibri" w:hAnsiTheme="minorHAnsi" w:cstheme="minorHAnsi"/>
          <w:sz w:val="22"/>
          <w:szCs w:val="22"/>
        </w:rPr>
        <w:t xml:space="preserve"> che oscill</w:t>
      </w:r>
      <w:r w:rsidR="00B73898">
        <w:rPr>
          <w:rFonts w:asciiTheme="minorHAnsi" w:eastAsia="Calibri" w:hAnsiTheme="minorHAnsi" w:cstheme="minorHAnsi"/>
          <w:sz w:val="22"/>
          <w:szCs w:val="22"/>
        </w:rPr>
        <w:t>ano</w:t>
      </w:r>
      <w:r w:rsidR="00FF047F" w:rsidRPr="009751A6">
        <w:rPr>
          <w:rFonts w:asciiTheme="minorHAnsi" w:eastAsia="Calibri" w:hAnsiTheme="minorHAnsi" w:cstheme="minorHAnsi"/>
          <w:sz w:val="22"/>
          <w:szCs w:val="22"/>
        </w:rPr>
        <w:t xml:space="preserve"> tra </w:t>
      </w:r>
      <w:r w:rsidR="009751A6" w:rsidRPr="009751A6">
        <w:rPr>
          <w:rFonts w:asciiTheme="minorHAnsi" w:eastAsia="Calibri" w:hAnsiTheme="minorHAnsi" w:cstheme="minorHAnsi"/>
          <w:sz w:val="22"/>
          <w:szCs w:val="22"/>
        </w:rPr>
        <w:t xml:space="preserve">+0,4% a +4,2%, </w:t>
      </w:r>
      <w:r w:rsidR="00334A91" w:rsidRPr="009751A6">
        <w:rPr>
          <w:rFonts w:asciiTheme="minorHAnsi" w:eastAsia="Calibri" w:hAnsiTheme="minorHAnsi" w:cstheme="minorHAnsi"/>
          <w:sz w:val="22"/>
          <w:szCs w:val="22"/>
        </w:rPr>
        <w:t xml:space="preserve">mentre le abitazioni </w:t>
      </w:r>
      <w:r w:rsidR="00277CAD" w:rsidRPr="009751A6">
        <w:rPr>
          <w:rFonts w:asciiTheme="minorHAnsi" w:eastAsia="Calibri" w:hAnsiTheme="minorHAnsi" w:cstheme="minorHAnsi"/>
          <w:sz w:val="22"/>
          <w:szCs w:val="22"/>
        </w:rPr>
        <w:t>periferiche</w:t>
      </w:r>
      <w:r w:rsidR="00334A91" w:rsidRPr="009751A6">
        <w:rPr>
          <w:rFonts w:asciiTheme="minorHAnsi" w:eastAsia="Calibri" w:hAnsiTheme="minorHAnsi" w:cstheme="minorHAnsi"/>
          <w:sz w:val="22"/>
          <w:szCs w:val="22"/>
        </w:rPr>
        <w:t xml:space="preserve"> una </w:t>
      </w:r>
      <w:r w:rsidR="00277CAD" w:rsidRPr="009751A6">
        <w:rPr>
          <w:rFonts w:asciiTheme="minorHAnsi" w:eastAsia="Calibri" w:hAnsiTheme="minorHAnsi" w:cstheme="minorHAnsi"/>
          <w:sz w:val="22"/>
          <w:szCs w:val="22"/>
        </w:rPr>
        <w:t>variazione</w:t>
      </w:r>
      <w:r w:rsidR="00334A91" w:rsidRPr="009751A6">
        <w:rPr>
          <w:rFonts w:asciiTheme="minorHAnsi" w:eastAsia="Calibri" w:hAnsiTheme="minorHAnsi" w:cstheme="minorHAnsi"/>
          <w:sz w:val="22"/>
          <w:szCs w:val="22"/>
        </w:rPr>
        <w:t xml:space="preserve"> </w:t>
      </w:r>
      <w:r w:rsidR="00937A4D">
        <w:rPr>
          <w:rFonts w:asciiTheme="minorHAnsi" w:eastAsia="Calibri" w:hAnsiTheme="minorHAnsi" w:cstheme="minorHAnsi"/>
          <w:sz w:val="22"/>
          <w:szCs w:val="22"/>
        </w:rPr>
        <w:t xml:space="preserve">media </w:t>
      </w:r>
      <w:r w:rsidR="00334A91" w:rsidRPr="009751A6">
        <w:rPr>
          <w:rFonts w:asciiTheme="minorHAnsi" w:eastAsia="Calibri" w:hAnsiTheme="minorHAnsi" w:cstheme="minorHAnsi"/>
          <w:sz w:val="22"/>
          <w:szCs w:val="22"/>
        </w:rPr>
        <w:t xml:space="preserve">che oscilla tra </w:t>
      </w:r>
      <w:bookmarkEnd w:id="3"/>
      <w:r w:rsidR="009751A6" w:rsidRPr="009751A6">
        <w:rPr>
          <w:rFonts w:asciiTheme="minorHAnsi" w:eastAsia="Calibri" w:hAnsiTheme="minorHAnsi" w:cstheme="minorHAnsi"/>
          <w:sz w:val="22"/>
          <w:szCs w:val="22"/>
        </w:rPr>
        <w:t>-1,2% e +5,5%.</w:t>
      </w:r>
    </w:p>
    <w:p w14:paraId="20866E12" w14:textId="6319C989" w:rsidR="00FC7BBB" w:rsidRPr="009751A6" w:rsidRDefault="00937A4D" w:rsidP="009751A6">
      <w:pPr>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Con riferimento alle</w:t>
      </w:r>
      <w:r w:rsidR="00FD203F" w:rsidRPr="009751A6">
        <w:rPr>
          <w:rFonts w:asciiTheme="minorHAnsi" w:eastAsia="Calibri" w:hAnsiTheme="minorHAnsi" w:cstheme="minorHAnsi"/>
          <w:sz w:val="22"/>
          <w:szCs w:val="22"/>
        </w:rPr>
        <w:t xml:space="preserve"> destinazioni turistiche monitorate,</w:t>
      </w:r>
      <w:r w:rsidR="00FE7546" w:rsidRPr="009751A6">
        <w:rPr>
          <w:rFonts w:asciiTheme="minorHAnsi" w:eastAsia="Calibri" w:hAnsiTheme="minorHAnsi" w:cstheme="minorHAnsi"/>
          <w:sz w:val="22"/>
          <w:szCs w:val="22"/>
        </w:rPr>
        <w:t xml:space="preserve"> i</w:t>
      </w:r>
      <w:r w:rsidR="00161EC2" w:rsidRPr="009751A6">
        <w:rPr>
          <w:rFonts w:asciiTheme="minorHAnsi" w:eastAsia="Calibri" w:hAnsiTheme="minorHAnsi" w:cstheme="minorHAnsi"/>
          <w:sz w:val="22"/>
          <w:szCs w:val="22"/>
        </w:rPr>
        <w:t xml:space="preserve">l prezzo medio di un’abitazione turistica in Italia </w:t>
      </w:r>
      <w:r>
        <w:rPr>
          <w:rFonts w:asciiTheme="minorHAnsi" w:eastAsia="Calibri" w:hAnsiTheme="minorHAnsi" w:cstheme="minorHAnsi"/>
          <w:sz w:val="22"/>
          <w:szCs w:val="22"/>
        </w:rPr>
        <w:t>si attesta nell’ordine dei</w:t>
      </w:r>
      <w:r w:rsidR="00633F06" w:rsidRPr="009751A6">
        <w:rPr>
          <w:rFonts w:asciiTheme="minorHAnsi" w:eastAsia="Calibri" w:hAnsiTheme="minorHAnsi" w:cstheme="minorHAnsi"/>
          <w:sz w:val="22"/>
          <w:szCs w:val="22"/>
        </w:rPr>
        <w:t xml:space="preserve"> 2.</w:t>
      </w:r>
      <w:r w:rsidR="00552208" w:rsidRPr="009751A6">
        <w:rPr>
          <w:rFonts w:asciiTheme="minorHAnsi" w:eastAsia="Calibri" w:hAnsiTheme="minorHAnsi" w:cstheme="minorHAnsi"/>
          <w:sz w:val="22"/>
          <w:szCs w:val="22"/>
        </w:rPr>
        <w:t>700</w:t>
      </w:r>
      <w:r w:rsidR="00161EC2" w:rsidRPr="009751A6">
        <w:rPr>
          <w:rFonts w:asciiTheme="minorHAnsi" w:eastAsia="Calibri" w:hAnsiTheme="minorHAnsi" w:cstheme="minorHAnsi"/>
          <w:sz w:val="22"/>
          <w:szCs w:val="22"/>
        </w:rPr>
        <w:t xml:space="preserve"> euro al mq commerciale</w:t>
      </w:r>
      <w:r w:rsidR="00853E99" w:rsidRPr="009751A6">
        <w:rPr>
          <w:rFonts w:asciiTheme="minorHAnsi" w:eastAsia="Calibri" w:hAnsiTheme="minorHAnsi" w:cstheme="minorHAnsi"/>
          <w:sz w:val="22"/>
          <w:szCs w:val="22"/>
        </w:rPr>
        <w:t>,</w:t>
      </w:r>
      <w:r w:rsidR="00737747" w:rsidRPr="009751A6">
        <w:rPr>
          <w:rFonts w:asciiTheme="minorHAnsi" w:eastAsia="Calibri" w:hAnsiTheme="minorHAnsi" w:cstheme="minorHAnsi"/>
          <w:sz w:val="22"/>
          <w:szCs w:val="22"/>
        </w:rPr>
        <w:t xml:space="preserve"> </w:t>
      </w:r>
      <w:r w:rsidR="00A22364" w:rsidRPr="009751A6">
        <w:rPr>
          <w:rFonts w:asciiTheme="minorHAnsi" w:eastAsia="Calibri" w:hAnsiTheme="minorHAnsi" w:cstheme="minorHAnsi"/>
          <w:sz w:val="22"/>
          <w:szCs w:val="22"/>
        </w:rPr>
        <w:t xml:space="preserve">che rappresenta la </w:t>
      </w:r>
      <w:r w:rsidR="00161EC2" w:rsidRPr="009751A6">
        <w:rPr>
          <w:rFonts w:asciiTheme="minorHAnsi" w:eastAsia="Calibri" w:hAnsiTheme="minorHAnsi" w:cstheme="minorHAnsi"/>
          <w:sz w:val="22"/>
          <w:szCs w:val="22"/>
        </w:rPr>
        <w:t xml:space="preserve">sintesi </w:t>
      </w:r>
      <w:r w:rsidR="00334A91" w:rsidRPr="009751A6">
        <w:rPr>
          <w:rFonts w:asciiTheme="minorHAnsi" w:eastAsia="Calibri" w:hAnsiTheme="minorHAnsi" w:cstheme="minorHAnsi"/>
          <w:sz w:val="22"/>
          <w:szCs w:val="22"/>
        </w:rPr>
        <w:t>di</w:t>
      </w:r>
      <w:r w:rsidR="00161EC2" w:rsidRPr="009751A6">
        <w:rPr>
          <w:rFonts w:asciiTheme="minorHAnsi" w:eastAsia="Calibri" w:hAnsiTheme="minorHAnsi" w:cstheme="minorHAnsi"/>
          <w:sz w:val="22"/>
          <w:szCs w:val="22"/>
        </w:rPr>
        <w:t xml:space="preserve"> valori differenziati per tipologia</w:t>
      </w:r>
      <w:r w:rsidR="00A22364" w:rsidRPr="009751A6">
        <w:rPr>
          <w:rFonts w:asciiTheme="minorHAnsi" w:eastAsia="Calibri" w:hAnsiTheme="minorHAnsi" w:cstheme="minorHAnsi"/>
          <w:sz w:val="22"/>
          <w:szCs w:val="22"/>
        </w:rPr>
        <w:t xml:space="preserve"> abitativa </w:t>
      </w:r>
      <w:r>
        <w:rPr>
          <w:rFonts w:asciiTheme="minorHAnsi" w:eastAsia="Calibri" w:hAnsiTheme="minorHAnsi" w:cstheme="minorHAnsi"/>
          <w:sz w:val="22"/>
          <w:szCs w:val="22"/>
        </w:rPr>
        <w:t>sul territorio</w:t>
      </w:r>
      <w:r w:rsidR="00552208" w:rsidRPr="009751A6">
        <w:rPr>
          <w:rFonts w:asciiTheme="minorHAnsi" w:eastAsia="Calibri" w:hAnsiTheme="minorHAnsi" w:cstheme="minorHAnsi"/>
          <w:sz w:val="22"/>
          <w:szCs w:val="22"/>
        </w:rPr>
        <w:t xml:space="preserve"> nazionale</w:t>
      </w:r>
      <w:r w:rsidR="00161EC2" w:rsidRPr="009751A6">
        <w:rPr>
          <w:rFonts w:asciiTheme="minorHAnsi" w:eastAsia="Calibri" w:hAnsiTheme="minorHAnsi" w:cstheme="minorHAnsi"/>
          <w:sz w:val="22"/>
          <w:szCs w:val="22"/>
        </w:rPr>
        <w:t>.</w:t>
      </w:r>
    </w:p>
    <w:p w14:paraId="0DBBE179" w14:textId="38590BB2" w:rsidR="005340B5" w:rsidRPr="009751A6" w:rsidRDefault="005340B5" w:rsidP="009751A6">
      <w:pPr>
        <w:spacing w:after="120"/>
        <w:jc w:val="both"/>
        <w:rPr>
          <w:rFonts w:asciiTheme="minorHAnsi" w:eastAsia="Calibri" w:hAnsiTheme="minorHAnsi" w:cstheme="minorHAnsi"/>
          <w:sz w:val="22"/>
          <w:szCs w:val="22"/>
        </w:rPr>
      </w:pPr>
      <w:r w:rsidRPr="009751A6">
        <w:rPr>
          <w:rFonts w:asciiTheme="minorHAnsi" w:eastAsia="Calibri" w:hAnsiTheme="minorHAnsi" w:cstheme="minorHAnsi"/>
          <w:sz w:val="22"/>
          <w:szCs w:val="22"/>
        </w:rPr>
        <w:t>Concentrandosi sulle abitazioni top nuove, le quotazioni medie si attestano su valori che superano i 3.</w:t>
      </w:r>
      <w:r w:rsidR="00552208" w:rsidRPr="009751A6">
        <w:rPr>
          <w:rFonts w:asciiTheme="minorHAnsi" w:eastAsia="Calibri" w:hAnsiTheme="minorHAnsi" w:cstheme="minorHAnsi"/>
          <w:sz w:val="22"/>
          <w:szCs w:val="22"/>
        </w:rPr>
        <w:t>7</w:t>
      </w:r>
      <w:r w:rsidRPr="009751A6">
        <w:rPr>
          <w:rFonts w:asciiTheme="minorHAnsi" w:eastAsia="Calibri" w:hAnsiTheme="minorHAnsi" w:cstheme="minorHAnsi"/>
          <w:sz w:val="22"/>
          <w:szCs w:val="22"/>
        </w:rPr>
        <w:t>00</w:t>
      </w:r>
      <w:r w:rsidR="00334A91" w:rsidRPr="009751A6">
        <w:rPr>
          <w:rFonts w:asciiTheme="minorHAnsi" w:eastAsia="Calibri" w:hAnsiTheme="minorHAnsi" w:cstheme="minorHAnsi"/>
          <w:sz w:val="22"/>
          <w:szCs w:val="22"/>
        </w:rPr>
        <w:t xml:space="preserve"> euro</w:t>
      </w:r>
      <w:r w:rsidRPr="009751A6">
        <w:rPr>
          <w:rFonts w:asciiTheme="minorHAnsi" w:eastAsia="Calibri" w:hAnsiTheme="minorHAnsi" w:cstheme="minorHAnsi"/>
          <w:sz w:val="22"/>
          <w:szCs w:val="22"/>
        </w:rPr>
        <w:t xml:space="preserve"> al mq</w:t>
      </w:r>
      <w:r w:rsidR="00552208" w:rsidRPr="009751A6">
        <w:rPr>
          <w:rFonts w:asciiTheme="minorHAnsi" w:eastAsia="Calibri" w:hAnsiTheme="minorHAnsi" w:cstheme="minorHAnsi"/>
          <w:sz w:val="22"/>
          <w:szCs w:val="22"/>
        </w:rPr>
        <w:t xml:space="preserve"> (con un </w:t>
      </w:r>
      <w:proofErr w:type="spellStart"/>
      <w:r w:rsidR="00552208" w:rsidRPr="009751A6">
        <w:rPr>
          <w:rFonts w:asciiTheme="minorHAnsi" w:eastAsia="Calibri" w:hAnsiTheme="minorHAnsi" w:cstheme="minorHAnsi"/>
          <w:sz w:val="22"/>
          <w:szCs w:val="22"/>
        </w:rPr>
        <w:t>range</w:t>
      </w:r>
      <w:proofErr w:type="spellEnd"/>
      <w:r w:rsidR="00552208" w:rsidRPr="009751A6">
        <w:rPr>
          <w:rFonts w:asciiTheme="minorHAnsi" w:eastAsia="Calibri" w:hAnsiTheme="minorHAnsi" w:cstheme="minorHAnsi"/>
          <w:sz w:val="22"/>
          <w:szCs w:val="22"/>
        </w:rPr>
        <w:t xml:space="preserve"> </w:t>
      </w:r>
      <w:r w:rsidR="00937A4D">
        <w:rPr>
          <w:rFonts w:asciiTheme="minorHAnsi" w:eastAsia="Calibri" w:hAnsiTheme="minorHAnsi" w:cstheme="minorHAnsi"/>
          <w:sz w:val="22"/>
          <w:szCs w:val="22"/>
        </w:rPr>
        <w:t>che va da</w:t>
      </w:r>
      <w:r w:rsidR="00552208" w:rsidRPr="009751A6">
        <w:rPr>
          <w:rFonts w:asciiTheme="minorHAnsi" w:eastAsia="Calibri" w:hAnsiTheme="minorHAnsi" w:cstheme="minorHAnsi"/>
          <w:sz w:val="22"/>
          <w:szCs w:val="22"/>
        </w:rPr>
        <w:t xml:space="preserve"> 2.900 </w:t>
      </w:r>
      <w:r w:rsidR="00937A4D">
        <w:rPr>
          <w:rFonts w:asciiTheme="minorHAnsi" w:eastAsia="Calibri" w:hAnsiTheme="minorHAnsi" w:cstheme="minorHAnsi"/>
          <w:sz w:val="22"/>
          <w:szCs w:val="22"/>
        </w:rPr>
        <w:t>a</w:t>
      </w:r>
      <w:r w:rsidR="00552208" w:rsidRPr="009751A6">
        <w:rPr>
          <w:rFonts w:asciiTheme="minorHAnsi" w:eastAsia="Calibri" w:hAnsiTheme="minorHAnsi" w:cstheme="minorHAnsi"/>
          <w:sz w:val="22"/>
          <w:szCs w:val="22"/>
        </w:rPr>
        <w:t xml:space="preserve"> 4.200 euro al mq)</w:t>
      </w:r>
      <w:r w:rsidR="008948EB" w:rsidRPr="009751A6">
        <w:rPr>
          <w:rFonts w:asciiTheme="minorHAnsi" w:eastAsia="Calibri" w:hAnsiTheme="minorHAnsi" w:cstheme="minorHAnsi"/>
          <w:sz w:val="22"/>
          <w:szCs w:val="22"/>
        </w:rPr>
        <w:t>; per</w:t>
      </w:r>
      <w:r w:rsidRPr="009751A6">
        <w:rPr>
          <w:rFonts w:asciiTheme="minorHAnsi" w:eastAsia="Calibri" w:hAnsiTheme="minorHAnsi" w:cstheme="minorHAnsi"/>
          <w:sz w:val="22"/>
          <w:szCs w:val="22"/>
        </w:rPr>
        <w:t xml:space="preserve"> le abitazioni </w:t>
      </w:r>
      <w:r w:rsidR="00EF523C" w:rsidRPr="009751A6">
        <w:rPr>
          <w:rFonts w:asciiTheme="minorHAnsi" w:eastAsia="Calibri" w:hAnsiTheme="minorHAnsi" w:cstheme="minorHAnsi"/>
          <w:sz w:val="22"/>
          <w:szCs w:val="22"/>
        </w:rPr>
        <w:t xml:space="preserve">centrali usate </w:t>
      </w:r>
      <w:r w:rsidR="008948EB" w:rsidRPr="009751A6">
        <w:rPr>
          <w:rFonts w:asciiTheme="minorHAnsi" w:eastAsia="Calibri" w:hAnsiTheme="minorHAnsi" w:cstheme="minorHAnsi"/>
          <w:sz w:val="22"/>
          <w:szCs w:val="22"/>
        </w:rPr>
        <w:t>i</w:t>
      </w:r>
      <w:r w:rsidR="00EF523C" w:rsidRPr="009751A6">
        <w:rPr>
          <w:rFonts w:asciiTheme="minorHAnsi" w:eastAsia="Calibri" w:hAnsiTheme="minorHAnsi" w:cstheme="minorHAnsi"/>
          <w:sz w:val="22"/>
          <w:szCs w:val="22"/>
        </w:rPr>
        <w:t xml:space="preserve"> valori</w:t>
      </w:r>
      <w:r w:rsidR="00937A4D">
        <w:rPr>
          <w:rFonts w:asciiTheme="minorHAnsi" w:eastAsia="Calibri" w:hAnsiTheme="minorHAnsi" w:cstheme="minorHAnsi"/>
          <w:sz w:val="22"/>
          <w:szCs w:val="22"/>
        </w:rPr>
        <w:t xml:space="preserve"> medi</w:t>
      </w:r>
      <w:r w:rsidR="00EF523C" w:rsidRPr="009751A6">
        <w:rPr>
          <w:rFonts w:asciiTheme="minorHAnsi" w:eastAsia="Calibri" w:hAnsiTheme="minorHAnsi" w:cstheme="minorHAnsi"/>
          <w:sz w:val="22"/>
          <w:szCs w:val="22"/>
        </w:rPr>
        <w:t xml:space="preserve"> oscillano tra </w:t>
      </w:r>
      <w:r w:rsidR="00552208" w:rsidRPr="009751A6">
        <w:rPr>
          <w:rFonts w:asciiTheme="minorHAnsi" w:eastAsia="Calibri" w:hAnsiTheme="minorHAnsi" w:cstheme="minorHAnsi"/>
          <w:sz w:val="22"/>
          <w:szCs w:val="22"/>
        </w:rPr>
        <w:t>2.110</w:t>
      </w:r>
      <w:r w:rsidR="00EF523C" w:rsidRPr="009751A6">
        <w:rPr>
          <w:rFonts w:asciiTheme="minorHAnsi" w:eastAsia="Calibri" w:hAnsiTheme="minorHAnsi" w:cstheme="minorHAnsi"/>
          <w:sz w:val="22"/>
          <w:szCs w:val="22"/>
        </w:rPr>
        <w:t xml:space="preserve"> e </w:t>
      </w:r>
      <w:r w:rsidR="00552208" w:rsidRPr="009751A6">
        <w:rPr>
          <w:rFonts w:asciiTheme="minorHAnsi" w:eastAsia="Calibri" w:hAnsiTheme="minorHAnsi" w:cstheme="minorHAnsi"/>
          <w:sz w:val="22"/>
          <w:szCs w:val="22"/>
        </w:rPr>
        <w:t>3.160</w:t>
      </w:r>
      <w:r w:rsidR="00EF523C" w:rsidRPr="009751A6">
        <w:rPr>
          <w:rFonts w:asciiTheme="minorHAnsi" w:eastAsia="Calibri" w:hAnsiTheme="minorHAnsi" w:cstheme="minorHAnsi"/>
          <w:sz w:val="22"/>
          <w:szCs w:val="22"/>
        </w:rPr>
        <w:t xml:space="preserve"> euro al mq</w:t>
      </w:r>
      <w:r w:rsidR="00552208" w:rsidRPr="009751A6">
        <w:rPr>
          <w:rFonts w:asciiTheme="minorHAnsi" w:eastAsia="Calibri" w:hAnsiTheme="minorHAnsi" w:cstheme="minorHAnsi"/>
          <w:sz w:val="22"/>
          <w:szCs w:val="22"/>
        </w:rPr>
        <w:t>,</w:t>
      </w:r>
      <w:r w:rsidR="00EF523C" w:rsidRPr="009751A6">
        <w:rPr>
          <w:rFonts w:asciiTheme="minorHAnsi" w:eastAsia="Calibri" w:hAnsiTheme="minorHAnsi" w:cstheme="minorHAnsi"/>
          <w:sz w:val="22"/>
          <w:szCs w:val="22"/>
        </w:rPr>
        <w:t xml:space="preserve"> mentre</w:t>
      </w:r>
      <w:r w:rsidR="00F231EB" w:rsidRPr="009751A6">
        <w:rPr>
          <w:rFonts w:asciiTheme="minorHAnsi" w:eastAsia="Calibri" w:hAnsiTheme="minorHAnsi" w:cstheme="minorHAnsi"/>
          <w:sz w:val="22"/>
          <w:szCs w:val="22"/>
        </w:rPr>
        <w:t xml:space="preserve"> per</w:t>
      </w:r>
      <w:r w:rsidR="00EF523C" w:rsidRPr="009751A6">
        <w:rPr>
          <w:rFonts w:asciiTheme="minorHAnsi" w:eastAsia="Calibri" w:hAnsiTheme="minorHAnsi" w:cstheme="minorHAnsi"/>
          <w:sz w:val="22"/>
          <w:szCs w:val="22"/>
        </w:rPr>
        <w:t xml:space="preserve"> le abitazioni periferiche usate si mantengono tra 1</w:t>
      </w:r>
      <w:r w:rsidR="00413D5E" w:rsidRPr="009751A6">
        <w:rPr>
          <w:rFonts w:asciiTheme="minorHAnsi" w:eastAsia="Calibri" w:hAnsiTheme="minorHAnsi" w:cstheme="minorHAnsi"/>
          <w:sz w:val="22"/>
          <w:szCs w:val="22"/>
        </w:rPr>
        <w:t>.</w:t>
      </w:r>
      <w:r w:rsidR="00552208" w:rsidRPr="009751A6">
        <w:rPr>
          <w:rFonts w:asciiTheme="minorHAnsi" w:eastAsia="Calibri" w:hAnsiTheme="minorHAnsi" w:cstheme="minorHAnsi"/>
          <w:sz w:val="22"/>
          <w:szCs w:val="22"/>
        </w:rPr>
        <w:t>52</w:t>
      </w:r>
      <w:r w:rsidR="00EF523C" w:rsidRPr="009751A6">
        <w:rPr>
          <w:rFonts w:asciiTheme="minorHAnsi" w:eastAsia="Calibri" w:hAnsiTheme="minorHAnsi" w:cstheme="minorHAnsi"/>
          <w:sz w:val="22"/>
          <w:szCs w:val="22"/>
        </w:rPr>
        <w:t xml:space="preserve">0 e </w:t>
      </w:r>
      <w:r w:rsidR="00552208" w:rsidRPr="009751A6">
        <w:rPr>
          <w:rFonts w:asciiTheme="minorHAnsi" w:eastAsia="Calibri" w:hAnsiTheme="minorHAnsi" w:cstheme="minorHAnsi"/>
          <w:sz w:val="22"/>
          <w:szCs w:val="22"/>
        </w:rPr>
        <w:t>2.2</w:t>
      </w:r>
      <w:r w:rsidR="00EF523C" w:rsidRPr="009751A6">
        <w:rPr>
          <w:rFonts w:asciiTheme="minorHAnsi" w:eastAsia="Calibri" w:hAnsiTheme="minorHAnsi" w:cstheme="minorHAnsi"/>
          <w:sz w:val="22"/>
          <w:szCs w:val="22"/>
        </w:rPr>
        <w:t xml:space="preserve">00 euro al mq. </w:t>
      </w:r>
    </w:p>
    <w:p w14:paraId="58447EBF" w14:textId="7973729A" w:rsidR="004C576B" w:rsidRDefault="004C576B" w:rsidP="00853E99">
      <w:pPr>
        <w:rPr>
          <w:rFonts w:asciiTheme="minorHAnsi" w:eastAsia="Calibri" w:hAnsiTheme="minorHAnsi" w:cstheme="minorHAnsi"/>
          <w:sz w:val="22"/>
          <w:szCs w:val="22"/>
        </w:rPr>
      </w:pPr>
    </w:p>
    <w:p w14:paraId="5D006FE9" w14:textId="6B222909" w:rsidR="005957CD" w:rsidRDefault="005957CD" w:rsidP="00853E99">
      <w:pPr>
        <w:rPr>
          <w:rFonts w:asciiTheme="minorHAnsi" w:eastAsia="Calibri" w:hAnsiTheme="minorHAnsi" w:cstheme="minorHAnsi"/>
          <w:sz w:val="22"/>
          <w:szCs w:val="22"/>
        </w:rPr>
      </w:pPr>
    </w:p>
    <w:p w14:paraId="188D2EBD" w14:textId="77777777" w:rsidR="00115455" w:rsidRDefault="00115455" w:rsidP="00853E99">
      <w:pPr>
        <w:rPr>
          <w:rFonts w:asciiTheme="minorHAnsi" w:eastAsia="Calibri" w:hAnsiTheme="minorHAnsi" w:cstheme="minorHAnsi"/>
          <w:sz w:val="22"/>
          <w:szCs w:val="22"/>
        </w:rPr>
      </w:pPr>
    </w:p>
    <w:p w14:paraId="29994482" w14:textId="77777777" w:rsidR="00325BF0" w:rsidRPr="004C576B" w:rsidRDefault="00325BF0" w:rsidP="00853E99">
      <w:pPr>
        <w:rPr>
          <w:rFonts w:asciiTheme="minorHAnsi" w:eastAsia="Calibri" w:hAnsiTheme="minorHAnsi" w:cstheme="minorHAnsi"/>
          <w:strike/>
          <w:sz w:val="22"/>
          <w:szCs w:val="22"/>
        </w:rPr>
      </w:pPr>
    </w:p>
    <w:p w14:paraId="32D9A637" w14:textId="62CA4DFE" w:rsidR="008B45D7" w:rsidRDefault="008B45D7" w:rsidP="00364602">
      <w:pPr>
        <w:rPr>
          <w:rFonts w:asciiTheme="minorHAnsi" w:eastAsia="Calibri" w:hAnsiTheme="minorHAnsi" w:cstheme="minorHAnsi"/>
          <w:strike/>
          <w:sz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6"/>
        <w:gridCol w:w="2396"/>
        <w:gridCol w:w="12"/>
        <w:gridCol w:w="2390"/>
        <w:gridCol w:w="19"/>
        <w:gridCol w:w="2385"/>
        <w:gridCol w:w="26"/>
      </w:tblGrid>
      <w:tr w:rsidR="008B45D7" w:rsidRPr="00F25710" w14:paraId="4DFD65CD" w14:textId="77777777" w:rsidTr="00073209">
        <w:trPr>
          <w:trHeight w:val="340"/>
          <w:jc w:val="center"/>
        </w:trPr>
        <w:tc>
          <w:tcPr>
            <w:tcW w:w="2444" w:type="dxa"/>
            <w:gridSpan w:val="2"/>
            <w:vAlign w:val="center"/>
          </w:tcPr>
          <w:p w14:paraId="6A20FF86" w14:textId="75611E5B" w:rsidR="008B45D7" w:rsidRPr="00430438" w:rsidRDefault="008B45D7" w:rsidP="00073209">
            <w:pPr>
              <w:rPr>
                <w:rFonts w:asciiTheme="minorHAnsi" w:eastAsia="Calibri" w:hAnsiTheme="minorHAnsi" w:cstheme="minorHAnsi"/>
                <w:bCs w:val="0"/>
                <w:sz w:val="20"/>
              </w:rPr>
            </w:pPr>
            <w:r w:rsidRPr="00430438">
              <w:rPr>
                <w:rFonts w:asciiTheme="minorHAnsi" w:eastAsia="Calibri" w:hAnsiTheme="minorHAnsi" w:cstheme="minorHAnsi"/>
                <w:bCs w:val="0"/>
                <w:caps w:val="0"/>
                <w:sz w:val="20"/>
              </w:rPr>
              <w:t xml:space="preserve">Tavola </w:t>
            </w:r>
            <w:r w:rsidR="007B6F39">
              <w:rPr>
                <w:rFonts w:asciiTheme="minorHAnsi" w:eastAsia="Calibri" w:hAnsiTheme="minorHAnsi" w:cstheme="minorHAnsi"/>
                <w:bCs w:val="0"/>
                <w:caps w:val="0"/>
                <w:sz w:val="20"/>
              </w:rPr>
              <w:t>2</w:t>
            </w:r>
          </w:p>
        </w:tc>
        <w:tc>
          <w:tcPr>
            <w:tcW w:w="7334" w:type="dxa"/>
            <w:gridSpan w:val="6"/>
            <w:shd w:val="clear" w:color="auto" w:fill="D9D9D9" w:themeFill="background1" w:themeFillShade="D9"/>
            <w:vAlign w:val="center"/>
          </w:tcPr>
          <w:p w14:paraId="0EF7A83A" w14:textId="7E290232" w:rsidR="008B45D7" w:rsidRPr="00F5318C" w:rsidRDefault="008B45D7" w:rsidP="00073209">
            <w:pPr>
              <w:jc w:val="center"/>
              <w:rPr>
                <w:rFonts w:asciiTheme="minorHAnsi" w:eastAsia="Calibri" w:hAnsiTheme="minorHAnsi" w:cstheme="minorHAnsi"/>
                <w:caps w:val="0"/>
                <w:sz w:val="20"/>
              </w:rPr>
            </w:pPr>
            <w:r w:rsidRPr="008B45D7">
              <w:rPr>
                <w:rFonts w:asciiTheme="minorHAnsi" w:eastAsia="Calibri" w:hAnsiTheme="minorHAnsi" w:cstheme="minorHAnsi"/>
                <w:caps w:val="0"/>
                <w:sz w:val="20"/>
              </w:rPr>
              <w:t>Prezzi medi 2021 e variazione annua delle abitazioni nelle località turistiche</w:t>
            </w:r>
          </w:p>
        </w:tc>
      </w:tr>
      <w:tr w:rsidR="008B45D7" w:rsidRPr="00F25710" w14:paraId="0BE4BD0A" w14:textId="77777777" w:rsidTr="00073209">
        <w:trPr>
          <w:trHeight w:val="340"/>
          <w:jc w:val="center"/>
        </w:trPr>
        <w:tc>
          <w:tcPr>
            <w:tcW w:w="2444" w:type="dxa"/>
            <w:gridSpan w:val="2"/>
            <w:vAlign w:val="center"/>
          </w:tcPr>
          <w:p w14:paraId="0D37542D" w14:textId="77777777" w:rsidR="008B45D7" w:rsidRPr="00A3399B" w:rsidRDefault="008B45D7" w:rsidP="008B45D7">
            <w:pPr>
              <w:rPr>
                <w:rFonts w:asciiTheme="minorHAnsi" w:eastAsia="Calibri" w:hAnsiTheme="minorHAnsi" w:cstheme="minorHAnsi"/>
                <w:strike/>
                <w:sz w:val="20"/>
              </w:rPr>
            </w:pPr>
          </w:p>
        </w:tc>
        <w:tc>
          <w:tcPr>
            <w:tcW w:w="2444" w:type="dxa"/>
            <w:gridSpan w:val="2"/>
            <w:shd w:val="clear" w:color="auto" w:fill="F2F2F2" w:themeFill="background1" w:themeFillShade="F2"/>
            <w:vAlign w:val="center"/>
          </w:tcPr>
          <w:p w14:paraId="1EA4E8A3" w14:textId="756F6CA9" w:rsidR="008B45D7" w:rsidRPr="006F75D4" w:rsidRDefault="008B45D7" w:rsidP="008B45D7">
            <w:pPr>
              <w:jc w:val="center"/>
              <w:rPr>
                <w:rFonts w:asciiTheme="minorHAnsi" w:eastAsia="Calibri" w:hAnsiTheme="minorHAnsi" w:cstheme="minorHAnsi"/>
                <w:sz w:val="20"/>
              </w:rPr>
            </w:pPr>
            <w:r w:rsidRPr="002A4DD6">
              <w:rPr>
                <w:rFonts w:asciiTheme="minorHAnsi" w:eastAsia="Calibri" w:hAnsiTheme="minorHAnsi" w:cstheme="minorHAnsi"/>
                <w:caps w:val="0"/>
                <w:sz w:val="20"/>
              </w:rPr>
              <w:t>Abitazioni top nuove</w:t>
            </w:r>
          </w:p>
        </w:tc>
        <w:tc>
          <w:tcPr>
            <w:tcW w:w="2445" w:type="dxa"/>
            <w:gridSpan w:val="2"/>
            <w:shd w:val="clear" w:color="auto" w:fill="F2F2F2" w:themeFill="background1" w:themeFillShade="F2"/>
            <w:vAlign w:val="center"/>
          </w:tcPr>
          <w:p w14:paraId="377D8816" w14:textId="3069570F" w:rsidR="008B45D7" w:rsidRPr="006F75D4" w:rsidRDefault="008B45D7" w:rsidP="008B45D7">
            <w:pPr>
              <w:jc w:val="center"/>
              <w:rPr>
                <w:rFonts w:asciiTheme="minorHAnsi" w:eastAsia="Calibri" w:hAnsiTheme="minorHAnsi" w:cstheme="minorHAnsi"/>
                <w:sz w:val="20"/>
              </w:rPr>
            </w:pPr>
            <w:r w:rsidRPr="002A4DD6">
              <w:rPr>
                <w:rFonts w:asciiTheme="minorHAnsi" w:eastAsia="Calibri" w:hAnsiTheme="minorHAnsi" w:cstheme="minorHAnsi"/>
                <w:caps w:val="0"/>
                <w:sz w:val="20"/>
              </w:rPr>
              <w:t>Abitazioni centrali usate</w:t>
            </w:r>
          </w:p>
        </w:tc>
        <w:tc>
          <w:tcPr>
            <w:tcW w:w="2445" w:type="dxa"/>
            <w:gridSpan w:val="2"/>
            <w:shd w:val="clear" w:color="auto" w:fill="F2F2F2" w:themeFill="background1" w:themeFillShade="F2"/>
            <w:vAlign w:val="center"/>
          </w:tcPr>
          <w:p w14:paraId="65DA89C8" w14:textId="6A357D04" w:rsidR="008B45D7" w:rsidRPr="006F75D4" w:rsidRDefault="008B45D7" w:rsidP="008B45D7">
            <w:pPr>
              <w:jc w:val="center"/>
              <w:rPr>
                <w:rFonts w:asciiTheme="minorHAnsi" w:eastAsia="Calibri" w:hAnsiTheme="minorHAnsi" w:cstheme="minorHAnsi"/>
                <w:sz w:val="20"/>
              </w:rPr>
            </w:pPr>
            <w:r w:rsidRPr="002A4DD6">
              <w:rPr>
                <w:rFonts w:asciiTheme="minorHAnsi" w:eastAsia="Calibri" w:hAnsiTheme="minorHAnsi" w:cstheme="minorHAnsi"/>
                <w:caps w:val="0"/>
                <w:sz w:val="20"/>
              </w:rPr>
              <w:t>Abitazioni periferiche usate</w:t>
            </w:r>
          </w:p>
        </w:tc>
      </w:tr>
      <w:tr w:rsidR="008B45D7" w:rsidRPr="00F25710" w14:paraId="26B069B5" w14:textId="77777777" w:rsidTr="00073209">
        <w:trPr>
          <w:trHeight w:val="340"/>
          <w:jc w:val="center"/>
        </w:trPr>
        <w:tc>
          <w:tcPr>
            <w:tcW w:w="2444" w:type="dxa"/>
            <w:gridSpan w:val="2"/>
            <w:shd w:val="clear" w:color="auto" w:fill="DEEAF6" w:themeFill="accent1" w:themeFillTint="33"/>
            <w:vAlign w:val="center"/>
          </w:tcPr>
          <w:p w14:paraId="6134D404" w14:textId="417FA84D" w:rsidR="008B45D7" w:rsidRPr="008A632B" w:rsidRDefault="008B45D7" w:rsidP="008B45D7">
            <w:pPr>
              <w:jc w:val="center"/>
              <w:rPr>
                <w:rFonts w:asciiTheme="minorHAnsi" w:eastAsia="Calibri" w:hAnsiTheme="minorHAnsi" w:cstheme="minorHAnsi"/>
                <w:caps w:val="0"/>
                <w:sz w:val="20"/>
              </w:rPr>
            </w:pPr>
            <w:r>
              <w:rPr>
                <w:rFonts w:asciiTheme="minorHAnsi" w:eastAsia="Calibri" w:hAnsiTheme="minorHAnsi" w:cstheme="minorHAnsi"/>
                <w:caps w:val="0"/>
                <w:sz w:val="20"/>
              </w:rPr>
              <w:t>Prezzi</w:t>
            </w:r>
            <w:r w:rsidRPr="008A632B">
              <w:rPr>
                <w:rFonts w:asciiTheme="minorHAnsi" w:eastAsia="Calibri" w:hAnsiTheme="minorHAnsi" w:cstheme="minorHAnsi"/>
                <w:caps w:val="0"/>
                <w:sz w:val="20"/>
              </w:rPr>
              <w:t xml:space="preserve"> minimi</w:t>
            </w:r>
          </w:p>
        </w:tc>
        <w:tc>
          <w:tcPr>
            <w:tcW w:w="2444" w:type="dxa"/>
            <w:gridSpan w:val="2"/>
            <w:shd w:val="clear" w:color="auto" w:fill="DEEAF6" w:themeFill="accent1" w:themeFillTint="33"/>
            <w:vAlign w:val="center"/>
          </w:tcPr>
          <w:p w14:paraId="42B67DD0" w14:textId="22AEAC2C" w:rsidR="008B45D7" w:rsidRPr="008948EB" w:rsidRDefault="008B45D7" w:rsidP="008B45D7">
            <w:pPr>
              <w:jc w:val="center"/>
              <w:rPr>
                <w:rFonts w:ascii="Calibri" w:hAnsi="Calibri" w:cs="Arial"/>
                <w:bCs w:val="0"/>
                <w:sz w:val="20"/>
              </w:rPr>
            </w:pPr>
            <w:r w:rsidRPr="008948EB">
              <w:rPr>
                <w:rFonts w:ascii="Calibri" w:hAnsi="Calibri" w:cs="Arial"/>
                <w:bCs w:val="0"/>
                <w:sz w:val="20"/>
              </w:rPr>
              <w:t>2.890</w:t>
            </w:r>
          </w:p>
        </w:tc>
        <w:tc>
          <w:tcPr>
            <w:tcW w:w="2445" w:type="dxa"/>
            <w:gridSpan w:val="2"/>
            <w:shd w:val="clear" w:color="auto" w:fill="DEEAF6" w:themeFill="accent1" w:themeFillTint="33"/>
            <w:vAlign w:val="center"/>
          </w:tcPr>
          <w:p w14:paraId="6E055EAA" w14:textId="032B93B1" w:rsidR="008B45D7" w:rsidRPr="008948EB" w:rsidRDefault="008B45D7" w:rsidP="008B45D7">
            <w:pPr>
              <w:jc w:val="center"/>
              <w:rPr>
                <w:rFonts w:ascii="Calibri" w:hAnsi="Calibri" w:cs="Arial"/>
                <w:bCs w:val="0"/>
                <w:sz w:val="20"/>
              </w:rPr>
            </w:pPr>
            <w:r w:rsidRPr="008948EB">
              <w:rPr>
                <w:rFonts w:ascii="Calibri" w:hAnsi="Calibri" w:cs="Arial"/>
                <w:bCs w:val="0"/>
                <w:sz w:val="20"/>
              </w:rPr>
              <w:t>2.110</w:t>
            </w:r>
          </w:p>
        </w:tc>
        <w:tc>
          <w:tcPr>
            <w:tcW w:w="2445" w:type="dxa"/>
            <w:gridSpan w:val="2"/>
            <w:shd w:val="clear" w:color="auto" w:fill="DEEAF6" w:themeFill="accent1" w:themeFillTint="33"/>
            <w:vAlign w:val="center"/>
          </w:tcPr>
          <w:p w14:paraId="5F0D923F" w14:textId="3CFABE6C" w:rsidR="008B45D7" w:rsidRPr="008948EB" w:rsidRDefault="008B45D7" w:rsidP="008B45D7">
            <w:pPr>
              <w:jc w:val="center"/>
              <w:rPr>
                <w:rFonts w:ascii="Calibri" w:hAnsi="Calibri" w:cs="Arial"/>
                <w:bCs w:val="0"/>
                <w:sz w:val="20"/>
              </w:rPr>
            </w:pPr>
            <w:r w:rsidRPr="008948EB">
              <w:rPr>
                <w:rFonts w:ascii="Calibri" w:hAnsi="Calibri" w:cs="Arial"/>
                <w:bCs w:val="0"/>
                <w:sz w:val="20"/>
              </w:rPr>
              <w:t>1.530</w:t>
            </w:r>
          </w:p>
        </w:tc>
      </w:tr>
      <w:tr w:rsidR="008B45D7" w:rsidRPr="00F25710" w14:paraId="2D182B02" w14:textId="77777777" w:rsidTr="00073209">
        <w:trPr>
          <w:trHeight w:val="340"/>
          <w:jc w:val="center"/>
        </w:trPr>
        <w:tc>
          <w:tcPr>
            <w:tcW w:w="2444" w:type="dxa"/>
            <w:gridSpan w:val="2"/>
            <w:shd w:val="clear" w:color="auto" w:fill="DEEAF6" w:themeFill="accent1" w:themeFillTint="33"/>
            <w:vAlign w:val="center"/>
          </w:tcPr>
          <w:p w14:paraId="58D41108" w14:textId="746200BE" w:rsidR="008B45D7" w:rsidRPr="008A632B" w:rsidRDefault="008B45D7" w:rsidP="008B45D7">
            <w:pPr>
              <w:jc w:val="center"/>
              <w:rPr>
                <w:rFonts w:asciiTheme="minorHAnsi" w:eastAsia="Calibri" w:hAnsiTheme="minorHAnsi" w:cstheme="minorHAnsi"/>
                <w:caps w:val="0"/>
                <w:sz w:val="20"/>
              </w:rPr>
            </w:pPr>
            <w:r>
              <w:rPr>
                <w:rFonts w:asciiTheme="minorHAnsi" w:eastAsia="Calibri" w:hAnsiTheme="minorHAnsi" w:cstheme="minorHAnsi"/>
                <w:caps w:val="0"/>
                <w:sz w:val="20"/>
              </w:rPr>
              <w:t>Prezzi</w:t>
            </w:r>
            <w:r w:rsidRPr="008A632B">
              <w:rPr>
                <w:rFonts w:asciiTheme="minorHAnsi" w:eastAsia="Calibri" w:hAnsiTheme="minorHAnsi" w:cstheme="minorHAnsi"/>
                <w:caps w:val="0"/>
                <w:sz w:val="20"/>
              </w:rPr>
              <w:t xml:space="preserve"> massimi</w:t>
            </w:r>
          </w:p>
        </w:tc>
        <w:tc>
          <w:tcPr>
            <w:tcW w:w="2444" w:type="dxa"/>
            <w:gridSpan w:val="2"/>
            <w:shd w:val="clear" w:color="auto" w:fill="DEEAF6" w:themeFill="accent1" w:themeFillTint="33"/>
            <w:vAlign w:val="center"/>
          </w:tcPr>
          <w:p w14:paraId="5A9E364C" w14:textId="220FE702" w:rsidR="008B45D7" w:rsidRPr="008948EB" w:rsidRDefault="008B45D7" w:rsidP="008B45D7">
            <w:pPr>
              <w:jc w:val="center"/>
              <w:rPr>
                <w:rFonts w:ascii="Calibri" w:hAnsi="Calibri" w:cs="Arial"/>
                <w:bCs w:val="0"/>
                <w:sz w:val="20"/>
              </w:rPr>
            </w:pPr>
            <w:r w:rsidRPr="008948EB">
              <w:rPr>
                <w:rFonts w:ascii="Calibri" w:hAnsi="Calibri" w:cs="Arial"/>
                <w:bCs w:val="0"/>
                <w:sz w:val="20"/>
              </w:rPr>
              <w:t>4.530</w:t>
            </w:r>
          </w:p>
        </w:tc>
        <w:tc>
          <w:tcPr>
            <w:tcW w:w="2445" w:type="dxa"/>
            <w:gridSpan w:val="2"/>
            <w:shd w:val="clear" w:color="auto" w:fill="DEEAF6" w:themeFill="accent1" w:themeFillTint="33"/>
            <w:vAlign w:val="center"/>
          </w:tcPr>
          <w:p w14:paraId="0295EC03" w14:textId="39CDAE90" w:rsidR="008B45D7" w:rsidRPr="008948EB" w:rsidRDefault="008B45D7" w:rsidP="008B45D7">
            <w:pPr>
              <w:jc w:val="center"/>
              <w:rPr>
                <w:rFonts w:ascii="Calibri" w:hAnsi="Calibri" w:cs="Arial"/>
                <w:bCs w:val="0"/>
                <w:sz w:val="20"/>
              </w:rPr>
            </w:pPr>
            <w:r w:rsidRPr="008948EB">
              <w:rPr>
                <w:rFonts w:ascii="Calibri" w:hAnsi="Calibri" w:cs="Arial"/>
                <w:bCs w:val="0"/>
                <w:sz w:val="20"/>
              </w:rPr>
              <w:t>3.160</w:t>
            </w:r>
          </w:p>
        </w:tc>
        <w:tc>
          <w:tcPr>
            <w:tcW w:w="2445" w:type="dxa"/>
            <w:gridSpan w:val="2"/>
            <w:shd w:val="clear" w:color="auto" w:fill="DEEAF6" w:themeFill="accent1" w:themeFillTint="33"/>
            <w:vAlign w:val="center"/>
          </w:tcPr>
          <w:p w14:paraId="4C8BDFDE" w14:textId="7A680242" w:rsidR="008B45D7" w:rsidRPr="008948EB" w:rsidRDefault="008B45D7" w:rsidP="008B45D7">
            <w:pPr>
              <w:jc w:val="center"/>
              <w:rPr>
                <w:rFonts w:ascii="Calibri" w:hAnsi="Calibri" w:cs="Arial"/>
                <w:bCs w:val="0"/>
                <w:sz w:val="20"/>
              </w:rPr>
            </w:pPr>
            <w:r w:rsidRPr="008948EB">
              <w:rPr>
                <w:rFonts w:ascii="Calibri" w:hAnsi="Calibri" w:cs="Arial"/>
                <w:bCs w:val="0"/>
                <w:sz w:val="20"/>
              </w:rPr>
              <w:t>2.200</w:t>
            </w:r>
          </w:p>
        </w:tc>
      </w:tr>
      <w:tr w:rsidR="008B45D7" w:rsidRPr="00F25710" w14:paraId="32DE3921" w14:textId="77777777" w:rsidTr="00073209">
        <w:trPr>
          <w:gridAfter w:val="1"/>
          <w:wAfter w:w="26" w:type="dxa"/>
          <w:trHeight w:val="20"/>
          <w:jc w:val="center"/>
        </w:trPr>
        <w:tc>
          <w:tcPr>
            <w:tcW w:w="2438" w:type="dxa"/>
            <w:shd w:val="clear" w:color="auto" w:fill="auto"/>
            <w:vAlign w:val="center"/>
          </w:tcPr>
          <w:p w14:paraId="1336B0AA" w14:textId="77777777" w:rsidR="008B45D7" w:rsidRPr="008A632B" w:rsidRDefault="008B45D7" w:rsidP="008B45D7">
            <w:pPr>
              <w:jc w:val="center"/>
              <w:rPr>
                <w:rFonts w:asciiTheme="minorHAnsi" w:eastAsia="Calibri" w:hAnsiTheme="minorHAnsi" w:cstheme="minorHAnsi"/>
                <w:sz w:val="20"/>
              </w:rPr>
            </w:pPr>
          </w:p>
        </w:tc>
        <w:tc>
          <w:tcPr>
            <w:tcW w:w="2438" w:type="dxa"/>
            <w:gridSpan w:val="2"/>
            <w:shd w:val="clear" w:color="auto" w:fill="auto"/>
            <w:vAlign w:val="center"/>
          </w:tcPr>
          <w:p w14:paraId="3424216E" w14:textId="77777777" w:rsidR="008B45D7" w:rsidRPr="008A632B" w:rsidRDefault="008B45D7" w:rsidP="008B45D7">
            <w:pPr>
              <w:jc w:val="center"/>
              <w:rPr>
                <w:rFonts w:ascii="Calibri" w:hAnsi="Calibri" w:cs="Arial"/>
                <w:b w:val="0"/>
                <w:sz w:val="20"/>
              </w:rPr>
            </w:pPr>
          </w:p>
        </w:tc>
        <w:tc>
          <w:tcPr>
            <w:tcW w:w="2438" w:type="dxa"/>
            <w:gridSpan w:val="2"/>
            <w:shd w:val="clear" w:color="auto" w:fill="auto"/>
            <w:vAlign w:val="center"/>
          </w:tcPr>
          <w:p w14:paraId="69235139" w14:textId="77777777" w:rsidR="008B45D7" w:rsidRPr="008A632B" w:rsidRDefault="008B45D7" w:rsidP="008B45D7">
            <w:pPr>
              <w:jc w:val="center"/>
              <w:rPr>
                <w:rFonts w:ascii="Calibri" w:hAnsi="Calibri" w:cs="Arial"/>
                <w:b w:val="0"/>
                <w:sz w:val="20"/>
              </w:rPr>
            </w:pPr>
          </w:p>
        </w:tc>
        <w:tc>
          <w:tcPr>
            <w:tcW w:w="2438" w:type="dxa"/>
            <w:gridSpan w:val="2"/>
            <w:shd w:val="clear" w:color="auto" w:fill="auto"/>
            <w:vAlign w:val="center"/>
          </w:tcPr>
          <w:p w14:paraId="0AEFF6DD" w14:textId="77777777" w:rsidR="008B45D7" w:rsidRPr="008A632B" w:rsidRDefault="008B45D7" w:rsidP="008B45D7">
            <w:pPr>
              <w:jc w:val="center"/>
              <w:rPr>
                <w:rFonts w:ascii="Calibri" w:hAnsi="Calibri" w:cs="Arial"/>
                <w:b w:val="0"/>
                <w:sz w:val="20"/>
              </w:rPr>
            </w:pPr>
          </w:p>
        </w:tc>
      </w:tr>
      <w:tr w:rsidR="008B45D7" w:rsidRPr="00F25710" w14:paraId="739A0BD6" w14:textId="77777777" w:rsidTr="00073209">
        <w:trPr>
          <w:trHeight w:val="340"/>
          <w:jc w:val="center"/>
        </w:trPr>
        <w:tc>
          <w:tcPr>
            <w:tcW w:w="2444" w:type="dxa"/>
            <w:gridSpan w:val="2"/>
            <w:shd w:val="clear" w:color="auto" w:fill="DEEAF6" w:themeFill="accent1" w:themeFillTint="33"/>
            <w:vAlign w:val="center"/>
          </w:tcPr>
          <w:p w14:paraId="12426D59" w14:textId="40C2639C" w:rsidR="008B45D7" w:rsidRPr="008A632B" w:rsidRDefault="008B45D7" w:rsidP="008B45D7">
            <w:pPr>
              <w:jc w:val="center"/>
              <w:rPr>
                <w:rFonts w:asciiTheme="minorHAnsi" w:eastAsia="Calibri" w:hAnsiTheme="minorHAnsi" w:cstheme="minorHAnsi"/>
                <w:sz w:val="20"/>
              </w:rPr>
            </w:pPr>
            <w:r>
              <w:rPr>
                <w:rFonts w:asciiTheme="minorHAnsi" w:eastAsia="Calibri" w:hAnsiTheme="minorHAnsi" w:cstheme="minorHAnsi"/>
                <w:caps w:val="0"/>
                <w:sz w:val="20"/>
              </w:rPr>
              <w:t xml:space="preserve">Prezzi </w:t>
            </w:r>
            <w:r w:rsidRPr="008A632B">
              <w:rPr>
                <w:rFonts w:asciiTheme="minorHAnsi" w:eastAsia="Calibri" w:hAnsiTheme="minorHAnsi" w:cstheme="minorHAnsi"/>
                <w:caps w:val="0"/>
                <w:sz w:val="20"/>
              </w:rPr>
              <w:t>medi</w:t>
            </w:r>
            <w:r w:rsidR="00905D0D">
              <w:rPr>
                <w:rFonts w:asciiTheme="minorHAnsi" w:eastAsia="Calibri" w:hAnsiTheme="minorHAnsi" w:cstheme="minorHAnsi"/>
                <w:caps w:val="0"/>
                <w:sz w:val="20"/>
              </w:rPr>
              <w:t xml:space="preserve"> </w:t>
            </w:r>
          </w:p>
        </w:tc>
        <w:tc>
          <w:tcPr>
            <w:tcW w:w="2444" w:type="dxa"/>
            <w:gridSpan w:val="2"/>
            <w:shd w:val="clear" w:color="auto" w:fill="DEEAF6" w:themeFill="accent1" w:themeFillTint="33"/>
            <w:vAlign w:val="center"/>
          </w:tcPr>
          <w:p w14:paraId="1969B851" w14:textId="595844F6" w:rsidR="008B45D7" w:rsidRPr="008A632B" w:rsidRDefault="008B45D7" w:rsidP="008B45D7">
            <w:pPr>
              <w:jc w:val="center"/>
              <w:rPr>
                <w:rFonts w:ascii="Calibri" w:hAnsi="Calibri" w:cs="Arial"/>
                <w:b w:val="0"/>
                <w:sz w:val="20"/>
              </w:rPr>
            </w:pPr>
            <w:r w:rsidRPr="0024753B">
              <w:rPr>
                <w:rFonts w:ascii="Calibri" w:hAnsi="Calibri" w:cs="Calibri"/>
                <w:color w:val="000000"/>
                <w:sz w:val="20"/>
                <w:szCs w:val="20"/>
              </w:rPr>
              <w:t>3.710</w:t>
            </w:r>
          </w:p>
        </w:tc>
        <w:tc>
          <w:tcPr>
            <w:tcW w:w="2445" w:type="dxa"/>
            <w:gridSpan w:val="2"/>
            <w:shd w:val="clear" w:color="auto" w:fill="DEEAF6" w:themeFill="accent1" w:themeFillTint="33"/>
            <w:vAlign w:val="center"/>
          </w:tcPr>
          <w:p w14:paraId="07D0ABC2" w14:textId="3D811F13" w:rsidR="008B45D7" w:rsidRPr="008A632B" w:rsidRDefault="008B45D7" w:rsidP="008B45D7">
            <w:pPr>
              <w:jc w:val="center"/>
              <w:rPr>
                <w:rFonts w:ascii="Calibri" w:hAnsi="Calibri" w:cs="Arial"/>
                <w:b w:val="0"/>
                <w:sz w:val="20"/>
              </w:rPr>
            </w:pPr>
            <w:r w:rsidRPr="0024753B">
              <w:rPr>
                <w:rFonts w:ascii="Calibri" w:hAnsi="Calibri" w:cs="Calibri"/>
                <w:color w:val="000000"/>
                <w:sz w:val="20"/>
                <w:szCs w:val="20"/>
              </w:rPr>
              <w:t>2.640</w:t>
            </w:r>
          </w:p>
        </w:tc>
        <w:tc>
          <w:tcPr>
            <w:tcW w:w="2445" w:type="dxa"/>
            <w:gridSpan w:val="2"/>
            <w:shd w:val="clear" w:color="auto" w:fill="DEEAF6" w:themeFill="accent1" w:themeFillTint="33"/>
            <w:vAlign w:val="center"/>
          </w:tcPr>
          <w:p w14:paraId="6B59EB05" w14:textId="3CD342AF" w:rsidR="008B45D7" w:rsidRPr="008A632B" w:rsidRDefault="008B45D7" w:rsidP="008B45D7">
            <w:pPr>
              <w:jc w:val="center"/>
              <w:rPr>
                <w:rFonts w:ascii="Calibri" w:hAnsi="Calibri" w:cs="Arial"/>
                <w:b w:val="0"/>
                <w:sz w:val="20"/>
              </w:rPr>
            </w:pPr>
            <w:r w:rsidRPr="0024753B">
              <w:rPr>
                <w:rFonts w:ascii="Calibri" w:hAnsi="Calibri" w:cs="Calibri"/>
                <w:color w:val="000000"/>
                <w:sz w:val="20"/>
                <w:szCs w:val="20"/>
              </w:rPr>
              <w:t>1.860</w:t>
            </w:r>
          </w:p>
        </w:tc>
      </w:tr>
      <w:tr w:rsidR="00905D0D" w:rsidRPr="00F25710" w14:paraId="22B943C7" w14:textId="77777777" w:rsidTr="00073209">
        <w:trPr>
          <w:trHeight w:val="340"/>
          <w:jc w:val="center"/>
        </w:trPr>
        <w:tc>
          <w:tcPr>
            <w:tcW w:w="2444" w:type="dxa"/>
            <w:gridSpan w:val="2"/>
            <w:shd w:val="clear" w:color="auto" w:fill="DEEAF6" w:themeFill="accent1" w:themeFillTint="33"/>
            <w:vAlign w:val="center"/>
          </w:tcPr>
          <w:p w14:paraId="3403F3DA" w14:textId="2733F643" w:rsidR="00905D0D" w:rsidRDefault="00905D0D" w:rsidP="008B45D7">
            <w:pPr>
              <w:jc w:val="center"/>
              <w:rPr>
                <w:rFonts w:asciiTheme="minorHAnsi" w:eastAsia="Calibri" w:hAnsiTheme="minorHAnsi" w:cstheme="minorHAnsi"/>
                <w:caps w:val="0"/>
                <w:sz w:val="20"/>
              </w:rPr>
            </w:pPr>
            <w:proofErr w:type="spellStart"/>
            <w:r w:rsidRPr="00694B46">
              <w:rPr>
                <w:rFonts w:asciiTheme="minorHAnsi" w:eastAsia="Calibri" w:hAnsiTheme="minorHAnsi" w:cstheme="minorHAnsi"/>
                <w:caps w:val="0"/>
                <w:sz w:val="20"/>
              </w:rPr>
              <w:t>Var</w:t>
            </w:r>
            <w:proofErr w:type="spellEnd"/>
            <w:r w:rsidRPr="00694B46">
              <w:rPr>
                <w:rFonts w:asciiTheme="minorHAnsi" w:eastAsia="Calibri" w:hAnsiTheme="minorHAnsi" w:cstheme="minorHAnsi"/>
                <w:caps w:val="0"/>
                <w:sz w:val="20"/>
              </w:rPr>
              <w:t xml:space="preserve">% </w:t>
            </w:r>
            <w:r w:rsidR="00456601">
              <w:rPr>
                <w:rFonts w:asciiTheme="minorHAnsi" w:eastAsia="Calibri" w:hAnsiTheme="minorHAnsi" w:cstheme="minorHAnsi"/>
                <w:caps w:val="0"/>
                <w:sz w:val="20"/>
              </w:rPr>
              <w:t xml:space="preserve">prezzi medi </w:t>
            </w:r>
            <w:r>
              <w:rPr>
                <w:rFonts w:asciiTheme="minorHAnsi" w:eastAsia="Calibri" w:hAnsiTheme="minorHAnsi" w:cstheme="minorHAnsi"/>
                <w:caps w:val="0"/>
                <w:sz w:val="20"/>
              </w:rPr>
              <w:t>2021/2020</w:t>
            </w:r>
          </w:p>
        </w:tc>
        <w:tc>
          <w:tcPr>
            <w:tcW w:w="2444" w:type="dxa"/>
            <w:gridSpan w:val="2"/>
            <w:shd w:val="clear" w:color="auto" w:fill="DEEAF6" w:themeFill="accent1" w:themeFillTint="33"/>
            <w:vAlign w:val="center"/>
          </w:tcPr>
          <w:p w14:paraId="16AEBBC7" w14:textId="6BA5FEDF" w:rsidR="00905D0D" w:rsidRPr="0024753B" w:rsidRDefault="00456601" w:rsidP="008B45D7">
            <w:pPr>
              <w:jc w:val="center"/>
              <w:rPr>
                <w:rFonts w:ascii="Calibri" w:hAnsi="Calibri" w:cs="Calibri"/>
                <w:color w:val="000000"/>
                <w:sz w:val="20"/>
                <w:szCs w:val="20"/>
              </w:rPr>
            </w:pPr>
            <w:r w:rsidRPr="00694B46">
              <w:rPr>
                <w:rFonts w:ascii="Calibri" w:hAnsi="Calibri" w:cs="Calibri"/>
                <w:color w:val="000000"/>
                <w:sz w:val="20"/>
                <w:szCs w:val="20"/>
              </w:rPr>
              <w:t>3,1</w:t>
            </w:r>
          </w:p>
        </w:tc>
        <w:tc>
          <w:tcPr>
            <w:tcW w:w="2445" w:type="dxa"/>
            <w:gridSpan w:val="2"/>
            <w:shd w:val="clear" w:color="auto" w:fill="DEEAF6" w:themeFill="accent1" w:themeFillTint="33"/>
            <w:vAlign w:val="center"/>
          </w:tcPr>
          <w:p w14:paraId="48668301" w14:textId="427C3C52" w:rsidR="00905D0D" w:rsidRPr="0024753B" w:rsidRDefault="00456601" w:rsidP="008B45D7">
            <w:pPr>
              <w:jc w:val="center"/>
              <w:rPr>
                <w:rFonts w:ascii="Calibri" w:hAnsi="Calibri" w:cs="Calibri"/>
                <w:color w:val="000000"/>
                <w:sz w:val="20"/>
                <w:szCs w:val="20"/>
              </w:rPr>
            </w:pPr>
            <w:r w:rsidRPr="00694B46">
              <w:rPr>
                <w:rFonts w:ascii="Calibri" w:hAnsi="Calibri" w:cs="Calibri"/>
                <w:color w:val="000000"/>
                <w:sz w:val="20"/>
                <w:szCs w:val="20"/>
              </w:rPr>
              <w:t>3,2</w:t>
            </w:r>
          </w:p>
        </w:tc>
        <w:tc>
          <w:tcPr>
            <w:tcW w:w="2445" w:type="dxa"/>
            <w:gridSpan w:val="2"/>
            <w:shd w:val="clear" w:color="auto" w:fill="DEEAF6" w:themeFill="accent1" w:themeFillTint="33"/>
            <w:vAlign w:val="center"/>
          </w:tcPr>
          <w:p w14:paraId="1FBCA2AB" w14:textId="007C2448" w:rsidR="00905D0D" w:rsidRPr="0024753B" w:rsidRDefault="00456601" w:rsidP="008B45D7">
            <w:pPr>
              <w:jc w:val="center"/>
              <w:rPr>
                <w:rFonts w:ascii="Calibri" w:hAnsi="Calibri" w:cs="Calibri"/>
                <w:color w:val="000000"/>
                <w:sz w:val="20"/>
                <w:szCs w:val="20"/>
              </w:rPr>
            </w:pPr>
            <w:r w:rsidRPr="00694B46">
              <w:rPr>
                <w:rFonts w:ascii="Calibri" w:hAnsi="Calibri" w:cs="Calibri"/>
                <w:color w:val="000000"/>
                <w:sz w:val="20"/>
                <w:szCs w:val="20"/>
              </w:rPr>
              <w:t>3,0</w:t>
            </w:r>
          </w:p>
        </w:tc>
      </w:tr>
    </w:tbl>
    <w:p w14:paraId="62E76E7E" w14:textId="6386D3DB" w:rsidR="00905D0D" w:rsidRPr="0041716C" w:rsidRDefault="00905D0D" w:rsidP="00905D0D">
      <w:pPr>
        <w:spacing w:before="60"/>
        <w:rPr>
          <w:rFonts w:asciiTheme="minorHAnsi" w:eastAsia="Calibri" w:hAnsiTheme="minorHAnsi" w:cstheme="minorHAnsi"/>
          <w:sz w:val="18"/>
        </w:rPr>
      </w:pPr>
      <w:r w:rsidRPr="0041716C">
        <w:rPr>
          <w:rFonts w:asciiTheme="minorHAnsi" w:eastAsia="Calibri" w:hAnsiTheme="minorHAnsi" w:cstheme="minorHAnsi"/>
          <w:sz w:val="18"/>
        </w:rPr>
        <w:t>Fonte: Nomisma e Fimaa-Confcommercio</w:t>
      </w:r>
    </w:p>
    <w:p w14:paraId="061EE417" w14:textId="77777777" w:rsidR="008B45D7" w:rsidRDefault="008B45D7" w:rsidP="00364602">
      <w:pPr>
        <w:rPr>
          <w:rFonts w:asciiTheme="minorHAnsi" w:eastAsia="Calibri" w:hAnsiTheme="minorHAnsi" w:cstheme="minorHAnsi"/>
          <w:strike/>
          <w:sz w:val="22"/>
        </w:rPr>
      </w:pPr>
    </w:p>
    <w:p w14:paraId="17625104" w14:textId="7556F8FC" w:rsidR="00115455" w:rsidRDefault="00E11451" w:rsidP="001C3BE4">
      <w:pPr>
        <w:pStyle w:val="Paragrafoelenco"/>
        <w:spacing w:after="120"/>
        <w:ind w:left="0"/>
        <w:contextualSpacing w:val="0"/>
        <w:jc w:val="both"/>
        <w:rPr>
          <w:rFonts w:asciiTheme="minorHAnsi" w:eastAsia="Calibri" w:hAnsiTheme="minorHAnsi" w:cstheme="minorHAnsi"/>
          <w:sz w:val="22"/>
          <w:szCs w:val="22"/>
        </w:rPr>
      </w:pPr>
      <w:r w:rsidRPr="00115455">
        <w:rPr>
          <w:rFonts w:asciiTheme="minorHAnsi" w:eastAsia="Calibri" w:hAnsiTheme="minorHAnsi" w:cstheme="minorHAnsi"/>
          <w:sz w:val="22"/>
          <w:szCs w:val="22"/>
        </w:rPr>
        <w:t xml:space="preserve">In cima alla classifica delle principali località turistiche </w:t>
      </w:r>
      <w:r w:rsidR="00413D5E" w:rsidRPr="00115455">
        <w:rPr>
          <w:rFonts w:asciiTheme="minorHAnsi" w:eastAsia="Calibri" w:hAnsiTheme="minorHAnsi" w:cstheme="minorHAnsi"/>
          <w:sz w:val="22"/>
          <w:szCs w:val="22"/>
        </w:rPr>
        <w:t xml:space="preserve">- </w:t>
      </w:r>
      <w:r w:rsidRPr="00115455">
        <w:rPr>
          <w:rFonts w:asciiTheme="minorHAnsi" w:eastAsia="Calibri" w:hAnsiTheme="minorHAnsi" w:cstheme="minorHAnsi"/>
          <w:sz w:val="22"/>
          <w:szCs w:val="22"/>
        </w:rPr>
        <w:t>per quanto riguarda i prezzi massimi di compravendita di appartamenti top o nuovi</w:t>
      </w:r>
      <w:r w:rsidRPr="00115455">
        <w:rPr>
          <w:rFonts w:asciiTheme="minorHAnsi" w:eastAsia="Calibri" w:hAnsiTheme="minorHAnsi"/>
          <w:sz w:val="22"/>
          <w:szCs w:val="22"/>
          <w:vertAlign w:val="superscript"/>
        </w:rPr>
        <w:footnoteReference w:id="3"/>
      </w:r>
      <w:r w:rsidRPr="00115455">
        <w:rPr>
          <w:rFonts w:asciiTheme="minorHAnsi" w:eastAsia="Calibri" w:hAnsiTheme="minorHAnsi" w:cstheme="minorHAnsi"/>
          <w:sz w:val="22"/>
          <w:szCs w:val="22"/>
        </w:rPr>
        <w:t xml:space="preserve"> </w:t>
      </w:r>
      <w:r w:rsidR="00413D5E" w:rsidRPr="00115455">
        <w:rPr>
          <w:rFonts w:asciiTheme="minorHAnsi" w:eastAsia="Calibri" w:hAnsiTheme="minorHAnsi" w:cstheme="minorHAnsi"/>
          <w:sz w:val="22"/>
          <w:szCs w:val="22"/>
        </w:rPr>
        <w:t>-</w:t>
      </w:r>
      <w:r w:rsidRPr="00115455">
        <w:rPr>
          <w:rFonts w:asciiTheme="minorHAnsi" w:eastAsia="Calibri" w:hAnsiTheme="minorHAnsi" w:cstheme="minorHAnsi"/>
          <w:sz w:val="22"/>
          <w:szCs w:val="22"/>
        </w:rPr>
        <w:t xml:space="preserve"> troviamo</w:t>
      </w:r>
      <w:r w:rsidR="00115455" w:rsidRPr="00115455">
        <w:rPr>
          <w:rFonts w:asciiTheme="minorHAnsi" w:eastAsia="Calibri" w:hAnsiTheme="minorHAnsi" w:cstheme="minorHAnsi"/>
          <w:sz w:val="22"/>
          <w:szCs w:val="22"/>
        </w:rPr>
        <w:t xml:space="preserve"> anche</w:t>
      </w:r>
      <w:r w:rsidRPr="00115455">
        <w:rPr>
          <w:rFonts w:asciiTheme="minorHAnsi" w:eastAsia="Calibri" w:hAnsiTheme="minorHAnsi" w:cstheme="minorHAnsi"/>
          <w:sz w:val="22"/>
          <w:szCs w:val="22"/>
        </w:rPr>
        <w:t xml:space="preserve"> quest’anno una destinazione montana, </w:t>
      </w:r>
      <w:r w:rsidR="00115455" w:rsidRPr="00115455">
        <w:rPr>
          <w:rFonts w:asciiTheme="minorHAnsi" w:eastAsia="Calibri" w:hAnsiTheme="minorHAnsi" w:cstheme="minorHAnsi"/>
          <w:sz w:val="22"/>
          <w:szCs w:val="22"/>
        </w:rPr>
        <w:t xml:space="preserve">plausibilmente </w:t>
      </w:r>
      <w:r w:rsidRPr="00115455">
        <w:rPr>
          <w:rFonts w:asciiTheme="minorHAnsi" w:eastAsia="Calibri" w:hAnsiTheme="minorHAnsi" w:cstheme="minorHAnsi"/>
          <w:sz w:val="22"/>
          <w:szCs w:val="22"/>
        </w:rPr>
        <w:t>per effetto dell</w:t>
      </w:r>
      <w:r w:rsidR="00115455" w:rsidRPr="00115455">
        <w:rPr>
          <w:rFonts w:asciiTheme="minorHAnsi" w:eastAsia="Calibri" w:hAnsiTheme="minorHAnsi" w:cstheme="minorHAnsi"/>
          <w:sz w:val="22"/>
          <w:szCs w:val="22"/>
        </w:rPr>
        <w:t>’</w:t>
      </w:r>
      <w:r w:rsidRPr="00115455">
        <w:rPr>
          <w:rFonts w:asciiTheme="minorHAnsi" w:eastAsia="Calibri" w:hAnsiTheme="minorHAnsi" w:cstheme="minorHAnsi"/>
          <w:sz w:val="22"/>
          <w:szCs w:val="22"/>
        </w:rPr>
        <w:t>attrattività</w:t>
      </w:r>
      <w:r w:rsidR="00115455" w:rsidRPr="00115455">
        <w:rPr>
          <w:rFonts w:asciiTheme="minorHAnsi" w:eastAsia="Calibri" w:hAnsiTheme="minorHAnsi" w:cstheme="minorHAnsi"/>
          <w:sz w:val="22"/>
          <w:szCs w:val="22"/>
        </w:rPr>
        <w:t xml:space="preserve"> che </w:t>
      </w:r>
      <w:r w:rsidR="00115455">
        <w:rPr>
          <w:rFonts w:asciiTheme="minorHAnsi" w:eastAsia="Calibri" w:hAnsiTheme="minorHAnsi" w:cstheme="minorHAnsi"/>
          <w:sz w:val="22"/>
          <w:szCs w:val="22"/>
        </w:rPr>
        <w:t>la montagna</w:t>
      </w:r>
      <w:r w:rsidR="00115455" w:rsidRPr="00115455">
        <w:rPr>
          <w:rFonts w:asciiTheme="minorHAnsi" w:eastAsia="Calibri" w:hAnsiTheme="minorHAnsi" w:cstheme="minorHAnsi"/>
          <w:sz w:val="22"/>
          <w:szCs w:val="22"/>
        </w:rPr>
        <w:t xml:space="preserve"> </w:t>
      </w:r>
      <w:r w:rsidR="00115455">
        <w:rPr>
          <w:rFonts w:asciiTheme="minorHAnsi" w:eastAsia="Calibri" w:hAnsiTheme="minorHAnsi" w:cstheme="minorHAnsi"/>
          <w:sz w:val="22"/>
          <w:szCs w:val="22"/>
        </w:rPr>
        <w:t>riveste</w:t>
      </w:r>
      <w:r w:rsidR="00115455" w:rsidRPr="00115455">
        <w:rPr>
          <w:rFonts w:asciiTheme="minorHAnsi" w:eastAsia="Calibri" w:hAnsiTheme="minorHAnsi" w:cstheme="minorHAnsi"/>
          <w:sz w:val="22"/>
          <w:szCs w:val="22"/>
        </w:rPr>
        <w:t xml:space="preserve"> in questo periodo pandemico. Le attività outdoor, infatti, rappresentano una delle motivazioni principali </w:t>
      </w:r>
      <w:r w:rsidR="00937A4D">
        <w:rPr>
          <w:rFonts w:asciiTheme="minorHAnsi" w:eastAsia="Calibri" w:hAnsiTheme="minorHAnsi" w:cstheme="minorHAnsi"/>
          <w:sz w:val="22"/>
          <w:szCs w:val="22"/>
        </w:rPr>
        <w:t>alla base d</w:t>
      </w:r>
      <w:r w:rsidR="00115455" w:rsidRPr="00115455">
        <w:rPr>
          <w:rFonts w:asciiTheme="minorHAnsi" w:eastAsia="Calibri" w:hAnsiTheme="minorHAnsi" w:cstheme="minorHAnsi"/>
          <w:sz w:val="22"/>
          <w:szCs w:val="22"/>
        </w:rPr>
        <w:t>i viaggi e vacanze degli italiani</w:t>
      </w:r>
      <w:r w:rsidR="00115455">
        <w:rPr>
          <w:rFonts w:asciiTheme="minorHAnsi" w:eastAsia="Calibri" w:hAnsiTheme="minorHAnsi" w:cstheme="minorHAnsi"/>
          <w:sz w:val="22"/>
          <w:szCs w:val="22"/>
        </w:rPr>
        <w:t>.</w:t>
      </w:r>
    </w:p>
    <w:p w14:paraId="5C677F07" w14:textId="3150896D" w:rsidR="001C3BE4" w:rsidRDefault="008948EB" w:rsidP="001C3BE4">
      <w:pPr>
        <w:pStyle w:val="Paragrafoelenco"/>
        <w:spacing w:after="120"/>
        <w:ind w:left="0"/>
        <w:contextualSpacing w:val="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Nel dettaglio, </w:t>
      </w:r>
      <w:r w:rsidR="00115455" w:rsidRPr="00250D22">
        <w:rPr>
          <w:rFonts w:asciiTheme="minorHAnsi" w:eastAsia="Calibri" w:hAnsiTheme="minorHAnsi" w:cstheme="minorHAnsi"/>
          <w:sz w:val="22"/>
          <w:szCs w:val="22"/>
        </w:rPr>
        <w:t xml:space="preserve">Cortina d'Ampezzo (BL) </w:t>
      </w:r>
      <w:r w:rsidR="00115455">
        <w:rPr>
          <w:rFonts w:asciiTheme="minorHAnsi" w:eastAsia="Calibri" w:hAnsiTheme="minorHAnsi" w:cstheme="minorHAnsi"/>
          <w:sz w:val="22"/>
          <w:szCs w:val="22"/>
        </w:rPr>
        <w:t>si posiziona in cima alla classifica</w:t>
      </w:r>
      <w:r w:rsidR="00115455" w:rsidRPr="00250D22">
        <w:rPr>
          <w:rFonts w:asciiTheme="minorHAnsi" w:eastAsia="Calibri" w:hAnsiTheme="minorHAnsi" w:cstheme="minorHAnsi"/>
          <w:sz w:val="22"/>
          <w:szCs w:val="22"/>
        </w:rPr>
        <w:t xml:space="preserve"> con valori che raggiungono i 13.</w:t>
      </w:r>
      <w:r w:rsidR="00250D22" w:rsidRPr="00250D22">
        <w:rPr>
          <w:rFonts w:asciiTheme="minorHAnsi" w:eastAsia="Calibri" w:hAnsiTheme="minorHAnsi" w:cstheme="minorHAnsi"/>
          <w:sz w:val="22"/>
          <w:szCs w:val="22"/>
        </w:rPr>
        <w:t>5</w:t>
      </w:r>
      <w:r w:rsidR="00115455" w:rsidRPr="00250D22">
        <w:rPr>
          <w:rFonts w:asciiTheme="minorHAnsi" w:eastAsia="Calibri" w:hAnsiTheme="minorHAnsi" w:cstheme="minorHAnsi"/>
          <w:sz w:val="22"/>
          <w:szCs w:val="22"/>
        </w:rPr>
        <w:t xml:space="preserve">00 €/mq, guadagnando in un anno 4 posizioni, </w:t>
      </w:r>
      <w:r>
        <w:rPr>
          <w:rFonts w:asciiTheme="minorHAnsi" w:eastAsia="Calibri" w:hAnsiTheme="minorHAnsi" w:cstheme="minorHAnsi"/>
          <w:sz w:val="22"/>
          <w:szCs w:val="22"/>
        </w:rPr>
        <w:t>superando</w:t>
      </w:r>
      <w:r w:rsidR="00115455" w:rsidRPr="00250D22">
        <w:rPr>
          <w:rFonts w:asciiTheme="minorHAnsi" w:eastAsia="Calibri" w:hAnsiTheme="minorHAnsi" w:cstheme="minorHAnsi"/>
          <w:sz w:val="22"/>
          <w:szCs w:val="22"/>
        </w:rPr>
        <w:t xml:space="preserve"> Madonna di Campiglio che </w:t>
      </w:r>
      <w:r w:rsidR="00937A4D">
        <w:rPr>
          <w:rFonts w:asciiTheme="minorHAnsi" w:eastAsia="Calibri" w:hAnsiTheme="minorHAnsi" w:cstheme="minorHAnsi"/>
          <w:sz w:val="22"/>
          <w:szCs w:val="22"/>
        </w:rPr>
        <w:t>si colloca</w:t>
      </w:r>
      <w:r w:rsidR="00115455" w:rsidRPr="00250D22">
        <w:rPr>
          <w:rFonts w:asciiTheme="minorHAnsi" w:eastAsia="Calibri" w:hAnsiTheme="minorHAnsi" w:cstheme="minorHAnsi"/>
          <w:sz w:val="22"/>
          <w:szCs w:val="22"/>
        </w:rPr>
        <w:t xml:space="preserve"> in seconda posizione</w:t>
      </w:r>
      <w:r w:rsidR="00250D22" w:rsidRPr="00250D22">
        <w:rPr>
          <w:rFonts w:asciiTheme="minorHAnsi" w:eastAsia="Calibri" w:hAnsiTheme="minorHAnsi" w:cstheme="minorHAnsi"/>
          <w:sz w:val="22"/>
          <w:szCs w:val="22"/>
        </w:rPr>
        <w:t xml:space="preserve"> con 13.000 €/mq. In terza e quarta posizione vi sono due destinazioni marittime, ovvero Forte dei Marmi (LU) e Capri (NA)</w:t>
      </w:r>
      <w:r w:rsidR="00250D22">
        <w:rPr>
          <w:rFonts w:asciiTheme="minorHAnsi" w:eastAsia="Calibri" w:hAnsiTheme="minorHAnsi" w:cstheme="minorHAnsi"/>
          <w:sz w:val="22"/>
          <w:szCs w:val="22"/>
        </w:rPr>
        <w:t>,</w:t>
      </w:r>
      <w:r w:rsidR="00250D22" w:rsidRPr="00250D22">
        <w:rPr>
          <w:rFonts w:asciiTheme="minorHAnsi" w:eastAsia="Calibri" w:hAnsiTheme="minorHAnsi" w:cstheme="minorHAnsi"/>
          <w:sz w:val="22"/>
          <w:szCs w:val="22"/>
        </w:rPr>
        <w:t xml:space="preserve"> rispettivamente con</w:t>
      </w:r>
      <w:r w:rsidR="00A77E30">
        <w:rPr>
          <w:rFonts w:asciiTheme="minorHAnsi" w:eastAsia="Calibri" w:hAnsiTheme="minorHAnsi" w:cstheme="minorHAnsi"/>
          <w:sz w:val="22"/>
          <w:szCs w:val="22"/>
        </w:rPr>
        <w:t xml:space="preserve"> un prezzo </w:t>
      </w:r>
      <w:r w:rsidR="00937A4D">
        <w:rPr>
          <w:rFonts w:asciiTheme="minorHAnsi" w:eastAsia="Calibri" w:hAnsiTheme="minorHAnsi" w:cstheme="minorHAnsi"/>
          <w:sz w:val="22"/>
          <w:szCs w:val="22"/>
        </w:rPr>
        <w:t xml:space="preserve">medio-massimo </w:t>
      </w:r>
      <w:r w:rsidR="00A77E30">
        <w:rPr>
          <w:rFonts w:asciiTheme="minorHAnsi" w:eastAsia="Calibri" w:hAnsiTheme="minorHAnsi" w:cstheme="minorHAnsi"/>
          <w:sz w:val="22"/>
          <w:szCs w:val="22"/>
        </w:rPr>
        <w:t>per abitazioni di</w:t>
      </w:r>
      <w:r w:rsidR="00250D22" w:rsidRPr="00250D22">
        <w:rPr>
          <w:rFonts w:asciiTheme="minorHAnsi" w:eastAsia="Calibri" w:hAnsiTheme="minorHAnsi" w:cstheme="minorHAnsi"/>
          <w:sz w:val="22"/>
          <w:szCs w:val="22"/>
        </w:rPr>
        <w:t xml:space="preserve"> 13.000 €/mq e </w:t>
      </w:r>
      <w:r w:rsidR="00A77E30" w:rsidRPr="00250D22">
        <w:rPr>
          <w:rFonts w:asciiTheme="minorHAnsi" w:eastAsia="Calibri" w:hAnsiTheme="minorHAnsi" w:cstheme="minorHAnsi"/>
          <w:sz w:val="22"/>
          <w:szCs w:val="22"/>
        </w:rPr>
        <w:t>12.500 €/mq</w:t>
      </w:r>
      <w:r w:rsidR="00250D22" w:rsidRPr="00250D22">
        <w:rPr>
          <w:rFonts w:asciiTheme="minorHAnsi" w:eastAsia="Calibri" w:hAnsiTheme="minorHAnsi" w:cstheme="minorHAnsi"/>
          <w:sz w:val="22"/>
          <w:szCs w:val="22"/>
        </w:rPr>
        <w:t>.</w:t>
      </w:r>
      <w:r w:rsidR="001C3BE4">
        <w:rPr>
          <w:rFonts w:asciiTheme="minorHAnsi" w:eastAsia="Calibri" w:hAnsiTheme="minorHAnsi" w:cstheme="minorHAnsi"/>
          <w:sz w:val="22"/>
          <w:szCs w:val="22"/>
        </w:rPr>
        <w:t xml:space="preserve"> </w:t>
      </w:r>
    </w:p>
    <w:p w14:paraId="6CE09923" w14:textId="2EC19679" w:rsidR="00115455" w:rsidRDefault="00A77E30" w:rsidP="001C3BE4">
      <w:pPr>
        <w:pStyle w:val="Paragrafoelenco"/>
        <w:spacing w:after="120"/>
        <w:ind w:left="0"/>
        <w:contextualSpacing w:val="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In quinta posizione troviamo </w:t>
      </w:r>
      <w:r w:rsidRPr="00115455">
        <w:rPr>
          <w:rFonts w:asciiTheme="minorHAnsi" w:eastAsia="Calibri" w:hAnsiTheme="minorHAnsi" w:cstheme="minorHAnsi"/>
          <w:sz w:val="22"/>
          <w:szCs w:val="22"/>
        </w:rPr>
        <w:t>Courmayeur (AO)</w:t>
      </w:r>
      <w:r w:rsidR="00937A4D">
        <w:rPr>
          <w:rFonts w:asciiTheme="minorHAnsi" w:eastAsia="Calibri" w:hAnsiTheme="minorHAnsi" w:cstheme="minorHAnsi"/>
          <w:sz w:val="22"/>
          <w:szCs w:val="22"/>
        </w:rPr>
        <w:t>,</w:t>
      </w:r>
      <w:r w:rsidRPr="00A77E30">
        <w:rPr>
          <w:rFonts w:asciiTheme="minorHAnsi" w:eastAsia="Calibri" w:hAnsiTheme="minorHAnsi" w:cstheme="minorHAnsi"/>
          <w:sz w:val="22"/>
          <w:szCs w:val="22"/>
        </w:rPr>
        <w:t xml:space="preserve"> con un valore di </w:t>
      </w:r>
      <w:r w:rsidRPr="00250D22">
        <w:rPr>
          <w:rFonts w:asciiTheme="minorHAnsi" w:eastAsia="Calibri" w:hAnsiTheme="minorHAnsi" w:cstheme="minorHAnsi"/>
          <w:sz w:val="22"/>
          <w:szCs w:val="22"/>
        </w:rPr>
        <w:t>1</w:t>
      </w:r>
      <w:r>
        <w:rPr>
          <w:rFonts w:asciiTheme="minorHAnsi" w:eastAsia="Calibri" w:hAnsiTheme="minorHAnsi" w:cstheme="minorHAnsi"/>
          <w:sz w:val="22"/>
          <w:szCs w:val="22"/>
        </w:rPr>
        <w:t>1</w:t>
      </w:r>
      <w:r w:rsidRPr="00250D22">
        <w:rPr>
          <w:rFonts w:asciiTheme="minorHAnsi" w:eastAsia="Calibri" w:hAnsiTheme="minorHAnsi" w:cstheme="minorHAnsi"/>
          <w:sz w:val="22"/>
          <w:szCs w:val="22"/>
        </w:rPr>
        <w:t>.</w:t>
      </w:r>
      <w:r>
        <w:rPr>
          <w:rFonts w:asciiTheme="minorHAnsi" w:eastAsia="Calibri" w:hAnsiTheme="minorHAnsi" w:cstheme="minorHAnsi"/>
          <w:sz w:val="22"/>
          <w:szCs w:val="22"/>
        </w:rPr>
        <w:t>0</w:t>
      </w:r>
      <w:r w:rsidRPr="00250D22">
        <w:rPr>
          <w:rFonts w:asciiTheme="minorHAnsi" w:eastAsia="Calibri" w:hAnsiTheme="minorHAnsi" w:cstheme="minorHAnsi"/>
          <w:sz w:val="22"/>
          <w:szCs w:val="22"/>
        </w:rPr>
        <w:t>00 €/mq</w:t>
      </w:r>
      <w:r>
        <w:rPr>
          <w:rFonts w:asciiTheme="minorHAnsi" w:eastAsia="Calibri" w:hAnsiTheme="minorHAnsi" w:cstheme="minorHAnsi"/>
          <w:sz w:val="22"/>
          <w:szCs w:val="22"/>
        </w:rPr>
        <w:t xml:space="preserve"> e </w:t>
      </w:r>
      <w:r w:rsidRPr="00115455">
        <w:rPr>
          <w:rFonts w:asciiTheme="minorHAnsi" w:eastAsia="Calibri" w:hAnsiTheme="minorHAnsi" w:cstheme="minorHAnsi"/>
          <w:sz w:val="22"/>
          <w:szCs w:val="22"/>
        </w:rPr>
        <w:t>Santa Margherita Ligure (GE)</w:t>
      </w:r>
      <w:r w:rsidR="00937A4D">
        <w:rPr>
          <w:rFonts w:asciiTheme="minorHAnsi" w:eastAsia="Calibri" w:hAnsiTheme="minorHAnsi" w:cstheme="minorHAnsi"/>
          <w:sz w:val="22"/>
          <w:szCs w:val="22"/>
        </w:rPr>
        <w:t>,</w:t>
      </w:r>
      <w:r w:rsidRPr="00A77E30">
        <w:rPr>
          <w:rFonts w:asciiTheme="minorHAnsi" w:eastAsia="Calibri" w:hAnsiTheme="minorHAnsi" w:cstheme="minorHAnsi"/>
          <w:sz w:val="22"/>
          <w:szCs w:val="22"/>
        </w:rPr>
        <w:t xml:space="preserve"> </w:t>
      </w:r>
      <w:r>
        <w:rPr>
          <w:rFonts w:asciiTheme="minorHAnsi" w:eastAsia="Calibri" w:hAnsiTheme="minorHAnsi" w:cstheme="minorHAnsi"/>
          <w:sz w:val="22"/>
          <w:szCs w:val="22"/>
        </w:rPr>
        <w:t>che con un</w:t>
      </w:r>
      <w:r w:rsidR="008948EB">
        <w:rPr>
          <w:rFonts w:asciiTheme="minorHAnsi" w:eastAsia="Calibri" w:hAnsiTheme="minorHAnsi" w:cstheme="minorHAnsi"/>
          <w:sz w:val="22"/>
          <w:szCs w:val="22"/>
        </w:rPr>
        <w:t xml:space="preserve">a quotazione </w:t>
      </w:r>
      <w:r>
        <w:rPr>
          <w:rFonts w:asciiTheme="minorHAnsi" w:eastAsia="Calibri" w:hAnsiTheme="minorHAnsi" w:cstheme="minorHAnsi"/>
          <w:sz w:val="22"/>
          <w:szCs w:val="22"/>
        </w:rPr>
        <w:t>di</w:t>
      </w:r>
      <w:r w:rsidRPr="00A77E30">
        <w:rPr>
          <w:rFonts w:asciiTheme="minorHAnsi" w:eastAsia="Calibri" w:hAnsiTheme="minorHAnsi" w:cstheme="minorHAnsi"/>
          <w:sz w:val="22"/>
          <w:szCs w:val="22"/>
        </w:rPr>
        <w:t xml:space="preserve"> </w:t>
      </w:r>
      <w:r w:rsidRPr="00250D22">
        <w:rPr>
          <w:rFonts w:asciiTheme="minorHAnsi" w:eastAsia="Calibri" w:hAnsiTheme="minorHAnsi" w:cstheme="minorHAnsi"/>
          <w:sz w:val="22"/>
          <w:szCs w:val="22"/>
        </w:rPr>
        <w:t>1</w:t>
      </w:r>
      <w:r>
        <w:rPr>
          <w:rFonts w:asciiTheme="minorHAnsi" w:eastAsia="Calibri" w:hAnsiTheme="minorHAnsi" w:cstheme="minorHAnsi"/>
          <w:sz w:val="22"/>
          <w:szCs w:val="22"/>
        </w:rPr>
        <w:t>0</w:t>
      </w:r>
      <w:r w:rsidRPr="00250D22">
        <w:rPr>
          <w:rFonts w:asciiTheme="minorHAnsi" w:eastAsia="Calibri" w:hAnsiTheme="minorHAnsi" w:cstheme="minorHAnsi"/>
          <w:sz w:val="22"/>
          <w:szCs w:val="22"/>
        </w:rPr>
        <w:t>.</w:t>
      </w:r>
      <w:r>
        <w:rPr>
          <w:rFonts w:asciiTheme="minorHAnsi" w:eastAsia="Calibri" w:hAnsiTheme="minorHAnsi" w:cstheme="minorHAnsi"/>
          <w:sz w:val="22"/>
          <w:szCs w:val="22"/>
        </w:rPr>
        <w:t>5</w:t>
      </w:r>
      <w:r w:rsidRPr="00250D22">
        <w:rPr>
          <w:rFonts w:asciiTheme="minorHAnsi" w:eastAsia="Calibri" w:hAnsiTheme="minorHAnsi" w:cstheme="minorHAnsi"/>
          <w:sz w:val="22"/>
          <w:szCs w:val="22"/>
        </w:rPr>
        <w:t>00 €/mq</w:t>
      </w:r>
      <w:r>
        <w:rPr>
          <w:rFonts w:asciiTheme="minorHAnsi" w:eastAsia="Calibri" w:hAnsiTheme="minorHAnsi" w:cstheme="minorHAnsi"/>
          <w:sz w:val="22"/>
          <w:szCs w:val="22"/>
        </w:rPr>
        <w:t xml:space="preserve"> mantiene la stessa posizione del 2020.</w:t>
      </w:r>
    </w:p>
    <w:p w14:paraId="5C233E9C" w14:textId="77777777" w:rsidR="00D66DCD" w:rsidRPr="0041716C" w:rsidRDefault="00D66DCD" w:rsidP="00D66DCD">
      <w:pPr>
        <w:jc w:val="center"/>
        <w:rPr>
          <w:rFonts w:asciiTheme="minorHAnsi" w:hAnsiTheme="minorHAnsi" w:cstheme="minorHAnsi"/>
          <w:iCs/>
          <w:sz w:val="16"/>
          <w:szCs w:val="16"/>
        </w:rPr>
      </w:pPr>
    </w:p>
    <w:tbl>
      <w:tblPr>
        <w:tblW w:w="5000" w:type="pct"/>
        <w:jc w:val="center"/>
        <w:tblLook w:val="04A0" w:firstRow="1" w:lastRow="0" w:firstColumn="1" w:lastColumn="0" w:noHBand="0" w:noVBand="1"/>
      </w:tblPr>
      <w:tblGrid>
        <w:gridCol w:w="3676"/>
        <w:gridCol w:w="2452"/>
        <w:gridCol w:w="3510"/>
      </w:tblGrid>
      <w:tr w:rsidR="00D66DCD" w:rsidRPr="0041716C" w14:paraId="4243D629" w14:textId="77777777" w:rsidTr="00D66DCD">
        <w:trPr>
          <w:trHeight w:val="283"/>
          <w:jc w:val="center"/>
        </w:trPr>
        <w:tc>
          <w:tcPr>
            <w:tcW w:w="1907" w:type="pct"/>
            <w:tcBorders>
              <w:left w:val="nil"/>
              <w:right w:val="nil"/>
            </w:tcBorders>
            <w:shd w:val="clear" w:color="auto" w:fill="auto"/>
            <w:vAlign w:val="center"/>
          </w:tcPr>
          <w:p w14:paraId="6381E2D6" w14:textId="248DD5FC" w:rsidR="00D66DCD" w:rsidRPr="0041716C" w:rsidRDefault="00430438" w:rsidP="00DC3E45">
            <w:pPr>
              <w:autoSpaceDE w:val="0"/>
              <w:autoSpaceDN w:val="0"/>
              <w:adjustRightInd w:val="0"/>
              <w:spacing w:line="276" w:lineRule="auto"/>
              <w:rPr>
                <w:rFonts w:asciiTheme="minorHAnsi" w:hAnsiTheme="minorHAnsi" w:cstheme="minorHAnsi"/>
                <w:b/>
                <w:bCs/>
                <w:sz w:val="20"/>
                <w:lang w:eastAsia="en-US"/>
              </w:rPr>
            </w:pPr>
            <w:r w:rsidRPr="0041716C">
              <w:rPr>
                <w:rFonts w:asciiTheme="minorHAnsi" w:eastAsia="Calibri" w:hAnsiTheme="minorHAnsi" w:cstheme="minorHAnsi"/>
                <w:b/>
                <w:sz w:val="20"/>
              </w:rPr>
              <w:t>Tavola</w:t>
            </w:r>
            <w:r w:rsidR="00464BC2" w:rsidRPr="0041716C">
              <w:rPr>
                <w:rFonts w:asciiTheme="minorHAnsi" w:eastAsia="Calibri" w:hAnsiTheme="minorHAnsi" w:cstheme="minorHAnsi"/>
                <w:b/>
                <w:caps/>
                <w:sz w:val="20"/>
              </w:rPr>
              <w:t xml:space="preserve"> </w:t>
            </w:r>
            <w:r w:rsidR="007B6F39">
              <w:rPr>
                <w:rFonts w:asciiTheme="minorHAnsi" w:eastAsia="Calibri" w:hAnsiTheme="minorHAnsi" w:cstheme="minorHAnsi"/>
                <w:b/>
                <w:caps/>
                <w:sz w:val="20"/>
              </w:rPr>
              <w:t>3</w:t>
            </w:r>
          </w:p>
        </w:tc>
        <w:tc>
          <w:tcPr>
            <w:tcW w:w="3093" w:type="pct"/>
            <w:gridSpan w:val="2"/>
            <w:tcBorders>
              <w:left w:val="nil"/>
              <w:right w:val="nil"/>
            </w:tcBorders>
            <w:shd w:val="clear" w:color="auto" w:fill="D9D9D9" w:themeFill="background1" w:themeFillShade="D9"/>
            <w:vAlign w:val="center"/>
          </w:tcPr>
          <w:p w14:paraId="4CDC80BE" w14:textId="7F61A200" w:rsidR="00D66DCD" w:rsidRPr="0041716C" w:rsidRDefault="00D66DCD" w:rsidP="00D66DCD">
            <w:pPr>
              <w:jc w:val="center"/>
              <w:rPr>
                <w:rFonts w:asciiTheme="minorHAnsi" w:hAnsiTheme="minorHAnsi" w:cstheme="minorHAnsi"/>
                <w:b/>
                <w:bCs/>
                <w:sz w:val="20"/>
                <w:lang w:eastAsia="en-US"/>
              </w:rPr>
            </w:pPr>
            <w:r w:rsidRPr="00853818">
              <w:rPr>
                <w:rFonts w:asciiTheme="minorHAnsi" w:hAnsiTheme="minorHAnsi" w:cstheme="minorHAnsi"/>
                <w:b/>
                <w:bCs/>
                <w:sz w:val="22"/>
                <w:szCs w:val="22"/>
              </w:rPr>
              <w:t xml:space="preserve">Prime </w:t>
            </w:r>
            <w:r w:rsidR="00115455">
              <w:rPr>
                <w:rFonts w:asciiTheme="minorHAnsi" w:hAnsiTheme="minorHAnsi" w:cstheme="minorHAnsi"/>
                <w:b/>
                <w:bCs/>
                <w:sz w:val="22"/>
                <w:szCs w:val="22"/>
              </w:rPr>
              <w:t>6</w:t>
            </w:r>
            <w:r w:rsidRPr="00853818">
              <w:rPr>
                <w:rFonts w:asciiTheme="minorHAnsi" w:hAnsiTheme="minorHAnsi" w:cstheme="minorHAnsi"/>
                <w:b/>
                <w:bCs/>
                <w:sz w:val="22"/>
                <w:szCs w:val="22"/>
              </w:rPr>
              <w:t xml:space="preserve"> località </w:t>
            </w:r>
            <w:r w:rsidRPr="0041716C">
              <w:rPr>
                <w:rFonts w:asciiTheme="minorHAnsi" w:hAnsiTheme="minorHAnsi" w:cstheme="minorHAnsi"/>
                <w:b/>
                <w:bCs/>
                <w:sz w:val="22"/>
                <w:szCs w:val="22"/>
              </w:rPr>
              <w:t>per prezzi massimi di compravendita di appartamenti top o nuovi</w:t>
            </w:r>
          </w:p>
        </w:tc>
      </w:tr>
      <w:tr w:rsidR="00D66DCD" w:rsidRPr="0041716C" w14:paraId="30E98E11" w14:textId="77777777" w:rsidTr="00D66DCD">
        <w:trPr>
          <w:trHeight w:val="283"/>
          <w:jc w:val="center"/>
        </w:trPr>
        <w:tc>
          <w:tcPr>
            <w:tcW w:w="1907" w:type="pct"/>
            <w:tcBorders>
              <w:left w:val="nil"/>
              <w:right w:val="nil"/>
            </w:tcBorders>
            <w:shd w:val="clear" w:color="auto" w:fill="F2F2F2" w:themeFill="background1" w:themeFillShade="F2"/>
            <w:vAlign w:val="center"/>
            <w:hideMark/>
          </w:tcPr>
          <w:p w14:paraId="4F25C36F" w14:textId="77777777" w:rsidR="00D66DCD" w:rsidRPr="0041716C" w:rsidRDefault="00D66DCD" w:rsidP="00DC3E45">
            <w:pPr>
              <w:autoSpaceDE w:val="0"/>
              <w:autoSpaceDN w:val="0"/>
              <w:adjustRightInd w:val="0"/>
              <w:spacing w:line="276" w:lineRule="auto"/>
              <w:rPr>
                <w:rFonts w:asciiTheme="minorHAnsi" w:hAnsiTheme="minorHAnsi" w:cstheme="minorHAnsi"/>
                <w:sz w:val="20"/>
                <w:lang w:eastAsia="en-US"/>
              </w:rPr>
            </w:pPr>
            <w:r w:rsidRPr="0041716C">
              <w:rPr>
                <w:rFonts w:asciiTheme="minorHAnsi" w:hAnsiTheme="minorHAnsi" w:cstheme="minorHAnsi"/>
                <w:b/>
                <w:bCs/>
                <w:sz w:val="20"/>
                <w:lang w:eastAsia="en-US"/>
              </w:rPr>
              <w:t>Località</w:t>
            </w:r>
          </w:p>
        </w:tc>
        <w:tc>
          <w:tcPr>
            <w:tcW w:w="1272" w:type="pct"/>
            <w:tcBorders>
              <w:left w:val="nil"/>
              <w:right w:val="nil"/>
            </w:tcBorders>
            <w:shd w:val="clear" w:color="auto" w:fill="F2F2F2" w:themeFill="background1" w:themeFillShade="F2"/>
            <w:vAlign w:val="center"/>
            <w:hideMark/>
          </w:tcPr>
          <w:p w14:paraId="76C74E37" w14:textId="77777777" w:rsidR="00D66DCD" w:rsidRPr="0041716C" w:rsidRDefault="00D66DCD" w:rsidP="00DC3E45">
            <w:pPr>
              <w:autoSpaceDE w:val="0"/>
              <w:autoSpaceDN w:val="0"/>
              <w:adjustRightInd w:val="0"/>
              <w:spacing w:line="276" w:lineRule="auto"/>
              <w:jc w:val="center"/>
              <w:rPr>
                <w:rFonts w:asciiTheme="minorHAnsi" w:hAnsiTheme="minorHAnsi" w:cstheme="minorHAnsi"/>
                <w:sz w:val="20"/>
                <w:lang w:eastAsia="en-US"/>
              </w:rPr>
            </w:pPr>
            <w:r w:rsidRPr="0041716C">
              <w:rPr>
                <w:rFonts w:asciiTheme="minorHAnsi" w:hAnsiTheme="minorHAnsi" w:cstheme="minorHAnsi"/>
                <w:b/>
                <w:bCs/>
                <w:sz w:val="20"/>
                <w:lang w:eastAsia="en-US"/>
              </w:rPr>
              <w:t>Prezzi</w:t>
            </w:r>
            <w:r w:rsidRPr="0041716C">
              <w:rPr>
                <w:rFonts w:asciiTheme="minorHAnsi" w:hAnsiTheme="minorHAnsi" w:cstheme="minorHAnsi"/>
                <w:b/>
                <w:bCs/>
                <w:sz w:val="20"/>
                <w:lang w:eastAsia="en-US"/>
              </w:rPr>
              <w:br/>
            </w:r>
            <w:r w:rsidRPr="0041716C">
              <w:rPr>
                <w:rFonts w:asciiTheme="minorHAnsi" w:hAnsiTheme="minorHAnsi" w:cstheme="minorHAnsi"/>
                <w:bCs/>
                <w:i/>
                <w:sz w:val="20"/>
                <w:lang w:eastAsia="en-US"/>
              </w:rPr>
              <w:t>(€/mq)</w:t>
            </w:r>
          </w:p>
        </w:tc>
        <w:tc>
          <w:tcPr>
            <w:tcW w:w="1821" w:type="pct"/>
            <w:tcBorders>
              <w:left w:val="nil"/>
              <w:right w:val="nil"/>
            </w:tcBorders>
            <w:shd w:val="clear" w:color="auto" w:fill="F2F2F2" w:themeFill="background1" w:themeFillShade="F2"/>
            <w:vAlign w:val="center"/>
            <w:hideMark/>
          </w:tcPr>
          <w:p w14:paraId="57108C77" w14:textId="266A09FB" w:rsidR="00D66DCD" w:rsidRPr="0041716C" w:rsidRDefault="00D66DCD" w:rsidP="00DC3E45">
            <w:pPr>
              <w:autoSpaceDE w:val="0"/>
              <w:autoSpaceDN w:val="0"/>
              <w:adjustRightInd w:val="0"/>
              <w:spacing w:line="276" w:lineRule="auto"/>
              <w:jc w:val="center"/>
              <w:rPr>
                <w:rFonts w:asciiTheme="minorHAnsi" w:hAnsiTheme="minorHAnsi" w:cstheme="minorHAnsi"/>
                <w:sz w:val="20"/>
                <w:lang w:eastAsia="en-US"/>
              </w:rPr>
            </w:pPr>
            <w:r w:rsidRPr="0041716C">
              <w:rPr>
                <w:rFonts w:asciiTheme="minorHAnsi" w:hAnsiTheme="minorHAnsi" w:cstheme="minorHAnsi"/>
                <w:b/>
                <w:bCs/>
                <w:sz w:val="20"/>
                <w:lang w:eastAsia="en-US"/>
              </w:rPr>
              <w:t>Movimento rispetto alla posizione occupata nel 20</w:t>
            </w:r>
            <w:r w:rsidR="00115455">
              <w:rPr>
                <w:rFonts w:asciiTheme="minorHAnsi" w:hAnsiTheme="minorHAnsi" w:cstheme="minorHAnsi"/>
                <w:b/>
                <w:bCs/>
                <w:sz w:val="20"/>
                <w:lang w:eastAsia="en-US"/>
              </w:rPr>
              <w:t>20</w:t>
            </w:r>
          </w:p>
        </w:tc>
      </w:tr>
      <w:tr w:rsidR="00115455" w:rsidRPr="0041716C" w14:paraId="2A54BD28" w14:textId="77777777" w:rsidTr="00D66DCD">
        <w:trPr>
          <w:trHeight w:val="283"/>
          <w:jc w:val="center"/>
        </w:trPr>
        <w:tc>
          <w:tcPr>
            <w:tcW w:w="1907" w:type="pct"/>
            <w:tcBorders>
              <w:left w:val="nil"/>
              <w:bottom w:val="nil"/>
              <w:right w:val="nil"/>
            </w:tcBorders>
            <w:shd w:val="clear" w:color="auto" w:fill="DEEAF6"/>
            <w:vAlign w:val="center"/>
          </w:tcPr>
          <w:p w14:paraId="0AFBFE0B" w14:textId="338A71DE" w:rsidR="00115455" w:rsidRPr="0041716C" w:rsidRDefault="00115455" w:rsidP="00115455">
            <w:pPr>
              <w:rPr>
                <w:rFonts w:ascii="Calibri" w:hAnsi="Calibri" w:cs="Arial"/>
                <w:sz w:val="20"/>
              </w:rPr>
            </w:pPr>
            <w:r w:rsidRPr="00115455">
              <w:rPr>
                <w:rFonts w:ascii="Calibri" w:hAnsi="Calibri" w:cs="Calibri"/>
                <w:color w:val="000000"/>
                <w:sz w:val="20"/>
                <w:szCs w:val="20"/>
              </w:rPr>
              <w:t>1. Cortina d'Ampezzo (BL)</w:t>
            </w:r>
          </w:p>
        </w:tc>
        <w:tc>
          <w:tcPr>
            <w:tcW w:w="1272" w:type="pct"/>
            <w:tcBorders>
              <w:left w:val="nil"/>
              <w:bottom w:val="nil"/>
              <w:right w:val="nil"/>
            </w:tcBorders>
            <w:shd w:val="clear" w:color="auto" w:fill="DEEAF6"/>
            <w:vAlign w:val="center"/>
          </w:tcPr>
          <w:p w14:paraId="004D93A3" w14:textId="4B9478B3" w:rsidR="00115455" w:rsidRDefault="00115455" w:rsidP="00115455">
            <w:pPr>
              <w:ind w:right="680"/>
              <w:jc w:val="right"/>
              <w:rPr>
                <w:rFonts w:ascii="Calibri" w:hAnsi="Calibri" w:cs="Arial"/>
                <w:color w:val="000000"/>
                <w:sz w:val="20"/>
              </w:rPr>
            </w:pPr>
            <w:r w:rsidRPr="00115455">
              <w:rPr>
                <w:rFonts w:ascii="Calibri" w:hAnsi="Calibri" w:cs="Calibri"/>
                <w:color w:val="000000"/>
                <w:sz w:val="20"/>
                <w:szCs w:val="20"/>
              </w:rPr>
              <w:t>13.500</w:t>
            </w:r>
          </w:p>
        </w:tc>
        <w:tc>
          <w:tcPr>
            <w:tcW w:w="1821" w:type="pct"/>
            <w:tcBorders>
              <w:left w:val="nil"/>
              <w:bottom w:val="nil"/>
              <w:right w:val="nil"/>
            </w:tcBorders>
            <w:shd w:val="clear" w:color="auto" w:fill="DEEAF6"/>
            <w:vAlign w:val="center"/>
          </w:tcPr>
          <w:p w14:paraId="3B258B10" w14:textId="5891A716" w:rsidR="00115455" w:rsidRPr="0041716C" w:rsidRDefault="00115455" w:rsidP="00115455">
            <w:pPr>
              <w:jc w:val="center"/>
              <w:rPr>
                <w:rFonts w:ascii="Calibri" w:hAnsi="Calibri" w:cs="Arial"/>
                <w:sz w:val="20"/>
              </w:rPr>
            </w:pPr>
            <w:r w:rsidRPr="00115455">
              <w:rPr>
                <w:rFonts w:ascii="Calibri" w:hAnsi="Calibri" w:cs="Calibri"/>
                <w:color w:val="000000"/>
                <w:sz w:val="20"/>
                <w:szCs w:val="20"/>
              </w:rPr>
              <w:t>4</w:t>
            </w:r>
          </w:p>
        </w:tc>
      </w:tr>
      <w:tr w:rsidR="00115455" w:rsidRPr="0041716C" w14:paraId="0D447998" w14:textId="77777777" w:rsidTr="00D66DCD">
        <w:trPr>
          <w:trHeight w:val="283"/>
          <w:jc w:val="center"/>
        </w:trPr>
        <w:tc>
          <w:tcPr>
            <w:tcW w:w="1907" w:type="pct"/>
            <w:tcBorders>
              <w:top w:val="nil"/>
              <w:left w:val="nil"/>
              <w:bottom w:val="nil"/>
              <w:right w:val="nil"/>
            </w:tcBorders>
            <w:shd w:val="clear" w:color="auto" w:fill="DEEAF6"/>
            <w:vAlign w:val="center"/>
          </w:tcPr>
          <w:p w14:paraId="0FE96F51" w14:textId="02ECD902" w:rsidR="00115455" w:rsidRPr="0041716C" w:rsidRDefault="00115455" w:rsidP="00115455">
            <w:pPr>
              <w:rPr>
                <w:rFonts w:ascii="Calibri" w:hAnsi="Calibri" w:cs="Arial"/>
                <w:sz w:val="20"/>
              </w:rPr>
            </w:pPr>
            <w:r w:rsidRPr="00115455">
              <w:rPr>
                <w:rFonts w:ascii="Calibri" w:hAnsi="Calibri" w:cs="Calibri"/>
                <w:color w:val="000000"/>
                <w:sz w:val="20"/>
                <w:szCs w:val="20"/>
              </w:rPr>
              <w:t>2. Madonna di Campiglio (TN)</w:t>
            </w:r>
          </w:p>
        </w:tc>
        <w:tc>
          <w:tcPr>
            <w:tcW w:w="1272" w:type="pct"/>
            <w:tcBorders>
              <w:top w:val="nil"/>
              <w:left w:val="nil"/>
              <w:bottom w:val="nil"/>
              <w:right w:val="nil"/>
            </w:tcBorders>
            <w:shd w:val="clear" w:color="auto" w:fill="DEEAF6"/>
            <w:vAlign w:val="center"/>
          </w:tcPr>
          <w:p w14:paraId="09602A5B" w14:textId="6DEA4730" w:rsidR="00115455" w:rsidRDefault="00115455" w:rsidP="00115455">
            <w:pPr>
              <w:ind w:right="680"/>
              <w:jc w:val="right"/>
              <w:rPr>
                <w:rFonts w:ascii="Calibri" w:hAnsi="Calibri" w:cs="Arial"/>
                <w:color w:val="000000"/>
                <w:sz w:val="20"/>
              </w:rPr>
            </w:pPr>
            <w:r w:rsidRPr="00115455">
              <w:rPr>
                <w:rFonts w:ascii="Calibri" w:hAnsi="Calibri" w:cs="Calibri"/>
                <w:color w:val="000000"/>
                <w:sz w:val="20"/>
                <w:szCs w:val="20"/>
              </w:rPr>
              <w:t>13.000</w:t>
            </w:r>
          </w:p>
        </w:tc>
        <w:tc>
          <w:tcPr>
            <w:tcW w:w="1821" w:type="pct"/>
            <w:tcBorders>
              <w:top w:val="nil"/>
              <w:left w:val="nil"/>
              <w:bottom w:val="nil"/>
              <w:right w:val="nil"/>
            </w:tcBorders>
            <w:shd w:val="clear" w:color="auto" w:fill="DEEAF6"/>
            <w:vAlign w:val="center"/>
          </w:tcPr>
          <w:p w14:paraId="494593D0" w14:textId="2D23B111" w:rsidR="00115455" w:rsidRPr="0041716C" w:rsidRDefault="00115455" w:rsidP="00115455">
            <w:pPr>
              <w:jc w:val="center"/>
              <w:rPr>
                <w:rFonts w:ascii="Calibri" w:hAnsi="Calibri" w:cs="Arial"/>
                <w:sz w:val="20"/>
              </w:rPr>
            </w:pPr>
            <w:r w:rsidRPr="00115455">
              <w:rPr>
                <w:rFonts w:ascii="Calibri" w:hAnsi="Calibri" w:cs="Calibri"/>
                <w:color w:val="000000"/>
                <w:sz w:val="20"/>
                <w:szCs w:val="20"/>
              </w:rPr>
              <w:t>-1</w:t>
            </w:r>
          </w:p>
        </w:tc>
      </w:tr>
      <w:tr w:rsidR="00115455" w:rsidRPr="0041716C" w14:paraId="73C250BA" w14:textId="77777777" w:rsidTr="00D66DCD">
        <w:trPr>
          <w:trHeight w:val="283"/>
          <w:jc w:val="center"/>
        </w:trPr>
        <w:tc>
          <w:tcPr>
            <w:tcW w:w="1907" w:type="pct"/>
            <w:tcBorders>
              <w:top w:val="nil"/>
              <w:left w:val="nil"/>
              <w:bottom w:val="nil"/>
              <w:right w:val="nil"/>
            </w:tcBorders>
            <w:shd w:val="clear" w:color="auto" w:fill="DEEAF6"/>
            <w:vAlign w:val="center"/>
          </w:tcPr>
          <w:p w14:paraId="16F96655" w14:textId="123A551A" w:rsidR="00115455" w:rsidRPr="0041716C" w:rsidRDefault="00115455" w:rsidP="00115455">
            <w:pPr>
              <w:rPr>
                <w:rFonts w:ascii="Calibri" w:hAnsi="Calibri" w:cs="Arial"/>
                <w:sz w:val="20"/>
              </w:rPr>
            </w:pPr>
            <w:r w:rsidRPr="00115455">
              <w:rPr>
                <w:rFonts w:ascii="Calibri" w:hAnsi="Calibri" w:cs="Calibri"/>
                <w:color w:val="000000"/>
                <w:sz w:val="20"/>
                <w:szCs w:val="20"/>
              </w:rPr>
              <w:t>3. Forte dei Marmi (LU)</w:t>
            </w:r>
          </w:p>
        </w:tc>
        <w:tc>
          <w:tcPr>
            <w:tcW w:w="1272" w:type="pct"/>
            <w:tcBorders>
              <w:top w:val="nil"/>
              <w:left w:val="nil"/>
              <w:bottom w:val="nil"/>
              <w:right w:val="nil"/>
            </w:tcBorders>
            <w:shd w:val="clear" w:color="auto" w:fill="DEEAF6"/>
            <w:vAlign w:val="center"/>
          </w:tcPr>
          <w:p w14:paraId="78D78180" w14:textId="34F8A604" w:rsidR="00115455" w:rsidRDefault="00115455" w:rsidP="00115455">
            <w:pPr>
              <w:ind w:right="680"/>
              <w:jc w:val="right"/>
              <w:rPr>
                <w:rFonts w:ascii="Calibri" w:hAnsi="Calibri" w:cs="Arial"/>
                <w:color w:val="000000"/>
                <w:sz w:val="20"/>
              </w:rPr>
            </w:pPr>
            <w:r w:rsidRPr="00115455">
              <w:rPr>
                <w:rFonts w:ascii="Calibri" w:hAnsi="Calibri" w:cs="Calibri"/>
                <w:color w:val="000000"/>
                <w:sz w:val="20"/>
                <w:szCs w:val="20"/>
              </w:rPr>
              <w:t>13.000</w:t>
            </w:r>
          </w:p>
        </w:tc>
        <w:tc>
          <w:tcPr>
            <w:tcW w:w="1821" w:type="pct"/>
            <w:tcBorders>
              <w:top w:val="nil"/>
              <w:left w:val="nil"/>
              <w:bottom w:val="nil"/>
              <w:right w:val="nil"/>
            </w:tcBorders>
            <w:shd w:val="clear" w:color="auto" w:fill="DEEAF6"/>
            <w:vAlign w:val="center"/>
          </w:tcPr>
          <w:p w14:paraId="7E8FF54C" w14:textId="705C9CDB" w:rsidR="00115455" w:rsidRPr="0041716C" w:rsidRDefault="00115455" w:rsidP="00115455">
            <w:pPr>
              <w:jc w:val="center"/>
              <w:rPr>
                <w:rFonts w:ascii="Calibri" w:hAnsi="Calibri" w:cs="Arial"/>
                <w:sz w:val="20"/>
              </w:rPr>
            </w:pPr>
            <w:r w:rsidRPr="00115455">
              <w:rPr>
                <w:rFonts w:ascii="Calibri" w:hAnsi="Calibri" w:cs="Calibri"/>
                <w:color w:val="000000"/>
                <w:sz w:val="20"/>
                <w:szCs w:val="20"/>
              </w:rPr>
              <w:t>-1</w:t>
            </w:r>
          </w:p>
        </w:tc>
      </w:tr>
      <w:tr w:rsidR="00115455" w:rsidRPr="0041716C" w14:paraId="5BC99B37" w14:textId="77777777" w:rsidTr="00D66DCD">
        <w:trPr>
          <w:trHeight w:val="283"/>
          <w:jc w:val="center"/>
        </w:trPr>
        <w:tc>
          <w:tcPr>
            <w:tcW w:w="1907" w:type="pct"/>
            <w:tcBorders>
              <w:top w:val="nil"/>
              <w:left w:val="nil"/>
              <w:bottom w:val="nil"/>
              <w:right w:val="nil"/>
            </w:tcBorders>
            <w:shd w:val="clear" w:color="auto" w:fill="DEEAF6"/>
            <w:vAlign w:val="center"/>
          </w:tcPr>
          <w:p w14:paraId="009FF3F9" w14:textId="44108FA7" w:rsidR="00115455" w:rsidRPr="0041716C" w:rsidRDefault="00115455" w:rsidP="00115455">
            <w:pPr>
              <w:rPr>
                <w:rFonts w:ascii="Calibri" w:hAnsi="Calibri" w:cs="Arial"/>
                <w:sz w:val="20"/>
              </w:rPr>
            </w:pPr>
            <w:r w:rsidRPr="00115455">
              <w:rPr>
                <w:rFonts w:ascii="Calibri" w:hAnsi="Calibri" w:cs="Calibri"/>
                <w:color w:val="000000"/>
                <w:sz w:val="20"/>
                <w:szCs w:val="20"/>
              </w:rPr>
              <w:t>4. Capri (NA)</w:t>
            </w:r>
          </w:p>
        </w:tc>
        <w:tc>
          <w:tcPr>
            <w:tcW w:w="1272" w:type="pct"/>
            <w:tcBorders>
              <w:top w:val="nil"/>
              <w:left w:val="nil"/>
              <w:bottom w:val="nil"/>
              <w:right w:val="nil"/>
            </w:tcBorders>
            <w:shd w:val="clear" w:color="auto" w:fill="DEEAF6"/>
            <w:vAlign w:val="center"/>
          </w:tcPr>
          <w:p w14:paraId="135F4970" w14:textId="72D59279" w:rsidR="00115455" w:rsidRDefault="00115455" w:rsidP="00115455">
            <w:pPr>
              <w:ind w:right="680"/>
              <w:jc w:val="right"/>
              <w:rPr>
                <w:rFonts w:ascii="Calibri" w:hAnsi="Calibri" w:cs="Arial"/>
                <w:color w:val="000000"/>
                <w:sz w:val="20"/>
              </w:rPr>
            </w:pPr>
            <w:r w:rsidRPr="00115455">
              <w:rPr>
                <w:rFonts w:ascii="Calibri" w:hAnsi="Calibri" w:cs="Calibri"/>
                <w:color w:val="000000"/>
                <w:sz w:val="20"/>
                <w:szCs w:val="20"/>
              </w:rPr>
              <w:t>12.500</w:t>
            </w:r>
          </w:p>
        </w:tc>
        <w:tc>
          <w:tcPr>
            <w:tcW w:w="1821" w:type="pct"/>
            <w:tcBorders>
              <w:top w:val="nil"/>
              <w:left w:val="nil"/>
              <w:bottom w:val="nil"/>
              <w:right w:val="nil"/>
            </w:tcBorders>
            <w:shd w:val="clear" w:color="auto" w:fill="DEEAF6"/>
            <w:vAlign w:val="center"/>
          </w:tcPr>
          <w:p w14:paraId="49910715" w14:textId="57CB5F5E" w:rsidR="00115455" w:rsidRPr="0041716C" w:rsidRDefault="00115455" w:rsidP="00115455">
            <w:pPr>
              <w:jc w:val="center"/>
              <w:rPr>
                <w:rFonts w:ascii="Calibri" w:hAnsi="Calibri" w:cs="Arial"/>
                <w:sz w:val="20"/>
              </w:rPr>
            </w:pPr>
            <w:r w:rsidRPr="00115455">
              <w:rPr>
                <w:rFonts w:ascii="Calibri" w:hAnsi="Calibri" w:cs="Calibri"/>
                <w:color w:val="000000"/>
                <w:sz w:val="20"/>
                <w:szCs w:val="20"/>
              </w:rPr>
              <w:t>-1</w:t>
            </w:r>
          </w:p>
        </w:tc>
      </w:tr>
      <w:tr w:rsidR="00115455" w:rsidRPr="0041716C" w14:paraId="7CA6D1BC" w14:textId="77777777" w:rsidTr="00D66DCD">
        <w:trPr>
          <w:trHeight w:val="283"/>
          <w:jc w:val="center"/>
        </w:trPr>
        <w:tc>
          <w:tcPr>
            <w:tcW w:w="1907" w:type="pct"/>
            <w:tcBorders>
              <w:top w:val="nil"/>
              <w:left w:val="nil"/>
              <w:bottom w:val="nil"/>
              <w:right w:val="nil"/>
            </w:tcBorders>
            <w:shd w:val="clear" w:color="auto" w:fill="DEEAF6"/>
            <w:vAlign w:val="center"/>
          </w:tcPr>
          <w:p w14:paraId="60546266" w14:textId="6BDB1C53" w:rsidR="00115455" w:rsidRPr="0041716C" w:rsidRDefault="00115455" w:rsidP="00115455">
            <w:pPr>
              <w:rPr>
                <w:rFonts w:ascii="Calibri" w:hAnsi="Calibri" w:cs="Arial"/>
                <w:sz w:val="20"/>
              </w:rPr>
            </w:pPr>
            <w:r w:rsidRPr="00115455">
              <w:rPr>
                <w:rFonts w:ascii="Calibri" w:hAnsi="Calibri" w:cs="Calibri"/>
                <w:color w:val="000000"/>
                <w:sz w:val="20"/>
                <w:szCs w:val="20"/>
              </w:rPr>
              <w:t>5. Courmayeur (AO)</w:t>
            </w:r>
          </w:p>
        </w:tc>
        <w:tc>
          <w:tcPr>
            <w:tcW w:w="1272" w:type="pct"/>
            <w:tcBorders>
              <w:top w:val="nil"/>
              <w:left w:val="nil"/>
              <w:bottom w:val="nil"/>
              <w:right w:val="nil"/>
            </w:tcBorders>
            <w:shd w:val="clear" w:color="auto" w:fill="DEEAF6"/>
            <w:vAlign w:val="center"/>
          </w:tcPr>
          <w:p w14:paraId="204FBF98" w14:textId="0F12133A" w:rsidR="00115455" w:rsidRDefault="00115455" w:rsidP="00115455">
            <w:pPr>
              <w:ind w:right="680"/>
              <w:jc w:val="right"/>
              <w:rPr>
                <w:rFonts w:ascii="Calibri" w:hAnsi="Calibri" w:cs="Arial"/>
                <w:color w:val="000000"/>
                <w:sz w:val="20"/>
              </w:rPr>
            </w:pPr>
            <w:r w:rsidRPr="00115455">
              <w:rPr>
                <w:rFonts w:ascii="Calibri" w:hAnsi="Calibri" w:cs="Calibri"/>
                <w:color w:val="000000"/>
                <w:sz w:val="20"/>
                <w:szCs w:val="20"/>
              </w:rPr>
              <w:t>11.000</w:t>
            </w:r>
          </w:p>
        </w:tc>
        <w:tc>
          <w:tcPr>
            <w:tcW w:w="1821" w:type="pct"/>
            <w:tcBorders>
              <w:top w:val="nil"/>
              <w:left w:val="nil"/>
              <w:bottom w:val="nil"/>
              <w:right w:val="nil"/>
            </w:tcBorders>
            <w:shd w:val="clear" w:color="auto" w:fill="DEEAF6"/>
            <w:vAlign w:val="center"/>
          </w:tcPr>
          <w:p w14:paraId="2E75EA35" w14:textId="7AF99461" w:rsidR="00115455" w:rsidRPr="0041716C" w:rsidRDefault="00115455" w:rsidP="00115455">
            <w:pPr>
              <w:jc w:val="center"/>
              <w:rPr>
                <w:rFonts w:ascii="Calibri" w:hAnsi="Calibri" w:cs="Arial"/>
                <w:sz w:val="20"/>
              </w:rPr>
            </w:pPr>
            <w:r w:rsidRPr="00115455">
              <w:rPr>
                <w:rFonts w:ascii="Calibri" w:hAnsi="Calibri" w:cs="Calibri"/>
                <w:color w:val="000000"/>
                <w:sz w:val="20"/>
                <w:szCs w:val="20"/>
              </w:rPr>
              <w:t>-1</w:t>
            </w:r>
          </w:p>
        </w:tc>
      </w:tr>
      <w:tr w:rsidR="00115455" w:rsidRPr="0041716C" w14:paraId="0AFA902C" w14:textId="77777777" w:rsidTr="00D66DCD">
        <w:trPr>
          <w:trHeight w:val="283"/>
          <w:jc w:val="center"/>
        </w:trPr>
        <w:tc>
          <w:tcPr>
            <w:tcW w:w="1907" w:type="pct"/>
            <w:tcBorders>
              <w:top w:val="nil"/>
              <w:left w:val="nil"/>
              <w:bottom w:val="nil"/>
              <w:right w:val="nil"/>
            </w:tcBorders>
            <w:shd w:val="clear" w:color="auto" w:fill="DEEAF6"/>
            <w:vAlign w:val="center"/>
          </w:tcPr>
          <w:p w14:paraId="26C91B60" w14:textId="454C29A1" w:rsidR="00115455" w:rsidRPr="0041716C" w:rsidRDefault="00115455" w:rsidP="00115455">
            <w:pPr>
              <w:rPr>
                <w:rFonts w:ascii="Calibri" w:hAnsi="Calibri" w:cs="Arial"/>
                <w:sz w:val="20"/>
              </w:rPr>
            </w:pPr>
            <w:r w:rsidRPr="00115455">
              <w:rPr>
                <w:rFonts w:ascii="Calibri" w:hAnsi="Calibri" w:cs="Calibri"/>
                <w:color w:val="000000"/>
                <w:sz w:val="20"/>
                <w:szCs w:val="20"/>
              </w:rPr>
              <w:t>6. Santa Margherita Ligure (GE)</w:t>
            </w:r>
          </w:p>
        </w:tc>
        <w:tc>
          <w:tcPr>
            <w:tcW w:w="1272" w:type="pct"/>
            <w:tcBorders>
              <w:top w:val="nil"/>
              <w:left w:val="nil"/>
              <w:bottom w:val="nil"/>
              <w:right w:val="nil"/>
            </w:tcBorders>
            <w:shd w:val="clear" w:color="auto" w:fill="DEEAF6"/>
            <w:vAlign w:val="center"/>
          </w:tcPr>
          <w:p w14:paraId="0C2BF1F1" w14:textId="2FDD7DDE" w:rsidR="00115455" w:rsidRDefault="00115455" w:rsidP="00115455">
            <w:pPr>
              <w:ind w:right="680"/>
              <w:jc w:val="right"/>
              <w:rPr>
                <w:rFonts w:ascii="Calibri" w:hAnsi="Calibri" w:cs="Arial"/>
                <w:color w:val="000000"/>
                <w:sz w:val="20"/>
              </w:rPr>
            </w:pPr>
            <w:r w:rsidRPr="00115455">
              <w:rPr>
                <w:rFonts w:ascii="Calibri" w:hAnsi="Calibri" w:cs="Calibri"/>
                <w:color w:val="000000"/>
                <w:sz w:val="20"/>
                <w:szCs w:val="20"/>
              </w:rPr>
              <w:t>10.500</w:t>
            </w:r>
          </w:p>
        </w:tc>
        <w:tc>
          <w:tcPr>
            <w:tcW w:w="1821" w:type="pct"/>
            <w:tcBorders>
              <w:top w:val="nil"/>
              <w:left w:val="nil"/>
              <w:bottom w:val="nil"/>
              <w:right w:val="nil"/>
            </w:tcBorders>
            <w:shd w:val="clear" w:color="auto" w:fill="DEEAF6"/>
            <w:vAlign w:val="center"/>
          </w:tcPr>
          <w:p w14:paraId="0CED69A5" w14:textId="30147D21" w:rsidR="00115455" w:rsidRPr="0041716C" w:rsidRDefault="00115455" w:rsidP="00115455">
            <w:pPr>
              <w:jc w:val="center"/>
              <w:rPr>
                <w:rFonts w:ascii="Calibri" w:hAnsi="Calibri" w:cs="Arial"/>
                <w:sz w:val="20"/>
              </w:rPr>
            </w:pPr>
            <w:r w:rsidRPr="00115455">
              <w:rPr>
                <w:rFonts w:ascii="Calibri" w:hAnsi="Calibri" w:cs="Calibri"/>
                <w:color w:val="000000"/>
                <w:sz w:val="20"/>
                <w:szCs w:val="20"/>
              </w:rPr>
              <w:t>0</w:t>
            </w:r>
          </w:p>
        </w:tc>
      </w:tr>
    </w:tbl>
    <w:p w14:paraId="703D0C2C" w14:textId="77777777" w:rsidR="00D66DCD" w:rsidRPr="0041716C" w:rsidRDefault="00D66DCD" w:rsidP="00D66DCD">
      <w:pPr>
        <w:ind w:firstLine="708"/>
        <w:rPr>
          <w:rFonts w:asciiTheme="minorHAnsi" w:eastAsia="Calibri" w:hAnsiTheme="minorHAnsi" w:cstheme="minorHAnsi"/>
          <w:sz w:val="2"/>
          <w:szCs w:val="2"/>
        </w:rPr>
      </w:pPr>
    </w:p>
    <w:p w14:paraId="7108EAD1" w14:textId="77777777" w:rsidR="00D66DCD" w:rsidRDefault="00D66DCD" w:rsidP="00D66DCD">
      <w:pPr>
        <w:spacing w:before="60"/>
        <w:ind w:firstLine="709"/>
        <w:rPr>
          <w:rFonts w:asciiTheme="minorHAnsi" w:eastAsia="Calibri" w:hAnsiTheme="minorHAnsi" w:cstheme="minorHAnsi"/>
          <w:sz w:val="18"/>
        </w:rPr>
      </w:pPr>
      <w:r w:rsidRPr="0041716C">
        <w:rPr>
          <w:rFonts w:asciiTheme="minorHAnsi" w:eastAsia="Calibri" w:hAnsiTheme="minorHAnsi" w:cstheme="minorHAnsi"/>
          <w:sz w:val="18"/>
        </w:rPr>
        <w:t>Fonte: Nomis</w:t>
      </w:r>
      <w:r w:rsidRPr="003D3270">
        <w:rPr>
          <w:rFonts w:asciiTheme="minorHAnsi" w:eastAsia="Calibri" w:hAnsiTheme="minorHAnsi" w:cstheme="minorHAnsi"/>
          <w:sz w:val="18"/>
        </w:rPr>
        <w:t>ma e Fimaa-Confcommercio</w:t>
      </w:r>
    </w:p>
    <w:p w14:paraId="152FFE6F" w14:textId="77777777" w:rsidR="00D66DCD" w:rsidRPr="006F75D4" w:rsidRDefault="00D66DCD" w:rsidP="007816E7">
      <w:pPr>
        <w:rPr>
          <w:rFonts w:asciiTheme="minorHAnsi" w:eastAsia="Calibri" w:hAnsiTheme="minorHAnsi" w:cstheme="minorHAnsi"/>
          <w:sz w:val="22"/>
          <w:szCs w:val="22"/>
          <w:highlight w:val="yellow"/>
        </w:rPr>
      </w:pPr>
    </w:p>
    <w:p w14:paraId="5EDAF1DB" w14:textId="7826B84E" w:rsidR="00D308D8" w:rsidRPr="00D308D8" w:rsidRDefault="007816E7" w:rsidP="00D308D8">
      <w:pPr>
        <w:spacing w:after="120"/>
        <w:jc w:val="both"/>
        <w:rPr>
          <w:rFonts w:asciiTheme="minorHAnsi" w:eastAsia="Calibri" w:hAnsiTheme="minorHAnsi" w:cstheme="minorHAnsi"/>
          <w:sz w:val="22"/>
          <w:szCs w:val="22"/>
        </w:rPr>
      </w:pPr>
      <w:bookmarkStart w:id="4" w:name="_Hlk77944350"/>
      <w:r w:rsidRPr="00D308D8">
        <w:rPr>
          <w:rFonts w:asciiTheme="minorHAnsi" w:eastAsia="Calibri" w:hAnsiTheme="minorHAnsi" w:cstheme="minorHAnsi"/>
          <w:sz w:val="22"/>
          <w:szCs w:val="22"/>
        </w:rPr>
        <w:t>Dal comparto locativo emergono segnali di</w:t>
      </w:r>
      <w:r w:rsidR="006F75D4" w:rsidRPr="00D308D8">
        <w:rPr>
          <w:rFonts w:asciiTheme="minorHAnsi" w:eastAsia="Calibri" w:hAnsiTheme="minorHAnsi" w:cstheme="minorHAnsi"/>
          <w:sz w:val="22"/>
          <w:szCs w:val="22"/>
        </w:rPr>
        <w:t xml:space="preserve"> maggior dinamismo rispetto al segmento delle compravendite</w:t>
      </w:r>
      <w:r w:rsidR="008948EB" w:rsidRPr="00D308D8">
        <w:rPr>
          <w:rFonts w:asciiTheme="minorHAnsi" w:eastAsia="Calibri" w:hAnsiTheme="minorHAnsi" w:cstheme="minorHAnsi"/>
          <w:sz w:val="22"/>
          <w:szCs w:val="22"/>
        </w:rPr>
        <w:t xml:space="preserve"> in termini di aumento dei canoni</w:t>
      </w:r>
      <w:r w:rsidR="006F75D4" w:rsidRPr="00D308D8">
        <w:rPr>
          <w:rFonts w:asciiTheme="minorHAnsi" w:eastAsia="Calibri" w:hAnsiTheme="minorHAnsi" w:cstheme="minorHAnsi"/>
          <w:sz w:val="22"/>
          <w:szCs w:val="22"/>
        </w:rPr>
        <w:t xml:space="preserve">. </w:t>
      </w:r>
      <w:r w:rsidRPr="00D308D8">
        <w:rPr>
          <w:rFonts w:asciiTheme="minorHAnsi" w:eastAsia="Calibri" w:hAnsiTheme="minorHAnsi" w:cstheme="minorHAnsi"/>
          <w:sz w:val="22"/>
          <w:szCs w:val="22"/>
        </w:rPr>
        <w:t>Il dato medio, sintesi dei canoni richiesti in giugno, luglio e agosto nelle singole località turistiche monitorate, evidenzia un +</w:t>
      </w:r>
      <w:r w:rsidR="006F75D4" w:rsidRPr="00D308D8">
        <w:rPr>
          <w:rFonts w:asciiTheme="minorHAnsi" w:eastAsia="Calibri" w:hAnsiTheme="minorHAnsi" w:cstheme="minorHAnsi"/>
          <w:sz w:val="22"/>
          <w:szCs w:val="22"/>
        </w:rPr>
        <w:t>5,5</w:t>
      </w:r>
      <w:r w:rsidRPr="00D308D8">
        <w:rPr>
          <w:rFonts w:asciiTheme="minorHAnsi" w:eastAsia="Calibri" w:hAnsiTheme="minorHAnsi" w:cstheme="minorHAnsi"/>
          <w:sz w:val="22"/>
          <w:szCs w:val="22"/>
        </w:rPr>
        <w:t>% su base annua</w:t>
      </w:r>
      <w:r w:rsidR="00E20979" w:rsidRPr="00D308D8">
        <w:rPr>
          <w:rFonts w:asciiTheme="minorHAnsi" w:eastAsia="Calibri" w:hAnsiTheme="minorHAnsi" w:cstheme="minorHAnsi"/>
          <w:sz w:val="22"/>
          <w:szCs w:val="22"/>
        </w:rPr>
        <w:t xml:space="preserve">, con un campo di oscillazione, in funzione del mese, compreso tra </w:t>
      </w:r>
      <w:r w:rsidR="00D308D8" w:rsidRPr="00D308D8">
        <w:rPr>
          <w:rFonts w:asciiTheme="minorHAnsi" w:eastAsia="Calibri" w:hAnsiTheme="minorHAnsi" w:cstheme="minorHAnsi"/>
          <w:sz w:val="22"/>
          <w:szCs w:val="22"/>
        </w:rPr>
        <w:t>+1,7% e +9,0%.</w:t>
      </w:r>
    </w:p>
    <w:bookmarkEnd w:id="4"/>
    <w:p w14:paraId="748105BA" w14:textId="02FDF7D2" w:rsidR="007816E7" w:rsidRPr="00D308D8" w:rsidRDefault="007816E7" w:rsidP="00D308D8">
      <w:pPr>
        <w:spacing w:after="120"/>
        <w:jc w:val="both"/>
        <w:rPr>
          <w:rFonts w:asciiTheme="minorHAnsi" w:eastAsia="Calibri" w:hAnsiTheme="minorHAnsi" w:cstheme="minorHAnsi"/>
          <w:sz w:val="22"/>
          <w:szCs w:val="22"/>
        </w:rPr>
      </w:pPr>
      <w:r w:rsidRPr="00D308D8">
        <w:rPr>
          <w:rFonts w:asciiTheme="minorHAnsi" w:eastAsia="Calibri" w:hAnsiTheme="minorHAnsi" w:cstheme="minorHAnsi"/>
          <w:sz w:val="22"/>
          <w:szCs w:val="22"/>
        </w:rPr>
        <w:t xml:space="preserve">Il </w:t>
      </w:r>
      <w:r w:rsidR="00365FA6" w:rsidRPr="00D308D8">
        <w:rPr>
          <w:rFonts w:asciiTheme="minorHAnsi" w:eastAsia="Calibri" w:hAnsiTheme="minorHAnsi" w:cstheme="minorHAnsi"/>
          <w:sz w:val="22"/>
          <w:szCs w:val="22"/>
        </w:rPr>
        <w:t xml:space="preserve">mercato </w:t>
      </w:r>
      <w:r w:rsidRPr="00D308D8">
        <w:rPr>
          <w:rFonts w:asciiTheme="minorHAnsi" w:eastAsia="Calibri" w:hAnsiTheme="minorHAnsi" w:cstheme="minorHAnsi"/>
          <w:sz w:val="22"/>
          <w:szCs w:val="22"/>
        </w:rPr>
        <w:t xml:space="preserve">della locazione delle </w:t>
      </w:r>
      <w:r w:rsidR="00102954" w:rsidRPr="00D308D8">
        <w:rPr>
          <w:rFonts w:asciiTheme="minorHAnsi" w:eastAsia="Calibri" w:hAnsiTheme="minorHAnsi" w:cstheme="minorHAnsi"/>
          <w:sz w:val="22"/>
          <w:szCs w:val="22"/>
        </w:rPr>
        <w:t>destinazioni</w:t>
      </w:r>
      <w:r w:rsidRPr="00D308D8">
        <w:rPr>
          <w:rFonts w:asciiTheme="minorHAnsi" w:eastAsia="Calibri" w:hAnsiTheme="minorHAnsi" w:cstheme="minorHAnsi"/>
          <w:sz w:val="22"/>
          <w:szCs w:val="22"/>
        </w:rPr>
        <w:t xml:space="preserve"> turistiche è caratterizzato da un canone medio settimanale ordinario (valore di massima frequenza per un appartamento con camera matrimoniale, cameretta, cucina e bagno, 4 posti letto spese incluse) di </w:t>
      </w:r>
      <w:r w:rsidR="007F4212" w:rsidRPr="00D308D8">
        <w:rPr>
          <w:rFonts w:asciiTheme="minorHAnsi" w:eastAsia="Calibri" w:hAnsiTheme="minorHAnsi" w:cstheme="minorHAnsi"/>
          <w:sz w:val="22"/>
          <w:szCs w:val="22"/>
        </w:rPr>
        <w:t>quasi 500</w:t>
      </w:r>
      <w:r w:rsidRPr="00D308D8">
        <w:rPr>
          <w:rFonts w:asciiTheme="minorHAnsi" w:eastAsia="Calibri" w:hAnsiTheme="minorHAnsi" w:cstheme="minorHAnsi"/>
          <w:sz w:val="22"/>
          <w:szCs w:val="22"/>
        </w:rPr>
        <w:t>€ per il mese di giugno,</w:t>
      </w:r>
      <w:r w:rsidR="007F4212" w:rsidRPr="00D308D8">
        <w:rPr>
          <w:rFonts w:asciiTheme="minorHAnsi" w:eastAsia="Calibri" w:hAnsiTheme="minorHAnsi" w:cstheme="minorHAnsi"/>
          <w:sz w:val="22"/>
          <w:szCs w:val="22"/>
        </w:rPr>
        <w:t xml:space="preserve"> 710</w:t>
      </w:r>
      <w:r w:rsidRPr="00D308D8">
        <w:rPr>
          <w:rFonts w:asciiTheme="minorHAnsi" w:eastAsia="Calibri" w:hAnsiTheme="minorHAnsi" w:cstheme="minorHAnsi"/>
          <w:sz w:val="22"/>
          <w:szCs w:val="22"/>
        </w:rPr>
        <w:t xml:space="preserve">€ per luglio e </w:t>
      </w:r>
      <w:r w:rsidR="007F4212" w:rsidRPr="00D308D8">
        <w:rPr>
          <w:rFonts w:asciiTheme="minorHAnsi" w:eastAsia="Calibri" w:hAnsiTheme="minorHAnsi" w:cstheme="minorHAnsi"/>
          <w:sz w:val="22"/>
          <w:szCs w:val="22"/>
        </w:rPr>
        <w:t>930</w:t>
      </w:r>
      <w:r w:rsidRPr="00D308D8">
        <w:rPr>
          <w:rFonts w:asciiTheme="minorHAnsi" w:eastAsia="Calibri" w:hAnsiTheme="minorHAnsi" w:cstheme="minorHAnsi"/>
          <w:sz w:val="22"/>
          <w:szCs w:val="22"/>
        </w:rPr>
        <w:t>€ per agosto.</w:t>
      </w:r>
    </w:p>
    <w:p w14:paraId="0BD10DBC" w14:textId="202A7DD9" w:rsidR="00365FA6" w:rsidRDefault="00365FA6" w:rsidP="007816E7">
      <w:pPr>
        <w:rPr>
          <w:rFonts w:asciiTheme="minorHAnsi" w:eastAsia="Calibri" w:hAnsiTheme="minorHAnsi" w:cstheme="minorHAnsi"/>
          <w:sz w:val="22"/>
          <w:szCs w:val="22"/>
        </w:rPr>
      </w:pPr>
    </w:p>
    <w:p w14:paraId="192AAEDF" w14:textId="77777777" w:rsidR="00085517" w:rsidRDefault="00085517" w:rsidP="007816E7">
      <w:pPr>
        <w:rPr>
          <w:rFonts w:asciiTheme="minorHAnsi" w:eastAsia="Calibri" w:hAnsiTheme="minorHAnsi" w:cstheme="minorHAnsi"/>
          <w:sz w:val="22"/>
          <w:szCs w:val="22"/>
        </w:rPr>
      </w:pPr>
    </w:p>
    <w:p w14:paraId="47F85948" w14:textId="1518FC85" w:rsidR="003251EF" w:rsidRPr="00F25710" w:rsidRDefault="003251EF" w:rsidP="007816E7">
      <w:pPr>
        <w:rPr>
          <w:rFonts w:asciiTheme="minorHAnsi" w:eastAsia="Calibr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
        <w:gridCol w:w="2397"/>
        <w:gridCol w:w="12"/>
        <w:gridCol w:w="2389"/>
        <w:gridCol w:w="19"/>
        <w:gridCol w:w="2384"/>
        <w:gridCol w:w="26"/>
      </w:tblGrid>
      <w:tr w:rsidR="0041716C" w:rsidRPr="00F25710" w14:paraId="7D814A74" w14:textId="77777777" w:rsidTr="002D78BD">
        <w:trPr>
          <w:trHeight w:val="340"/>
          <w:jc w:val="center"/>
        </w:trPr>
        <w:tc>
          <w:tcPr>
            <w:tcW w:w="2444" w:type="dxa"/>
            <w:gridSpan w:val="2"/>
            <w:vAlign w:val="center"/>
          </w:tcPr>
          <w:p w14:paraId="26F942D6" w14:textId="5261A50B" w:rsidR="00CC3C69" w:rsidRPr="00430438" w:rsidRDefault="00B23B9D" w:rsidP="000D7640">
            <w:pPr>
              <w:rPr>
                <w:rFonts w:asciiTheme="minorHAnsi" w:eastAsia="Calibri" w:hAnsiTheme="minorHAnsi" w:cstheme="minorHAnsi"/>
                <w:bCs w:val="0"/>
                <w:sz w:val="20"/>
              </w:rPr>
            </w:pPr>
            <w:r w:rsidRPr="00430438">
              <w:rPr>
                <w:rFonts w:asciiTheme="minorHAnsi" w:eastAsia="Calibri" w:hAnsiTheme="minorHAnsi" w:cstheme="minorHAnsi"/>
                <w:bCs w:val="0"/>
                <w:caps w:val="0"/>
                <w:sz w:val="20"/>
              </w:rPr>
              <w:t xml:space="preserve">Tavola </w:t>
            </w:r>
            <w:r w:rsidR="007B6F39">
              <w:rPr>
                <w:rFonts w:asciiTheme="minorHAnsi" w:eastAsia="Calibri" w:hAnsiTheme="minorHAnsi" w:cstheme="minorHAnsi"/>
                <w:bCs w:val="0"/>
                <w:caps w:val="0"/>
                <w:sz w:val="20"/>
              </w:rPr>
              <w:t>4</w:t>
            </w:r>
          </w:p>
        </w:tc>
        <w:tc>
          <w:tcPr>
            <w:tcW w:w="7334" w:type="dxa"/>
            <w:gridSpan w:val="6"/>
            <w:shd w:val="clear" w:color="auto" w:fill="D9D9D9" w:themeFill="background1" w:themeFillShade="D9"/>
            <w:vAlign w:val="center"/>
          </w:tcPr>
          <w:p w14:paraId="4385C271" w14:textId="3615F1D2" w:rsidR="00B34199" w:rsidRPr="00F5318C" w:rsidRDefault="00CC3C69" w:rsidP="00853E99">
            <w:pPr>
              <w:jc w:val="center"/>
              <w:rPr>
                <w:rFonts w:asciiTheme="minorHAnsi" w:eastAsia="Calibri" w:hAnsiTheme="minorHAnsi" w:cstheme="minorHAnsi"/>
                <w:caps w:val="0"/>
                <w:sz w:val="20"/>
              </w:rPr>
            </w:pPr>
            <w:r w:rsidRPr="00F5318C">
              <w:rPr>
                <w:rFonts w:asciiTheme="minorHAnsi" w:eastAsia="Calibri" w:hAnsiTheme="minorHAnsi" w:cstheme="minorHAnsi"/>
                <w:caps w:val="0"/>
                <w:sz w:val="20"/>
              </w:rPr>
              <w:t xml:space="preserve">Canone </w:t>
            </w:r>
            <w:r w:rsidR="00F5318C" w:rsidRPr="00F5318C">
              <w:rPr>
                <w:rFonts w:asciiTheme="minorHAnsi" w:eastAsia="Calibri" w:hAnsiTheme="minorHAnsi" w:cstheme="minorHAnsi"/>
                <w:caps w:val="0"/>
                <w:sz w:val="20"/>
              </w:rPr>
              <w:t>minimo medio e massimo</w:t>
            </w:r>
            <w:r w:rsidR="00856627" w:rsidRPr="00F5318C">
              <w:rPr>
                <w:rFonts w:asciiTheme="minorHAnsi" w:eastAsia="Calibri" w:hAnsiTheme="minorHAnsi" w:cstheme="minorHAnsi"/>
                <w:caps w:val="0"/>
                <w:sz w:val="20"/>
              </w:rPr>
              <w:t xml:space="preserve"> </w:t>
            </w:r>
            <w:r w:rsidR="003D3270" w:rsidRPr="00F5318C">
              <w:rPr>
                <w:rFonts w:asciiTheme="minorHAnsi" w:eastAsia="Calibri" w:hAnsiTheme="minorHAnsi" w:cstheme="minorHAnsi"/>
                <w:caps w:val="0"/>
                <w:sz w:val="20"/>
              </w:rPr>
              <w:t>settimanale</w:t>
            </w:r>
            <w:r w:rsidR="00F02CF0" w:rsidRPr="00F5318C">
              <w:rPr>
                <w:rFonts w:asciiTheme="minorHAnsi" w:eastAsia="Calibri" w:hAnsiTheme="minorHAnsi" w:cstheme="minorHAnsi"/>
                <w:caps w:val="0"/>
                <w:sz w:val="20"/>
              </w:rPr>
              <w:t xml:space="preserve"> </w:t>
            </w:r>
            <w:r w:rsidR="00F5318C" w:rsidRPr="00F5318C">
              <w:rPr>
                <w:rFonts w:asciiTheme="minorHAnsi" w:eastAsia="Calibri" w:hAnsiTheme="minorHAnsi" w:cstheme="minorHAnsi"/>
                <w:caps w:val="0"/>
                <w:sz w:val="20"/>
              </w:rPr>
              <w:t>2021</w:t>
            </w:r>
          </w:p>
        </w:tc>
      </w:tr>
      <w:tr w:rsidR="0041716C" w:rsidRPr="00F25710" w14:paraId="69C307D5" w14:textId="77777777" w:rsidTr="002D78BD">
        <w:trPr>
          <w:trHeight w:val="340"/>
          <w:jc w:val="center"/>
        </w:trPr>
        <w:tc>
          <w:tcPr>
            <w:tcW w:w="2444" w:type="dxa"/>
            <w:gridSpan w:val="2"/>
            <w:vAlign w:val="center"/>
          </w:tcPr>
          <w:p w14:paraId="64124970" w14:textId="77777777" w:rsidR="00CC3C69" w:rsidRPr="00A3399B" w:rsidRDefault="00CC3C69" w:rsidP="002D78BD">
            <w:pPr>
              <w:rPr>
                <w:rFonts w:asciiTheme="minorHAnsi" w:eastAsia="Calibri" w:hAnsiTheme="minorHAnsi" w:cstheme="minorHAnsi"/>
                <w:strike/>
                <w:sz w:val="20"/>
              </w:rPr>
            </w:pPr>
          </w:p>
        </w:tc>
        <w:tc>
          <w:tcPr>
            <w:tcW w:w="2444" w:type="dxa"/>
            <w:gridSpan w:val="2"/>
            <w:shd w:val="clear" w:color="auto" w:fill="F2F2F2" w:themeFill="background1" w:themeFillShade="F2"/>
            <w:vAlign w:val="center"/>
          </w:tcPr>
          <w:p w14:paraId="2C982CEC" w14:textId="77777777" w:rsidR="00CC3C69" w:rsidRPr="006F75D4" w:rsidRDefault="00CC3C69" w:rsidP="002D78BD">
            <w:pPr>
              <w:jc w:val="center"/>
              <w:rPr>
                <w:rFonts w:asciiTheme="minorHAnsi" w:eastAsia="Calibri" w:hAnsiTheme="minorHAnsi" w:cstheme="minorHAnsi"/>
                <w:sz w:val="20"/>
              </w:rPr>
            </w:pPr>
            <w:r w:rsidRPr="006F75D4">
              <w:rPr>
                <w:rFonts w:asciiTheme="minorHAnsi" w:eastAsia="Calibri" w:hAnsiTheme="minorHAnsi" w:cstheme="minorHAnsi"/>
                <w:caps w:val="0"/>
                <w:sz w:val="20"/>
              </w:rPr>
              <w:t>Mese di giugno</w:t>
            </w:r>
          </w:p>
        </w:tc>
        <w:tc>
          <w:tcPr>
            <w:tcW w:w="2445" w:type="dxa"/>
            <w:gridSpan w:val="2"/>
            <w:shd w:val="clear" w:color="auto" w:fill="F2F2F2" w:themeFill="background1" w:themeFillShade="F2"/>
            <w:vAlign w:val="center"/>
          </w:tcPr>
          <w:p w14:paraId="65002E67" w14:textId="77777777" w:rsidR="00CC3C69" w:rsidRPr="006F75D4" w:rsidRDefault="00CC3C69" w:rsidP="002D78BD">
            <w:pPr>
              <w:jc w:val="center"/>
              <w:rPr>
                <w:rFonts w:asciiTheme="minorHAnsi" w:eastAsia="Calibri" w:hAnsiTheme="minorHAnsi" w:cstheme="minorHAnsi"/>
                <w:sz w:val="20"/>
              </w:rPr>
            </w:pPr>
            <w:r w:rsidRPr="006F75D4">
              <w:rPr>
                <w:rFonts w:asciiTheme="minorHAnsi" w:eastAsia="Calibri" w:hAnsiTheme="minorHAnsi" w:cstheme="minorHAnsi"/>
                <w:caps w:val="0"/>
                <w:sz w:val="20"/>
              </w:rPr>
              <w:t>Mese di luglio</w:t>
            </w:r>
          </w:p>
        </w:tc>
        <w:tc>
          <w:tcPr>
            <w:tcW w:w="2445" w:type="dxa"/>
            <w:gridSpan w:val="2"/>
            <w:shd w:val="clear" w:color="auto" w:fill="F2F2F2" w:themeFill="background1" w:themeFillShade="F2"/>
            <w:vAlign w:val="center"/>
          </w:tcPr>
          <w:p w14:paraId="530108FF" w14:textId="77777777" w:rsidR="00CC3C69" w:rsidRPr="006F75D4" w:rsidRDefault="00CC3C69" w:rsidP="002D78BD">
            <w:pPr>
              <w:jc w:val="center"/>
              <w:rPr>
                <w:rFonts w:asciiTheme="minorHAnsi" w:eastAsia="Calibri" w:hAnsiTheme="minorHAnsi" w:cstheme="minorHAnsi"/>
                <w:sz w:val="20"/>
              </w:rPr>
            </w:pPr>
            <w:r w:rsidRPr="006F75D4">
              <w:rPr>
                <w:rFonts w:asciiTheme="minorHAnsi" w:eastAsia="Calibri" w:hAnsiTheme="minorHAnsi" w:cstheme="minorHAnsi"/>
                <w:caps w:val="0"/>
                <w:sz w:val="20"/>
              </w:rPr>
              <w:t>Mese di agosto</w:t>
            </w:r>
          </w:p>
        </w:tc>
      </w:tr>
      <w:tr w:rsidR="003251EF" w:rsidRPr="00F25710" w14:paraId="28B1FD8E" w14:textId="77777777" w:rsidTr="008A632B">
        <w:trPr>
          <w:trHeight w:val="340"/>
          <w:jc w:val="center"/>
        </w:trPr>
        <w:tc>
          <w:tcPr>
            <w:tcW w:w="2444" w:type="dxa"/>
            <w:gridSpan w:val="2"/>
            <w:shd w:val="clear" w:color="auto" w:fill="DEEAF6" w:themeFill="accent1" w:themeFillTint="33"/>
            <w:vAlign w:val="center"/>
          </w:tcPr>
          <w:p w14:paraId="7A10777A" w14:textId="3D5348DA" w:rsidR="003251EF" w:rsidRPr="008A632B" w:rsidRDefault="006F75D4" w:rsidP="008A632B">
            <w:pPr>
              <w:jc w:val="center"/>
              <w:rPr>
                <w:rFonts w:asciiTheme="minorHAnsi" w:eastAsia="Calibri" w:hAnsiTheme="minorHAnsi" w:cstheme="minorHAnsi"/>
                <w:caps w:val="0"/>
                <w:sz w:val="20"/>
              </w:rPr>
            </w:pPr>
            <w:r w:rsidRPr="008A632B">
              <w:rPr>
                <w:rFonts w:asciiTheme="minorHAnsi" w:eastAsia="Calibri" w:hAnsiTheme="minorHAnsi" w:cstheme="minorHAnsi"/>
                <w:caps w:val="0"/>
                <w:sz w:val="20"/>
              </w:rPr>
              <w:t>Canoni minimi</w:t>
            </w:r>
          </w:p>
        </w:tc>
        <w:tc>
          <w:tcPr>
            <w:tcW w:w="2444" w:type="dxa"/>
            <w:gridSpan w:val="2"/>
            <w:shd w:val="clear" w:color="auto" w:fill="DEEAF6" w:themeFill="accent1" w:themeFillTint="33"/>
            <w:vAlign w:val="center"/>
          </w:tcPr>
          <w:p w14:paraId="64C4823F" w14:textId="6840398A" w:rsidR="008A632B" w:rsidRPr="008A632B" w:rsidRDefault="008A632B" w:rsidP="008A632B">
            <w:pPr>
              <w:jc w:val="center"/>
              <w:rPr>
                <w:rFonts w:ascii="Calibri" w:hAnsi="Calibri" w:cs="Arial"/>
                <w:b w:val="0"/>
                <w:sz w:val="20"/>
              </w:rPr>
            </w:pPr>
            <w:r w:rsidRPr="008A632B">
              <w:rPr>
                <w:rFonts w:ascii="Calibri" w:hAnsi="Calibri" w:cs="Arial"/>
                <w:b w:val="0"/>
                <w:sz w:val="20"/>
              </w:rPr>
              <w:t>40</w:t>
            </w:r>
            <w:r w:rsidR="00F5318C">
              <w:rPr>
                <w:rFonts w:ascii="Calibri" w:hAnsi="Calibri" w:cs="Arial"/>
                <w:b w:val="0"/>
                <w:sz w:val="20"/>
              </w:rPr>
              <w:t>0</w:t>
            </w:r>
          </w:p>
        </w:tc>
        <w:tc>
          <w:tcPr>
            <w:tcW w:w="2445" w:type="dxa"/>
            <w:gridSpan w:val="2"/>
            <w:shd w:val="clear" w:color="auto" w:fill="DEEAF6" w:themeFill="accent1" w:themeFillTint="33"/>
            <w:vAlign w:val="center"/>
          </w:tcPr>
          <w:p w14:paraId="61C59FB3" w14:textId="47E74ED4" w:rsidR="003251EF" w:rsidRPr="008A632B" w:rsidRDefault="008A632B" w:rsidP="008A632B">
            <w:pPr>
              <w:jc w:val="center"/>
              <w:rPr>
                <w:rFonts w:ascii="Calibri" w:hAnsi="Calibri" w:cs="Arial"/>
                <w:b w:val="0"/>
                <w:sz w:val="20"/>
              </w:rPr>
            </w:pPr>
            <w:r w:rsidRPr="008A632B">
              <w:rPr>
                <w:rFonts w:ascii="Calibri" w:hAnsi="Calibri" w:cs="Arial"/>
                <w:b w:val="0"/>
                <w:sz w:val="20"/>
              </w:rPr>
              <w:t>585</w:t>
            </w:r>
          </w:p>
        </w:tc>
        <w:tc>
          <w:tcPr>
            <w:tcW w:w="2445" w:type="dxa"/>
            <w:gridSpan w:val="2"/>
            <w:shd w:val="clear" w:color="auto" w:fill="DEEAF6" w:themeFill="accent1" w:themeFillTint="33"/>
            <w:vAlign w:val="center"/>
          </w:tcPr>
          <w:p w14:paraId="758C76AF" w14:textId="73A05BC5" w:rsidR="003251EF" w:rsidRPr="008A632B" w:rsidRDefault="008A632B" w:rsidP="008A632B">
            <w:pPr>
              <w:jc w:val="center"/>
              <w:rPr>
                <w:rFonts w:ascii="Calibri" w:hAnsi="Calibri" w:cs="Arial"/>
                <w:b w:val="0"/>
                <w:sz w:val="20"/>
              </w:rPr>
            </w:pPr>
            <w:r w:rsidRPr="008A632B">
              <w:rPr>
                <w:rFonts w:ascii="Calibri" w:hAnsi="Calibri" w:cs="Arial"/>
                <w:b w:val="0"/>
                <w:sz w:val="20"/>
              </w:rPr>
              <w:t>770</w:t>
            </w:r>
          </w:p>
        </w:tc>
      </w:tr>
      <w:tr w:rsidR="00F5318C" w:rsidRPr="00F25710" w14:paraId="565CD462" w14:textId="77777777" w:rsidTr="008A632B">
        <w:trPr>
          <w:trHeight w:val="340"/>
          <w:jc w:val="center"/>
        </w:trPr>
        <w:tc>
          <w:tcPr>
            <w:tcW w:w="2444" w:type="dxa"/>
            <w:gridSpan w:val="2"/>
            <w:shd w:val="clear" w:color="auto" w:fill="DEEAF6" w:themeFill="accent1" w:themeFillTint="33"/>
            <w:vAlign w:val="center"/>
          </w:tcPr>
          <w:p w14:paraId="1ACDA777" w14:textId="4B1219D1" w:rsidR="00F5318C" w:rsidRPr="008A632B" w:rsidRDefault="00F5318C" w:rsidP="00F5318C">
            <w:pPr>
              <w:jc w:val="center"/>
              <w:rPr>
                <w:rFonts w:asciiTheme="minorHAnsi" w:eastAsia="Calibri" w:hAnsiTheme="minorHAnsi" w:cstheme="minorHAnsi"/>
                <w:caps w:val="0"/>
                <w:sz w:val="20"/>
              </w:rPr>
            </w:pPr>
            <w:r w:rsidRPr="008A632B">
              <w:rPr>
                <w:rFonts w:asciiTheme="minorHAnsi" w:eastAsia="Calibri" w:hAnsiTheme="minorHAnsi" w:cstheme="minorHAnsi"/>
                <w:caps w:val="0"/>
                <w:sz w:val="20"/>
              </w:rPr>
              <w:t>Canoni massimi</w:t>
            </w:r>
          </w:p>
        </w:tc>
        <w:tc>
          <w:tcPr>
            <w:tcW w:w="2444" w:type="dxa"/>
            <w:gridSpan w:val="2"/>
            <w:shd w:val="clear" w:color="auto" w:fill="DEEAF6" w:themeFill="accent1" w:themeFillTint="33"/>
            <w:vAlign w:val="center"/>
          </w:tcPr>
          <w:p w14:paraId="5E9E4AB5" w14:textId="10753F58" w:rsidR="00F5318C" w:rsidRPr="008A632B" w:rsidRDefault="00F5318C" w:rsidP="00F5318C">
            <w:pPr>
              <w:jc w:val="center"/>
              <w:rPr>
                <w:rFonts w:ascii="Calibri" w:hAnsi="Calibri" w:cs="Arial"/>
                <w:b w:val="0"/>
                <w:sz w:val="20"/>
              </w:rPr>
            </w:pPr>
            <w:r w:rsidRPr="008A632B">
              <w:rPr>
                <w:rFonts w:ascii="Calibri" w:hAnsi="Calibri" w:cs="Arial"/>
                <w:b w:val="0"/>
                <w:sz w:val="20"/>
              </w:rPr>
              <w:t>58</w:t>
            </w:r>
            <w:r>
              <w:rPr>
                <w:rFonts w:ascii="Calibri" w:hAnsi="Calibri" w:cs="Arial"/>
                <w:b w:val="0"/>
                <w:sz w:val="20"/>
              </w:rPr>
              <w:t>0</w:t>
            </w:r>
          </w:p>
        </w:tc>
        <w:tc>
          <w:tcPr>
            <w:tcW w:w="2445" w:type="dxa"/>
            <w:gridSpan w:val="2"/>
            <w:shd w:val="clear" w:color="auto" w:fill="DEEAF6" w:themeFill="accent1" w:themeFillTint="33"/>
            <w:vAlign w:val="center"/>
          </w:tcPr>
          <w:p w14:paraId="79A4F0B8" w14:textId="7D0BD354" w:rsidR="00F5318C" w:rsidRPr="008A632B" w:rsidRDefault="00F5318C" w:rsidP="00F5318C">
            <w:pPr>
              <w:jc w:val="center"/>
              <w:rPr>
                <w:rFonts w:ascii="Calibri" w:hAnsi="Calibri" w:cs="Arial"/>
                <w:b w:val="0"/>
                <w:sz w:val="20"/>
              </w:rPr>
            </w:pPr>
            <w:r w:rsidRPr="008A632B">
              <w:rPr>
                <w:rFonts w:ascii="Calibri" w:hAnsi="Calibri" w:cs="Arial"/>
                <w:b w:val="0"/>
                <w:sz w:val="20"/>
              </w:rPr>
              <w:t>83</w:t>
            </w:r>
            <w:r>
              <w:rPr>
                <w:rFonts w:ascii="Calibri" w:hAnsi="Calibri" w:cs="Arial"/>
                <w:b w:val="0"/>
                <w:sz w:val="20"/>
              </w:rPr>
              <w:t>0</w:t>
            </w:r>
          </w:p>
        </w:tc>
        <w:tc>
          <w:tcPr>
            <w:tcW w:w="2445" w:type="dxa"/>
            <w:gridSpan w:val="2"/>
            <w:shd w:val="clear" w:color="auto" w:fill="DEEAF6" w:themeFill="accent1" w:themeFillTint="33"/>
            <w:vAlign w:val="center"/>
          </w:tcPr>
          <w:p w14:paraId="47B3C36C" w14:textId="02EAC941" w:rsidR="00F5318C" w:rsidRPr="008A632B" w:rsidRDefault="00F5318C" w:rsidP="00F5318C">
            <w:pPr>
              <w:jc w:val="center"/>
              <w:rPr>
                <w:rFonts w:ascii="Calibri" w:hAnsi="Calibri" w:cs="Arial"/>
                <w:b w:val="0"/>
                <w:sz w:val="20"/>
              </w:rPr>
            </w:pPr>
            <w:r w:rsidRPr="008A632B">
              <w:rPr>
                <w:rFonts w:ascii="Calibri" w:hAnsi="Calibri" w:cs="Arial"/>
                <w:b w:val="0"/>
                <w:sz w:val="20"/>
              </w:rPr>
              <w:t>1</w:t>
            </w:r>
            <w:r>
              <w:rPr>
                <w:rFonts w:ascii="Calibri" w:hAnsi="Calibri" w:cs="Arial"/>
                <w:b w:val="0"/>
                <w:sz w:val="20"/>
              </w:rPr>
              <w:t>.</w:t>
            </w:r>
            <w:r w:rsidRPr="008A632B">
              <w:rPr>
                <w:rFonts w:ascii="Calibri" w:hAnsi="Calibri" w:cs="Arial"/>
                <w:b w:val="0"/>
                <w:sz w:val="20"/>
              </w:rPr>
              <w:t>080</w:t>
            </w:r>
          </w:p>
        </w:tc>
      </w:tr>
      <w:tr w:rsidR="00F5318C" w:rsidRPr="00F25710" w14:paraId="0EC57A5A" w14:textId="77777777" w:rsidTr="00F5318C">
        <w:trPr>
          <w:gridAfter w:val="1"/>
          <w:wAfter w:w="26" w:type="dxa"/>
          <w:trHeight w:val="20"/>
          <w:jc w:val="center"/>
        </w:trPr>
        <w:tc>
          <w:tcPr>
            <w:tcW w:w="2438" w:type="dxa"/>
            <w:shd w:val="clear" w:color="auto" w:fill="auto"/>
            <w:vAlign w:val="center"/>
          </w:tcPr>
          <w:p w14:paraId="4F58EC4E" w14:textId="495B1359" w:rsidR="00F5318C" w:rsidRPr="008A632B" w:rsidRDefault="00F5318C" w:rsidP="00F5318C">
            <w:pPr>
              <w:jc w:val="center"/>
              <w:rPr>
                <w:rFonts w:asciiTheme="minorHAnsi" w:eastAsia="Calibri" w:hAnsiTheme="minorHAnsi" w:cstheme="minorHAnsi"/>
                <w:sz w:val="20"/>
              </w:rPr>
            </w:pPr>
          </w:p>
        </w:tc>
        <w:tc>
          <w:tcPr>
            <w:tcW w:w="2438" w:type="dxa"/>
            <w:gridSpan w:val="2"/>
            <w:shd w:val="clear" w:color="auto" w:fill="auto"/>
            <w:vAlign w:val="center"/>
          </w:tcPr>
          <w:p w14:paraId="216E3D43" w14:textId="2CBF7E3F" w:rsidR="00F5318C" w:rsidRPr="008A632B" w:rsidRDefault="00F5318C" w:rsidP="00F5318C">
            <w:pPr>
              <w:jc w:val="center"/>
              <w:rPr>
                <w:rFonts w:ascii="Calibri" w:hAnsi="Calibri" w:cs="Arial"/>
                <w:b w:val="0"/>
                <w:sz w:val="20"/>
              </w:rPr>
            </w:pPr>
          </w:p>
        </w:tc>
        <w:tc>
          <w:tcPr>
            <w:tcW w:w="2438" w:type="dxa"/>
            <w:gridSpan w:val="2"/>
            <w:shd w:val="clear" w:color="auto" w:fill="auto"/>
            <w:vAlign w:val="center"/>
          </w:tcPr>
          <w:p w14:paraId="1D30ED69" w14:textId="26E4A5F5" w:rsidR="00F5318C" w:rsidRPr="008A632B" w:rsidRDefault="00F5318C" w:rsidP="00F5318C">
            <w:pPr>
              <w:jc w:val="center"/>
              <w:rPr>
                <w:rFonts w:ascii="Calibri" w:hAnsi="Calibri" w:cs="Arial"/>
                <w:b w:val="0"/>
                <w:sz w:val="20"/>
              </w:rPr>
            </w:pPr>
          </w:p>
        </w:tc>
        <w:tc>
          <w:tcPr>
            <w:tcW w:w="2438" w:type="dxa"/>
            <w:gridSpan w:val="2"/>
            <w:shd w:val="clear" w:color="auto" w:fill="auto"/>
            <w:vAlign w:val="center"/>
          </w:tcPr>
          <w:p w14:paraId="7910A637" w14:textId="2218A7A8" w:rsidR="00F5318C" w:rsidRPr="008A632B" w:rsidRDefault="00F5318C" w:rsidP="00F5318C">
            <w:pPr>
              <w:jc w:val="center"/>
              <w:rPr>
                <w:rFonts w:ascii="Calibri" w:hAnsi="Calibri" w:cs="Arial"/>
                <w:b w:val="0"/>
                <w:sz w:val="20"/>
              </w:rPr>
            </w:pPr>
          </w:p>
        </w:tc>
      </w:tr>
      <w:tr w:rsidR="00F5318C" w:rsidRPr="00F25710" w14:paraId="0BB1E428" w14:textId="77777777" w:rsidTr="008A632B">
        <w:trPr>
          <w:trHeight w:val="340"/>
          <w:jc w:val="center"/>
        </w:trPr>
        <w:tc>
          <w:tcPr>
            <w:tcW w:w="2444" w:type="dxa"/>
            <w:gridSpan w:val="2"/>
            <w:shd w:val="clear" w:color="auto" w:fill="DEEAF6" w:themeFill="accent1" w:themeFillTint="33"/>
            <w:vAlign w:val="center"/>
          </w:tcPr>
          <w:p w14:paraId="48F3979A" w14:textId="255A2EED" w:rsidR="00F5318C" w:rsidRPr="008A632B" w:rsidRDefault="00F5318C" w:rsidP="00F5318C">
            <w:pPr>
              <w:jc w:val="center"/>
              <w:rPr>
                <w:rFonts w:asciiTheme="minorHAnsi" w:eastAsia="Calibri" w:hAnsiTheme="minorHAnsi" w:cstheme="minorHAnsi"/>
                <w:sz w:val="20"/>
              </w:rPr>
            </w:pPr>
            <w:r w:rsidRPr="008A632B">
              <w:rPr>
                <w:rFonts w:asciiTheme="minorHAnsi" w:eastAsia="Calibri" w:hAnsiTheme="minorHAnsi" w:cstheme="minorHAnsi"/>
                <w:caps w:val="0"/>
                <w:sz w:val="20"/>
              </w:rPr>
              <w:t>Canoni medi</w:t>
            </w:r>
          </w:p>
        </w:tc>
        <w:tc>
          <w:tcPr>
            <w:tcW w:w="2444" w:type="dxa"/>
            <w:gridSpan w:val="2"/>
            <w:shd w:val="clear" w:color="auto" w:fill="DEEAF6" w:themeFill="accent1" w:themeFillTint="33"/>
            <w:vAlign w:val="center"/>
          </w:tcPr>
          <w:p w14:paraId="440BBEAB" w14:textId="0FC70FE5" w:rsidR="00F5318C" w:rsidRPr="008A632B" w:rsidRDefault="00F5318C" w:rsidP="00F5318C">
            <w:pPr>
              <w:jc w:val="center"/>
              <w:rPr>
                <w:rFonts w:ascii="Calibri" w:hAnsi="Calibri" w:cs="Arial"/>
                <w:b w:val="0"/>
                <w:sz w:val="20"/>
              </w:rPr>
            </w:pPr>
            <w:r w:rsidRPr="008A632B">
              <w:rPr>
                <w:rFonts w:ascii="Calibri" w:hAnsi="Calibri" w:cs="Arial"/>
                <w:b w:val="0"/>
                <w:sz w:val="20"/>
              </w:rPr>
              <w:t>490</w:t>
            </w:r>
          </w:p>
        </w:tc>
        <w:tc>
          <w:tcPr>
            <w:tcW w:w="2445" w:type="dxa"/>
            <w:gridSpan w:val="2"/>
            <w:shd w:val="clear" w:color="auto" w:fill="DEEAF6" w:themeFill="accent1" w:themeFillTint="33"/>
            <w:vAlign w:val="center"/>
          </w:tcPr>
          <w:p w14:paraId="119E8A27" w14:textId="62B976D7" w:rsidR="00F5318C" w:rsidRPr="008A632B" w:rsidRDefault="00F5318C" w:rsidP="00F5318C">
            <w:pPr>
              <w:jc w:val="center"/>
              <w:rPr>
                <w:rFonts w:ascii="Calibri" w:hAnsi="Calibri" w:cs="Arial"/>
                <w:b w:val="0"/>
                <w:sz w:val="20"/>
              </w:rPr>
            </w:pPr>
            <w:r w:rsidRPr="008A632B">
              <w:rPr>
                <w:rFonts w:ascii="Calibri" w:hAnsi="Calibri" w:cs="Arial"/>
                <w:b w:val="0"/>
                <w:sz w:val="20"/>
              </w:rPr>
              <w:t>710</w:t>
            </w:r>
          </w:p>
        </w:tc>
        <w:tc>
          <w:tcPr>
            <w:tcW w:w="2445" w:type="dxa"/>
            <w:gridSpan w:val="2"/>
            <w:shd w:val="clear" w:color="auto" w:fill="DEEAF6" w:themeFill="accent1" w:themeFillTint="33"/>
            <w:vAlign w:val="center"/>
          </w:tcPr>
          <w:p w14:paraId="0A26C074" w14:textId="00110E38" w:rsidR="00F5318C" w:rsidRPr="008A632B" w:rsidRDefault="00F5318C" w:rsidP="00F5318C">
            <w:pPr>
              <w:jc w:val="center"/>
              <w:rPr>
                <w:rFonts w:ascii="Calibri" w:hAnsi="Calibri" w:cs="Arial"/>
                <w:b w:val="0"/>
                <w:sz w:val="20"/>
              </w:rPr>
            </w:pPr>
            <w:r w:rsidRPr="008A632B">
              <w:rPr>
                <w:rFonts w:ascii="Calibri" w:hAnsi="Calibri" w:cs="Arial"/>
                <w:b w:val="0"/>
                <w:sz w:val="20"/>
              </w:rPr>
              <w:t>930</w:t>
            </w:r>
          </w:p>
        </w:tc>
      </w:tr>
    </w:tbl>
    <w:p w14:paraId="428A86FB" w14:textId="77777777" w:rsidR="008D7331" w:rsidRPr="00F25710" w:rsidRDefault="008D7331" w:rsidP="008D7331">
      <w:pPr>
        <w:spacing w:before="60"/>
        <w:rPr>
          <w:rFonts w:asciiTheme="minorHAnsi" w:eastAsia="Calibri" w:hAnsiTheme="minorHAnsi" w:cstheme="minorHAnsi"/>
          <w:sz w:val="18"/>
        </w:rPr>
      </w:pPr>
      <w:r w:rsidRPr="00F25710">
        <w:rPr>
          <w:rFonts w:asciiTheme="minorHAnsi" w:eastAsia="Calibri" w:hAnsiTheme="minorHAnsi" w:cstheme="minorHAnsi"/>
          <w:sz w:val="18"/>
        </w:rPr>
        <w:t>Fonte: Nomisma e Fimaa</w:t>
      </w:r>
      <w:r w:rsidR="00AC5889" w:rsidRPr="00F25710">
        <w:rPr>
          <w:rFonts w:asciiTheme="minorHAnsi" w:eastAsia="Calibri" w:hAnsiTheme="minorHAnsi" w:cstheme="minorHAnsi"/>
          <w:sz w:val="18"/>
        </w:rPr>
        <w:t>-Confcommercio</w:t>
      </w:r>
    </w:p>
    <w:p w14:paraId="709737A8" w14:textId="743F28AE" w:rsidR="00E20979" w:rsidRDefault="00E20979" w:rsidP="00364602">
      <w:pPr>
        <w:rPr>
          <w:rFonts w:asciiTheme="minorHAnsi" w:eastAsia="Calibri" w:hAnsiTheme="minorHAnsi" w:cstheme="minorHAnsi"/>
          <w:sz w:val="22"/>
        </w:rPr>
      </w:pPr>
    </w:p>
    <w:p w14:paraId="2A019400" w14:textId="34187D65" w:rsidR="00E24062" w:rsidRPr="00A3399B" w:rsidRDefault="00E24062" w:rsidP="00A3405C">
      <w:pPr>
        <w:jc w:val="both"/>
        <w:rPr>
          <w:rFonts w:asciiTheme="minorHAnsi" w:eastAsia="Calibri" w:hAnsiTheme="minorHAnsi" w:cstheme="minorHAnsi"/>
          <w:sz w:val="22"/>
          <w:szCs w:val="22"/>
        </w:rPr>
      </w:pPr>
      <w:r w:rsidRPr="00A3399B">
        <w:rPr>
          <w:rFonts w:asciiTheme="minorHAnsi" w:eastAsia="Calibri" w:hAnsiTheme="minorHAnsi" w:cstheme="minorHAnsi"/>
          <w:sz w:val="22"/>
          <w:szCs w:val="22"/>
        </w:rPr>
        <w:t>Secondo gli operatori del settore, anche quest’anno il mercato residenziale nelle località turistiche è alimentato principalmente dagli acquisti per utilizzo diretto (</w:t>
      </w:r>
      <w:r w:rsidR="00A3399B" w:rsidRPr="00A3399B">
        <w:rPr>
          <w:rFonts w:asciiTheme="minorHAnsi" w:eastAsia="Calibri" w:hAnsiTheme="minorHAnsi" w:cstheme="minorHAnsi"/>
          <w:sz w:val="22"/>
          <w:szCs w:val="22"/>
        </w:rPr>
        <w:t>65,2</w:t>
      </w:r>
      <w:r w:rsidRPr="00A3399B">
        <w:rPr>
          <w:rFonts w:asciiTheme="minorHAnsi" w:eastAsia="Calibri" w:hAnsiTheme="minorHAnsi" w:cstheme="minorHAnsi"/>
          <w:sz w:val="22"/>
          <w:szCs w:val="22"/>
        </w:rPr>
        <w:t xml:space="preserve">%), </w:t>
      </w:r>
      <w:r w:rsidR="00A3399B" w:rsidRPr="00A3399B">
        <w:rPr>
          <w:rFonts w:asciiTheme="minorHAnsi" w:eastAsia="Calibri" w:hAnsiTheme="minorHAnsi" w:cstheme="minorHAnsi"/>
          <w:sz w:val="22"/>
          <w:szCs w:val="22"/>
        </w:rPr>
        <w:t>con maggiore intensità</w:t>
      </w:r>
      <w:r w:rsidRPr="00A3399B">
        <w:rPr>
          <w:rFonts w:asciiTheme="minorHAnsi" w:eastAsia="Calibri" w:hAnsiTheme="minorHAnsi" w:cstheme="minorHAnsi"/>
          <w:sz w:val="22"/>
          <w:szCs w:val="22"/>
        </w:rPr>
        <w:t xml:space="preserve"> rispetto allo scorso anno, a fronte di un</w:t>
      </w:r>
      <w:r w:rsidR="00A3399B" w:rsidRPr="00A3399B">
        <w:rPr>
          <w:rFonts w:asciiTheme="minorHAnsi" w:eastAsia="Calibri" w:hAnsiTheme="minorHAnsi" w:cstheme="minorHAnsi"/>
          <w:sz w:val="22"/>
          <w:szCs w:val="22"/>
        </w:rPr>
        <w:t xml:space="preserve">a flessione </w:t>
      </w:r>
      <w:r w:rsidR="004C1B57" w:rsidRPr="00A3399B">
        <w:rPr>
          <w:rFonts w:asciiTheme="minorHAnsi" w:eastAsia="Calibri" w:hAnsiTheme="minorHAnsi" w:cstheme="minorHAnsi"/>
          <w:sz w:val="22"/>
          <w:szCs w:val="22"/>
        </w:rPr>
        <w:t>della componente che esprime la duplice finalità</w:t>
      </w:r>
      <w:r w:rsidRPr="00A3399B">
        <w:rPr>
          <w:rFonts w:asciiTheme="minorHAnsi" w:eastAsia="Calibri" w:hAnsiTheme="minorHAnsi" w:cstheme="minorHAnsi"/>
          <w:sz w:val="22"/>
          <w:szCs w:val="22"/>
        </w:rPr>
        <w:t xml:space="preserve"> (investimento e</w:t>
      </w:r>
      <w:r w:rsidR="004C1B57" w:rsidRPr="00A3399B">
        <w:rPr>
          <w:rFonts w:asciiTheme="minorHAnsi" w:eastAsia="Calibri" w:hAnsiTheme="minorHAnsi" w:cstheme="minorHAnsi"/>
          <w:sz w:val="22"/>
          <w:szCs w:val="22"/>
        </w:rPr>
        <w:t xml:space="preserve">d </w:t>
      </w:r>
      <w:r w:rsidRPr="00A3399B">
        <w:rPr>
          <w:rFonts w:asciiTheme="minorHAnsi" w:eastAsia="Calibri" w:hAnsiTheme="minorHAnsi" w:cstheme="minorHAnsi"/>
          <w:sz w:val="22"/>
          <w:szCs w:val="22"/>
        </w:rPr>
        <w:t>uso personale)</w:t>
      </w:r>
      <w:r w:rsidR="00937A4D">
        <w:rPr>
          <w:rFonts w:asciiTheme="minorHAnsi" w:eastAsia="Calibri" w:hAnsiTheme="minorHAnsi" w:cstheme="minorHAnsi"/>
          <w:sz w:val="22"/>
          <w:szCs w:val="22"/>
        </w:rPr>
        <w:t>,</w:t>
      </w:r>
      <w:r w:rsidRPr="00A3399B">
        <w:rPr>
          <w:rFonts w:asciiTheme="minorHAnsi" w:eastAsia="Calibri" w:hAnsiTheme="minorHAnsi" w:cstheme="minorHAnsi"/>
          <w:sz w:val="22"/>
          <w:szCs w:val="22"/>
        </w:rPr>
        <w:t xml:space="preserve"> che </w:t>
      </w:r>
      <w:r w:rsidR="00A3399B" w:rsidRPr="00A3399B">
        <w:rPr>
          <w:rFonts w:asciiTheme="minorHAnsi" w:eastAsia="Calibri" w:hAnsiTheme="minorHAnsi" w:cstheme="minorHAnsi"/>
          <w:sz w:val="22"/>
          <w:szCs w:val="22"/>
        </w:rPr>
        <w:t>passa</w:t>
      </w:r>
      <w:r w:rsidRPr="00A3399B">
        <w:rPr>
          <w:rFonts w:asciiTheme="minorHAnsi" w:eastAsia="Calibri" w:hAnsiTheme="minorHAnsi" w:cstheme="minorHAnsi"/>
          <w:sz w:val="22"/>
          <w:szCs w:val="22"/>
        </w:rPr>
        <w:t xml:space="preserve"> </w:t>
      </w:r>
      <w:r w:rsidR="00A3399B" w:rsidRPr="00A3399B">
        <w:rPr>
          <w:rFonts w:asciiTheme="minorHAnsi" w:eastAsia="Calibri" w:hAnsiTheme="minorHAnsi" w:cstheme="minorHAnsi"/>
          <w:sz w:val="22"/>
          <w:szCs w:val="22"/>
        </w:rPr>
        <w:t>d</w:t>
      </w:r>
      <w:r w:rsidRPr="00A3399B">
        <w:rPr>
          <w:rFonts w:asciiTheme="minorHAnsi" w:eastAsia="Calibri" w:hAnsiTheme="minorHAnsi" w:cstheme="minorHAnsi"/>
          <w:sz w:val="22"/>
          <w:szCs w:val="22"/>
        </w:rPr>
        <w:t>al 26%</w:t>
      </w:r>
      <w:r w:rsidR="00A3399B" w:rsidRPr="00A3399B">
        <w:rPr>
          <w:rFonts w:asciiTheme="minorHAnsi" w:eastAsia="Calibri" w:hAnsiTheme="minorHAnsi" w:cstheme="minorHAnsi"/>
          <w:sz w:val="22"/>
          <w:szCs w:val="22"/>
        </w:rPr>
        <w:t xml:space="preserve"> al 18%</w:t>
      </w:r>
      <w:r w:rsidRPr="00A3399B">
        <w:rPr>
          <w:rFonts w:asciiTheme="minorHAnsi" w:eastAsia="Calibri" w:hAnsiTheme="minorHAnsi" w:cstheme="minorHAnsi"/>
          <w:sz w:val="22"/>
          <w:szCs w:val="22"/>
        </w:rPr>
        <w:t>. La quot</w:t>
      </w:r>
      <w:r w:rsidR="004C1B57" w:rsidRPr="00A3399B">
        <w:rPr>
          <w:rFonts w:asciiTheme="minorHAnsi" w:eastAsia="Calibri" w:hAnsiTheme="minorHAnsi" w:cstheme="minorHAnsi"/>
          <w:sz w:val="22"/>
          <w:szCs w:val="22"/>
        </w:rPr>
        <w:t>a</w:t>
      </w:r>
      <w:r w:rsidRPr="00A3399B">
        <w:rPr>
          <w:rFonts w:asciiTheme="minorHAnsi" w:eastAsia="Calibri" w:hAnsiTheme="minorHAnsi" w:cstheme="minorHAnsi"/>
          <w:sz w:val="22"/>
          <w:szCs w:val="22"/>
        </w:rPr>
        <w:t xml:space="preserve"> restante è riconducib</w:t>
      </w:r>
      <w:r w:rsidR="004C1B57" w:rsidRPr="00A3399B">
        <w:rPr>
          <w:rFonts w:asciiTheme="minorHAnsi" w:eastAsia="Calibri" w:hAnsiTheme="minorHAnsi" w:cstheme="minorHAnsi"/>
          <w:sz w:val="22"/>
          <w:szCs w:val="22"/>
        </w:rPr>
        <w:t>ile</w:t>
      </w:r>
      <w:r w:rsidRPr="00A3399B">
        <w:rPr>
          <w:rFonts w:asciiTheme="minorHAnsi" w:eastAsia="Calibri" w:hAnsiTheme="minorHAnsi" w:cstheme="minorHAnsi"/>
          <w:sz w:val="22"/>
          <w:szCs w:val="22"/>
        </w:rPr>
        <w:t xml:space="preserve"> a finalità</w:t>
      </w:r>
      <w:r w:rsidR="00937A4D">
        <w:rPr>
          <w:rFonts w:asciiTheme="minorHAnsi" w:eastAsia="Calibri" w:hAnsiTheme="minorHAnsi" w:cstheme="minorHAnsi"/>
          <w:sz w:val="22"/>
          <w:szCs w:val="22"/>
        </w:rPr>
        <w:t xml:space="preserve"> unicamente</w:t>
      </w:r>
      <w:r w:rsidRPr="00A3399B">
        <w:rPr>
          <w:rFonts w:asciiTheme="minorHAnsi" w:eastAsia="Calibri" w:hAnsiTheme="minorHAnsi" w:cstheme="minorHAnsi"/>
          <w:sz w:val="22"/>
          <w:szCs w:val="22"/>
        </w:rPr>
        <w:t xml:space="preserve"> di investimento</w:t>
      </w:r>
      <w:r w:rsidR="00A3399B" w:rsidRPr="00A3399B">
        <w:rPr>
          <w:rFonts w:asciiTheme="minorHAnsi" w:eastAsia="Calibri" w:hAnsiTheme="minorHAnsi" w:cstheme="minorHAnsi"/>
          <w:sz w:val="22"/>
          <w:szCs w:val="22"/>
        </w:rPr>
        <w:t xml:space="preserve"> </w:t>
      </w:r>
      <w:r w:rsidR="00E74CE3">
        <w:rPr>
          <w:rFonts w:asciiTheme="minorHAnsi" w:eastAsia="Calibri" w:hAnsiTheme="minorHAnsi" w:cstheme="minorHAnsi"/>
          <w:sz w:val="22"/>
          <w:szCs w:val="22"/>
        </w:rPr>
        <w:t>(</w:t>
      </w:r>
      <w:r w:rsidR="00A3399B" w:rsidRPr="00A3399B">
        <w:rPr>
          <w:rFonts w:asciiTheme="minorHAnsi" w:eastAsia="Calibri" w:hAnsiTheme="minorHAnsi" w:cstheme="minorHAnsi"/>
          <w:sz w:val="22"/>
          <w:szCs w:val="22"/>
        </w:rPr>
        <w:t>16,8%</w:t>
      </w:r>
      <w:r w:rsidR="00E74CE3">
        <w:rPr>
          <w:rFonts w:asciiTheme="minorHAnsi" w:eastAsia="Calibri" w:hAnsiTheme="minorHAnsi" w:cstheme="minorHAnsi"/>
          <w:sz w:val="22"/>
          <w:szCs w:val="22"/>
        </w:rPr>
        <w:t>)</w:t>
      </w:r>
      <w:r w:rsidR="003D2414" w:rsidRPr="00A3399B">
        <w:rPr>
          <w:rFonts w:asciiTheme="minorHAnsi" w:eastAsia="Calibri" w:hAnsiTheme="minorHAnsi" w:cstheme="minorHAnsi"/>
          <w:sz w:val="22"/>
          <w:szCs w:val="22"/>
        </w:rPr>
        <w:t>.</w:t>
      </w:r>
      <w:r w:rsidR="00862660">
        <w:rPr>
          <w:rFonts w:asciiTheme="minorHAnsi" w:eastAsia="Calibri" w:hAnsiTheme="minorHAnsi" w:cstheme="minorHAnsi"/>
          <w:sz w:val="22"/>
          <w:szCs w:val="22"/>
        </w:rPr>
        <w:t xml:space="preserve"> </w:t>
      </w:r>
    </w:p>
    <w:p w14:paraId="7492C7E5" w14:textId="77777777" w:rsidR="00A3399B" w:rsidRPr="00A3399B" w:rsidRDefault="00A3399B" w:rsidP="00A3405C">
      <w:pPr>
        <w:jc w:val="both"/>
        <w:rPr>
          <w:rFonts w:asciiTheme="minorHAnsi" w:eastAsia="Calibri" w:hAnsiTheme="minorHAnsi" w:cstheme="minorHAnsi"/>
          <w:sz w:val="22"/>
          <w:szCs w:val="22"/>
        </w:rPr>
      </w:pPr>
    </w:p>
    <w:p w14:paraId="1E70030A" w14:textId="7944B6B3" w:rsidR="00336447" w:rsidRDefault="00336447" w:rsidP="00336447">
      <w:pPr>
        <w:pStyle w:val="NormaleWeb"/>
        <w:shd w:val="clear" w:color="auto" w:fill="FFFFFF"/>
        <w:spacing w:before="0" w:beforeAutospacing="0" w:after="0" w:afterAutospacing="0"/>
        <w:jc w:val="center"/>
        <w:rPr>
          <w:rFonts w:ascii="Calibri" w:hAnsi="Calibri" w:cs="Arial"/>
          <w:b/>
          <w:bCs/>
          <w:sz w:val="20"/>
          <w:szCs w:val="20"/>
        </w:rPr>
      </w:pPr>
      <w:r>
        <w:rPr>
          <w:rFonts w:ascii="Calibri" w:hAnsi="Calibri" w:cs="Arial"/>
          <w:b/>
          <w:bCs/>
          <w:sz w:val="20"/>
          <w:szCs w:val="20"/>
        </w:rPr>
        <w:t xml:space="preserve">Figura </w:t>
      </w:r>
      <w:r w:rsidR="007B6F39">
        <w:rPr>
          <w:rFonts w:ascii="Calibri" w:hAnsi="Calibri" w:cs="Arial"/>
          <w:b/>
          <w:bCs/>
          <w:sz w:val="20"/>
          <w:szCs w:val="20"/>
        </w:rPr>
        <w:t>6</w:t>
      </w:r>
      <w:r>
        <w:rPr>
          <w:rFonts w:ascii="Calibri" w:hAnsi="Calibri" w:cs="Arial"/>
          <w:b/>
          <w:bCs/>
          <w:sz w:val="20"/>
          <w:szCs w:val="20"/>
        </w:rPr>
        <w:t xml:space="preserve"> – Utilizzo della casa per vacanza acquistata, 2021</w:t>
      </w:r>
    </w:p>
    <w:p w14:paraId="1217B001" w14:textId="53E2BC9D" w:rsidR="0065423B" w:rsidRDefault="0065423B" w:rsidP="0065423B">
      <w:pPr>
        <w:jc w:val="center"/>
        <w:rPr>
          <w:rFonts w:asciiTheme="minorHAnsi" w:eastAsia="Calibri" w:hAnsiTheme="minorHAnsi" w:cstheme="minorHAnsi"/>
          <w:color w:val="70AD47" w:themeColor="accent6"/>
          <w:sz w:val="22"/>
          <w:szCs w:val="22"/>
          <w:highlight w:val="yellow"/>
        </w:rPr>
      </w:pPr>
      <w:r>
        <w:rPr>
          <w:noProof/>
        </w:rPr>
        <w:drawing>
          <wp:inline distT="0" distB="0" distL="0" distR="0" wp14:anchorId="3C6AC71A" wp14:editId="4E8E710F">
            <wp:extent cx="4128824" cy="1985874"/>
            <wp:effectExtent l="0" t="0" r="5080" b="14605"/>
            <wp:docPr id="1" name="Gra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EC67647-FE04-4458-99DC-E83C90AB27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1FA5B4" w14:textId="77777777" w:rsidR="00A3399B" w:rsidRPr="00F25710" w:rsidRDefault="00A3399B" w:rsidP="00A3399B">
      <w:pPr>
        <w:spacing w:before="60"/>
        <w:jc w:val="center"/>
        <w:rPr>
          <w:rFonts w:asciiTheme="minorHAnsi" w:eastAsia="Calibri" w:hAnsiTheme="minorHAnsi" w:cstheme="minorHAnsi"/>
          <w:sz w:val="18"/>
        </w:rPr>
      </w:pPr>
      <w:r w:rsidRPr="00F25710">
        <w:rPr>
          <w:rFonts w:asciiTheme="minorHAnsi" w:eastAsia="Calibri" w:hAnsiTheme="minorHAnsi" w:cstheme="minorHAnsi"/>
          <w:sz w:val="18"/>
        </w:rPr>
        <w:t>Fonte: Nomisma e Fimaa-Confcommercio</w:t>
      </w:r>
    </w:p>
    <w:p w14:paraId="7C8FF5C8" w14:textId="77777777" w:rsidR="00336447" w:rsidRDefault="00336447" w:rsidP="00A3405C">
      <w:pPr>
        <w:jc w:val="both"/>
        <w:rPr>
          <w:rFonts w:asciiTheme="minorHAnsi" w:eastAsia="Calibri" w:hAnsiTheme="minorHAnsi" w:cstheme="minorHAnsi"/>
          <w:color w:val="70AD47" w:themeColor="accent6"/>
          <w:sz w:val="22"/>
          <w:szCs w:val="22"/>
          <w:highlight w:val="yellow"/>
        </w:rPr>
      </w:pPr>
    </w:p>
    <w:p w14:paraId="1142057D" w14:textId="40AAA92D" w:rsidR="00430438" w:rsidRPr="00430438" w:rsidRDefault="00430438" w:rsidP="00430438">
      <w:pPr>
        <w:jc w:val="both"/>
        <w:rPr>
          <w:rFonts w:asciiTheme="minorHAnsi" w:eastAsia="Calibri" w:hAnsiTheme="minorHAnsi" w:cstheme="minorHAnsi"/>
          <w:sz w:val="22"/>
          <w:szCs w:val="22"/>
        </w:rPr>
      </w:pPr>
      <w:r w:rsidRPr="00430438">
        <w:rPr>
          <w:rFonts w:asciiTheme="minorHAnsi" w:eastAsia="Calibri" w:hAnsiTheme="minorHAnsi" w:cstheme="minorHAnsi"/>
          <w:sz w:val="22"/>
          <w:szCs w:val="22"/>
        </w:rPr>
        <w:t xml:space="preserve">Rispetto alla distribuzione delle intenzioni di acquisto tra italiani e stranieri, anche quest’anno la domanda di abitazioni per vacanza risulta sostenuta prevalentemente dalla componente domestica nell’85% delle risposte, mentre nel restante 15% risulta alimentata da soggetti stranieri. Per effetto del protrarsi della pandemia, anche la domanda di locazione di case vacanze continua ad essere </w:t>
      </w:r>
      <w:r w:rsidR="00937A4D">
        <w:rPr>
          <w:rFonts w:asciiTheme="minorHAnsi" w:eastAsia="Calibri" w:hAnsiTheme="minorHAnsi" w:cstheme="minorHAnsi"/>
          <w:sz w:val="22"/>
          <w:szCs w:val="22"/>
        </w:rPr>
        <w:t xml:space="preserve">in larga parte </w:t>
      </w:r>
      <w:r w:rsidRPr="00430438">
        <w:rPr>
          <w:rFonts w:asciiTheme="minorHAnsi" w:eastAsia="Calibri" w:hAnsiTheme="minorHAnsi" w:cstheme="minorHAnsi"/>
          <w:sz w:val="22"/>
          <w:szCs w:val="22"/>
        </w:rPr>
        <w:t xml:space="preserve">alimentata </w:t>
      </w:r>
      <w:r w:rsidR="00E74CE3">
        <w:rPr>
          <w:rFonts w:asciiTheme="minorHAnsi" w:eastAsia="Calibri" w:hAnsiTheme="minorHAnsi" w:cstheme="minorHAnsi"/>
          <w:sz w:val="22"/>
          <w:szCs w:val="22"/>
        </w:rPr>
        <w:t>dai turisti italiani,</w:t>
      </w:r>
      <w:r w:rsidRPr="00430438">
        <w:rPr>
          <w:rFonts w:asciiTheme="minorHAnsi" w:eastAsia="Calibri" w:hAnsiTheme="minorHAnsi" w:cstheme="minorHAnsi"/>
          <w:sz w:val="22"/>
          <w:szCs w:val="22"/>
        </w:rPr>
        <w:t xml:space="preserve"> mentre la domanda straniera si mantiene </w:t>
      </w:r>
      <w:r w:rsidR="00937A4D">
        <w:rPr>
          <w:rFonts w:asciiTheme="minorHAnsi" w:eastAsia="Calibri" w:hAnsiTheme="minorHAnsi" w:cstheme="minorHAnsi"/>
          <w:sz w:val="22"/>
          <w:szCs w:val="22"/>
        </w:rPr>
        <w:t>nell’ordine de</w:t>
      </w:r>
      <w:r w:rsidRPr="00430438">
        <w:rPr>
          <w:rFonts w:asciiTheme="minorHAnsi" w:eastAsia="Calibri" w:hAnsiTheme="minorHAnsi" w:cstheme="minorHAnsi"/>
          <w:sz w:val="22"/>
          <w:szCs w:val="22"/>
        </w:rPr>
        <w:t xml:space="preserve">l </w:t>
      </w:r>
      <w:r w:rsidR="00CB16CB">
        <w:rPr>
          <w:rFonts w:asciiTheme="minorHAnsi" w:eastAsia="Calibri" w:hAnsiTheme="minorHAnsi" w:cstheme="minorHAnsi"/>
          <w:sz w:val="22"/>
          <w:szCs w:val="22"/>
        </w:rPr>
        <w:t>16</w:t>
      </w:r>
      <w:r w:rsidRPr="00430438">
        <w:rPr>
          <w:rFonts w:asciiTheme="minorHAnsi" w:eastAsia="Calibri" w:hAnsiTheme="minorHAnsi" w:cstheme="minorHAnsi"/>
          <w:sz w:val="22"/>
          <w:szCs w:val="22"/>
        </w:rPr>
        <w:t>%,</w:t>
      </w:r>
      <w:r w:rsidR="00E74CE3">
        <w:rPr>
          <w:rFonts w:asciiTheme="minorHAnsi" w:eastAsia="Calibri" w:hAnsiTheme="minorHAnsi" w:cstheme="minorHAnsi"/>
          <w:sz w:val="22"/>
          <w:szCs w:val="22"/>
        </w:rPr>
        <w:t xml:space="preserve"> </w:t>
      </w:r>
      <w:r w:rsidR="00851B56">
        <w:rPr>
          <w:rFonts w:asciiTheme="minorHAnsi" w:eastAsia="Calibri" w:hAnsiTheme="minorHAnsi" w:cstheme="minorHAnsi"/>
          <w:sz w:val="22"/>
          <w:szCs w:val="22"/>
        </w:rPr>
        <w:t xml:space="preserve">ben </w:t>
      </w:r>
      <w:r w:rsidR="00E74CE3">
        <w:rPr>
          <w:rFonts w:asciiTheme="minorHAnsi" w:eastAsia="Calibri" w:hAnsiTheme="minorHAnsi" w:cstheme="minorHAnsi"/>
          <w:sz w:val="22"/>
          <w:szCs w:val="22"/>
        </w:rPr>
        <w:t xml:space="preserve">al di sotto della quota del 30% raggiunta </w:t>
      </w:r>
      <w:r w:rsidRPr="00430438">
        <w:rPr>
          <w:rFonts w:asciiTheme="minorHAnsi" w:eastAsia="Calibri" w:hAnsiTheme="minorHAnsi" w:cstheme="minorHAnsi"/>
          <w:sz w:val="22"/>
          <w:szCs w:val="22"/>
        </w:rPr>
        <w:t>prima della pandemia</w:t>
      </w:r>
      <w:r w:rsidR="00E74CE3">
        <w:rPr>
          <w:rFonts w:asciiTheme="minorHAnsi" w:eastAsia="Calibri" w:hAnsiTheme="minorHAnsi" w:cstheme="minorHAnsi"/>
          <w:sz w:val="22"/>
          <w:szCs w:val="22"/>
        </w:rPr>
        <w:t>.</w:t>
      </w:r>
    </w:p>
    <w:p w14:paraId="0D354034" w14:textId="77777777" w:rsidR="00FE5DD1" w:rsidRPr="00862660" w:rsidRDefault="00FE5DD1" w:rsidP="00E31129">
      <w:pPr>
        <w:jc w:val="both"/>
        <w:rPr>
          <w:rFonts w:asciiTheme="minorHAnsi" w:eastAsia="Calibri" w:hAnsiTheme="minorHAnsi" w:cstheme="minorHAnsi"/>
          <w:sz w:val="22"/>
          <w:szCs w:val="22"/>
        </w:rPr>
      </w:pPr>
    </w:p>
    <w:p w14:paraId="4D24C695" w14:textId="77777777" w:rsidR="009751A6" w:rsidRDefault="009751A6">
      <w:pPr>
        <w:spacing w:after="200" w:line="276" w:lineRule="auto"/>
        <w:rPr>
          <w:rFonts w:ascii="Calibri" w:hAnsi="Calibri" w:cs="Arial"/>
          <w:b/>
          <w:bCs/>
          <w:sz w:val="20"/>
          <w:szCs w:val="20"/>
        </w:rPr>
      </w:pPr>
      <w:r>
        <w:rPr>
          <w:rFonts w:ascii="Calibri" w:hAnsi="Calibri" w:cs="Arial"/>
          <w:b/>
          <w:bCs/>
          <w:sz w:val="20"/>
          <w:szCs w:val="20"/>
        </w:rPr>
        <w:br w:type="page"/>
      </w:r>
    </w:p>
    <w:p w14:paraId="30C5FBD8" w14:textId="1DFF2CDF" w:rsidR="00FE5DD1" w:rsidRDefault="00FE5DD1" w:rsidP="00FE5DD1">
      <w:pPr>
        <w:pStyle w:val="NormaleWeb"/>
        <w:shd w:val="clear" w:color="auto" w:fill="FFFFFF"/>
        <w:spacing w:before="0" w:beforeAutospacing="0" w:after="0" w:afterAutospacing="0"/>
        <w:jc w:val="center"/>
        <w:rPr>
          <w:rFonts w:ascii="Calibri" w:hAnsi="Calibri" w:cs="Arial"/>
          <w:b/>
          <w:bCs/>
          <w:sz w:val="20"/>
          <w:szCs w:val="20"/>
        </w:rPr>
      </w:pPr>
      <w:r>
        <w:rPr>
          <w:rFonts w:ascii="Calibri" w:hAnsi="Calibri" w:cs="Arial"/>
          <w:b/>
          <w:bCs/>
          <w:sz w:val="20"/>
          <w:szCs w:val="20"/>
        </w:rPr>
        <w:t xml:space="preserve">Figura </w:t>
      </w:r>
      <w:r w:rsidR="007B6F39">
        <w:rPr>
          <w:rFonts w:ascii="Calibri" w:hAnsi="Calibri" w:cs="Arial"/>
          <w:b/>
          <w:bCs/>
          <w:sz w:val="20"/>
          <w:szCs w:val="20"/>
        </w:rPr>
        <w:t>7</w:t>
      </w:r>
      <w:r>
        <w:rPr>
          <w:rFonts w:ascii="Calibri" w:hAnsi="Calibri" w:cs="Arial"/>
          <w:b/>
          <w:bCs/>
          <w:sz w:val="20"/>
          <w:szCs w:val="20"/>
        </w:rPr>
        <w:t xml:space="preserve"> – Domanda di casa vacanza per provenienza, 2021</w:t>
      </w:r>
    </w:p>
    <w:p w14:paraId="0D37B39B" w14:textId="084FE411" w:rsidR="00862660" w:rsidRDefault="00851B56" w:rsidP="00FE5DD1">
      <w:pPr>
        <w:jc w:val="center"/>
        <w:rPr>
          <w:noProof/>
        </w:rPr>
      </w:pPr>
      <w:r>
        <w:rPr>
          <w:noProof/>
        </w:rPr>
        <w:drawing>
          <wp:inline distT="0" distB="0" distL="0" distR="0" wp14:anchorId="7BED0FAD" wp14:editId="507F6632">
            <wp:extent cx="4571999" cy="2144590"/>
            <wp:effectExtent l="0" t="0" r="635" b="8255"/>
            <wp:docPr id="7" name="Grafico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4826E34-0662-44F7-86DA-F5F4D4F0C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61A207" w14:textId="77777777" w:rsidR="0053793D" w:rsidRPr="00F25710" w:rsidRDefault="0053793D" w:rsidP="0053793D">
      <w:pPr>
        <w:spacing w:before="60"/>
        <w:jc w:val="center"/>
        <w:rPr>
          <w:rFonts w:asciiTheme="minorHAnsi" w:eastAsia="Calibri" w:hAnsiTheme="minorHAnsi" w:cstheme="minorHAnsi"/>
          <w:sz w:val="18"/>
        </w:rPr>
      </w:pPr>
      <w:r w:rsidRPr="00F25710">
        <w:rPr>
          <w:rFonts w:asciiTheme="minorHAnsi" w:eastAsia="Calibri" w:hAnsiTheme="minorHAnsi" w:cstheme="minorHAnsi"/>
          <w:sz w:val="18"/>
        </w:rPr>
        <w:t>Fonte: Nomisma e Fimaa-Confcommercio</w:t>
      </w:r>
    </w:p>
    <w:p w14:paraId="574C526E" w14:textId="26031E01" w:rsidR="00FE5DD1" w:rsidRPr="0053793D" w:rsidRDefault="00FE5DD1" w:rsidP="00E31129">
      <w:pPr>
        <w:jc w:val="both"/>
        <w:rPr>
          <w:rFonts w:asciiTheme="minorHAnsi" w:eastAsia="Calibri" w:hAnsiTheme="minorHAnsi" w:cstheme="minorHAnsi"/>
          <w:sz w:val="22"/>
          <w:szCs w:val="22"/>
        </w:rPr>
      </w:pPr>
    </w:p>
    <w:p w14:paraId="1F49FE66" w14:textId="2C97F0A0" w:rsidR="00F32FF2" w:rsidRPr="00F32FF2" w:rsidRDefault="00937A4D" w:rsidP="009751A6">
      <w:pPr>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Con riferimento a</w:t>
      </w:r>
      <w:r w:rsidR="007C4B27" w:rsidRPr="0053793D">
        <w:rPr>
          <w:rFonts w:asciiTheme="minorHAnsi" w:eastAsia="Calibri" w:hAnsiTheme="minorHAnsi" w:cstheme="minorHAnsi"/>
          <w:sz w:val="22"/>
          <w:szCs w:val="22"/>
        </w:rPr>
        <w:t>l profilo delle famiglie che prendono in locazione una casa per vacanza per almeno un mese</w:t>
      </w:r>
      <w:r w:rsidR="00FE5DD1" w:rsidRPr="0053793D">
        <w:rPr>
          <w:rFonts w:asciiTheme="minorHAnsi" w:eastAsia="Calibri" w:hAnsiTheme="minorHAnsi" w:cstheme="minorHAnsi"/>
          <w:sz w:val="22"/>
          <w:szCs w:val="22"/>
        </w:rPr>
        <w:t xml:space="preserve"> durante quest’anno</w:t>
      </w:r>
      <w:r>
        <w:rPr>
          <w:rFonts w:asciiTheme="minorHAnsi" w:eastAsia="Calibri" w:hAnsiTheme="minorHAnsi" w:cstheme="minorHAnsi"/>
          <w:sz w:val="22"/>
          <w:szCs w:val="22"/>
        </w:rPr>
        <w:t>, s</w:t>
      </w:r>
      <w:r w:rsidR="00FE5DD1" w:rsidRPr="0053793D">
        <w:rPr>
          <w:rFonts w:asciiTheme="minorHAnsi" w:eastAsia="Calibri" w:hAnsiTheme="minorHAnsi" w:cstheme="minorHAnsi"/>
          <w:sz w:val="22"/>
          <w:szCs w:val="22"/>
        </w:rPr>
        <w:t>i conferma anche quest’anno la netta prevalenza d</w:t>
      </w:r>
      <w:r>
        <w:rPr>
          <w:rFonts w:asciiTheme="minorHAnsi" w:eastAsia="Calibri" w:hAnsiTheme="minorHAnsi" w:cstheme="minorHAnsi"/>
          <w:sz w:val="22"/>
          <w:szCs w:val="22"/>
        </w:rPr>
        <w:t>i</w:t>
      </w:r>
      <w:r w:rsidR="00FE5DD1" w:rsidRPr="0053793D">
        <w:rPr>
          <w:rFonts w:asciiTheme="minorHAnsi" w:eastAsia="Calibri" w:hAnsiTheme="minorHAnsi" w:cstheme="minorHAnsi"/>
          <w:sz w:val="22"/>
          <w:szCs w:val="22"/>
        </w:rPr>
        <w:t xml:space="preserve"> famiglie numerose</w:t>
      </w:r>
      <w:r w:rsidR="00137199">
        <w:rPr>
          <w:rFonts w:asciiTheme="minorHAnsi" w:eastAsia="Calibri" w:hAnsiTheme="minorHAnsi" w:cstheme="minorHAnsi"/>
          <w:sz w:val="22"/>
          <w:szCs w:val="22"/>
        </w:rPr>
        <w:t>, composte da</w:t>
      </w:r>
      <w:r w:rsidR="00FE5DD1" w:rsidRPr="0053793D">
        <w:rPr>
          <w:rFonts w:asciiTheme="minorHAnsi" w:eastAsia="Calibri" w:hAnsiTheme="minorHAnsi" w:cstheme="minorHAnsi"/>
          <w:sz w:val="22"/>
          <w:szCs w:val="22"/>
        </w:rPr>
        <w:t xml:space="preserve"> 4 e più componenti (oltre il 77,3% delle risposte)</w:t>
      </w:r>
      <w:r w:rsidR="00137199">
        <w:rPr>
          <w:rFonts w:asciiTheme="minorHAnsi" w:eastAsia="Calibri" w:hAnsiTheme="minorHAnsi" w:cstheme="minorHAnsi"/>
          <w:sz w:val="22"/>
          <w:szCs w:val="22"/>
        </w:rPr>
        <w:t>,</w:t>
      </w:r>
      <w:r w:rsidR="0053793D" w:rsidRPr="0053793D">
        <w:rPr>
          <w:rFonts w:asciiTheme="minorHAnsi" w:eastAsia="Calibri" w:hAnsiTheme="minorHAnsi" w:cstheme="minorHAnsi"/>
          <w:sz w:val="22"/>
          <w:szCs w:val="22"/>
        </w:rPr>
        <w:t xml:space="preserve"> interessate a questo tipo di soluzione. Si segnala</w:t>
      </w:r>
      <w:r w:rsidR="00137199">
        <w:rPr>
          <w:rFonts w:asciiTheme="minorHAnsi" w:eastAsia="Calibri" w:hAnsiTheme="minorHAnsi" w:cstheme="minorHAnsi"/>
          <w:sz w:val="22"/>
          <w:szCs w:val="22"/>
        </w:rPr>
        <w:t>,</w:t>
      </w:r>
      <w:r w:rsidR="0053793D" w:rsidRPr="0053793D">
        <w:rPr>
          <w:rFonts w:asciiTheme="minorHAnsi" w:eastAsia="Calibri" w:hAnsiTheme="minorHAnsi" w:cstheme="minorHAnsi"/>
          <w:sz w:val="22"/>
          <w:szCs w:val="22"/>
        </w:rPr>
        <w:t xml:space="preserve"> inoltre</w:t>
      </w:r>
      <w:r w:rsidR="00137199">
        <w:rPr>
          <w:rFonts w:asciiTheme="minorHAnsi" w:eastAsia="Calibri" w:hAnsiTheme="minorHAnsi" w:cstheme="minorHAnsi"/>
          <w:sz w:val="22"/>
          <w:szCs w:val="22"/>
        </w:rPr>
        <w:t>,</w:t>
      </w:r>
      <w:r w:rsidR="0053793D" w:rsidRPr="0053793D">
        <w:rPr>
          <w:rFonts w:asciiTheme="minorHAnsi" w:eastAsia="Calibri" w:hAnsiTheme="minorHAnsi" w:cstheme="minorHAnsi"/>
          <w:sz w:val="22"/>
          <w:szCs w:val="22"/>
        </w:rPr>
        <w:t xml:space="preserve"> </w:t>
      </w:r>
      <w:r w:rsidR="00F32FF2">
        <w:rPr>
          <w:rFonts w:asciiTheme="minorHAnsi" w:eastAsia="Calibri" w:hAnsiTheme="minorHAnsi" w:cstheme="minorHAnsi"/>
          <w:sz w:val="22"/>
          <w:szCs w:val="22"/>
        </w:rPr>
        <w:t>un aumento della richiesta proveniente da nuclei familiari con due componenti</w:t>
      </w:r>
      <w:r w:rsidR="00137199">
        <w:rPr>
          <w:rFonts w:asciiTheme="minorHAnsi" w:eastAsia="Calibri" w:hAnsiTheme="minorHAnsi" w:cstheme="minorHAnsi"/>
          <w:sz w:val="22"/>
          <w:szCs w:val="22"/>
        </w:rPr>
        <w:t>,</w:t>
      </w:r>
      <w:r w:rsidR="00F32FF2">
        <w:rPr>
          <w:rFonts w:asciiTheme="minorHAnsi" w:eastAsia="Calibri" w:hAnsiTheme="minorHAnsi" w:cstheme="minorHAnsi"/>
          <w:sz w:val="22"/>
          <w:szCs w:val="22"/>
        </w:rPr>
        <w:t xml:space="preserve"> che passa dal 2,6% al 13,6%. </w:t>
      </w:r>
      <w:r w:rsidR="00F32FF2" w:rsidRPr="00F32FF2">
        <w:rPr>
          <w:rFonts w:asciiTheme="minorHAnsi" w:eastAsia="Calibri" w:hAnsiTheme="minorHAnsi" w:cstheme="minorHAnsi"/>
          <w:sz w:val="22"/>
          <w:szCs w:val="22"/>
        </w:rPr>
        <w:t>Per il restante 9,1%</w:t>
      </w:r>
      <w:r w:rsidR="007C4B27" w:rsidRPr="00F32FF2">
        <w:rPr>
          <w:rFonts w:asciiTheme="minorHAnsi" w:eastAsia="Calibri" w:hAnsiTheme="minorHAnsi" w:cstheme="minorHAnsi"/>
          <w:sz w:val="22"/>
          <w:szCs w:val="22"/>
        </w:rPr>
        <w:t xml:space="preserve"> la domanda di locazione proviene da f</w:t>
      </w:r>
      <w:r w:rsidR="00061E35" w:rsidRPr="00F32FF2">
        <w:rPr>
          <w:rFonts w:asciiTheme="minorHAnsi" w:eastAsia="Calibri" w:hAnsiTheme="minorHAnsi" w:cstheme="minorHAnsi"/>
          <w:sz w:val="22"/>
          <w:szCs w:val="22"/>
        </w:rPr>
        <w:t xml:space="preserve">amiglie con </w:t>
      </w:r>
      <w:r w:rsidR="00F32FF2" w:rsidRPr="00F32FF2">
        <w:rPr>
          <w:rFonts w:asciiTheme="minorHAnsi" w:eastAsia="Calibri" w:hAnsiTheme="minorHAnsi" w:cstheme="minorHAnsi"/>
          <w:sz w:val="22"/>
          <w:szCs w:val="22"/>
        </w:rPr>
        <w:t>3</w:t>
      </w:r>
      <w:r w:rsidR="00061E35" w:rsidRPr="00F32FF2">
        <w:rPr>
          <w:rFonts w:asciiTheme="minorHAnsi" w:eastAsia="Calibri" w:hAnsiTheme="minorHAnsi" w:cstheme="minorHAnsi"/>
          <w:sz w:val="22"/>
          <w:szCs w:val="22"/>
        </w:rPr>
        <w:t xml:space="preserve"> componenti</w:t>
      </w:r>
      <w:r w:rsidR="00853E99" w:rsidRPr="00F32FF2">
        <w:rPr>
          <w:rFonts w:asciiTheme="minorHAnsi" w:eastAsia="Calibri" w:hAnsiTheme="minorHAnsi" w:cstheme="minorHAnsi"/>
          <w:sz w:val="22"/>
          <w:szCs w:val="22"/>
        </w:rPr>
        <w:t>.</w:t>
      </w:r>
      <w:r w:rsidR="00E31129" w:rsidRPr="00F32FF2">
        <w:rPr>
          <w:rFonts w:asciiTheme="minorHAnsi" w:eastAsia="Calibri" w:hAnsiTheme="minorHAnsi" w:cstheme="minorHAnsi"/>
          <w:sz w:val="22"/>
          <w:szCs w:val="22"/>
        </w:rPr>
        <w:t xml:space="preserve"> </w:t>
      </w:r>
    </w:p>
    <w:p w14:paraId="51E18F97" w14:textId="5EFA2049" w:rsidR="00F32FF2" w:rsidRPr="00F32FF2" w:rsidRDefault="00F32FF2" w:rsidP="00E31129">
      <w:pPr>
        <w:jc w:val="both"/>
        <w:rPr>
          <w:rFonts w:asciiTheme="minorHAnsi" w:eastAsia="Calibri" w:hAnsiTheme="minorHAnsi" w:cstheme="minorHAnsi"/>
          <w:sz w:val="22"/>
          <w:szCs w:val="22"/>
        </w:rPr>
      </w:pPr>
    </w:p>
    <w:p w14:paraId="40E166FE" w14:textId="1AAB023F" w:rsidR="00F32FF2" w:rsidRDefault="00F32FF2" w:rsidP="00F32FF2">
      <w:pPr>
        <w:pStyle w:val="NormaleWeb"/>
        <w:shd w:val="clear" w:color="auto" w:fill="FFFFFF"/>
        <w:spacing w:before="0" w:beforeAutospacing="0" w:after="0" w:afterAutospacing="0"/>
        <w:jc w:val="center"/>
        <w:rPr>
          <w:rFonts w:ascii="Calibri" w:hAnsi="Calibri" w:cs="Arial"/>
          <w:b/>
          <w:bCs/>
          <w:sz w:val="20"/>
          <w:szCs w:val="20"/>
        </w:rPr>
      </w:pPr>
      <w:r>
        <w:rPr>
          <w:rFonts w:ascii="Calibri" w:hAnsi="Calibri" w:cs="Arial"/>
          <w:b/>
          <w:bCs/>
          <w:sz w:val="20"/>
          <w:szCs w:val="20"/>
        </w:rPr>
        <w:t xml:space="preserve">Figura </w:t>
      </w:r>
      <w:r w:rsidR="007B6F39">
        <w:rPr>
          <w:rFonts w:ascii="Calibri" w:hAnsi="Calibri" w:cs="Arial"/>
          <w:b/>
          <w:bCs/>
          <w:sz w:val="20"/>
          <w:szCs w:val="20"/>
        </w:rPr>
        <w:t>8</w:t>
      </w:r>
      <w:r>
        <w:rPr>
          <w:rFonts w:ascii="Calibri" w:hAnsi="Calibri" w:cs="Arial"/>
          <w:b/>
          <w:bCs/>
          <w:sz w:val="20"/>
          <w:szCs w:val="20"/>
        </w:rPr>
        <w:t xml:space="preserve"> – </w:t>
      </w:r>
      <w:r w:rsidR="0066495F">
        <w:rPr>
          <w:rFonts w:ascii="Calibri" w:hAnsi="Calibri" w:cs="Arial"/>
          <w:b/>
          <w:bCs/>
          <w:sz w:val="20"/>
          <w:szCs w:val="20"/>
        </w:rPr>
        <w:t>Profilo di chi prende in locazione una casa vacanza per almeno un mese</w:t>
      </w:r>
      <w:r>
        <w:rPr>
          <w:rFonts w:ascii="Calibri" w:hAnsi="Calibri" w:cs="Arial"/>
          <w:b/>
          <w:bCs/>
          <w:sz w:val="20"/>
          <w:szCs w:val="20"/>
        </w:rPr>
        <w:t>, 2021</w:t>
      </w:r>
    </w:p>
    <w:p w14:paraId="59B923D6" w14:textId="147F9866" w:rsidR="00913683" w:rsidRPr="00913683" w:rsidRDefault="00913683" w:rsidP="00F32FF2">
      <w:pPr>
        <w:pStyle w:val="NormaleWeb"/>
        <w:shd w:val="clear" w:color="auto" w:fill="FFFFFF"/>
        <w:spacing w:before="0" w:beforeAutospacing="0" w:after="0" w:afterAutospacing="0"/>
        <w:jc w:val="center"/>
        <w:rPr>
          <w:rFonts w:ascii="Calibri" w:hAnsi="Calibri" w:cs="Arial"/>
          <w:i/>
          <w:iCs/>
          <w:sz w:val="20"/>
          <w:szCs w:val="20"/>
        </w:rPr>
      </w:pPr>
      <w:r w:rsidRPr="00913683">
        <w:rPr>
          <w:rFonts w:ascii="Calibri" w:hAnsi="Calibri" w:cs="Arial"/>
          <w:i/>
          <w:iCs/>
          <w:sz w:val="20"/>
          <w:szCs w:val="20"/>
        </w:rPr>
        <w:t>Numero di componenti</w:t>
      </w:r>
    </w:p>
    <w:p w14:paraId="7A650862" w14:textId="7363E647" w:rsidR="00F32FF2" w:rsidRDefault="00F32FF2" w:rsidP="0066495F">
      <w:pPr>
        <w:jc w:val="center"/>
        <w:rPr>
          <w:rFonts w:asciiTheme="minorHAnsi" w:eastAsia="Calibri" w:hAnsiTheme="minorHAnsi" w:cstheme="minorHAnsi"/>
          <w:color w:val="70AD47" w:themeColor="accent6"/>
          <w:sz w:val="22"/>
          <w:szCs w:val="22"/>
        </w:rPr>
      </w:pPr>
      <w:r>
        <w:rPr>
          <w:noProof/>
        </w:rPr>
        <w:drawing>
          <wp:inline distT="0" distB="0" distL="0" distR="0" wp14:anchorId="5A8614D9" wp14:editId="49943294">
            <wp:extent cx="3880237" cy="2067339"/>
            <wp:effectExtent l="0" t="0" r="6350" b="9525"/>
            <wp:docPr id="12" name="Grafico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ACD5C31-3856-478D-834C-05C9A44EC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906FF5" w14:textId="77777777" w:rsidR="0066495F" w:rsidRPr="00F25710" w:rsidRDefault="0066495F" w:rsidP="0066495F">
      <w:pPr>
        <w:spacing w:before="60"/>
        <w:jc w:val="center"/>
        <w:rPr>
          <w:rFonts w:asciiTheme="minorHAnsi" w:eastAsia="Calibri" w:hAnsiTheme="minorHAnsi" w:cstheme="minorHAnsi"/>
          <w:sz w:val="18"/>
        </w:rPr>
      </w:pPr>
      <w:r w:rsidRPr="00F25710">
        <w:rPr>
          <w:rFonts w:asciiTheme="minorHAnsi" w:eastAsia="Calibri" w:hAnsiTheme="minorHAnsi" w:cstheme="minorHAnsi"/>
          <w:sz w:val="18"/>
        </w:rPr>
        <w:t>Fonte: Nomisma e Fimaa-Confcommercio</w:t>
      </w:r>
    </w:p>
    <w:p w14:paraId="3FB2F63B" w14:textId="5BF6EB76" w:rsidR="00F32FF2" w:rsidRDefault="00F32FF2" w:rsidP="00E31129">
      <w:pPr>
        <w:jc w:val="both"/>
        <w:rPr>
          <w:rFonts w:asciiTheme="minorHAnsi" w:eastAsia="Calibri" w:hAnsiTheme="minorHAnsi" w:cstheme="minorHAnsi"/>
          <w:sz w:val="22"/>
          <w:szCs w:val="22"/>
        </w:rPr>
      </w:pPr>
    </w:p>
    <w:p w14:paraId="2AB3F6B2" w14:textId="77777777" w:rsidR="00137199" w:rsidRDefault="00137199" w:rsidP="00E31129">
      <w:pPr>
        <w:jc w:val="both"/>
        <w:rPr>
          <w:rFonts w:asciiTheme="minorHAnsi" w:eastAsia="Calibri" w:hAnsiTheme="minorHAnsi" w:cstheme="minorHAnsi"/>
          <w:sz w:val="22"/>
          <w:szCs w:val="22"/>
        </w:rPr>
      </w:pPr>
    </w:p>
    <w:p w14:paraId="3AF770BC" w14:textId="77777777" w:rsidR="006F524B" w:rsidRDefault="006F524B" w:rsidP="00E31129">
      <w:pPr>
        <w:jc w:val="both"/>
        <w:rPr>
          <w:rFonts w:asciiTheme="minorHAnsi" w:eastAsia="Calibri" w:hAnsiTheme="minorHAnsi" w:cstheme="minorHAnsi"/>
          <w:sz w:val="22"/>
          <w:szCs w:val="22"/>
        </w:rPr>
      </w:pPr>
    </w:p>
    <w:p w14:paraId="41ACB5B0" w14:textId="77777777" w:rsidR="006F524B" w:rsidRDefault="006F524B" w:rsidP="00E31129">
      <w:pPr>
        <w:jc w:val="both"/>
        <w:rPr>
          <w:rFonts w:asciiTheme="minorHAnsi" w:eastAsia="Calibri" w:hAnsiTheme="minorHAnsi" w:cstheme="minorHAnsi"/>
          <w:sz w:val="22"/>
          <w:szCs w:val="22"/>
        </w:rPr>
      </w:pPr>
    </w:p>
    <w:p w14:paraId="19C2EF2A" w14:textId="77777777" w:rsidR="006F524B" w:rsidRDefault="006F524B" w:rsidP="00E31129">
      <w:pPr>
        <w:jc w:val="both"/>
        <w:rPr>
          <w:rFonts w:asciiTheme="minorHAnsi" w:eastAsia="Calibri" w:hAnsiTheme="minorHAnsi" w:cstheme="minorHAnsi"/>
          <w:sz w:val="22"/>
          <w:szCs w:val="22"/>
        </w:rPr>
      </w:pPr>
    </w:p>
    <w:p w14:paraId="665DEA02" w14:textId="77777777" w:rsidR="006F524B" w:rsidRDefault="006F524B" w:rsidP="00E31129">
      <w:pPr>
        <w:jc w:val="both"/>
        <w:rPr>
          <w:rFonts w:asciiTheme="minorHAnsi" w:eastAsia="Calibri" w:hAnsiTheme="minorHAnsi" w:cstheme="minorHAnsi"/>
          <w:sz w:val="22"/>
          <w:szCs w:val="22"/>
        </w:rPr>
      </w:pPr>
    </w:p>
    <w:p w14:paraId="3BE74111" w14:textId="77777777" w:rsidR="006F524B" w:rsidRDefault="006F524B" w:rsidP="00E31129">
      <w:pPr>
        <w:jc w:val="both"/>
        <w:rPr>
          <w:rFonts w:asciiTheme="minorHAnsi" w:eastAsia="Calibri" w:hAnsiTheme="minorHAnsi" w:cstheme="minorHAnsi"/>
          <w:sz w:val="22"/>
          <w:szCs w:val="22"/>
        </w:rPr>
      </w:pPr>
    </w:p>
    <w:p w14:paraId="31B80A0F" w14:textId="77777777" w:rsidR="006F524B" w:rsidRDefault="006F524B" w:rsidP="00E31129">
      <w:pPr>
        <w:jc w:val="both"/>
        <w:rPr>
          <w:rFonts w:asciiTheme="minorHAnsi" w:eastAsia="Calibri" w:hAnsiTheme="minorHAnsi" w:cstheme="minorHAnsi"/>
          <w:sz w:val="22"/>
          <w:szCs w:val="22"/>
        </w:rPr>
      </w:pPr>
    </w:p>
    <w:p w14:paraId="7C66B5F7" w14:textId="77777777" w:rsidR="006F524B" w:rsidRDefault="006F524B" w:rsidP="00E31129">
      <w:pPr>
        <w:jc w:val="both"/>
        <w:rPr>
          <w:rFonts w:asciiTheme="minorHAnsi" w:eastAsia="Calibri" w:hAnsiTheme="minorHAnsi" w:cstheme="minorHAnsi"/>
          <w:sz w:val="22"/>
          <w:szCs w:val="22"/>
        </w:rPr>
      </w:pPr>
    </w:p>
    <w:p w14:paraId="0B5FC0BE" w14:textId="77777777" w:rsidR="006F524B" w:rsidRDefault="006F524B" w:rsidP="00E31129">
      <w:pPr>
        <w:jc w:val="both"/>
        <w:rPr>
          <w:rFonts w:asciiTheme="minorHAnsi" w:eastAsia="Calibri" w:hAnsiTheme="minorHAnsi" w:cstheme="minorHAnsi"/>
          <w:sz w:val="22"/>
          <w:szCs w:val="22"/>
        </w:rPr>
      </w:pPr>
    </w:p>
    <w:p w14:paraId="7371DDCF" w14:textId="77777777" w:rsidR="006F524B" w:rsidRDefault="006F524B" w:rsidP="00E31129">
      <w:pPr>
        <w:jc w:val="both"/>
        <w:rPr>
          <w:rFonts w:asciiTheme="minorHAnsi" w:eastAsia="Calibri" w:hAnsiTheme="minorHAnsi" w:cstheme="minorHAnsi"/>
          <w:sz w:val="22"/>
          <w:szCs w:val="22"/>
        </w:rPr>
      </w:pPr>
    </w:p>
    <w:p w14:paraId="72575584" w14:textId="77777777" w:rsidR="006F524B" w:rsidRDefault="006F524B" w:rsidP="00E31129">
      <w:pPr>
        <w:jc w:val="both"/>
        <w:rPr>
          <w:rFonts w:asciiTheme="minorHAnsi" w:eastAsia="Calibri" w:hAnsiTheme="minorHAnsi" w:cstheme="minorHAnsi"/>
          <w:sz w:val="22"/>
          <w:szCs w:val="22"/>
        </w:rPr>
      </w:pPr>
    </w:p>
    <w:p w14:paraId="1B78AAF5" w14:textId="77777777" w:rsidR="006F524B" w:rsidRDefault="006F524B" w:rsidP="00E31129">
      <w:pPr>
        <w:jc w:val="both"/>
        <w:rPr>
          <w:rFonts w:asciiTheme="minorHAnsi" w:eastAsia="Calibri" w:hAnsiTheme="minorHAnsi" w:cstheme="minorHAnsi"/>
          <w:sz w:val="22"/>
          <w:szCs w:val="22"/>
        </w:rPr>
      </w:pPr>
    </w:p>
    <w:p w14:paraId="7F43322C" w14:textId="77777777" w:rsidR="006F524B" w:rsidRDefault="006F524B" w:rsidP="00E31129">
      <w:pPr>
        <w:jc w:val="both"/>
        <w:rPr>
          <w:rFonts w:asciiTheme="minorHAnsi" w:eastAsia="Calibri" w:hAnsiTheme="minorHAnsi" w:cstheme="minorHAnsi"/>
          <w:sz w:val="22"/>
          <w:szCs w:val="22"/>
        </w:rPr>
      </w:pPr>
    </w:p>
    <w:p w14:paraId="4FE8B287" w14:textId="77777777" w:rsidR="006F524B" w:rsidRDefault="006F524B" w:rsidP="00E31129">
      <w:pPr>
        <w:jc w:val="both"/>
        <w:rPr>
          <w:rFonts w:asciiTheme="minorHAnsi" w:eastAsia="Calibri" w:hAnsiTheme="minorHAnsi" w:cstheme="minorHAnsi"/>
          <w:sz w:val="22"/>
          <w:szCs w:val="22"/>
        </w:rPr>
      </w:pPr>
    </w:p>
    <w:p w14:paraId="69F964B9" w14:textId="77777777" w:rsidR="006F524B" w:rsidRDefault="006F524B" w:rsidP="006F524B">
      <w:pPr>
        <w:rPr>
          <w:rFonts w:ascii="Calibri" w:hAnsi="Calibri" w:cs="Calibri"/>
        </w:rPr>
      </w:pPr>
      <w:r w:rsidRPr="009C7BBF">
        <w:rPr>
          <w:rFonts w:ascii="Calibri" w:hAnsi="Calibri" w:cs="Calibri"/>
        </w:rPr>
        <w:t>Contatti:</w:t>
      </w:r>
    </w:p>
    <w:p w14:paraId="3C3DAF89" w14:textId="77777777" w:rsidR="00F8760C" w:rsidRPr="00F8760C" w:rsidRDefault="00F8760C" w:rsidP="006F524B">
      <w:pPr>
        <w:rPr>
          <w:rFonts w:ascii="Calibri" w:hAnsi="Calibri" w:cs="Calibri"/>
          <w:sz w:val="12"/>
        </w:rPr>
      </w:pPr>
    </w:p>
    <w:p w14:paraId="7BA38C06" w14:textId="2DF5BE18" w:rsidR="00F8760C" w:rsidRDefault="006F524B" w:rsidP="006F524B">
      <w:pPr>
        <w:rPr>
          <w:rFonts w:ascii="Calibri" w:hAnsi="Calibri" w:cs="Calibri"/>
        </w:rPr>
      </w:pPr>
      <w:r w:rsidRPr="00F8760C">
        <w:rPr>
          <w:rFonts w:ascii="Calibri" w:hAnsi="Calibri" w:cs="Calibri"/>
          <w:b/>
        </w:rPr>
        <w:t>Ufficio Stampa Fimaa</w:t>
      </w:r>
      <w:r w:rsidR="002D508E">
        <w:rPr>
          <w:rFonts w:ascii="Calibri" w:hAnsi="Calibri" w:cs="Calibri"/>
          <w:b/>
        </w:rPr>
        <w:t>-Confcommercio</w:t>
      </w:r>
      <w:bookmarkStart w:id="5" w:name="_GoBack"/>
      <w:bookmarkEnd w:id="5"/>
    </w:p>
    <w:p w14:paraId="70D61D44" w14:textId="77777777" w:rsidR="00F8760C" w:rsidRDefault="006F524B" w:rsidP="006F524B">
      <w:pPr>
        <w:rPr>
          <w:rFonts w:ascii="Calibri" w:hAnsi="Calibri" w:cs="Calibri"/>
        </w:rPr>
      </w:pPr>
      <w:r w:rsidRPr="009C7BBF">
        <w:rPr>
          <w:rFonts w:ascii="Calibri" w:hAnsi="Calibri" w:cs="Calibri"/>
        </w:rPr>
        <w:t>Ste</w:t>
      </w:r>
      <w:r>
        <w:rPr>
          <w:rFonts w:ascii="Calibri" w:hAnsi="Calibri" w:cs="Calibri"/>
        </w:rPr>
        <w:t>fano Sa</w:t>
      </w:r>
      <w:r w:rsidR="00F8760C">
        <w:rPr>
          <w:rFonts w:ascii="Calibri" w:hAnsi="Calibri" w:cs="Calibri"/>
        </w:rPr>
        <w:t>bella – tel. (+39) 389 4912453</w:t>
      </w:r>
    </w:p>
    <w:p w14:paraId="1F99F13D" w14:textId="3030E2D3" w:rsidR="006F524B" w:rsidRDefault="002D508E" w:rsidP="006F524B">
      <w:pPr>
        <w:rPr>
          <w:rStyle w:val="Collegamentoipertestuale"/>
          <w:rFonts w:ascii="Calibri" w:hAnsi="Calibri" w:cs="Calibri"/>
        </w:rPr>
      </w:pPr>
      <w:hyperlink r:id="rId21" w:history="1">
        <w:r w:rsidR="006F524B" w:rsidRPr="00B133AB">
          <w:rPr>
            <w:rStyle w:val="Collegamentoipertestuale"/>
            <w:rFonts w:ascii="Calibri" w:hAnsi="Calibri" w:cs="Calibri"/>
          </w:rPr>
          <w:t>ufficiostampa@fimaa.it</w:t>
        </w:r>
      </w:hyperlink>
    </w:p>
    <w:p w14:paraId="2583F00A" w14:textId="77777777" w:rsidR="00F8760C" w:rsidRDefault="00F8760C" w:rsidP="006F524B">
      <w:pPr>
        <w:rPr>
          <w:rFonts w:ascii="Calibri" w:hAnsi="Calibri" w:cs="Calibri"/>
          <w:sz w:val="12"/>
        </w:rPr>
      </w:pPr>
    </w:p>
    <w:p w14:paraId="5E7A9004" w14:textId="77777777" w:rsidR="00F8760C" w:rsidRPr="00F8760C" w:rsidRDefault="00F8760C" w:rsidP="006F524B">
      <w:pPr>
        <w:rPr>
          <w:rFonts w:ascii="Calibri" w:hAnsi="Calibri" w:cs="Calibri"/>
          <w:sz w:val="12"/>
        </w:rPr>
      </w:pPr>
    </w:p>
    <w:p w14:paraId="1DD4E802" w14:textId="77777777" w:rsidR="00F8760C" w:rsidRDefault="006F524B" w:rsidP="006F524B">
      <w:pPr>
        <w:rPr>
          <w:rFonts w:ascii="Calibri" w:hAnsi="Calibri" w:cs="Calibri"/>
        </w:rPr>
      </w:pPr>
      <w:r w:rsidRPr="00F8760C">
        <w:rPr>
          <w:rFonts w:ascii="Calibri" w:hAnsi="Calibri" w:cs="Calibri"/>
          <w:b/>
        </w:rPr>
        <w:t>Ufficio Stampa Nomisma</w:t>
      </w:r>
    </w:p>
    <w:p w14:paraId="0325503D" w14:textId="77777777" w:rsidR="00F8760C" w:rsidRDefault="006F524B" w:rsidP="006F524B">
      <w:pPr>
        <w:rPr>
          <w:rFonts w:ascii="Calibri" w:hAnsi="Calibri" w:cs="Calibri"/>
        </w:rPr>
      </w:pPr>
      <w:r w:rsidRPr="0057713A">
        <w:rPr>
          <w:rFonts w:ascii="Calibri" w:hAnsi="Calibri" w:cs="Calibri"/>
        </w:rPr>
        <w:t xml:space="preserve">Edoardo Caprino </w:t>
      </w:r>
      <w:r>
        <w:rPr>
          <w:rFonts w:ascii="Calibri" w:hAnsi="Calibri" w:cs="Calibri"/>
        </w:rPr>
        <w:t>– tel. (+39)</w:t>
      </w:r>
      <w:r w:rsidRPr="0057713A">
        <w:rPr>
          <w:rFonts w:ascii="Calibri" w:hAnsi="Calibri" w:cs="Calibri"/>
        </w:rPr>
        <w:t xml:space="preserve"> 339 5933457</w:t>
      </w:r>
    </w:p>
    <w:p w14:paraId="5E272578" w14:textId="77777777" w:rsidR="00F8760C" w:rsidRDefault="006F524B" w:rsidP="006F524B">
      <w:pPr>
        <w:rPr>
          <w:rFonts w:ascii="Calibri" w:hAnsi="Calibri" w:cs="Calibri"/>
        </w:rPr>
      </w:pPr>
      <w:r w:rsidRPr="0057713A">
        <w:rPr>
          <w:rFonts w:ascii="Calibri" w:hAnsi="Calibri" w:cs="Calibri"/>
        </w:rPr>
        <w:t>Giulia Fabbri</w:t>
      </w:r>
      <w:r>
        <w:rPr>
          <w:rFonts w:ascii="Calibri" w:hAnsi="Calibri" w:cs="Calibri"/>
        </w:rPr>
        <w:t xml:space="preserve"> – tel. (+39)</w:t>
      </w:r>
      <w:r w:rsidRPr="0057713A">
        <w:rPr>
          <w:rFonts w:ascii="Calibri" w:hAnsi="Calibri" w:cs="Calibri"/>
        </w:rPr>
        <w:t xml:space="preserve"> 345 6156164</w:t>
      </w:r>
      <w:r w:rsidR="00F8760C">
        <w:rPr>
          <w:rFonts w:ascii="Calibri" w:hAnsi="Calibri" w:cs="Calibri"/>
        </w:rPr>
        <w:t xml:space="preserve"> </w:t>
      </w:r>
    </w:p>
    <w:p w14:paraId="6FC87771" w14:textId="1ED55559" w:rsidR="006F524B" w:rsidRPr="0057713A" w:rsidRDefault="002D508E" w:rsidP="006F524B">
      <w:pPr>
        <w:rPr>
          <w:rFonts w:ascii="Calibri" w:hAnsi="Calibri" w:cs="Calibri"/>
        </w:rPr>
      </w:pPr>
      <w:hyperlink r:id="rId22" w:history="1">
        <w:r w:rsidR="006F524B" w:rsidRPr="00B97BB4">
          <w:rPr>
            <w:rStyle w:val="Collegamentoipertestuale"/>
            <w:rFonts w:ascii="Calibri" w:hAnsi="Calibri" w:cs="Calibri"/>
          </w:rPr>
          <w:t>ufficiostampa@nomisma.it</w:t>
        </w:r>
      </w:hyperlink>
    </w:p>
    <w:p w14:paraId="2D15B84A" w14:textId="77777777" w:rsidR="006F524B" w:rsidRPr="00913683" w:rsidRDefault="006F524B" w:rsidP="00E31129">
      <w:pPr>
        <w:jc w:val="both"/>
        <w:rPr>
          <w:rFonts w:asciiTheme="minorHAnsi" w:eastAsia="Calibri" w:hAnsiTheme="minorHAnsi" w:cstheme="minorHAnsi"/>
          <w:sz w:val="22"/>
          <w:szCs w:val="22"/>
        </w:rPr>
      </w:pPr>
    </w:p>
    <w:sectPr w:rsidR="006F524B" w:rsidRPr="00913683" w:rsidSect="00851093">
      <w:headerReference w:type="default" r:id="rId23"/>
      <w:footerReference w:type="default" r:id="rId24"/>
      <w:headerReference w:type="first" r:id="rId25"/>
      <w:pgSz w:w="11906" w:h="16838" w:code="9"/>
      <w:pgMar w:top="2092" w:right="1134" w:bottom="170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26905" w14:textId="77777777" w:rsidR="003603B3" w:rsidRDefault="003603B3" w:rsidP="00AE50F2">
      <w:r>
        <w:separator/>
      </w:r>
    </w:p>
  </w:endnote>
  <w:endnote w:type="continuationSeparator" w:id="0">
    <w:p w14:paraId="0EC87D01" w14:textId="77777777" w:rsidR="003603B3" w:rsidRDefault="003603B3" w:rsidP="00A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altName w:val="Tahoma"/>
    <w:panose1 w:val="020B0604030504040204"/>
    <w:charset w:val="00"/>
    <w:family w:val="swiss"/>
    <w:pitch w:val="variable"/>
    <w:sig w:usb0="E1002EFF" w:usb1="C000605B" w:usb2="00000029" w:usb3="00000000" w:csb0="000101FF" w:csb1="00000000"/>
  </w:font>
  <w:font w:name="Rubik">
    <w:altName w:val="Arial"/>
    <w:charset w:val="00"/>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ShelleyAndante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654989620"/>
      <w:docPartObj>
        <w:docPartGallery w:val="Page Numbers (Bottom of Page)"/>
        <w:docPartUnique/>
      </w:docPartObj>
    </w:sdtPr>
    <w:sdtEndPr/>
    <w:sdtContent>
      <w:p w14:paraId="01BA4437" w14:textId="554B90C5" w:rsidR="00DC3E45" w:rsidRPr="00E65333" w:rsidRDefault="00DC3E45" w:rsidP="00207589">
        <w:pPr>
          <w:pStyle w:val="Pidipagina"/>
          <w:pBdr>
            <w:top w:val="single" w:sz="4" w:space="1" w:color="auto"/>
          </w:pBdr>
          <w:rPr>
            <w:rFonts w:asciiTheme="minorHAnsi" w:hAnsiTheme="minorHAnsi"/>
            <w:sz w:val="20"/>
          </w:rPr>
        </w:pPr>
        <w:r w:rsidRPr="0004761A">
          <w:rPr>
            <w:rFonts w:ascii="ShelleyAndante BT" w:hAnsi="ShelleyAndante BT"/>
            <w:i/>
            <w:sz w:val="36"/>
            <w:szCs w:val="60"/>
          </w:rPr>
          <w:t>Nomisma</w:t>
        </w:r>
        <w:r w:rsidRPr="00CB214E">
          <w:rPr>
            <w:rFonts w:asciiTheme="minorHAnsi" w:hAnsiTheme="minorHAnsi"/>
            <w:sz w:val="20"/>
          </w:rPr>
          <w:t xml:space="preserve"> </w:t>
        </w:r>
        <w:r>
          <w:rPr>
            <w:rFonts w:asciiTheme="minorHAnsi" w:hAnsiTheme="minorHAnsi"/>
            <w:sz w:val="20"/>
          </w:rPr>
          <w:tab/>
        </w:r>
        <w:r w:rsidRPr="00CB214E">
          <w:rPr>
            <w:rFonts w:asciiTheme="minorHAnsi" w:hAnsiTheme="minorHAnsi"/>
            <w:sz w:val="20"/>
          </w:rPr>
          <w:t xml:space="preserve">Osservatorio Turistico, </w:t>
        </w:r>
        <w:r w:rsidR="00821140">
          <w:rPr>
            <w:rFonts w:asciiTheme="minorHAnsi" w:hAnsiTheme="minorHAnsi"/>
            <w:sz w:val="20"/>
          </w:rPr>
          <w:t>29 l</w:t>
        </w:r>
        <w:r>
          <w:rPr>
            <w:rFonts w:asciiTheme="minorHAnsi" w:hAnsiTheme="minorHAnsi"/>
            <w:sz w:val="20"/>
          </w:rPr>
          <w:t>uglio 202</w:t>
        </w:r>
        <w:r w:rsidR="0004240C">
          <w:rPr>
            <w:rFonts w:asciiTheme="minorHAnsi" w:hAnsiTheme="minorHAnsi"/>
            <w:sz w:val="20"/>
          </w:rPr>
          <w:t>1</w:t>
        </w:r>
        <w:r w:rsidRPr="00CB214E">
          <w:rPr>
            <w:rFonts w:asciiTheme="minorHAnsi" w:hAnsiTheme="minorHAnsi"/>
            <w:sz w:val="20"/>
          </w:rPr>
          <w:tab/>
        </w:r>
        <w:r w:rsidRPr="00CB214E">
          <w:rPr>
            <w:rFonts w:asciiTheme="minorHAnsi" w:hAnsiTheme="minorHAnsi"/>
            <w:sz w:val="20"/>
          </w:rPr>
          <w:fldChar w:fldCharType="begin"/>
        </w:r>
        <w:r w:rsidRPr="00CB214E">
          <w:rPr>
            <w:rFonts w:asciiTheme="minorHAnsi" w:hAnsiTheme="minorHAnsi"/>
            <w:sz w:val="20"/>
          </w:rPr>
          <w:instrText>PAGE   \* MERGEFORMAT</w:instrText>
        </w:r>
        <w:r w:rsidRPr="00CB214E">
          <w:rPr>
            <w:rFonts w:asciiTheme="minorHAnsi" w:hAnsiTheme="minorHAnsi"/>
            <w:sz w:val="20"/>
          </w:rPr>
          <w:fldChar w:fldCharType="separate"/>
        </w:r>
        <w:r w:rsidR="002D508E">
          <w:rPr>
            <w:rFonts w:asciiTheme="minorHAnsi" w:hAnsiTheme="minorHAnsi"/>
            <w:noProof/>
            <w:sz w:val="20"/>
          </w:rPr>
          <w:t>12</w:t>
        </w:r>
        <w:r w:rsidRPr="00CB214E">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BC37" w14:textId="77777777" w:rsidR="003603B3" w:rsidRDefault="003603B3" w:rsidP="00AE50F2">
      <w:r>
        <w:separator/>
      </w:r>
    </w:p>
  </w:footnote>
  <w:footnote w:type="continuationSeparator" w:id="0">
    <w:p w14:paraId="1ADE8648" w14:textId="77777777" w:rsidR="003603B3" w:rsidRDefault="003603B3" w:rsidP="00AE50F2">
      <w:r>
        <w:continuationSeparator/>
      </w:r>
    </w:p>
  </w:footnote>
  <w:footnote w:id="1">
    <w:p w14:paraId="18D70973" w14:textId="77777777" w:rsidR="00B31B03" w:rsidRPr="00273307" w:rsidRDefault="00B31B03" w:rsidP="00B31B03">
      <w:pPr>
        <w:pStyle w:val="Testonotaapidipagina"/>
        <w:rPr>
          <w:rFonts w:asciiTheme="minorHAnsi" w:hAnsiTheme="minorHAnsi"/>
          <w:spacing w:val="-2"/>
          <w:szCs w:val="17"/>
        </w:rPr>
      </w:pPr>
      <w:r w:rsidRPr="00273307">
        <w:rPr>
          <w:rStyle w:val="Rimandonotaapidipagina"/>
          <w:rFonts w:asciiTheme="minorHAnsi" w:hAnsiTheme="minorHAnsi"/>
          <w:sz w:val="24"/>
        </w:rPr>
        <w:footnoteRef/>
      </w:r>
      <w:r w:rsidRPr="00273307">
        <w:rPr>
          <w:rFonts w:asciiTheme="minorHAnsi" w:hAnsiTheme="minorHAnsi"/>
          <w:sz w:val="24"/>
        </w:rPr>
        <w:t xml:space="preserve"> </w:t>
      </w:r>
      <w:r w:rsidRPr="00273307">
        <w:rPr>
          <w:rFonts w:asciiTheme="minorHAnsi" w:hAnsiTheme="minorHAnsi"/>
          <w:spacing w:val="-2"/>
          <w:szCs w:val="17"/>
        </w:rPr>
        <w:t>I valori prime sono da intendersi quali massimi medi</w:t>
      </w:r>
      <w:r>
        <w:rPr>
          <w:rFonts w:asciiTheme="minorHAnsi" w:hAnsiTheme="minorHAnsi"/>
          <w:spacing w:val="-2"/>
          <w:szCs w:val="17"/>
        </w:rPr>
        <w:t>,</w:t>
      </w:r>
      <w:r w:rsidRPr="00273307">
        <w:rPr>
          <w:rFonts w:asciiTheme="minorHAnsi" w:hAnsiTheme="minorHAnsi"/>
          <w:spacing w:val="-2"/>
          <w:szCs w:val="17"/>
        </w:rPr>
        <w:t xml:space="preserve"> non quali massimi assoluti.</w:t>
      </w:r>
    </w:p>
  </w:footnote>
  <w:footnote w:id="2">
    <w:p w14:paraId="27F4BC28" w14:textId="77777777" w:rsidR="00FA3887" w:rsidRPr="00E137B2" w:rsidRDefault="00FA3887" w:rsidP="00FA3887">
      <w:pPr>
        <w:spacing w:before="60"/>
        <w:jc w:val="both"/>
        <w:rPr>
          <w:rFonts w:ascii="Calibri" w:eastAsia="Calibri" w:hAnsi="Calibri"/>
          <w:sz w:val="18"/>
          <w:szCs w:val="18"/>
          <w:lang w:eastAsia="en-US"/>
        </w:rPr>
      </w:pPr>
      <w:r>
        <w:rPr>
          <w:rStyle w:val="Rimandonotaapidipagina"/>
        </w:rPr>
        <w:footnoteRef/>
      </w:r>
      <w:r>
        <w:t xml:space="preserve"> </w:t>
      </w:r>
      <w:r w:rsidRPr="00E137B2">
        <w:rPr>
          <w:rFonts w:ascii="Calibri" w:eastAsia="Calibri" w:hAnsi="Calibri"/>
          <w:sz w:val="18"/>
          <w:szCs w:val="18"/>
          <w:vertAlign w:val="superscript"/>
          <w:lang w:eastAsia="en-US"/>
        </w:rPr>
        <w:t>(1)</w:t>
      </w:r>
      <w:r w:rsidRPr="00E137B2">
        <w:rPr>
          <w:rFonts w:ascii="Calibri" w:eastAsia="Calibri" w:hAnsi="Calibri"/>
          <w:sz w:val="18"/>
          <w:szCs w:val="18"/>
          <w:lang w:eastAsia="en-US"/>
        </w:rPr>
        <w:t xml:space="preserve"> </w:t>
      </w:r>
      <w:r w:rsidRPr="00E137B2">
        <w:rPr>
          <w:rFonts w:ascii="Calibri" w:eastAsia="Calibri" w:hAnsi="Calibri" w:cs="Calibri"/>
          <w:noProof/>
          <w:sz w:val="18"/>
          <w:szCs w:val="18"/>
          <w:lang w:eastAsia="en-US"/>
        </w:rPr>
        <w:t>L</w:t>
      </w:r>
      <w:r w:rsidRPr="00E137B2">
        <w:rPr>
          <w:rFonts w:ascii="Calibri" w:eastAsia="Calibri" w:hAnsi="Calibri"/>
          <w:sz w:val="18"/>
          <w:szCs w:val="18"/>
          <w:lang w:eastAsia="en-US"/>
        </w:rPr>
        <w:t>’Indice Nomisma di performance è un indicatore che sintetizza l’andamento di cinque componenti che esprimono la</w:t>
      </w:r>
      <w:r w:rsidRPr="00E137B2">
        <w:rPr>
          <w:rFonts w:ascii="Calibri" w:eastAsia="Calibri" w:hAnsi="Calibri"/>
          <w:i/>
          <w:iCs/>
          <w:sz w:val="18"/>
          <w:szCs w:val="18"/>
          <w:lang w:eastAsia="en-US"/>
        </w:rPr>
        <w:t xml:space="preserve"> </w:t>
      </w:r>
      <w:r w:rsidRPr="00E137B2">
        <w:rPr>
          <w:rFonts w:ascii="Calibri" w:eastAsia="Calibri" w:hAnsi="Calibri"/>
          <w:sz w:val="18"/>
          <w:szCs w:val="18"/>
          <w:lang w:eastAsia="en-US"/>
        </w:rPr>
        <w:t>dinamicità del mercato. L’Indice varia tra -1 e +1, valori rispettivamente di minimo e di massimo potenziale, mentre lo zero rappresenta la performance media delle cinque componenti nel periodo di osservazione dal 2000 ad oggi.</w:t>
      </w:r>
    </w:p>
    <w:p w14:paraId="1846B8CE" w14:textId="72E305CC" w:rsidR="00FA3887" w:rsidRDefault="00FA3887" w:rsidP="00FA3887">
      <w:pPr>
        <w:pStyle w:val="Testonotaapidipagina"/>
      </w:pPr>
      <w:r w:rsidRPr="00E137B2">
        <w:rPr>
          <w:rFonts w:ascii="Calibri" w:eastAsia="Calibri" w:hAnsi="Calibri"/>
          <w:sz w:val="18"/>
          <w:szCs w:val="18"/>
          <w:vertAlign w:val="superscript"/>
          <w:lang w:eastAsia="en-US"/>
        </w:rPr>
        <w:t>(2)</w:t>
      </w:r>
      <w:r w:rsidRPr="00E137B2">
        <w:rPr>
          <w:rFonts w:ascii="Calibri" w:eastAsia="Calibri" w:hAnsi="Calibri" w:cs="Calibri"/>
          <w:bCs/>
          <w:color w:val="2E74B5"/>
          <w:szCs w:val="22"/>
          <w:lang w:eastAsia="en-US"/>
        </w:rPr>
        <w:t xml:space="preserve"> </w:t>
      </w:r>
      <w:r w:rsidRPr="00E137B2">
        <w:rPr>
          <w:rFonts w:ascii="Calibri" w:eastAsia="Calibri" w:hAnsi="Calibri"/>
          <w:sz w:val="18"/>
          <w:szCs w:val="18"/>
          <w:lang w:eastAsia="en-US"/>
        </w:rPr>
        <w:t>Indice ponderato di uffici e negozi.</w:t>
      </w:r>
    </w:p>
  </w:footnote>
  <w:footnote w:id="3">
    <w:p w14:paraId="6F1EBED2" w14:textId="77777777" w:rsidR="00DC3E45" w:rsidRPr="00273307" w:rsidRDefault="00DC3E45" w:rsidP="00E11451">
      <w:pPr>
        <w:pStyle w:val="Testonotaapidipagina"/>
        <w:rPr>
          <w:rFonts w:asciiTheme="minorHAnsi" w:hAnsiTheme="minorHAnsi"/>
          <w:spacing w:val="-2"/>
          <w:szCs w:val="17"/>
        </w:rPr>
      </w:pPr>
      <w:r w:rsidRPr="00273307">
        <w:rPr>
          <w:rStyle w:val="Rimandonotaapidipagina"/>
          <w:rFonts w:asciiTheme="minorHAnsi" w:hAnsiTheme="minorHAnsi"/>
          <w:sz w:val="24"/>
        </w:rPr>
        <w:footnoteRef/>
      </w:r>
      <w:r w:rsidRPr="00273307">
        <w:rPr>
          <w:rFonts w:asciiTheme="minorHAnsi" w:hAnsiTheme="minorHAnsi"/>
          <w:sz w:val="24"/>
        </w:rPr>
        <w:t xml:space="preserve"> </w:t>
      </w:r>
      <w:r w:rsidRPr="00273307">
        <w:rPr>
          <w:rFonts w:asciiTheme="minorHAnsi" w:hAnsiTheme="minorHAnsi"/>
          <w:spacing w:val="-2"/>
          <w:szCs w:val="17"/>
        </w:rPr>
        <w:t>I valori prime sono da intendersi quali massimi medi</w:t>
      </w:r>
      <w:r>
        <w:rPr>
          <w:rFonts w:asciiTheme="minorHAnsi" w:hAnsiTheme="minorHAnsi"/>
          <w:spacing w:val="-2"/>
          <w:szCs w:val="17"/>
        </w:rPr>
        <w:t>,</w:t>
      </w:r>
      <w:r w:rsidRPr="00273307">
        <w:rPr>
          <w:rFonts w:asciiTheme="minorHAnsi" w:hAnsiTheme="minorHAnsi"/>
          <w:spacing w:val="-2"/>
          <w:szCs w:val="17"/>
        </w:rPr>
        <w:t xml:space="preserve"> non quali massimi assoluti.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72F4" w14:textId="1625304E" w:rsidR="00DC3E45" w:rsidRDefault="00CD3F57" w:rsidP="00851093">
    <w:pPr>
      <w:pStyle w:val="Intestazione"/>
      <w:pBdr>
        <w:bottom w:val="single" w:sz="2" w:space="1" w:color="auto"/>
      </w:pBdr>
      <w:tabs>
        <w:tab w:val="left" w:pos="2613"/>
        <w:tab w:val="left" w:pos="3200"/>
      </w:tabs>
    </w:pPr>
    <w:r>
      <w:rPr>
        <w:noProof/>
      </w:rPr>
      <w:drawing>
        <wp:anchor distT="0" distB="0" distL="114300" distR="114300" simplePos="0" relativeHeight="251661312" behindDoc="1" locked="0" layoutInCell="1" allowOverlap="1" wp14:anchorId="7C618D6E" wp14:editId="6ACA19FE">
          <wp:simplePos x="0" y="0"/>
          <wp:positionH relativeFrom="column">
            <wp:posOffset>2185035</wp:posOffset>
          </wp:positionH>
          <wp:positionV relativeFrom="paragraph">
            <wp:posOffset>-77470</wp:posOffset>
          </wp:positionV>
          <wp:extent cx="781050" cy="890905"/>
          <wp:effectExtent l="0" t="0" r="0" b="4445"/>
          <wp:wrapTight wrapText="bothSides">
            <wp:wrapPolygon edited="0">
              <wp:start x="0" y="0"/>
              <wp:lineTo x="0" y="21246"/>
              <wp:lineTo x="21073" y="21246"/>
              <wp:lineTo x="21073"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MAA_ITAL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890905"/>
                  </a:xfrm>
                  <a:prstGeom prst="rect">
                    <a:avLst/>
                  </a:prstGeom>
                </pic:spPr>
              </pic:pic>
            </a:graphicData>
          </a:graphic>
          <wp14:sizeRelH relativeFrom="margin">
            <wp14:pctWidth>0</wp14:pctWidth>
          </wp14:sizeRelH>
          <wp14:sizeRelV relativeFrom="margin">
            <wp14:pctHeight>0</wp14:pctHeight>
          </wp14:sizeRelV>
        </wp:anchor>
      </w:drawing>
    </w:r>
    <w:r w:rsidR="00E1487A">
      <w:rPr>
        <w:rFonts w:ascii="Calibri" w:hAnsi="Calibri" w:cs="Calibri"/>
        <w:noProof/>
        <w:color w:val="1F497D"/>
        <w:sz w:val="28"/>
        <w:szCs w:val="28"/>
      </w:rPr>
      <w:drawing>
        <wp:anchor distT="0" distB="0" distL="114300" distR="114300" simplePos="0" relativeHeight="251659264" behindDoc="1" locked="0" layoutInCell="1" allowOverlap="1" wp14:anchorId="22261392" wp14:editId="20327A36">
          <wp:simplePos x="0" y="0"/>
          <wp:positionH relativeFrom="column">
            <wp:posOffset>2966085</wp:posOffset>
          </wp:positionH>
          <wp:positionV relativeFrom="paragraph">
            <wp:posOffset>262890</wp:posOffset>
          </wp:positionV>
          <wp:extent cx="847090" cy="400050"/>
          <wp:effectExtent l="0" t="0" r="0" b="0"/>
          <wp:wrapTight wrapText="bothSides">
            <wp:wrapPolygon edited="0">
              <wp:start x="0" y="0"/>
              <wp:lineTo x="0" y="20571"/>
              <wp:lineTo x="20888" y="20571"/>
              <wp:lineTo x="20888"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FCOMMERC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7090" cy="400050"/>
                  </a:xfrm>
                  <a:prstGeom prst="rect">
                    <a:avLst/>
                  </a:prstGeom>
                </pic:spPr>
              </pic:pic>
            </a:graphicData>
          </a:graphic>
          <wp14:sizeRelH relativeFrom="page">
            <wp14:pctWidth>0</wp14:pctWidth>
          </wp14:sizeRelH>
          <wp14:sizeRelV relativeFrom="page">
            <wp14:pctHeight>0</wp14:pctHeight>
          </wp14:sizeRelV>
        </wp:anchor>
      </w:drawing>
    </w:r>
    <w:r w:rsidR="00DC3E45">
      <w:tab/>
    </w:r>
    <w:r w:rsidR="000B0CE8">
      <w:t xml:space="preserve">    </w:t>
    </w:r>
    <w:r w:rsidR="00DC3E45">
      <w:tab/>
    </w:r>
    <w:r w:rsidR="00DC3E45">
      <w:tab/>
    </w:r>
    <w:r w:rsidR="00DC3E45">
      <w:tab/>
    </w:r>
  </w:p>
  <w:p w14:paraId="7261F179" w14:textId="792625C9" w:rsidR="00DC3E45" w:rsidRDefault="000B0CE8" w:rsidP="00851093">
    <w:pPr>
      <w:pStyle w:val="Intestazione"/>
      <w:pBdr>
        <w:bottom w:val="single" w:sz="2" w:space="1" w:color="auto"/>
      </w:pBdr>
      <w:tabs>
        <w:tab w:val="left" w:pos="2613"/>
        <w:tab w:val="left" w:pos="3200"/>
      </w:tabs>
      <w:rPr>
        <w:sz w:val="16"/>
        <w:szCs w:val="16"/>
      </w:rPr>
    </w:pPr>
    <w:r>
      <w:rPr>
        <w:sz w:val="16"/>
        <w:szCs w:val="16"/>
      </w:rPr>
      <w:t xml:space="preserve"> </w:t>
    </w:r>
  </w:p>
  <w:p w14:paraId="3B59B775" w14:textId="3C85D9CB" w:rsidR="000B0CE8" w:rsidRDefault="000B0CE8" w:rsidP="00851093">
    <w:pPr>
      <w:pStyle w:val="Intestazione"/>
      <w:pBdr>
        <w:bottom w:val="single" w:sz="2" w:space="1" w:color="auto"/>
      </w:pBdr>
      <w:tabs>
        <w:tab w:val="left" w:pos="2613"/>
        <w:tab w:val="left" w:pos="3200"/>
      </w:tabs>
      <w:rPr>
        <w:sz w:val="16"/>
        <w:szCs w:val="16"/>
      </w:rPr>
    </w:pPr>
  </w:p>
  <w:p w14:paraId="2B35F211" w14:textId="1DDCE9AB" w:rsidR="000B0CE8" w:rsidRDefault="000B0CE8" w:rsidP="00851093">
    <w:pPr>
      <w:pStyle w:val="Intestazione"/>
      <w:pBdr>
        <w:bottom w:val="single" w:sz="2" w:space="1" w:color="auto"/>
      </w:pBdr>
      <w:tabs>
        <w:tab w:val="left" w:pos="2613"/>
        <w:tab w:val="left" w:pos="3200"/>
      </w:tabs>
      <w:rPr>
        <w:sz w:val="16"/>
        <w:szCs w:val="16"/>
      </w:rPr>
    </w:pPr>
  </w:p>
  <w:p w14:paraId="29276EF1" w14:textId="77777777" w:rsidR="000B0CE8" w:rsidRDefault="000B0CE8" w:rsidP="00851093">
    <w:pPr>
      <w:pStyle w:val="Intestazione"/>
      <w:pBdr>
        <w:bottom w:val="single" w:sz="2" w:space="1" w:color="auto"/>
      </w:pBdr>
      <w:tabs>
        <w:tab w:val="left" w:pos="2613"/>
        <w:tab w:val="left" w:pos="3200"/>
      </w:tabs>
      <w:rPr>
        <w:sz w:val="16"/>
        <w:szCs w:val="16"/>
      </w:rPr>
    </w:pPr>
  </w:p>
  <w:p w14:paraId="57B0F9D4" w14:textId="77777777" w:rsidR="000B0CE8" w:rsidRPr="00851093" w:rsidRDefault="000B0CE8" w:rsidP="00851093">
    <w:pPr>
      <w:pStyle w:val="Intestazione"/>
      <w:pBdr>
        <w:bottom w:val="single" w:sz="2" w:space="1" w:color="auto"/>
      </w:pBdr>
      <w:tabs>
        <w:tab w:val="left" w:pos="2613"/>
        <w:tab w:val="left" w:pos="3200"/>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41D0" w14:textId="77777777" w:rsidR="00DC3E45" w:rsidRDefault="00DC3E45">
    <w:pPr>
      <w:pStyle w:val="Intestazione"/>
    </w:pPr>
    <w:r w:rsidRPr="002D3762">
      <w:rPr>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192D"/>
    <w:multiLevelType w:val="hybridMultilevel"/>
    <w:tmpl w:val="9D648C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34830E9"/>
    <w:multiLevelType w:val="hybridMultilevel"/>
    <w:tmpl w:val="31B0781E"/>
    <w:lvl w:ilvl="0" w:tplc="B0ECE414">
      <w:start w:val="1"/>
      <w:numFmt w:val="bullet"/>
      <w:lvlText w:val=""/>
      <w:lvlJc w:val="left"/>
      <w:pPr>
        <w:ind w:left="720" w:hanging="360"/>
      </w:pPr>
      <w:rPr>
        <w:rFonts w:ascii="Symbol" w:hAnsi="Symbol" w:hint="default"/>
        <w:strike w:val="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B63258"/>
    <w:multiLevelType w:val="hybridMultilevel"/>
    <w:tmpl w:val="1E7A9F1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3E92459"/>
    <w:multiLevelType w:val="hybridMultilevel"/>
    <w:tmpl w:val="7780E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DC5FC3"/>
    <w:multiLevelType w:val="hybridMultilevel"/>
    <w:tmpl w:val="2CAE8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trackedChanges" w:enforcement="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02"/>
    <w:rsid w:val="0000195A"/>
    <w:rsid w:val="00002C12"/>
    <w:rsid w:val="00002E27"/>
    <w:rsid w:val="00003318"/>
    <w:rsid w:val="00012DFB"/>
    <w:rsid w:val="0001380B"/>
    <w:rsid w:val="000149FE"/>
    <w:rsid w:val="00024778"/>
    <w:rsid w:val="000251ED"/>
    <w:rsid w:val="000268C1"/>
    <w:rsid w:val="00032A42"/>
    <w:rsid w:val="0004240C"/>
    <w:rsid w:val="00043214"/>
    <w:rsid w:val="000435ED"/>
    <w:rsid w:val="000458CF"/>
    <w:rsid w:val="0004641D"/>
    <w:rsid w:val="00047369"/>
    <w:rsid w:val="00050CD5"/>
    <w:rsid w:val="00051BA3"/>
    <w:rsid w:val="00052395"/>
    <w:rsid w:val="000547D2"/>
    <w:rsid w:val="00061089"/>
    <w:rsid w:val="00061E35"/>
    <w:rsid w:val="0006589D"/>
    <w:rsid w:val="00067970"/>
    <w:rsid w:val="00073A23"/>
    <w:rsid w:val="00073B14"/>
    <w:rsid w:val="00077198"/>
    <w:rsid w:val="000828A6"/>
    <w:rsid w:val="00084547"/>
    <w:rsid w:val="00085517"/>
    <w:rsid w:val="00086CFA"/>
    <w:rsid w:val="0009207A"/>
    <w:rsid w:val="0009610F"/>
    <w:rsid w:val="0009799C"/>
    <w:rsid w:val="00097E9A"/>
    <w:rsid w:val="000A0406"/>
    <w:rsid w:val="000A553E"/>
    <w:rsid w:val="000A733A"/>
    <w:rsid w:val="000B0BCD"/>
    <w:rsid w:val="000B0CE8"/>
    <w:rsid w:val="000B575C"/>
    <w:rsid w:val="000C003A"/>
    <w:rsid w:val="000C1555"/>
    <w:rsid w:val="000D203E"/>
    <w:rsid w:val="000D69E5"/>
    <w:rsid w:val="000D7640"/>
    <w:rsid w:val="000E03E5"/>
    <w:rsid w:val="000E17D1"/>
    <w:rsid w:val="000E6955"/>
    <w:rsid w:val="000F2F22"/>
    <w:rsid w:val="000F3862"/>
    <w:rsid w:val="00100F8E"/>
    <w:rsid w:val="00102954"/>
    <w:rsid w:val="0010768A"/>
    <w:rsid w:val="00107D4A"/>
    <w:rsid w:val="00115455"/>
    <w:rsid w:val="001155CE"/>
    <w:rsid w:val="00115CDF"/>
    <w:rsid w:val="00126AC8"/>
    <w:rsid w:val="001313C1"/>
    <w:rsid w:val="00137199"/>
    <w:rsid w:val="00143041"/>
    <w:rsid w:val="00146BCD"/>
    <w:rsid w:val="00147009"/>
    <w:rsid w:val="001510F4"/>
    <w:rsid w:val="001534C0"/>
    <w:rsid w:val="0015563B"/>
    <w:rsid w:val="0015611C"/>
    <w:rsid w:val="001572CE"/>
    <w:rsid w:val="00157AFF"/>
    <w:rsid w:val="00160368"/>
    <w:rsid w:val="00161EC2"/>
    <w:rsid w:val="00164485"/>
    <w:rsid w:val="00167778"/>
    <w:rsid w:val="00170F64"/>
    <w:rsid w:val="00171FBA"/>
    <w:rsid w:val="00176583"/>
    <w:rsid w:val="00181EC9"/>
    <w:rsid w:val="001845DF"/>
    <w:rsid w:val="00184DB4"/>
    <w:rsid w:val="0019429B"/>
    <w:rsid w:val="001A3468"/>
    <w:rsid w:val="001A35B3"/>
    <w:rsid w:val="001A5409"/>
    <w:rsid w:val="001A7245"/>
    <w:rsid w:val="001B23F7"/>
    <w:rsid w:val="001B3F93"/>
    <w:rsid w:val="001C12EE"/>
    <w:rsid w:val="001C1DB8"/>
    <w:rsid w:val="001C241E"/>
    <w:rsid w:val="001C2A4F"/>
    <w:rsid w:val="001C2E22"/>
    <w:rsid w:val="001C3BE4"/>
    <w:rsid w:val="001C4A04"/>
    <w:rsid w:val="001D4F5C"/>
    <w:rsid w:val="001E437C"/>
    <w:rsid w:val="001E5073"/>
    <w:rsid w:val="001E789B"/>
    <w:rsid w:val="001F0AA4"/>
    <w:rsid w:val="001F1801"/>
    <w:rsid w:val="002025D5"/>
    <w:rsid w:val="00202F6E"/>
    <w:rsid w:val="0020605F"/>
    <w:rsid w:val="00207589"/>
    <w:rsid w:val="0021460A"/>
    <w:rsid w:val="00215E90"/>
    <w:rsid w:val="00216F93"/>
    <w:rsid w:val="00221BD9"/>
    <w:rsid w:val="00224C40"/>
    <w:rsid w:val="00232D6C"/>
    <w:rsid w:val="00233F7C"/>
    <w:rsid w:val="0024753B"/>
    <w:rsid w:val="00250D22"/>
    <w:rsid w:val="00253504"/>
    <w:rsid w:val="00254BE2"/>
    <w:rsid w:val="00260B7F"/>
    <w:rsid w:val="00261881"/>
    <w:rsid w:val="00262584"/>
    <w:rsid w:val="00264809"/>
    <w:rsid w:val="002671F5"/>
    <w:rsid w:val="0026725C"/>
    <w:rsid w:val="00270392"/>
    <w:rsid w:val="00273307"/>
    <w:rsid w:val="0027617D"/>
    <w:rsid w:val="00277CAD"/>
    <w:rsid w:val="00283E96"/>
    <w:rsid w:val="00284BD6"/>
    <w:rsid w:val="00286A17"/>
    <w:rsid w:val="0028773A"/>
    <w:rsid w:val="002929BC"/>
    <w:rsid w:val="00295F1B"/>
    <w:rsid w:val="00296618"/>
    <w:rsid w:val="002979BE"/>
    <w:rsid w:val="00297FEB"/>
    <w:rsid w:val="002A0946"/>
    <w:rsid w:val="002A4DD6"/>
    <w:rsid w:val="002B5B2F"/>
    <w:rsid w:val="002B7CB1"/>
    <w:rsid w:val="002C1088"/>
    <w:rsid w:val="002C1729"/>
    <w:rsid w:val="002D3762"/>
    <w:rsid w:val="002D508E"/>
    <w:rsid w:val="002D7597"/>
    <w:rsid w:val="002D78BD"/>
    <w:rsid w:val="002E1F2C"/>
    <w:rsid w:val="002E3183"/>
    <w:rsid w:val="002E37C5"/>
    <w:rsid w:val="002E4D47"/>
    <w:rsid w:val="002F0AF4"/>
    <w:rsid w:val="002F0FC7"/>
    <w:rsid w:val="002F3ED6"/>
    <w:rsid w:val="002F6528"/>
    <w:rsid w:val="002F6F6E"/>
    <w:rsid w:val="00317268"/>
    <w:rsid w:val="003175D9"/>
    <w:rsid w:val="00321421"/>
    <w:rsid w:val="00321D49"/>
    <w:rsid w:val="003251EF"/>
    <w:rsid w:val="00325A69"/>
    <w:rsid w:val="00325BF0"/>
    <w:rsid w:val="00334A91"/>
    <w:rsid w:val="00336447"/>
    <w:rsid w:val="00336585"/>
    <w:rsid w:val="00346450"/>
    <w:rsid w:val="00346ABC"/>
    <w:rsid w:val="003516B6"/>
    <w:rsid w:val="0035263B"/>
    <w:rsid w:val="0035696B"/>
    <w:rsid w:val="00357C31"/>
    <w:rsid w:val="00357EA1"/>
    <w:rsid w:val="003603B3"/>
    <w:rsid w:val="0036139B"/>
    <w:rsid w:val="0036368C"/>
    <w:rsid w:val="00364602"/>
    <w:rsid w:val="0036506C"/>
    <w:rsid w:val="00365FA6"/>
    <w:rsid w:val="003678A4"/>
    <w:rsid w:val="00375A39"/>
    <w:rsid w:val="003825B1"/>
    <w:rsid w:val="003A1659"/>
    <w:rsid w:val="003A7274"/>
    <w:rsid w:val="003A7623"/>
    <w:rsid w:val="003A7A09"/>
    <w:rsid w:val="003B50D9"/>
    <w:rsid w:val="003B5CE0"/>
    <w:rsid w:val="003B604D"/>
    <w:rsid w:val="003C060B"/>
    <w:rsid w:val="003C205E"/>
    <w:rsid w:val="003C2AEC"/>
    <w:rsid w:val="003D2414"/>
    <w:rsid w:val="003D3270"/>
    <w:rsid w:val="003D3670"/>
    <w:rsid w:val="003D57BF"/>
    <w:rsid w:val="003D628F"/>
    <w:rsid w:val="003E6C72"/>
    <w:rsid w:val="003F450A"/>
    <w:rsid w:val="004064F6"/>
    <w:rsid w:val="0040695F"/>
    <w:rsid w:val="0041163B"/>
    <w:rsid w:val="004134AE"/>
    <w:rsid w:val="004134FF"/>
    <w:rsid w:val="00413D5E"/>
    <w:rsid w:val="00415A4B"/>
    <w:rsid w:val="0041716C"/>
    <w:rsid w:val="00420626"/>
    <w:rsid w:val="00421BD4"/>
    <w:rsid w:val="00424593"/>
    <w:rsid w:val="00425598"/>
    <w:rsid w:val="00426E30"/>
    <w:rsid w:val="00430438"/>
    <w:rsid w:val="00430EC9"/>
    <w:rsid w:val="00432049"/>
    <w:rsid w:val="004334B9"/>
    <w:rsid w:val="00433ED5"/>
    <w:rsid w:val="0043545C"/>
    <w:rsid w:val="00436CE9"/>
    <w:rsid w:val="00447C1C"/>
    <w:rsid w:val="00452138"/>
    <w:rsid w:val="004527F2"/>
    <w:rsid w:val="00456601"/>
    <w:rsid w:val="00461C3E"/>
    <w:rsid w:val="004626C7"/>
    <w:rsid w:val="00464424"/>
    <w:rsid w:val="00464BC2"/>
    <w:rsid w:val="004670CE"/>
    <w:rsid w:val="0047062A"/>
    <w:rsid w:val="004738DE"/>
    <w:rsid w:val="00474E67"/>
    <w:rsid w:val="004757A1"/>
    <w:rsid w:val="00477C41"/>
    <w:rsid w:val="00480222"/>
    <w:rsid w:val="00484BC8"/>
    <w:rsid w:val="0048635A"/>
    <w:rsid w:val="00486B1F"/>
    <w:rsid w:val="00491036"/>
    <w:rsid w:val="00495B02"/>
    <w:rsid w:val="004A01CD"/>
    <w:rsid w:val="004A09C9"/>
    <w:rsid w:val="004A177A"/>
    <w:rsid w:val="004A29DB"/>
    <w:rsid w:val="004A4F2A"/>
    <w:rsid w:val="004B224E"/>
    <w:rsid w:val="004B5739"/>
    <w:rsid w:val="004B6802"/>
    <w:rsid w:val="004B71AA"/>
    <w:rsid w:val="004B735C"/>
    <w:rsid w:val="004C1B57"/>
    <w:rsid w:val="004C27D3"/>
    <w:rsid w:val="004C576B"/>
    <w:rsid w:val="004D15D8"/>
    <w:rsid w:val="004D2B7B"/>
    <w:rsid w:val="004D6035"/>
    <w:rsid w:val="004E2076"/>
    <w:rsid w:val="004E3938"/>
    <w:rsid w:val="004F2860"/>
    <w:rsid w:val="004F2E63"/>
    <w:rsid w:val="004F585F"/>
    <w:rsid w:val="004F63F3"/>
    <w:rsid w:val="0050113E"/>
    <w:rsid w:val="005013C2"/>
    <w:rsid w:val="005014C9"/>
    <w:rsid w:val="005025ED"/>
    <w:rsid w:val="00504513"/>
    <w:rsid w:val="0050454B"/>
    <w:rsid w:val="00504879"/>
    <w:rsid w:val="00507476"/>
    <w:rsid w:val="0051067D"/>
    <w:rsid w:val="00513D96"/>
    <w:rsid w:val="00514FB7"/>
    <w:rsid w:val="0052432E"/>
    <w:rsid w:val="00524A8B"/>
    <w:rsid w:val="005259C1"/>
    <w:rsid w:val="0052757E"/>
    <w:rsid w:val="00527B68"/>
    <w:rsid w:val="005340B5"/>
    <w:rsid w:val="00534399"/>
    <w:rsid w:val="00535AEF"/>
    <w:rsid w:val="00536C7A"/>
    <w:rsid w:val="00537152"/>
    <w:rsid w:val="0053793D"/>
    <w:rsid w:val="0054605D"/>
    <w:rsid w:val="00552208"/>
    <w:rsid w:val="00555EC1"/>
    <w:rsid w:val="00561019"/>
    <w:rsid w:val="00562B16"/>
    <w:rsid w:val="00562F3E"/>
    <w:rsid w:val="0056531D"/>
    <w:rsid w:val="005658BD"/>
    <w:rsid w:val="00567B12"/>
    <w:rsid w:val="00571016"/>
    <w:rsid w:val="005750E9"/>
    <w:rsid w:val="005751CB"/>
    <w:rsid w:val="00575691"/>
    <w:rsid w:val="00580160"/>
    <w:rsid w:val="00580D63"/>
    <w:rsid w:val="00582B11"/>
    <w:rsid w:val="00583877"/>
    <w:rsid w:val="00584EB0"/>
    <w:rsid w:val="005873E3"/>
    <w:rsid w:val="005904AF"/>
    <w:rsid w:val="00592D6A"/>
    <w:rsid w:val="005933D1"/>
    <w:rsid w:val="005942A3"/>
    <w:rsid w:val="005957CD"/>
    <w:rsid w:val="005960B6"/>
    <w:rsid w:val="00596F57"/>
    <w:rsid w:val="005A0D42"/>
    <w:rsid w:val="005A1207"/>
    <w:rsid w:val="005A1B07"/>
    <w:rsid w:val="005A6316"/>
    <w:rsid w:val="005A6382"/>
    <w:rsid w:val="005B2704"/>
    <w:rsid w:val="005B3ACD"/>
    <w:rsid w:val="005B6FD4"/>
    <w:rsid w:val="005C11B2"/>
    <w:rsid w:val="005D0767"/>
    <w:rsid w:val="005D159E"/>
    <w:rsid w:val="005D35E9"/>
    <w:rsid w:val="005D4569"/>
    <w:rsid w:val="005D5EEF"/>
    <w:rsid w:val="005E066B"/>
    <w:rsid w:val="005E16C0"/>
    <w:rsid w:val="005E3971"/>
    <w:rsid w:val="005F0839"/>
    <w:rsid w:val="005F14C8"/>
    <w:rsid w:val="005F49BD"/>
    <w:rsid w:val="005F4B9A"/>
    <w:rsid w:val="005F5BA9"/>
    <w:rsid w:val="00603976"/>
    <w:rsid w:val="00605517"/>
    <w:rsid w:val="006056D5"/>
    <w:rsid w:val="00612767"/>
    <w:rsid w:val="00612ABB"/>
    <w:rsid w:val="0061393C"/>
    <w:rsid w:val="00623961"/>
    <w:rsid w:val="00624298"/>
    <w:rsid w:val="00625A1A"/>
    <w:rsid w:val="00625A85"/>
    <w:rsid w:val="00633F06"/>
    <w:rsid w:val="006344E1"/>
    <w:rsid w:val="0064021F"/>
    <w:rsid w:val="006432F2"/>
    <w:rsid w:val="00650080"/>
    <w:rsid w:val="00650E22"/>
    <w:rsid w:val="0065423B"/>
    <w:rsid w:val="00654DB9"/>
    <w:rsid w:val="006561E7"/>
    <w:rsid w:val="00663CA0"/>
    <w:rsid w:val="0066495F"/>
    <w:rsid w:val="0066700F"/>
    <w:rsid w:val="00670B5F"/>
    <w:rsid w:val="00671323"/>
    <w:rsid w:val="0068237F"/>
    <w:rsid w:val="00682625"/>
    <w:rsid w:val="00684FCF"/>
    <w:rsid w:val="00691109"/>
    <w:rsid w:val="00693364"/>
    <w:rsid w:val="00694B46"/>
    <w:rsid w:val="00695100"/>
    <w:rsid w:val="00695C61"/>
    <w:rsid w:val="00697AAF"/>
    <w:rsid w:val="006A0BF2"/>
    <w:rsid w:val="006A10E4"/>
    <w:rsid w:val="006A383C"/>
    <w:rsid w:val="006A427A"/>
    <w:rsid w:val="006A50C6"/>
    <w:rsid w:val="006C0255"/>
    <w:rsid w:val="006C0271"/>
    <w:rsid w:val="006C36D3"/>
    <w:rsid w:val="006C3B5C"/>
    <w:rsid w:val="006C4DF4"/>
    <w:rsid w:val="006C5475"/>
    <w:rsid w:val="006C6DE9"/>
    <w:rsid w:val="006C6E61"/>
    <w:rsid w:val="006D3C3D"/>
    <w:rsid w:val="006D6509"/>
    <w:rsid w:val="006E2AFB"/>
    <w:rsid w:val="006E2E9E"/>
    <w:rsid w:val="006E4643"/>
    <w:rsid w:val="006E4A48"/>
    <w:rsid w:val="006F524B"/>
    <w:rsid w:val="006F56DA"/>
    <w:rsid w:val="006F6E3E"/>
    <w:rsid w:val="006F75D4"/>
    <w:rsid w:val="00703E28"/>
    <w:rsid w:val="007054C6"/>
    <w:rsid w:val="00707A17"/>
    <w:rsid w:val="007130ED"/>
    <w:rsid w:val="00714EAB"/>
    <w:rsid w:val="007237D6"/>
    <w:rsid w:val="00724440"/>
    <w:rsid w:val="00730030"/>
    <w:rsid w:val="00732720"/>
    <w:rsid w:val="00733D27"/>
    <w:rsid w:val="007351F6"/>
    <w:rsid w:val="00737747"/>
    <w:rsid w:val="00740A87"/>
    <w:rsid w:val="00741D79"/>
    <w:rsid w:val="00743303"/>
    <w:rsid w:val="007443E9"/>
    <w:rsid w:val="007469F5"/>
    <w:rsid w:val="0074764C"/>
    <w:rsid w:val="00753C86"/>
    <w:rsid w:val="00760BF0"/>
    <w:rsid w:val="007616CF"/>
    <w:rsid w:val="00763EF7"/>
    <w:rsid w:val="00771EF7"/>
    <w:rsid w:val="00775E1B"/>
    <w:rsid w:val="007816E7"/>
    <w:rsid w:val="007922E6"/>
    <w:rsid w:val="00792393"/>
    <w:rsid w:val="007A3992"/>
    <w:rsid w:val="007A4858"/>
    <w:rsid w:val="007A64EE"/>
    <w:rsid w:val="007B1694"/>
    <w:rsid w:val="007B2FF7"/>
    <w:rsid w:val="007B44FF"/>
    <w:rsid w:val="007B6950"/>
    <w:rsid w:val="007B6F39"/>
    <w:rsid w:val="007B79AF"/>
    <w:rsid w:val="007C0B66"/>
    <w:rsid w:val="007C20FE"/>
    <w:rsid w:val="007C3223"/>
    <w:rsid w:val="007C3764"/>
    <w:rsid w:val="007C4B27"/>
    <w:rsid w:val="007C7C6B"/>
    <w:rsid w:val="007D1EDF"/>
    <w:rsid w:val="007D32E8"/>
    <w:rsid w:val="007D5AA4"/>
    <w:rsid w:val="007D6016"/>
    <w:rsid w:val="007E13FF"/>
    <w:rsid w:val="007E3FEF"/>
    <w:rsid w:val="007F37E0"/>
    <w:rsid w:val="007F4212"/>
    <w:rsid w:val="00802A5B"/>
    <w:rsid w:val="00802B33"/>
    <w:rsid w:val="00806746"/>
    <w:rsid w:val="0080722B"/>
    <w:rsid w:val="00813021"/>
    <w:rsid w:val="008130D6"/>
    <w:rsid w:val="0081339A"/>
    <w:rsid w:val="00813DE3"/>
    <w:rsid w:val="00821140"/>
    <w:rsid w:val="00823B23"/>
    <w:rsid w:val="00826E5A"/>
    <w:rsid w:val="00831C9D"/>
    <w:rsid w:val="008323CE"/>
    <w:rsid w:val="0083793A"/>
    <w:rsid w:val="00851093"/>
    <w:rsid w:val="00851B56"/>
    <w:rsid w:val="00853818"/>
    <w:rsid w:val="00853E99"/>
    <w:rsid w:val="0085601D"/>
    <w:rsid w:val="00856627"/>
    <w:rsid w:val="00860E7E"/>
    <w:rsid w:val="00862660"/>
    <w:rsid w:val="00864A1E"/>
    <w:rsid w:val="00864A95"/>
    <w:rsid w:val="00866D1A"/>
    <w:rsid w:val="008709F1"/>
    <w:rsid w:val="00870C19"/>
    <w:rsid w:val="00875043"/>
    <w:rsid w:val="0088146D"/>
    <w:rsid w:val="008858C8"/>
    <w:rsid w:val="008928E3"/>
    <w:rsid w:val="00893C10"/>
    <w:rsid w:val="0089484C"/>
    <w:rsid w:val="008948EB"/>
    <w:rsid w:val="00896EB3"/>
    <w:rsid w:val="008972E6"/>
    <w:rsid w:val="00897A38"/>
    <w:rsid w:val="00897CAF"/>
    <w:rsid w:val="008A1AEB"/>
    <w:rsid w:val="008A3780"/>
    <w:rsid w:val="008A4E21"/>
    <w:rsid w:val="008A632B"/>
    <w:rsid w:val="008A6E01"/>
    <w:rsid w:val="008B45D7"/>
    <w:rsid w:val="008B7E41"/>
    <w:rsid w:val="008D062F"/>
    <w:rsid w:val="008D2645"/>
    <w:rsid w:val="008D2F7D"/>
    <w:rsid w:val="008D3071"/>
    <w:rsid w:val="008D7331"/>
    <w:rsid w:val="008E050B"/>
    <w:rsid w:val="008E27CD"/>
    <w:rsid w:val="008E4501"/>
    <w:rsid w:val="008E6306"/>
    <w:rsid w:val="008E7FB9"/>
    <w:rsid w:val="008F185F"/>
    <w:rsid w:val="008F1F09"/>
    <w:rsid w:val="008F3A38"/>
    <w:rsid w:val="008F4BA4"/>
    <w:rsid w:val="0090056D"/>
    <w:rsid w:val="00900FA7"/>
    <w:rsid w:val="00904EA0"/>
    <w:rsid w:val="00905D0D"/>
    <w:rsid w:val="00906704"/>
    <w:rsid w:val="00910C43"/>
    <w:rsid w:val="00912971"/>
    <w:rsid w:val="00913683"/>
    <w:rsid w:val="00913D2F"/>
    <w:rsid w:val="00914BB2"/>
    <w:rsid w:val="00915C63"/>
    <w:rsid w:val="00915F00"/>
    <w:rsid w:val="00922C6E"/>
    <w:rsid w:val="00930457"/>
    <w:rsid w:val="009315CD"/>
    <w:rsid w:val="009334E3"/>
    <w:rsid w:val="00937A4D"/>
    <w:rsid w:val="009425A3"/>
    <w:rsid w:val="009464EE"/>
    <w:rsid w:val="0095060A"/>
    <w:rsid w:val="00952539"/>
    <w:rsid w:val="009526CE"/>
    <w:rsid w:val="009611F1"/>
    <w:rsid w:val="00965343"/>
    <w:rsid w:val="00965758"/>
    <w:rsid w:val="00973C53"/>
    <w:rsid w:val="009751A6"/>
    <w:rsid w:val="00991B0A"/>
    <w:rsid w:val="00993BCF"/>
    <w:rsid w:val="00995F8A"/>
    <w:rsid w:val="0099794E"/>
    <w:rsid w:val="009A328E"/>
    <w:rsid w:val="009B5A9D"/>
    <w:rsid w:val="009B610A"/>
    <w:rsid w:val="009B6F34"/>
    <w:rsid w:val="009C42A8"/>
    <w:rsid w:val="009C5CE1"/>
    <w:rsid w:val="009C78FC"/>
    <w:rsid w:val="009D15F9"/>
    <w:rsid w:val="009D1C10"/>
    <w:rsid w:val="009D39DB"/>
    <w:rsid w:val="009D59AA"/>
    <w:rsid w:val="009D67DC"/>
    <w:rsid w:val="009D6D8D"/>
    <w:rsid w:val="009D7668"/>
    <w:rsid w:val="009E0F23"/>
    <w:rsid w:val="009E20FD"/>
    <w:rsid w:val="009E2EBE"/>
    <w:rsid w:val="009E7B3C"/>
    <w:rsid w:val="009F3C49"/>
    <w:rsid w:val="009F72D4"/>
    <w:rsid w:val="00A02EB4"/>
    <w:rsid w:val="00A13210"/>
    <w:rsid w:val="00A1362C"/>
    <w:rsid w:val="00A20A33"/>
    <w:rsid w:val="00A21056"/>
    <w:rsid w:val="00A22364"/>
    <w:rsid w:val="00A22BB0"/>
    <w:rsid w:val="00A23258"/>
    <w:rsid w:val="00A236E2"/>
    <w:rsid w:val="00A26584"/>
    <w:rsid w:val="00A27F59"/>
    <w:rsid w:val="00A301AA"/>
    <w:rsid w:val="00A337CE"/>
    <w:rsid w:val="00A3399B"/>
    <w:rsid w:val="00A3405C"/>
    <w:rsid w:val="00A43CB5"/>
    <w:rsid w:val="00A50864"/>
    <w:rsid w:val="00A52092"/>
    <w:rsid w:val="00A52DDF"/>
    <w:rsid w:val="00A5537B"/>
    <w:rsid w:val="00A611E3"/>
    <w:rsid w:val="00A63275"/>
    <w:rsid w:val="00A66A5A"/>
    <w:rsid w:val="00A722ED"/>
    <w:rsid w:val="00A730BA"/>
    <w:rsid w:val="00A75AED"/>
    <w:rsid w:val="00A76782"/>
    <w:rsid w:val="00A77E30"/>
    <w:rsid w:val="00A848E5"/>
    <w:rsid w:val="00A866E7"/>
    <w:rsid w:val="00A9014F"/>
    <w:rsid w:val="00AA1B94"/>
    <w:rsid w:val="00AA4253"/>
    <w:rsid w:val="00AB2412"/>
    <w:rsid w:val="00AB3820"/>
    <w:rsid w:val="00AC0956"/>
    <w:rsid w:val="00AC5889"/>
    <w:rsid w:val="00AD1FA3"/>
    <w:rsid w:val="00AD3815"/>
    <w:rsid w:val="00AD72E6"/>
    <w:rsid w:val="00AE3F5D"/>
    <w:rsid w:val="00AE50F2"/>
    <w:rsid w:val="00AE7B86"/>
    <w:rsid w:val="00AF06EB"/>
    <w:rsid w:val="00AF3CF5"/>
    <w:rsid w:val="00B02028"/>
    <w:rsid w:val="00B0337A"/>
    <w:rsid w:val="00B04350"/>
    <w:rsid w:val="00B057C6"/>
    <w:rsid w:val="00B133B9"/>
    <w:rsid w:val="00B138D3"/>
    <w:rsid w:val="00B149FA"/>
    <w:rsid w:val="00B176F1"/>
    <w:rsid w:val="00B21983"/>
    <w:rsid w:val="00B23B9D"/>
    <w:rsid w:val="00B245A3"/>
    <w:rsid w:val="00B246EF"/>
    <w:rsid w:val="00B25BF8"/>
    <w:rsid w:val="00B31B03"/>
    <w:rsid w:val="00B33588"/>
    <w:rsid w:val="00B34199"/>
    <w:rsid w:val="00B341AE"/>
    <w:rsid w:val="00B37398"/>
    <w:rsid w:val="00B41D26"/>
    <w:rsid w:val="00B53EB9"/>
    <w:rsid w:val="00B558AA"/>
    <w:rsid w:val="00B605A0"/>
    <w:rsid w:val="00B66678"/>
    <w:rsid w:val="00B71BD3"/>
    <w:rsid w:val="00B7239C"/>
    <w:rsid w:val="00B73898"/>
    <w:rsid w:val="00B74650"/>
    <w:rsid w:val="00B763F2"/>
    <w:rsid w:val="00B76E47"/>
    <w:rsid w:val="00B7721C"/>
    <w:rsid w:val="00B803B2"/>
    <w:rsid w:val="00B85F41"/>
    <w:rsid w:val="00B925E3"/>
    <w:rsid w:val="00B93A50"/>
    <w:rsid w:val="00B96167"/>
    <w:rsid w:val="00B9680F"/>
    <w:rsid w:val="00BA0EBD"/>
    <w:rsid w:val="00BA12B8"/>
    <w:rsid w:val="00BA576E"/>
    <w:rsid w:val="00BA5F1B"/>
    <w:rsid w:val="00BA6A81"/>
    <w:rsid w:val="00BA738C"/>
    <w:rsid w:val="00BB1615"/>
    <w:rsid w:val="00BB583E"/>
    <w:rsid w:val="00BB5903"/>
    <w:rsid w:val="00BC0139"/>
    <w:rsid w:val="00BC4B97"/>
    <w:rsid w:val="00BC5743"/>
    <w:rsid w:val="00BC5846"/>
    <w:rsid w:val="00BD452D"/>
    <w:rsid w:val="00BE5970"/>
    <w:rsid w:val="00BF39B4"/>
    <w:rsid w:val="00BF3C11"/>
    <w:rsid w:val="00C04B49"/>
    <w:rsid w:val="00C07801"/>
    <w:rsid w:val="00C1293C"/>
    <w:rsid w:val="00C1406F"/>
    <w:rsid w:val="00C16F93"/>
    <w:rsid w:val="00C205F9"/>
    <w:rsid w:val="00C226E9"/>
    <w:rsid w:val="00C25B34"/>
    <w:rsid w:val="00C25E10"/>
    <w:rsid w:val="00C347B9"/>
    <w:rsid w:val="00C35CC4"/>
    <w:rsid w:val="00C420B9"/>
    <w:rsid w:val="00C50228"/>
    <w:rsid w:val="00C51BCB"/>
    <w:rsid w:val="00C51F61"/>
    <w:rsid w:val="00C52CB7"/>
    <w:rsid w:val="00C55E33"/>
    <w:rsid w:val="00C61B0B"/>
    <w:rsid w:val="00C705C4"/>
    <w:rsid w:val="00C71A77"/>
    <w:rsid w:val="00C720C6"/>
    <w:rsid w:val="00C72373"/>
    <w:rsid w:val="00C73A6B"/>
    <w:rsid w:val="00C765C8"/>
    <w:rsid w:val="00C77547"/>
    <w:rsid w:val="00C77B57"/>
    <w:rsid w:val="00C82DCF"/>
    <w:rsid w:val="00C83ACE"/>
    <w:rsid w:val="00C86D36"/>
    <w:rsid w:val="00CA1B28"/>
    <w:rsid w:val="00CA2679"/>
    <w:rsid w:val="00CA2C0B"/>
    <w:rsid w:val="00CA70F7"/>
    <w:rsid w:val="00CB0157"/>
    <w:rsid w:val="00CB04C1"/>
    <w:rsid w:val="00CB16CB"/>
    <w:rsid w:val="00CB214E"/>
    <w:rsid w:val="00CB4779"/>
    <w:rsid w:val="00CB57EC"/>
    <w:rsid w:val="00CB59D0"/>
    <w:rsid w:val="00CB6FE5"/>
    <w:rsid w:val="00CB772D"/>
    <w:rsid w:val="00CC3C69"/>
    <w:rsid w:val="00CC41FA"/>
    <w:rsid w:val="00CC7615"/>
    <w:rsid w:val="00CC76A7"/>
    <w:rsid w:val="00CC79B6"/>
    <w:rsid w:val="00CD2C25"/>
    <w:rsid w:val="00CD3F57"/>
    <w:rsid w:val="00CD4EBB"/>
    <w:rsid w:val="00CD5916"/>
    <w:rsid w:val="00CE0B0C"/>
    <w:rsid w:val="00CF182C"/>
    <w:rsid w:val="00CF1C7A"/>
    <w:rsid w:val="00CF1C82"/>
    <w:rsid w:val="00CF2ECA"/>
    <w:rsid w:val="00CF4C52"/>
    <w:rsid w:val="00D06810"/>
    <w:rsid w:val="00D1515D"/>
    <w:rsid w:val="00D20299"/>
    <w:rsid w:val="00D2598F"/>
    <w:rsid w:val="00D308D8"/>
    <w:rsid w:val="00D30E32"/>
    <w:rsid w:val="00D3198C"/>
    <w:rsid w:val="00D335AF"/>
    <w:rsid w:val="00D346D7"/>
    <w:rsid w:val="00D3726F"/>
    <w:rsid w:val="00D44743"/>
    <w:rsid w:val="00D45EFA"/>
    <w:rsid w:val="00D479D2"/>
    <w:rsid w:val="00D5008E"/>
    <w:rsid w:val="00D50CA5"/>
    <w:rsid w:val="00D50F4B"/>
    <w:rsid w:val="00D5490D"/>
    <w:rsid w:val="00D55F64"/>
    <w:rsid w:val="00D61316"/>
    <w:rsid w:val="00D64F25"/>
    <w:rsid w:val="00D66DCD"/>
    <w:rsid w:val="00D67779"/>
    <w:rsid w:val="00D71DB2"/>
    <w:rsid w:val="00D756F5"/>
    <w:rsid w:val="00D84924"/>
    <w:rsid w:val="00D859D7"/>
    <w:rsid w:val="00D86C72"/>
    <w:rsid w:val="00D8778F"/>
    <w:rsid w:val="00D87EEC"/>
    <w:rsid w:val="00D92793"/>
    <w:rsid w:val="00D9725F"/>
    <w:rsid w:val="00D972E6"/>
    <w:rsid w:val="00DA215B"/>
    <w:rsid w:val="00DA3DB3"/>
    <w:rsid w:val="00DB0182"/>
    <w:rsid w:val="00DB04E0"/>
    <w:rsid w:val="00DB5FBA"/>
    <w:rsid w:val="00DB782A"/>
    <w:rsid w:val="00DB7FEA"/>
    <w:rsid w:val="00DC0FC2"/>
    <w:rsid w:val="00DC3E45"/>
    <w:rsid w:val="00DC3FE6"/>
    <w:rsid w:val="00DD1D71"/>
    <w:rsid w:val="00DE0DFB"/>
    <w:rsid w:val="00DE1EFA"/>
    <w:rsid w:val="00DE3B5B"/>
    <w:rsid w:val="00DE53A9"/>
    <w:rsid w:val="00DE5D66"/>
    <w:rsid w:val="00DF00F7"/>
    <w:rsid w:val="00DF1E84"/>
    <w:rsid w:val="00DF36A5"/>
    <w:rsid w:val="00DF52F5"/>
    <w:rsid w:val="00DF548C"/>
    <w:rsid w:val="00DF5534"/>
    <w:rsid w:val="00DF5BB0"/>
    <w:rsid w:val="00DF6093"/>
    <w:rsid w:val="00DF7D06"/>
    <w:rsid w:val="00E029FB"/>
    <w:rsid w:val="00E04C12"/>
    <w:rsid w:val="00E07925"/>
    <w:rsid w:val="00E11451"/>
    <w:rsid w:val="00E116C8"/>
    <w:rsid w:val="00E12B72"/>
    <w:rsid w:val="00E137B2"/>
    <w:rsid w:val="00E13F8E"/>
    <w:rsid w:val="00E1487A"/>
    <w:rsid w:val="00E20979"/>
    <w:rsid w:val="00E22790"/>
    <w:rsid w:val="00E24062"/>
    <w:rsid w:val="00E27478"/>
    <w:rsid w:val="00E27D06"/>
    <w:rsid w:val="00E31129"/>
    <w:rsid w:val="00E349C4"/>
    <w:rsid w:val="00E350F0"/>
    <w:rsid w:val="00E40386"/>
    <w:rsid w:val="00E445AC"/>
    <w:rsid w:val="00E44897"/>
    <w:rsid w:val="00E5259C"/>
    <w:rsid w:val="00E550E3"/>
    <w:rsid w:val="00E56A7C"/>
    <w:rsid w:val="00E63002"/>
    <w:rsid w:val="00E6358B"/>
    <w:rsid w:val="00E65333"/>
    <w:rsid w:val="00E668A5"/>
    <w:rsid w:val="00E74CE3"/>
    <w:rsid w:val="00E7663C"/>
    <w:rsid w:val="00E80022"/>
    <w:rsid w:val="00E814EA"/>
    <w:rsid w:val="00E82CEE"/>
    <w:rsid w:val="00E839AF"/>
    <w:rsid w:val="00E83F8F"/>
    <w:rsid w:val="00E87EF0"/>
    <w:rsid w:val="00E9116D"/>
    <w:rsid w:val="00E9333A"/>
    <w:rsid w:val="00E93DED"/>
    <w:rsid w:val="00EA36C5"/>
    <w:rsid w:val="00EA4E01"/>
    <w:rsid w:val="00EB055B"/>
    <w:rsid w:val="00EB20F7"/>
    <w:rsid w:val="00EB3AE3"/>
    <w:rsid w:val="00EB4499"/>
    <w:rsid w:val="00EB6E74"/>
    <w:rsid w:val="00EC43DB"/>
    <w:rsid w:val="00EC45EC"/>
    <w:rsid w:val="00EC469A"/>
    <w:rsid w:val="00EC798A"/>
    <w:rsid w:val="00ED0C7F"/>
    <w:rsid w:val="00ED334A"/>
    <w:rsid w:val="00ED4CD8"/>
    <w:rsid w:val="00EE325E"/>
    <w:rsid w:val="00EE4042"/>
    <w:rsid w:val="00EE766C"/>
    <w:rsid w:val="00EE7E50"/>
    <w:rsid w:val="00EF12C4"/>
    <w:rsid w:val="00EF2F69"/>
    <w:rsid w:val="00EF314B"/>
    <w:rsid w:val="00EF4800"/>
    <w:rsid w:val="00EF523C"/>
    <w:rsid w:val="00EF74F0"/>
    <w:rsid w:val="00F02CF0"/>
    <w:rsid w:val="00F0365C"/>
    <w:rsid w:val="00F04F63"/>
    <w:rsid w:val="00F07FAE"/>
    <w:rsid w:val="00F13CF1"/>
    <w:rsid w:val="00F171FB"/>
    <w:rsid w:val="00F21E09"/>
    <w:rsid w:val="00F231EB"/>
    <w:rsid w:val="00F23C4C"/>
    <w:rsid w:val="00F23EA6"/>
    <w:rsid w:val="00F25710"/>
    <w:rsid w:val="00F27DE3"/>
    <w:rsid w:val="00F27FA9"/>
    <w:rsid w:val="00F32FF2"/>
    <w:rsid w:val="00F335F2"/>
    <w:rsid w:val="00F34283"/>
    <w:rsid w:val="00F369DB"/>
    <w:rsid w:val="00F36BB9"/>
    <w:rsid w:val="00F46623"/>
    <w:rsid w:val="00F4759C"/>
    <w:rsid w:val="00F5318C"/>
    <w:rsid w:val="00F5371D"/>
    <w:rsid w:val="00F537B5"/>
    <w:rsid w:val="00F55E07"/>
    <w:rsid w:val="00F56574"/>
    <w:rsid w:val="00F617BC"/>
    <w:rsid w:val="00F63B06"/>
    <w:rsid w:val="00F72B38"/>
    <w:rsid w:val="00F74930"/>
    <w:rsid w:val="00F82B88"/>
    <w:rsid w:val="00F84A1F"/>
    <w:rsid w:val="00F8760C"/>
    <w:rsid w:val="00F9000B"/>
    <w:rsid w:val="00F90D56"/>
    <w:rsid w:val="00F910D0"/>
    <w:rsid w:val="00FA3887"/>
    <w:rsid w:val="00FA4D09"/>
    <w:rsid w:val="00FA77A6"/>
    <w:rsid w:val="00FB1AED"/>
    <w:rsid w:val="00FB75B8"/>
    <w:rsid w:val="00FB7E09"/>
    <w:rsid w:val="00FC30BB"/>
    <w:rsid w:val="00FC4118"/>
    <w:rsid w:val="00FC4DF6"/>
    <w:rsid w:val="00FC569A"/>
    <w:rsid w:val="00FC7BBB"/>
    <w:rsid w:val="00FD0C4A"/>
    <w:rsid w:val="00FD183D"/>
    <w:rsid w:val="00FD19E5"/>
    <w:rsid w:val="00FD203F"/>
    <w:rsid w:val="00FD5589"/>
    <w:rsid w:val="00FD5D28"/>
    <w:rsid w:val="00FD65F8"/>
    <w:rsid w:val="00FE0AD1"/>
    <w:rsid w:val="00FE5DD1"/>
    <w:rsid w:val="00FE7546"/>
    <w:rsid w:val="00FF047F"/>
    <w:rsid w:val="00FF4622"/>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594F57"/>
  <w15:docId w15:val="{5C294B56-4AA6-4BD2-9550-9B783BF9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FA6"/>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uiPriority w:val="99"/>
    <w:unhideWhenUsed/>
    <w:qFormat/>
    <w:rsid w:val="00E24062"/>
    <w:pPr>
      <w:spacing w:before="240" w:after="60"/>
      <w:jc w:val="both"/>
      <w:outlineLvl w:val="6"/>
    </w:pPr>
    <w:rPr>
      <w:rFonts w:ascii="Calibri" w:hAnsi="Calibri" w:cs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D3C3D"/>
    <w:pPr>
      <w:spacing w:after="0" w:line="240" w:lineRule="auto"/>
    </w:pPr>
    <w:rPr>
      <w:rFonts w:ascii="Calibri" w:hAnsi="Calibri" w:cs="Times New Roman"/>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3C3D"/>
    <w:pPr>
      <w:ind w:left="720"/>
      <w:contextualSpacing/>
    </w:pPr>
  </w:style>
  <w:style w:type="paragraph" w:customStyle="1" w:styleId="Paragrafoelenco1">
    <w:name w:val="Paragrafo elenco1"/>
    <w:basedOn w:val="Normale"/>
    <w:uiPriority w:val="99"/>
    <w:rsid w:val="006D3C3D"/>
    <w:pPr>
      <w:ind w:left="720"/>
    </w:pPr>
    <w:rPr>
      <w:rFonts w:eastAsia="Calibri"/>
    </w:rPr>
  </w:style>
  <w:style w:type="paragraph" w:customStyle="1" w:styleId="testo2">
    <w:name w:val="testo2"/>
    <w:basedOn w:val="Normale"/>
    <w:uiPriority w:val="99"/>
    <w:rsid w:val="006D3C3D"/>
    <w:pPr>
      <w:widowControl w:val="0"/>
      <w:spacing w:before="120" w:line="360" w:lineRule="auto"/>
    </w:pPr>
  </w:style>
  <w:style w:type="paragraph" w:styleId="Intestazione">
    <w:name w:val="header"/>
    <w:basedOn w:val="Normale"/>
    <w:link w:val="IntestazioneCarattere"/>
    <w:uiPriority w:val="99"/>
    <w:unhideWhenUsed/>
    <w:rsid w:val="00AE50F2"/>
    <w:pPr>
      <w:tabs>
        <w:tab w:val="center" w:pos="4819"/>
        <w:tab w:val="right" w:pos="9638"/>
      </w:tabs>
    </w:pPr>
  </w:style>
  <w:style w:type="character" w:customStyle="1" w:styleId="IntestazioneCarattere">
    <w:name w:val="Intestazione Carattere"/>
    <w:basedOn w:val="Carpredefinitoparagrafo"/>
    <w:link w:val="Intestazione"/>
    <w:uiPriority w:val="99"/>
    <w:rsid w:val="00AE50F2"/>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AE50F2"/>
    <w:pPr>
      <w:tabs>
        <w:tab w:val="center" w:pos="4819"/>
        <w:tab w:val="right" w:pos="9638"/>
      </w:tabs>
    </w:pPr>
  </w:style>
  <w:style w:type="character" w:customStyle="1" w:styleId="PidipaginaCarattere">
    <w:name w:val="Piè di pagina Carattere"/>
    <w:basedOn w:val="Carpredefinitoparagrafo"/>
    <w:link w:val="Pidipagina"/>
    <w:uiPriority w:val="99"/>
    <w:rsid w:val="00AE50F2"/>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63B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3B06"/>
    <w:rPr>
      <w:rFonts w:ascii="Tahoma" w:eastAsia="Times New Roman" w:hAnsi="Tahoma" w:cs="Tahoma"/>
      <w:sz w:val="16"/>
      <w:szCs w:val="16"/>
      <w:lang w:eastAsia="it-IT"/>
    </w:rPr>
  </w:style>
  <w:style w:type="paragraph" w:customStyle="1" w:styleId="Default">
    <w:name w:val="Default"/>
    <w:uiPriority w:val="99"/>
    <w:rsid w:val="00575691"/>
    <w:pPr>
      <w:autoSpaceDE w:val="0"/>
      <w:autoSpaceDN w:val="0"/>
      <w:adjustRightInd w:val="0"/>
      <w:spacing w:after="0" w:line="240" w:lineRule="auto"/>
    </w:pPr>
    <w:rPr>
      <w:rFonts w:ascii="Calibri" w:hAnsi="Calibri" w:cs="Calibri"/>
      <w:color w:val="000000"/>
      <w:sz w:val="24"/>
      <w:szCs w:val="24"/>
    </w:rPr>
  </w:style>
  <w:style w:type="paragraph" w:styleId="Revisione">
    <w:name w:val="Revision"/>
    <w:hidden/>
    <w:uiPriority w:val="99"/>
    <w:semiHidden/>
    <w:rsid w:val="00FC4DF6"/>
    <w:pPr>
      <w:spacing w:after="0" w:line="240" w:lineRule="auto"/>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semiHidden/>
    <w:unhideWhenUsed/>
    <w:rsid w:val="0068237F"/>
    <w:rPr>
      <w:sz w:val="20"/>
    </w:rPr>
  </w:style>
  <w:style w:type="character" w:customStyle="1" w:styleId="TestonotaapidipaginaCarattere">
    <w:name w:val="Testo nota a piè di pagina Carattere"/>
    <w:basedOn w:val="Carpredefinitoparagrafo"/>
    <w:link w:val="Testonotaapidipagina"/>
    <w:uiPriority w:val="99"/>
    <w:semiHidden/>
    <w:rsid w:val="006823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8237F"/>
    <w:rPr>
      <w:vertAlign w:val="superscript"/>
    </w:rPr>
  </w:style>
  <w:style w:type="paragraph" w:styleId="NormaleWeb">
    <w:name w:val="Normal (Web)"/>
    <w:basedOn w:val="Normale"/>
    <w:uiPriority w:val="99"/>
    <w:unhideWhenUsed/>
    <w:rsid w:val="00775E1B"/>
    <w:pPr>
      <w:spacing w:before="100" w:beforeAutospacing="1" w:after="100" w:afterAutospacing="1"/>
    </w:pPr>
  </w:style>
  <w:style w:type="character" w:customStyle="1" w:styleId="Titolo7Carattere">
    <w:name w:val="Titolo 7 Carattere"/>
    <w:basedOn w:val="Carpredefinitoparagrafo"/>
    <w:link w:val="Titolo7"/>
    <w:uiPriority w:val="99"/>
    <w:rsid w:val="00E24062"/>
    <w:rPr>
      <w:rFonts w:ascii="Calibri" w:eastAsia="Times New Roman" w:hAnsi="Calibri" w:cstheme="minorHAnsi"/>
      <w:sz w:val="24"/>
      <w:szCs w:val="24"/>
    </w:rPr>
  </w:style>
  <w:style w:type="table" w:customStyle="1" w:styleId="Grigliatabella1">
    <w:name w:val="Griglia tabella1"/>
    <w:basedOn w:val="Tabellanormale"/>
    <w:next w:val="Grigliatabella"/>
    <w:uiPriority w:val="39"/>
    <w:rsid w:val="00E1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9751A6"/>
    <w:rPr>
      <w:rFonts w:eastAsiaTheme="minorHAnsi"/>
    </w:rPr>
  </w:style>
  <w:style w:type="character" w:styleId="Rimandocommento">
    <w:name w:val="annotation reference"/>
    <w:basedOn w:val="Carpredefinitoparagrafo"/>
    <w:uiPriority w:val="99"/>
    <w:semiHidden/>
    <w:unhideWhenUsed/>
    <w:rsid w:val="00DC3FE6"/>
    <w:rPr>
      <w:sz w:val="16"/>
      <w:szCs w:val="16"/>
    </w:rPr>
  </w:style>
  <w:style w:type="paragraph" w:styleId="Testocommento">
    <w:name w:val="annotation text"/>
    <w:basedOn w:val="Normale"/>
    <w:link w:val="TestocommentoCarattere"/>
    <w:uiPriority w:val="99"/>
    <w:semiHidden/>
    <w:unhideWhenUsed/>
    <w:rsid w:val="00DC3FE6"/>
    <w:rPr>
      <w:sz w:val="20"/>
      <w:szCs w:val="20"/>
    </w:rPr>
  </w:style>
  <w:style w:type="character" w:customStyle="1" w:styleId="TestocommentoCarattere">
    <w:name w:val="Testo commento Carattere"/>
    <w:basedOn w:val="Carpredefinitoparagrafo"/>
    <w:link w:val="Testocommento"/>
    <w:uiPriority w:val="99"/>
    <w:semiHidden/>
    <w:rsid w:val="00DC3F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C3FE6"/>
    <w:rPr>
      <w:b/>
      <w:bCs/>
    </w:rPr>
  </w:style>
  <w:style w:type="character" w:customStyle="1" w:styleId="SoggettocommentoCarattere">
    <w:name w:val="Soggetto commento Carattere"/>
    <w:basedOn w:val="TestocommentoCarattere"/>
    <w:link w:val="Soggettocommento"/>
    <w:uiPriority w:val="99"/>
    <w:semiHidden/>
    <w:rsid w:val="00DC3FE6"/>
    <w:rPr>
      <w:rFonts w:ascii="Times New Roman" w:eastAsia="Times New Roman" w:hAnsi="Times New Roman" w:cs="Times New Roman"/>
      <w:b/>
      <w:bCs/>
      <w:sz w:val="20"/>
      <w:szCs w:val="20"/>
      <w:lang w:eastAsia="it-IT"/>
    </w:rPr>
  </w:style>
  <w:style w:type="character" w:styleId="Collegamentoipertestuale">
    <w:name w:val="Hyperlink"/>
    <w:rsid w:val="006F5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15562">
      <w:bodyDiv w:val="1"/>
      <w:marLeft w:val="0"/>
      <w:marRight w:val="0"/>
      <w:marTop w:val="0"/>
      <w:marBottom w:val="0"/>
      <w:divBdr>
        <w:top w:val="none" w:sz="0" w:space="0" w:color="auto"/>
        <w:left w:val="none" w:sz="0" w:space="0" w:color="auto"/>
        <w:bottom w:val="none" w:sz="0" w:space="0" w:color="auto"/>
        <w:right w:val="none" w:sz="0" w:space="0" w:color="auto"/>
      </w:divBdr>
    </w:div>
    <w:div w:id="263349057">
      <w:bodyDiv w:val="1"/>
      <w:marLeft w:val="0"/>
      <w:marRight w:val="0"/>
      <w:marTop w:val="0"/>
      <w:marBottom w:val="0"/>
      <w:divBdr>
        <w:top w:val="none" w:sz="0" w:space="0" w:color="auto"/>
        <w:left w:val="none" w:sz="0" w:space="0" w:color="auto"/>
        <w:bottom w:val="none" w:sz="0" w:space="0" w:color="auto"/>
        <w:right w:val="none" w:sz="0" w:space="0" w:color="auto"/>
      </w:divBdr>
    </w:div>
    <w:div w:id="314140285">
      <w:bodyDiv w:val="1"/>
      <w:marLeft w:val="0"/>
      <w:marRight w:val="0"/>
      <w:marTop w:val="0"/>
      <w:marBottom w:val="0"/>
      <w:divBdr>
        <w:top w:val="none" w:sz="0" w:space="0" w:color="auto"/>
        <w:left w:val="none" w:sz="0" w:space="0" w:color="auto"/>
        <w:bottom w:val="none" w:sz="0" w:space="0" w:color="auto"/>
        <w:right w:val="none" w:sz="0" w:space="0" w:color="auto"/>
      </w:divBdr>
    </w:div>
    <w:div w:id="375668221">
      <w:bodyDiv w:val="1"/>
      <w:marLeft w:val="0"/>
      <w:marRight w:val="0"/>
      <w:marTop w:val="0"/>
      <w:marBottom w:val="0"/>
      <w:divBdr>
        <w:top w:val="none" w:sz="0" w:space="0" w:color="auto"/>
        <w:left w:val="none" w:sz="0" w:space="0" w:color="auto"/>
        <w:bottom w:val="none" w:sz="0" w:space="0" w:color="auto"/>
        <w:right w:val="none" w:sz="0" w:space="0" w:color="auto"/>
      </w:divBdr>
    </w:div>
    <w:div w:id="379549862">
      <w:bodyDiv w:val="1"/>
      <w:marLeft w:val="0"/>
      <w:marRight w:val="0"/>
      <w:marTop w:val="0"/>
      <w:marBottom w:val="0"/>
      <w:divBdr>
        <w:top w:val="none" w:sz="0" w:space="0" w:color="auto"/>
        <w:left w:val="none" w:sz="0" w:space="0" w:color="auto"/>
        <w:bottom w:val="none" w:sz="0" w:space="0" w:color="auto"/>
        <w:right w:val="none" w:sz="0" w:space="0" w:color="auto"/>
      </w:divBdr>
    </w:div>
    <w:div w:id="479493780">
      <w:bodyDiv w:val="1"/>
      <w:marLeft w:val="0"/>
      <w:marRight w:val="0"/>
      <w:marTop w:val="0"/>
      <w:marBottom w:val="0"/>
      <w:divBdr>
        <w:top w:val="none" w:sz="0" w:space="0" w:color="auto"/>
        <w:left w:val="none" w:sz="0" w:space="0" w:color="auto"/>
        <w:bottom w:val="none" w:sz="0" w:space="0" w:color="auto"/>
        <w:right w:val="none" w:sz="0" w:space="0" w:color="auto"/>
      </w:divBdr>
    </w:div>
    <w:div w:id="484203976">
      <w:bodyDiv w:val="1"/>
      <w:marLeft w:val="0"/>
      <w:marRight w:val="0"/>
      <w:marTop w:val="0"/>
      <w:marBottom w:val="0"/>
      <w:divBdr>
        <w:top w:val="none" w:sz="0" w:space="0" w:color="auto"/>
        <w:left w:val="none" w:sz="0" w:space="0" w:color="auto"/>
        <w:bottom w:val="none" w:sz="0" w:space="0" w:color="auto"/>
        <w:right w:val="none" w:sz="0" w:space="0" w:color="auto"/>
      </w:divBdr>
    </w:div>
    <w:div w:id="491220476">
      <w:bodyDiv w:val="1"/>
      <w:marLeft w:val="0"/>
      <w:marRight w:val="0"/>
      <w:marTop w:val="0"/>
      <w:marBottom w:val="0"/>
      <w:divBdr>
        <w:top w:val="none" w:sz="0" w:space="0" w:color="auto"/>
        <w:left w:val="none" w:sz="0" w:space="0" w:color="auto"/>
        <w:bottom w:val="none" w:sz="0" w:space="0" w:color="auto"/>
        <w:right w:val="none" w:sz="0" w:space="0" w:color="auto"/>
      </w:divBdr>
    </w:div>
    <w:div w:id="562714191">
      <w:bodyDiv w:val="1"/>
      <w:marLeft w:val="0"/>
      <w:marRight w:val="0"/>
      <w:marTop w:val="0"/>
      <w:marBottom w:val="0"/>
      <w:divBdr>
        <w:top w:val="none" w:sz="0" w:space="0" w:color="auto"/>
        <w:left w:val="none" w:sz="0" w:space="0" w:color="auto"/>
        <w:bottom w:val="none" w:sz="0" w:space="0" w:color="auto"/>
        <w:right w:val="none" w:sz="0" w:space="0" w:color="auto"/>
      </w:divBdr>
    </w:div>
    <w:div w:id="569268926">
      <w:bodyDiv w:val="1"/>
      <w:marLeft w:val="0"/>
      <w:marRight w:val="0"/>
      <w:marTop w:val="0"/>
      <w:marBottom w:val="0"/>
      <w:divBdr>
        <w:top w:val="none" w:sz="0" w:space="0" w:color="auto"/>
        <w:left w:val="none" w:sz="0" w:space="0" w:color="auto"/>
        <w:bottom w:val="none" w:sz="0" w:space="0" w:color="auto"/>
        <w:right w:val="none" w:sz="0" w:space="0" w:color="auto"/>
      </w:divBdr>
    </w:div>
    <w:div w:id="584846817">
      <w:bodyDiv w:val="1"/>
      <w:marLeft w:val="0"/>
      <w:marRight w:val="0"/>
      <w:marTop w:val="0"/>
      <w:marBottom w:val="0"/>
      <w:divBdr>
        <w:top w:val="none" w:sz="0" w:space="0" w:color="auto"/>
        <w:left w:val="none" w:sz="0" w:space="0" w:color="auto"/>
        <w:bottom w:val="none" w:sz="0" w:space="0" w:color="auto"/>
        <w:right w:val="none" w:sz="0" w:space="0" w:color="auto"/>
      </w:divBdr>
    </w:div>
    <w:div w:id="585966754">
      <w:bodyDiv w:val="1"/>
      <w:marLeft w:val="0"/>
      <w:marRight w:val="0"/>
      <w:marTop w:val="0"/>
      <w:marBottom w:val="0"/>
      <w:divBdr>
        <w:top w:val="none" w:sz="0" w:space="0" w:color="auto"/>
        <w:left w:val="none" w:sz="0" w:space="0" w:color="auto"/>
        <w:bottom w:val="none" w:sz="0" w:space="0" w:color="auto"/>
        <w:right w:val="none" w:sz="0" w:space="0" w:color="auto"/>
      </w:divBdr>
    </w:div>
    <w:div w:id="597451133">
      <w:bodyDiv w:val="1"/>
      <w:marLeft w:val="0"/>
      <w:marRight w:val="0"/>
      <w:marTop w:val="0"/>
      <w:marBottom w:val="0"/>
      <w:divBdr>
        <w:top w:val="none" w:sz="0" w:space="0" w:color="auto"/>
        <w:left w:val="none" w:sz="0" w:space="0" w:color="auto"/>
        <w:bottom w:val="none" w:sz="0" w:space="0" w:color="auto"/>
        <w:right w:val="none" w:sz="0" w:space="0" w:color="auto"/>
      </w:divBdr>
    </w:div>
    <w:div w:id="658769423">
      <w:bodyDiv w:val="1"/>
      <w:marLeft w:val="0"/>
      <w:marRight w:val="0"/>
      <w:marTop w:val="0"/>
      <w:marBottom w:val="0"/>
      <w:divBdr>
        <w:top w:val="none" w:sz="0" w:space="0" w:color="auto"/>
        <w:left w:val="none" w:sz="0" w:space="0" w:color="auto"/>
        <w:bottom w:val="none" w:sz="0" w:space="0" w:color="auto"/>
        <w:right w:val="none" w:sz="0" w:space="0" w:color="auto"/>
      </w:divBdr>
    </w:div>
    <w:div w:id="717629182">
      <w:bodyDiv w:val="1"/>
      <w:marLeft w:val="0"/>
      <w:marRight w:val="0"/>
      <w:marTop w:val="0"/>
      <w:marBottom w:val="0"/>
      <w:divBdr>
        <w:top w:val="none" w:sz="0" w:space="0" w:color="auto"/>
        <w:left w:val="none" w:sz="0" w:space="0" w:color="auto"/>
        <w:bottom w:val="none" w:sz="0" w:space="0" w:color="auto"/>
        <w:right w:val="none" w:sz="0" w:space="0" w:color="auto"/>
      </w:divBdr>
    </w:div>
    <w:div w:id="757212766">
      <w:bodyDiv w:val="1"/>
      <w:marLeft w:val="0"/>
      <w:marRight w:val="0"/>
      <w:marTop w:val="0"/>
      <w:marBottom w:val="0"/>
      <w:divBdr>
        <w:top w:val="none" w:sz="0" w:space="0" w:color="auto"/>
        <w:left w:val="none" w:sz="0" w:space="0" w:color="auto"/>
        <w:bottom w:val="none" w:sz="0" w:space="0" w:color="auto"/>
        <w:right w:val="none" w:sz="0" w:space="0" w:color="auto"/>
      </w:divBdr>
    </w:div>
    <w:div w:id="771055119">
      <w:bodyDiv w:val="1"/>
      <w:marLeft w:val="0"/>
      <w:marRight w:val="0"/>
      <w:marTop w:val="0"/>
      <w:marBottom w:val="0"/>
      <w:divBdr>
        <w:top w:val="none" w:sz="0" w:space="0" w:color="auto"/>
        <w:left w:val="none" w:sz="0" w:space="0" w:color="auto"/>
        <w:bottom w:val="none" w:sz="0" w:space="0" w:color="auto"/>
        <w:right w:val="none" w:sz="0" w:space="0" w:color="auto"/>
      </w:divBdr>
    </w:div>
    <w:div w:id="893201504">
      <w:bodyDiv w:val="1"/>
      <w:marLeft w:val="0"/>
      <w:marRight w:val="0"/>
      <w:marTop w:val="0"/>
      <w:marBottom w:val="0"/>
      <w:divBdr>
        <w:top w:val="none" w:sz="0" w:space="0" w:color="auto"/>
        <w:left w:val="none" w:sz="0" w:space="0" w:color="auto"/>
        <w:bottom w:val="none" w:sz="0" w:space="0" w:color="auto"/>
        <w:right w:val="none" w:sz="0" w:space="0" w:color="auto"/>
      </w:divBdr>
    </w:div>
    <w:div w:id="911046138">
      <w:bodyDiv w:val="1"/>
      <w:marLeft w:val="0"/>
      <w:marRight w:val="0"/>
      <w:marTop w:val="0"/>
      <w:marBottom w:val="0"/>
      <w:divBdr>
        <w:top w:val="none" w:sz="0" w:space="0" w:color="auto"/>
        <w:left w:val="none" w:sz="0" w:space="0" w:color="auto"/>
        <w:bottom w:val="none" w:sz="0" w:space="0" w:color="auto"/>
        <w:right w:val="none" w:sz="0" w:space="0" w:color="auto"/>
      </w:divBdr>
    </w:div>
    <w:div w:id="935551748">
      <w:bodyDiv w:val="1"/>
      <w:marLeft w:val="0"/>
      <w:marRight w:val="0"/>
      <w:marTop w:val="0"/>
      <w:marBottom w:val="0"/>
      <w:divBdr>
        <w:top w:val="none" w:sz="0" w:space="0" w:color="auto"/>
        <w:left w:val="none" w:sz="0" w:space="0" w:color="auto"/>
        <w:bottom w:val="none" w:sz="0" w:space="0" w:color="auto"/>
        <w:right w:val="none" w:sz="0" w:space="0" w:color="auto"/>
      </w:divBdr>
    </w:div>
    <w:div w:id="1016998825">
      <w:bodyDiv w:val="1"/>
      <w:marLeft w:val="0"/>
      <w:marRight w:val="0"/>
      <w:marTop w:val="0"/>
      <w:marBottom w:val="0"/>
      <w:divBdr>
        <w:top w:val="none" w:sz="0" w:space="0" w:color="auto"/>
        <w:left w:val="none" w:sz="0" w:space="0" w:color="auto"/>
        <w:bottom w:val="none" w:sz="0" w:space="0" w:color="auto"/>
        <w:right w:val="none" w:sz="0" w:space="0" w:color="auto"/>
      </w:divBdr>
    </w:div>
    <w:div w:id="1117024108">
      <w:bodyDiv w:val="1"/>
      <w:marLeft w:val="0"/>
      <w:marRight w:val="0"/>
      <w:marTop w:val="0"/>
      <w:marBottom w:val="0"/>
      <w:divBdr>
        <w:top w:val="none" w:sz="0" w:space="0" w:color="auto"/>
        <w:left w:val="none" w:sz="0" w:space="0" w:color="auto"/>
        <w:bottom w:val="none" w:sz="0" w:space="0" w:color="auto"/>
        <w:right w:val="none" w:sz="0" w:space="0" w:color="auto"/>
      </w:divBdr>
    </w:div>
    <w:div w:id="1122115898">
      <w:bodyDiv w:val="1"/>
      <w:marLeft w:val="0"/>
      <w:marRight w:val="0"/>
      <w:marTop w:val="0"/>
      <w:marBottom w:val="0"/>
      <w:divBdr>
        <w:top w:val="none" w:sz="0" w:space="0" w:color="auto"/>
        <w:left w:val="none" w:sz="0" w:space="0" w:color="auto"/>
        <w:bottom w:val="none" w:sz="0" w:space="0" w:color="auto"/>
        <w:right w:val="none" w:sz="0" w:space="0" w:color="auto"/>
      </w:divBdr>
    </w:div>
    <w:div w:id="1266380173">
      <w:bodyDiv w:val="1"/>
      <w:marLeft w:val="0"/>
      <w:marRight w:val="0"/>
      <w:marTop w:val="0"/>
      <w:marBottom w:val="0"/>
      <w:divBdr>
        <w:top w:val="none" w:sz="0" w:space="0" w:color="auto"/>
        <w:left w:val="none" w:sz="0" w:space="0" w:color="auto"/>
        <w:bottom w:val="none" w:sz="0" w:space="0" w:color="auto"/>
        <w:right w:val="none" w:sz="0" w:space="0" w:color="auto"/>
      </w:divBdr>
    </w:div>
    <w:div w:id="1367562018">
      <w:bodyDiv w:val="1"/>
      <w:marLeft w:val="0"/>
      <w:marRight w:val="0"/>
      <w:marTop w:val="0"/>
      <w:marBottom w:val="0"/>
      <w:divBdr>
        <w:top w:val="none" w:sz="0" w:space="0" w:color="auto"/>
        <w:left w:val="none" w:sz="0" w:space="0" w:color="auto"/>
        <w:bottom w:val="none" w:sz="0" w:space="0" w:color="auto"/>
        <w:right w:val="none" w:sz="0" w:space="0" w:color="auto"/>
      </w:divBdr>
    </w:div>
    <w:div w:id="1465854083">
      <w:bodyDiv w:val="1"/>
      <w:marLeft w:val="0"/>
      <w:marRight w:val="0"/>
      <w:marTop w:val="0"/>
      <w:marBottom w:val="0"/>
      <w:divBdr>
        <w:top w:val="none" w:sz="0" w:space="0" w:color="auto"/>
        <w:left w:val="none" w:sz="0" w:space="0" w:color="auto"/>
        <w:bottom w:val="none" w:sz="0" w:space="0" w:color="auto"/>
        <w:right w:val="none" w:sz="0" w:space="0" w:color="auto"/>
      </w:divBdr>
    </w:div>
    <w:div w:id="1476336424">
      <w:bodyDiv w:val="1"/>
      <w:marLeft w:val="0"/>
      <w:marRight w:val="0"/>
      <w:marTop w:val="0"/>
      <w:marBottom w:val="0"/>
      <w:divBdr>
        <w:top w:val="none" w:sz="0" w:space="0" w:color="auto"/>
        <w:left w:val="none" w:sz="0" w:space="0" w:color="auto"/>
        <w:bottom w:val="none" w:sz="0" w:space="0" w:color="auto"/>
        <w:right w:val="none" w:sz="0" w:space="0" w:color="auto"/>
      </w:divBdr>
      <w:divsChild>
        <w:div w:id="1313177061">
          <w:marLeft w:val="0"/>
          <w:marRight w:val="0"/>
          <w:marTop w:val="0"/>
          <w:marBottom w:val="0"/>
          <w:divBdr>
            <w:top w:val="none" w:sz="0" w:space="0" w:color="auto"/>
            <w:left w:val="none" w:sz="0" w:space="0" w:color="auto"/>
            <w:bottom w:val="none" w:sz="0" w:space="0" w:color="auto"/>
            <w:right w:val="none" w:sz="0" w:space="0" w:color="auto"/>
          </w:divBdr>
          <w:divsChild>
            <w:div w:id="360978642">
              <w:marLeft w:val="0"/>
              <w:marRight w:val="0"/>
              <w:marTop w:val="0"/>
              <w:marBottom w:val="0"/>
              <w:divBdr>
                <w:top w:val="none" w:sz="0" w:space="0" w:color="auto"/>
                <w:left w:val="none" w:sz="0" w:space="0" w:color="auto"/>
                <w:bottom w:val="none" w:sz="0" w:space="0" w:color="auto"/>
                <w:right w:val="none" w:sz="0" w:space="0" w:color="auto"/>
              </w:divBdr>
              <w:divsChild>
                <w:div w:id="55082347">
                  <w:marLeft w:val="0"/>
                  <w:marRight w:val="0"/>
                  <w:marTop w:val="0"/>
                  <w:marBottom w:val="0"/>
                  <w:divBdr>
                    <w:top w:val="none" w:sz="0" w:space="0" w:color="auto"/>
                    <w:left w:val="none" w:sz="0" w:space="0" w:color="auto"/>
                    <w:bottom w:val="none" w:sz="0" w:space="0" w:color="auto"/>
                    <w:right w:val="none" w:sz="0" w:space="0" w:color="auto"/>
                  </w:divBdr>
                  <w:divsChild>
                    <w:div w:id="215822586">
                      <w:marLeft w:val="0"/>
                      <w:marRight w:val="0"/>
                      <w:marTop w:val="0"/>
                      <w:marBottom w:val="0"/>
                      <w:divBdr>
                        <w:top w:val="none" w:sz="0" w:space="0" w:color="auto"/>
                        <w:left w:val="none" w:sz="0" w:space="0" w:color="auto"/>
                        <w:bottom w:val="none" w:sz="0" w:space="0" w:color="auto"/>
                        <w:right w:val="none" w:sz="0" w:space="0" w:color="auto"/>
                      </w:divBdr>
                      <w:divsChild>
                        <w:div w:id="1174103761">
                          <w:marLeft w:val="165"/>
                          <w:marRight w:val="0"/>
                          <w:marTop w:val="0"/>
                          <w:marBottom w:val="0"/>
                          <w:divBdr>
                            <w:top w:val="none" w:sz="0" w:space="0" w:color="auto"/>
                            <w:left w:val="single" w:sz="6" w:space="8" w:color="999999"/>
                            <w:bottom w:val="none" w:sz="0" w:space="0" w:color="auto"/>
                            <w:right w:val="none" w:sz="0" w:space="0" w:color="auto"/>
                          </w:divBdr>
                          <w:divsChild>
                            <w:div w:id="1696273661">
                              <w:marLeft w:val="0"/>
                              <w:marRight w:val="0"/>
                              <w:marTop w:val="0"/>
                              <w:marBottom w:val="0"/>
                              <w:divBdr>
                                <w:top w:val="none" w:sz="0" w:space="0" w:color="auto"/>
                                <w:left w:val="none" w:sz="0" w:space="0" w:color="auto"/>
                                <w:bottom w:val="none" w:sz="0" w:space="0" w:color="auto"/>
                                <w:right w:val="none" w:sz="0" w:space="0" w:color="auto"/>
                              </w:divBdr>
                              <w:divsChild>
                                <w:div w:id="1341086062">
                                  <w:marLeft w:val="0"/>
                                  <w:marRight w:val="0"/>
                                  <w:marTop w:val="0"/>
                                  <w:marBottom w:val="0"/>
                                  <w:divBdr>
                                    <w:top w:val="none" w:sz="0" w:space="0" w:color="auto"/>
                                    <w:left w:val="none" w:sz="0" w:space="0" w:color="auto"/>
                                    <w:bottom w:val="none" w:sz="0" w:space="0" w:color="auto"/>
                                    <w:right w:val="none" w:sz="0" w:space="0" w:color="auto"/>
                                  </w:divBdr>
                                  <w:divsChild>
                                    <w:div w:id="3515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494524">
      <w:bodyDiv w:val="1"/>
      <w:marLeft w:val="0"/>
      <w:marRight w:val="0"/>
      <w:marTop w:val="0"/>
      <w:marBottom w:val="0"/>
      <w:divBdr>
        <w:top w:val="none" w:sz="0" w:space="0" w:color="auto"/>
        <w:left w:val="none" w:sz="0" w:space="0" w:color="auto"/>
        <w:bottom w:val="none" w:sz="0" w:space="0" w:color="auto"/>
        <w:right w:val="none" w:sz="0" w:space="0" w:color="auto"/>
      </w:divBdr>
    </w:div>
    <w:div w:id="1534536495">
      <w:bodyDiv w:val="1"/>
      <w:marLeft w:val="0"/>
      <w:marRight w:val="0"/>
      <w:marTop w:val="0"/>
      <w:marBottom w:val="0"/>
      <w:divBdr>
        <w:top w:val="none" w:sz="0" w:space="0" w:color="auto"/>
        <w:left w:val="none" w:sz="0" w:space="0" w:color="auto"/>
        <w:bottom w:val="none" w:sz="0" w:space="0" w:color="auto"/>
        <w:right w:val="none" w:sz="0" w:space="0" w:color="auto"/>
      </w:divBdr>
    </w:div>
    <w:div w:id="1648899216">
      <w:bodyDiv w:val="1"/>
      <w:marLeft w:val="0"/>
      <w:marRight w:val="0"/>
      <w:marTop w:val="0"/>
      <w:marBottom w:val="0"/>
      <w:divBdr>
        <w:top w:val="none" w:sz="0" w:space="0" w:color="auto"/>
        <w:left w:val="none" w:sz="0" w:space="0" w:color="auto"/>
        <w:bottom w:val="none" w:sz="0" w:space="0" w:color="auto"/>
        <w:right w:val="none" w:sz="0" w:space="0" w:color="auto"/>
      </w:divBdr>
    </w:div>
    <w:div w:id="1651707510">
      <w:bodyDiv w:val="1"/>
      <w:marLeft w:val="0"/>
      <w:marRight w:val="0"/>
      <w:marTop w:val="0"/>
      <w:marBottom w:val="0"/>
      <w:divBdr>
        <w:top w:val="none" w:sz="0" w:space="0" w:color="auto"/>
        <w:left w:val="none" w:sz="0" w:space="0" w:color="auto"/>
        <w:bottom w:val="none" w:sz="0" w:space="0" w:color="auto"/>
        <w:right w:val="none" w:sz="0" w:space="0" w:color="auto"/>
      </w:divBdr>
    </w:div>
    <w:div w:id="1681227415">
      <w:bodyDiv w:val="1"/>
      <w:marLeft w:val="0"/>
      <w:marRight w:val="0"/>
      <w:marTop w:val="0"/>
      <w:marBottom w:val="0"/>
      <w:divBdr>
        <w:top w:val="none" w:sz="0" w:space="0" w:color="auto"/>
        <w:left w:val="none" w:sz="0" w:space="0" w:color="auto"/>
        <w:bottom w:val="none" w:sz="0" w:space="0" w:color="auto"/>
        <w:right w:val="none" w:sz="0" w:space="0" w:color="auto"/>
      </w:divBdr>
    </w:div>
    <w:div w:id="1712068703">
      <w:bodyDiv w:val="1"/>
      <w:marLeft w:val="0"/>
      <w:marRight w:val="0"/>
      <w:marTop w:val="0"/>
      <w:marBottom w:val="0"/>
      <w:divBdr>
        <w:top w:val="none" w:sz="0" w:space="0" w:color="auto"/>
        <w:left w:val="none" w:sz="0" w:space="0" w:color="auto"/>
        <w:bottom w:val="none" w:sz="0" w:space="0" w:color="auto"/>
        <w:right w:val="none" w:sz="0" w:space="0" w:color="auto"/>
      </w:divBdr>
    </w:div>
    <w:div w:id="1902592278">
      <w:bodyDiv w:val="1"/>
      <w:marLeft w:val="0"/>
      <w:marRight w:val="0"/>
      <w:marTop w:val="0"/>
      <w:marBottom w:val="0"/>
      <w:divBdr>
        <w:top w:val="none" w:sz="0" w:space="0" w:color="auto"/>
        <w:left w:val="none" w:sz="0" w:space="0" w:color="auto"/>
        <w:bottom w:val="none" w:sz="0" w:space="0" w:color="auto"/>
        <w:right w:val="none" w:sz="0" w:space="0" w:color="auto"/>
      </w:divBdr>
    </w:div>
    <w:div w:id="1906452887">
      <w:bodyDiv w:val="1"/>
      <w:marLeft w:val="0"/>
      <w:marRight w:val="0"/>
      <w:marTop w:val="0"/>
      <w:marBottom w:val="0"/>
      <w:divBdr>
        <w:top w:val="none" w:sz="0" w:space="0" w:color="auto"/>
        <w:left w:val="none" w:sz="0" w:space="0" w:color="auto"/>
        <w:bottom w:val="none" w:sz="0" w:space="0" w:color="auto"/>
        <w:right w:val="none" w:sz="0" w:space="0" w:color="auto"/>
      </w:divBdr>
    </w:div>
    <w:div w:id="1919291746">
      <w:bodyDiv w:val="1"/>
      <w:marLeft w:val="0"/>
      <w:marRight w:val="0"/>
      <w:marTop w:val="0"/>
      <w:marBottom w:val="0"/>
      <w:divBdr>
        <w:top w:val="none" w:sz="0" w:space="0" w:color="auto"/>
        <w:left w:val="none" w:sz="0" w:space="0" w:color="auto"/>
        <w:bottom w:val="none" w:sz="0" w:space="0" w:color="auto"/>
        <w:right w:val="none" w:sz="0" w:space="0" w:color="auto"/>
      </w:divBdr>
    </w:div>
    <w:div w:id="1985965380">
      <w:bodyDiv w:val="1"/>
      <w:marLeft w:val="0"/>
      <w:marRight w:val="0"/>
      <w:marTop w:val="0"/>
      <w:marBottom w:val="0"/>
      <w:divBdr>
        <w:top w:val="none" w:sz="0" w:space="0" w:color="auto"/>
        <w:left w:val="none" w:sz="0" w:space="0" w:color="auto"/>
        <w:bottom w:val="none" w:sz="0" w:space="0" w:color="auto"/>
        <w:right w:val="none" w:sz="0" w:space="0" w:color="auto"/>
      </w:divBdr>
    </w:div>
    <w:div w:id="2052874344">
      <w:bodyDiv w:val="1"/>
      <w:marLeft w:val="0"/>
      <w:marRight w:val="0"/>
      <w:marTop w:val="0"/>
      <w:marBottom w:val="0"/>
      <w:divBdr>
        <w:top w:val="none" w:sz="0" w:space="0" w:color="auto"/>
        <w:left w:val="none" w:sz="0" w:space="0" w:color="auto"/>
        <w:bottom w:val="none" w:sz="0" w:space="0" w:color="auto"/>
        <w:right w:val="none" w:sz="0" w:space="0" w:color="auto"/>
      </w:divBdr>
    </w:div>
    <w:div w:id="2093771933">
      <w:bodyDiv w:val="1"/>
      <w:marLeft w:val="0"/>
      <w:marRight w:val="0"/>
      <w:marTop w:val="0"/>
      <w:marBottom w:val="0"/>
      <w:divBdr>
        <w:top w:val="none" w:sz="0" w:space="0" w:color="auto"/>
        <w:left w:val="none" w:sz="0" w:space="0" w:color="auto"/>
        <w:bottom w:val="none" w:sz="0" w:space="0" w:color="auto"/>
        <w:right w:val="none" w:sz="0" w:space="0" w:color="auto"/>
      </w:divBdr>
    </w:div>
    <w:div w:id="2095079366">
      <w:bodyDiv w:val="1"/>
      <w:marLeft w:val="0"/>
      <w:marRight w:val="0"/>
      <w:marTop w:val="0"/>
      <w:marBottom w:val="0"/>
      <w:divBdr>
        <w:top w:val="none" w:sz="0" w:space="0" w:color="auto"/>
        <w:left w:val="none" w:sz="0" w:space="0" w:color="auto"/>
        <w:bottom w:val="none" w:sz="0" w:space="0" w:color="auto"/>
        <w:right w:val="none" w:sz="0" w:space="0" w:color="auto"/>
      </w:divBdr>
    </w:div>
    <w:div w:id="2112774550">
      <w:bodyDiv w:val="1"/>
      <w:marLeft w:val="0"/>
      <w:marRight w:val="0"/>
      <w:marTop w:val="0"/>
      <w:marBottom w:val="0"/>
      <w:divBdr>
        <w:top w:val="none" w:sz="0" w:space="0" w:color="auto"/>
        <w:left w:val="none" w:sz="0" w:space="0" w:color="auto"/>
        <w:bottom w:val="none" w:sz="0" w:space="0" w:color="auto"/>
        <w:right w:val="none" w:sz="0" w:space="0" w:color="auto"/>
      </w:divBdr>
    </w:div>
    <w:div w:id="2131706145">
      <w:bodyDiv w:val="1"/>
      <w:marLeft w:val="0"/>
      <w:marRight w:val="0"/>
      <w:marTop w:val="0"/>
      <w:marBottom w:val="0"/>
      <w:divBdr>
        <w:top w:val="none" w:sz="0" w:space="0" w:color="auto"/>
        <w:left w:val="none" w:sz="0" w:space="0" w:color="auto"/>
        <w:bottom w:val="none" w:sz="0" w:space="0" w:color="auto"/>
        <w:right w:val="none" w:sz="0" w:space="0" w:color="auto"/>
      </w:divBdr>
    </w:div>
    <w:div w:id="2131821053">
      <w:bodyDiv w:val="1"/>
      <w:marLeft w:val="0"/>
      <w:marRight w:val="0"/>
      <w:marTop w:val="0"/>
      <w:marBottom w:val="0"/>
      <w:divBdr>
        <w:top w:val="none" w:sz="0" w:space="0" w:color="auto"/>
        <w:left w:val="none" w:sz="0" w:space="0" w:color="auto"/>
        <w:bottom w:val="none" w:sz="0" w:space="0" w:color="auto"/>
        <w:right w:val="none" w:sz="0" w:space="0" w:color="auto"/>
      </w:divBdr>
    </w:div>
    <w:div w:id="2137406574">
      <w:bodyDiv w:val="1"/>
      <w:marLeft w:val="0"/>
      <w:marRight w:val="0"/>
      <w:marTop w:val="0"/>
      <w:marBottom w:val="0"/>
      <w:divBdr>
        <w:top w:val="none" w:sz="0" w:space="0" w:color="auto"/>
        <w:left w:val="none" w:sz="0" w:space="0" w:color="auto"/>
        <w:bottom w:val="none" w:sz="0" w:space="0" w:color="auto"/>
        <w:right w:val="none" w:sz="0" w:space="0" w:color="auto"/>
      </w:divBdr>
    </w:div>
    <w:div w:id="21468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192.168.1.50\Archivio\STAMPA%20&amp;%20COMUNICAZIONE\LISTINI%20TURISTICI\LISTINO%20TURISTICO%202021\Osservatorio\ufficiostampa@fimaa.i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yperlink" Target="mailto:ufficiostampa@nomisma.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omsrv\nomisma\BU\OMI\05-COMUNE\07%20BANCA%20DATI\NOMISMA\Rapporti%20quadrimestrali%20-%20Dati%20e%20grafici\2021-2%20Luglio\Introduzione%20-%20Grafici\0%20Overview\Grafici%20per%20Overview.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omsrv\nomisma\BU\OMI\05-COMUNE\07%20BANCA%20DATI\NOMISMA\Rapporti%20quadrimestrali%20-%20Dati%20e%20grafici\2021-2%20Luglio\Introduzione%20-%20Grafici\0%20Overview\Grafici%20per%20Overview.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Pagninif\Desktop\Grafici%20per%20Overview%20(JM).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oleObject" Target="file:///\\domsrv\nomisma\POOL\Barbara%20Da%20Rin\02%20%20PROGETTI%20IN%20CORSO\Osservatorio%20turistico%202021\Prezzi%20e%20canoni%20202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omsrv\nomisma\POOL\Barbara%20Da%20Rin\02%20%20PROGETTI%20IN%20CORSO\Osservatorio%20turistico%202021\Prezzi%20e%20canoni%20202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omsrv\nomisma\POOL\Barbara%20Da%20Rin\02%20%20PROGETTI%20IN%20CORSO\Osservatorio%20turistico%202021\Prezzi%20e%20canoni%20202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6271994470442088"/>
          <c:y val="0"/>
          <c:w val="0.32375860490748265"/>
          <c:h val="0.96947554282987358"/>
        </c:manualLayout>
      </c:layout>
      <c:barChart>
        <c:barDir val="bar"/>
        <c:grouping val="clustered"/>
        <c:varyColors val="0"/>
        <c:ser>
          <c:idx val="0"/>
          <c:order val="0"/>
          <c:spPr>
            <a:solidFill>
              <a:schemeClr val="accent5"/>
            </a:solidFill>
            <a:ln>
              <a:noFill/>
            </a:ln>
            <a:effectLst/>
          </c:spPr>
          <c:invertIfNegative val="0"/>
          <c:dLbls>
            <c:dLbl>
              <c:idx val="0"/>
              <c:layout>
                <c:manualLayout>
                  <c:x val="0"/>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2BF-47A5-A0D2-F731C1D254A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'Figura 2'!$B$6:$B$11</c:f>
              <c:strCache>
                <c:ptCount val="6"/>
                <c:pt idx="0">
                  <c:v>Elettrodomestici</c:v>
                </c:pt>
                <c:pt idx="1">
                  <c:v>Abbonamenti a Internet </c:v>
                </c:pt>
                <c:pt idx="2">
                  <c:v>Abbonamenti a piattaforme digitali </c:v>
                </c:pt>
                <c:pt idx="3">
                  <c:v>Mobili e oggetti di arredamento</c:v>
                </c:pt>
                <c:pt idx="4">
                  <c:v>Computer </c:v>
                </c:pt>
                <c:pt idx="5">
                  <c:v>Riconfigurazione degli spazi interni all’abitazione</c:v>
                </c:pt>
              </c:strCache>
            </c:strRef>
          </c:cat>
          <c:val>
            <c:numRef>
              <c:f>'Figura 2'!$E$6:$E$11</c:f>
              <c:numCache>
                <c:formatCode>###0.0%</c:formatCode>
                <c:ptCount val="6"/>
                <c:pt idx="0">
                  <c:v>0.45757848188699496</c:v>
                </c:pt>
                <c:pt idx="1">
                  <c:v>0.32839837405613531</c:v>
                </c:pt>
                <c:pt idx="2">
                  <c:v>0.30582963385955392</c:v>
                </c:pt>
                <c:pt idx="3">
                  <c:v>0.24276742619671507</c:v>
                </c:pt>
                <c:pt idx="4">
                  <c:v>0.21951377826714252</c:v>
                </c:pt>
                <c:pt idx="5">
                  <c:v>0.10967591506464122</c:v>
                </c:pt>
              </c:numCache>
            </c:numRef>
          </c:val>
          <c:extLst xmlns:c16r2="http://schemas.microsoft.com/office/drawing/2015/06/chart">
            <c:ext xmlns:c16="http://schemas.microsoft.com/office/drawing/2014/chart" uri="{C3380CC4-5D6E-409C-BE32-E72D297353CC}">
              <c16:uniqueId val="{00000001-C2BF-47A5-A0D2-F731C1D254AC}"/>
            </c:ext>
          </c:extLst>
        </c:ser>
        <c:dLbls>
          <c:showLegendKey val="0"/>
          <c:showVal val="0"/>
          <c:showCatName val="0"/>
          <c:showSerName val="0"/>
          <c:showPercent val="0"/>
          <c:showBubbleSize val="0"/>
        </c:dLbls>
        <c:gapWidth val="182"/>
        <c:axId val="488410240"/>
        <c:axId val="488410632"/>
      </c:barChart>
      <c:catAx>
        <c:axId val="488410240"/>
        <c:scaling>
          <c:orientation val="maxMin"/>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crossAx val="488410632"/>
        <c:crosses val="autoZero"/>
        <c:auto val="1"/>
        <c:lblAlgn val="ctr"/>
        <c:lblOffset val="100"/>
        <c:noMultiLvlLbl val="0"/>
      </c:catAx>
      <c:valAx>
        <c:axId val="488410632"/>
        <c:scaling>
          <c:orientation val="minMax"/>
        </c:scaling>
        <c:delete val="1"/>
        <c:axPos val="t"/>
        <c:numFmt formatCode="0%" sourceLinked="0"/>
        <c:majorTickMark val="none"/>
        <c:minorTickMark val="none"/>
        <c:tickLblPos val="nextTo"/>
        <c:crossAx val="48841024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606432107378988E-2"/>
          <c:y val="3.4679542898046832E-2"/>
          <c:w val="0.8833351274128709"/>
          <c:h val="0.86342583185166366"/>
        </c:manualLayout>
      </c:layout>
      <c:barChart>
        <c:barDir val="col"/>
        <c:grouping val="stacked"/>
        <c:varyColors val="0"/>
        <c:ser>
          <c:idx val="1"/>
          <c:order val="0"/>
          <c:tx>
            <c:strRef>
              <c:f>'fig. 3 - mutui'!$B$2</c:f>
              <c:strCache>
                <c:ptCount val="1"/>
                <c:pt idx="0">
                  <c:v>Q1</c:v>
                </c:pt>
              </c:strCache>
            </c:strRef>
          </c:tx>
          <c:spPr>
            <a:solidFill>
              <a:schemeClr val="accent1">
                <a:shade val="76000"/>
              </a:schemeClr>
            </a:solidFill>
            <a:ln>
              <a:noFill/>
            </a:ln>
            <a:effectLst/>
          </c:spPr>
          <c:invertIfNegative val="0"/>
          <c:dLbls>
            <c:dLbl>
              <c:idx val="14"/>
              <c:layout>
                <c:manualLayout>
                  <c:x val="0"/>
                  <c:y val="-0.137254901960784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678-40F7-92DF-74002B7CB27C}"/>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Calibri"/>
                    <a:ea typeface="Calibri"/>
                    <a:cs typeface="Calibri"/>
                  </a:defRPr>
                </a:pPr>
                <a:endParaRPr lang="it-IT"/>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'fig. 3 - mutui'!$A$3:$A$17</c:f>
              <c:strCache>
                <c:ptCount val="15"/>
                <c:pt idx="0">
                  <c:v>07</c:v>
                </c:pt>
                <c:pt idx="1">
                  <c:v>08</c:v>
                </c:pt>
                <c:pt idx="2">
                  <c:v>09</c:v>
                </c:pt>
                <c:pt idx="3">
                  <c:v>10</c:v>
                </c:pt>
                <c:pt idx="4">
                  <c:v>11</c:v>
                </c:pt>
                <c:pt idx="5">
                  <c:v>12</c:v>
                </c:pt>
                <c:pt idx="6">
                  <c:v>13</c:v>
                </c:pt>
                <c:pt idx="7">
                  <c:v>14</c:v>
                </c:pt>
                <c:pt idx="8">
                  <c:v>15</c:v>
                </c:pt>
                <c:pt idx="9">
                  <c:v>16</c:v>
                </c:pt>
                <c:pt idx="10">
                  <c:v>17</c:v>
                </c:pt>
                <c:pt idx="11">
                  <c:v>18</c:v>
                </c:pt>
                <c:pt idx="12">
                  <c:v>19</c:v>
                </c:pt>
                <c:pt idx="13">
                  <c:v>20</c:v>
                </c:pt>
                <c:pt idx="14">
                  <c:v>21</c:v>
                </c:pt>
              </c:strCache>
            </c:strRef>
          </c:cat>
          <c:val>
            <c:numRef>
              <c:f>'fig. 3 - mutui'!$B$3:$B$17</c:f>
              <c:numCache>
                <c:formatCode>#,##0</c:formatCode>
                <c:ptCount val="15"/>
                <c:pt idx="0">
                  <c:v>14213.505999999999</c:v>
                </c:pt>
                <c:pt idx="1">
                  <c:v>14225.862999999999</c:v>
                </c:pt>
                <c:pt idx="2">
                  <c:v>11095.094999999999</c:v>
                </c:pt>
                <c:pt idx="3">
                  <c:v>13331.646000000001</c:v>
                </c:pt>
                <c:pt idx="4">
                  <c:v>13518.316999999999</c:v>
                </c:pt>
                <c:pt idx="5">
                  <c:v>6243.7049999999999</c:v>
                </c:pt>
                <c:pt idx="6">
                  <c:v>4949.9709999999995</c:v>
                </c:pt>
                <c:pt idx="7">
                  <c:v>5237.7610000000004</c:v>
                </c:pt>
                <c:pt idx="8">
                  <c:v>7098.34</c:v>
                </c:pt>
                <c:pt idx="9">
                  <c:v>11030.977000000001</c:v>
                </c:pt>
                <c:pt idx="10">
                  <c:v>11776.324000000001</c:v>
                </c:pt>
                <c:pt idx="11">
                  <c:v>10947.584999999999</c:v>
                </c:pt>
                <c:pt idx="12">
                  <c:v>11222.611000000001</c:v>
                </c:pt>
                <c:pt idx="13">
                  <c:v>11397.675999999999</c:v>
                </c:pt>
                <c:pt idx="14">
                  <c:v>14722.433000000001</c:v>
                </c:pt>
              </c:numCache>
            </c:numRef>
          </c:val>
          <c:extLst xmlns:c16r2="http://schemas.microsoft.com/office/drawing/2015/06/chart">
            <c:ext xmlns:c16="http://schemas.microsoft.com/office/drawing/2014/chart" uri="{C3380CC4-5D6E-409C-BE32-E72D297353CC}">
              <c16:uniqueId val="{00000001-E678-40F7-92DF-74002B7CB27C}"/>
            </c:ext>
          </c:extLst>
        </c:ser>
        <c:ser>
          <c:idx val="2"/>
          <c:order val="1"/>
          <c:tx>
            <c:strRef>
              <c:f>'fig. 3 - mutui'!$C$2</c:f>
              <c:strCache>
                <c:ptCount val="1"/>
                <c:pt idx="0">
                  <c:v>Q2</c:v>
                </c:pt>
              </c:strCache>
            </c:strRef>
          </c:tx>
          <c:spPr>
            <a:solidFill>
              <a:srgbClr val="00B0F0"/>
            </a:solidFill>
            <a:ln>
              <a:noFill/>
            </a:ln>
            <a:effectLst/>
          </c:spPr>
          <c:invertIfNegative val="0"/>
          <c:dLbls>
            <c:delete val="1"/>
          </c:dLbls>
          <c:cat>
            <c:strRef>
              <c:f>'fig. 3 - mutui'!$A$3:$A$17</c:f>
              <c:strCache>
                <c:ptCount val="15"/>
                <c:pt idx="0">
                  <c:v>07</c:v>
                </c:pt>
                <c:pt idx="1">
                  <c:v>08</c:v>
                </c:pt>
                <c:pt idx="2">
                  <c:v>09</c:v>
                </c:pt>
                <c:pt idx="3">
                  <c:v>10</c:v>
                </c:pt>
                <c:pt idx="4">
                  <c:v>11</c:v>
                </c:pt>
                <c:pt idx="5">
                  <c:v>12</c:v>
                </c:pt>
                <c:pt idx="6">
                  <c:v>13</c:v>
                </c:pt>
                <c:pt idx="7">
                  <c:v>14</c:v>
                </c:pt>
                <c:pt idx="8">
                  <c:v>15</c:v>
                </c:pt>
                <c:pt idx="9">
                  <c:v>16</c:v>
                </c:pt>
                <c:pt idx="10">
                  <c:v>17</c:v>
                </c:pt>
                <c:pt idx="11">
                  <c:v>18</c:v>
                </c:pt>
                <c:pt idx="12">
                  <c:v>19</c:v>
                </c:pt>
                <c:pt idx="13">
                  <c:v>20</c:v>
                </c:pt>
                <c:pt idx="14">
                  <c:v>21</c:v>
                </c:pt>
              </c:strCache>
            </c:strRef>
          </c:cat>
          <c:val>
            <c:numRef>
              <c:f>'fig. 3 - mutui'!$C$3:$C$17</c:f>
              <c:numCache>
                <c:formatCode>#,##0</c:formatCode>
                <c:ptCount val="15"/>
                <c:pt idx="0">
                  <c:v>16711.678</c:v>
                </c:pt>
                <c:pt idx="1">
                  <c:v>15029.852999999999</c:v>
                </c:pt>
                <c:pt idx="2">
                  <c:v>13135.883</c:v>
                </c:pt>
                <c:pt idx="3">
                  <c:v>15052.55</c:v>
                </c:pt>
                <c:pt idx="4">
                  <c:v>14220.847</c:v>
                </c:pt>
                <c:pt idx="5">
                  <c:v>6939.6689999999999</c:v>
                </c:pt>
                <c:pt idx="6">
                  <c:v>5812.5339999999997</c:v>
                </c:pt>
                <c:pt idx="7">
                  <c:v>6078.7619999999997</c:v>
                </c:pt>
                <c:pt idx="8">
                  <c:v>10290.286</c:v>
                </c:pt>
                <c:pt idx="9">
                  <c:v>13223.414000000001</c:v>
                </c:pt>
                <c:pt idx="10">
                  <c:v>12770.983</c:v>
                </c:pt>
                <c:pt idx="11">
                  <c:v>13744.169</c:v>
                </c:pt>
                <c:pt idx="12">
                  <c:v>11760.183000000001</c:v>
                </c:pt>
                <c:pt idx="13">
                  <c:v>11870.402</c:v>
                </c:pt>
              </c:numCache>
            </c:numRef>
          </c:val>
          <c:extLst xmlns:c16r2="http://schemas.microsoft.com/office/drawing/2015/06/chart">
            <c:ext xmlns:c16="http://schemas.microsoft.com/office/drawing/2014/chart" uri="{C3380CC4-5D6E-409C-BE32-E72D297353CC}">
              <c16:uniqueId val="{00000002-E678-40F7-92DF-74002B7CB27C}"/>
            </c:ext>
          </c:extLst>
        </c:ser>
        <c:ser>
          <c:idx val="3"/>
          <c:order val="2"/>
          <c:tx>
            <c:strRef>
              <c:f>'fig. 3 - mutui'!$D$2</c:f>
              <c:strCache>
                <c:ptCount val="1"/>
                <c:pt idx="0">
                  <c:v>Q3</c:v>
                </c:pt>
              </c:strCache>
            </c:strRef>
          </c:tx>
          <c:spPr>
            <a:solidFill>
              <a:schemeClr val="accent1">
                <a:tint val="77000"/>
              </a:schemeClr>
            </a:solidFill>
            <a:ln>
              <a:noFill/>
            </a:ln>
            <a:effectLst/>
          </c:spPr>
          <c:invertIfNegative val="0"/>
          <c:dLbls>
            <c:delete val="1"/>
          </c:dLbls>
          <c:cat>
            <c:strRef>
              <c:f>'fig. 3 - mutui'!$A$3:$A$17</c:f>
              <c:strCache>
                <c:ptCount val="15"/>
                <c:pt idx="0">
                  <c:v>07</c:v>
                </c:pt>
                <c:pt idx="1">
                  <c:v>08</c:v>
                </c:pt>
                <c:pt idx="2">
                  <c:v>09</c:v>
                </c:pt>
                <c:pt idx="3">
                  <c:v>10</c:v>
                </c:pt>
                <c:pt idx="4">
                  <c:v>11</c:v>
                </c:pt>
                <c:pt idx="5">
                  <c:v>12</c:v>
                </c:pt>
                <c:pt idx="6">
                  <c:v>13</c:v>
                </c:pt>
                <c:pt idx="7">
                  <c:v>14</c:v>
                </c:pt>
                <c:pt idx="8">
                  <c:v>15</c:v>
                </c:pt>
                <c:pt idx="9">
                  <c:v>16</c:v>
                </c:pt>
                <c:pt idx="10">
                  <c:v>17</c:v>
                </c:pt>
                <c:pt idx="11">
                  <c:v>18</c:v>
                </c:pt>
                <c:pt idx="12">
                  <c:v>19</c:v>
                </c:pt>
                <c:pt idx="13">
                  <c:v>20</c:v>
                </c:pt>
                <c:pt idx="14">
                  <c:v>21</c:v>
                </c:pt>
              </c:strCache>
            </c:strRef>
          </c:cat>
          <c:val>
            <c:numRef>
              <c:f>'fig. 3 - mutui'!$D$3:$D$17</c:f>
              <c:numCache>
                <c:formatCode>#,##0</c:formatCode>
                <c:ptCount val="15"/>
                <c:pt idx="0">
                  <c:v>14023.517</c:v>
                </c:pt>
                <c:pt idx="1">
                  <c:v>12605.619000000001</c:v>
                </c:pt>
                <c:pt idx="2">
                  <c:v>11414.467000000001</c:v>
                </c:pt>
                <c:pt idx="3">
                  <c:v>12344.434999999999</c:v>
                </c:pt>
                <c:pt idx="4">
                  <c:v>10364.198</c:v>
                </c:pt>
                <c:pt idx="5">
                  <c:v>5331.5320000000002</c:v>
                </c:pt>
                <c:pt idx="6">
                  <c:v>4966.2160000000003</c:v>
                </c:pt>
                <c:pt idx="7">
                  <c:v>5746.1679999999997</c:v>
                </c:pt>
                <c:pt idx="8">
                  <c:v>10781.483</c:v>
                </c:pt>
                <c:pt idx="9">
                  <c:v>11453.303</c:v>
                </c:pt>
                <c:pt idx="10">
                  <c:v>10733.218000000001</c:v>
                </c:pt>
                <c:pt idx="11">
                  <c:v>11805.862999999999</c:v>
                </c:pt>
                <c:pt idx="12">
                  <c:v>10621.423000000001</c:v>
                </c:pt>
                <c:pt idx="13">
                  <c:v>11761.046</c:v>
                </c:pt>
              </c:numCache>
            </c:numRef>
          </c:val>
          <c:extLst xmlns:c16r2="http://schemas.microsoft.com/office/drawing/2015/06/chart">
            <c:ext xmlns:c16="http://schemas.microsoft.com/office/drawing/2014/chart" uri="{C3380CC4-5D6E-409C-BE32-E72D297353CC}">
              <c16:uniqueId val="{00000003-E678-40F7-92DF-74002B7CB27C}"/>
            </c:ext>
          </c:extLst>
        </c:ser>
        <c:ser>
          <c:idx val="4"/>
          <c:order val="3"/>
          <c:tx>
            <c:strRef>
              <c:f>'fig. 3 - mutui'!$E$2</c:f>
              <c:strCache>
                <c:ptCount val="1"/>
                <c:pt idx="0">
                  <c:v>Q4</c:v>
                </c:pt>
              </c:strCache>
            </c:strRef>
          </c:tx>
          <c:spPr>
            <a:solidFill>
              <a:schemeClr val="tx2">
                <a:lumMod val="20000"/>
                <a:lumOff val="80000"/>
              </a:schemeClr>
            </a:solidFill>
            <a:ln>
              <a:noFill/>
            </a:ln>
            <a:effectLst/>
          </c:spPr>
          <c:invertIfNegative val="0"/>
          <c:dLbls>
            <c:dLbl>
              <c:idx val="0"/>
              <c:layout>
                <c:manualLayout>
                  <c:x val="0"/>
                  <c:y val="-0.15196078431372551"/>
                </c:manualLayout>
              </c:layout>
              <c:tx>
                <c:rich>
                  <a:bodyPr/>
                  <a:lstStyle/>
                  <a:p>
                    <a:fld id="{B1F9E1DF-CECB-4E77-A025-00BB60181E96}"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E678-40F7-92DF-74002B7CB27C}"/>
                </c:ext>
                <c:ext xmlns:c15="http://schemas.microsoft.com/office/drawing/2012/chart" uri="{CE6537A1-D6FC-4f65-9D91-7224C49458BB}">
                  <c15:layout/>
                  <c15:dlblFieldTable/>
                  <c15:showDataLabelsRange val="1"/>
                </c:ext>
              </c:extLst>
            </c:dLbl>
            <c:dLbl>
              <c:idx val="1"/>
              <c:layout>
                <c:manualLayout>
                  <c:x val="-3.0941977295440995E-17"/>
                  <c:y val="-0.13235294117647062"/>
                </c:manualLayout>
              </c:layout>
              <c:tx>
                <c:rich>
                  <a:bodyPr/>
                  <a:lstStyle/>
                  <a:p>
                    <a:fld id="{D858FE7E-D23C-419A-A12F-C58212057AAC}"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E678-40F7-92DF-74002B7CB27C}"/>
                </c:ext>
                <c:ext xmlns:c15="http://schemas.microsoft.com/office/drawing/2012/chart" uri="{CE6537A1-D6FC-4f65-9D91-7224C49458BB}">
                  <c15:layout/>
                  <c15:dlblFieldTable/>
                  <c15:showDataLabelsRange val="1"/>
                </c:ext>
              </c:extLst>
            </c:dLbl>
            <c:dLbl>
              <c:idx val="2"/>
              <c:layout>
                <c:manualLayout>
                  <c:x val="-3.0941977295440995E-17"/>
                  <c:y val="-0.11764705882352945"/>
                </c:manualLayout>
              </c:layout>
              <c:tx>
                <c:rich>
                  <a:bodyPr/>
                  <a:lstStyle/>
                  <a:p>
                    <a:fld id="{9C3D5C6A-AEA0-4F51-A0BC-698D8F15DA48}"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E678-40F7-92DF-74002B7CB27C}"/>
                </c:ext>
                <c:ext xmlns:c15="http://schemas.microsoft.com/office/drawing/2012/chart" uri="{CE6537A1-D6FC-4f65-9D91-7224C49458BB}">
                  <c15:layout/>
                  <c15:dlblFieldTable/>
                  <c15:showDataLabelsRange val="1"/>
                </c:ext>
              </c:extLst>
            </c:dLbl>
            <c:dLbl>
              <c:idx val="3"/>
              <c:layout>
                <c:manualLayout>
                  <c:x val="1.0126582278481013E-2"/>
                  <c:y val="-0.12745098039215685"/>
                </c:manualLayout>
              </c:layout>
              <c:tx>
                <c:rich>
                  <a:bodyPr/>
                  <a:lstStyle/>
                  <a:p>
                    <a:fld id="{B1B72808-98CC-4FDD-9E39-EEAB29214CD1}"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E678-40F7-92DF-74002B7CB27C}"/>
                </c:ext>
                <c:ext xmlns:c15="http://schemas.microsoft.com/office/drawing/2012/chart" uri="{CE6537A1-D6FC-4f65-9D91-7224C49458BB}">
                  <c15:layout/>
                  <c15:dlblFieldTable/>
                  <c15:showDataLabelsRange val="1"/>
                </c:ext>
              </c:extLst>
            </c:dLbl>
            <c:dLbl>
              <c:idx val="4"/>
              <c:layout>
                <c:manualLayout>
                  <c:x val="3.3755274261603376E-3"/>
                  <c:y val="-0.11274509803921573"/>
                </c:manualLayout>
              </c:layout>
              <c:tx>
                <c:rich>
                  <a:bodyPr/>
                  <a:lstStyle/>
                  <a:p>
                    <a:fld id="{953B468B-F702-437C-9635-A27648BD41E1}"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E678-40F7-92DF-74002B7CB27C}"/>
                </c:ext>
                <c:ext xmlns:c15="http://schemas.microsoft.com/office/drawing/2012/chart" uri="{CE6537A1-D6FC-4f65-9D91-7224C49458BB}">
                  <c15:layout/>
                  <c15:dlblFieldTable/>
                  <c15:showDataLabelsRange val="1"/>
                </c:ext>
              </c:extLst>
            </c:dLbl>
            <c:dLbl>
              <c:idx val="5"/>
              <c:layout>
                <c:manualLayout>
                  <c:x val="0"/>
                  <c:y val="-9.3137254901960786E-2"/>
                </c:manualLayout>
              </c:layout>
              <c:tx>
                <c:rich>
                  <a:bodyPr/>
                  <a:lstStyle/>
                  <a:p>
                    <a:fld id="{94CEC9B1-5604-4FE1-BA85-475928598D65}"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E678-40F7-92DF-74002B7CB27C}"/>
                </c:ext>
                <c:ext xmlns:c15="http://schemas.microsoft.com/office/drawing/2012/chart" uri="{CE6537A1-D6FC-4f65-9D91-7224C49458BB}">
                  <c15:layout/>
                  <c15:dlblFieldTable/>
                  <c15:showDataLabelsRange val="1"/>
                </c:ext>
              </c:extLst>
            </c:dLbl>
            <c:dLbl>
              <c:idx val="6"/>
              <c:layout>
                <c:manualLayout>
                  <c:x val="6.188395459088199E-17"/>
                  <c:y val="-8.8235294117647065E-2"/>
                </c:manualLayout>
              </c:layout>
              <c:tx>
                <c:rich>
                  <a:bodyPr/>
                  <a:lstStyle/>
                  <a:p>
                    <a:fld id="{65850732-12EF-432A-9CF3-3652DEEF7298}"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E678-40F7-92DF-74002B7CB27C}"/>
                </c:ext>
                <c:ext xmlns:c15="http://schemas.microsoft.com/office/drawing/2012/chart" uri="{CE6537A1-D6FC-4f65-9D91-7224C49458BB}">
                  <c15:layout/>
                  <c15:dlblFieldTable/>
                  <c15:showDataLabelsRange val="1"/>
                </c:ext>
              </c:extLst>
            </c:dLbl>
            <c:dLbl>
              <c:idx val="7"/>
              <c:layout>
                <c:manualLayout>
                  <c:x val="-6.188395459088199E-17"/>
                  <c:y val="-9.8039215686274508E-2"/>
                </c:manualLayout>
              </c:layout>
              <c:tx>
                <c:rich>
                  <a:bodyPr/>
                  <a:lstStyle/>
                  <a:p>
                    <a:fld id="{13F3FFDD-DDA5-4DE0-A931-E3889CA74F55}"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E678-40F7-92DF-74002B7CB27C}"/>
                </c:ext>
                <c:ext xmlns:c15="http://schemas.microsoft.com/office/drawing/2012/chart" uri="{CE6537A1-D6FC-4f65-9D91-7224C49458BB}">
                  <c15:layout/>
                  <c15:dlblFieldTable/>
                  <c15:showDataLabelsRange val="1"/>
                </c:ext>
              </c:extLst>
            </c:dLbl>
            <c:dLbl>
              <c:idx val="8"/>
              <c:layout>
                <c:manualLayout>
                  <c:x val="0"/>
                  <c:y val="-0.11764705882352937"/>
                </c:manualLayout>
              </c:layout>
              <c:tx>
                <c:rich>
                  <a:bodyPr/>
                  <a:lstStyle/>
                  <a:p>
                    <a:fld id="{1DD9A558-6526-43B0-9D03-131FC8C1F236}"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E678-40F7-92DF-74002B7CB27C}"/>
                </c:ext>
                <c:ext xmlns:c15="http://schemas.microsoft.com/office/drawing/2012/chart" uri="{CE6537A1-D6FC-4f65-9D91-7224C49458BB}">
                  <c15:layout/>
                  <c15:dlblFieldTable/>
                  <c15:showDataLabelsRange val="1"/>
                </c:ext>
              </c:extLst>
            </c:dLbl>
            <c:dLbl>
              <c:idx val="9"/>
              <c:layout>
                <c:manualLayout>
                  <c:x val="-3.3755274261603376E-3"/>
                  <c:y val="-0.10294117647058823"/>
                </c:manualLayout>
              </c:layout>
              <c:tx>
                <c:rich>
                  <a:bodyPr/>
                  <a:lstStyle/>
                  <a:p>
                    <a:fld id="{2288CA83-CBB2-4EFA-B996-EB26BE2AA8D1}"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E678-40F7-92DF-74002B7CB27C}"/>
                </c:ext>
                <c:ext xmlns:c15="http://schemas.microsoft.com/office/drawing/2012/chart" uri="{CE6537A1-D6FC-4f65-9D91-7224C49458BB}">
                  <c15:layout/>
                  <c15:dlblFieldTable/>
                  <c15:showDataLabelsRange val="1"/>
                </c:ext>
              </c:extLst>
            </c:dLbl>
            <c:dLbl>
              <c:idx val="10"/>
              <c:layout>
                <c:manualLayout>
                  <c:x val="0"/>
                  <c:y val="-0.11764705882352941"/>
                </c:manualLayout>
              </c:layout>
              <c:tx>
                <c:rich>
                  <a:bodyPr/>
                  <a:lstStyle/>
                  <a:p>
                    <a:fld id="{48B4BDED-FB98-4FE2-A565-6AE7EFBBC28C}"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E678-40F7-92DF-74002B7CB27C}"/>
                </c:ext>
                <c:ext xmlns:c15="http://schemas.microsoft.com/office/drawing/2012/chart" uri="{CE6537A1-D6FC-4f65-9D91-7224C49458BB}">
                  <c15:layout/>
                  <c15:dlblFieldTable/>
                  <c15:showDataLabelsRange val="1"/>
                </c:ext>
              </c:extLst>
            </c:dLbl>
            <c:dLbl>
              <c:idx val="11"/>
              <c:layout>
                <c:manualLayout>
                  <c:x val="-3.3755274261603376E-3"/>
                  <c:y val="-0.13235294117647065"/>
                </c:manualLayout>
              </c:layout>
              <c:tx>
                <c:rich>
                  <a:bodyPr/>
                  <a:lstStyle/>
                  <a:p>
                    <a:fld id="{A0A170E3-F52E-41F5-BC88-FE3245C5D70B}"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E678-40F7-92DF-74002B7CB27C}"/>
                </c:ext>
                <c:ext xmlns:c15="http://schemas.microsoft.com/office/drawing/2012/chart" uri="{CE6537A1-D6FC-4f65-9D91-7224C49458BB}">
                  <c15:layout/>
                  <c15:dlblFieldTable/>
                  <c15:showDataLabelsRange val="1"/>
                </c:ext>
              </c:extLst>
            </c:dLbl>
            <c:dLbl>
              <c:idx val="12"/>
              <c:layout>
                <c:manualLayout>
                  <c:x val="0"/>
                  <c:y val="-0.13235294117647059"/>
                </c:manualLayout>
              </c:layout>
              <c:tx>
                <c:rich>
                  <a:bodyPr/>
                  <a:lstStyle/>
                  <a:p>
                    <a:fld id="{6855D894-08E3-4416-8588-2D6F4BBB632F}"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E678-40F7-92DF-74002B7CB27C}"/>
                </c:ext>
                <c:ext xmlns:c15="http://schemas.microsoft.com/office/drawing/2012/chart" uri="{CE6537A1-D6FC-4f65-9D91-7224C49458BB}">
                  <c15:layout/>
                  <c15:dlblFieldTable/>
                  <c15:showDataLabelsRange val="1"/>
                </c:ext>
              </c:extLst>
            </c:dLbl>
            <c:dLbl>
              <c:idx val="13"/>
              <c:layout>
                <c:manualLayout>
                  <c:x val="-1.2376790918176398E-16"/>
                  <c:y val="-0.12745098039215691"/>
                </c:manualLayout>
              </c:layout>
              <c:tx>
                <c:rich>
                  <a:bodyPr/>
                  <a:lstStyle/>
                  <a:p>
                    <a:fld id="{DD246786-917B-4789-BE63-44FFFBC41061}" type="CELLRANGE">
                      <a:rPr lang="en-US"/>
                      <a:pPr/>
                      <a:t>[INTERVALLOCELLE]</a:t>
                    </a:fld>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1-E678-40F7-92DF-74002B7CB27C}"/>
                </c:ext>
                <c:ext xmlns:c15="http://schemas.microsoft.com/office/drawing/2012/chart" uri="{CE6537A1-D6FC-4f65-9D91-7224C49458BB}">
                  <c15:layout/>
                  <c15:dlblFieldTable/>
                  <c15:showDataLabelsRange val="1"/>
                </c:ext>
              </c:extLst>
            </c:dLbl>
            <c:dLbl>
              <c:idx val="14"/>
              <c:tx>
                <c:rich>
                  <a:bodyPr/>
                  <a:lstStyle/>
                  <a:p>
                    <a:endParaRPr lang="it-IT"/>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FBB1-4167-89FE-12F2D5B99E3B}"/>
                </c:ext>
                <c:ext xmlns:c15="http://schemas.microsoft.com/office/drawing/2012/chart" uri="{CE6537A1-D6FC-4f65-9D91-7224C49458BB}"/>
              </c:extLst>
            </c:dLbl>
            <c:numFmt formatCode="#,##0" sourceLinked="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Calibri"/>
                    <a:ea typeface="Calibri"/>
                    <a:cs typeface="Calibri"/>
                  </a:defRPr>
                </a:pPr>
                <a:endParaRPr lang="it-IT"/>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6350" cap="flat" cmpd="sng" algn="ctr">
                      <a:solidFill>
                        <a:schemeClr val="tx1"/>
                      </a:solidFill>
                      <a:prstDash val="solid"/>
                      <a:round/>
                    </a:ln>
                    <a:effectLst/>
                  </c:spPr>
                </c15:leaderLines>
              </c:ext>
            </c:extLst>
          </c:dLbls>
          <c:cat>
            <c:strRef>
              <c:f>'fig. 3 - mutui'!$A$3:$A$17</c:f>
              <c:strCache>
                <c:ptCount val="15"/>
                <c:pt idx="0">
                  <c:v>07</c:v>
                </c:pt>
                <c:pt idx="1">
                  <c:v>08</c:v>
                </c:pt>
                <c:pt idx="2">
                  <c:v>09</c:v>
                </c:pt>
                <c:pt idx="3">
                  <c:v>10</c:v>
                </c:pt>
                <c:pt idx="4">
                  <c:v>11</c:v>
                </c:pt>
                <c:pt idx="5">
                  <c:v>12</c:v>
                </c:pt>
                <c:pt idx="6">
                  <c:v>13</c:v>
                </c:pt>
                <c:pt idx="7">
                  <c:v>14</c:v>
                </c:pt>
                <c:pt idx="8">
                  <c:v>15</c:v>
                </c:pt>
                <c:pt idx="9">
                  <c:v>16</c:v>
                </c:pt>
                <c:pt idx="10">
                  <c:v>17</c:v>
                </c:pt>
                <c:pt idx="11">
                  <c:v>18</c:v>
                </c:pt>
                <c:pt idx="12">
                  <c:v>19</c:v>
                </c:pt>
                <c:pt idx="13">
                  <c:v>20</c:v>
                </c:pt>
                <c:pt idx="14">
                  <c:v>21</c:v>
                </c:pt>
              </c:strCache>
            </c:strRef>
          </c:cat>
          <c:val>
            <c:numRef>
              <c:f>'fig. 3 - mutui'!$E$3:$E$17</c:f>
              <c:numCache>
                <c:formatCode>#,##0</c:formatCode>
                <c:ptCount val="15"/>
                <c:pt idx="0">
                  <c:v>17809.267</c:v>
                </c:pt>
                <c:pt idx="1">
                  <c:v>15119.061</c:v>
                </c:pt>
                <c:pt idx="2">
                  <c:v>15401.42</c:v>
                </c:pt>
                <c:pt idx="3">
                  <c:v>14862.991</c:v>
                </c:pt>
                <c:pt idx="4">
                  <c:v>11016.366</c:v>
                </c:pt>
                <c:pt idx="5">
                  <c:v>6241.7629999999999</c:v>
                </c:pt>
                <c:pt idx="6">
                  <c:v>5663.8</c:v>
                </c:pt>
                <c:pt idx="7">
                  <c:v>7120.0469999999996</c:v>
                </c:pt>
                <c:pt idx="8">
                  <c:v>13077.061</c:v>
                </c:pt>
                <c:pt idx="9">
                  <c:v>13904.858</c:v>
                </c:pt>
                <c:pt idx="10">
                  <c:v>12318.924000000001</c:v>
                </c:pt>
                <c:pt idx="11">
                  <c:v>14010.531999999999</c:v>
                </c:pt>
                <c:pt idx="12">
                  <c:v>14408.896000000001</c:v>
                </c:pt>
                <c:pt idx="13">
                  <c:v>15484.897999999999</c:v>
                </c:pt>
              </c:numCache>
            </c:numRef>
          </c:val>
          <c:extLst xmlns:c16r2="http://schemas.microsoft.com/office/drawing/2015/06/chart">
            <c:ext xmlns:c16="http://schemas.microsoft.com/office/drawing/2014/chart" uri="{C3380CC4-5D6E-409C-BE32-E72D297353CC}">
              <c16:uniqueId val="{00000013-E678-40F7-92DF-74002B7CB27C}"/>
            </c:ext>
            <c:ext xmlns:c15="http://schemas.microsoft.com/office/drawing/2012/chart" uri="{02D57815-91ED-43cb-92C2-25804820EDAC}">
              <c15:datalabelsRange>
                <c15:f>'fig. 3 - mutui'!$J$3:$J$17</c15:f>
                <c15:dlblRangeCache>
                  <c:ptCount val="15"/>
                  <c:pt idx="0">
                    <c:v>63</c:v>
                  </c:pt>
                  <c:pt idx="1">
                    <c:v>57</c:v>
                  </c:pt>
                  <c:pt idx="2">
                    <c:v>51</c:v>
                  </c:pt>
                  <c:pt idx="3">
                    <c:v>56</c:v>
                  </c:pt>
                  <c:pt idx="4">
                    <c:v>49</c:v>
                  </c:pt>
                  <c:pt idx="5">
                    <c:v>25</c:v>
                  </c:pt>
                  <c:pt idx="6">
                    <c:v>21</c:v>
                  </c:pt>
                  <c:pt idx="7">
                    <c:v>24</c:v>
                  </c:pt>
                  <c:pt idx="8">
                    <c:v>41</c:v>
                  </c:pt>
                  <c:pt idx="9">
                    <c:v>50</c:v>
                  </c:pt>
                  <c:pt idx="10">
                    <c:v>48</c:v>
                  </c:pt>
                  <c:pt idx="11">
                    <c:v>51</c:v>
                  </c:pt>
                  <c:pt idx="12">
                    <c:v>48</c:v>
                  </c:pt>
                  <c:pt idx="13">
                    <c:v>51</c:v>
                  </c:pt>
                </c15:dlblRangeCache>
              </c15:datalabelsRange>
            </c:ext>
          </c:extLst>
        </c:ser>
        <c:dLbls>
          <c:showLegendKey val="0"/>
          <c:showVal val="1"/>
          <c:showCatName val="0"/>
          <c:showSerName val="0"/>
          <c:showPercent val="0"/>
          <c:showBubbleSize val="0"/>
        </c:dLbls>
        <c:gapWidth val="50"/>
        <c:overlap val="100"/>
        <c:axId val="488412200"/>
        <c:axId val="488412592"/>
      </c:barChart>
      <c:catAx>
        <c:axId val="488412200"/>
        <c:scaling>
          <c:orientation val="minMax"/>
        </c:scaling>
        <c:delete val="0"/>
        <c:axPos val="b"/>
        <c:numFmt formatCode="General" sourceLinked="1"/>
        <c:majorTickMark val="out"/>
        <c:minorTickMark val="none"/>
        <c:tickLblPos val="low"/>
        <c:spPr>
          <a:noFill/>
          <a:ln w="6350" cap="flat" cmpd="sng" algn="ctr">
            <a:solidFill>
              <a:schemeClr val="tx1"/>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Calibri"/>
                <a:ea typeface="Calibri"/>
                <a:cs typeface="Calibri"/>
              </a:defRPr>
            </a:pPr>
            <a:endParaRPr lang="it-IT"/>
          </a:p>
        </c:txPr>
        <c:crossAx val="488412592"/>
        <c:crosses val="autoZero"/>
        <c:auto val="0"/>
        <c:lblAlgn val="ctr"/>
        <c:lblOffset val="100"/>
        <c:noMultiLvlLbl val="0"/>
      </c:catAx>
      <c:valAx>
        <c:axId val="488412592"/>
        <c:scaling>
          <c:orientation val="minMax"/>
        </c:scaling>
        <c:delete val="0"/>
        <c:axPos val="l"/>
        <c:numFmt formatCode="#,##0" sourceLinked="0"/>
        <c:majorTickMark val="out"/>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Calibri"/>
                <a:ea typeface="Calibri"/>
                <a:cs typeface="Calibri"/>
              </a:defRPr>
            </a:pPr>
            <a:endParaRPr lang="it-IT"/>
          </a:p>
        </c:txPr>
        <c:crossAx val="488412200"/>
        <c:crosses val="autoZero"/>
        <c:crossBetween val="between"/>
        <c:dispUnits>
          <c:builtInUnit val="thousands"/>
        </c:dispUnits>
      </c:valAx>
      <c:spPr>
        <a:solidFill>
          <a:schemeClr val="bg1"/>
        </a:solidFill>
        <a:ln w="25400">
          <a:noFill/>
        </a:ln>
        <a:effectLst/>
      </c:spPr>
    </c:plotArea>
    <c:legend>
      <c:legendPos val="t"/>
      <c:layout>
        <c:manualLayout>
          <c:xMode val="edge"/>
          <c:yMode val="edge"/>
          <c:x val="0.41671823272505926"/>
          <c:y val="5.3921568627450983E-2"/>
          <c:w val="0.56676145858812943"/>
          <c:h val="8.8641732283464572E-2"/>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Calibri"/>
              <a:ea typeface="Calibri"/>
              <a:cs typeface="Calibri"/>
            </a:defRPr>
          </a:pPr>
          <a:endParaRPr lang="it-IT"/>
        </a:p>
      </c:txPr>
    </c:legend>
    <c:plotVisOnly val="1"/>
    <c:dispBlanksAs val="gap"/>
    <c:showDLblsOverMax val="0"/>
  </c:chart>
  <c:spPr>
    <a:solidFill>
      <a:schemeClr val="bg1"/>
    </a:solidFill>
    <a:ln w="6350" cap="flat" cmpd="sng" algn="ctr">
      <a:noFill/>
      <a:prstDash val="solid"/>
      <a:round/>
    </a:ln>
    <a:effectLst/>
  </c:spPr>
  <c:txPr>
    <a:bodyPr/>
    <a:lstStyle/>
    <a:p>
      <a:pPr>
        <a:defRPr sz="800" b="0" i="0" u="none" strike="noStrike" baseline="0">
          <a:solidFill>
            <a:srgbClr val="000000"/>
          </a:solidFill>
          <a:latin typeface="Calibri"/>
          <a:ea typeface="Calibri"/>
          <a:cs typeface="Calibri"/>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95156695156692"/>
          <c:y val="2.8571279872073998E-2"/>
          <c:w val="0.85808606657980702"/>
          <c:h val="0.86309922447539944"/>
        </c:manualLayout>
      </c:layout>
      <c:lineChart>
        <c:grouping val="standard"/>
        <c:varyColors val="0"/>
        <c:ser>
          <c:idx val="0"/>
          <c:order val="0"/>
          <c:tx>
            <c:strRef>
              <c:f>'fig. 5 - previsioni NTN'!$C$3</c:f>
              <c:strCache>
                <c:ptCount val="1"/>
                <c:pt idx="0">
                  <c:v>Scenario PRE-VIRUS</c:v>
                </c:pt>
              </c:strCache>
            </c:strRef>
          </c:tx>
          <c:spPr>
            <a:ln w="12700">
              <a:solidFill>
                <a:schemeClr val="tx1"/>
              </a:solidFill>
              <a:prstDash val="solid"/>
            </a:ln>
          </c:spPr>
          <c:marker>
            <c:symbol val="circle"/>
            <c:size val="2"/>
            <c:spPr>
              <a:solidFill>
                <a:schemeClr val="tx1"/>
              </a:solidFill>
              <a:ln w="12700">
                <a:solidFill>
                  <a:schemeClr val="tx1"/>
                </a:solidFill>
              </a:ln>
            </c:spPr>
          </c:marker>
          <c:dPt>
            <c:idx val="13"/>
            <c:bubble3D val="0"/>
            <c:extLst xmlns:c16r2="http://schemas.microsoft.com/office/drawing/2015/06/chart">
              <c:ext xmlns:c16="http://schemas.microsoft.com/office/drawing/2014/chart" uri="{C3380CC4-5D6E-409C-BE32-E72D297353CC}">
                <c16:uniqueId val="{00000000-46D2-4F27-A1B1-0467BE50F8AD}"/>
              </c:ext>
            </c:extLst>
          </c:dPt>
          <c:dPt>
            <c:idx val="20"/>
            <c:bubble3D val="0"/>
            <c:extLst xmlns:c16r2="http://schemas.microsoft.com/office/drawing/2015/06/chart">
              <c:ext xmlns:c16="http://schemas.microsoft.com/office/drawing/2014/chart" uri="{C3380CC4-5D6E-409C-BE32-E72D297353CC}">
                <c16:uniqueId val="{00000001-46D2-4F27-A1B1-0467BE50F8AD}"/>
              </c:ext>
            </c:extLst>
          </c:dPt>
          <c:dPt>
            <c:idx val="21"/>
            <c:marker>
              <c:spPr>
                <a:solidFill>
                  <a:schemeClr val="bg1">
                    <a:lumMod val="75000"/>
                  </a:schemeClr>
                </a:solidFill>
                <a:ln w="12700">
                  <a:solidFill>
                    <a:schemeClr val="tx1"/>
                  </a:solidFill>
                </a:ln>
              </c:spPr>
            </c:marker>
            <c:bubble3D val="0"/>
            <c:spPr>
              <a:ln w="12700">
                <a:solidFill>
                  <a:schemeClr val="bg1">
                    <a:lumMod val="75000"/>
                  </a:schemeClr>
                </a:solidFill>
                <a:prstDash val="solid"/>
              </a:ln>
            </c:spPr>
            <c:extLst xmlns:c16r2="http://schemas.microsoft.com/office/drawing/2015/06/chart">
              <c:ext xmlns:c16="http://schemas.microsoft.com/office/drawing/2014/chart" uri="{C3380CC4-5D6E-409C-BE32-E72D297353CC}">
                <c16:uniqueId val="{00000003-46D2-4F27-A1B1-0467BE50F8AD}"/>
              </c:ext>
            </c:extLst>
          </c:dPt>
          <c:dPt>
            <c:idx val="22"/>
            <c:marker>
              <c:spPr>
                <a:solidFill>
                  <a:schemeClr val="bg1">
                    <a:lumMod val="75000"/>
                  </a:schemeClr>
                </a:solidFill>
                <a:ln w="12700">
                  <a:solidFill>
                    <a:schemeClr val="bg1">
                      <a:lumMod val="75000"/>
                    </a:schemeClr>
                  </a:solidFill>
                </a:ln>
              </c:spPr>
            </c:marker>
            <c:bubble3D val="0"/>
            <c:spPr>
              <a:ln w="12700">
                <a:solidFill>
                  <a:schemeClr val="bg1">
                    <a:lumMod val="75000"/>
                  </a:schemeClr>
                </a:solidFill>
                <a:prstDash val="solid"/>
              </a:ln>
            </c:spPr>
            <c:extLst xmlns:c16r2="http://schemas.microsoft.com/office/drawing/2015/06/chart">
              <c:ext xmlns:c16="http://schemas.microsoft.com/office/drawing/2014/chart" uri="{C3380CC4-5D6E-409C-BE32-E72D297353CC}">
                <c16:uniqueId val="{00000005-46D2-4F27-A1B1-0467BE50F8AD}"/>
              </c:ext>
            </c:extLst>
          </c:dPt>
          <c:dLbls>
            <c:dLbl>
              <c:idx val="0"/>
              <c:layout>
                <c:manualLayout>
                  <c:x val="-3.3177326277986141E-2"/>
                  <c:y val="-4.4064575420901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6D2-4F27-A1B1-0467BE50F8AD}"/>
                </c:ext>
                <c:ext xmlns:c15="http://schemas.microsoft.com/office/drawing/2012/chart" uri="{CE6537A1-D6FC-4f65-9D91-7224C49458BB}">
                  <c15:layout/>
                </c:ext>
              </c:extLst>
            </c:dLbl>
            <c:dLbl>
              <c:idx val="1"/>
              <c:layout>
                <c:manualLayout>
                  <c:x val="-3.016120570726015E-2"/>
                  <c:y val="3.30484315656759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6D2-4F27-A1B1-0467BE50F8AD}"/>
                </c:ext>
                <c:ext xmlns:c15="http://schemas.microsoft.com/office/drawing/2012/chart" uri="{CE6537A1-D6FC-4f65-9D91-7224C49458BB}">
                  <c15:layout/>
                </c:ext>
              </c:extLst>
            </c:dLbl>
            <c:dLbl>
              <c:idx val="2"/>
              <c:layout>
                <c:manualLayout>
                  <c:x val="-6.9370645216110582E-2"/>
                  <c:y val="-5.768270944741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6D2-4F27-A1B1-0467BE50F8AD}"/>
                </c:ext>
                <c:ext xmlns:c15="http://schemas.microsoft.com/office/drawing/2012/chart" uri="{CE6537A1-D6FC-4f65-9D91-7224C49458BB}">
                  <c15:layout/>
                </c:ext>
              </c:extLst>
            </c:dLbl>
            <c:dLbl>
              <c:idx val="3"/>
              <c:layout>
                <c:manualLayout>
                  <c:x val="-6.0322411414520305E-3"/>
                  <c:y val="1.10161438552252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6D2-4F27-A1B1-0467BE50F8AD}"/>
                </c:ext>
                <c:ext xmlns:c15="http://schemas.microsoft.com/office/drawing/2012/chart" uri="{CE6537A1-D6FC-4f65-9D91-7224C49458BB}">
                  <c15:layout/>
                </c:ext>
              </c:extLst>
            </c:dLbl>
            <c:dLbl>
              <c:idx val="4"/>
              <c:layout>
                <c:manualLayout>
                  <c:x val="-9.6367756188749792E-2"/>
                  <c:y val="-3.56506238859180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6D2-4F27-A1B1-0467BE50F8AD}"/>
                </c:ext>
                <c:ext xmlns:c15="http://schemas.microsoft.com/office/drawing/2012/chart" uri="{CE6537A1-D6FC-4f65-9D91-7224C49458BB}">
                  <c15:layout/>
                </c:ext>
              </c:extLst>
            </c:dLbl>
            <c:dLbl>
              <c:idx val="5"/>
              <c:layout>
                <c:manualLayout>
                  <c:x val="-8.0743216450461675E-2"/>
                  <c:y val="-3.7914859573034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6D2-4F27-A1B1-0467BE50F8AD}"/>
                </c:ext>
                <c:ext xmlns:c15="http://schemas.microsoft.com/office/drawing/2012/chart" uri="{CE6537A1-D6FC-4f65-9D91-7224C49458BB}">
                  <c15:layout/>
                </c:ext>
              </c:extLst>
            </c:dLbl>
            <c:dLbl>
              <c:idx val="6"/>
              <c:layout>
                <c:manualLayout>
                  <c:x val="-5.4290170273068164E-2"/>
                  <c:y val="-4.4064575420901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6D2-4F27-A1B1-0467BE50F8AD}"/>
                </c:ext>
                <c:ext xmlns:c15="http://schemas.microsoft.com/office/drawing/2012/chart" uri="{CE6537A1-D6FC-4f65-9D91-7224C49458BB}">
                  <c15:layout/>
                </c:ext>
              </c:extLst>
            </c:dLbl>
            <c:dLbl>
              <c:idx val="8"/>
              <c:layout>
                <c:manualLayout>
                  <c:x val="-1.5080602853630045E-2"/>
                  <c:y val="-3.85565034932886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6D2-4F27-A1B1-0467BE50F8AD}"/>
                </c:ext>
                <c:ext xmlns:c15="http://schemas.microsoft.com/office/drawing/2012/chart" uri="{CE6537A1-D6FC-4f65-9D91-7224C49458BB}">
                  <c15:layout/>
                </c:ext>
              </c:extLst>
            </c:dLbl>
            <c:dLbl>
              <c:idx val="9"/>
              <c:layout>
                <c:manualLayout>
                  <c:x val="-5.4290170273068164E-2"/>
                  <c:y val="3.85565034932885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6D2-4F27-A1B1-0467BE50F8AD}"/>
                </c:ext>
                <c:ext xmlns:c15="http://schemas.microsoft.com/office/drawing/2012/chart" uri="{CE6537A1-D6FC-4f65-9D91-7224C49458BB}">
                  <c15:layout/>
                </c:ext>
              </c:extLst>
            </c:dLbl>
            <c:dLbl>
              <c:idx val="10"/>
              <c:layout>
                <c:manualLayout>
                  <c:x val="-2.4128964565808063E-2"/>
                  <c:y val="-4.40645754209013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6D2-4F27-A1B1-0467BE50F8AD}"/>
                </c:ext>
                <c:ext xmlns:c15="http://schemas.microsoft.com/office/drawing/2012/chart" uri="{CE6537A1-D6FC-4f65-9D91-7224C49458BB}">
                  <c15:layout/>
                </c:ext>
              </c:extLst>
            </c:dLbl>
            <c:dLbl>
              <c:idx val="12"/>
              <c:layout>
                <c:manualLayout>
                  <c:x val="-9.8147623633376757E-2"/>
                  <c:y val="-7.13012477718360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6D2-4F27-A1B1-0467BE50F8AD}"/>
                </c:ext>
                <c:ext xmlns:c15="http://schemas.microsoft.com/office/drawing/2012/chart" uri="{CE6537A1-D6FC-4f65-9D91-7224C49458BB}">
                  <c15:layout/>
                </c:ext>
              </c:extLst>
            </c:dLbl>
            <c:dLbl>
              <c:idx val="13"/>
              <c:layout>
                <c:manualLayout>
                  <c:x val="-5.4290170273068282E-2"/>
                  <c:y val="3.304843156567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6D2-4F27-A1B1-0467BE50F8AD}"/>
                </c:ext>
                <c:ext xmlns:c15="http://schemas.microsoft.com/office/drawing/2012/chart" uri="{CE6537A1-D6FC-4f65-9D91-7224C49458BB}">
                  <c15:layout/>
                </c:ext>
              </c:extLst>
            </c:dLbl>
            <c:dLbl>
              <c:idx val="14"/>
              <c:layout>
                <c:manualLayout>
                  <c:x val="-1.2064482282904146E-2"/>
                  <c:y val="2.20322877104507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6D2-4F27-A1B1-0467BE50F8AD}"/>
                </c:ext>
                <c:ext xmlns:c15="http://schemas.microsoft.com/office/drawing/2012/chart" uri="{CE6537A1-D6FC-4f65-9D91-7224C49458BB}">
                  <c15:layout/>
                </c:ext>
              </c:extLst>
            </c:dLbl>
            <c:dLbl>
              <c:idx val="15"/>
              <c:layout>
                <c:manualLayout>
                  <c:x val="-9.04836171217801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6D2-4F27-A1B1-0467BE50F8AD}"/>
                </c:ext>
                <c:ext xmlns:c15="http://schemas.microsoft.com/office/drawing/2012/chart" uri="{CE6537A1-D6FC-4f65-9D91-7224C49458BB}">
                  <c15:layout/>
                </c:ext>
              </c:extLst>
            </c:dLbl>
            <c:dLbl>
              <c:idx val="16"/>
              <c:layout>
                <c:manualLayout>
                  <c:x val="-0.10294378670292113"/>
                  <c:y val="-6.5358722094648088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6D2-4F27-A1B1-0467BE50F8AD}"/>
                </c:ext>
                <c:ext xmlns:c15="http://schemas.microsoft.com/office/drawing/2012/chart" uri="{CE6537A1-D6FC-4f65-9D91-7224C49458BB}">
                  <c15:layout/>
                </c:ext>
              </c:extLst>
            </c:dLbl>
            <c:dLbl>
              <c:idx val="17"/>
              <c:layout>
                <c:manualLayout>
                  <c:x val="-0.10596008232783852"/>
                  <c:y val="-4.11587856330792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6D2-4F27-A1B1-0467BE50F8AD}"/>
                </c:ext>
                <c:ext xmlns:c15="http://schemas.microsoft.com/office/drawing/2012/chart" uri="{CE6537A1-D6FC-4f65-9D91-7224C49458BB}">
                  <c15:layout/>
                </c:ext>
              </c:extLst>
            </c:dLbl>
            <c:dLbl>
              <c:idx val="18"/>
              <c:layout>
                <c:manualLayout>
                  <c:x val="-8.8555297494287949E-2"/>
                  <c:y val="-5.37970721574241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46D2-4F27-A1B1-0467BE50F8AD}"/>
                </c:ext>
                <c:ext xmlns:c15="http://schemas.microsoft.com/office/drawing/2012/chart" uri="{CE6537A1-D6FC-4f65-9D91-7224C49458BB}">
                  <c15:layout/>
                </c:ext>
              </c:extLst>
            </c:dLbl>
            <c:dLbl>
              <c:idx val="19"/>
              <c:layout>
                <c:manualLayout>
                  <c:x val="-4.5234245719546255E-2"/>
                  <c:y val="-4.40511253198151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46D2-4F27-A1B1-0467BE50F8AD}"/>
                </c:ext>
                <c:ext xmlns:c15="http://schemas.microsoft.com/office/drawing/2012/chart" uri="{CE6537A1-D6FC-4f65-9D91-7224C49458BB}">
                  <c15:layout/>
                </c:ext>
              </c:extLst>
            </c:dLbl>
            <c:dLbl>
              <c:idx val="20"/>
              <c:layout>
                <c:manualLayout>
                  <c:x val="-4.5369208906273516E-2"/>
                  <c:y val="4.42410440189679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6D2-4F27-A1B1-0467BE50F8AD}"/>
                </c:ext>
                <c:ext xmlns:c15="http://schemas.microsoft.com/office/drawing/2012/chart" uri="{CE6537A1-D6FC-4f65-9D91-7224C49458BB}">
                  <c15:layout/>
                </c:ext>
              </c:extLst>
            </c:dLbl>
            <c:dLbl>
              <c:idx val="21"/>
              <c:layout>
                <c:manualLayout>
                  <c:x val="-4.2344594979188702E-2"/>
                  <c:y val="-4.42410440189678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6D2-4F27-A1B1-0467BE50F8AD}"/>
                </c:ext>
                <c:ext xmlns:c15="http://schemas.microsoft.com/office/drawing/2012/chart" uri="{CE6537A1-D6FC-4f65-9D91-7224C49458BB}"/>
              </c:extLst>
            </c:dLbl>
            <c:dLbl>
              <c:idx val="22"/>
              <c:layout>
                <c:manualLayout>
                  <c:x val="-1.1090122951931288E-16"/>
                  <c:y val="-3.31807830142259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6D2-4F27-A1B1-0467BE50F8AD}"/>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700" b="0"/>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'fig. 5 - previsioni NTN'!$A$19:$A$42</c:f>
              <c:strCache>
                <c:ptCount val="24"/>
                <c:pt idx="0">
                  <c:v>00</c:v>
                </c:pt>
                <c:pt idx="1">
                  <c:v>01</c:v>
                </c:pt>
                <c:pt idx="2">
                  <c:v>02</c:v>
                </c:pt>
                <c:pt idx="3">
                  <c:v>03</c:v>
                </c:pt>
                <c:pt idx="4">
                  <c:v>04</c:v>
                </c:pt>
                <c:pt idx="5">
                  <c:v>05</c:v>
                </c:pt>
                <c:pt idx="6">
                  <c:v>06</c:v>
                </c:pt>
                <c:pt idx="7">
                  <c:v>07</c:v>
                </c:pt>
                <c:pt idx="8">
                  <c:v>08</c:v>
                </c:pt>
                <c:pt idx="9">
                  <c:v>09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strCache>
            </c:strRef>
          </c:cat>
          <c:val>
            <c:numRef>
              <c:f>'fig. 5 - previsioni NTN'!$C$19:$C$42</c:f>
              <c:numCache>
                <c:formatCode>#,##0</c:formatCode>
                <c:ptCount val="24"/>
                <c:pt idx="0">
                  <c:v>671113.39053970575</c:v>
                </c:pt>
                <c:pt idx="1">
                  <c:v>662157.96549398045</c:v>
                </c:pt>
                <c:pt idx="2">
                  <c:v>740165.02519508521</c:v>
                </c:pt>
                <c:pt idx="3">
                  <c:v>740712.91603942181</c:v>
                </c:pt>
                <c:pt idx="4">
                  <c:v>804814.00652656285</c:v>
                </c:pt>
                <c:pt idx="5">
                  <c:v>834395.27639800566</c:v>
                </c:pt>
                <c:pt idx="6">
                  <c:v>844971.33662849013</c:v>
                </c:pt>
                <c:pt idx="7">
                  <c:v>786165.26346712734</c:v>
                </c:pt>
                <c:pt idx="8">
                  <c:v>664862.98185573099</c:v>
                </c:pt>
                <c:pt idx="9">
                  <c:v>592365.96873233956</c:v>
                </c:pt>
                <c:pt idx="10">
                  <c:v>594750.73227682663</c:v>
                </c:pt>
                <c:pt idx="11">
                  <c:v>575797.09999999986</c:v>
                </c:pt>
                <c:pt idx="12">
                  <c:v>427566.36</c:v>
                </c:pt>
                <c:pt idx="13">
                  <c:v>389447.9</c:v>
                </c:pt>
                <c:pt idx="14">
                  <c:v>405721.51999999984</c:v>
                </c:pt>
                <c:pt idx="15">
                  <c:v>435931.24999999994</c:v>
                </c:pt>
                <c:pt idx="16">
                  <c:v>517184.41000000003</c:v>
                </c:pt>
                <c:pt idx="17">
                  <c:v>543187.67999999993</c:v>
                </c:pt>
                <c:pt idx="18">
                  <c:v>579207.16999999969</c:v>
                </c:pt>
                <c:pt idx="19">
                  <c:v>604167.76999999979</c:v>
                </c:pt>
                <c:pt idx="20">
                  <c:v>557926.31000000017</c:v>
                </c:pt>
              </c:numCache>
            </c:numRef>
          </c:val>
          <c:smooth val="1"/>
          <c:extLst xmlns:c16r2="http://schemas.microsoft.com/office/drawing/2015/06/chart">
            <c:ext xmlns:c16="http://schemas.microsoft.com/office/drawing/2014/chart" uri="{C3380CC4-5D6E-409C-BE32-E72D297353CC}">
              <c16:uniqueId val="{00000017-46D2-4F27-A1B1-0467BE50F8AD}"/>
            </c:ext>
          </c:extLst>
        </c:ser>
        <c:ser>
          <c:idx val="1"/>
          <c:order val="1"/>
          <c:tx>
            <c:strRef>
              <c:f>'fig. 5 - previsioni NTN'!$D$3</c:f>
              <c:strCache>
                <c:ptCount val="1"/>
                <c:pt idx="0">
                  <c:v>Scenario BASE</c:v>
                </c:pt>
              </c:strCache>
              <c:extLst xmlns:c15="http://schemas.microsoft.com/office/drawing/2012/chart" xmlns:c16r2="http://schemas.microsoft.com/office/drawing/2015/06/chart"/>
            </c:strRef>
          </c:tx>
          <c:spPr>
            <a:ln w="19050">
              <a:solidFill>
                <a:schemeClr val="accent1"/>
              </a:solidFill>
              <a:prstDash val="sysDash"/>
            </a:ln>
          </c:spPr>
          <c:marker>
            <c:symbol val="circle"/>
            <c:size val="2"/>
            <c:spPr>
              <a:solidFill>
                <a:srgbClr val="00B0F0"/>
              </a:solidFill>
              <a:ln w="19050">
                <a:solidFill>
                  <a:srgbClr val="00B0F0"/>
                </a:solidFill>
              </a:ln>
            </c:spPr>
          </c:marker>
          <c:dPt>
            <c:idx val="11"/>
            <c:marker>
              <c:symbol val="none"/>
            </c:marker>
            <c:bubble3D val="0"/>
            <c:extLst xmlns:c15="http://schemas.microsoft.com/office/drawing/2012/chart" xmlns:c16r2="http://schemas.microsoft.com/office/drawing/2015/06/chart">
              <c:ext xmlns:c16="http://schemas.microsoft.com/office/drawing/2014/chart" uri="{C3380CC4-5D6E-409C-BE32-E72D297353CC}">
                <c16:uniqueId val="{00000018-46D2-4F27-A1B1-0467BE50F8AD}"/>
              </c:ext>
            </c:extLst>
          </c:dPt>
          <c:dPt>
            <c:idx val="12"/>
            <c:bubble3D val="0"/>
            <c:extLst xmlns:c15="http://schemas.microsoft.com/office/drawing/2012/chart" xmlns:c16r2="http://schemas.microsoft.com/office/drawing/2015/06/chart">
              <c:ext xmlns:c16="http://schemas.microsoft.com/office/drawing/2014/chart" uri="{C3380CC4-5D6E-409C-BE32-E72D297353CC}">
                <c16:uniqueId val="{00000019-46D2-4F27-A1B1-0467BE50F8AD}"/>
              </c:ext>
            </c:extLst>
          </c:dPt>
          <c:dPt>
            <c:idx val="13"/>
            <c:bubble3D val="0"/>
            <c:extLst xmlns:c15="http://schemas.microsoft.com/office/drawing/2012/chart" xmlns:c16r2="http://schemas.microsoft.com/office/drawing/2015/06/chart">
              <c:ext xmlns:c16="http://schemas.microsoft.com/office/drawing/2014/chart" uri="{C3380CC4-5D6E-409C-BE32-E72D297353CC}">
                <c16:uniqueId val="{0000001A-46D2-4F27-A1B1-0467BE50F8AD}"/>
              </c:ext>
            </c:extLst>
          </c:dPt>
          <c:dPt>
            <c:idx val="14"/>
            <c:bubble3D val="0"/>
            <c:extLst xmlns:c15="http://schemas.microsoft.com/office/drawing/2012/chart" xmlns:c16r2="http://schemas.microsoft.com/office/drawing/2015/06/chart">
              <c:ext xmlns:c16="http://schemas.microsoft.com/office/drawing/2014/chart" uri="{C3380CC4-5D6E-409C-BE32-E72D297353CC}">
                <c16:uniqueId val="{0000001B-46D2-4F27-A1B1-0467BE50F8AD}"/>
              </c:ext>
            </c:extLst>
          </c:dPt>
          <c:dPt>
            <c:idx val="15"/>
            <c:bubble3D val="0"/>
            <c:extLst xmlns:c15="http://schemas.microsoft.com/office/drawing/2012/chart" xmlns:c16r2="http://schemas.microsoft.com/office/drawing/2015/06/chart">
              <c:ext xmlns:c16="http://schemas.microsoft.com/office/drawing/2014/chart" uri="{C3380CC4-5D6E-409C-BE32-E72D297353CC}">
                <c16:uniqueId val="{0000001C-46D2-4F27-A1B1-0467BE50F8AD}"/>
              </c:ext>
            </c:extLst>
          </c:dPt>
          <c:dPt>
            <c:idx val="16"/>
            <c:bubble3D val="0"/>
            <c:extLst xmlns:c15="http://schemas.microsoft.com/office/drawing/2012/chart" xmlns:c16r2="http://schemas.microsoft.com/office/drawing/2015/06/chart">
              <c:ext xmlns:c16="http://schemas.microsoft.com/office/drawing/2014/chart" uri="{C3380CC4-5D6E-409C-BE32-E72D297353CC}">
                <c16:uniqueId val="{0000001D-46D2-4F27-A1B1-0467BE50F8AD}"/>
              </c:ext>
            </c:extLst>
          </c:dPt>
          <c:dPt>
            <c:idx val="17"/>
            <c:bubble3D val="0"/>
            <c:extLst xmlns:c15="http://schemas.microsoft.com/office/drawing/2012/chart" xmlns:c16r2="http://schemas.microsoft.com/office/drawing/2015/06/chart">
              <c:ext xmlns:c16="http://schemas.microsoft.com/office/drawing/2014/chart" uri="{C3380CC4-5D6E-409C-BE32-E72D297353CC}">
                <c16:uniqueId val="{0000001E-46D2-4F27-A1B1-0467BE50F8AD}"/>
              </c:ext>
            </c:extLst>
          </c:dPt>
          <c:dPt>
            <c:idx val="18"/>
            <c:bubble3D val="0"/>
            <c:extLst xmlns:c15="http://schemas.microsoft.com/office/drawing/2012/chart" xmlns:c16r2="http://schemas.microsoft.com/office/drawing/2015/06/chart">
              <c:ext xmlns:c16="http://schemas.microsoft.com/office/drawing/2014/chart" uri="{C3380CC4-5D6E-409C-BE32-E72D297353CC}">
                <c16:uniqueId val="{0000001F-46D2-4F27-A1B1-0467BE50F8AD}"/>
              </c:ext>
            </c:extLst>
          </c:dPt>
          <c:dPt>
            <c:idx val="19"/>
            <c:marker>
              <c:spPr>
                <a:solidFill>
                  <a:schemeClr val="tx1"/>
                </a:solidFill>
                <a:ln w="19050">
                  <a:solidFill>
                    <a:schemeClr val="tx1"/>
                  </a:solidFill>
                </a:ln>
              </c:spPr>
            </c:marker>
            <c:bubble3D val="0"/>
            <c:extLst xmlns:c15="http://schemas.microsoft.com/office/drawing/2012/chart" xmlns:c16r2="http://schemas.microsoft.com/office/drawing/2015/06/chart">
              <c:ext xmlns:c16="http://schemas.microsoft.com/office/drawing/2014/chart" uri="{C3380CC4-5D6E-409C-BE32-E72D297353CC}">
                <c16:uniqueId val="{00000020-46D2-4F27-A1B1-0467BE50F8AD}"/>
              </c:ext>
            </c:extLst>
          </c:dPt>
          <c:dPt>
            <c:idx val="20"/>
            <c:marker>
              <c:spPr>
                <a:solidFill>
                  <a:schemeClr val="tx1"/>
                </a:solidFill>
                <a:ln w="19050">
                  <a:solidFill>
                    <a:schemeClr val="tx1"/>
                  </a:solidFill>
                </a:ln>
              </c:spPr>
            </c:marker>
            <c:bubble3D val="0"/>
            <c:extLst xmlns:c15="http://schemas.microsoft.com/office/drawing/2012/chart" xmlns:c16r2="http://schemas.microsoft.com/office/drawing/2015/06/chart">
              <c:ext xmlns:c16="http://schemas.microsoft.com/office/drawing/2014/chart" uri="{C3380CC4-5D6E-409C-BE32-E72D297353CC}">
                <c16:uniqueId val="{00000021-46D2-4F27-A1B1-0467BE50F8AD}"/>
              </c:ext>
            </c:extLst>
          </c:dPt>
          <c:dPt>
            <c:idx val="21"/>
            <c:marker>
              <c:spPr>
                <a:solidFill>
                  <a:srgbClr val="00B0F0"/>
                </a:solidFill>
                <a:ln w="19050">
                  <a:solidFill>
                    <a:schemeClr val="accent1"/>
                  </a:solidFill>
                </a:ln>
              </c:spPr>
            </c:marker>
            <c:bubble3D val="0"/>
            <c:extLst xmlns:c16r2="http://schemas.microsoft.com/office/drawing/2015/06/chart">
              <c:ext xmlns:c16="http://schemas.microsoft.com/office/drawing/2014/chart" uri="{C3380CC4-5D6E-409C-BE32-E72D297353CC}">
                <c16:uniqueId val="{00000022-46D2-4F27-A1B1-0467BE50F8AD}"/>
              </c:ext>
            </c:extLst>
          </c:dPt>
          <c:dPt>
            <c:idx val="22"/>
            <c:marker>
              <c:spPr>
                <a:solidFill>
                  <a:srgbClr val="00B0F0"/>
                </a:solidFill>
                <a:ln w="19050">
                  <a:solidFill>
                    <a:schemeClr val="accent1"/>
                  </a:solidFill>
                </a:ln>
              </c:spPr>
            </c:marker>
            <c:bubble3D val="0"/>
            <c:extLst xmlns:c16r2="http://schemas.microsoft.com/office/drawing/2015/06/chart">
              <c:ext xmlns:c16="http://schemas.microsoft.com/office/drawing/2014/chart" uri="{C3380CC4-5D6E-409C-BE32-E72D297353CC}">
                <c16:uniqueId val="{00000023-46D2-4F27-A1B1-0467BE50F8AD}"/>
              </c:ext>
            </c:extLst>
          </c:dPt>
          <c:dPt>
            <c:idx val="23"/>
            <c:marker>
              <c:spPr>
                <a:solidFill>
                  <a:srgbClr val="00B0F0"/>
                </a:solidFill>
                <a:ln w="19050">
                  <a:solidFill>
                    <a:schemeClr val="accent1"/>
                  </a:solidFill>
                </a:ln>
              </c:spPr>
            </c:marker>
            <c:bubble3D val="0"/>
            <c:extLst xmlns:c16r2="http://schemas.microsoft.com/office/drawing/2015/06/chart">
              <c:ext xmlns:c16="http://schemas.microsoft.com/office/drawing/2014/chart" uri="{C3380CC4-5D6E-409C-BE32-E72D297353CC}">
                <c16:uniqueId val="{00000024-46D2-4F27-A1B1-0467BE50F8AD}"/>
              </c:ext>
            </c:extLst>
          </c:dPt>
          <c:dLbls>
            <c:dLbl>
              <c:idx val="11"/>
              <c:delete val="1"/>
              <c:extLst xmlns:c15="http://schemas.microsoft.com/office/drawing/2012/chart" xmlns:c16r2="http://schemas.microsoft.com/office/drawing/2015/06/chart">
                <c:ext xmlns:c16="http://schemas.microsoft.com/office/drawing/2014/chart" uri="{C3380CC4-5D6E-409C-BE32-E72D297353CC}">
                  <c16:uniqueId val="{00000018-46D2-4F27-A1B1-0467BE50F8AD}"/>
                </c:ext>
                <c:ext xmlns:c15="http://schemas.microsoft.com/office/drawing/2012/chart" uri="{CE6537A1-D6FC-4f65-9D91-7224C49458BB}"/>
              </c:extLst>
            </c:dLbl>
            <c:dLbl>
              <c:idx val="12"/>
              <c:delete val="1"/>
              <c:extLst xmlns:c15="http://schemas.microsoft.com/office/drawing/2012/chart" xmlns:c16r2="http://schemas.microsoft.com/office/drawing/2015/06/chart">
                <c:ext xmlns:c16="http://schemas.microsoft.com/office/drawing/2014/chart" uri="{C3380CC4-5D6E-409C-BE32-E72D297353CC}">
                  <c16:uniqueId val="{00000019-46D2-4F27-A1B1-0467BE50F8AD}"/>
                </c:ext>
                <c:ext xmlns:c15="http://schemas.microsoft.com/office/drawing/2012/chart" uri="{CE6537A1-D6FC-4f65-9D91-7224C49458BB}"/>
              </c:extLst>
            </c:dLbl>
            <c:dLbl>
              <c:idx val="13"/>
              <c:delete val="1"/>
              <c:extLst xmlns:c15="http://schemas.microsoft.com/office/drawing/2012/chart" xmlns:c16r2="http://schemas.microsoft.com/office/drawing/2015/06/chart">
                <c:ext xmlns:c16="http://schemas.microsoft.com/office/drawing/2014/chart" uri="{C3380CC4-5D6E-409C-BE32-E72D297353CC}">
                  <c16:uniqueId val="{0000001A-46D2-4F27-A1B1-0467BE50F8AD}"/>
                </c:ext>
                <c:ext xmlns:c15="http://schemas.microsoft.com/office/drawing/2012/chart" uri="{CE6537A1-D6FC-4f65-9D91-7224C49458BB}"/>
              </c:extLst>
            </c:dLbl>
            <c:dLbl>
              <c:idx val="14"/>
              <c:tx>
                <c:rich>
                  <a:bodyPr/>
                  <a:lstStyle/>
                  <a:p>
                    <a:pPr>
                      <a:defRPr sz="700" b="0" i="0" u="none" strike="noStrike" baseline="0">
                        <a:solidFill>
                          <a:schemeClr val="accent1"/>
                        </a:solidFill>
                        <a:latin typeface="Calibri"/>
                        <a:ea typeface="Calibri"/>
                        <a:cs typeface="Calibri"/>
                      </a:defRPr>
                    </a:pPr>
                    <a:r>
                      <a:rPr lang="it-IT" sz="700">
                        <a:solidFill>
                          <a:schemeClr val="accent1"/>
                        </a:solidFill>
                      </a:rPr>
                      <a:t>-4,3%</a:t>
                    </a:r>
                  </a:p>
                </c:rich>
              </c:tx>
              <c:spPr/>
              <c:dLblPos val="b"/>
              <c:showLegendKey val="0"/>
              <c:showVal val="0"/>
              <c:showCatName val="0"/>
              <c:showSerName val="0"/>
              <c:showPercent val="0"/>
              <c:showBubbleSize val="0"/>
              <c:extLst xmlns:c15="http://schemas.microsoft.com/office/drawing/2012/chart" xmlns:c16r2="http://schemas.microsoft.com/office/drawing/2015/06/chart">
                <c:ext xmlns:c16="http://schemas.microsoft.com/office/drawing/2014/chart" uri="{C3380CC4-5D6E-409C-BE32-E72D297353CC}">
                  <c16:uniqueId val="{0000001B-46D2-4F27-A1B1-0467BE50F8AD}"/>
                </c:ext>
                <c:ext xmlns:c15="http://schemas.microsoft.com/office/drawing/2012/chart" uri="{CE6537A1-D6FC-4f65-9D91-7224C49458BB}"/>
              </c:extLst>
            </c:dLbl>
            <c:dLbl>
              <c:idx val="15"/>
              <c:tx>
                <c:rich>
                  <a:bodyPr/>
                  <a:lstStyle/>
                  <a:p>
                    <a:pPr>
                      <a:defRPr sz="700" b="0" i="0" u="none" strike="noStrike" baseline="0">
                        <a:solidFill>
                          <a:schemeClr val="accent1"/>
                        </a:solidFill>
                        <a:latin typeface="Calibri"/>
                        <a:ea typeface="Calibri"/>
                        <a:cs typeface="Calibri"/>
                      </a:defRPr>
                    </a:pPr>
                    <a:r>
                      <a:rPr lang="it-IT" sz="700">
                        <a:solidFill>
                          <a:schemeClr val="accent1"/>
                        </a:solidFill>
                      </a:rPr>
                      <a:t>-2,8%</a:t>
                    </a:r>
                  </a:p>
                </c:rich>
              </c:tx>
              <c:spPr/>
              <c:dLblPos val="b"/>
              <c:showLegendKey val="0"/>
              <c:showVal val="0"/>
              <c:showCatName val="0"/>
              <c:showSerName val="0"/>
              <c:showPercent val="0"/>
              <c:showBubbleSize val="0"/>
              <c:extLst xmlns:c15="http://schemas.microsoft.com/office/drawing/2012/chart" xmlns:c16r2="http://schemas.microsoft.com/office/drawing/2015/06/chart">
                <c:ext xmlns:c16="http://schemas.microsoft.com/office/drawing/2014/chart" uri="{C3380CC4-5D6E-409C-BE32-E72D297353CC}">
                  <c16:uniqueId val="{0000001C-46D2-4F27-A1B1-0467BE50F8AD}"/>
                </c:ext>
                <c:ext xmlns:c15="http://schemas.microsoft.com/office/drawing/2012/chart" uri="{CE6537A1-D6FC-4f65-9D91-7224C49458BB}"/>
              </c:extLst>
            </c:dLbl>
            <c:dLbl>
              <c:idx val="16"/>
              <c:tx>
                <c:rich>
                  <a:bodyPr/>
                  <a:lstStyle/>
                  <a:p>
                    <a:pPr>
                      <a:defRPr sz="700" b="0" i="0" u="none" strike="noStrike" baseline="0">
                        <a:solidFill>
                          <a:schemeClr val="accent1"/>
                        </a:solidFill>
                        <a:latin typeface="Calibri"/>
                        <a:ea typeface="Calibri"/>
                        <a:cs typeface="Calibri"/>
                      </a:defRPr>
                    </a:pPr>
                    <a:r>
                      <a:rPr lang="it-IT" sz="700">
                        <a:solidFill>
                          <a:schemeClr val="accent1"/>
                        </a:solidFill>
                      </a:rPr>
                      <a:t>-1,1%</a:t>
                    </a:r>
                  </a:p>
                </c:rich>
              </c:tx>
              <c:spPr/>
              <c:dLblPos val="b"/>
              <c:showLegendKey val="0"/>
              <c:showVal val="0"/>
              <c:showCatName val="0"/>
              <c:showSerName val="0"/>
              <c:showPercent val="0"/>
              <c:showBubbleSize val="0"/>
              <c:extLst xmlns:c15="http://schemas.microsoft.com/office/drawing/2012/chart" xmlns:c16r2="http://schemas.microsoft.com/office/drawing/2015/06/chart">
                <c:ext xmlns:c16="http://schemas.microsoft.com/office/drawing/2014/chart" uri="{C3380CC4-5D6E-409C-BE32-E72D297353CC}">
                  <c16:uniqueId val="{0000001D-46D2-4F27-A1B1-0467BE50F8AD}"/>
                </c:ext>
                <c:ext xmlns:c15="http://schemas.microsoft.com/office/drawing/2012/chart" uri="{CE6537A1-D6FC-4f65-9D91-7224C49458BB}"/>
              </c:extLst>
            </c:dLbl>
            <c:dLbl>
              <c:idx val="17"/>
              <c:delete val="1"/>
              <c:extLst xmlns:c15="http://schemas.microsoft.com/office/drawing/2012/chart" xmlns:c16r2="http://schemas.microsoft.com/office/drawing/2015/06/chart">
                <c:ext xmlns:c16="http://schemas.microsoft.com/office/drawing/2014/chart" uri="{C3380CC4-5D6E-409C-BE32-E72D297353CC}">
                  <c16:uniqueId val="{0000001E-46D2-4F27-A1B1-0467BE50F8AD}"/>
                </c:ext>
                <c:ext xmlns:c15="http://schemas.microsoft.com/office/drawing/2012/chart" uri="{CE6537A1-D6FC-4f65-9D91-7224C49458BB}"/>
              </c:extLst>
            </c:dLbl>
            <c:dLbl>
              <c:idx val="18"/>
              <c:delete val="1"/>
              <c:extLst xmlns:c15="http://schemas.microsoft.com/office/drawing/2012/chart" xmlns:c16r2="http://schemas.microsoft.com/office/drawing/2015/06/chart">
                <c:ext xmlns:c16="http://schemas.microsoft.com/office/drawing/2014/chart" uri="{C3380CC4-5D6E-409C-BE32-E72D297353CC}">
                  <c16:uniqueId val="{0000001F-46D2-4F27-A1B1-0467BE50F8AD}"/>
                </c:ext>
                <c:ext xmlns:c15="http://schemas.microsoft.com/office/drawing/2012/chart" uri="{CE6537A1-D6FC-4f65-9D91-7224C49458BB}"/>
              </c:extLst>
            </c:dLbl>
            <c:dLbl>
              <c:idx val="19"/>
              <c:delete val="1"/>
              <c:extLst xmlns:c15="http://schemas.microsoft.com/office/drawing/2012/chart" xmlns:c16r2="http://schemas.microsoft.com/office/drawing/2015/06/chart">
                <c:ext xmlns:c16="http://schemas.microsoft.com/office/drawing/2014/chart" uri="{C3380CC4-5D6E-409C-BE32-E72D297353CC}">
                  <c16:uniqueId val="{00000020-46D2-4F27-A1B1-0467BE50F8AD}"/>
                </c:ext>
                <c:ext xmlns:c15="http://schemas.microsoft.com/office/drawing/2012/chart" uri="{CE6537A1-D6FC-4f65-9D91-7224C49458BB}"/>
              </c:extLst>
            </c:dLbl>
            <c:dLbl>
              <c:idx val="20"/>
              <c:delete val="1"/>
              <c:extLst xmlns:c15="http://schemas.microsoft.com/office/drawing/2012/chart" xmlns:c16r2="http://schemas.microsoft.com/office/drawing/2015/06/chart">
                <c:ext xmlns:c16="http://schemas.microsoft.com/office/drawing/2014/chart" uri="{C3380CC4-5D6E-409C-BE32-E72D297353CC}">
                  <c16:uniqueId val="{00000021-46D2-4F27-A1B1-0467BE50F8AD}"/>
                </c:ext>
                <c:ext xmlns:c15="http://schemas.microsoft.com/office/drawing/2012/chart" uri="{CE6537A1-D6FC-4f65-9D91-7224C49458BB}"/>
              </c:extLst>
            </c:dLbl>
            <c:dLbl>
              <c:idx val="21"/>
              <c:layout>
                <c:manualLayout>
                  <c:x val="-8.2322173757057526E-2"/>
                  <c:y val="-6.6504414220949687E-2"/>
                </c:manualLayout>
              </c:layout>
              <c:dLblPos val="r"/>
              <c:showLegendKey val="0"/>
              <c:showVal val="1"/>
              <c:showCatName val="0"/>
              <c:showSerName val="0"/>
              <c:showPercent val="0"/>
              <c:showBubbleSize val="0"/>
              <c:extLst xmlns:c15="http://schemas.microsoft.com/office/drawing/2012/chart" xmlns:c16r2="http://schemas.microsoft.com/office/drawing/2015/06/chart">
                <c:ext xmlns:c16="http://schemas.microsoft.com/office/drawing/2014/chart" uri="{C3380CC4-5D6E-409C-BE32-E72D297353CC}">
                  <c16:uniqueId val="{00000022-46D2-4F27-A1B1-0467BE50F8AD}"/>
                </c:ext>
                <c:ext xmlns:c15="http://schemas.microsoft.com/office/drawing/2012/chart" uri="{CE6537A1-D6FC-4f65-9D91-7224C49458BB}">
                  <c15:layout/>
                </c:ext>
              </c:extLst>
            </c:dLbl>
            <c:dLbl>
              <c:idx val="22"/>
              <c:layout>
                <c:manualLayout>
                  <c:x val="-2.1172297489594257E-2"/>
                  <c:y val="4.3142420455386653E-2"/>
                </c:manualLayout>
              </c:layout>
              <c:dLblPos val="r"/>
              <c:showLegendKey val="0"/>
              <c:showVal val="1"/>
              <c:showCatName val="0"/>
              <c:showSerName val="0"/>
              <c:showPercent val="0"/>
              <c:showBubbleSize val="0"/>
              <c:extLst xmlns:c15="http://schemas.microsoft.com/office/drawing/2012/chart" xmlns:c16r2="http://schemas.microsoft.com/office/drawing/2015/06/chart">
                <c:ext xmlns:c16="http://schemas.microsoft.com/office/drawing/2014/chart" uri="{C3380CC4-5D6E-409C-BE32-E72D297353CC}">
                  <c16:uniqueId val="{00000023-46D2-4F27-A1B1-0467BE50F8AD}"/>
                </c:ext>
                <c:ext xmlns:c15="http://schemas.microsoft.com/office/drawing/2012/chart" uri="{CE6537A1-D6FC-4f65-9D91-7224C49458BB}">
                  <c15:layout/>
                </c:ext>
              </c:extLst>
            </c:dLbl>
            <c:dLbl>
              <c:idx val="23"/>
              <c:layout>
                <c:manualLayout>
                  <c:x val="-3.5246133801620123E-3"/>
                  <c:y val="-3.763863741631233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46D2-4F27-A1B1-0467BE50F8AD}"/>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700" b="0" i="0" u="none" strike="noStrike" baseline="0">
                    <a:solidFill>
                      <a:schemeClr val="accent1"/>
                    </a:solidFill>
                    <a:latin typeface="Calibri"/>
                    <a:ea typeface="Calibri"/>
                    <a:cs typeface="Calibri"/>
                  </a:defRPr>
                </a:pPr>
                <a:endParaRPr lang="it-IT"/>
              </a:p>
            </c:txPr>
            <c:dLblPos val="b"/>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0"/>
              </c:ext>
            </c:extLst>
          </c:dLbls>
          <c:cat>
            <c:strRef>
              <c:f>'fig. 5 - previsioni NTN'!$A$19:$A$42</c:f>
              <c:strCache>
                <c:ptCount val="24"/>
                <c:pt idx="0">
                  <c:v>00</c:v>
                </c:pt>
                <c:pt idx="1">
                  <c:v>01</c:v>
                </c:pt>
                <c:pt idx="2">
                  <c:v>02</c:v>
                </c:pt>
                <c:pt idx="3">
                  <c:v>03</c:v>
                </c:pt>
                <c:pt idx="4">
                  <c:v>04</c:v>
                </c:pt>
                <c:pt idx="5">
                  <c:v>05</c:v>
                </c:pt>
                <c:pt idx="6">
                  <c:v>06</c:v>
                </c:pt>
                <c:pt idx="7">
                  <c:v>07</c:v>
                </c:pt>
                <c:pt idx="8">
                  <c:v>08</c:v>
                </c:pt>
                <c:pt idx="9">
                  <c:v>09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strCache>
              <c:extLst xmlns:c15="http://schemas.microsoft.com/office/drawing/2012/chart" xmlns:c16r2="http://schemas.microsoft.com/office/drawing/2015/06/chart"/>
            </c:strRef>
          </c:cat>
          <c:val>
            <c:numRef>
              <c:f>'fig. 5 - previsioni NTN'!$D$19:$D$42</c:f>
              <c:numCache>
                <c:formatCode>General</c:formatCode>
                <c:ptCount val="24"/>
                <c:pt idx="20" formatCode="#,##0">
                  <c:v>557926.31000000017</c:v>
                </c:pt>
                <c:pt idx="21" formatCode="#,##0">
                  <c:v>650415.50871085993</c:v>
                </c:pt>
                <c:pt idx="22" formatCode="#,##0">
                  <c:v>634220.99669223046</c:v>
                </c:pt>
                <c:pt idx="23" formatCode="#,##0">
                  <c:v>651313.93034219847</c:v>
                </c:pt>
              </c:numCache>
              <c:extLst xmlns:c15="http://schemas.microsoft.com/office/drawing/2012/chart" xmlns:c16r2="http://schemas.microsoft.com/office/drawing/2015/06/chart"/>
            </c:numRef>
          </c:val>
          <c:smooth val="1"/>
          <c:extLst xmlns:c15="http://schemas.microsoft.com/office/drawing/2012/chart" xmlns:c16r2="http://schemas.microsoft.com/office/drawing/2015/06/chart">
            <c:ext xmlns:c16="http://schemas.microsoft.com/office/drawing/2014/chart" uri="{C3380CC4-5D6E-409C-BE32-E72D297353CC}">
              <c16:uniqueId val="{00000025-46D2-4F27-A1B1-0467BE50F8AD}"/>
            </c:ext>
          </c:extLst>
        </c:ser>
        <c:dLbls>
          <c:showLegendKey val="0"/>
          <c:showVal val="0"/>
          <c:showCatName val="0"/>
          <c:showSerName val="0"/>
          <c:showPercent val="0"/>
          <c:showBubbleSize val="0"/>
        </c:dLbls>
        <c:marker val="1"/>
        <c:smooth val="0"/>
        <c:axId val="488405144"/>
        <c:axId val="488411808"/>
        <c:extLst xmlns:c16r2="http://schemas.microsoft.com/office/drawing/2015/06/chart"/>
      </c:lineChart>
      <c:catAx>
        <c:axId val="488405144"/>
        <c:scaling>
          <c:orientation val="minMax"/>
        </c:scaling>
        <c:delete val="0"/>
        <c:axPos val="b"/>
        <c:numFmt formatCode="General" sourceLinked="1"/>
        <c:majorTickMark val="out"/>
        <c:minorTickMark val="none"/>
        <c:tickLblPos val="low"/>
        <c:spPr>
          <a:ln w="9525">
            <a:solidFill>
              <a:schemeClr val="tx1"/>
            </a:solidFill>
            <a:prstDash val="solid"/>
          </a:ln>
        </c:spPr>
        <c:txPr>
          <a:bodyPr rot="-5400000" vert="horz"/>
          <a:lstStyle/>
          <a:p>
            <a:pPr>
              <a:defRPr sz="700" b="0" i="0" u="none" strike="noStrike" baseline="0">
                <a:solidFill>
                  <a:srgbClr val="000000"/>
                </a:solidFill>
                <a:latin typeface="Calibri"/>
                <a:ea typeface="Calibri"/>
                <a:cs typeface="Calibri"/>
              </a:defRPr>
            </a:pPr>
            <a:endParaRPr lang="it-IT"/>
          </a:p>
        </c:txPr>
        <c:crossAx val="488411808"/>
        <c:crosses val="autoZero"/>
        <c:auto val="0"/>
        <c:lblAlgn val="ctr"/>
        <c:lblOffset val="100"/>
        <c:tickLblSkip val="1"/>
        <c:tickMarkSkip val="1"/>
        <c:noMultiLvlLbl val="0"/>
      </c:catAx>
      <c:valAx>
        <c:axId val="488411808"/>
        <c:scaling>
          <c:orientation val="minMax"/>
          <c:min val="300000"/>
        </c:scaling>
        <c:delete val="0"/>
        <c:axPos val="l"/>
        <c:numFmt formatCode="#,##0" sourceLinked="0"/>
        <c:majorTickMark val="out"/>
        <c:minorTickMark val="none"/>
        <c:tickLblPos val="nextTo"/>
        <c:spPr>
          <a:ln w="9525">
            <a:solidFill>
              <a:schemeClr val="tx1"/>
            </a:solidFill>
            <a:prstDash val="solid"/>
          </a:ln>
        </c:spPr>
        <c:txPr>
          <a:bodyPr rot="0" vert="horz"/>
          <a:lstStyle/>
          <a:p>
            <a:pPr>
              <a:defRPr sz="800" b="0" i="0" u="none" strike="noStrike" baseline="0">
                <a:solidFill>
                  <a:srgbClr val="000000"/>
                </a:solidFill>
                <a:latin typeface="Calibri"/>
                <a:ea typeface="Calibri"/>
                <a:cs typeface="Calibri"/>
              </a:defRPr>
            </a:pPr>
            <a:endParaRPr lang="it-IT"/>
          </a:p>
        </c:txPr>
        <c:crossAx val="488405144"/>
        <c:crosses val="autoZero"/>
        <c:crossBetween val="between"/>
        <c:dispUnits>
          <c:builtInUnit val="thousands"/>
        </c:dispUnits>
      </c:valAx>
      <c:spPr>
        <a:solidFill>
          <a:schemeClr val="bg1"/>
        </a:solidFill>
        <a:ln w="25400">
          <a:noFill/>
        </a:ln>
      </c:spPr>
    </c:plotArea>
    <c:plotVisOnly val="1"/>
    <c:dispBlanksAs val="gap"/>
    <c:showDLblsOverMax val="0"/>
  </c:chart>
  <c:spPr>
    <a:solidFill>
      <a:schemeClr val="bg1"/>
    </a:solidFill>
    <a:ln w="9525">
      <a:noFill/>
    </a:ln>
  </c:spPr>
  <c:txPr>
    <a:bodyPr/>
    <a:lstStyle/>
    <a:p>
      <a:pPr>
        <a:defRPr sz="800" b="0" i="0" u="none" strike="noStrike" baseline="0">
          <a:solidFill>
            <a:srgbClr val="000000"/>
          </a:solidFill>
          <a:latin typeface="Calibri"/>
          <a:ea typeface="Calibri"/>
          <a:cs typeface="Calibri"/>
        </a:defRPr>
      </a:pPr>
      <a:endParaRPr lang="it-I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5892388451444"/>
          <c:y val="7.8703703703703706E-2"/>
          <c:w val="0.86608552055993004"/>
          <c:h val="0.62969273780743107"/>
        </c:manualLayout>
      </c:layout>
      <c:barChart>
        <c:barDir val="col"/>
        <c:grouping val="clustered"/>
        <c:varyColors val="0"/>
        <c:ser>
          <c:idx val="0"/>
          <c:order val="0"/>
          <c:tx>
            <c:strRef>
              <c:f>elabo!$B$54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elabo!$A$55:$A$57</c:f>
              <c:strCache>
                <c:ptCount val="3"/>
                <c:pt idx="0">
                  <c:v>Uso personale</c:v>
                </c:pt>
                <c:pt idx="1">
                  <c:v>Investimento</c:v>
                </c:pt>
                <c:pt idx="2">
                  <c:v>Misto: investimento e uso personale</c:v>
                </c:pt>
              </c:strCache>
            </c:strRef>
          </c:cat>
          <c:val>
            <c:numRef>
              <c:f>elabo!$B$55:$B$57</c:f>
              <c:numCache>
                <c:formatCode>0.0%</c:formatCode>
                <c:ptCount val="3"/>
                <c:pt idx="0">
                  <c:v>0.55000000000000004</c:v>
                </c:pt>
                <c:pt idx="1">
                  <c:v>0.19</c:v>
                </c:pt>
                <c:pt idx="2">
                  <c:v>0.26</c:v>
                </c:pt>
              </c:numCache>
            </c:numRef>
          </c:val>
          <c:extLst xmlns:c16r2="http://schemas.microsoft.com/office/drawing/2015/06/chart">
            <c:ext xmlns:c16="http://schemas.microsoft.com/office/drawing/2014/chart" uri="{C3380CC4-5D6E-409C-BE32-E72D297353CC}">
              <c16:uniqueId val="{00000000-5AF1-4831-AC89-EE0A786649CB}"/>
            </c:ext>
          </c:extLst>
        </c:ser>
        <c:ser>
          <c:idx val="1"/>
          <c:order val="1"/>
          <c:tx>
            <c:strRef>
              <c:f>elabo!$C$54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elabo!$A$55:$A$57</c:f>
              <c:strCache>
                <c:ptCount val="3"/>
                <c:pt idx="0">
                  <c:v>Uso personale</c:v>
                </c:pt>
                <c:pt idx="1">
                  <c:v>Investimento</c:v>
                </c:pt>
                <c:pt idx="2">
                  <c:v>Misto: investimento e uso personale</c:v>
                </c:pt>
              </c:strCache>
            </c:strRef>
          </c:cat>
          <c:val>
            <c:numRef>
              <c:f>elabo!$C$55:$C$57</c:f>
              <c:numCache>
                <c:formatCode>0.0%</c:formatCode>
                <c:ptCount val="3"/>
                <c:pt idx="0">
                  <c:v>0.65200000000000002</c:v>
                </c:pt>
                <c:pt idx="1">
                  <c:v>0.16800000000000001</c:v>
                </c:pt>
                <c:pt idx="2">
                  <c:v>0.18</c:v>
                </c:pt>
              </c:numCache>
            </c:numRef>
          </c:val>
          <c:extLst xmlns:c16r2="http://schemas.microsoft.com/office/drawing/2015/06/chart">
            <c:ext xmlns:c16="http://schemas.microsoft.com/office/drawing/2014/chart" uri="{C3380CC4-5D6E-409C-BE32-E72D297353CC}">
              <c16:uniqueId val="{00000001-5AF1-4831-AC89-EE0A786649CB}"/>
            </c:ext>
          </c:extLst>
        </c:ser>
        <c:dLbls>
          <c:showLegendKey val="0"/>
          <c:showVal val="0"/>
          <c:showCatName val="0"/>
          <c:showSerName val="0"/>
          <c:showPercent val="0"/>
          <c:showBubbleSize val="0"/>
        </c:dLbls>
        <c:gapWidth val="219"/>
        <c:overlap val="-27"/>
        <c:axId val="488407496"/>
        <c:axId val="488412984"/>
      </c:barChart>
      <c:catAx>
        <c:axId val="48840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88412984"/>
        <c:crosses val="autoZero"/>
        <c:auto val="1"/>
        <c:lblAlgn val="ctr"/>
        <c:lblOffset val="100"/>
        <c:noMultiLvlLbl val="0"/>
      </c:catAx>
      <c:valAx>
        <c:axId val="48841298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88407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elabo!$A$65:$B$68</c:f>
              <c:multiLvlStrCache>
                <c:ptCount val="4"/>
                <c:lvl>
                  <c:pt idx="0">
                    <c:v>italiani</c:v>
                  </c:pt>
                  <c:pt idx="1">
                    <c:v>stranieri</c:v>
                  </c:pt>
                  <c:pt idx="2">
                    <c:v>italiani</c:v>
                  </c:pt>
                  <c:pt idx="3">
                    <c:v>stranieri</c:v>
                  </c:pt>
                </c:lvl>
                <c:lvl>
                  <c:pt idx="0">
                    <c:v>Domanda di acquisto</c:v>
                  </c:pt>
                  <c:pt idx="2">
                    <c:v>Domanda di locazione</c:v>
                  </c:pt>
                </c:lvl>
              </c:multiLvlStrCache>
            </c:multiLvlStrRef>
          </c:cat>
          <c:val>
            <c:numRef>
              <c:f>elabo!$C$65:$C$68</c:f>
              <c:numCache>
                <c:formatCode>0.0%</c:formatCode>
                <c:ptCount val="4"/>
                <c:pt idx="0">
                  <c:v>0.85</c:v>
                </c:pt>
                <c:pt idx="1">
                  <c:v>0.15</c:v>
                </c:pt>
                <c:pt idx="2">
                  <c:v>0.84</c:v>
                </c:pt>
                <c:pt idx="3">
                  <c:v>0.16</c:v>
                </c:pt>
              </c:numCache>
            </c:numRef>
          </c:val>
          <c:extLst xmlns:c16r2="http://schemas.microsoft.com/office/drawing/2015/06/chart">
            <c:ext xmlns:c16="http://schemas.microsoft.com/office/drawing/2014/chart" uri="{C3380CC4-5D6E-409C-BE32-E72D297353CC}">
              <c16:uniqueId val="{00000000-8DB5-4D72-B86A-B0AD5D37D5F5}"/>
            </c:ext>
          </c:extLst>
        </c:ser>
        <c:dLbls>
          <c:showLegendKey val="0"/>
          <c:showVal val="0"/>
          <c:showCatName val="0"/>
          <c:showSerName val="0"/>
          <c:showPercent val="0"/>
          <c:showBubbleSize val="0"/>
        </c:dLbls>
        <c:gapWidth val="219"/>
        <c:overlap val="-27"/>
        <c:axId val="488402792"/>
        <c:axId val="488413768"/>
      </c:barChart>
      <c:catAx>
        <c:axId val="488402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88413768"/>
        <c:crosses val="autoZero"/>
        <c:auto val="1"/>
        <c:lblAlgn val="ctr"/>
        <c:lblOffset val="100"/>
        <c:noMultiLvlLbl val="0"/>
      </c:catAx>
      <c:valAx>
        <c:axId val="48841376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88402792"/>
        <c:crosses val="autoZero"/>
        <c:crossBetween val="between"/>
        <c:majorUnit val="0.2"/>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elabo!$A$79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elabo!$B$78:$D$78</c:f>
              <c:strCache>
                <c:ptCount val="3"/>
                <c:pt idx="0">
                  <c:v>2</c:v>
                </c:pt>
                <c:pt idx="1">
                  <c:v>3</c:v>
                </c:pt>
                <c:pt idx="2">
                  <c:v>4 e oltre</c:v>
                </c:pt>
              </c:strCache>
            </c:strRef>
          </c:cat>
          <c:val>
            <c:numRef>
              <c:f>elabo!$B$79:$D$79</c:f>
              <c:numCache>
                <c:formatCode>0%</c:formatCode>
                <c:ptCount val="3"/>
                <c:pt idx="0" formatCode="0.0%">
                  <c:v>2.5999999999999999E-2</c:v>
                </c:pt>
                <c:pt idx="1">
                  <c:v>0.184</c:v>
                </c:pt>
                <c:pt idx="2">
                  <c:v>0.78</c:v>
                </c:pt>
              </c:numCache>
            </c:numRef>
          </c:val>
          <c:extLst xmlns:c16r2="http://schemas.microsoft.com/office/drawing/2015/06/chart">
            <c:ext xmlns:c16="http://schemas.microsoft.com/office/drawing/2014/chart" uri="{C3380CC4-5D6E-409C-BE32-E72D297353CC}">
              <c16:uniqueId val="{00000000-6859-41B6-AA8A-C2C0C33A3745}"/>
            </c:ext>
          </c:extLst>
        </c:ser>
        <c:ser>
          <c:idx val="1"/>
          <c:order val="1"/>
          <c:tx>
            <c:strRef>
              <c:f>elabo!$A$80</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elabo!$B$78:$D$78</c:f>
              <c:strCache>
                <c:ptCount val="3"/>
                <c:pt idx="0">
                  <c:v>2</c:v>
                </c:pt>
                <c:pt idx="1">
                  <c:v>3</c:v>
                </c:pt>
                <c:pt idx="2">
                  <c:v>4 e oltre</c:v>
                </c:pt>
              </c:strCache>
            </c:strRef>
          </c:cat>
          <c:val>
            <c:numRef>
              <c:f>elabo!$B$80:$D$80</c:f>
              <c:numCache>
                <c:formatCode>0%</c:formatCode>
                <c:ptCount val="3"/>
                <c:pt idx="0">
                  <c:v>0.13600000000000001</c:v>
                </c:pt>
                <c:pt idx="1">
                  <c:v>9.0999999999999998E-2</c:v>
                </c:pt>
                <c:pt idx="2">
                  <c:v>0.77</c:v>
                </c:pt>
              </c:numCache>
            </c:numRef>
          </c:val>
          <c:extLst xmlns:c16r2="http://schemas.microsoft.com/office/drawing/2015/06/chart">
            <c:ext xmlns:c16="http://schemas.microsoft.com/office/drawing/2014/chart" uri="{C3380CC4-5D6E-409C-BE32-E72D297353CC}">
              <c16:uniqueId val="{00000001-6859-41B6-AA8A-C2C0C33A3745}"/>
            </c:ext>
          </c:extLst>
        </c:ser>
        <c:dLbls>
          <c:showLegendKey val="0"/>
          <c:showVal val="0"/>
          <c:showCatName val="0"/>
          <c:showSerName val="0"/>
          <c:showPercent val="0"/>
          <c:showBubbleSize val="0"/>
        </c:dLbls>
        <c:gapWidth val="219"/>
        <c:overlap val="-27"/>
        <c:axId val="488413376"/>
        <c:axId val="488414160"/>
      </c:barChart>
      <c:catAx>
        <c:axId val="48841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88414160"/>
        <c:crosses val="autoZero"/>
        <c:auto val="1"/>
        <c:lblAlgn val="ctr"/>
        <c:lblOffset val="100"/>
        <c:noMultiLvlLbl val="0"/>
      </c:catAx>
      <c:valAx>
        <c:axId val="48841416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88413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C978-B6CD-46A0-9CA3-567D4976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3381</Words>
  <Characters>19278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Molignoni</dc:creator>
  <cp:lastModifiedBy>UfficioStampa</cp:lastModifiedBy>
  <cp:revision>4</cp:revision>
  <cp:lastPrinted>2021-07-27T10:01:00Z</cp:lastPrinted>
  <dcterms:created xsi:type="dcterms:W3CDTF">2021-07-27T12:56:00Z</dcterms:created>
  <dcterms:modified xsi:type="dcterms:W3CDTF">2021-07-27T14:03:00Z</dcterms:modified>
</cp:coreProperties>
</file>