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5E7AA" w14:textId="77777777" w:rsidR="00FC0A2C" w:rsidRPr="00336F9E" w:rsidRDefault="00FC0A2C" w:rsidP="00FC0A2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70C0"/>
          <w:sz w:val="40"/>
          <w:szCs w:val="40"/>
          <w:lang w:val="it-IT" w:eastAsia="it-IT"/>
        </w:rPr>
      </w:pPr>
      <w:bookmarkStart w:id="0" w:name="_GoBack"/>
      <w:bookmarkEnd w:id="0"/>
      <w:r w:rsidRPr="00336F9E">
        <w:rPr>
          <w:rFonts w:asciiTheme="majorHAnsi" w:eastAsia="Times New Roman" w:hAnsiTheme="majorHAnsi" w:cstheme="majorHAnsi"/>
          <w:b/>
          <w:bCs/>
          <w:color w:val="0070C0"/>
          <w:sz w:val="40"/>
          <w:szCs w:val="40"/>
          <w:lang w:val="it-IT" w:eastAsia="it-IT"/>
        </w:rPr>
        <w:t>INVESTIRE IN FRIULI VENEZIA GIULIA</w:t>
      </w:r>
    </w:p>
    <w:p w14:paraId="46954A49" w14:textId="77777777" w:rsidR="00FC0A2C" w:rsidRPr="00336F9E" w:rsidRDefault="00FC0A2C" w:rsidP="00FC0A2C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it-IT" w:eastAsia="it-IT"/>
        </w:rPr>
      </w:pPr>
      <w:r w:rsidRPr="00336F9E">
        <w:rPr>
          <w:rFonts w:asciiTheme="majorHAnsi" w:eastAsia="Times New Roman" w:hAnsiTheme="majorHAnsi" w:cstheme="majorHAnsi"/>
          <w:b/>
          <w:bCs/>
          <w:color w:val="7F7F7F" w:themeColor="text1" w:themeTint="80"/>
          <w:sz w:val="22"/>
          <w:szCs w:val="22"/>
          <w:lang w:val="it-IT" w:eastAsia="it-IT"/>
        </w:rPr>
        <w:t>individuati da parte di Regione FVG gli ambiti prioritari di ricerca attiva degli investimenti</w:t>
      </w:r>
    </w:p>
    <w:p w14:paraId="684FB114" w14:textId="77777777" w:rsidR="00FC0A2C" w:rsidRPr="00336F9E" w:rsidRDefault="00FC0A2C" w:rsidP="00FC0A2C">
      <w:pPr>
        <w:spacing w:after="0" w:line="240" w:lineRule="auto"/>
        <w:jc w:val="left"/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</w:pPr>
      <w:r w:rsidRPr="00336F9E">
        <w:rPr>
          <w:rFonts w:asciiTheme="majorHAnsi" w:eastAsia="Times New Roman" w:hAnsiTheme="majorHAnsi" w:cstheme="majorHAnsi"/>
          <w:color w:val="000000"/>
          <w:sz w:val="22"/>
          <w:szCs w:val="22"/>
          <w:lang w:val="it-IT" w:eastAsia="it-IT"/>
        </w:rPr>
        <w:t> </w:t>
      </w:r>
    </w:p>
    <w:p w14:paraId="3E3DA613" w14:textId="77777777" w:rsidR="005F655B" w:rsidRPr="00336F9E" w:rsidRDefault="005F655B" w:rsidP="00FC0A2C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2"/>
          <w:szCs w:val="22"/>
          <w:lang w:val="it-IT" w:eastAsia="it-IT"/>
        </w:rPr>
      </w:pPr>
    </w:p>
    <w:p w14:paraId="7CBD303E" w14:textId="6427A94E" w:rsidR="00144E6F" w:rsidRPr="00F271D2" w:rsidRDefault="00FC0A2C" w:rsidP="00FC0A2C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</w:pP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>La regione Friuli Venezia Giulia presenta forti potenzialità per chi decide di investire in nuovi insediamenti, siano ess</w:t>
      </w:r>
      <w:r w:rsidR="001661A8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e imprese estere o nazionali e queste potenzialità sono state percepite trasversalmente da 15 diversi paesi esteri nel corso degli ultimi mesi. </w:t>
      </w:r>
    </w:p>
    <w:p w14:paraId="54492EF2" w14:textId="0EC7D5F8" w:rsidR="00FC0A2C" w:rsidRPr="00F271D2" w:rsidRDefault="001661A8" w:rsidP="00FC0A2C">
      <w:pPr>
        <w:spacing w:after="0" w:line="240" w:lineRule="auto"/>
        <w:rPr>
          <w:rFonts w:asciiTheme="majorHAnsi" w:eastAsia="Times New Roman" w:hAnsiTheme="majorHAnsi" w:cstheme="majorHAnsi"/>
          <w:b/>
          <w:color w:val="auto"/>
          <w:sz w:val="22"/>
          <w:szCs w:val="22"/>
          <w:lang w:val="it-IT" w:eastAsia="it-IT"/>
        </w:rPr>
      </w:pP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Da gennaio a questa parte </w:t>
      </w:r>
      <w:r w:rsidR="00FC0A2C" w:rsidRPr="00F271D2">
        <w:rPr>
          <w:rFonts w:asciiTheme="majorHAnsi" w:eastAsia="Times New Roman" w:hAnsiTheme="majorHAnsi" w:cstheme="majorHAnsi"/>
          <w:b/>
          <w:color w:val="auto"/>
          <w:sz w:val="22"/>
          <w:szCs w:val="22"/>
          <w:lang w:val="it-IT" w:eastAsia="it-IT"/>
        </w:rPr>
        <w:t>Agenzia Lavoro &amp; SviluppoImpresa</w:t>
      </w:r>
      <w:r w:rsidRPr="00F271D2">
        <w:rPr>
          <w:rFonts w:asciiTheme="majorHAnsi" w:eastAsia="Times New Roman" w:hAnsiTheme="majorHAnsi" w:cstheme="majorHAnsi"/>
          <w:b/>
          <w:color w:val="auto"/>
          <w:sz w:val="22"/>
          <w:szCs w:val="22"/>
          <w:lang w:val="it-IT" w:eastAsia="it-IT"/>
        </w:rPr>
        <w:t xml:space="preserve"> </w:t>
      </w: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>incaricata per conto di</w:t>
      </w:r>
      <w:r w:rsidRPr="00F271D2">
        <w:rPr>
          <w:rFonts w:asciiTheme="majorHAnsi" w:eastAsia="Times New Roman" w:hAnsiTheme="majorHAnsi" w:cstheme="majorHAnsi"/>
          <w:b/>
          <w:color w:val="auto"/>
          <w:sz w:val="22"/>
          <w:szCs w:val="22"/>
          <w:lang w:val="it-IT" w:eastAsia="it-IT"/>
        </w:rPr>
        <w:t xml:space="preserve"> </w:t>
      </w: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>Regione Autonoma Friuli Venezia Giulia dell’accoglienza e accompagnamento delle imprese estere interessate a nuovi insediamenti ha già redatto 21 dossier strategici per altrettanti possibili investitori.</w:t>
      </w:r>
      <w:r w:rsidRPr="00F271D2">
        <w:rPr>
          <w:rFonts w:asciiTheme="majorHAnsi" w:eastAsia="Times New Roman" w:hAnsiTheme="majorHAnsi" w:cstheme="majorHAnsi"/>
          <w:b/>
          <w:color w:val="auto"/>
          <w:sz w:val="22"/>
          <w:szCs w:val="22"/>
          <w:lang w:val="it-IT" w:eastAsia="it-IT"/>
        </w:rPr>
        <w:t xml:space="preserve"> </w:t>
      </w:r>
      <w:proofErr w:type="gramStart"/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>E</w:t>
      </w:r>
      <w:proofErr w:type="gramEnd"/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 questa attività</w:t>
      </w:r>
      <w:r w:rsidRPr="00F271D2">
        <w:rPr>
          <w:rFonts w:asciiTheme="majorHAnsi" w:eastAsia="Times New Roman" w:hAnsiTheme="majorHAnsi" w:cstheme="majorHAnsi"/>
          <w:b/>
          <w:color w:val="auto"/>
          <w:sz w:val="22"/>
          <w:szCs w:val="22"/>
          <w:lang w:val="it-IT" w:eastAsia="it-IT"/>
        </w:rPr>
        <w:t xml:space="preserve"> </w:t>
      </w: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è stata svolta parallelamente alla ricerca attiva degli investimenti </w:t>
      </w:r>
      <w:r w:rsidR="008D676A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negli ambiti prioritari individuati da Agenzia per conto della Regione. </w:t>
      </w:r>
    </w:p>
    <w:p w14:paraId="169ADC39" w14:textId="0C7492BE" w:rsidR="00FC0A2C" w:rsidRPr="00F271D2" w:rsidRDefault="00FC0A2C" w:rsidP="00FC0A2C">
      <w:pPr>
        <w:spacing w:after="120" w:line="240" w:lineRule="auto"/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</w:pP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Gli ambiti </w:t>
      </w:r>
      <w:r w:rsidR="001661A8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in cui si svolge la ricerca </w:t>
      </w:r>
      <w:r w:rsidR="008D676A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di investimenti </w:t>
      </w: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tengono conto degli esiti di un’importante analisi condotta da Agenzia con il supporto specialistico di OCO Global Limited, una delle preminenti </w:t>
      </w:r>
      <w:r w:rsidR="00DB07E9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società </w:t>
      </w: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europee </w:t>
      </w:r>
      <w:r w:rsidR="00DB07E9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nella </w:t>
      </w:r>
      <w:r w:rsidR="00DB07E9" w:rsidRPr="00F271D2">
        <w:rPr>
          <w:rFonts w:asciiTheme="majorHAnsi" w:hAnsiTheme="majorHAnsi" w:cstheme="majorHAnsi"/>
          <w:color w:val="auto"/>
          <w:sz w:val="22"/>
          <w:szCs w:val="22"/>
          <w:shd w:val="clear" w:color="auto" w:fill="FFFFFF"/>
        </w:rPr>
        <w:t>consulenza internazionale specializzata nel campo dell'attrattività e della competitività dei territori</w:t>
      </w: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>, sul posizionamento strategico della regione Friuli Venezia Giulia in termini di attrattività e competitività. Le indagini sono partite dall’analisi del mercato della domanda e dall’approfondimento dell’ambiente concorrenziale comprensivo di benchmark rispetto ad altri territori esteri.</w:t>
      </w:r>
    </w:p>
    <w:p w14:paraId="4DFF362C" w14:textId="70CDBD5D" w:rsidR="00FC0A2C" w:rsidRPr="00F271D2" w:rsidRDefault="00FC0A2C" w:rsidP="00FC0A2C">
      <w:pPr>
        <w:spacing w:after="120" w:line="240" w:lineRule="auto"/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</w:pP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>La regione Friul</w:t>
      </w:r>
      <w:r w:rsidR="00645FA7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i Venezia Giulia, è la prima </w:t>
      </w: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regione italiana </w:t>
      </w:r>
      <w:r w:rsidR="00645FA7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>ad essere</w:t>
      </w:r>
      <w:r w:rsidR="009514B5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 stata</w:t>
      </w:r>
      <w:r w:rsidR="00645FA7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 </w:t>
      </w: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>classificata Strong innovator dal «</w:t>
      </w:r>
      <w:proofErr w:type="spellStart"/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>Regio</w:t>
      </w:r>
      <w:r w:rsidR="00645FA7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>nal</w:t>
      </w:r>
      <w:proofErr w:type="spellEnd"/>
      <w:r w:rsidR="00645FA7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 </w:t>
      </w:r>
      <w:proofErr w:type="spellStart"/>
      <w:r w:rsidR="00645FA7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>Innovation</w:t>
      </w:r>
      <w:proofErr w:type="spellEnd"/>
      <w:r w:rsidR="00645FA7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 </w:t>
      </w:r>
      <w:proofErr w:type="spellStart"/>
      <w:r w:rsidR="00645FA7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>Scoreboard</w:t>
      </w:r>
      <w:proofErr w:type="spellEnd"/>
      <w:r w:rsidR="00645FA7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» </w:t>
      </w: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della Commissione Europea, risulta avere un posizionamento vantaggioso in quanto è dotata di un </w:t>
      </w:r>
      <w:r w:rsidRPr="00F271D2">
        <w:rPr>
          <w:rFonts w:asciiTheme="majorHAnsi" w:eastAsia="Times New Roman" w:hAnsiTheme="majorHAnsi" w:cstheme="majorHAnsi"/>
          <w:b/>
          <w:color w:val="auto"/>
          <w:sz w:val="22"/>
          <w:szCs w:val="22"/>
          <w:lang w:val="it-IT" w:eastAsia="it-IT"/>
        </w:rPr>
        <w:t>ecosistema regionale ricco e stimolante</w:t>
      </w: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, che presenta un tessuto economico-industriale con una </w:t>
      </w:r>
      <w:r w:rsidRPr="00F271D2">
        <w:rPr>
          <w:rFonts w:asciiTheme="majorHAnsi" w:eastAsia="Times New Roman" w:hAnsiTheme="majorHAnsi" w:cstheme="majorHAnsi"/>
          <w:b/>
          <w:color w:val="auto"/>
          <w:sz w:val="22"/>
          <w:szCs w:val="22"/>
          <w:lang w:val="it-IT" w:eastAsia="it-IT"/>
        </w:rPr>
        <w:t>forte apertura internazionale</w:t>
      </w: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, </w:t>
      </w:r>
      <w:r w:rsidRPr="00F271D2">
        <w:rPr>
          <w:rFonts w:asciiTheme="majorHAnsi" w:eastAsia="Times New Roman" w:hAnsiTheme="majorHAnsi" w:cstheme="majorHAnsi"/>
          <w:b/>
          <w:color w:val="auto"/>
          <w:sz w:val="22"/>
          <w:szCs w:val="22"/>
          <w:lang w:val="it-IT" w:eastAsia="it-IT"/>
        </w:rPr>
        <w:t>aree industriali attrezzate e concentrazioni settoriali significative</w:t>
      </w: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 nella </w:t>
      </w:r>
      <w:r w:rsidRPr="00F271D2">
        <w:rPr>
          <w:rFonts w:asciiTheme="majorHAnsi" w:eastAsia="Times New Roman" w:hAnsiTheme="majorHAnsi" w:cstheme="majorHAnsi"/>
          <w:i/>
          <w:color w:val="auto"/>
          <w:sz w:val="22"/>
          <w:szCs w:val="22"/>
          <w:lang w:val="it-IT" w:eastAsia="it-IT"/>
        </w:rPr>
        <w:t>metalmeccanica, metallurgia, fabbricazione di prodotti in metallo, fabbricazione di macchinari, cantieristica navale e nautica, legno-arredo e agroalimentare</w:t>
      </w: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. Inoltre, in regione sono presenti sia un bacino di reclutamento potenziale di competenze con </w:t>
      </w:r>
      <w:r w:rsidRPr="00F271D2">
        <w:rPr>
          <w:rFonts w:asciiTheme="majorHAnsi" w:eastAsia="Times New Roman" w:hAnsiTheme="majorHAnsi" w:cstheme="majorHAnsi"/>
          <w:b/>
          <w:color w:val="auto"/>
          <w:sz w:val="22"/>
          <w:szCs w:val="22"/>
          <w:lang w:val="it-IT" w:eastAsia="it-IT"/>
        </w:rPr>
        <w:t>un livello di qualifica della popolazione superiore alla media nazionale</w:t>
      </w: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, sia </w:t>
      </w:r>
      <w:r w:rsidRPr="00F271D2">
        <w:rPr>
          <w:rFonts w:asciiTheme="majorHAnsi" w:eastAsia="Times New Roman" w:hAnsiTheme="majorHAnsi" w:cstheme="majorHAnsi"/>
          <w:b/>
          <w:color w:val="auto"/>
          <w:sz w:val="22"/>
          <w:szCs w:val="22"/>
          <w:lang w:val="it-IT" w:eastAsia="it-IT"/>
        </w:rPr>
        <w:t>risorse scientifiche e tecnologiche altamente qualificate</w:t>
      </w: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 per collaborazioni in progetti di ricerca, sviluppo e innovazione, in particolare con un </w:t>
      </w:r>
      <w:r w:rsidRPr="00F271D2">
        <w:rPr>
          <w:rFonts w:asciiTheme="majorHAnsi" w:eastAsia="Times New Roman" w:hAnsiTheme="majorHAnsi" w:cstheme="majorHAnsi"/>
          <w:b/>
          <w:color w:val="auto"/>
          <w:sz w:val="22"/>
          <w:szCs w:val="22"/>
          <w:lang w:val="it-IT" w:eastAsia="it-IT"/>
        </w:rPr>
        <w:t>posizionamento significativo nelle scienze della vita, nelle scienze dei materiali, nell’ICT, nell’elettronica, nelle nanotecnologie e nelle scienze e tecnologie alimentari</w:t>
      </w: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. </w:t>
      </w:r>
    </w:p>
    <w:p w14:paraId="52CE0A0E" w14:textId="72D4D080" w:rsidR="00FC0A2C" w:rsidRPr="00F271D2" w:rsidRDefault="00FC0A2C" w:rsidP="00FC0A2C">
      <w:pPr>
        <w:spacing w:after="120" w:line="240" w:lineRule="auto"/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</w:pP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Il </w:t>
      </w:r>
      <w:r w:rsidRPr="00F271D2">
        <w:rPr>
          <w:rFonts w:asciiTheme="majorHAnsi" w:eastAsia="Times New Roman" w:hAnsiTheme="majorHAnsi" w:cstheme="majorHAnsi"/>
          <w:b/>
          <w:color w:val="auto"/>
          <w:sz w:val="22"/>
          <w:szCs w:val="22"/>
          <w:lang w:val="it-IT" w:eastAsia="it-IT"/>
        </w:rPr>
        <w:t>posizionamento geografico e la rete infrastrutturale sono ottimali</w:t>
      </w: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 rispetto al mercato dell’Europa occidentale, del Nord e Nord-Est Italia nonché dell’Europa centrale e orientale, con costi operativi comparativamente inferiori rispetto ad altre aree di analogo sviluppo e la </w:t>
      </w:r>
      <w:r w:rsidRPr="00F271D2">
        <w:rPr>
          <w:rFonts w:asciiTheme="majorHAnsi" w:eastAsia="Times New Roman" w:hAnsiTheme="majorHAnsi" w:cstheme="majorHAnsi"/>
          <w:b/>
          <w:color w:val="auto"/>
          <w:sz w:val="22"/>
          <w:szCs w:val="22"/>
          <w:lang w:val="it-IT" w:eastAsia="it-IT"/>
        </w:rPr>
        <w:t>disponibilità di agevolazioni</w:t>
      </w: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, in particolare per supportare gli investimenti produttivi e la ricerca, sviluppo e innovazione. La regione inoltre presenta </w:t>
      </w:r>
      <w:r w:rsidRPr="00F271D2">
        <w:rPr>
          <w:rFonts w:asciiTheme="majorHAnsi" w:eastAsia="Times New Roman" w:hAnsiTheme="majorHAnsi" w:cstheme="majorHAnsi"/>
          <w:b/>
          <w:color w:val="auto"/>
          <w:sz w:val="22"/>
          <w:szCs w:val="22"/>
          <w:lang w:val="it-IT" w:eastAsia="it-IT"/>
        </w:rPr>
        <w:t>un'elevata qualità della vita</w:t>
      </w: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 in termini di costo della vita, qualità dell’ambiente, sicurezza e in termini di offerta culturale e sportiva nonché di contesto ambientale.</w:t>
      </w:r>
      <w:r w:rsidR="00144E6F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 E questi ultimi </w:t>
      </w:r>
      <w:r w:rsidR="00144E6F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lastRenderedPageBreak/>
        <w:t>aspetti che un tempo potevano forse essere marginali, acquistano sempre maggior peso per chi decide di investire in nuovi territori.</w:t>
      </w:r>
    </w:p>
    <w:p w14:paraId="3D8CE6F6" w14:textId="1FE69372" w:rsidR="00FC0A2C" w:rsidRPr="00F271D2" w:rsidRDefault="00091E41" w:rsidP="00801565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</w:pP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>Tenendo conto del</w:t>
      </w:r>
      <w:r w:rsidR="00FC0A2C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 mercato degli investimenti esteri, sono stati quindi individuati </w:t>
      </w: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>gli</w:t>
      </w:r>
      <w:r w:rsidR="00FC0A2C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 ambiti prioritari </w:t>
      </w: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>compatibili</w:t>
      </w:r>
      <w:r w:rsidR="00FC0A2C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 con gli obiettivi di sviluppo sostenibile</w:t>
      </w: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 della regione: p</w:t>
      </w:r>
      <w:r w:rsidR="00FC0A2C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er quanto riguarda le </w:t>
      </w:r>
      <w:r w:rsidR="00FC0A2C" w:rsidRPr="00F271D2">
        <w:rPr>
          <w:rFonts w:asciiTheme="majorHAnsi" w:eastAsia="Times New Roman" w:hAnsiTheme="majorHAnsi" w:cstheme="majorHAnsi"/>
          <w:b/>
          <w:bCs/>
          <w:color w:val="auto"/>
          <w:sz w:val="22"/>
          <w:szCs w:val="22"/>
          <w:lang w:val="it-IT" w:eastAsia="it-IT"/>
        </w:rPr>
        <w:t>funzioni aziendali</w:t>
      </w: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 gli ambiti più vantaggiosi risultano essere</w:t>
      </w:r>
      <w:r w:rsidR="00FC0A2C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 i </w:t>
      </w:r>
      <w:r w:rsidR="00FC0A2C" w:rsidRPr="00F271D2">
        <w:rPr>
          <w:rFonts w:asciiTheme="majorHAnsi" w:eastAsia="Times New Roman" w:hAnsiTheme="majorHAnsi" w:cstheme="majorHAnsi"/>
          <w:i/>
          <w:color w:val="auto"/>
          <w:sz w:val="22"/>
          <w:szCs w:val="22"/>
          <w:lang w:val="it-IT" w:eastAsia="it-IT"/>
        </w:rPr>
        <w:t>servizi alle imprese, la ricerca e sviluppo, la logistica e la distribuzione; la manifattura</w:t>
      </w:r>
      <w:r w:rsidR="00FC0A2C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, mentre i </w:t>
      </w:r>
      <w:r w:rsidR="00FC0A2C" w:rsidRPr="00F271D2">
        <w:rPr>
          <w:rFonts w:asciiTheme="majorHAnsi" w:eastAsia="Times New Roman" w:hAnsiTheme="majorHAnsi" w:cstheme="majorHAnsi"/>
          <w:b/>
          <w:color w:val="auto"/>
          <w:sz w:val="22"/>
          <w:szCs w:val="22"/>
          <w:lang w:val="it-IT" w:eastAsia="it-IT"/>
        </w:rPr>
        <w:t>settori produttivi specifici</w:t>
      </w:r>
      <w:r w:rsidR="00FC0A2C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 sono </w:t>
      </w:r>
      <w:r w:rsidR="00FC0A2C" w:rsidRPr="00F271D2">
        <w:rPr>
          <w:rFonts w:asciiTheme="majorHAnsi" w:eastAsia="Times New Roman" w:hAnsiTheme="majorHAnsi" w:cstheme="majorHAnsi"/>
          <w:i/>
          <w:color w:val="auto"/>
          <w:sz w:val="22"/>
          <w:szCs w:val="22"/>
          <w:lang w:val="it-IT" w:eastAsia="it-IT"/>
        </w:rPr>
        <w:t>l’ICT</w:t>
      </w:r>
      <w:r w:rsidR="00FC0A2C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 (legata alla realizzazione di software, servizi informatici, piattaforme di intermediazione, creazione di contenuti digitali, data centres, telecomunicazioni), </w:t>
      </w:r>
      <w:r w:rsidR="00FC0A2C" w:rsidRPr="00F271D2">
        <w:rPr>
          <w:rFonts w:asciiTheme="majorHAnsi" w:eastAsia="Times New Roman" w:hAnsiTheme="majorHAnsi" w:cstheme="majorHAnsi"/>
          <w:i/>
          <w:color w:val="auto"/>
          <w:sz w:val="22"/>
          <w:szCs w:val="22"/>
          <w:lang w:val="it-IT" w:eastAsia="it-IT"/>
        </w:rPr>
        <w:t>i servizi professionali legati all’ingegneria, la metalmeccanica</w:t>
      </w:r>
      <w:r w:rsidR="00FC0A2C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 (legata a industria 4.0, ingegneria, consulenza tecnologica o per la digitalizzazione, macchinari, impianti, attrezzature industrial), </w:t>
      </w:r>
      <w:r w:rsidR="00FC0A2C" w:rsidRPr="00F271D2">
        <w:rPr>
          <w:rFonts w:asciiTheme="majorHAnsi" w:eastAsia="Times New Roman" w:hAnsiTheme="majorHAnsi" w:cstheme="majorHAnsi"/>
          <w:i/>
          <w:color w:val="auto"/>
          <w:sz w:val="22"/>
          <w:szCs w:val="22"/>
          <w:lang w:val="it-IT" w:eastAsia="it-IT"/>
        </w:rPr>
        <w:t>le scienze della vita</w:t>
      </w:r>
      <w:r w:rsidR="00FC0A2C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 (biofarmaceutico e apparecchiature e dispositivi medicali), </w:t>
      </w:r>
      <w:r w:rsidR="00FC0A2C" w:rsidRPr="00F271D2">
        <w:rPr>
          <w:rFonts w:asciiTheme="majorHAnsi" w:eastAsia="Times New Roman" w:hAnsiTheme="majorHAnsi" w:cstheme="majorHAnsi"/>
          <w:i/>
          <w:color w:val="auto"/>
          <w:sz w:val="22"/>
          <w:szCs w:val="22"/>
          <w:lang w:val="it-IT" w:eastAsia="it-IT"/>
        </w:rPr>
        <w:t>l’agroalimentare</w:t>
      </w:r>
      <w:r w:rsidR="00FC0A2C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 (alimentare innovativo) e </w:t>
      </w:r>
      <w:r w:rsidR="00FC0A2C" w:rsidRPr="00F271D2">
        <w:rPr>
          <w:rFonts w:asciiTheme="majorHAnsi" w:eastAsia="Times New Roman" w:hAnsiTheme="majorHAnsi" w:cstheme="majorHAnsi"/>
          <w:i/>
          <w:color w:val="auto"/>
          <w:sz w:val="22"/>
          <w:szCs w:val="22"/>
          <w:lang w:val="it-IT" w:eastAsia="it-IT"/>
        </w:rPr>
        <w:t>la logistica</w:t>
      </w:r>
      <w:r w:rsidR="00FC0A2C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>.</w:t>
      </w:r>
    </w:p>
    <w:p w14:paraId="6185431B" w14:textId="6BB33D3A" w:rsidR="006B3DB2" w:rsidRPr="00F271D2" w:rsidRDefault="00091E41" w:rsidP="002A4C8E">
      <w:pPr>
        <w:spacing w:after="0" w:line="276" w:lineRule="auto"/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</w:pP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Grande attenzione viene quindi rivolta a </w:t>
      </w:r>
      <w:r w:rsidR="002A4C8E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nuovi investitori </w:t>
      </w: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appartenenti ai </w:t>
      </w:r>
      <w:r w:rsidR="002A4C8E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paesi target individuati ovvero </w:t>
      </w:r>
      <w:r w:rsidR="002A4C8E" w:rsidRPr="00F271D2">
        <w:rPr>
          <w:rFonts w:asciiTheme="majorHAnsi" w:eastAsia="Times New Roman" w:hAnsiTheme="majorHAnsi" w:cstheme="majorHAnsi"/>
          <w:b/>
          <w:color w:val="auto"/>
          <w:sz w:val="22"/>
          <w:szCs w:val="22"/>
          <w:lang w:val="it-IT" w:eastAsia="it-IT"/>
        </w:rPr>
        <w:t>Austria, Germania, Francia</w:t>
      </w:r>
      <w:r w:rsidR="002A4C8E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 e </w:t>
      </w:r>
      <w:r w:rsidR="002A4C8E" w:rsidRPr="00F271D2">
        <w:rPr>
          <w:rFonts w:asciiTheme="majorHAnsi" w:eastAsia="Times New Roman" w:hAnsiTheme="majorHAnsi" w:cstheme="majorHAnsi"/>
          <w:b/>
          <w:color w:val="auto"/>
          <w:sz w:val="22"/>
          <w:szCs w:val="22"/>
          <w:lang w:val="it-IT" w:eastAsia="it-IT"/>
        </w:rPr>
        <w:t>Stati Uniti</w:t>
      </w:r>
      <w:r w:rsidR="002A4C8E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 con un programma di eventi ed azioni che vedono il team </w:t>
      </w: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di Agenzia </w:t>
      </w:r>
      <w:r w:rsidR="002A4C8E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impegnato </w:t>
      </w:r>
      <w:r w:rsidR="009514B5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a fianco della Regione </w:t>
      </w:r>
      <w:r w:rsidR="002A4C8E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>nell’accendere l’attenzione sul territorio regionale, in chiave di sostenibilità, di sinergia e di proficua collaborazione con le imprese ivi già avviate</w:t>
      </w:r>
      <w:r w:rsidR="00645FA7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>.</w:t>
      </w:r>
    </w:p>
    <w:p w14:paraId="33F08FA5" w14:textId="77777777" w:rsidR="00645FA7" w:rsidRPr="00F271D2" w:rsidRDefault="00645FA7" w:rsidP="002A4C8E">
      <w:pPr>
        <w:spacing w:after="0" w:line="276" w:lineRule="auto"/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</w:pPr>
    </w:p>
    <w:p w14:paraId="3EFF429F" w14:textId="2E0583AE" w:rsidR="00127AD9" w:rsidRPr="00F271D2" w:rsidRDefault="00127AD9" w:rsidP="002A4C8E">
      <w:pPr>
        <w:spacing w:after="0" w:line="276" w:lineRule="auto"/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</w:pP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>INCENTIVI ALL’INSEDIAMENTO</w:t>
      </w:r>
      <w:r w:rsidR="00645FA7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 E ATTRAZIONE INVESTIMENTI</w:t>
      </w:r>
      <w:r w:rsidR="008D676A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 </w:t>
      </w:r>
    </w:p>
    <w:p w14:paraId="49D8D1E5" w14:textId="77777777" w:rsidR="00D26834" w:rsidRPr="00F271D2" w:rsidRDefault="00144E6F">
      <w:pPr>
        <w:spacing w:after="0" w:line="276" w:lineRule="auto"/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</w:pP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I bandi </w:t>
      </w:r>
      <w:r w:rsidR="000204B6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per </w:t>
      </w:r>
      <w:r w:rsidR="009514B5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contributi </w:t>
      </w: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relativi agli incentivi all’insediamento (misura ordinaria) e all’attrazione investimenti (novità della </w:t>
      </w:r>
      <w:r w:rsidR="00645FA7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>legge regionale SviluppoImpresa</w:t>
      </w: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 approvata a inizio ann</w:t>
      </w:r>
      <w:r w:rsidR="002824EB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>o</w:t>
      </w: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>) vengono pubblicati a cadenza periodica</w:t>
      </w:r>
      <w:r w:rsidR="00D26834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>, e per grandi imprese arrivano fino a un massimo 3 milioni di euro.</w:t>
      </w:r>
    </w:p>
    <w:p w14:paraId="52284205" w14:textId="62130F25" w:rsidR="00127AD9" w:rsidRPr="00F271D2" w:rsidRDefault="00D26834">
      <w:pPr>
        <w:spacing w:after="0" w:line="276" w:lineRule="auto"/>
        <w:rPr>
          <w:rFonts w:asciiTheme="majorHAnsi" w:hAnsiTheme="majorHAnsi" w:cstheme="majorHAnsi"/>
          <w:color w:val="auto"/>
          <w:sz w:val="22"/>
          <w:szCs w:val="22"/>
          <w:lang w:val="it-IT"/>
        </w:rPr>
      </w:pP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>In</w:t>
      </w:r>
      <w:r w:rsidR="00144E6F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 particolare </w:t>
      </w: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>la</w:t>
      </w:r>
      <w:r w:rsidR="00144E6F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 misura</w:t>
      </w:r>
      <w:r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 relativa all’attrazione investimenti</w:t>
      </w:r>
      <w:r w:rsidR="00144E6F" w:rsidRPr="00F271D2">
        <w:rPr>
          <w:rFonts w:asciiTheme="majorHAnsi" w:eastAsia="Times New Roman" w:hAnsiTheme="majorHAnsi" w:cstheme="majorHAnsi"/>
          <w:color w:val="auto"/>
          <w:sz w:val="22"/>
          <w:szCs w:val="22"/>
          <w:lang w:val="it-IT" w:eastAsia="it-IT"/>
        </w:rPr>
        <w:t xml:space="preserve"> è rivolta </w:t>
      </w:r>
      <w:r w:rsidR="00144E6F" w:rsidRPr="00F271D2">
        <w:rPr>
          <w:rFonts w:asciiTheme="majorHAnsi" w:hAnsiTheme="majorHAnsi" w:cstheme="majorHAnsi"/>
          <w:color w:val="auto"/>
          <w:sz w:val="22"/>
          <w:szCs w:val="22"/>
          <w:lang w:val="it-IT"/>
        </w:rPr>
        <w:t>al</w:t>
      </w:r>
      <w:r w:rsidR="00675756" w:rsidRPr="00F271D2">
        <w:rPr>
          <w:rFonts w:asciiTheme="majorHAnsi" w:hAnsiTheme="majorHAnsi" w:cstheme="majorHAnsi"/>
          <w:color w:val="auto"/>
          <w:sz w:val="22"/>
          <w:szCs w:val="22"/>
          <w:lang w:val="it-IT"/>
        </w:rPr>
        <w:t>le imprese manifatturiere e del terziario avanzato esterne alla Regione con un investimento minimo di 7 milioni di euro, un significativo impatto sull’indotto, un rilevante impatto occu</w:t>
      </w:r>
      <w:r w:rsidR="00645FA7" w:rsidRPr="00F271D2">
        <w:rPr>
          <w:rFonts w:asciiTheme="majorHAnsi" w:hAnsiTheme="majorHAnsi" w:cstheme="majorHAnsi"/>
          <w:color w:val="auto"/>
          <w:sz w:val="22"/>
          <w:szCs w:val="22"/>
          <w:lang w:val="it-IT"/>
        </w:rPr>
        <w:t xml:space="preserve">pazionale e un progetto che </w:t>
      </w:r>
      <w:r w:rsidR="00144E6F" w:rsidRPr="00F271D2">
        <w:rPr>
          <w:rFonts w:asciiTheme="majorHAnsi" w:hAnsiTheme="majorHAnsi" w:cstheme="majorHAnsi"/>
          <w:color w:val="auto"/>
          <w:sz w:val="22"/>
          <w:szCs w:val="22"/>
          <w:lang w:val="it-IT"/>
        </w:rPr>
        <w:t>sia</w:t>
      </w:r>
      <w:r w:rsidR="00675756" w:rsidRPr="00F271D2">
        <w:rPr>
          <w:rFonts w:asciiTheme="majorHAnsi" w:hAnsiTheme="majorHAnsi" w:cstheme="majorHAnsi"/>
          <w:color w:val="auto"/>
          <w:sz w:val="22"/>
          <w:szCs w:val="22"/>
          <w:lang w:val="it-IT"/>
        </w:rPr>
        <w:t xml:space="preserve"> in linea con gli ambiti prioritari regionali</w:t>
      </w:r>
      <w:r w:rsidR="00645FA7" w:rsidRPr="00F271D2">
        <w:rPr>
          <w:rFonts w:asciiTheme="majorHAnsi" w:hAnsiTheme="majorHAnsi" w:cstheme="majorHAnsi"/>
          <w:color w:val="auto"/>
          <w:sz w:val="22"/>
          <w:szCs w:val="22"/>
          <w:lang w:val="it-IT"/>
        </w:rPr>
        <w:t xml:space="preserve">. </w:t>
      </w:r>
      <w:r w:rsidR="00144E6F" w:rsidRPr="00F271D2">
        <w:rPr>
          <w:rFonts w:asciiTheme="majorHAnsi" w:hAnsiTheme="majorHAnsi" w:cstheme="majorHAnsi"/>
          <w:color w:val="auto"/>
          <w:sz w:val="22"/>
          <w:szCs w:val="22"/>
          <w:lang w:val="it-IT"/>
        </w:rPr>
        <w:t>Il secondo bando 2021 è atteso</w:t>
      </w:r>
      <w:r w:rsidR="002824EB" w:rsidRPr="00F271D2">
        <w:rPr>
          <w:rFonts w:asciiTheme="majorHAnsi" w:hAnsiTheme="majorHAnsi" w:cstheme="majorHAnsi"/>
          <w:color w:val="auto"/>
          <w:sz w:val="22"/>
          <w:szCs w:val="22"/>
          <w:lang w:val="it-IT"/>
        </w:rPr>
        <w:t xml:space="preserve"> nelle prossime settimane.</w:t>
      </w:r>
    </w:p>
    <w:p w14:paraId="6D5FA1B9" w14:textId="77777777" w:rsidR="00127AD9" w:rsidRPr="00F271D2" w:rsidRDefault="00127AD9" w:rsidP="002A4C8E">
      <w:pPr>
        <w:spacing w:after="0" w:line="276" w:lineRule="auto"/>
        <w:rPr>
          <w:rFonts w:asciiTheme="majorHAnsi" w:hAnsiTheme="majorHAnsi" w:cstheme="majorHAnsi"/>
          <w:color w:val="auto"/>
          <w:sz w:val="22"/>
          <w:szCs w:val="22"/>
          <w:lang w:val="it-IT"/>
        </w:rPr>
      </w:pPr>
    </w:p>
    <w:p w14:paraId="63603F9D" w14:textId="3F94F112" w:rsidR="0063268A" w:rsidRPr="00F271D2" w:rsidRDefault="00F912CB" w:rsidP="00F912CB">
      <w:pPr>
        <w:spacing w:after="0" w:line="276" w:lineRule="auto"/>
        <w:rPr>
          <w:rFonts w:asciiTheme="majorHAnsi" w:hAnsiTheme="majorHAnsi" w:cstheme="majorHAnsi"/>
          <w:color w:val="auto"/>
          <w:sz w:val="22"/>
          <w:szCs w:val="22"/>
          <w:lang w:val="it-IT"/>
        </w:rPr>
      </w:pPr>
      <w:r w:rsidRPr="00F271D2">
        <w:rPr>
          <w:rFonts w:asciiTheme="majorHAnsi" w:hAnsiTheme="majorHAnsi" w:cstheme="majorHAnsi"/>
          <w:color w:val="auto"/>
          <w:sz w:val="22"/>
          <w:szCs w:val="22"/>
          <w:lang w:val="it-IT"/>
        </w:rPr>
        <w:t xml:space="preserve">Per maggiori informazioni o per un approfondimento sui contributi ed agevolazioni previsti contattare il </w:t>
      </w:r>
      <w:r w:rsidRPr="00F271D2">
        <w:rPr>
          <w:rFonts w:asciiTheme="majorHAnsi" w:hAnsiTheme="majorHAnsi" w:cstheme="majorHAnsi"/>
          <w:i/>
          <w:color w:val="auto"/>
          <w:sz w:val="22"/>
          <w:szCs w:val="22"/>
          <w:lang w:val="it-IT"/>
        </w:rPr>
        <w:t xml:space="preserve">Team </w:t>
      </w:r>
      <w:proofErr w:type="spellStart"/>
      <w:r w:rsidRPr="00F271D2">
        <w:rPr>
          <w:rFonts w:asciiTheme="majorHAnsi" w:hAnsiTheme="majorHAnsi" w:cstheme="majorHAnsi"/>
          <w:i/>
          <w:color w:val="auto"/>
          <w:sz w:val="22"/>
          <w:szCs w:val="22"/>
          <w:lang w:val="it-IT"/>
        </w:rPr>
        <w:t>InvestinFVG</w:t>
      </w:r>
      <w:proofErr w:type="spellEnd"/>
      <w:r w:rsidRPr="00F271D2">
        <w:rPr>
          <w:rFonts w:asciiTheme="majorHAnsi" w:hAnsiTheme="majorHAnsi" w:cstheme="majorHAnsi"/>
          <w:color w:val="auto"/>
          <w:sz w:val="22"/>
          <w:szCs w:val="22"/>
          <w:lang w:val="it-IT"/>
        </w:rPr>
        <w:t xml:space="preserve"> di Agenzia Lavoro &amp; SviluppoImpresa, via Sant’Anastasio, 3 - 34132, </w:t>
      </w:r>
      <w:r w:rsidR="0063268A" w:rsidRPr="00F271D2">
        <w:rPr>
          <w:rFonts w:asciiTheme="majorHAnsi" w:hAnsiTheme="majorHAnsi" w:cstheme="majorHAnsi"/>
          <w:color w:val="auto"/>
          <w:sz w:val="22"/>
          <w:szCs w:val="22"/>
          <w:lang w:val="it-IT"/>
        </w:rPr>
        <w:t xml:space="preserve">Trieste TS </w:t>
      </w:r>
    </w:p>
    <w:p w14:paraId="2FE8252F" w14:textId="73E4D81B" w:rsidR="00F912CB" w:rsidRPr="00F271D2" w:rsidRDefault="0063268A" w:rsidP="00F912CB">
      <w:pPr>
        <w:spacing w:after="0" w:line="276" w:lineRule="auto"/>
        <w:rPr>
          <w:rFonts w:asciiTheme="majorHAnsi" w:hAnsiTheme="majorHAnsi" w:cstheme="majorHAnsi"/>
          <w:color w:val="auto"/>
          <w:sz w:val="22"/>
          <w:szCs w:val="22"/>
          <w:lang w:val="it-IT"/>
        </w:rPr>
      </w:pPr>
      <w:r w:rsidRPr="00F271D2">
        <w:rPr>
          <w:rFonts w:asciiTheme="majorHAnsi" w:hAnsiTheme="majorHAnsi" w:cstheme="majorHAnsi"/>
          <w:color w:val="auto"/>
          <w:sz w:val="22"/>
          <w:szCs w:val="22"/>
          <w:lang w:val="it-IT"/>
        </w:rPr>
        <w:t xml:space="preserve">tel. 040 377 2491 | </w:t>
      </w:r>
      <w:proofErr w:type="gramStart"/>
      <w:r w:rsidRPr="00F271D2">
        <w:rPr>
          <w:rFonts w:asciiTheme="majorHAnsi" w:hAnsiTheme="majorHAnsi" w:cstheme="majorHAnsi"/>
          <w:color w:val="auto"/>
          <w:sz w:val="22"/>
          <w:szCs w:val="22"/>
          <w:lang w:val="it-IT"/>
        </w:rPr>
        <w:t>investinfvg@regione.fvg.it  |</w:t>
      </w:r>
      <w:proofErr w:type="gramEnd"/>
      <w:r w:rsidRPr="00F271D2">
        <w:rPr>
          <w:rFonts w:asciiTheme="majorHAnsi" w:hAnsiTheme="majorHAnsi" w:cstheme="majorHAnsi"/>
          <w:color w:val="auto"/>
          <w:sz w:val="22"/>
          <w:szCs w:val="22"/>
          <w:lang w:val="it-IT"/>
        </w:rPr>
        <w:t xml:space="preserve"> </w:t>
      </w:r>
      <w:r w:rsidR="000C4E61" w:rsidRPr="00F271D2">
        <w:rPr>
          <w:rFonts w:asciiTheme="majorHAnsi" w:hAnsiTheme="majorHAnsi" w:cstheme="majorHAnsi"/>
          <w:color w:val="auto"/>
          <w:sz w:val="22"/>
          <w:szCs w:val="22"/>
          <w:lang w:val="it-IT"/>
        </w:rPr>
        <w:t>www.investinfvg.it</w:t>
      </w:r>
    </w:p>
    <w:p w14:paraId="1F240B55" w14:textId="030F91EF" w:rsidR="00F912CB" w:rsidRPr="00336F9E" w:rsidRDefault="00F912CB" w:rsidP="002A4C8E">
      <w:pPr>
        <w:spacing w:after="0" w:line="276" w:lineRule="auto"/>
        <w:rPr>
          <w:rFonts w:ascii="DecimaWE Regular" w:hAnsi="DecimaWE Regular"/>
          <w:sz w:val="22"/>
          <w:szCs w:val="22"/>
          <w:lang w:val="it-IT"/>
        </w:rPr>
      </w:pPr>
    </w:p>
    <w:sectPr w:rsidR="00F912CB" w:rsidRPr="00336F9E" w:rsidSect="00B11FD8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985" w:right="1418" w:bottom="1888" w:left="1418" w:header="0" w:footer="567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B74F6" w16cex:dateUtc="2021-05-28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A082AF" w16cid:durableId="245B74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D1D17" w14:textId="77777777" w:rsidR="00C05ADC" w:rsidRDefault="00C05ADC">
      <w:pPr>
        <w:spacing w:after="0" w:line="240" w:lineRule="auto"/>
      </w:pPr>
      <w:r>
        <w:separator/>
      </w:r>
    </w:p>
  </w:endnote>
  <w:endnote w:type="continuationSeparator" w:id="0">
    <w:p w14:paraId="0510EAE4" w14:textId="77777777" w:rsidR="00C05ADC" w:rsidRDefault="00C0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egular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B8E21" w14:textId="77777777" w:rsidR="00127AD9" w:rsidRDefault="00127AD9">
    <w:pPr>
      <w:spacing w:after="0"/>
      <w:jc w:val="center"/>
      <w:rPr>
        <w:b/>
        <w:sz w:val="14"/>
        <w:szCs w:val="14"/>
      </w:rPr>
    </w:pPr>
    <w:r>
      <w:rPr>
        <w:b/>
        <w:sz w:val="14"/>
        <w:szCs w:val="14"/>
      </w:rPr>
      <w:t>Agenzia Lavoro &amp; SviluppoImpresa</w:t>
    </w:r>
    <w:r>
      <w:rPr>
        <w:b/>
        <w:sz w:val="14"/>
        <w:szCs w:val="14"/>
      </w:rPr>
      <w:br/>
    </w:r>
    <w:r>
      <w:rPr>
        <w:rFonts w:ascii="Arial Unicode MS" w:eastAsia="Arial Unicode MS" w:hAnsi="Arial Unicode MS" w:cs="Arial Unicode MS"/>
        <w:sz w:val="14"/>
        <w:szCs w:val="14"/>
      </w:rPr>
      <w:t>via Sant’Anastasio, 3  ∙  34132 Trieste TS  ∙  040 377 249</w:t>
    </w:r>
    <w:r>
      <w:rPr>
        <w:sz w:val="14"/>
        <w:szCs w:val="14"/>
      </w:rPr>
      <w:t>1</w:t>
    </w:r>
    <w:r>
      <w:rPr>
        <w:sz w:val="14"/>
        <w:szCs w:val="14"/>
      </w:rPr>
      <w:br/>
      <w:t>lavoro.sviluppoimpresa</w:t>
    </w:r>
    <w:r>
      <w:rPr>
        <w:rFonts w:ascii="Arial Unicode MS" w:eastAsia="Arial Unicode MS" w:hAnsi="Arial Unicode MS" w:cs="Arial Unicode MS"/>
        <w:sz w:val="14"/>
        <w:szCs w:val="14"/>
      </w:rPr>
      <w:t xml:space="preserve">@certregione.fvg.it  ∙  </w:t>
    </w:r>
    <w:r>
      <w:rPr>
        <w:sz w:val="14"/>
        <w:szCs w:val="14"/>
      </w:rPr>
      <w:t>lavoro.sviluppoimpresa@regione.fvg.it</w:t>
    </w:r>
    <w:r>
      <w:rPr>
        <w:sz w:val="14"/>
        <w:szCs w:val="14"/>
      </w:rPr>
      <w:br/>
    </w:r>
    <w:r>
      <w:rPr>
        <w:b/>
        <w:sz w:val="14"/>
        <w:szCs w:val="14"/>
      </w:rPr>
      <w:t>www.lavoroimpresa.fvg.it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64FCE" w14:textId="77777777" w:rsidR="00127AD9" w:rsidRDefault="00127AD9">
    <w:pPr>
      <w:spacing w:after="0"/>
      <w:jc w:val="center"/>
      <w:rPr>
        <w:b/>
        <w:sz w:val="14"/>
        <w:szCs w:val="14"/>
      </w:rPr>
    </w:pPr>
  </w:p>
  <w:p w14:paraId="19C07A37" w14:textId="77777777" w:rsidR="00127AD9" w:rsidRDefault="00127AD9">
    <w:pPr>
      <w:spacing w:after="0"/>
      <w:jc w:val="center"/>
      <w:rPr>
        <w:b/>
        <w:sz w:val="14"/>
        <w:szCs w:val="14"/>
      </w:rPr>
    </w:pPr>
    <w:r>
      <w:rPr>
        <w:b/>
        <w:sz w:val="14"/>
        <w:szCs w:val="14"/>
      </w:rPr>
      <w:br/>
      <w:t>Agenzia Lavoro &amp; SviluppoImpresa</w:t>
    </w:r>
  </w:p>
  <w:p w14:paraId="081D446F" w14:textId="77777777" w:rsidR="00127AD9" w:rsidRDefault="00127AD9">
    <w:pPr>
      <w:spacing w:after="0"/>
      <w:jc w:val="center"/>
      <w:rPr>
        <w:sz w:val="14"/>
        <w:szCs w:val="14"/>
      </w:rPr>
    </w:pPr>
    <w:r>
      <w:rPr>
        <w:rFonts w:ascii="Arial Unicode MS" w:eastAsia="Arial Unicode MS" w:hAnsi="Arial Unicode MS" w:cs="Arial Unicode MS"/>
        <w:sz w:val="14"/>
        <w:szCs w:val="14"/>
      </w:rPr>
      <w:t xml:space="preserve">via Sant’Anastasio, </w:t>
    </w:r>
    <w:proofErr w:type="gramStart"/>
    <w:r>
      <w:rPr>
        <w:rFonts w:ascii="Arial Unicode MS" w:eastAsia="Arial Unicode MS" w:hAnsi="Arial Unicode MS" w:cs="Arial Unicode MS"/>
        <w:sz w:val="14"/>
        <w:szCs w:val="14"/>
      </w:rPr>
      <w:t>3  ∙</w:t>
    </w:r>
    <w:proofErr w:type="gramEnd"/>
    <w:r>
      <w:rPr>
        <w:rFonts w:ascii="Arial Unicode MS" w:eastAsia="Arial Unicode MS" w:hAnsi="Arial Unicode MS" w:cs="Arial Unicode MS"/>
        <w:sz w:val="14"/>
        <w:szCs w:val="14"/>
      </w:rPr>
      <w:t xml:space="preserve">  34132 Trieste TS  ∙  040 377 2491</w:t>
    </w:r>
  </w:p>
  <w:p w14:paraId="65D70F7E" w14:textId="77777777" w:rsidR="00127AD9" w:rsidRDefault="00127AD9">
    <w:pPr>
      <w:spacing w:after="0"/>
      <w:jc w:val="center"/>
      <w:rPr>
        <w:sz w:val="14"/>
        <w:szCs w:val="14"/>
      </w:rPr>
    </w:pPr>
    <w:proofErr w:type="gramStart"/>
    <w:r>
      <w:rPr>
        <w:sz w:val="14"/>
        <w:szCs w:val="14"/>
      </w:rPr>
      <w:t>lavoro.sviluppoimpresa</w:t>
    </w:r>
    <w:r>
      <w:rPr>
        <w:rFonts w:ascii="Arial Unicode MS" w:eastAsia="Arial Unicode MS" w:hAnsi="Arial Unicode MS" w:cs="Arial Unicode MS"/>
        <w:sz w:val="14"/>
        <w:szCs w:val="14"/>
      </w:rPr>
      <w:t>@certregione.fvg.it  ∙</w:t>
    </w:r>
    <w:proofErr w:type="gramEnd"/>
    <w:r>
      <w:rPr>
        <w:rFonts w:ascii="Arial Unicode MS" w:eastAsia="Arial Unicode MS" w:hAnsi="Arial Unicode MS" w:cs="Arial Unicode MS"/>
        <w:sz w:val="14"/>
        <w:szCs w:val="14"/>
      </w:rPr>
      <w:t xml:space="preserve">  lavoro.</w:t>
    </w:r>
    <w:r>
      <w:rPr>
        <w:sz w:val="14"/>
        <w:szCs w:val="14"/>
      </w:rPr>
      <w:t>sviluppoimpresa@regione.fvg.it</w:t>
    </w:r>
  </w:p>
  <w:p w14:paraId="067A4552" w14:textId="77777777" w:rsidR="00127AD9" w:rsidRDefault="00127AD9">
    <w:pPr>
      <w:spacing w:after="0"/>
      <w:jc w:val="center"/>
    </w:pPr>
    <w:r>
      <w:rPr>
        <w:b/>
        <w:sz w:val="14"/>
        <w:szCs w:val="14"/>
      </w:rPr>
      <w:t>www.lavoroimpresa.fvg.it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0A5DF" w14:textId="77777777" w:rsidR="00C05ADC" w:rsidRDefault="00C05ADC">
      <w:pPr>
        <w:spacing w:after="0" w:line="240" w:lineRule="auto"/>
      </w:pPr>
      <w:r>
        <w:separator/>
      </w:r>
    </w:p>
  </w:footnote>
  <w:footnote w:type="continuationSeparator" w:id="0">
    <w:p w14:paraId="0EFEEFD5" w14:textId="77777777" w:rsidR="00C05ADC" w:rsidRDefault="00C05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53A3F" w14:textId="77777777" w:rsidR="00127AD9" w:rsidRDefault="00127AD9">
    <w:pPr>
      <w:jc w:val="left"/>
    </w:pPr>
    <w:r>
      <w:rPr>
        <w:noProof/>
        <w:lang w:val="it-IT" w:eastAsia="it-IT"/>
      </w:rPr>
      <w:drawing>
        <wp:anchor distT="0" distB="0" distL="0" distR="0" simplePos="0" relativeHeight="251658240" behindDoc="0" locked="0" layoutInCell="1" hidden="0" allowOverlap="1" wp14:anchorId="19B4BA1C" wp14:editId="455470C1">
          <wp:simplePos x="0" y="0"/>
          <wp:positionH relativeFrom="page">
            <wp:posOffset>3622200</wp:posOffset>
          </wp:positionH>
          <wp:positionV relativeFrom="page">
            <wp:posOffset>0</wp:posOffset>
          </wp:positionV>
          <wp:extent cx="314325" cy="825500"/>
          <wp:effectExtent l="0" t="0" r="0" b="0"/>
          <wp:wrapTopAndBottom distT="0" dist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4343"/>
                  <a:stretch>
                    <a:fillRect/>
                  </a:stretch>
                </pic:blipFill>
                <pic:spPr>
                  <a:xfrm>
                    <a:off x="0" y="0"/>
                    <a:ext cx="314325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7EE96" w14:textId="77777777" w:rsidR="00127AD9" w:rsidRDefault="00127AD9">
    <w:pPr>
      <w:jc w:val="left"/>
    </w:pPr>
    <w:r>
      <w:rPr>
        <w:noProof/>
        <w:lang w:val="it-IT" w:eastAsia="it-IT"/>
      </w:rPr>
      <w:drawing>
        <wp:anchor distT="0" distB="0" distL="0" distR="0" simplePos="0" relativeHeight="251659264" behindDoc="0" locked="0" layoutInCell="1" hidden="0" allowOverlap="1" wp14:anchorId="537678E0" wp14:editId="0307FE46">
          <wp:simplePos x="0" y="0"/>
          <wp:positionH relativeFrom="page">
            <wp:posOffset>3155475</wp:posOffset>
          </wp:positionH>
          <wp:positionV relativeFrom="page">
            <wp:posOffset>0</wp:posOffset>
          </wp:positionV>
          <wp:extent cx="1252900" cy="1800000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2900" cy="18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08D739" w14:textId="77777777" w:rsidR="00127AD9" w:rsidRDefault="00127AD9">
    <w:pP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2C"/>
    <w:rsid w:val="0000762A"/>
    <w:rsid w:val="000204B6"/>
    <w:rsid w:val="000429B7"/>
    <w:rsid w:val="00091E41"/>
    <w:rsid w:val="000C30A8"/>
    <w:rsid w:val="000C4E61"/>
    <w:rsid w:val="001108AB"/>
    <w:rsid w:val="00127AD9"/>
    <w:rsid w:val="00144E6F"/>
    <w:rsid w:val="001661A8"/>
    <w:rsid w:val="001D70E5"/>
    <w:rsid w:val="001F2197"/>
    <w:rsid w:val="002051C5"/>
    <w:rsid w:val="002824EB"/>
    <w:rsid w:val="002A4C8E"/>
    <w:rsid w:val="00317493"/>
    <w:rsid w:val="00321657"/>
    <w:rsid w:val="00336F9E"/>
    <w:rsid w:val="003543F3"/>
    <w:rsid w:val="003B0ABE"/>
    <w:rsid w:val="003C2725"/>
    <w:rsid w:val="00423887"/>
    <w:rsid w:val="00427229"/>
    <w:rsid w:val="00516671"/>
    <w:rsid w:val="00537FC1"/>
    <w:rsid w:val="005F655B"/>
    <w:rsid w:val="0063268A"/>
    <w:rsid w:val="00645FA7"/>
    <w:rsid w:val="00675756"/>
    <w:rsid w:val="006B3DB2"/>
    <w:rsid w:val="0071397D"/>
    <w:rsid w:val="00801565"/>
    <w:rsid w:val="00870185"/>
    <w:rsid w:val="00886F88"/>
    <w:rsid w:val="00891D2A"/>
    <w:rsid w:val="008B111E"/>
    <w:rsid w:val="008D676A"/>
    <w:rsid w:val="00930B28"/>
    <w:rsid w:val="009514B5"/>
    <w:rsid w:val="009A33FD"/>
    <w:rsid w:val="009B1C6B"/>
    <w:rsid w:val="009F7E24"/>
    <w:rsid w:val="00A41C72"/>
    <w:rsid w:val="00A51ADB"/>
    <w:rsid w:val="00AA2AD3"/>
    <w:rsid w:val="00AC6F78"/>
    <w:rsid w:val="00AE0D10"/>
    <w:rsid w:val="00B11FD8"/>
    <w:rsid w:val="00BA5F8F"/>
    <w:rsid w:val="00C05ADC"/>
    <w:rsid w:val="00D26834"/>
    <w:rsid w:val="00D65E46"/>
    <w:rsid w:val="00D81A81"/>
    <w:rsid w:val="00D874FE"/>
    <w:rsid w:val="00DB07E9"/>
    <w:rsid w:val="00ED6A98"/>
    <w:rsid w:val="00F271D2"/>
    <w:rsid w:val="00F514D3"/>
    <w:rsid w:val="00F912CB"/>
    <w:rsid w:val="00FC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5018B"/>
  <w15:docId w15:val="{D1A4E387-657F-45E9-8375-4287103F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color w:val="26343B"/>
        <w:sz w:val="21"/>
        <w:szCs w:val="21"/>
        <w:lang w:val="it" w:eastAsia="en-GB" w:bidi="ar-SA"/>
      </w:rPr>
    </w:rPrDefault>
    <w:pPrDefault>
      <w:pPr>
        <w:spacing w:after="200" w:line="39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 w:line="288" w:lineRule="auto"/>
      <w:jc w:val="left"/>
      <w:outlineLvl w:val="0"/>
    </w:pPr>
    <w:rPr>
      <w:b/>
      <w:sz w:val="36"/>
      <w:szCs w:val="36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 w:line="288" w:lineRule="auto"/>
      <w:jc w:val="left"/>
      <w:outlineLvl w:val="1"/>
    </w:pPr>
    <w:rPr>
      <w:b/>
      <w:sz w:val="28"/>
      <w:szCs w:val="28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line="360" w:lineRule="auto"/>
      <w:ind w:left="720"/>
      <w:outlineLvl w:val="2"/>
    </w:pPr>
    <w:rPr>
      <w:b/>
      <w:color w:val="2AB59A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3216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657"/>
  </w:style>
  <w:style w:type="paragraph" w:styleId="Pidipagina">
    <w:name w:val="footer"/>
    <w:basedOn w:val="Normale"/>
    <w:link w:val="PidipaginaCarattere"/>
    <w:uiPriority w:val="99"/>
    <w:unhideWhenUsed/>
    <w:rsid w:val="003216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657"/>
  </w:style>
  <w:style w:type="paragraph" w:styleId="Citazioneintensa">
    <w:name w:val="Intense Quote"/>
    <w:basedOn w:val="Titolo3"/>
    <w:next w:val="Normale"/>
    <w:link w:val="CitazioneintensaCarattere"/>
    <w:uiPriority w:val="30"/>
    <w:qFormat/>
    <w:rsid w:val="00321657"/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1657"/>
    <w:rPr>
      <w:b/>
      <w:color w:val="2AB59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2165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1657"/>
    <w:rPr>
      <w:color w:val="605E5C"/>
      <w:shd w:val="clear" w:color="auto" w:fill="E1DFDD"/>
    </w:rPr>
  </w:style>
  <w:style w:type="paragraph" w:customStyle="1" w:styleId="Link">
    <w:name w:val="Link"/>
    <w:basedOn w:val="Normale"/>
    <w:link w:val="LinkCarattere"/>
    <w:qFormat/>
    <w:rsid w:val="00321657"/>
    <w:rPr>
      <w:color w:val="2AB59A"/>
      <w:u w:val="single"/>
    </w:rPr>
  </w:style>
  <w:style w:type="character" w:customStyle="1" w:styleId="LinkCarattere">
    <w:name w:val="Link Carattere"/>
    <w:basedOn w:val="Carpredefinitoparagrafo"/>
    <w:link w:val="Link"/>
    <w:rsid w:val="00321657"/>
    <w:rPr>
      <w:color w:val="2AB59A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7E9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DB07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B07E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B07E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B07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B07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7200">
          <w:marLeft w:val="2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485">
          <w:marLeft w:val="2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729">
          <w:marLeft w:val="2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6">
          <w:marLeft w:val="2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286">
          <w:marLeft w:val="2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427">
          <w:marLeft w:val="2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115">
          <w:marLeft w:val="2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432">
          <w:marLeft w:val="2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1922">
          <w:marLeft w:val="2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483">
          <w:marLeft w:val="2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1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9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05">
          <w:marLeft w:val="2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1664">
          <w:marLeft w:val="2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05">
          <w:marLeft w:val="2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233">
          <w:marLeft w:val="2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208">
          <w:marLeft w:val="2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85">
          <w:marLeft w:val="2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336">
          <w:marLeft w:val="2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994">
          <w:marLeft w:val="2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575">
          <w:marLeft w:val="2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524">
          <w:marLeft w:val="2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ACF2D-8F0D-45BE-B766-91F2ADE9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m</dc:creator>
  <cp:lastModifiedBy>Marchesich Federica</cp:lastModifiedBy>
  <cp:revision>2</cp:revision>
  <cp:lastPrinted>2021-09-15T09:40:00Z</cp:lastPrinted>
  <dcterms:created xsi:type="dcterms:W3CDTF">2021-09-23T11:42:00Z</dcterms:created>
  <dcterms:modified xsi:type="dcterms:W3CDTF">2021-09-23T11:42:00Z</dcterms:modified>
</cp:coreProperties>
</file>