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FD95" w14:textId="2BD9EA69" w:rsidR="0058402A" w:rsidRPr="00A919AB" w:rsidRDefault="00F80FB9" w:rsidP="00F80FB9">
      <w:pPr>
        <w:jc w:val="center"/>
        <w:rPr>
          <w:b/>
          <w:bCs/>
          <w:color w:val="037986"/>
          <w:sz w:val="36"/>
          <w:szCs w:val="36"/>
        </w:rPr>
      </w:pPr>
      <w:r w:rsidRPr="00A919AB">
        <w:rPr>
          <w:b/>
          <w:bCs/>
          <w:color w:val="037986"/>
          <w:sz w:val="36"/>
          <w:szCs w:val="36"/>
        </w:rPr>
        <w:t>IL MERCATO IMMOBILIARE NON SMETTE LA SUA CORSA</w:t>
      </w:r>
    </w:p>
    <w:p w14:paraId="137432C3" w14:textId="47C71E33" w:rsidR="008C55F4" w:rsidRPr="003D7F18" w:rsidRDefault="00645AD5" w:rsidP="00F80FB9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it-IT"/>
        </w:rPr>
      </w:pPr>
      <w:r>
        <w:rPr>
          <w:sz w:val="24"/>
          <w:szCs w:val="24"/>
        </w:rPr>
        <w:t>“</w:t>
      </w:r>
      <w:r w:rsidR="008C55F4" w:rsidRPr="00F80FB9">
        <w:rPr>
          <w:sz w:val="24"/>
          <w:szCs w:val="24"/>
        </w:rPr>
        <w:t>La prima parte del 2021 restituisce un mercato immobiliare vivace e in rapida ripresa</w:t>
      </w:r>
      <w:r w:rsidR="002E1A60" w:rsidRPr="00F80FB9">
        <w:rPr>
          <w:sz w:val="24"/>
          <w:szCs w:val="24"/>
        </w:rPr>
        <w:t>,</w:t>
      </w:r>
      <w:r w:rsidR="008C55F4" w:rsidRPr="00F80FB9">
        <w:rPr>
          <w:sz w:val="24"/>
          <w:szCs w:val="24"/>
        </w:rPr>
        <w:t xml:space="preserve"> </w:t>
      </w:r>
      <w:r w:rsidR="003D7F18">
        <w:rPr>
          <w:sz w:val="24"/>
          <w:szCs w:val="24"/>
        </w:rPr>
        <w:t xml:space="preserve">- afferma </w:t>
      </w:r>
      <w:r w:rsidR="003D7F18" w:rsidRPr="003D7F18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Fabiana Megliola, Responsabile Ufficio Studi Gruppo Tecnocasa</w:t>
      </w:r>
      <w:r w:rsidR="003D7F18" w:rsidRPr="003D7F18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- </w:t>
      </w:r>
      <w:r w:rsidR="008C55F4" w:rsidRPr="003D7F18">
        <w:rPr>
          <w:sz w:val="24"/>
          <w:szCs w:val="24"/>
        </w:rPr>
        <w:t>come testimoniano sia i dati sui volumi</w:t>
      </w:r>
      <w:r w:rsidR="008C55F4" w:rsidRPr="00F80FB9">
        <w:rPr>
          <w:sz w:val="24"/>
          <w:szCs w:val="24"/>
        </w:rPr>
        <w:t xml:space="preserve"> scambiati sia quelli sui prezzi. Ci siamo lasciati alle spalle un 2020 con risultati migliori delle attese e siamo entrati, fiduciosi, nell’anno in corso.  La domanda abitativa, esplosa dopo il primo lockdown, non ha accennato flessioni e ha continuato a crescere trascinata dalla volontà di acquistare casa e dalla spinta del mercato del credito, </w:t>
      </w:r>
      <w:r w:rsidR="000C7A10" w:rsidRPr="00F80FB9">
        <w:rPr>
          <w:sz w:val="24"/>
          <w:szCs w:val="24"/>
        </w:rPr>
        <w:t>mai così conveniente</w:t>
      </w:r>
      <w:r w:rsidR="008C55F4" w:rsidRPr="00F80FB9">
        <w:rPr>
          <w:sz w:val="24"/>
          <w:szCs w:val="24"/>
        </w:rPr>
        <w:t xml:space="preserve">. A fare da cornice a questo quadro </w:t>
      </w:r>
      <w:r w:rsidR="00CF3296" w:rsidRPr="00F80FB9">
        <w:rPr>
          <w:sz w:val="24"/>
          <w:szCs w:val="24"/>
        </w:rPr>
        <w:t xml:space="preserve">le aspettative </w:t>
      </w:r>
      <w:r w:rsidR="000C7A10" w:rsidRPr="00F80FB9">
        <w:rPr>
          <w:sz w:val="24"/>
          <w:szCs w:val="24"/>
        </w:rPr>
        <w:t>positive sul futuro scenario economico ed un migliorato clima di fiducia</w:t>
      </w:r>
      <w:r w:rsidR="003D7F18">
        <w:rPr>
          <w:sz w:val="24"/>
          <w:szCs w:val="24"/>
        </w:rPr>
        <w:t>”</w:t>
      </w:r>
      <w:r w:rsidR="000C7A10" w:rsidRPr="00F80FB9">
        <w:rPr>
          <w:sz w:val="24"/>
          <w:szCs w:val="24"/>
        </w:rPr>
        <w:t xml:space="preserve">. </w:t>
      </w:r>
    </w:p>
    <w:p w14:paraId="1F615205" w14:textId="77777777" w:rsidR="00F80FB9" w:rsidRPr="00F80FB9" w:rsidRDefault="00F80FB9" w:rsidP="00F80FB9">
      <w:pPr>
        <w:spacing w:after="0" w:line="240" w:lineRule="auto"/>
        <w:jc w:val="both"/>
        <w:rPr>
          <w:sz w:val="24"/>
          <w:szCs w:val="24"/>
        </w:rPr>
      </w:pPr>
    </w:p>
    <w:p w14:paraId="2AC0C9AA" w14:textId="38007C11" w:rsidR="008C55F4" w:rsidRPr="00A919AB" w:rsidRDefault="008C55F4" w:rsidP="00F80FB9">
      <w:pPr>
        <w:spacing w:after="0" w:line="240" w:lineRule="auto"/>
        <w:jc w:val="both"/>
        <w:rPr>
          <w:b/>
          <w:bCs/>
          <w:color w:val="037986"/>
          <w:sz w:val="24"/>
          <w:szCs w:val="24"/>
        </w:rPr>
      </w:pPr>
      <w:r w:rsidRPr="00A919AB">
        <w:rPr>
          <w:b/>
          <w:bCs/>
          <w:color w:val="037986"/>
          <w:sz w:val="24"/>
          <w:szCs w:val="24"/>
        </w:rPr>
        <w:t>Volumi di compravendita</w:t>
      </w:r>
    </w:p>
    <w:p w14:paraId="04502C6E" w14:textId="73944F92" w:rsidR="008C55F4" w:rsidRDefault="008C55F4" w:rsidP="00F80FB9">
      <w:pPr>
        <w:spacing w:after="0" w:line="240" w:lineRule="auto"/>
        <w:jc w:val="both"/>
        <w:rPr>
          <w:sz w:val="24"/>
          <w:szCs w:val="24"/>
        </w:rPr>
      </w:pPr>
      <w:r w:rsidRPr="00F80FB9">
        <w:rPr>
          <w:sz w:val="24"/>
          <w:szCs w:val="24"/>
        </w:rPr>
        <w:t>I primi sei mesi del 2021</w:t>
      </w:r>
      <w:r w:rsidR="000C7A10" w:rsidRPr="00F80FB9">
        <w:rPr>
          <w:sz w:val="24"/>
          <w:szCs w:val="24"/>
        </w:rPr>
        <w:t xml:space="preserve"> evidenziano </w:t>
      </w:r>
      <w:r w:rsidRPr="00F80FB9">
        <w:rPr>
          <w:sz w:val="24"/>
          <w:szCs w:val="24"/>
        </w:rPr>
        <w:t xml:space="preserve">un </w:t>
      </w:r>
      <w:r w:rsidRPr="008248F3">
        <w:rPr>
          <w:b/>
          <w:bCs/>
          <w:sz w:val="24"/>
          <w:szCs w:val="24"/>
        </w:rPr>
        <w:t>incremento dei volumi di transazione del</w:t>
      </w:r>
      <w:r w:rsidR="000C7A10" w:rsidRPr="008248F3">
        <w:rPr>
          <w:b/>
          <w:bCs/>
          <w:sz w:val="24"/>
          <w:szCs w:val="24"/>
        </w:rPr>
        <w:t xml:space="preserve"> 56%</w:t>
      </w:r>
      <w:r w:rsidR="000C7A10" w:rsidRPr="00F80FB9">
        <w:rPr>
          <w:sz w:val="24"/>
          <w:szCs w:val="24"/>
        </w:rPr>
        <w:t xml:space="preserve"> rispetto allo stesso periodo del 2020 e del 21,9% rispetto al 2019, con un risultato più che lusinghiero per i comuni non capoluogo che mettono a segno </w:t>
      </w:r>
      <w:r w:rsidR="00E94DF4" w:rsidRPr="00F80FB9">
        <w:rPr>
          <w:sz w:val="24"/>
          <w:szCs w:val="24"/>
        </w:rPr>
        <w:t>una crescita</w:t>
      </w:r>
      <w:r w:rsidR="000C7A10" w:rsidRPr="00F80FB9">
        <w:rPr>
          <w:sz w:val="24"/>
          <w:szCs w:val="24"/>
        </w:rPr>
        <w:t xml:space="preserve"> rispettivamente del 62,4% e del 26,4%. </w:t>
      </w:r>
    </w:p>
    <w:p w14:paraId="1BBD985D" w14:textId="77777777" w:rsidR="00F80FB9" w:rsidRPr="00F80FB9" w:rsidRDefault="00F80FB9" w:rsidP="00F80FB9">
      <w:pPr>
        <w:spacing w:after="0" w:line="240" w:lineRule="auto"/>
        <w:jc w:val="both"/>
        <w:rPr>
          <w:sz w:val="24"/>
          <w:szCs w:val="24"/>
        </w:rPr>
      </w:pPr>
    </w:p>
    <w:p w14:paraId="24F65D96" w14:textId="374B757C" w:rsidR="008C55F4" w:rsidRPr="00A919AB" w:rsidRDefault="008C55F4" w:rsidP="00F80FB9">
      <w:pPr>
        <w:spacing w:after="0" w:line="240" w:lineRule="auto"/>
        <w:jc w:val="both"/>
        <w:rPr>
          <w:b/>
          <w:bCs/>
          <w:color w:val="037986"/>
          <w:sz w:val="24"/>
          <w:szCs w:val="24"/>
        </w:rPr>
      </w:pPr>
      <w:r w:rsidRPr="00A919AB">
        <w:rPr>
          <w:b/>
          <w:bCs/>
          <w:color w:val="037986"/>
          <w:sz w:val="24"/>
          <w:szCs w:val="24"/>
        </w:rPr>
        <w:t xml:space="preserve">Tempi di vendita </w:t>
      </w:r>
    </w:p>
    <w:p w14:paraId="12A2E830" w14:textId="787BFD52" w:rsidR="008C55F4" w:rsidRDefault="003D7F18" w:rsidP="00F80F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C55F4" w:rsidRPr="00F80FB9">
        <w:rPr>
          <w:sz w:val="24"/>
          <w:szCs w:val="24"/>
        </w:rPr>
        <w:t xml:space="preserve">I tempi di vendita, </w:t>
      </w:r>
      <w:r w:rsidR="00FE008F" w:rsidRPr="00F80FB9">
        <w:rPr>
          <w:sz w:val="24"/>
          <w:szCs w:val="24"/>
        </w:rPr>
        <w:t>importante</w:t>
      </w:r>
      <w:r w:rsidR="008C55F4" w:rsidRPr="00F80FB9">
        <w:rPr>
          <w:sz w:val="24"/>
          <w:szCs w:val="24"/>
        </w:rPr>
        <w:t xml:space="preserve"> indicatore dello stato di salute del mercato immobiliare, </w:t>
      </w:r>
      <w:r>
        <w:rPr>
          <w:sz w:val="24"/>
          <w:szCs w:val="24"/>
        </w:rPr>
        <w:t xml:space="preserve">- continua Megliola - </w:t>
      </w:r>
      <w:r w:rsidR="000C7A10" w:rsidRPr="00F80FB9">
        <w:rPr>
          <w:sz w:val="24"/>
          <w:szCs w:val="24"/>
        </w:rPr>
        <w:t xml:space="preserve">registrano </w:t>
      </w:r>
      <w:r w:rsidR="000C7A10" w:rsidRPr="008248F3">
        <w:rPr>
          <w:b/>
          <w:bCs/>
          <w:sz w:val="24"/>
          <w:szCs w:val="24"/>
        </w:rPr>
        <w:t xml:space="preserve">segnali di miglioramento </w:t>
      </w:r>
      <w:r w:rsidR="008C55F4" w:rsidRPr="008248F3">
        <w:rPr>
          <w:b/>
          <w:bCs/>
          <w:sz w:val="24"/>
          <w:szCs w:val="24"/>
        </w:rPr>
        <w:t>rispetto ad un anno fa</w:t>
      </w:r>
      <w:r w:rsidR="008C55F4" w:rsidRPr="00F80FB9">
        <w:rPr>
          <w:sz w:val="24"/>
          <w:szCs w:val="24"/>
        </w:rPr>
        <w:t xml:space="preserve">. </w:t>
      </w:r>
      <w:r w:rsidR="002E1A60" w:rsidRPr="00F80FB9">
        <w:rPr>
          <w:sz w:val="24"/>
          <w:szCs w:val="24"/>
        </w:rPr>
        <w:t xml:space="preserve">Gli </w:t>
      </w:r>
      <w:r w:rsidR="008C55F4" w:rsidRPr="00F80FB9">
        <w:rPr>
          <w:sz w:val="24"/>
          <w:szCs w:val="24"/>
        </w:rPr>
        <w:t xml:space="preserve">ultimi dati dicono che, nelle grandi città, le tempistiche di vendita sono di 114 giorni con un aumento di soli due </w:t>
      </w:r>
      <w:r w:rsidR="000C7A10" w:rsidRPr="00F80FB9">
        <w:rPr>
          <w:sz w:val="24"/>
          <w:szCs w:val="24"/>
        </w:rPr>
        <w:t>giorni</w:t>
      </w:r>
      <w:r w:rsidR="008C55F4" w:rsidRPr="00F80FB9">
        <w:rPr>
          <w:sz w:val="24"/>
          <w:szCs w:val="24"/>
        </w:rPr>
        <w:t xml:space="preserve"> rispetto ad un anno fa, nei capoluoghi di provincia si segnala una media di 143 giorni in miglioramento di </w:t>
      </w:r>
      <w:r w:rsidR="000C7A10" w:rsidRPr="00F80FB9">
        <w:rPr>
          <w:sz w:val="24"/>
          <w:szCs w:val="24"/>
        </w:rPr>
        <w:t>sei</w:t>
      </w:r>
      <w:r w:rsidR="008C55F4" w:rsidRPr="00F80FB9">
        <w:rPr>
          <w:sz w:val="24"/>
          <w:szCs w:val="24"/>
        </w:rPr>
        <w:t xml:space="preserve"> giorni ris</w:t>
      </w:r>
      <w:r w:rsidR="000C7A10" w:rsidRPr="00F80FB9">
        <w:rPr>
          <w:sz w:val="24"/>
          <w:szCs w:val="24"/>
        </w:rPr>
        <w:t xml:space="preserve">petto a quanto registrato </w:t>
      </w:r>
      <w:r w:rsidR="008C55F4" w:rsidRPr="00F80FB9">
        <w:rPr>
          <w:sz w:val="24"/>
          <w:szCs w:val="24"/>
        </w:rPr>
        <w:t xml:space="preserve">nel 2020, per finire con i comuni dell’hinterland delle grandi città </w:t>
      </w:r>
      <w:r w:rsidR="000C7A10" w:rsidRPr="00F80FB9">
        <w:rPr>
          <w:sz w:val="24"/>
          <w:szCs w:val="24"/>
        </w:rPr>
        <w:t>dove si vende in</w:t>
      </w:r>
      <w:r w:rsidR="008C55F4" w:rsidRPr="00F80FB9">
        <w:rPr>
          <w:sz w:val="24"/>
          <w:szCs w:val="24"/>
        </w:rPr>
        <w:t xml:space="preserve"> 147 giorni contro 154 giorni dell’anno scorso.</w:t>
      </w:r>
      <w:r w:rsidR="00D42575">
        <w:rPr>
          <w:sz w:val="24"/>
          <w:szCs w:val="24"/>
        </w:rPr>
        <w:t xml:space="preserve"> </w:t>
      </w:r>
      <w:r w:rsidR="008C55F4" w:rsidRPr="00F80FB9">
        <w:rPr>
          <w:sz w:val="24"/>
          <w:szCs w:val="24"/>
        </w:rPr>
        <w:t xml:space="preserve">Tra le grandi città i tempi di vendita maggiori si registrano a Bari (149 gg) e </w:t>
      </w:r>
      <w:r w:rsidR="00E95379" w:rsidRPr="00F80FB9">
        <w:rPr>
          <w:sz w:val="24"/>
          <w:szCs w:val="24"/>
        </w:rPr>
        <w:t>Palermo</w:t>
      </w:r>
      <w:r w:rsidR="008C55F4" w:rsidRPr="00F80FB9">
        <w:rPr>
          <w:sz w:val="24"/>
          <w:szCs w:val="24"/>
        </w:rPr>
        <w:t xml:space="preserve"> (1</w:t>
      </w:r>
      <w:r w:rsidR="00E94DF4" w:rsidRPr="00F80FB9">
        <w:rPr>
          <w:sz w:val="24"/>
          <w:szCs w:val="24"/>
        </w:rPr>
        <w:t>43</w:t>
      </w:r>
      <w:r w:rsidR="008C55F4" w:rsidRPr="00F80FB9">
        <w:rPr>
          <w:sz w:val="24"/>
          <w:szCs w:val="24"/>
        </w:rPr>
        <w:t xml:space="preserve"> gg). Le metropoli “più veloci” sono Milano (62 gg) e Bologna (63 gg).</w:t>
      </w:r>
      <w:r w:rsidR="00D42575">
        <w:rPr>
          <w:sz w:val="24"/>
          <w:szCs w:val="24"/>
        </w:rPr>
        <w:t xml:space="preserve"> </w:t>
      </w:r>
      <w:r w:rsidR="00FE008F" w:rsidRPr="00F80FB9">
        <w:rPr>
          <w:sz w:val="24"/>
          <w:szCs w:val="24"/>
        </w:rPr>
        <w:t xml:space="preserve">Questi risultati si spiegano con una </w:t>
      </w:r>
      <w:r w:rsidR="00E94DF4" w:rsidRPr="00F80FB9">
        <w:rPr>
          <w:sz w:val="24"/>
          <w:szCs w:val="24"/>
        </w:rPr>
        <w:t>più ferma</w:t>
      </w:r>
      <w:r w:rsidR="00FE008F" w:rsidRPr="00F80FB9">
        <w:rPr>
          <w:sz w:val="24"/>
          <w:szCs w:val="24"/>
        </w:rPr>
        <w:t xml:space="preserve"> decisione nell’acquisto e, nelle metropoli, </w:t>
      </w:r>
      <w:r w:rsidR="002E1A60" w:rsidRPr="00F80FB9">
        <w:rPr>
          <w:sz w:val="24"/>
          <w:szCs w:val="24"/>
        </w:rPr>
        <w:t xml:space="preserve">anche </w:t>
      </w:r>
      <w:r w:rsidR="00FE008F" w:rsidRPr="00F80FB9">
        <w:rPr>
          <w:sz w:val="24"/>
          <w:szCs w:val="24"/>
        </w:rPr>
        <w:t>con una carenza di offerta</w:t>
      </w:r>
      <w:r w:rsidR="000C7A10" w:rsidRPr="00F80FB9">
        <w:rPr>
          <w:sz w:val="24"/>
          <w:szCs w:val="24"/>
        </w:rPr>
        <w:t xml:space="preserve">, </w:t>
      </w:r>
      <w:r w:rsidR="00FE008F" w:rsidRPr="00F80FB9">
        <w:rPr>
          <w:sz w:val="24"/>
          <w:szCs w:val="24"/>
        </w:rPr>
        <w:t>soprattutto sulle tipologie di migliore qualità</w:t>
      </w:r>
      <w:r>
        <w:rPr>
          <w:sz w:val="24"/>
          <w:szCs w:val="24"/>
        </w:rPr>
        <w:t>”</w:t>
      </w:r>
      <w:r w:rsidR="00FE008F" w:rsidRPr="00F80FB9">
        <w:rPr>
          <w:sz w:val="24"/>
          <w:szCs w:val="24"/>
        </w:rPr>
        <w:t xml:space="preserve">.  </w:t>
      </w:r>
    </w:p>
    <w:p w14:paraId="15883749" w14:textId="77777777" w:rsidR="00F80FB9" w:rsidRPr="00F80FB9" w:rsidRDefault="00F80FB9" w:rsidP="00F80FB9">
      <w:pPr>
        <w:spacing w:after="0" w:line="240" w:lineRule="auto"/>
        <w:jc w:val="both"/>
        <w:rPr>
          <w:sz w:val="24"/>
          <w:szCs w:val="24"/>
        </w:rPr>
      </w:pPr>
    </w:p>
    <w:p w14:paraId="59294451" w14:textId="3FB79A24" w:rsidR="00FE008F" w:rsidRPr="00A919AB" w:rsidRDefault="00FE008F" w:rsidP="00F80FB9">
      <w:pPr>
        <w:spacing w:after="0" w:line="240" w:lineRule="auto"/>
        <w:jc w:val="both"/>
        <w:rPr>
          <w:b/>
          <w:bCs/>
          <w:color w:val="037986"/>
          <w:sz w:val="24"/>
          <w:szCs w:val="24"/>
        </w:rPr>
      </w:pPr>
      <w:r w:rsidRPr="00A919AB">
        <w:rPr>
          <w:b/>
          <w:bCs/>
          <w:color w:val="037986"/>
          <w:sz w:val="24"/>
          <w:szCs w:val="24"/>
        </w:rPr>
        <w:t xml:space="preserve">Prezzi </w:t>
      </w:r>
    </w:p>
    <w:p w14:paraId="55879443" w14:textId="66B1B360" w:rsidR="002E1A60" w:rsidRDefault="003D7F18" w:rsidP="00F80FB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FE008F" w:rsidRPr="00F80FB9">
        <w:rPr>
          <w:sz w:val="24"/>
          <w:szCs w:val="24"/>
        </w:rPr>
        <w:t xml:space="preserve">L’analisi dei prezzi </w:t>
      </w:r>
      <w:r>
        <w:rPr>
          <w:sz w:val="24"/>
          <w:szCs w:val="24"/>
        </w:rPr>
        <w:t xml:space="preserve">- spiega Fabiana Megliola - </w:t>
      </w:r>
      <w:r w:rsidR="00E94DF4" w:rsidRPr="00F80FB9">
        <w:rPr>
          <w:sz w:val="24"/>
          <w:szCs w:val="24"/>
        </w:rPr>
        <w:t>mostra</w:t>
      </w:r>
      <w:r w:rsidR="00FE008F" w:rsidRPr="00F80FB9">
        <w:rPr>
          <w:sz w:val="24"/>
          <w:szCs w:val="24"/>
        </w:rPr>
        <w:t xml:space="preserve"> un mercato </w:t>
      </w:r>
      <w:r w:rsidR="000C7A10" w:rsidRPr="00F80FB9">
        <w:rPr>
          <w:sz w:val="24"/>
          <w:szCs w:val="24"/>
        </w:rPr>
        <w:t>positivo</w:t>
      </w:r>
      <w:r w:rsidR="00FE008F" w:rsidRPr="00F80FB9">
        <w:rPr>
          <w:sz w:val="24"/>
          <w:szCs w:val="24"/>
        </w:rPr>
        <w:t xml:space="preserve"> nella prima parte del 2021. </w:t>
      </w:r>
      <w:r w:rsidR="00FE008F" w:rsidRPr="008248F3">
        <w:rPr>
          <w:b/>
          <w:bCs/>
          <w:sz w:val="24"/>
          <w:szCs w:val="24"/>
        </w:rPr>
        <w:t>Le grandi città mettono a segno una crescita dei valori dello 0,8%, i capoluoghi di provincia e l’hinterland delle grandi città dello 0,4%</w:t>
      </w:r>
      <w:r w:rsidR="00FE008F" w:rsidRPr="00F80FB9">
        <w:rPr>
          <w:sz w:val="24"/>
          <w:szCs w:val="24"/>
        </w:rPr>
        <w:t xml:space="preserve">.  </w:t>
      </w:r>
      <w:r w:rsidR="000C7A10" w:rsidRPr="00F80FB9">
        <w:rPr>
          <w:sz w:val="24"/>
          <w:szCs w:val="24"/>
        </w:rPr>
        <w:t>Dopo l’interruzione registrata nel 2020, nelle metropoli c</w:t>
      </w:r>
      <w:r w:rsidR="00DE6D3B" w:rsidRPr="00F80FB9">
        <w:rPr>
          <w:sz w:val="24"/>
          <w:szCs w:val="24"/>
        </w:rPr>
        <w:t>ontinua</w:t>
      </w:r>
      <w:r w:rsidR="000C7A10" w:rsidRPr="00F80FB9">
        <w:rPr>
          <w:sz w:val="24"/>
          <w:szCs w:val="24"/>
        </w:rPr>
        <w:t xml:space="preserve"> </w:t>
      </w:r>
      <w:proofErr w:type="gramStart"/>
      <w:r w:rsidR="000C7A10" w:rsidRPr="00F80FB9">
        <w:rPr>
          <w:sz w:val="24"/>
          <w:szCs w:val="24"/>
        </w:rPr>
        <w:t>i</w:t>
      </w:r>
      <w:r w:rsidR="00386356" w:rsidRPr="00F80FB9">
        <w:rPr>
          <w:sz w:val="24"/>
          <w:szCs w:val="24"/>
        </w:rPr>
        <w:t>l trend</w:t>
      </w:r>
      <w:proofErr w:type="gramEnd"/>
      <w:r w:rsidR="00386356" w:rsidRPr="00F80FB9">
        <w:rPr>
          <w:sz w:val="24"/>
          <w:szCs w:val="24"/>
        </w:rPr>
        <w:t xml:space="preserve"> in aumento iniziato nel secondo semestre del 2017. </w:t>
      </w:r>
      <w:r w:rsidR="001606A6" w:rsidRPr="00F80FB9">
        <w:rPr>
          <w:sz w:val="24"/>
          <w:szCs w:val="24"/>
        </w:rPr>
        <w:t>In queste realtà tengono bene le zone periferiche e semicentrali i cui prezzi più bassi hanno consentito l’acquisto di abitazioni più ampie o con spazi esterni, nuovi</w:t>
      </w:r>
      <w:r w:rsidR="002E1A60" w:rsidRPr="00F80FB9">
        <w:rPr>
          <w:sz w:val="24"/>
          <w:szCs w:val="24"/>
        </w:rPr>
        <w:t xml:space="preserve"> driver di scelta scaturiti </w:t>
      </w:r>
      <w:r w:rsidR="001606A6" w:rsidRPr="00F80FB9">
        <w:rPr>
          <w:sz w:val="24"/>
          <w:szCs w:val="24"/>
        </w:rPr>
        <w:t xml:space="preserve">dalle chiusure forzate.  Le zone centrali mostrano </w:t>
      </w:r>
      <w:r w:rsidR="002E1A60" w:rsidRPr="00F80FB9">
        <w:rPr>
          <w:sz w:val="24"/>
          <w:szCs w:val="24"/>
        </w:rPr>
        <w:t>talvolta</w:t>
      </w:r>
      <w:r w:rsidR="001606A6" w:rsidRPr="00F80FB9">
        <w:rPr>
          <w:sz w:val="24"/>
          <w:szCs w:val="24"/>
        </w:rPr>
        <w:t xml:space="preserve"> sofferenze legate, in modo particolare, al rallentamento della domanda per investimento che, nonostante la fiducia incrollabile nel mattone, resta al momento ancora prudente.</w:t>
      </w:r>
      <w:r w:rsidR="00D42575">
        <w:rPr>
          <w:sz w:val="24"/>
          <w:szCs w:val="24"/>
        </w:rPr>
        <w:t xml:space="preserve"> </w:t>
      </w:r>
      <w:r w:rsidR="00386356" w:rsidRPr="00D42575">
        <w:rPr>
          <w:b/>
          <w:bCs/>
          <w:sz w:val="24"/>
          <w:szCs w:val="24"/>
        </w:rPr>
        <w:t>La novità è il recupero dei valori, per la prima volta dal secondo semestre del 2007,</w:t>
      </w:r>
      <w:r w:rsidR="00386356" w:rsidRPr="00F80FB9">
        <w:rPr>
          <w:sz w:val="24"/>
          <w:szCs w:val="24"/>
        </w:rPr>
        <w:t xml:space="preserve"> </w:t>
      </w:r>
      <w:r w:rsidR="00386356" w:rsidRPr="00F80FB9">
        <w:rPr>
          <w:b/>
          <w:bCs/>
          <w:sz w:val="24"/>
          <w:szCs w:val="24"/>
        </w:rPr>
        <w:t>nei capoluoghi di provincia</w:t>
      </w:r>
      <w:r w:rsidR="000C7A10" w:rsidRPr="00F80FB9">
        <w:rPr>
          <w:sz w:val="24"/>
          <w:szCs w:val="24"/>
        </w:rPr>
        <w:t xml:space="preserve">, molti dei quali </w:t>
      </w:r>
      <w:r w:rsidR="00386356" w:rsidRPr="00F80FB9">
        <w:rPr>
          <w:sz w:val="24"/>
          <w:szCs w:val="24"/>
        </w:rPr>
        <w:t xml:space="preserve">dopo il lockdown sono stati particolarmente apprezzati, </w:t>
      </w:r>
      <w:r w:rsidR="00386356" w:rsidRPr="008248F3">
        <w:rPr>
          <w:b/>
          <w:bCs/>
          <w:sz w:val="24"/>
          <w:szCs w:val="24"/>
        </w:rPr>
        <w:t>soprattutto se in grado di offrire una</w:t>
      </w:r>
      <w:r w:rsidR="00DE6D3B" w:rsidRPr="008248F3">
        <w:rPr>
          <w:b/>
          <w:bCs/>
          <w:sz w:val="24"/>
          <w:szCs w:val="24"/>
        </w:rPr>
        <w:t xml:space="preserve"> buona</w:t>
      </w:r>
      <w:r w:rsidR="00386356" w:rsidRPr="008248F3">
        <w:rPr>
          <w:b/>
          <w:bCs/>
          <w:sz w:val="24"/>
          <w:szCs w:val="24"/>
        </w:rPr>
        <w:t xml:space="preserve"> qualità di vita</w:t>
      </w:r>
      <w:r w:rsidR="002E1A60" w:rsidRPr="008248F3">
        <w:rPr>
          <w:b/>
          <w:bCs/>
          <w:sz w:val="24"/>
          <w:szCs w:val="24"/>
        </w:rPr>
        <w:t xml:space="preserve"> oltre che abitazioni nuove</w:t>
      </w:r>
      <w:r w:rsidR="00E94DF4" w:rsidRPr="00F80FB9">
        <w:rPr>
          <w:sz w:val="24"/>
          <w:szCs w:val="24"/>
        </w:rPr>
        <w:t xml:space="preserve">, </w:t>
      </w:r>
      <w:r w:rsidR="002E1A60" w:rsidRPr="00F80FB9">
        <w:rPr>
          <w:sz w:val="24"/>
          <w:szCs w:val="24"/>
        </w:rPr>
        <w:t>in linea con i nuovi desideri abitativi.</w:t>
      </w:r>
      <w:r w:rsidR="00DE6D3B" w:rsidRPr="00F80FB9">
        <w:rPr>
          <w:sz w:val="24"/>
          <w:szCs w:val="24"/>
        </w:rPr>
        <w:t xml:space="preserve"> </w:t>
      </w:r>
      <w:r w:rsidR="00DE6D3B" w:rsidRPr="00D42575">
        <w:rPr>
          <w:sz w:val="24"/>
          <w:szCs w:val="24"/>
        </w:rPr>
        <w:t xml:space="preserve">Nell’hinterland delle grandi città si segnala una buona performance per </w:t>
      </w:r>
      <w:r w:rsidR="003A1C0C" w:rsidRPr="00D42575">
        <w:rPr>
          <w:sz w:val="24"/>
          <w:szCs w:val="24"/>
        </w:rPr>
        <w:t xml:space="preserve">quello </w:t>
      </w:r>
      <w:r w:rsidR="00DE6D3B" w:rsidRPr="00D42575">
        <w:rPr>
          <w:sz w:val="24"/>
          <w:szCs w:val="24"/>
        </w:rPr>
        <w:t>di Milano, Bologna</w:t>
      </w:r>
      <w:r w:rsidR="00DE6D3B" w:rsidRPr="00F80FB9">
        <w:rPr>
          <w:sz w:val="24"/>
          <w:szCs w:val="24"/>
        </w:rPr>
        <w:t xml:space="preserve"> e Verona, quest’ultimo in particolare trascinato dalla località turistiche. </w:t>
      </w:r>
      <w:r w:rsidR="002E1A60" w:rsidRPr="00F80FB9">
        <w:rPr>
          <w:sz w:val="24"/>
          <w:szCs w:val="24"/>
        </w:rPr>
        <w:t xml:space="preserve"> Le nuove dinamiche stanno portando ad uno spostamento di acquirenti dalle metropoli verso l’hinterland e i capoluoghi di provincia</w:t>
      </w:r>
      <w:r>
        <w:rPr>
          <w:sz w:val="24"/>
          <w:szCs w:val="24"/>
        </w:rPr>
        <w:t>”</w:t>
      </w:r>
      <w:r w:rsidR="002E1A60" w:rsidRPr="00F80FB9">
        <w:rPr>
          <w:sz w:val="24"/>
          <w:szCs w:val="24"/>
        </w:rPr>
        <w:t xml:space="preserve">. </w:t>
      </w:r>
    </w:p>
    <w:p w14:paraId="76A62D03" w14:textId="4A3B58FE" w:rsidR="00F80FB9" w:rsidRDefault="00F80FB9" w:rsidP="00F80FB9">
      <w:pPr>
        <w:spacing w:after="0" w:line="240" w:lineRule="auto"/>
        <w:jc w:val="both"/>
        <w:rPr>
          <w:sz w:val="24"/>
          <w:szCs w:val="24"/>
        </w:rPr>
      </w:pPr>
    </w:p>
    <w:p w14:paraId="61D1F06C" w14:textId="77777777" w:rsidR="003D7F18" w:rsidRPr="00F80FB9" w:rsidRDefault="003D7F18" w:rsidP="00F80FB9">
      <w:pPr>
        <w:spacing w:after="0" w:line="240" w:lineRule="auto"/>
        <w:jc w:val="both"/>
        <w:rPr>
          <w:sz w:val="24"/>
          <w:szCs w:val="24"/>
        </w:rPr>
      </w:pPr>
    </w:p>
    <w:p w14:paraId="5BF7DB3C" w14:textId="091D21E6" w:rsidR="00E07E40" w:rsidRPr="00A919AB" w:rsidRDefault="00E07E40" w:rsidP="00F80FB9">
      <w:pPr>
        <w:spacing w:after="0" w:line="240" w:lineRule="auto"/>
        <w:jc w:val="both"/>
        <w:rPr>
          <w:b/>
          <w:bCs/>
          <w:color w:val="037986"/>
          <w:sz w:val="24"/>
          <w:szCs w:val="24"/>
        </w:rPr>
      </w:pPr>
      <w:r w:rsidRPr="00A919AB">
        <w:rPr>
          <w:b/>
          <w:bCs/>
          <w:color w:val="037986"/>
          <w:sz w:val="24"/>
          <w:szCs w:val="24"/>
        </w:rPr>
        <w:lastRenderedPageBreak/>
        <w:t>Domanda ed offerta</w:t>
      </w:r>
    </w:p>
    <w:p w14:paraId="6B454900" w14:textId="138C8DB9" w:rsidR="00430219" w:rsidRDefault="00E07E40" w:rsidP="00F80FB9">
      <w:pPr>
        <w:spacing w:after="0" w:line="240" w:lineRule="auto"/>
        <w:jc w:val="both"/>
        <w:rPr>
          <w:sz w:val="24"/>
          <w:szCs w:val="24"/>
        </w:rPr>
      </w:pPr>
      <w:r w:rsidRPr="00F80FB9">
        <w:rPr>
          <w:sz w:val="24"/>
          <w:szCs w:val="24"/>
        </w:rPr>
        <w:t>L’analisi della domanda restituisce ancora una maggiore preferenza per il trilocale che raccoglie il 40,5% delle preferenz</w:t>
      </w:r>
      <w:r w:rsidR="00430219" w:rsidRPr="00F80FB9">
        <w:rPr>
          <w:sz w:val="24"/>
          <w:szCs w:val="24"/>
        </w:rPr>
        <w:t xml:space="preserve">e, a seguire i quattro locali con il 24,6%. </w:t>
      </w:r>
      <w:r w:rsidR="002E1A60" w:rsidRPr="00F80FB9">
        <w:rPr>
          <w:sz w:val="24"/>
          <w:szCs w:val="24"/>
        </w:rPr>
        <w:t xml:space="preserve">La ricerca di </w:t>
      </w:r>
      <w:r w:rsidR="00430219" w:rsidRPr="00F80FB9">
        <w:rPr>
          <w:sz w:val="24"/>
          <w:szCs w:val="24"/>
        </w:rPr>
        <w:t xml:space="preserve">soluzioni </w:t>
      </w:r>
      <w:r w:rsidR="003A1C0C" w:rsidRPr="00F80FB9">
        <w:rPr>
          <w:sz w:val="24"/>
          <w:szCs w:val="24"/>
        </w:rPr>
        <w:t>di</w:t>
      </w:r>
      <w:r w:rsidR="00430219" w:rsidRPr="00F80FB9">
        <w:rPr>
          <w:sz w:val="24"/>
          <w:szCs w:val="24"/>
        </w:rPr>
        <w:t xml:space="preserve"> ampi</w:t>
      </w:r>
      <w:r w:rsidR="003A1C0C" w:rsidRPr="00F80FB9">
        <w:rPr>
          <w:sz w:val="24"/>
          <w:szCs w:val="24"/>
        </w:rPr>
        <w:t>a metratura</w:t>
      </w:r>
      <w:r w:rsidR="00430219" w:rsidRPr="00F80FB9">
        <w:rPr>
          <w:sz w:val="24"/>
          <w:szCs w:val="24"/>
        </w:rPr>
        <w:t xml:space="preserve"> e con spazi esterni</w:t>
      </w:r>
      <w:r w:rsidR="00F94E9F" w:rsidRPr="00F80FB9">
        <w:rPr>
          <w:sz w:val="24"/>
          <w:szCs w:val="24"/>
        </w:rPr>
        <w:t xml:space="preserve"> </w:t>
      </w:r>
      <w:r w:rsidR="00430219" w:rsidRPr="00F80FB9">
        <w:rPr>
          <w:sz w:val="24"/>
          <w:szCs w:val="24"/>
        </w:rPr>
        <w:t xml:space="preserve">determina un maggiore apprezzamento dell’immobile anche in termini di valori e ha </w:t>
      </w:r>
      <w:r w:rsidR="003A1C0C" w:rsidRPr="00F80FB9">
        <w:rPr>
          <w:sz w:val="24"/>
          <w:szCs w:val="24"/>
        </w:rPr>
        <w:t>indirizzato</w:t>
      </w:r>
      <w:r w:rsidR="00430219" w:rsidRPr="00F80FB9">
        <w:rPr>
          <w:sz w:val="24"/>
          <w:szCs w:val="24"/>
        </w:rPr>
        <w:t xml:space="preserve"> parte della domanda </w:t>
      </w:r>
      <w:r w:rsidR="00430219" w:rsidRPr="008248F3">
        <w:rPr>
          <w:b/>
          <w:bCs/>
          <w:sz w:val="24"/>
          <w:szCs w:val="24"/>
        </w:rPr>
        <w:t xml:space="preserve">verso le soluzioni indipendenti e </w:t>
      </w:r>
      <w:proofErr w:type="spellStart"/>
      <w:r w:rsidR="00430219" w:rsidRPr="008248F3">
        <w:rPr>
          <w:b/>
          <w:bCs/>
          <w:sz w:val="24"/>
          <w:szCs w:val="24"/>
        </w:rPr>
        <w:t>semindipendenti</w:t>
      </w:r>
      <w:proofErr w:type="spellEnd"/>
      <w:r w:rsidR="00430219" w:rsidRPr="00F80FB9">
        <w:rPr>
          <w:sz w:val="24"/>
          <w:szCs w:val="24"/>
        </w:rPr>
        <w:t xml:space="preserve">. </w:t>
      </w:r>
      <w:r w:rsidR="003A1C0C" w:rsidRPr="00F80FB9">
        <w:rPr>
          <w:sz w:val="24"/>
          <w:szCs w:val="24"/>
        </w:rPr>
        <w:t xml:space="preserve">Le soluzioni in buono stato restano le preferite ma </w:t>
      </w:r>
      <w:r w:rsidR="00E95379" w:rsidRPr="00F80FB9">
        <w:rPr>
          <w:sz w:val="24"/>
          <w:szCs w:val="24"/>
        </w:rPr>
        <w:t>quelle</w:t>
      </w:r>
      <w:r w:rsidR="003A1C0C" w:rsidRPr="00F80FB9">
        <w:rPr>
          <w:sz w:val="24"/>
          <w:szCs w:val="24"/>
        </w:rPr>
        <w:t xml:space="preserve"> da ristrutturare </w:t>
      </w:r>
      <w:r w:rsidR="00F94E9F" w:rsidRPr="00F80FB9">
        <w:rPr>
          <w:sz w:val="24"/>
          <w:szCs w:val="24"/>
        </w:rPr>
        <w:t>hanno continuato</w:t>
      </w:r>
      <w:r w:rsidR="003A1C0C" w:rsidRPr="00F80FB9">
        <w:rPr>
          <w:sz w:val="24"/>
          <w:szCs w:val="24"/>
        </w:rPr>
        <w:t xml:space="preserve"> a trovare sostegno </w:t>
      </w:r>
      <w:r w:rsidR="00F94E9F" w:rsidRPr="00F80FB9">
        <w:rPr>
          <w:sz w:val="24"/>
          <w:szCs w:val="24"/>
        </w:rPr>
        <w:t xml:space="preserve">negli </w:t>
      </w:r>
      <w:r w:rsidR="003A1C0C" w:rsidRPr="00F80FB9">
        <w:rPr>
          <w:sz w:val="24"/>
          <w:szCs w:val="24"/>
        </w:rPr>
        <w:t xml:space="preserve">incentivi per le ristrutturazioni. </w:t>
      </w:r>
      <w:r w:rsidR="00F94E9F" w:rsidRPr="00F80FB9">
        <w:rPr>
          <w:sz w:val="24"/>
          <w:szCs w:val="24"/>
        </w:rPr>
        <w:t>Bene le nuove costruzioni che recuperano valore in questa prima parte dell’anno (+</w:t>
      </w:r>
      <w:r w:rsidR="0029325A" w:rsidRPr="00F80FB9">
        <w:rPr>
          <w:sz w:val="24"/>
          <w:szCs w:val="24"/>
        </w:rPr>
        <w:t xml:space="preserve">0,7%) e si confermano sempre più attrattive soprattutto in un’ottica di vivere sostenibile. </w:t>
      </w:r>
      <w:r w:rsidR="006E5687" w:rsidRPr="00F80FB9">
        <w:rPr>
          <w:sz w:val="24"/>
          <w:szCs w:val="24"/>
        </w:rPr>
        <w:t>Resta il nodo del costo delle materie prime e del loro approvvigi</w:t>
      </w:r>
      <w:r w:rsidR="00526A3A">
        <w:rPr>
          <w:sz w:val="24"/>
          <w:szCs w:val="24"/>
        </w:rPr>
        <w:t>onamento.</w:t>
      </w:r>
      <w:r w:rsidR="003D7F18">
        <w:rPr>
          <w:sz w:val="24"/>
          <w:szCs w:val="24"/>
        </w:rPr>
        <w:t xml:space="preserve"> </w:t>
      </w:r>
      <w:r w:rsidR="00430219" w:rsidRPr="00F80FB9">
        <w:rPr>
          <w:sz w:val="24"/>
          <w:szCs w:val="24"/>
        </w:rPr>
        <w:t>Quanto alla disponibilità di spesa la concentrazione</w:t>
      </w:r>
      <w:r w:rsidR="00E94DF4" w:rsidRPr="00F80FB9">
        <w:rPr>
          <w:sz w:val="24"/>
          <w:szCs w:val="24"/>
        </w:rPr>
        <w:t xml:space="preserve"> più elevata</w:t>
      </w:r>
      <w:r w:rsidR="00430219" w:rsidRPr="00F80FB9">
        <w:rPr>
          <w:sz w:val="24"/>
          <w:szCs w:val="24"/>
        </w:rPr>
        <w:t xml:space="preserve"> si rileva ancora nella fascia più bassa, fino a 119 mila € (25,4 %)</w:t>
      </w:r>
      <w:r w:rsidR="003A1C0C" w:rsidRPr="00F80FB9">
        <w:rPr>
          <w:sz w:val="24"/>
          <w:szCs w:val="24"/>
        </w:rPr>
        <w:t xml:space="preserve"> ma c’è </w:t>
      </w:r>
      <w:r w:rsidR="00430219" w:rsidRPr="00F80FB9">
        <w:rPr>
          <w:sz w:val="24"/>
          <w:szCs w:val="24"/>
        </w:rPr>
        <w:t xml:space="preserve">un aumento della percentuale di chi desidera spendere più di 350 mila €. L’analisi dell'offerta evidenzia che la tipologia più presente è il trilocale, con il 33,7%, a seguire il quattro locali con il 24,4% ed i bilocali con il 23,9%. </w:t>
      </w:r>
    </w:p>
    <w:p w14:paraId="5840B0AF" w14:textId="77777777" w:rsidR="00F80FB9" w:rsidRPr="008248F3" w:rsidRDefault="00F80FB9" w:rsidP="00F80FB9">
      <w:pPr>
        <w:spacing w:after="0" w:line="240" w:lineRule="auto"/>
        <w:jc w:val="both"/>
        <w:rPr>
          <w:rFonts w:ascii="Calibri" w:hAnsi="Calibri"/>
          <w:color w:val="000000"/>
          <w:sz w:val="16"/>
          <w:szCs w:val="16"/>
        </w:rPr>
      </w:pPr>
    </w:p>
    <w:p w14:paraId="26F88297" w14:textId="3B568B77" w:rsidR="00DE2307" w:rsidRPr="00A919AB" w:rsidRDefault="00DE2307" w:rsidP="00F80FB9">
      <w:pPr>
        <w:spacing w:after="0" w:line="240" w:lineRule="auto"/>
        <w:jc w:val="both"/>
        <w:rPr>
          <w:rFonts w:ascii="Calibri" w:hAnsi="Calibri"/>
          <w:b/>
          <w:bCs/>
          <w:color w:val="037986"/>
          <w:sz w:val="24"/>
          <w:szCs w:val="24"/>
        </w:rPr>
      </w:pPr>
      <w:r w:rsidRPr="00A919AB">
        <w:rPr>
          <w:rFonts w:ascii="Calibri" w:hAnsi="Calibri"/>
          <w:b/>
          <w:bCs/>
          <w:color w:val="037986"/>
          <w:sz w:val="24"/>
          <w:szCs w:val="24"/>
        </w:rPr>
        <w:t xml:space="preserve">Scontistiche </w:t>
      </w:r>
    </w:p>
    <w:p w14:paraId="3B03CADB" w14:textId="4569CAF2" w:rsidR="003A1C0C" w:rsidRPr="00F80FB9" w:rsidRDefault="008248F3" w:rsidP="00F80FB9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“</w:t>
      </w:r>
      <w:r w:rsidR="003A1C0C" w:rsidRPr="00F80FB9">
        <w:rPr>
          <w:rFonts w:ascii="Calibri" w:hAnsi="Calibri"/>
          <w:color w:val="000000"/>
          <w:sz w:val="24"/>
          <w:szCs w:val="24"/>
        </w:rPr>
        <w:t>Quando il mercato immobiliare si rimette in moto</w:t>
      </w:r>
      <w:r>
        <w:rPr>
          <w:rFonts w:ascii="Calibri" w:hAnsi="Calibri"/>
          <w:color w:val="000000"/>
          <w:sz w:val="24"/>
          <w:szCs w:val="24"/>
        </w:rPr>
        <w:t xml:space="preserve"> - puntualizza Megliola -</w:t>
      </w:r>
      <w:r w:rsidR="003A1C0C" w:rsidRPr="00F80FB9">
        <w:rPr>
          <w:rFonts w:ascii="Calibri" w:hAnsi="Calibri"/>
          <w:color w:val="000000"/>
          <w:sz w:val="24"/>
          <w:szCs w:val="24"/>
        </w:rPr>
        <w:t xml:space="preserve"> una delle variabili influenzata è lo </w:t>
      </w:r>
      <w:r w:rsidR="003A1C0C" w:rsidRPr="008248F3">
        <w:rPr>
          <w:rFonts w:ascii="Calibri" w:hAnsi="Calibri"/>
          <w:b/>
          <w:bCs/>
          <w:color w:val="000000"/>
          <w:sz w:val="24"/>
          <w:szCs w:val="24"/>
        </w:rPr>
        <w:t>sconto medio, ossia lo scostamento tra prezzo di richiesta e prezzo di compravendit</w:t>
      </w:r>
      <w:r w:rsidR="003A1C0C" w:rsidRPr="00F80FB9">
        <w:rPr>
          <w:rFonts w:ascii="Calibri" w:hAnsi="Calibri"/>
          <w:color w:val="000000"/>
          <w:sz w:val="24"/>
          <w:szCs w:val="24"/>
        </w:rPr>
        <w:t xml:space="preserve">a. Nel primo semestre del 2021 il </w:t>
      </w:r>
      <w:proofErr w:type="gramStart"/>
      <w:r w:rsidR="003A1C0C" w:rsidRPr="00F80FB9">
        <w:rPr>
          <w:rFonts w:ascii="Calibri" w:hAnsi="Calibri"/>
          <w:color w:val="000000"/>
          <w:sz w:val="24"/>
          <w:szCs w:val="24"/>
        </w:rPr>
        <w:t>gap</w:t>
      </w:r>
      <w:proofErr w:type="gramEnd"/>
      <w:r w:rsidR="003A1C0C" w:rsidRPr="00F80FB9">
        <w:rPr>
          <w:rFonts w:ascii="Calibri" w:hAnsi="Calibri"/>
          <w:color w:val="000000"/>
          <w:sz w:val="24"/>
          <w:szCs w:val="24"/>
        </w:rPr>
        <w:t xml:space="preserve"> si è attestato intorno a -8,2% contro il -9,1% registrato </w:t>
      </w:r>
      <w:proofErr w:type="spellStart"/>
      <w:r w:rsidR="003A1C0C" w:rsidRPr="00F80FB9">
        <w:rPr>
          <w:rFonts w:ascii="Calibri" w:hAnsi="Calibri"/>
          <w:color w:val="000000"/>
          <w:sz w:val="24"/>
          <w:szCs w:val="24"/>
        </w:rPr>
        <w:t>pre</w:t>
      </w:r>
      <w:proofErr w:type="spellEnd"/>
      <w:r>
        <w:rPr>
          <w:rFonts w:ascii="Calibri" w:hAnsi="Calibri"/>
          <w:color w:val="000000"/>
          <w:sz w:val="24"/>
          <w:szCs w:val="24"/>
        </w:rPr>
        <w:t>-</w:t>
      </w:r>
      <w:r w:rsidR="003A1C0C" w:rsidRPr="00F80FB9">
        <w:rPr>
          <w:rFonts w:ascii="Calibri" w:hAnsi="Calibri"/>
          <w:color w:val="000000"/>
          <w:sz w:val="24"/>
          <w:szCs w:val="24"/>
        </w:rPr>
        <w:t>pandemia</w:t>
      </w:r>
      <w:r>
        <w:rPr>
          <w:rFonts w:ascii="Calibri" w:hAnsi="Calibri"/>
          <w:color w:val="000000"/>
          <w:sz w:val="24"/>
          <w:szCs w:val="24"/>
        </w:rPr>
        <w:t>”</w:t>
      </w:r>
      <w:r w:rsidR="003A1C0C" w:rsidRPr="00F80FB9">
        <w:rPr>
          <w:rFonts w:ascii="Calibri" w:hAnsi="Calibri"/>
          <w:color w:val="000000"/>
          <w:sz w:val="24"/>
          <w:szCs w:val="24"/>
        </w:rPr>
        <w:t xml:space="preserve">. </w:t>
      </w:r>
    </w:p>
    <w:p w14:paraId="6C9010C7" w14:textId="6DE08A24" w:rsidR="00DE2307" w:rsidRPr="008248F3" w:rsidRDefault="00DE2307" w:rsidP="00F80FB9">
      <w:pPr>
        <w:spacing w:after="0" w:line="240" w:lineRule="auto"/>
        <w:jc w:val="both"/>
        <w:rPr>
          <w:rFonts w:ascii="Calibri" w:hAnsi="Calibri"/>
          <w:b/>
          <w:bCs/>
          <w:color w:val="000000"/>
          <w:sz w:val="16"/>
          <w:szCs w:val="16"/>
        </w:rPr>
      </w:pPr>
    </w:p>
    <w:p w14:paraId="5A207DFD" w14:textId="68552896" w:rsidR="00DE2307" w:rsidRPr="00A919AB" w:rsidRDefault="00DE2307" w:rsidP="00F80FB9">
      <w:pPr>
        <w:spacing w:after="0" w:line="240" w:lineRule="auto"/>
        <w:jc w:val="both"/>
        <w:rPr>
          <w:rFonts w:ascii="Calibri" w:hAnsi="Calibri"/>
          <w:b/>
          <w:bCs/>
          <w:color w:val="037986"/>
          <w:sz w:val="24"/>
          <w:szCs w:val="24"/>
        </w:rPr>
      </w:pPr>
      <w:r w:rsidRPr="00A919AB">
        <w:rPr>
          <w:rFonts w:ascii="Calibri" w:hAnsi="Calibri"/>
          <w:b/>
          <w:bCs/>
          <w:color w:val="037986"/>
          <w:sz w:val="24"/>
          <w:szCs w:val="24"/>
        </w:rPr>
        <w:t>Mercato delle locazioni</w:t>
      </w:r>
    </w:p>
    <w:p w14:paraId="480EE104" w14:textId="3FC23A9E" w:rsidR="0057705D" w:rsidRPr="00D42575" w:rsidRDefault="00DE2307" w:rsidP="00F80FB9">
      <w:pPr>
        <w:spacing w:after="0" w:line="240" w:lineRule="auto"/>
        <w:jc w:val="both"/>
        <w:rPr>
          <w:sz w:val="24"/>
          <w:szCs w:val="24"/>
        </w:rPr>
      </w:pPr>
      <w:r w:rsidRPr="008248F3">
        <w:rPr>
          <w:rFonts w:ascii="Calibri" w:hAnsi="Calibri"/>
          <w:b/>
          <w:bCs/>
          <w:color w:val="000000"/>
          <w:sz w:val="24"/>
          <w:szCs w:val="24"/>
        </w:rPr>
        <w:t>Canoni di locazione in leggero recupero nella prima parte dell’anno</w:t>
      </w:r>
      <w:r w:rsidRPr="00F80FB9">
        <w:rPr>
          <w:rFonts w:ascii="Calibri" w:hAnsi="Calibri"/>
          <w:color w:val="000000"/>
          <w:sz w:val="24"/>
          <w:szCs w:val="24"/>
        </w:rPr>
        <w:t xml:space="preserve">, dopo un 2020 che ha visto un ribasso importante dei valori a causa di una domanda in contrazione e un’offerta in aumento.  </w:t>
      </w:r>
      <w:r w:rsidRPr="00F80FB9">
        <w:rPr>
          <w:sz w:val="24"/>
          <w:szCs w:val="24"/>
        </w:rPr>
        <w:t>Sono stabili i canoni dei monolocali, +0,4%</w:t>
      </w:r>
      <w:r w:rsidR="0057705D" w:rsidRPr="00F80FB9">
        <w:rPr>
          <w:sz w:val="24"/>
          <w:szCs w:val="24"/>
        </w:rPr>
        <w:t xml:space="preserve"> e +0,3% </w:t>
      </w:r>
      <w:r w:rsidRPr="00F80FB9">
        <w:rPr>
          <w:sz w:val="24"/>
          <w:szCs w:val="24"/>
        </w:rPr>
        <w:t xml:space="preserve">il rialzo </w:t>
      </w:r>
      <w:r w:rsidR="0057705D" w:rsidRPr="00F80FB9">
        <w:rPr>
          <w:sz w:val="24"/>
          <w:szCs w:val="24"/>
        </w:rPr>
        <w:t xml:space="preserve">di quelli </w:t>
      </w:r>
      <w:r w:rsidRPr="00F80FB9">
        <w:rPr>
          <w:sz w:val="24"/>
          <w:szCs w:val="24"/>
        </w:rPr>
        <w:t xml:space="preserve">dei bilocali </w:t>
      </w:r>
      <w:r w:rsidR="0057705D" w:rsidRPr="00F80FB9">
        <w:rPr>
          <w:sz w:val="24"/>
          <w:szCs w:val="24"/>
        </w:rPr>
        <w:t xml:space="preserve">e dei </w:t>
      </w:r>
      <w:r w:rsidRPr="00F80FB9">
        <w:rPr>
          <w:sz w:val="24"/>
          <w:szCs w:val="24"/>
        </w:rPr>
        <w:t xml:space="preserve">trilocali. </w:t>
      </w:r>
      <w:r w:rsidR="007E4FDB" w:rsidRPr="00F80FB9">
        <w:rPr>
          <w:sz w:val="24"/>
          <w:szCs w:val="24"/>
        </w:rPr>
        <w:t xml:space="preserve">Valori </w:t>
      </w:r>
      <w:r w:rsidRPr="00F80FB9">
        <w:rPr>
          <w:sz w:val="24"/>
          <w:szCs w:val="24"/>
        </w:rPr>
        <w:t>in calo</w:t>
      </w:r>
      <w:r w:rsidR="007E4FDB" w:rsidRPr="00F80FB9">
        <w:rPr>
          <w:sz w:val="24"/>
          <w:szCs w:val="24"/>
        </w:rPr>
        <w:t xml:space="preserve"> si segnalano</w:t>
      </w:r>
      <w:r w:rsidR="00F94E9F" w:rsidRPr="00F80FB9">
        <w:rPr>
          <w:sz w:val="24"/>
          <w:szCs w:val="24"/>
        </w:rPr>
        <w:t xml:space="preserve"> ancora</w:t>
      </w:r>
      <w:r w:rsidR="007E4FDB" w:rsidRPr="00F80FB9">
        <w:rPr>
          <w:sz w:val="24"/>
          <w:szCs w:val="24"/>
        </w:rPr>
        <w:t xml:space="preserve"> a </w:t>
      </w:r>
      <w:r w:rsidRPr="00F80FB9">
        <w:rPr>
          <w:sz w:val="24"/>
          <w:szCs w:val="24"/>
        </w:rPr>
        <w:t>Milano,</w:t>
      </w:r>
      <w:r w:rsidR="00F94E9F" w:rsidRPr="00F80FB9">
        <w:rPr>
          <w:sz w:val="24"/>
          <w:szCs w:val="24"/>
        </w:rPr>
        <w:t xml:space="preserve"> Roma, </w:t>
      </w:r>
      <w:r w:rsidRPr="00F80FB9">
        <w:rPr>
          <w:sz w:val="24"/>
          <w:szCs w:val="24"/>
        </w:rPr>
        <w:t>Bologna e Firenze, le metropoli che più di tutte le altre hanno sofferto</w:t>
      </w:r>
      <w:r w:rsidR="007E4FDB" w:rsidRPr="00F80FB9">
        <w:rPr>
          <w:sz w:val="24"/>
          <w:szCs w:val="24"/>
        </w:rPr>
        <w:t xml:space="preserve"> la minore presenza di</w:t>
      </w:r>
      <w:r w:rsidRPr="00F80FB9">
        <w:rPr>
          <w:sz w:val="24"/>
          <w:szCs w:val="24"/>
        </w:rPr>
        <w:t xml:space="preserve"> flussi turistici, studenti e</w:t>
      </w:r>
      <w:r w:rsidR="007E4FDB" w:rsidRPr="00F80FB9">
        <w:rPr>
          <w:sz w:val="24"/>
          <w:szCs w:val="24"/>
        </w:rPr>
        <w:t xml:space="preserve"> </w:t>
      </w:r>
      <w:r w:rsidRPr="00F80FB9">
        <w:rPr>
          <w:sz w:val="24"/>
          <w:szCs w:val="24"/>
        </w:rPr>
        <w:t>lavoratori fuori sede.</w:t>
      </w:r>
      <w:r w:rsidR="0057705D" w:rsidRPr="00F80FB9">
        <w:rPr>
          <w:sz w:val="24"/>
          <w:szCs w:val="24"/>
        </w:rPr>
        <w:t xml:space="preserve"> Nei capoluoghi di provincia i canoni sono in aumento su tutte e tre le tipologie (+0,7% per monolocali e trilocali e +0,1% per i bilocali). </w:t>
      </w:r>
      <w:r w:rsidR="0029325A" w:rsidRPr="00F80FB9">
        <w:rPr>
          <w:rFonts w:ascii="Calibri" w:hAnsi="Calibri"/>
          <w:color w:val="000000"/>
          <w:sz w:val="24"/>
          <w:szCs w:val="24"/>
        </w:rPr>
        <w:t xml:space="preserve">Nei </w:t>
      </w:r>
      <w:r w:rsidRPr="00F80FB9">
        <w:rPr>
          <w:rFonts w:ascii="Calibri" w:hAnsi="Calibri"/>
          <w:color w:val="000000"/>
          <w:sz w:val="24"/>
          <w:szCs w:val="24"/>
        </w:rPr>
        <w:t xml:space="preserve">primi mesi dell’anno in corso </w:t>
      </w:r>
      <w:r w:rsidR="0029325A" w:rsidRPr="00F80FB9">
        <w:rPr>
          <w:rFonts w:ascii="Calibri" w:hAnsi="Calibri"/>
          <w:color w:val="000000"/>
          <w:sz w:val="24"/>
          <w:szCs w:val="24"/>
        </w:rPr>
        <w:t xml:space="preserve">c’è stata </w:t>
      </w:r>
      <w:r w:rsidRPr="00F80FB9">
        <w:rPr>
          <w:rFonts w:ascii="Calibri" w:hAnsi="Calibri"/>
          <w:color w:val="000000"/>
          <w:sz w:val="24"/>
          <w:szCs w:val="24"/>
        </w:rPr>
        <w:t xml:space="preserve">una ripresa della domanda da parte degli studenti che è andata di pari passo con l’avanzamento della campagna vaccinale e con le decisioni degli atenei sulla frequenza delle lezioni. </w:t>
      </w:r>
      <w:r w:rsidR="00761172" w:rsidRPr="00F80FB9">
        <w:rPr>
          <w:rFonts w:ascii="Calibri" w:hAnsi="Calibri"/>
          <w:color w:val="000000"/>
          <w:sz w:val="24"/>
          <w:szCs w:val="24"/>
        </w:rPr>
        <w:t xml:space="preserve">Bene i contratti a canone transitorio. </w:t>
      </w:r>
    </w:p>
    <w:p w14:paraId="21427209" w14:textId="77777777" w:rsidR="00F80FB9" w:rsidRPr="008248F3" w:rsidRDefault="00F80FB9" w:rsidP="00F80FB9">
      <w:pPr>
        <w:spacing w:after="0" w:line="240" w:lineRule="auto"/>
        <w:jc w:val="both"/>
        <w:rPr>
          <w:rFonts w:ascii="Calibri" w:hAnsi="Calibri"/>
          <w:color w:val="000000"/>
          <w:sz w:val="16"/>
          <w:szCs w:val="16"/>
        </w:rPr>
      </w:pPr>
    </w:p>
    <w:p w14:paraId="18711F50" w14:textId="46CAF230" w:rsidR="00E93861" w:rsidRPr="00A919AB" w:rsidRDefault="00E93861" w:rsidP="00F80FB9">
      <w:pPr>
        <w:spacing w:after="0" w:line="240" w:lineRule="auto"/>
        <w:jc w:val="both"/>
        <w:rPr>
          <w:rFonts w:ascii="Calibri" w:hAnsi="Calibri"/>
          <w:b/>
          <w:bCs/>
          <w:color w:val="037986"/>
          <w:sz w:val="24"/>
          <w:szCs w:val="24"/>
        </w:rPr>
      </w:pPr>
      <w:r w:rsidRPr="00A919AB">
        <w:rPr>
          <w:rFonts w:ascii="Calibri" w:hAnsi="Calibri"/>
          <w:b/>
          <w:bCs/>
          <w:color w:val="037986"/>
          <w:sz w:val="24"/>
          <w:szCs w:val="24"/>
        </w:rPr>
        <w:t>Casa vacanza</w:t>
      </w:r>
    </w:p>
    <w:p w14:paraId="01FF9ACA" w14:textId="76E3FF28" w:rsidR="00E93861" w:rsidRPr="00F80FB9" w:rsidRDefault="00E93861" w:rsidP="00F80FB9">
      <w:pPr>
        <w:spacing w:after="0" w:line="240" w:lineRule="auto"/>
        <w:jc w:val="both"/>
        <w:rPr>
          <w:sz w:val="24"/>
          <w:szCs w:val="24"/>
        </w:rPr>
      </w:pPr>
      <w:r w:rsidRPr="00F80FB9">
        <w:rPr>
          <w:sz w:val="24"/>
          <w:szCs w:val="24"/>
        </w:rPr>
        <w:t>Il mercato della casa vacanza ha avuto un buon recupero già subito dopo il primo lockdown. La tipologia più richiesta e compravenduta è il trilocale ma, dopo il 2019, è aumentata la percentuale di chi cerca soluzioni indipendenti</w:t>
      </w:r>
      <w:r w:rsidRPr="008248F3">
        <w:rPr>
          <w:sz w:val="24"/>
          <w:szCs w:val="24"/>
        </w:rPr>
        <w:t>.</w:t>
      </w:r>
      <w:r w:rsidRPr="008248F3">
        <w:rPr>
          <w:b/>
          <w:bCs/>
          <w:sz w:val="24"/>
          <w:szCs w:val="24"/>
        </w:rPr>
        <w:t xml:space="preserve"> I prezzi in media nelle località turistiche di montagna sono in aumento dello 0,6%, in quelle di lago dell’1,6% e in quelle di mare dell’1,3%.</w:t>
      </w:r>
    </w:p>
    <w:p w14:paraId="0F546261" w14:textId="77777777" w:rsidR="00E20CA8" w:rsidRPr="00F80FB9" w:rsidRDefault="00E20CA8" w:rsidP="00F80FB9">
      <w:pPr>
        <w:spacing w:after="0" w:line="240" w:lineRule="auto"/>
        <w:jc w:val="both"/>
        <w:rPr>
          <w:rFonts w:ascii="Calibri" w:hAnsi="Calibri"/>
          <w:b/>
          <w:bCs/>
          <w:color w:val="000000"/>
          <w:sz w:val="24"/>
          <w:szCs w:val="24"/>
        </w:rPr>
      </w:pPr>
    </w:p>
    <w:p w14:paraId="5CCE1D1D" w14:textId="7BC9FF4F" w:rsidR="0057705D" w:rsidRPr="00A919AB" w:rsidRDefault="0057705D" w:rsidP="00F80FB9">
      <w:pPr>
        <w:spacing w:after="0" w:line="240" w:lineRule="auto"/>
        <w:jc w:val="both"/>
        <w:rPr>
          <w:rFonts w:ascii="Calibri" w:hAnsi="Calibri"/>
          <w:b/>
          <w:bCs/>
          <w:color w:val="037986"/>
          <w:sz w:val="24"/>
          <w:szCs w:val="24"/>
        </w:rPr>
      </w:pPr>
      <w:r w:rsidRPr="00A919AB">
        <w:rPr>
          <w:rFonts w:ascii="Calibri" w:hAnsi="Calibri"/>
          <w:b/>
          <w:bCs/>
          <w:color w:val="037986"/>
          <w:sz w:val="24"/>
          <w:szCs w:val="24"/>
        </w:rPr>
        <w:t xml:space="preserve">Previsioni </w:t>
      </w:r>
    </w:p>
    <w:p w14:paraId="24980AA7" w14:textId="2A87AB78" w:rsidR="0029325A" w:rsidRPr="008248F3" w:rsidRDefault="003D7F18" w:rsidP="00F80FB9">
      <w:pPr>
        <w:spacing w:after="0" w:line="240" w:lineRule="auto"/>
        <w:jc w:val="both"/>
        <w:rPr>
          <w:rFonts w:ascii="Calibri" w:hAnsi="Calibri"/>
          <w:i/>
          <w:iCs/>
          <w:color w:val="000000"/>
          <w:sz w:val="24"/>
          <w:szCs w:val="24"/>
        </w:rPr>
      </w:pPr>
      <w:r w:rsidRPr="008248F3">
        <w:rPr>
          <w:rFonts w:ascii="Calibri" w:hAnsi="Calibri"/>
          <w:i/>
          <w:iCs/>
          <w:color w:val="000000"/>
          <w:sz w:val="24"/>
          <w:szCs w:val="24"/>
        </w:rPr>
        <w:t>“</w:t>
      </w:r>
      <w:r w:rsidR="00AD65AC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I segnali positivi che arrivano dal mercato </w:t>
      </w:r>
      <w:r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- conclude la Responsabile dell’Ufficio Studi del Gruppo Tecnocasa - </w:t>
      </w:r>
      <w:r w:rsidR="00AD65AC" w:rsidRPr="008248F3">
        <w:rPr>
          <w:rFonts w:ascii="Calibri" w:hAnsi="Calibri"/>
          <w:i/>
          <w:iCs/>
          <w:color w:val="000000"/>
          <w:sz w:val="24"/>
          <w:szCs w:val="24"/>
        </w:rPr>
        <w:t>ci fanno propendere per una fine dell’anno con prezzi e compravendite in ascesa. I primi potranno chiudere tra +1% e +3% e le transazioni portarsi intorno a 6</w:t>
      </w:r>
      <w:r w:rsidR="007E4FDB" w:rsidRPr="008248F3">
        <w:rPr>
          <w:rFonts w:ascii="Calibri" w:hAnsi="Calibri"/>
          <w:i/>
          <w:iCs/>
          <w:color w:val="000000"/>
          <w:sz w:val="24"/>
          <w:szCs w:val="24"/>
        </w:rPr>
        <w:t>50</w:t>
      </w:r>
      <w:r w:rsidR="00AD65AC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mila. Il sentiment delle agenzie</w:t>
      </w:r>
      <w:r w:rsidR="00E94DF4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del Gruppo Tecnocasa</w:t>
      </w:r>
      <w:r w:rsidR="00AD65AC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volge verso un recupero dei valori</w:t>
      </w:r>
      <w:r w:rsidR="0029325A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. Per il futuro del mercato immobiliare sarà cruciale </w:t>
      </w:r>
      <w:r w:rsidR="0058402A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il sostegno del </w:t>
      </w:r>
      <w:r w:rsidR="00E20CA8" w:rsidRPr="008248F3">
        <w:rPr>
          <w:rFonts w:ascii="Calibri" w:hAnsi="Calibri"/>
          <w:i/>
          <w:iCs/>
          <w:color w:val="000000"/>
          <w:sz w:val="24"/>
          <w:szCs w:val="24"/>
        </w:rPr>
        <w:t>settore</w:t>
      </w:r>
      <w:r w:rsidR="0058402A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del credito, cardine del processo di recupero di volumi e valori. Ad oggi le prospettive sembrano essere positive senza dimenticare che ci muoviamo in un quadro ancora incerto</w:t>
      </w:r>
      <w:r w:rsidR="00CF3296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a livello economico</w:t>
      </w:r>
      <w:r w:rsidR="0058402A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che richiede</w:t>
      </w:r>
      <w:r w:rsidR="007E4FDB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</w:t>
      </w:r>
      <w:r w:rsidR="0058402A" w:rsidRPr="008248F3">
        <w:rPr>
          <w:rFonts w:ascii="Calibri" w:hAnsi="Calibri"/>
          <w:i/>
          <w:iCs/>
          <w:color w:val="000000"/>
          <w:sz w:val="24"/>
          <w:szCs w:val="24"/>
        </w:rPr>
        <w:t>prudenza</w:t>
      </w:r>
      <w:r w:rsidR="00E95379" w:rsidRPr="008248F3">
        <w:rPr>
          <w:rFonts w:ascii="Calibri" w:hAnsi="Calibri"/>
          <w:i/>
          <w:iCs/>
          <w:color w:val="000000"/>
          <w:sz w:val="24"/>
          <w:szCs w:val="24"/>
        </w:rPr>
        <w:t>. Allo stesso tempo si segnala</w:t>
      </w:r>
      <w:r w:rsidR="006E5687" w:rsidRPr="008248F3">
        <w:rPr>
          <w:rFonts w:ascii="Calibri" w:hAnsi="Calibri"/>
          <w:i/>
          <w:iCs/>
          <w:color w:val="000000"/>
          <w:sz w:val="24"/>
          <w:szCs w:val="24"/>
        </w:rPr>
        <w:t>no</w:t>
      </w:r>
      <w:r w:rsidR="00E95379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fiducia e attesa per i progetti che saranno </w:t>
      </w:r>
      <w:proofErr w:type="gramStart"/>
      <w:r w:rsidR="00E95379" w:rsidRPr="008248F3">
        <w:rPr>
          <w:rFonts w:ascii="Calibri" w:hAnsi="Calibri"/>
          <w:i/>
          <w:iCs/>
          <w:color w:val="000000"/>
          <w:sz w:val="24"/>
          <w:szCs w:val="24"/>
        </w:rPr>
        <w:t>messi in campo</w:t>
      </w:r>
      <w:proofErr w:type="gramEnd"/>
      <w:r w:rsidR="00E95379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con il PNRR</w:t>
      </w:r>
      <w:r w:rsidR="006E5687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e</w:t>
      </w:r>
      <w:r w:rsidR="00E95379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che potrebbero dare un ulteriore slancio al mercato</w:t>
      </w:r>
      <w:r w:rsidR="006E5687" w:rsidRPr="008248F3">
        <w:rPr>
          <w:rFonts w:ascii="Calibri" w:hAnsi="Calibri"/>
          <w:i/>
          <w:iCs/>
          <w:color w:val="000000"/>
          <w:sz w:val="24"/>
          <w:szCs w:val="24"/>
        </w:rPr>
        <w:t xml:space="preserve"> immobiliare</w:t>
      </w:r>
      <w:r w:rsidR="00645AD5" w:rsidRPr="008248F3">
        <w:rPr>
          <w:rFonts w:ascii="Calibri" w:hAnsi="Calibri"/>
          <w:i/>
          <w:iCs/>
          <w:color w:val="000000"/>
          <w:sz w:val="24"/>
          <w:szCs w:val="24"/>
        </w:rPr>
        <w:t>”</w:t>
      </w:r>
      <w:r w:rsidR="006E5687" w:rsidRPr="008248F3">
        <w:rPr>
          <w:rFonts w:ascii="Calibri" w:hAnsi="Calibri"/>
          <w:i/>
          <w:iCs/>
          <w:color w:val="000000"/>
          <w:sz w:val="24"/>
          <w:szCs w:val="24"/>
        </w:rPr>
        <w:t>.</w:t>
      </w:r>
    </w:p>
    <w:sectPr w:rsidR="0029325A" w:rsidRPr="008248F3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AF88A" w14:textId="77777777" w:rsidR="00F80FB9" w:rsidRDefault="00F80FB9" w:rsidP="00F80FB9">
      <w:pPr>
        <w:spacing w:after="0" w:line="240" w:lineRule="auto"/>
      </w:pPr>
      <w:r>
        <w:separator/>
      </w:r>
    </w:p>
  </w:endnote>
  <w:endnote w:type="continuationSeparator" w:id="0">
    <w:p w14:paraId="32C94F98" w14:textId="77777777" w:rsidR="00F80FB9" w:rsidRDefault="00F80FB9" w:rsidP="00F80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B99F" w14:textId="59EF1014" w:rsidR="00F80FB9" w:rsidRDefault="00F80FB9">
    <w:pPr>
      <w:pStyle w:val="Pidipagina"/>
    </w:pPr>
    <w:r>
      <w:rPr>
        <w:noProof/>
      </w:rPr>
      <w:drawing>
        <wp:inline distT="0" distB="0" distL="0" distR="0" wp14:anchorId="4B873169" wp14:editId="213FDE97">
          <wp:extent cx="6106601" cy="389255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7" r="1751" b="4626"/>
                  <a:stretch/>
                </pic:blipFill>
                <pic:spPr bwMode="auto">
                  <a:xfrm>
                    <a:off x="0" y="0"/>
                    <a:ext cx="6112233" cy="3896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B2EC" w14:textId="77777777" w:rsidR="00F80FB9" w:rsidRDefault="00F80FB9" w:rsidP="00F80FB9">
      <w:pPr>
        <w:spacing w:after="0" w:line="240" w:lineRule="auto"/>
      </w:pPr>
      <w:r>
        <w:separator/>
      </w:r>
    </w:p>
  </w:footnote>
  <w:footnote w:type="continuationSeparator" w:id="0">
    <w:p w14:paraId="1E5060C4" w14:textId="77777777" w:rsidR="00F80FB9" w:rsidRDefault="00F80FB9" w:rsidP="00F80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024B" w14:textId="5D8D2304" w:rsidR="00F80FB9" w:rsidRDefault="00F80FB9">
    <w:pPr>
      <w:pStyle w:val="Intestazione"/>
    </w:pPr>
    <w:r>
      <w:rPr>
        <w:noProof/>
      </w:rPr>
      <w:drawing>
        <wp:inline distT="0" distB="0" distL="0" distR="0" wp14:anchorId="220E0516" wp14:editId="438F7C9A">
          <wp:extent cx="6120130" cy="806450"/>
          <wp:effectExtent l="0" t="0" r="0" b="0"/>
          <wp:docPr id="3" name="Immagine 3" descr="Tecnocasa Gro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cnocasa Gro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5F4"/>
    <w:rsid w:val="000C7A10"/>
    <w:rsid w:val="001606A6"/>
    <w:rsid w:val="0029325A"/>
    <w:rsid w:val="002E1A60"/>
    <w:rsid w:val="00386356"/>
    <w:rsid w:val="003A1C0C"/>
    <w:rsid w:val="003D7F18"/>
    <w:rsid w:val="00430219"/>
    <w:rsid w:val="00526A3A"/>
    <w:rsid w:val="0057705D"/>
    <w:rsid w:val="0058402A"/>
    <w:rsid w:val="00645AD5"/>
    <w:rsid w:val="006E5687"/>
    <w:rsid w:val="00761172"/>
    <w:rsid w:val="007E4FDB"/>
    <w:rsid w:val="008248F3"/>
    <w:rsid w:val="008C55F4"/>
    <w:rsid w:val="00A919AB"/>
    <w:rsid w:val="00AD65AC"/>
    <w:rsid w:val="00BB1C4E"/>
    <w:rsid w:val="00CF3296"/>
    <w:rsid w:val="00D42575"/>
    <w:rsid w:val="00DE2307"/>
    <w:rsid w:val="00DE6D3B"/>
    <w:rsid w:val="00E07E40"/>
    <w:rsid w:val="00E20CA8"/>
    <w:rsid w:val="00E93861"/>
    <w:rsid w:val="00E94DF4"/>
    <w:rsid w:val="00E95379"/>
    <w:rsid w:val="00F72E86"/>
    <w:rsid w:val="00F80FB9"/>
    <w:rsid w:val="00F94E9F"/>
    <w:rsid w:val="00FE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77344D"/>
  <w15:chartTrackingRefBased/>
  <w15:docId w15:val="{C45D58A9-3679-473D-BD5F-938DE3A7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0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0FB9"/>
  </w:style>
  <w:style w:type="paragraph" w:styleId="Pidipagina">
    <w:name w:val="footer"/>
    <w:basedOn w:val="Normale"/>
    <w:link w:val="PidipaginaCarattere"/>
    <w:uiPriority w:val="99"/>
    <w:unhideWhenUsed/>
    <w:rsid w:val="00F80F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0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Megliola</dc:creator>
  <cp:keywords/>
  <dc:description/>
  <cp:lastModifiedBy>Vittoriana Signorini</cp:lastModifiedBy>
  <cp:revision>4</cp:revision>
  <cp:lastPrinted>2021-10-14T07:56:00Z</cp:lastPrinted>
  <dcterms:created xsi:type="dcterms:W3CDTF">2021-10-19T12:31:00Z</dcterms:created>
  <dcterms:modified xsi:type="dcterms:W3CDTF">2021-10-19T12:53:00Z</dcterms:modified>
</cp:coreProperties>
</file>