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06" w:rsidRDefault="00D05854" w:rsidP="007B4EBC">
      <w:pPr>
        <w:jc w:val="both"/>
        <w:rPr>
          <w:rFonts w:ascii="Arial Black" w:hAnsi="Arial Black" w:cs="Arial"/>
          <w:szCs w:val="20"/>
        </w:rPr>
      </w:pPr>
      <w:bookmarkStart w:id="0" w:name="_Hlk74295374"/>
      <w:r w:rsidRPr="00EE0267">
        <w:rPr>
          <w:rFonts w:ascii="Arial Black" w:hAnsi="Arial Black" w:cs="Arial"/>
          <w:szCs w:val="20"/>
        </w:rPr>
        <w:t>JLL</w:t>
      </w:r>
      <w:r w:rsidR="007B4EBC" w:rsidRPr="00EE0267">
        <w:rPr>
          <w:rFonts w:ascii="Arial Black" w:hAnsi="Arial Black" w:cs="Arial"/>
          <w:szCs w:val="20"/>
        </w:rPr>
        <w:t xml:space="preserve">: </w:t>
      </w:r>
      <w:r w:rsidR="00A42903" w:rsidRPr="00EE0267">
        <w:rPr>
          <w:rFonts w:ascii="Arial Black" w:hAnsi="Arial Black" w:cs="Arial"/>
          <w:szCs w:val="20"/>
        </w:rPr>
        <w:t>nel 2021 il settore dello student housing ha registrato investimenti per 5.2 miliardi a livello europeo attestandosi in forte crescita per il futuro</w:t>
      </w:r>
    </w:p>
    <w:p w:rsidR="007B4EBC" w:rsidRDefault="007B4EBC" w:rsidP="007B4EBC">
      <w:pPr>
        <w:jc w:val="both"/>
        <w:rPr>
          <w:rFonts w:ascii="Arial Black" w:hAnsi="Arial Black" w:cs="Arial"/>
          <w:szCs w:val="20"/>
        </w:rPr>
      </w:pPr>
    </w:p>
    <w:p w:rsidR="007B4EBC" w:rsidRDefault="007B4EBC" w:rsidP="007B4EBC">
      <w:pPr>
        <w:jc w:val="both"/>
        <w:rPr>
          <w:rFonts w:ascii="Arial Black" w:hAnsi="Arial Black" w:cs="Arial"/>
          <w:szCs w:val="20"/>
        </w:rPr>
      </w:pPr>
      <w:r>
        <w:rPr>
          <w:rFonts w:ascii="Arial Black" w:hAnsi="Arial Black" w:cs="Arial"/>
          <w:szCs w:val="20"/>
        </w:rPr>
        <w:t>Milano, Torino, Firenze, Bologna, Padova e Roma le città più attrattive per gli studenti</w:t>
      </w:r>
    </w:p>
    <w:p w:rsidR="007B4EBC" w:rsidRDefault="007B4EBC" w:rsidP="007B4EBC">
      <w:pPr>
        <w:jc w:val="both"/>
        <w:rPr>
          <w:rFonts w:ascii="Arial Black" w:hAnsi="Arial Black" w:cs="Arial"/>
          <w:szCs w:val="20"/>
        </w:rPr>
      </w:pPr>
    </w:p>
    <w:p w:rsidR="007B4EBC" w:rsidRDefault="007B4EBC" w:rsidP="007B4EBC">
      <w:pPr>
        <w:jc w:val="both"/>
        <w:rPr>
          <w:rFonts w:ascii="Arial Black" w:hAnsi="Arial Black" w:cs="Arial"/>
          <w:szCs w:val="20"/>
        </w:rPr>
      </w:pPr>
      <w:r>
        <w:rPr>
          <w:rFonts w:ascii="Arial Black" w:hAnsi="Arial Black" w:cs="Arial"/>
          <w:szCs w:val="20"/>
        </w:rPr>
        <w:t>Entro il 2024 previsti +4</w:t>
      </w:r>
      <w:r w:rsidR="0087423A">
        <w:rPr>
          <w:rFonts w:ascii="Arial Black" w:hAnsi="Arial Black" w:cs="Arial"/>
          <w:szCs w:val="20"/>
        </w:rPr>
        <w:t>.</w:t>
      </w:r>
      <w:r>
        <w:rPr>
          <w:rFonts w:ascii="Arial Black" w:hAnsi="Arial Black" w:cs="Arial"/>
          <w:szCs w:val="20"/>
        </w:rPr>
        <w:t>200 posti letto a Milano, +4</w:t>
      </w:r>
      <w:r w:rsidR="0087423A">
        <w:rPr>
          <w:rFonts w:ascii="Arial Black" w:hAnsi="Arial Black" w:cs="Arial"/>
          <w:szCs w:val="20"/>
        </w:rPr>
        <w:t>.</w:t>
      </w:r>
      <w:r>
        <w:rPr>
          <w:rFonts w:ascii="Arial Black" w:hAnsi="Arial Black" w:cs="Arial"/>
          <w:szCs w:val="20"/>
        </w:rPr>
        <w:t>200 a Torino e +1</w:t>
      </w:r>
      <w:r w:rsidR="0087423A">
        <w:rPr>
          <w:rFonts w:ascii="Arial Black" w:hAnsi="Arial Black" w:cs="Arial"/>
          <w:szCs w:val="20"/>
        </w:rPr>
        <w:t>.</w:t>
      </w:r>
      <w:r>
        <w:rPr>
          <w:rFonts w:ascii="Arial Black" w:hAnsi="Arial Black" w:cs="Arial"/>
          <w:szCs w:val="20"/>
        </w:rPr>
        <w:t>800 a Roma</w:t>
      </w:r>
    </w:p>
    <w:p w:rsidR="00230361" w:rsidRDefault="00230361" w:rsidP="007B4EBC">
      <w:pPr>
        <w:jc w:val="both"/>
        <w:rPr>
          <w:rFonts w:ascii="Arial Black" w:hAnsi="Arial Black" w:cs="Arial"/>
          <w:szCs w:val="20"/>
        </w:rPr>
      </w:pPr>
    </w:p>
    <w:p w:rsidR="00230361" w:rsidRPr="00D05854" w:rsidRDefault="00230361" w:rsidP="007B4EBC">
      <w:pPr>
        <w:jc w:val="both"/>
        <w:rPr>
          <w:rFonts w:ascii="Arial Black" w:hAnsi="Arial Black" w:cs="Arial"/>
          <w:szCs w:val="20"/>
        </w:rPr>
      </w:pPr>
      <w:r>
        <w:rPr>
          <w:rFonts w:ascii="Arial Black" w:hAnsi="Arial Black" w:cs="Arial"/>
          <w:szCs w:val="20"/>
        </w:rPr>
        <w:t xml:space="preserve">Bologna la città con </w:t>
      </w:r>
      <w:r w:rsidR="004F7ECA">
        <w:rPr>
          <w:rFonts w:ascii="Arial Black" w:hAnsi="Arial Black" w:cs="Arial"/>
          <w:szCs w:val="20"/>
        </w:rPr>
        <w:t xml:space="preserve">la </w:t>
      </w:r>
      <w:r w:rsidR="004F7ECA" w:rsidRPr="004F7ECA">
        <w:rPr>
          <w:rFonts w:ascii="Arial Black" w:hAnsi="Arial Black" w:cs="Arial"/>
          <w:szCs w:val="20"/>
        </w:rPr>
        <w:t xml:space="preserve">domanda </w:t>
      </w:r>
      <w:r w:rsidR="00115082">
        <w:rPr>
          <w:rFonts w:ascii="Arial Black" w:hAnsi="Arial Black" w:cs="Arial"/>
          <w:szCs w:val="20"/>
        </w:rPr>
        <w:t xml:space="preserve">potenziale </w:t>
      </w:r>
      <w:r w:rsidR="004F7ECA" w:rsidRPr="004F7ECA">
        <w:rPr>
          <w:rFonts w:ascii="Arial Black" w:hAnsi="Arial Black" w:cs="Arial"/>
          <w:szCs w:val="20"/>
        </w:rPr>
        <w:t>più alta (25%)</w:t>
      </w:r>
    </w:p>
    <w:p w:rsidR="004B0806" w:rsidRDefault="004B0806" w:rsidP="004B08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17"/>
          <w:szCs w:val="17"/>
        </w:rPr>
      </w:pPr>
    </w:p>
    <w:p w:rsidR="004B0806" w:rsidRDefault="00C2107A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 w:rsidRPr="00EE0267">
        <w:rPr>
          <w:rFonts w:ascii="Calibri" w:hAnsi="Calibri" w:cs="Calibri"/>
          <w:i/>
          <w:iCs/>
          <w:color w:val="000000"/>
          <w:sz w:val="17"/>
          <w:szCs w:val="17"/>
        </w:rPr>
        <w:t xml:space="preserve">Milano, </w:t>
      </w:r>
      <w:r w:rsidR="008D2D2B">
        <w:rPr>
          <w:rFonts w:ascii="Calibri" w:hAnsi="Calibri" w:cs="Calibri"/>
          <w:i/>
          <w:iCs/>
          <w:color w:val="000000"/>
          <w:sz w:val="17"/>
          <w:szCs w:val="17"/>
        </w:rPr>
        <w:t>23</w:t>
      </w:r>
      <w:r w:rsidRPr="00EE0267">
        <w:rPr>
          <w:rFonts w:ascii="Calibri" w:hAnsi="Calibri" w:cs="Calibri"/>
          <w:i/>
          <w:iCs/>
          <w:color w:val="000000"/>
          <w:sz w:val="17"/>
          <w:szCs w:val="17"/>
        </w:rPr>
        <w:t xml:space="preserve"> dicembre 2021</w:t>
      </w:r>
      <w:r w:rsidRPr="00EE0267">
        <w:rPr>
          <w:rFonts w:ascii="Calibri" w:hAnsi="Calibri" w:cs="Calibri"/>
          <w:color w:val="000000"/>
          <w:sz w:val="17"/>
          <w:szCs w:val="17"/>
        </w:rPr>
        <w:t xml:space="preserve"> – Secondo l’ultima analisi di JLL, realtà leader nella consulenza </w:t>
      </w:r>
      <w:r w:rsidR="001D0833" w:rsidRPr="00EE0267">
        <w:rPr>
          <w:rFonts w:ascii="Calibri" w:hAnsi="Calibri" w:cs="Calibri"/>
          <w:color w:val="000000"/>
          <w:sz w:val="17"/>
          <w:szCs w:val="17"/>
        </w:rPr>
        <w:t>per il</w:t>
      </w:r>
      <w:r w:rsidRPr="00EE0267">
        <w:rPr>
          <w:rFonts w:ascii="Calibri" w:hAnsi="Calibri" w:cs="Calibri"/>
          <w:color w:val="000000"/>
          <w:sz w:val="17"/>
          <w:szCs w:val="17"/>
        </w:rPr>
        <w:t xml:space="preserve"> settore immobiliare, il mercato dello student housing sta attraversando un periodo di particolare positività, </w:t>
      </w:r>
      <w:r w:rsidR="00A84D56" w:rsidRPr="00EE0267">
        <w:rPr>
          <w:rFonts w:ascii="Calibri" w:hAnsi="Calibri" w:cs="Calibri"/>
          <w:color w:val="000000"/>
          <w:sz w:val="17"/>
          <w:szCs w:val="17"/>
        </w:rPr>
        <w:t xml:space="preserve">come dimostrano </w:t>
      </w:r>
      <w:r w:rsidRPr="00EE0267">
        <w:rPr>
          <w:rFonts w:ascii="Calibri" w:hAnsi="Calibri" w:cs="Calibri"/>
          <w:color w:val="000000"/>
          <w:sz w:val="17"/>
          <w:szCs w:val="17"/>
        </w:rPr>
        <w:t>i volumi di investimento</w:t>
      </w:r>
      <w:r w:rsidR="00A84D56" w:rsidRPr="00EE0267">
        <w:rPr>
          <w:rFonts w:ascii="Calibri" w:hAnsi="Calibri" w:cs="Calibri"/>
          <w:color w:val="000000"/>
          <w:sz w:val="17"/>
          <w:szCs w:val="17"/>
        </w:rPr>
        <w:t>,</w:t>
      </w:r>
      <w:r w:rsidRPr="00EE0267">
        <w:rPr>
          <w:rFonts w:ascii="Calibri" w:hAnsi="Calibri" w:cs="Calibri"/>
          <w:color w:val="000000"/>
          <w:sz w:val="17"/>
          <w:szCs w:val="17"/>
        </w:rPr>
        <w:t xml:space="preserve"> che nel 2021 hanno raggiunto un valore pari a </w:t>
      </w:r>
      <w:r w:rsidR="004B4C50" w:rsidRPr="00EE0267">
        <w:rPr>
          <w:rFonts w:ascii="Calibri" w:hAnsi="Calibri" w:cs="Calibri"/>
          <w:b/>
          <w:bCs/>
          <w:color w:val="000000"/>
          <w:sz w:val="17"/>
          <w:szCs w:val="17"/>
        </w:rPr>
        <w:t>5</w:t>
      </w:r>
      <w:r w:rsidR="0087423A" w:rsidRPr="00EE0267">
        <w:rPr>
          <w:rFonts w:ascii="Calibri" w:hAnsi="Calibri" w:cs="Calibri"/>
          <w:b/>
          <w:bCs/>
          <w:color w:val="000000"/>
          <w:sz w:val="17"/>
          <w:szCs w:val="17"/>
        </w:rPr>
        <w:t>,</w:t>
      </w:r>
      <w:r w:rsidR="004B4C50" w:rsidRPr="00EE0267">
        <w:rPr>
          <w:rFonts w:ascii="Calibri" w:hAnsi="Calibri" w:cs="Calibri"/>
          <w:b/>
          <w:bCs/>
          <w:color w:val="000000"/>
          <w:sz w:val="17"/>
          <w:szCs w:val="17"/>
        </w:rPr>
        <w:t>2 miliardi di euro</w:t>
      </w:r>
      <w:r w:rsidR="001D0833" w:rsidRPr="00EE0267">
        <w:rPr>
          <w:rFonts w:ascii="Calibri" w:hAnsi="Calibri" w:cs="Calibri"/>
          <w:b/>
          <w:bCs/>
          <w:color w:val="000000"/>
          <w:sz w:val="17"/>
          <w:szCs w:val="17"/>
        </w:rPr>
        <w:t xml:space="preserve"> </w:t>
      </w:r>
      <w:r w:rsidR="0087423A" w:rsidRPr="00EE0267">
        <w:rPr>
          <w:rFonts w:ascii="Calibri" w:hAnsi="Calibri" w:cs="Calibri"/>
          <w:b/>
          <w:bCs/>
          <w:color w:val="000000"/>
          <w:sz w:val="17"/>
          <w:szCs w:val="17"/>
        </w:rPr>
        <w:t>in Europa</w:t>
      </w:r>
      <w:r w:rsidR="004B4C50" w:rsidRPr="00EE0267">
        <w:rPr>
          <w:rFonts w:ascii="Calibri" w:hAnsi="Calibri" w:cs="Calibri"/>
          <w:color w:val="000000"/>
          <w:sz w:val="17"/>
          <w:szCs w:val="17"/>
        </w:rPr>
        <w:t xml:space="preserve">. L’Inghilterra si conferma </w:t>
      </w:r>
      <w:r w:rsidR="00A84D56" w:rsidRPr="00EE0267">
        <w:rPr>
          <w:rFonts w:ascii="Calibri" w:hAnsi="Calibri" w:cs="Calibri"/>
          <w:color w:val="000000"/>
          <w:sz w:val="17"/>
          <w:szCs w:val="17"/>
        </w:rPr>
        <w:t xml:space="preserve">la </w:t>
      </w:r>
      <w:r w:rsidR="004B4C50" w:rsidRPr="00EE0267">
        <w:rPr>
          <w:rFonts w:ascii="Calibri" w:hAnsi="Calibri" w:cs="Calibri"/>
          <w:color w:val="000000"/>
          <w:sz w:val="17"/>
          <w:szCs w:val="17"/>
        </w:rPr>
        <w:t xml:space="preserve">destinazione preferita </w:t>
      </w:r>
      <w:r w:rsidR="00280973">
        <w:rPr>
          <w:rFonts w:ascii="Calibri" w:hAnsi="Calibri" w:cs="Calibri"/>
          <w:color w:val="000000"/>
          <w:sz w:val="17"/>
          <w:szCs w:val="17"/>
        </w:rPr>
        <w:t xml:space="preserve">raccogliendo il </w:t>
      </w:r>
      <w:r w:rsidR="004B4C50" w:rsidRPr="00EE0267">
        <w:rPr>
          <w:rFonts w:ascii="Calibri" w:hAnsi="Calibri" w:cs="Calibri"/>
          <w:color w:val="000000"/>
          <w:sz w:val="17"/>
          <w:szCs w:val="17"/>
        </w:rPr>
        <w:t>60%</w:t>
      </w:r>
      <w:r w:rsidR="00280973">
        <w:rPr>
          <w:rFonts w:ascii="Calibri" w:hAnsi="Calibri" w:cs="Calibri"/>
          <w:color w:val="000000"/>
          <w:sz w:val="17"/>
          <w:szCs w:val="17"/>
        </w:rPr>
        <w:t xml:space="preserve"> degli investimenti</w:t>
      </w:r>
      <w:r w:rsidR="004B4C50" w:rsidRPr="00EE0267">
        <w:rPr>
          <w:rFonts w:ascii="Calibri" w:hAnsi="Calibri" w:cs="Calibri"/>
          <w:color w:val="000000"/>
          <w:sz w:val="17"/>
          <w:szCs w:val="17"/>
        </w:rPr>
        <w:t>, seguita dalla Germania (11%), dalla Svi</w:t>
      </w:r>
      <w:r w:rsidR="00A42903" w:rsidRPr="00EE0267">
        <w:rPr>
          <w:rFonts w:ascii="Calibri" w:hAnsi="Calibri" w:cs="Calibri"/>
          <w:color w:val="000000"/>
          <w:sz w:val="17"/>
          <w:szCs w:val="17"/>
        </w:rPr>
        <w:t>z</w:t>
      </w:r>
      <w:r w:rsidR="004B4C50" w:rsidRPr="00EE0267">
        <w:rPr>
          <w:rFonts w:ascii="Calibri" w:hAnsi="Calibri" w:cs="Calibri"/>
          <w:color w:val="000000"/>
          <w:sz w:val="17"/>
          <w:szCs w:val="17"/>
        </w:rPr>
        <w:t>zera (9%) e dalla Danimarca (7%).</w:t>
      </w:r>
      <w:r w:rsidR="004B4C50">
        <w:rPr>
          <w:rFonts w:ascii="Calibri" w:hAnsi="Calibri" w:cs="Calibri"/>
          <w:color w:val="000000"/>
          <w:sz w:val="17"/>
          <w:szCs w:val="17"/>
        </w:rPr>
        <w:t xml:space="preserve"> </w:t>
      </w:r>
    </w:p>
    <w:p w:rsidR="007B4EBC" w:rsidRDefault="00A42903" w:rsidP="007B4EBC">
      <w:pPr>
        <w:pStyle w:val="Default"/>
        <w:jc w:val="center"/>
        <w:rPr>
          <w:rFonts w:ascii="Calibri" w:hAnsi="Calibri" w:cs="Calibri"/>
          <w:sz w:val="17"/>
          <w:szCs w:val="17"/>
        </w:rPr>
      </w:pPr>
      <w:r w:rsidRPr="000E13D0">
        <w:rPr>
          <w:rFonts w:ascii="Calibri" w:hAnsi="Calibri" w:cs="Calibri"/>
          <w:noProof/>
          <w:sz w:val="17"/>
          <w:szCs w:val="17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109855</wp:posOffset>
            </wp:positionV>
            <wp:extent cx="2868930" cy="1857375"/>
            <wp:effectExtent l="0" t="0" r="762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903" w:rsidRDefault="00A42903" w:rsidP="00A4290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In Italia il numero di studenti universitari nell’anno accademico 2020/2021 ha raggiunto un valore intorno ai 2 milioni</w:t>
      </w:r>
      <w:r w:rsidR="00A84D56">
        <w:rPr>
          <w:rFonts w:ascii="Calibri" w:hAnsi="Calibri" w:cs="Calibri"/>
          <w:color w:val="000000"/>
          <w:sz w:val="17"/>
          <w:szCs w:val="17"/>
        </w:rPr>
        <w:t>,</w:t>
      </w:r>
      <w:r>
        <w:rPr>
          <w:rFonts w:ascii="Calibri" w:hAnsi="Calibri" w:cs="Calibri"/>
          <w:color w:val="000000"/>
          <w:sz w:val="17"/>
          <w:szCs w:val="17"/>
        </w:rPr>
        <w:t xml:space="preserve"> con un forte aumento di studenti internazionali soprattutto nelle città di Milano e Padova. </w:t>
      </w:r>
    </w:p>
    <w:p w:rsidR="00A42903" w:rsidRDefault="00A42903" w:rsidP="00A42903">
      <w:pPr>
        <w:pStyle w:val="Default"/>
        <w:jc w:val="both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A livello nazionale</w:t>
      </w:r>
      <w:r w:rsidR="004B4C50">
        <w:rPr>
          <w:rFonts w:ascii="Calibri" w:hAnsi="Calibri" w:cs="Calibri"/>
          <w:sz w:val="17"/>
          <w:szCs w:val="17"/>
        </w:rPr>
        <w:t xml:space="preserve"> il settore dello student housing si </w:t>
      </w:r>
      <w:r w:rsidR="00A84D56">
        <w:rPr>
          <w:rFonts w:ascii="Calibri" w:hAnsi="Calibri" w:cs="Calibri"/>
          <w:sz w:val="17"/>
          <w:szCs w:val="17"/>
        </w:rPr>
        <w:t xml:space="preserve">dimostra </w:t>
      </w:r>
      <w:r w:rsidR="004B4C50">
        <w:rPr>
          <w:rFonts w:ascii="Calibri" w:hAnsi="Calibri" w:cs="Calibri"/>
          <w:sz w:val="17"/>
          <w:szCs w:val="17"/>
        </w:rPr>
        <w:t>un</w:t>
      </w:r>
      <w:r w:rsidR="0087423A">
        <w:rPr>
          <w:rFonts w:ascii="Calibri" w:hAnsi="Calibri" w:cs="Calibri"/>
          <w:sz w:val="17"/>
          <w:szCs w:val="17"/>
        </w:rPr>
        <w:t xml:space="preserve"> </w:t>
      </w:r>
      <w:r w:rsidR="004B4C50">
        <w:rPr>
          <w:rFonts w:ascii="Calibri" w:hAnsi="Calibri" w:cs="Calibri"/>
          <w:sz w:val="17"/>
          <w:szCs w:val="17"/>
        </w:rPr>
        <w:t xml:space="preserve">asset class in </w:t>
      </w:r>
      <w:r w:rsidR="00A84D56">
        <w:rPr>
          <w:rFonts w:ascii="Calibri" w:hAnsi="Calibri" w:cs="Calibri"/>
          <w:sz w:val="17"/>
          <w:szCs w:val="17"/>
        </w:rPr>
        <w:t xml:space="preserve">forte </w:t>
      </w:r>
      <w:r w:rsidR="004B4C50">
        <w:rPr>
          <w:rFonts w:ascii="Calibri" w:hAnsi="Calibri" w:cs="Calibri"/>
          <w:sz w:val="17"/>
          <w:szCs w:val="17"/>
        </w:rPr>
        <w:t>evoluzione</w:t>
      </w:r>
      <w:r w:rsidR="00A84D56">
        <w:rPr>
          <w:rFonts w:ascii="Calibri" w:hAnsi="Calibri" w:cs="Calibri"/>
          <w:sz w:val="17"/>
          <w:szCs w:val="17"/>
        </w:rPr>
        <w:t xml:space="preserve">, </w:t>
      </w:r>
      <w:r w:rsidR="004B4C50">
        <w:rPr>
          <w:rFonts w:ascii="Calibri" w:hAnsi="Calibri" w:cs="Calibri"/>
          <w:sz w:val="17"/>
          <w:szCs w:val="17"/>
        </w:rPr>
        <w:t xml:space="preserve">con un </w:t>
      </w:r>
      <w:r w:rsidR="00A84D56">
        <w:rPr>
          <w:rFonts w:ascii="Calibri" w:hAnsi="Calibri" w:cs="Calibri"/>
          <w:sz w:val="17"/>
          <w:szCs w:val="17"/>
        </w:rPr>
        <w:t xml:space="preserve">alto </w:t>
      </w:r>
      <w:r w:rsidR="004B4C50">
        <w:rPr>
          <w:rFonts w:ascii="Calibri" w:hAnsi="Calibri" w:cs="Calibri"/>
          <w:sz w:val="17"/>
          <w:szCs w:val="17"/>
        </w:rPr>
        <w:t xml:space="preserve">potenziale </w:t>
      </w:r>
      <w:r w:rsidR="001D0833">
        <w:rPr>
          <w:rFonts w:ascii="Calibri" w:hAnsi="Calibri" w:cs="Calibri"/>
          <w:sz w:val="17"/>
          <w:szCs w:val="17"/>
        </w:rPr>
        <w:t>di investimento e diversificazione a livello geografico. Nonostante i volumi di transazione</w:t>
      </w:r>
      <w:r w:rsidR="00A84D56">
        <w:rPr>
          <w:rFonts w:ascii="Calibri" w:hAnsi="Calibri" w:cs="Calibri"/>
          <w:sz w:val="17"/>
          <w:szCs w:val="17"/>
        </w:rPr>
        <w:t xml:space="preserve"> siano ancora contenuti</w:t>
      </w:r>
      <w:r w:rsidR="001D0833">
        <w:rPr>
          <w:rFonts w:ascii="Calibri" w:hAnsi="Calibri" w:cs="Calibri"/>
          <w:sz w:val="17"/>
          <w:szCs w:val="17"/>
        </w:rPr>
        <w:t xml:space="preserve">, l’attrattività del settore è </w:t>
      </w:r>
      <w:r w:rsidR="00A84D56">
        <w:rPr>
          <w:rFonts w:ascii="Calibri" w:hAnsi="Calibri" w:cs="Calibri"/>
          <w:sz w:val="17"/>
          <w:szCs w:val="17"/>
        </w:rPr>
        <w:t xml:space="preserve">confermata </w:t>
      </w:r>
      <w:r w:rsidR="001D0833">
        <w:rPr>
          <w:rFonts w:ascii="Calibri" w:hAnsi="Calibri" w:cs="Calibri"/>
          <w:sz w:val="17"/>
          <w:szCs w:val="17"/>
        </w:rPr>
        <w:t>dal sempre più alto numero di sviluppatori</w:t>
      </w:r>
      <w:r w:rsidR="00821043">
        <w:rPr>
          <w:rFonts w:ascii="Calibri" w:hAnsi="Calibri" w:cs="Calibri"/>
          <w:sz w:val="17"/>
          <w:szCs w:val="17"/>
        </w:rPr>
        <w:t>,</w:t>
      </w:r>
      <w:r w:rsidR="0087423A">
        <w:rPr>
          <w:rFonts w:ascii="Calibri" w:hAnsi="Calibri" w:cs="Calibri"/>
          <w:sz w:val="17"/>
          <w:szCs w:val="17"/>
        </w:rPr>
        <w:t xml:space="preserve"> </w:t>
      </w:r>
      <w:r w:rsidR="001D0833">
        <w:rPr>
          <w:rFonts w:ascii="Calibri" w:hAnsi="Calibri" w:cs="Calibri"/>
          <w:sz w:val="17"/>
          <w:szCs w:val="17"/>
        </w:rPr>
        <w:t xml:space="preserve">player </w:t>
      </w:r>
      <w:r w:rsidR="00821043">
        <w:rPr>
          <w:rFonts w:ascii="Calibri" w:hAnsi="Calibri" w:cs="Calibri"/>
          <w:sz w:val="17"/>
          <w:szCs w:val="17"/>
        </w:rPr>
        <w:t xml:space="preserve">e operatori di mercato – </w:t>
      </w:r>
      <w:r w:rsidR="00115082">
        <w:rPr>
          <w:rFonts w:ascii="Calibri" w:hAnsi="Calibri" w:cs="Calibri"/>
          <w:sz w:val="17"/>
          <w:szCs w:val="17"/>
        </w:rPr>
        <w:t xml:space="preserve">tra questi ultimi The </w:t>
      </w:r>
      <w:r w:rsidR="00821043" w:rsidRPr="004B0806">
        <w:rPr>
          <w:rFonts w:ascii="Calibri" w:hAnsi="Calibri" w:cs="Calibri"/>
          <w:sz w:val="17"/>
          <w:szCs w:val="17"/>
        </w:rPr>
        <w:t xml:space="preserve">Student Hotel, Camplus, Campus X, Aparto, CRM </w:t>
      </w:r>
      <w:r w:rsidR="00821043">
        <w:rPr>
          <w:rFonts w:ascii="Calibri" w:hAnsi="Calibri" w:cs="Calibri"/>
          <w:sz w:val="17"/>
          <w:szCs w:val="17"/>
        </w:rPr>
        <w:t>e</w:t>
      </w:r>
      <w:r w:rsidR="00821043" w:rsidRPr="004B0806">
        <w:rPr>
          <w:rFonts w:ascii="Calibri" w:hAnsi="Calibri" w:cs="Calibri"/>
          <w:sz w:val="17"/>
          <w:szCs w:val="17"/>
        </w:rPr>
        <w:t xml:space="preserve"> </w:t>
      </w:r>
      <w:r w:rsidR="00115082">
        <w:rPr>
          <w:rFonts w:ascii="Calibri" w:hAnsi="Calibri" w:cs="Calibri"/>
          <w:sz w:val="17"/>
          <w:szCs w:val="17"/>
        </w:rPr>
        <w:t>Dove Vivo</w:t>
      </w:r>
      <w:r w:rsidR="00821043">
        <w:rPr>
          <w:rFonts w:ascii="Calibri" w:hAnsi="Calibri" w:cs="Calibri"/>
          <w:sz w:val="17"/>
          <w:szCs w:val="17"/>
        </w:rPr>
        <w:t xml:space="preserve"> - </w:t>
      </w:r>
      <w:r w:rsidR="001D0833">
        <w:rPr>
          <w:rFonts w:ascii="Calibri" w:hAnsi="Calibri" w:cs="Calibri"/>
          <w:sz w:val="17"/>
          <w:szCs w:val="17"/>
        </w:rPr>
        <w:t xml:space="preserve">che stanno </w:t>
      </w:r>
      <w:r w:rsidR="00A84D56">
        <w:rPr>
          <w:rFonts w:ascii="Calibri" w:hAnsi="Calibri" w:cs="Calibri"/>
          <w:sz w:val="17"/>
          <w:szCs w:val="17"/>
        </w:rPr>
        <w:t xml:space="preserve">valutando </w:t>
      </w:r>
      <w:r w:rsidR="001D0833">
        <w:rPr>
          <w:rFonts w:ascii="Calibri" w:hAnsi="Calibri" w:cs="Calibri"/>
          <w:sz w:val="17"/>
          <w:szCs w:val="17"/>
        </w:rPr>
        <w:t>di implementare nuove soluzioni</w:t>
      </w:r>
      <w:r w:rsidR="00115082">
        <w:rPr>
          <w:rFonts w:ascii="Calibri" w:hAnsi="Calibri" w:cs="Calibri"/>
          <w:sz w:val="17"/>
          <w:szCs w:val="17"/>
        </w:rPr>
        <w:t xml:space="preserve"> gestionali</w:t>
      </w:r>
      <w:r w:rsidR="001D0833">
        <w:rPr>
          <w:rFonts w:ascii="Calibri" w:hAnsi="Calibri" w:cs="Calibri"/>
          <w:sz w:val="17"/>
          <w:szCs w:val="17"/>
        </w:rPr>
        <w:t xml:space="preserve">. </w:t>
      </w:r>
      <w:r w:rsidR="00C93655">
        <w:rPr>
          <w:rFonts w:ascii="Calibri" w:hAnsi="Calibri" w:cs="Calibri"/>
          <w:sz w:val="17"/>
          <w:szCs w:val="17"/>
        </w:rPr>
        <w:t xml:space="preserve">Entro il </w:t>
      </w:r>
      <w:r w:rsidR="0087423A">
        <w:rPr>
          <w:rFonts w:ascii="Calibri" w:hAnsi="Calibri" w:cs="Calibri"/>
          <w:sz w:val="17"/>
          <w:szCs w:val="17"/>
        </w:rPr>
        <w:t xml:space="preserve">2024 </w:t>
      </w:r>
      <w:r w:rsidR="00C93655">
        <w:rPr>
          <w:rFonts w:ascii="Calibri" w:hAnsi="Calibri" w:cs="Calibri"/>
          <w:sz w:val="17"/>
          <w:szCs w:val="17"/>
        </w:rPr>
        <w:t>ci si attende l’apertura di 50 nuovi studentati.</w:t>
      </w:r>
    </w:p>
    <w:p w:rsidR="00A42903" w:rsidRDefault="00A42903" w:rsidP="00A42903">
      <w:pPr>
        <w:pStyle w:val="Default"/>
        <w:jc w:val="both"/>
        <w:rPr>
          <w:rFonts w:ascii="Calibri" w:hAnsi="Calibri" w:cs="Calibri"/>
          <w:sz w:val="17"/>
          <w:szCs w:val="17"/>
        </w:rPr>
      </w:pPr>
    </w:p>
    <w:p w:rsidR="001D0833" w:rsidRDefault="001D0833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Attualmente il numero di posti letto per studenti ha raggiunto le 62.000 unità ed entro il 2024 ci si attende un incremento di </w:t>
      </w:r>
      <w:r w:rsidR="0087423A">
        <w:rPr>
          <w:rFonts w:ascii="Calibri" w:hAnsi="Calibri" w:cs="Calibri"/>
          <w:color w:val="000000"/>
          <w:sz w:val="17"/>
          <w:szCs w:val="17"/>
        </w:rPr>
        <w:t>oltre</w:t>
      </w:r>
      <w:r>
        <w:rPr>
          <w:rFonts w:ascii="Calibri" w:hAnsi="Calibri" w:cs="Calibri"/>
          <w:color w:val="000000"/>
          <w:sz w:val="17"/>
          <w:szCs w:val="17"/>
        </w:rPr>
        <w:t xml:space="preserve"> 16.000, il 45% dei quali già in corso di realizzazione. La metà dei progetti </w:t>
      </w:r>
      <w:r w:rsidR="00821043">
        <w:rPr>
          <w:rFonts w:ascii="Calibri" w:hAnsi="Calibri" w:cs="Calibri"/>
          <w:color w:val="000000"/>
          <w:sz w:val="17"/>
          <w:szCs w:val="17"/>
        </w:rPr>
        <w:t>viene oggi</w:t>
      </w:r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 w:rsidR="00821043">
        <w:rPr>
          <w:rFonts w:ascii="Calibri" w:hAnsi="Calibri" w:cs="Calibri"/>
          <w:color w:val="000000"/>
          <w:sz w:val="17"/>
          <w:szCs w:val="17"/>
        </w:rPr>
        <w:t>sviluppata</w:t>
      </w:r>
      <w:r>
        <w:rPr>
          <w:rFonts w:ascii="Calibri" w:hAnsi="Calibri" w:cs="Calibri"/>
          <w:color w:val="000000"/>
          <w:sz w:val="17"/>
          <w:szCs w:val="17"/>
        </w:rPr>
        <w:t xml:space="preserve"> in città come Milano e Torino</w:t>
      </w:r>
      <w:r w:rsidR="00821043">
        <w:rPr>
          <w:rFonts w:ascii="Calibri" w:hAnsi="Calibri" w:cs="Calibri"/>
          <w:color w:val="000000"/>
          <w:sz w:val="17"/>
          <w:szCs w:val="17"/>
        </w:rPr>
        <w:t>,</w:t>
      </w:r>
      <w:r>
        <w:rPr>
          <w:rFonts w:ascii="Calibri" w:hAnsi="Calibri" w:cs="Calibri"/>
          <w:color w:val="000000"/>
          <w:sz w:val="17"/>
          <w:szCs w:val="17"/>
        </w:rPr>
        <w:t xml:space="preserve"> ma si </w:t>
      </w:r>
      <w:r w:rsidR="00821043">
        <w:rPr>
          <w:rFonts w:ascii="Calibri" w:hAnsi="Calibri" w:cs="Calibri"/>
          <w:color w:val="000000"/>
          <w:sz w:val="17"/>
          <w:szCs w:val="17"/>
        </w:rPr>
        <w:t xml:space="preserve">prevede </w:t>
      </w:r>
      <w:r>
        <w:rPr>
          <w:rFonts w:ascii="Calibri" w:hAnsi="Calibri" w:cs="Calibri"/>
          <w:color w:val="000000"/>
          <w:sz w:val="17"/>
          <w:szCs w:val="17"/>
        </w:rPr>
        <w:t>che nei prossimi 3 anni</w:t>
      </w:r>
      <w:r w:rsidR="00821043">
        <w:rPr>
          <w:rFonts w:ascii="Calibri" w:hAnsi="Calibri" w:cs="Calibri"/>
          <w:color w:val="000000"/>
          <w:sz w:val="17"/>
          <w:szCs w:val="17"/>
        </w:rPr>
        <w:t xml:space="preserve"> </w:t>
      </w:r>
      <w:r w:rsidR="008930C6">
        <w:rPr>
          <w:rFonts w:ascii="Calibri" w:hAnsi="Calibri" w:cs="Calibri"/>
          <w:color w:val="000000"/>
          <w:sz w:val="17"/>
          <w:szCs w:val="17"/>
        </w:rPr>
        <w:t>acquisiranno sempre maggiore rilevanza</w:t>
      </w:r>
      <w:r w:rsidR="00821043">
        <w:rPr>
          <w:rFonts w:ascii="Calibri" w:hAnsi="Calibri" w:cs="Calibri"/>
          <w:color w:val="000000"/>
          <w:sz w:val="17"/>
          <w:szCs w:val="17"/>
        </w:rPr>
        <w:t xml:space="preserve"> anche altre </w:t>
      </w:r>
      <w:r>
        <w:rPr>
          <w:rFonts w:ascii="Calibri" w:hAnsi="Calibri" w:cs="Calibri"/>
          <w:color w:val="000000"/>
          <w:sz w:val="17"/>
          <w:szCs w:val="17"/>
        </w:rPr>
        <w:t>località</w:t>
      </w:r>
      <w:r w:rsidR="008930C6">
        <w:rPr>
          <w:rFonts w:ascii="Calibri" w:hAnsi="Calibri" w:cs="Calibri"/>
          <w:color w:val="000000"/>
          <w:sz w:val="17"/>
          <w:szCs w:val="17"/>
        </w:rPr>
        <w:t>, in particolare</w:t>
      </w:r>
      <w:r w:rsidR="0087423A">
        <w:rPr>
          <w:rFonts w:ascii="Calibri" w:hAnsi="Calibri" w:cs="Calibri"/>
          <w:color w:val="000000"/>
          <w:sz w:val="17"/>
          <w:szCs w:val="17"/>
        </w:rPr>
        <w:t xml:space="preserve"> </w:t>
      </w:r>
      <w:r w:rsidR="007B4EBC">
        <w:rPr>
          <w:rFonts w:ascii="Calibri" w:hAnsi="Calibri" w:cs="Calibri"/>
          <w:color w:val="000000"/>
          <w:sz w:val="17"/>
          <w:szCs w:val="17"/>
        </w:rPr>
        <w:t xml:space="preserve">Firenze, Bologna, Padova e Roma. </w:t>
      </w:r>
      <w:r>
        <w:rPr>
          <w:rFonts w:ascii="Calibri" w:hAnsi="Calibri" w:cs="Calibri"/>
          <w:color w:val="000000"/>
          <w:sz w:val="17"/>
          <w:szCs w:val="17"/>
        </w:rPr>
        <w:t xml:space="preserve">  </w:t>
      </w:r>
    </w:p>
    <w:p w:rsidR="000E13D0" w:rsidRDefault="00640880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 w:rsidRPr="000E13D0">
        <w:rPr>
          <w:rFonts w:ascii="Calibri" w:hAnsi="Calibri" w:cs="Calibri"/>
          <w:noProof/>
          <w:color w:val="000000"/>
          <w:sz w:val="17"/>
          <w:szCs w:val="17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209550</wp:posOffset>
            </wp:positionV>
            <wp:extent cx="1840230" cy="2413635"/>
            <wp:effectExtent l="0" t="0" r="7620" b="5715"/>
            <wp:wrapSquare wrapText="bothSides"/>
            <wp:docPr id="2" name="Immagine 2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mapp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2413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3D0" w:rsidRDefault="00280973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noProof/>
          <w:lang w:eastAsia="it-IT"/>
        </w:rPr>
        <w:drawing>
          <wp:inline distT="0" distB="0" distL="0" distR="0">
            <wp:extent cx="3565071" cy="2208046"/>
            <wp:effectExtent l="0" t="0" r="0" b="190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324" cy="221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3D0" w:rsidRDefault="000E13D0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0E13D0" w:rsidRDefault="000E13D0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7B4EBC" w:rsidRDefault="007B4EBC" w:rsidP="007B4EBC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 xml:space="preserve">Bologna si attesta la città con </w:t>
      </w:r>
      <w:r w:rsidR="0087423A">
        <w:rPr>
          <w:rFonts w:ascii="Calibri" w:hAnsi="Calibri" w:cs="Calibri"/>
          <w:color w:val="000000"/>
          <w:sz w:val="17"/>
          <w:szCs w:val="17"/>
        </w:rPr>
        <w:t>la</w:t>
      </w:r>
      <w:r>
        <w:rPr>
          <w:rFonts w:ascii="Calibri" w:hAnsi="Calibri" w:cs="Calibri"/>
          <w:color w:val="000000"/>
          <w:sz w:val="17"/>
          <w:szCs w:val="17"/>
        </w:rPr>
        <w:t xml:space="preserve"> domanda </w:t>
      </w:r>
      <w:r w:rsidR="0087423A">
        <w:rPr>
          <w:rFonts w:ascii="Calibri" w:hAnsi="Calibri" w:cs="Calibri"/>
          <w:color w:val="000000"/>
          <w:sz w:val="17"/>
          <w:szCs w:val="17"/>
        </w:rPr>
        <w:t xml:space="preserve">potenziale </w:t>
      </w:r>
      <w:r>
        <w:rPr>
          <w:rFonts w:ascii="Calibri" w:hAnsi="Calibri" w:cs="Calibri"/>
          <w:color w:val="000000"/>
          <w:sz w:val="17"/>
          <w:szCs w:val="17"/>
        </w:rPr>
        <w:t xml:space="preserve">di posti letto più alta (25%), seguita da Roma e Milano (20%). </w:t>
      </w:r>
    </w:p>
    <w:p w:rsidR="00640880" w:rsidRDefault="00640880" w:rsidP="007B4EBC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640880" w:rsidRDefault="00640880" w:rsidP="00640880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17"/>
          <w:szCs w:val="17"/>
        </w:rPr>
      </w:pPr>
      <w:r w:rsidRPr="007B4EBC">
        <w:rPr>
          <w:rFonts w:ascii="Calibri" w:hAnsi="Calibri" w:cs="Calibri"/>
          <w:noProof/>
          <w:color w:val="000000"/>
          <w:sz w:val="17"/>
          <w:szCs w:val="17"/>
          <w:lang w:eastAsia="it-IT"/>
        </w:rPr>
        <w:drawing>
          <wp:inline distT="0" distB="0" distL="0" distR="0">
            <wp:extent cx="3147463" cy="19716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209" cy="1975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880" w:rsidRDefault="00640880" w:rsidP="007B4EBC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640880" w:rsidRDefault="00640880" w:rsidP="00640880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 w:rsidRPr="00640880">
        <w:rPr>
          <w:rFonts w:ascii="Calibri" w:hAnsi="Calibri" w:cs="Calibri"/>
          <w:color w:val="000000"/>
          <w:sz w:val="17"/>
          <w:szCs w:val="17"/>
        </w:rPr>
        <w:t>L'elevato</w:t>
      </w:r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40880">
        <w:rPr>
          <w:rFonts w:ascii="Calibri" w:hAnsi="Calibri" w:cs="Calibri"/>
          <w:color w:val="000000"/>
          <w:sz w:val="17"/>
          <w:szCs w:val="17"/>
        </w:rPr>
        <w:t>appeal d</w:t>
      </w:r>
      <w:r w:rsidR="008930C6">
        <w:rPr>
          <w:rFonts w:ascii="Calibri" w:hAnsi="Calibri" w:cs="Calibri"/>
          <w:color w:val="000000"/>
          <w:sz w:val="17"/>
          <w:szCs w:val="17"/>
        </w:rPr>
        <w:t>i questa asset class</w:t>
      </w:r>
      <w:r w:rsidR="0087423A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40880">
        <w:rPr>
          <w:rFonts w:ascii="Calibri" w:hAnsi="Calibri" w:cs="Calibri"/>
          <w:color w:val="000000"/>
          <w:sz w:val="17"/>
          <w:szCs w:val="17"/>
        </w:rPr>
        <w:t>nel</w:t>
      </w:r>
      <w:r w:rsidR="008930C6">
        <w:rPr>
          <w:rFonts w:ascii="Calibri" w:hAnsi="Calibri" w:cs="Calibri"/>
          <w:color w:val="000000"/>
          <w:sz w:val="17"/>
          <w:szCs w:val="17"/>
        </w:rPr>
        <w:t xml:space="preserve"> contesto</w:t>
      </w:r>
      <w:r w:rsidR="0087423A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40880">
        <w:rPr>
          <w:rFonts w:ascii="Calibri" w:hAnsi="Calibri" w:cs="Calibri"/>
          <w:color w:val="000000"/>
          <w:sz w:val="17"/>
          <w:szCs w:val="17"/>
        </w:rPr>
        <w:t>italiano ha portato a una compressione</w:t>
      </w:r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40880">
        <w:rPr>
          <w:rFonts w:ascii="Calibri" w:hAnsi="Calibri" w:cs="Calibri"/>
          <w:color w:val="000000"/>
          <w:sz w:val="17"/>
          <w:szCs w:val="17"/>
        </w:rPr>
        <w:t>dei rendimenti netti prime, in particolare a Milano</w:t>
      </w:r>
      <w:r w:rsidR="008930C6">
        <w:rPr>
          <w:rFonts w:ascii="Calibri" w:hAnsi="Calibri" w:cs="Calibri"/>
          <w:color w:val="000000"/>
          <w:sz w:val="17"/>
          <w:szCs w:val="17"/>
        </w:rPr>
        <w:t>,</w:t>
      </w:r>
      <w:r w:rsidRPr="00640880">
        <w:rPr>
          <w:rFonts w:ascii="Calibri" w:hAnsi="Calibri" w:cs="Calibri"/>
          <w:color w:val="000000"/>
          <w:sz w:val="17"/>
          <w:szCs w:val="17"/>
        </w:rPr>
        <w:t xml:space="preserve"> dove </w:t>
      </w:r>
      <w:r w:rsidR="005D1BBE">
        <w:rPr>
          <w:rFonts w:ascii="Calibri" w:hAnsi="Calibri" w:cs="Calibri"/>
          <w:color w:val="000000"/>
          <w:sz w:val="17"/>
          <w:szCs w:val="17"/>
        </w:rPr>
        <w:t xml:space="preserve">il prime yield </w:t>
      </w:r>
      <w:r w:rsidRPr="00640880">
        <w:rPr>
          <w:rFonts w:ascii="Calibri" w:hAnsi="Calibri" w:cs="Calibri"/>
          <w:color w:val="000000"/>
          <w:sz w:val="17"/>
          <w:szCs w:val="17"/>
        </w:rPr>
        <w:t>ha raggiunto il</w:t>
      </w:r>
      <w:r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40880">
        <w:rPr>
          <w:rFonts w:ascii="Calibri" w:hAnsi="Calibri" w:cs="Calibri"/>
          <w:color w:val="000000"/>
          <w:sz w:val="17"/>
          <w:szCs w:val="17"/>
        </w:rPr>
        <w:t xml:space="preserve">valore </w:t>
      </w:r>
      <w:r w:rsidR="005D1BBE">
        <w:rPr>
          <w:rFonts w:ascii="Calibri" w:hAnsi="Calibri" w:cs="Calibri"/>
          <w:color w:val="000000"/>
          <w:sz w:val="17"/>
          <w:szCs w:val="17"/>
        </w:rPr>
        <w:t>di</w:t>
      </w:r>
      <w:r w:rsidRPr="00640880">
        <w:rPr>
          <w:rFonts w:ascii="Calibri" w:hAnsi="Calibri" w:cs="Calibri"/>
          <w:color w:val="000000"/>
          <w:sz w:val="17"/>
          <w:szCs w:val="17"/>
        </w:rPr>
        <w:t xml:space="preserve"> 4,90%.</w:t>
      </w:r>
    </w:p>
    <w:p w:rsidR="00640880" w:rsidRDefault="00640880" w:rsidP="00640880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640880" w:rsidRDefault="00640880" w:rsidP="00640880">
      <w:pPr>
        <w:tabs>
          <w:tab w:val="center" w:pos="1083"/>
        </w:tabs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000000"/>
          <w:sz w:val="17"/>
          <w:szCs w:val="17"/>
        </w:rPr>
      </w:pPr>
      <w:r w:rsidRPr="00640880">
        <w:rPr>
          <w:rFonts w:ascii="Calibri" w:hAnsi="Calibri" w:cs="Calibri"/>
          <w:noProof/>
          <w:color w:val="000000"/>
          <w:sz w:val="17"/>
          <w:szCs w:val="17"/>
          <w:lang w:eastAsia="it-IT"/>
        </w:rPr>
        <w:drawing>
          <wp:inline distT="0" distB="0" distL="0" distR="0">
            <wp:extent cx="3943350" cy="222949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799" cy="223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3D0" w:rsidRDefault="000E13D0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</w:p>
    <w:p w:rsidR="000E13D0" w:rsidRDefault="00C93655" w:rsidP="001D083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  <w:sz w:val="17"/>
          <w:szCs w:val="17"/>
        </w:rPr>
      </w:pPr>
      <w:r>
        <w:rPr>
          <w:rFonts w:ascii="Calibri" w:hAnsi="Calibri" w:cs="Calibri"/>
          <w:color w:val="000000"/>
          <w:sz w:val="17"/>
          <w:szCs w:val="17"/>
        </w:rPr>
        <w:t>“</w:t>
      </w:r>
      <w:r w:rsidR="008930C6">
        <w:rPr>
          <w:rFonts w:ascii="Calibri" w:hAnsi="Calibri" w:cs="Calibri"/>
          <w:i/>
          <w:iCs/>
          <w:color w:val="000000"/>
          <w:sz w:val="17"/>
          <w:szCs w:val="17"/>
        </w:rPr>
        <w:t>Nonostante la necessità di adottare soluzioni di didattica a distanza e le ripercussioni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 xml:space="preserve"> della pandemia</w:t>
      </w:r>
      <w:r w:rsidR="008930C6">
        <w:rPr>
          <w:rFonts w:ascii="Calibri" w:hAnsi="Calibri" w:cs="Calibri"/>
          <w:i/>
          <w:iCs/>
          <w:color w:val="000000"/>
          <w:sz w:val="17"/>
          <w:szCs w:val="17"/>
        </w:rPr>
        <w:t xml:space="preserve"> sulla domanda di posti letto nelle città universitarie, il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 settore dello student housing sta dimostrando una </w:t>
      </w:r>
      <w:r w:rsidR="008930C6">
        <w:rPr>
          <w:rFonts w:ascii="Calibri" w:hAnsi="Calibri" w:cs="Calibri"/>
          <w:i/>
          <w:iCs/>
          <w:color w:val="000000"/>
          <w:sz w:val="17"/>
          <w:szCs w:val="17"/>
        </w:rPr>
        <w:t>notevole</w:t>
      </w:r>
      <w:r w:rsidR="008930C6"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>resilienza</w:t>
      </w:r>
      <w:r w:rsidR="008930C6">
        <w:rPr>
          <w:rFonts w:ascii="Calibri" w:hAnsi="Calibri" w:cs="Calibri"/>
          <w:i/>
          <w:iCs/>
          <w:color w:val="000000"/>
          <w:sz w:val="17"/>
          <w:szCs w:val="17"/>
        </w:rPr>
        <w:t xml:space="preserve">, tanto da aspettarci 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>una crescita del mercato</w:t>
      </w:r>
      <w:r>
        <w:rPr>
          <w:rFonts w:ascii="Calibri" w:hAnsi="Calibri" w:cs="Calibri"/>
          <w:color w:val="000000"/>
          <w:sz w:val="17"/>
          <w:szCs w:val="17"/>
        </w:rPr>
        <w:t xml:space="preserve">” ha affermato </w:t>
      </w:r>
      <w:r w:rsidRPr="00C93655">
        <w:rPr>
          <w:rFonts w:ascii="Calibri" w:hAnsi="Calibri" w:cs="Calibri"/>
          <w:b/>
          <w:bCs/>
          <w:color w:val="000000"/>
          <w:sz w:val="17"/>
          <w:szCs w:val="17"/>
        </w:rPr>
        <w:t>Antonio Fuoco, Head of Living</w:t>
      </w:r>
      <w:r w:rsidR="00C95CD4">
        <w:rPr>
          <w:rFonts w:ascii="Calibri" w:hAnsi="Calibri" w:cs="Calibri"/>
          <w:b/>
          <w:bCs/>
          <w:color w:val="000000"/>
          <w:sz w:val="17"/>
          <w:szCs w:val="17"/>
        </w:rPr>
        <w:t xml:space="preserve"> Capital Markets</w:t>
      </w:r>
      <w:r w:rsidRPr="00C93655">
        <w:rPr>
          <w:rFonts w:ascii="Calibri" w:hAnsi="Calibri" w:cs="Calibri"/>
          <w:b/>
          <w:bCs/>
          <w:color w:val="000000"/>
          <w:sz w:val="17"/>
          <w:szCs w:val="17"/>
        </w:rPr>
        <w:t xml:space="preserve"> di JLL Italia.</w:t>
      </w:r>
      <w:r>
        <w:rPr>
          <w:rFonts w:ascii="Calibri" w:hAnsi="Calibri" w:cs="Calibri"/>
          <w:color w:val="000000"/>
          <w:sz w:val="17"/>
          <w:szCs w:val="17"/>
        </w:rPr>
        <w:t xml:space="preserve"> “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 xml:space="preserve">Nei prossimi </w:t>
      </w:r>
      <w:r w:rsidR="005B3350">
        <w:rPr>
          <w:rFonts w:ascii="Calibri" w:hAnsi="Calibri" w:cs="Calibri"/>
          <w:i/>
          <w:iCs/>
          <w:color w:val="000000"/>
          <w:sz w:val="17"/>
          <w:szCs w:val="17"/>
        </w:rPr>
        <w:t xml:space="preserve">2 o 3 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>anni si prospetta</w:t>
      </w:r>
      <w:r w:rsidR="008930C6">
        <w:rPr>
          <w:rFonts w:ascii="Calibri" w:hAnsi="Calibri" w:cs="Calibri"/>
          <w:i/>
          <w:iCs/>
          <w:color w:val="000000"/>
          <w:sz w:val="17"/>
          <w:szCs w:val="17"/>
        </w:rPr>
        <w:t xml:space="preserve"> infatti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 un incremento 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>nei</w:t>
      </w:r>
      <w:r w:rsidR="00B32E8A"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volumi 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>di</w:t>
      </w:r>
      <w:r w:rsidR="00B32E8A" w:rsidRPr="00C93655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>investiment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>o</w:t>
      </w:r>
      <w:r w:rsidR="008B054A">
        <w:rPr>
          <w:rFonts w:ascii="Calibri" w:hAnsi="Calibri" w:cs="Calibri"/>
          <w:i/>
          <w:iCs/>
          <w:color w:val="000000"/>
          <w:sz w:val="17"/>
          <w:szCs w:val="17"/>
        </w:rPr>
        <w:t xml:space="preserve">; entro il 2024 prevediamo </w:t>
      </w:r>
      <w:r w:rsidR="0098190A">
        <w:rPr>
          <w:rFonts w:ascii="Calibri" w:hAnsi="Calibri" w:cs="Calibri"/>
          <w:i/>
          <w:iCs/>
          <w:color w:val="000000"/>
          <w:sz w:val="17"/>
          <w:szCs w:val="17"/>
        </w:rPr>
        <w:t>un volume di circa</w:t>
      </w:r>
      <w:r w:rsidR="00C7081E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  <w:r w:rsidR="00914FE9">
        <w:rPr>
          <w:rFonts w:ascii="Calibri" w:hAnsi="Calibri" w:cs="Calibri"/>
          <w:i/>
          <w:iCs/>
          <w:color w:val="000000"/>
          <w:sz w:val="17"/>
          <w:szCs w:val="17"/>
        </w:rPr>
        <w:t>€</w:t>
      </w:r>
      <w:r w:rsidR="00C7081E">
        <w:rPr>
          <w:rFonts w:ascii="Calibri" w:hAnsi="Calibri" w:cs="Calibri"/>
          <w:i/>
          <w:iCs/>
          <w:color w:val="000000"/>
          <w:sz w:val="17"/>
          <w:szCs w:val="17"/>
        </w:rPr>
        <w:t>1</w:t>
      </w:r>
      <w:r w:rsidR="00914FE9">
        <w:rPr>
          <w:rFonts w:ascii="Calibri" w:hAnsi="Calibri" w:cs="Calibri"/>
          <w:i/>
          <w:iCs/>
          <w:color w:val="000000"/>
          <w:sz w:val="17"/>
          <w:szCs w:val="17"/>
        </w:rPr>
        <w:t>bn nel mercato italiano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 xml:space="preserve">, </w:t>
      </w:r>
      <w:r w:rsidRPr="00C93655">
        <w:rPr>
          <w:rFonts w:ascii="Calibri" w:hAnsi="Calibri" w:cs="Calibri"/>
          <w:i/>
          <w:iCs/>
          <w:color w:val="000000"/>
          <w:sz w:val="17"/>
          <w:szCs w:val="17"/>
        </w:rPr>
        <w:t>grazie alla crescente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 xml:space="preserve"> internazionalizzazione</w:t>
      </w:r>
      <w:r w:rsidR="0087423A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 xml:space="preserve">dei nostri 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>atenei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 xml:space="preserve">, attrattività e 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>qualità dei servizi delle principali città</w:t>
      </w:r>
      <w:r w:rsidR="00B32E8A">
        <w:rPr>
          <w:rFonts w:ascii="Calibri" w:hAnsi="Calibri" w:cs="Calibri"/>
          <w:i/>
          <w:iCs/>
          <w:color w:val="000000"/>
          <w:sz w:val="17"/>
          <w:szCs w:val="17"/>
        </w:rPr>
        <w:t xml:space="preserve"> italiane</w:t>
      </w:r>
      <w:r w:rsidR="004C2534">
        <w:rPr>
          <w:rFonts w:ascii="Calibri" w:hAnsi="Calibri" w:cs="Calibri"/>
          <w:i/>
          <w:iCs/>
          <w:color w:val="000000"/>
          <w:sz w:val="17"/>
          <w:szCs w:val="17"/>
        </w:rPr>
        <w:t>.”</w:t>
      </w:r>
      <w:r w:rsidR="00217297">
        <w:rPr>
          <w:rFonts w:ascii="Calibri" w:hAnsi="Calibri" w:cs="Calibri"/>
          <w:i/>
          <w:iCs/>
          <w:color w:val="000000"/>
          <w:sz w:val="17"/>
          <w:szCs w:val="17"/>
        </w:rPr>
        <w:t xml:space="preserve"> </w:t>
      </w:r>
    </w:p>
    <w:p w:rsidR="007B4EBC" w:rsidRDefault="007B4EBC" w:rsidP="00480849">
      <w:pPr>
        <w:contextualSpacing/>
        <w:jc w:val="both"/>
        <w:rPr>
          <w:rFonts w:eastAsia="Calibri" w:cs="Arial"/>
          <w:b/>
          <w:bCs/>
          <w:sz w:val="16"/>
          <w:szCs w:val="16"/>
        </w:rPr>
      </w:pPr>
    </w:p>
    <w:p w:rsidR="00480849" w:rsidRPr="004F7ECA" w:rsidRDefault="00480849" w:rsidP="00480849">
      <w:pPr>
        <w:contextualSpacing/>
        <w:jc w:val="both"/>
        <w:rPr>
          <w:rFonts w:eastAsia="Calibri" w:cs="Arial"/>
          <w:b/>
          <w:bCs/>
          <w:sz w:val="10"/>
          <w:szCs w:val="10"/>
        </w:rPr>
      </w:pPr>
      <w:r w:rsidRPr="004F7ECA">
        <w:rPr>
          <w:rFonts w:eastAsia="Calibri" w:cs="Arial"/>
          <w:b/>
          <w:bCs/>
          <w:sz w:val="10"/>
          <w:szCs w:val="10"/>
        </w:rPr>
        <w:t>About JLL</w:t>
      </w:r>
    </w:p>
    <w:p w:rsidR="00480849" w:rsidRPr="004F7ECA" w:rsidRDefault="00480849" w:rsidP="00480849">
      <w:pPr>
        <w:contextualSpacing/>
        <w:jc w:val="both"/>
        <w:rPr>
          <w:rFonts w:eastAsia="Calibri" w:cs="Arial"/>
          <w:sz w:val="10"/>
          <w:szCs w:val="10"/>
        </w:rPr>
      </w:pPr>
      <w:r w:rsidRPr="004F7ECA">
        <w:rPr>
          <w:rFonts w:eastAsia="Calibri" w:cs="Arial"/>
          <w:sz w:val="10"/>
          <w:szCs w:val="10"/>
        </w:rPr>
        <w:t>JLL (NYSE: JLL) è una società leader nella consulenza specializzata per il settore immobiliare e nella gestione degli investimenti. L’obiettivo di JLL è di re-immaginare il futuro del settore immobiliare per costruire un mondo migliore, utilizzando le tecnologie più avanzate per creare spazi innovativi e soluzioni immobiliari sostenibili per i nostri clienti, le nostre persone e le nostre comunità. JLL è una società Fortune 500 con un fatturato annuo di 16.6 miliardi di dollari, operazioni in oltre 80 paesi e un team globale di oltre 9</w:t>
      </w:r>
      <w:r w:rsidR="00DB0D0A" w:rsidRPr="004F7ECA">
        <w:rPr>
          <w:rFonts w:eastAsia="Calibri" w:cs="Arial"/>
          <w:sz w:val="10"/>
          <w:szCs w:val="10"/>
        </w:rPr>
        <w:t>5</w:t>
      </w:r>
      <w:r w:rsidRPr="004F7ECA">
        <w:rPr>
          <w:rFonts w:eastAsia="Calibri" w:cs="Arial"/>
          <w:sz w:val="10"/>
          <w:szCs w:val="10"/>
        </w:rPr>
        <w:t>.000 dipendenti (dati al 3</w:t>
      </w:r>
      <w:r w:rsidR="00DB0D0A" w:rsidRPr="004F7ECA">
        <w:rPr>
          <w:rFonts w:eastAsia="Calibri" w:cs="Arial"/>
          <w:sz w:val="10"/>
          <w:szCs w:val="10"/>
        </w:rPr>
        <w:t>0</w:t>
      </w:r>
      <w:r w:rsidRPr="004F7ECA">
        <w:rPr>
          <w:rFonts w:eastAsia="Calibri" w:cs="Arial"/>
          <w:sz w:val="10"/>
          <w:szCs w:val="10"/>
        </w:rPr>
        <w:t xml:space="preserve"> </w:t>
      </w:r>
      <w:r w:rsidR="00DB0D0A" w:rsidRPr="004F7ECA">
        <w:rPr>
          <w:rFonts w:eastAsia="Calibri" w:cs="Arial"/>
          <w:sz w:val="10"/>
          <w:szCs w:val="10"/>
        </w:rPr>
        <w:t>settembre</w:t>
      </w:r>
      <w:r w:rsidRPr="004F7ECA">
        <w:rPr>
          <w:rFonts w:eastAsia="Calibri" w:cs="Arial"/>
          <w:sz w:val="10"/>
          <w:szCs w:val="10"/>
        </w:rPr>
        <w:t xml:space="preserve"> 202</w:t>
      </w:r>
      <w:r w:rsidR="009B7238" w:rsidRPr="004F7ECA">
        <w:rPr>
          <w:rFonts w:eastAsia="Calibri" w:cs="Arial"/>
          <w:sz w:val="10"/>
          <w:szCs w:val="10"/>
        </w:rPr>
        <w:t>1</w:t>
      </w:r>
      <w:r w:rsidRPr="004F7ECA">
        <w:rPr>
          <w:rFonts w:eastAsia="Calibri" w:cs="Arial"/>
          <w:sz w:val="10"/>
          <w:szCs w:val="10"/>
        </w:rPr>
        <w:t xml:space="preserve">). JLL è il nome del brand, e un marchio registrato, di Jones Lang </w:t>
      </w:r>
      <w:r w:rsidR="00D85E7F" w:rsidRPr="004F7ECA">
        <w:rPr>
          <w:rFonts w:eastAsia="Calibri" w:cs="Arial"/>
          <w:sz w:val="10"/>
          <w:szCs w:val="10"/>
        </w:rPr>
        <w:t>Lasalle</w:t>
      </w:r>
      <w:r w:rsidRPr="004F7ECA">
        <w:rPr>
          <w:rFonts w:eastAsia="Calibri" w:cs="Arial"/>
          <w:sz w:val="10"/>
          <w:szCs w:val="10"/>
        </w:rPr>
        <w:t xml:space="preserve"> Incorporated. Per ulteriori informazioni, visitare il sito </w:t>
      </w:r>
      <w:hyperlink r:id="rId14" w:tgtFrame="_self" w:history="1">
        <w:r w:rsidRPr="004F7ECA">
          <w:rPr>
            <w:rStyle w:val="Collegamentoipertestuale"/>
            <w:rFonts w:eastAsia="Calibri" w:cs="Arial"/>
            <w:b/>
            <w:bCs/>
            <w:sz w:val="10"/>
            <w:szCs w:val="10"/>
          </w:rPr>
          <w:t>www.jll.it</w:t>
        </w:r>
      </w:hyperlink>
      <w:r w:rsidRPr="004F7ECA">
        <w:rPr>
          <w:rFonts w:eastAsia="Calibri" w:cs="Arial"/>
          <w:sz w:val="10"/>
          <w:szCs w:val="10"/>
        </w:rPr>
        <w:t>.</w:t>
      </w:r>
    </w:p>
    <w:bookmarkEnd w:id="0"/>
    <w:p w:rsidR="00480849" w:rsidRPr="004F7ECA" w:rsidRDefault="00480849" w:rsidP="00480849">
      <w:pPr>
        <w:jc w:val="both"/>
        <w:rPr>
          <w:rFonts w:eastAsia="Times New Roman" w:cs="Arial"/>
          <w:color w:val="000000"/>
          <w:sz w:val="10"/>
          <w:szCs w:val="10"/>
          <w:bdr w:val="none" w:sz="0" w:space="0" w:color="auto" w:frame="1"/>
          <w:lang w:eastAsia="it-IT"/>
        </w:rPr>
      </w:pPr>
    </w:p>
    <w:p w:rsidR="002A06B6" w:rsidRPr="004F7ECA" w:rsidRDefault="00480849" w:rsidP="00A93A40">
      <w:pPr>
        <w:tabs>
          <w:tab w:val="left" w:pos="1410"/>
        </w:tabs>
        <w:spacing w:line="240" w:lineRule="auto"/>
        <w:jc w:val="both"/>
        <w:rPr>
          <w:rFonts w:cs="Arial"/>
          <w:iCs/>
          <w:sz w:val="10"/>
          <w:szCs w:val="10"/>
          <w:lang w:eastAsia="it-IT"/>
        </w:rPr>
      </w:pPr>
      <w:r w:rsidRPr="004F7ECA">
        <w:rPr>
          <w:rFonts w:cs="Arial"/>
          <w:iCs/>
          <w:sz w:val="10"/>
          <w:szCs w:val="10"/>
          <w:lang w:eastAsia="it-IT"/>
        </w:rPr>
        <w:tab/>
      </w:r>
    </w:p>
    <w:sectPr w:rsidR="002A06B6" w:rsidRPr="004F7ECA" w:rsidSect="00433DA1">
      <w:headerReference w:type="default" r:id="rId15"/>
      <w:pgSz w:w="11906" w:h="16838"/>
      <w:pgMar w:top="2269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196" w:rsidRDefault="00442196" w:rsidP="00480849">
      <w:pPr>
        <w:spacing w:line="240" w:lineRule="auto"/>
      </w:pPr>
      <w:r>
        <w:separator/>
      </w:r>
    </w:p>
  </w:endnote>
  <w:endnote w:type="continuationSeparator" w:id="0">
    <w:p w:rsidR="00442196" w:rsidRDefault="00442196" w:rsidP="004808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196" w:rsidRDefault="00442196" w:rsidP="00480849">
      <w:pPr>
        <w:spacing w:line="240" w:lineRule="auto"/>
      </w:pPr>
      <w:r>
        <w:separator/>
      </w:r>
    </w:p>
  </w:footnote>
  <w:footnote w:type="continuationSeparator" w:id="0">
    <w:p w:rsidR="00442196" w:rsidRDefault="00442196" w:rsidP="0048084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41" w:rsidRDefault="00FB4A41" w:rsidP="0048084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14500" cy="771525"/>
          <wp:effectExtent l="0" t="0" r="0" b="9525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743"/>
    <w:multiLevelType w:val="hybridMultilevel"/>
    <w:tmpl w:val="94D8B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22C5"/>
    <w:multiLevelType w:val="hybridMultilevel"/>
    <w:tmpl w:val="6B9A5F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50609"/>
    <w:multiLevelType w:val="hybridMultilevel"/>
    <w:tmpl w:val="0226B8D8"/>
    <w:lvl w:ilvl="0" w:tplc="CAEAEC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8089F"/>
    <w:multiLevelType w:val="hybridMultilevel"/>
    <w:tmpl w:val="4226F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728DA"/>
    <w:multiLevelType w:val="hybridMultilevel"/>
    <w:tmpl w:val="4634C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2082F"/>
    <w:multiLevelType w:val="hybridMultilevel"/>
    <w:tmpl w:val="677ED780"/>
    <w:lvl w:ilvl="0" w:tplc="D0028F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D5330"/>
    <w:multiLevelType w:val="hybridMultilevel"/>
    <w:tmpl w:val="29587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2F46"/>
    <w:multiLevelType w:val="hybridMultilevel"/>
    <w:tmpl w:val="0BD679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79EC"/>
    <w:multiLevelType w:val="hybridMultilevel"/>
    <w:tmpl w:val="71265A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28487C"/>
    <w:multiLevelType w:val="hybridMultilevel"/>
    <w:tmpl w:val="27789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D1AC5"/>
    <w:rsid w:val="000047AA"/>
    <w:rsid w:val="00014EC3"/>
    <w:rsid w:val="00015A28"/>
    <w:rsid w:val="00031FD9"/>
    <w:rsid w:val="0003483D"/>
    <w:rsid w:val="00067AA1"/>
    <w:rsid w:val="000872A8"/>
    <w:rsid w:val="000940DE"/>
    <w:rsid w:val="000A2B0E"/>
    <w:rsid w:val="000A53F7"/>
    <w:rsid w:val="000A78FD"/>
    <w:rsid w:val="000C36D8"/>
    <w:rsid w:val="000C4D42"/>
    <w:rsid w:val="000C657E"/>
    <w:rsid w:val="000D3539"/>
    <w:rsid w:val="000D37FE"/>
    <w:rsid w:val="000E13D0"/>
    <w:rsid w:val="000F18DC"/>
    <w:rsid w:val="00102023"/>
    <w:rsid w:val="001111C1"/>
    <w:rsid w:val="00115082"/>
    <w:rsid w:val="00126228"/>
    <w:rsid w:val="0013372B"/>
    <w:rsid w:val="00142245"/>
    <w:rsid w:val="001431C3"/>
    <w:rsid w:val="00153E3B"/>
    <w:rsid w:val="00174087"/>
    <w:rsid w:val="00176473"/>
    <w:rsid w:val="001812DD"/>
    <w:rsid w:val="001859E7"/>
    <w:rsid w:val="00191C50"/>
    <w:rsid w:val="001925CF"/>
    <w:rsid w:val="00196D9A"/>
    <w:rsid w:val="001B7679"/>
    <w:rsid w:val="001D0833"/>
    <w:rsid w:val="001D51EC"/>
    <w:rsid w:val="001E35D2"/>
    <w:rsid w:val="001E4CCD"/>
    <w:rsid w:val="001E4D92"/>
    <w:rsid w:val="001E4E78"/>
    <w:rsid w:val="001F06B0"/>
    <w:rsid w:val="001F0AF1"/>
    <w:rsid w:val="001F7F36"/>
    <w:rsid w:val="00203275"/>
    <w:rsid w:val="00203856"/>
    <w:rsid w:val="002072B2"/>
    <w:rsid w:val="002078C5"/>
    <w:rsid w:val="00217297"/>
    <w:rsid w:val="00230361"/>
    <w:rsid w:val="002342EE"/>
    <w:rsid w:val="0024689E"/>
    <w:rsid w:val="00250960"/>
    <w:rsid w:val="002547E6"/>
    <w:rsid w:val="0026460A"/>
    <w:rsid w:val="002763D6"/>
    <w:rsid w:val="00280973"/>
    <w:rsid w:val="00280D47"/>
    <w:rsid w:val="00296942"/>
    <w:rsid w:val="00297989"/>
    <w:rsid w:val="002A01E2"/>
    <w:rsid w:val="002A06B6"/>
    <w:rsid w:val="002B27EE"/>
    <w:rsid w:val="002B6131"/>
    <w:rsid w:val="002C074E"/>
    <w:rsid w:val="002F7FE5"/>
    <w:rsid w:val="00301414"/>
    <w:rsid w:val="00330CC3"/>
    <w:rsid w:val="00331811"/>
    <w:rsid w:val="003413B5"/>
    <w:rsid w:val="003457FF"/>
    <w:rsid w:val="00352CC3"/>
    <w:rsid w:val="0035438E"/>
    <w:rsid w:val="00363D46"/>
    <w:rsid w:val="00366A90"/>
    <w:rsid w:val="00372844"/>
    <w:rsid w:val="00377930"/>
    <w:rsid w:val="00390CCA"/>
    <w:rsid w:val="003917CA"/>
    <w:rsid w:val="00393C4E"/>
    <w:rsid w:val="00397881"/>
    <w:rsid w:val="003A339D"/>
    <w:rsid w:val="003B1E1E"/>
    <w:rsid w:val="003D1D93"/>
    <w:rsid w:val="003E0C94"/>
    <w:rsid w:val="003E6DB2"/>
    <w:rsid w:val="003F0315"/>
    <w:rsid w:val="00427AC4"/>
    <w:rsid w:val="00430A1B"/>
    <w:rsid w:val="00433DA1"/>
    <w:rsid w:val="0043767E"/>
    <w:rsid w:val="00442196"/>
    <w:rsid w:val="0044544C"/>
    <w:rsid w:val="00450FC5"/>
    <w:rsid w:val="00451087"/>
    <w:rsid w:val="0045596D"/>
    <w:rsid w:val="00480849"/>
    <w:rsid w:val="00480EEE"/>
    <w:rsid w:val="00485540"/>
    <w:rsid w:val="004872BF"/>
    <w:rsid w:val="004878BB"/>
    <w:rsid w:val="00491B34"/>
    <w:rsid w:val="00494033"/>
    <w:rsid w:val="00494E6C"/>
    <w:rsid w:val="004A0F68"/>
    <w:rsid w:val="004B0806"/>
    <w:rsid w:val="004B4C50"/>
    <w:rsid w:val="004C2534"/>
    <w:rsid w:val="004D1AC5"/>
    <w:rsid w:val="004E2B61"/>
    <w:rsid w:val="004E6A28"/>
    <w:rsid w:val="004F7ECA"/>
    <w:rsid w:val="004F7FFE"/>
    <w:rsid w:val="0051039D"/>
    <w:rsid w:val="00517C83"/>
    <w:rsid w:val="005455E2"/>
    <w:rsid w:val="005510AE"/>
    <w:rsid w:val="005773D4"/>
    <w:rsid w:val="00585DEE"/>
    <w:rsid w:val="005906A7"/>
    <w:rsid w:val="005B3350"/>
    <w:rsid w:val="005D1BBE"/>
    <w:rsid w:val="005D3F8A"/>
    <w:rsid w:val="005E250F"/>
    <w:rsid w:val="005E3680"/>
    <w:rsid w:val="005F0466"/>
    <w:rsid w:val="005F0D37"/>
    <w:rsid w:val="00600C62"/>
    <w:rsid w:val="00601515"/>
    <w:rsid w:val="00611082"/>
    <w:rsid w:val="00613F51"/>
    <w:rsid w:val="00621481"/>
    <w:rsid w:val="006259AB"/>
    <w:rsid w:val="00640880"/>
    <w:rsid w:val="006411E9"/>
    <w:rsid w:val="006673B0"/>
    <w:rsid w:val="00672220"/>
    <w:rsid w:val="006746AE"/>
    <w:rsid w:val="00695357"/>
    <w:rsid w:val="006A58D5"/>
    <w:rsid w:val="006B4318"/>
    <w:rsid w:val="006B62B7"/>
    <w:rsid w:val="006D5E16"/>
    <w:rsid w:val="006D7B18"/>
    <w:rsid w:val="006E7889"/>
    <w:rsid w:val="006F0D35"/>
    <w:rsid w:val="006F258E"/>
    <w:rsid w:val="007002AC"/>
    <w:rsid w:val="007322A1"/>
    <w:rsid w:val="00733C4B"/>
    <w:rsid w:val="00734079"/>
    <w:rsid w:val="007374AC"/>
    <w:rsid w:val="00740F4F"/>
    <w:rsid w:val="00761E05"/>
    <w:rsid w:val="0077220D"/>
    <w:rsid w:val="00784ECE"/>
    <w:rsid w:val="007B4EBC"/>
    <w:rsid w:val="007C4D60"/>
    <w:rsid w:val="007E48A6"/>
    <w:rsid w:val="007E57C0"/>
    <w:rsid w:val="007E7CCB"/>
    <w:rsid w:val="008026A7"/>
    <w:rsid w:val="00816518"/>
    <w:rsid w:val="00820AB2"/>
    <w:rsid w:val="00821043"/>
    <w:rsid w:val="008233D0"/>
    <w:rsid w:val="00845B8B"/>
    <w:rsid w:val="0087423A"/>
    <w:rsid w:val="00886B8C"/>
    <w:rsid w:val="008930C6"/>
    <w:rsid w:val="008A1159"/>
    <w:rsid w:val="008A3A18"/>
    <w:rsid w:val="008B054A"/>
    <w:rsid w:val="008B4D70"/>
    <w:rsid w:val="008D2D2B"/>
    <w:rsid w:val="008D3EF4"/>
    <w:rsid w:val="00911F4C"/>
    <w:rsid w:val="00914FE9"/>
    <w:rsid w:val="00915107"/>
    <w:rsid w:val="0092511F"/>
    <w:rsid w:val="00926607"/>
    <w:rsid w:val="00927712"/>
    <w:rsid w:val="009428BA"/>
    <w:rsid w:val="00950129"/>
    <w:rsid w:val="00950FDC"/>
    <w:rsid w:val="00953AD5"/>
    <w:rsid w:val="00955108"/>
    <w:rsid w:val="00962F6F"/>
    <w:rsid w:val="0098190A"/>
    <w:rsid w:val="009853E7"/>
    <w:rsid w:val="00996D3A"/>
    <w:rsid w:val="00997506"/>
    <w:rsid w:val="009A1FAF"/>
    <w:rsid w:val="009B7238"/>
    <w:rsid w:val="009D4843"/>
    <w:rsid w:val="009D4A01"/>
    <w:rsid w:val="00A14777"/>
    <w:rsid w:val="00A2045A"/>
    <w:rsid w:val="00A27720"/>
    <w:rsid w:val="00A340B2"/>
    <w:rsid w:val="00A42903"/>
    <w:rsid w:val="00A51980"/>
    <w:rsid w:val="00A5743E"/>
    <w:rsid w:val="00A728FF"/>
    <w:rsid w:val="00A80B24"/>
    <w:rsid w:val="00A8163B"/>
    <w:rsid w:val="00A84D56"/>
    <w:rsid w:val="00A84DB1"/>
    <w:rsid w:val="00A850F3"/>
    <w:rsid w:val="00A93A40"/>
    <w:rsid w:val="00AA30A1"/>
    <w:rsid w:val="00AE1C29"/>
    <w:rsid w:val="00AE42EF"/>
    <w:rsid w:val="00AE463D"/>
    <w:rsid w:val="00B07714"/>
    <w:rsid w:val="00B32798"/>
    <w:rsid w:val="00B32E8A"/>
    <w:rsid w:val="00B3650F"/>
    <w:rsid w:val="00B41133"/>
    <w:rsid w:val="00B46499"/>
    <w:rsid w:val="00B80490"/>
    <w:rsid w:val="00B914CC"/>
    <w:rsid w:val="00BB2058"/>
    <w:rsid w:val="00BC0B24"/>
    <w:rsid w:val="00BF1599"/>
    <w:rsid w:val="00C02702"/>
    <w:rsid w:val="00C07930"/>
    <w:rsid w:val="00C12231"/>
    <w:rsid w:val="00C2107A"/>
    <w:rsid w:val="00C263CE"/>
    <w:rsid w:val="00C61961"/>
    <w:rsid w:val="00C64B80"/>
    <w:rsid w:val="00C7081E"/>
    <w:rsid w:val="00C71F0E"/>
    <w:rsid w:val="00C93655"/>
    <w:rsid w:val="00C95CD4"/>
    <w:rsid w:val="00CA2CA0"/>
    <w:rsid w:val="00CB32D1"/>
    <w:rsid w:val="00CD120B"/>
    <w:rsid w:val="00CD583B"/>
    <w:rsid w:val="00CF2DC1"/>
    <w:rsid w:val="00D05854"/>
    <w:rsid w:val="00D22DD2"/>
    <w:rsid w:val="00D42C8A"/>
    <w:rsid w:val="00D55216"/>
    <w:rsid w:val="00D85E7F"/>
    <w:rsid w:val="00D868B3"/>
    <w:rsid w:val="00DB0D0A"/>
    <w:rsid w:val="00DB7557"/>
    <w:rsid w:val="00DB7C16"/>
    <w:rsid w:val="00DC78CC"/>
    <w:rsid w:val="00DF2D85"/>
    <w:rsid w:val="00DF37D1"/>
    <w:rsid w:val="00E00F16"/>
    <w:rsid w:val="00E1733E"/>
    <w:rsid w:val="00E5630F"/>
    <w:rsid w:val="00E75A8F"/>
    <w:rsid w:val="00E87E7F"/>
    <w:rsid w:val="00E96951"/>
    <w:rsid w:val="00EB3FA0"/>
    <w:rsid w:val="00EB5D13"/>
    <w:rsid w:val="00EC3A31"/>
    <w:rsid w:val="00EE0267"/>
    <w:rsid w:val="00EE4EC5"/>
    <w:rsid w:val="00EF0902"/>
    <w:rsid w:val="00F1100A"/>
    <w:rsid w:val="00F12451"/>
    <w:rsid w:val="00F16B60"/>
    <w:rsid w:val="00F20AE9"/>
    <w:rsid w:val="00F217EF"/>
    <w:rsid w:val="00F25612"/>
    <w:rsid w:val="00F457A7"/>
    <w:rsid w:val="00F56FDD"/>
    <w:rsid w:val="00F9114A"/>
    <w:rsid w:val="00F94C8A"/>
    <w:rsid w:val="00FA0605"/>
    <w:rsid w:val="00FA2122"/>
    <w:rsid w:val="00FB2DFE"/>
    <w:rsid w:val="00FB4A41"/>
    <w:rsid w:val="00FB5B58"/>
    <w:rsid w:val="00FB6E83"/>
    <w:rsid w:val="00FB7DB0"/>
    <w:rsid w:val="00FD3C84"/>
    <w:rsid w:val="00FE19F9"/>
    <w:rsid w:val="00FE5F56"/>
    <w:rsid w:val="00FF05CC"/>
    <w:rsid w:val="00FF2779"/>
    <w:rsid w:val="00FF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spacing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8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84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849"/>
  </w:style>
  <w:style w:type="paragraph" w:styleId="Pidipagina">
    <w:name w:val="footer"/>
    <w:basedOn w:val="Normale"/>
    <w:link w:val="PidipaginaCarattere"/>
    <w:uiPriority w:val="99"/>
    <w:unhideWhenUsed/>
    <w:rsid w:val="0048084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849"/>
  </w:style>
  <w:style w:type="character" w:styleId="Collegamentoipertestuale">
    <w:name w:val="Hyperlink"/>
    <w:uiPriority w:val="99"/>
    <w:unhideWhenUsed/>
    <w:rsid w:val="00480849"/>
    <w:rPr>
      <w:color w:val="0000FF"/>
      <w:u w:val="single"/>
    </w:rPr>
  </w:style>
  <w:style w:type="paragraph" w:customStyle="1" w:styleId="Default">
    <w:name w:val="Default"/>
    <w:rsid w:val="005906A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57FF"/>
    <w:pPr>
      <w:spacing w:line="240" w:lineRule="auto"/>
      <w:ind w:left="720"/>
    </w:pPr>
    <w:rPr>
      <w:rFonts w:ascii="Calibri" w:hAnsi="Calibri" w:cs="Calibr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A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A3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E3680"/>
    <w:pPr>
      <w:spacing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A84D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4D56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4D56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4D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4D56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jl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Woldetsion, Robel</dc:creator>
  <cp:keywords/>
  <dc:description/>
  <cp:lastModifiedBy>paola</cp:lastModifiedBy>
  <cp:revision>4</cp:revision>
  <dcterms:created xsi:type="dcterms:W3CDTF">2021-12-23T11:54:00Z</dcterms:created>
  <dcterms:modified xsi:type="dcterms:W3CDTF">2021-12-23T15:16:00Z</dcterms:modified>
</cp:coreProperties>
</file>