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270" w:rsidRPr="00345A4D" w:rsidRDefault="00F57270" w:rsidP="00F57270">
      <w:pPr>
        <w:spacing w:before="0" w:after="0" w:line="240" w:lineRule="auto"/>
        <w:jc w:val="center"/>
        <w:rPr>
          <w:rFonts w:ascii="Segoe UI" w:hAnsi="Segoe UI" w:cs="Segoe UI"/>
          <w:b/>
          <w:bCs/>
          <w:color w:val="595959" w:themeColor="text1" w:themeTint="A6"/>
          <w:sz w:val="28"/>
          <w:szCs w:val="28"/>
        </w:rPr>
      </w:pPr>
      <w:r w:rsidRPr="00345A4D">
        <w:rPr>
          <w:rFonts w:ascii="Segoe UI" w:hAnsi="Segoe UI" w:cs="Segoe UI"/>
          <w:b/>
          <w:bCs/>
          <w:color w:val="595959" w:themeColor="text1" w:themeTint="A6"/>
          <w:sz w:val="28"/>
          <w:szCs w:val="28"/>
        </w:rPr>
        <w:t>REPORT UFFICIO STUDI GABETTI</w:t>
      </w:r>
    </w:p>
    <w:p w:rsidR="00F57270" w:rsidRPr="00345A4D" w:rsidRDefault="00F57270" w:rsidP="00F57270">
      <w:pPr>
        <w:spacing w:before="0" w:after="0" w:line="240" w:lineRule="auto"/>
        <w:jc w:val="center"/>
        <w:rPr>
          <w:rFonts w:ascii="Segoe UI" w:hAnsi="Segoe UI" w:cs="Segoe UI"/>
          <w:b/>
          <w:bCs/>
          <w:color w:val="595959" w:themeColor="text1" w:themeTint="A6"/>
          <w:sz w:val="28"/>
          <w:szCs w:val="28"/>
        </w:rPr>
      </w:pPr>
      <w:r w:rsidRPr="00345A4D">
        <w:rPr>
          <w:rFonts w:ascii="Segoe UI" w:hAnsi="Segoe UI" w:cs="Segoe UI"/>
          <w:b/>
          <w:bCs/>
          <w:color w:val="595959" w:themeColor="text1" w:themeTint="A6"/>
          <w:sz w:val="28"/>
          <w:szCs w:val="28"/>
        </w:rPr>
        <w:t>“</w:t>
      </w:r>
      <w:r w:rsidR="0090378F" w:rsidRPr="00345A4D">
        <w:rPr>
          <w:rFonts w:ascii="Segoe UI" w:hAnsi="Segoe UI" w:cs="Segoe UI"/>
          <w:b/>
          <w:bCs/>
          <w:color w:val="595959" w:themeColor="text1" w:themeTint="A6"/>
          <w:sz w:val="28"/>
          <w:szCs w:val="28"/>
        </w:rPr>
        <w:t>ROME WASN’T BUILT IN A DAY</w:t>
      </w:r>
      <w:r w:rsidRPr="00345A4D">
        <w:rPr>
          <w:rFonts w:ascii="Segoe UI" w:hAnsi="Segoe UI" w:cs="Segoe UI"/>
          <w:b/>
          <w:bCs/>
          <w:color w:val="595959" w:themeColor="text1" w:themeTint="A6"/>
          <w:sz w:val="28"/>
          <w:szCs w:val="28"/>
        </w:rPr>
        <w:t>”</w:t>
      </w:r>
    </w:p>
    <w:p w:rsidR="00F57270" w:rsidRPr="00345A4D" w:rsidRDefault="00F57270" w:rsidP="00F57270">
      <w:pPr>
        <w:spacing w:before="0" w:after="0" w:line="240" w:lineRule="auto"/>
        <w:jc w:val="center"/>
        <w:rPr>
          <w:rFonts w:ascii="Segoe UI" w:hAnsi="Segoe UI" w:cs="Segoe UI"/>
          <w:b/>
          <w:bCs/>
          <w:color w:val="595959" w:themeColor="text1" w:themeTint="A6"/>
          <w:sz w:val="28"/>
          <w:szCs w:val="28"/>
        </w:rPr>
      </w:pPr>
    </w:p>
    <w:p w:rsidR="00F57270" w:rsidRPr="00F57270" w:rsidRDefault="00F57270" w:rsidP="00F57270">
      <w:pPr>
        <w:spacing w:before="0" w:after="0" w:line="240" w:lineRule="auto"/>
        <w:jc w:val="center"/>
        <w:rPr>
          <w:rFonts w:ascii="Segoe UI" w:hAnsi="Segoe UI" w:cs="Segoe UI"/>
          <w:b/>
          <w:bCs/>
          <w:color w:val="595959" w:themeColor="text1" w:themeTint="A6"/>
          <w:sz w:val="28"/>
          <w:szCs w:val="28"/>
        </w:rPr>
      </w:pPr>
      <w:r w:rsidRPr="00F57270">
        <w:rPr>
          <w:rFonts w:ascii="Segoe UI" w:hAnsi="Segoe UI" w:cs="Segoe UI"/>
          <w:b/>
          <w:bCs/>
          <w:color w:val="595959" w:themeColor="text1" w:themeTint="A6"/>
          <w:sz w:val="28"/>
          <w:szCs w:val="28"/>
        </w:rPr>
        <w:t>MAPPATE 180 INIZIATIVE DI SVILUPPO RESIDENZIALE</w:t>
      </w:r>
    </w:p>
    <w:p w:rsidR="00F57270" w:rsidRPr="00F57270" w:rsidRDefault="00F57270" w:rsidP="00F57270">
      <w:pPr>
        <w:spacing w:before="0" w:after="0" w:line="240" w:lineRule="auto"/>
        <w:jc w:val="center"/>
        <w:rPr>
          <w:rFonts w:ascii="Segoe UI" w:hAnsi="Segoe UI" w:cs="Segoe UI"/>
          <w:b/>
          <w:bCs/>
          <w:color w:val="595959" w:themeColor="text1" w:themeTint="A6"/>
          <w:sz w:val="28"/>
          <w:szCs w:val="28"/>
        </w:rPr>
      </w:pPr>
      <w:r w:rsidRPr="00F57270">
        <w:rPr>
          <w:rFonts w:ascii="Segoe UI" w:hAnsi="Segoe UI" w:cs="Segoe UI"/>
          <w:b/>
          <w:bCs/>
          <w:color w:val="595959" w:themeColor="text1" w:themeTint="A6"/>
          <w:sz w:val="28"/>
          <w:szCs w:val="28"/>
        </w:rPr>
        <w:t>LA ZONA PORTUENSE E LA CINTURA EUR SI CONFERMANO LE AREE DI MAGGIORE SVILUPPO</w:t>
      </w:r>
    </w:p>
    <w:p w:rsidR="00F57270" w:rsidRPr="00F57270" w:rsidRDefault="00F57270" w:rsidP="00F57270">
      <w:pPr>
        <w:spacing w:before="0" w:after="0" w:line="240" w:lineRule="auto"/>
        <w:jc w:val="center"/>
        <w:rPr>
          <w:rFonts w:ascii="Segoe UI" w:hAnsi="Segoe UI" w:cs="Segoe UI"/>
          <w:b/>
          <w:bCs/>
          <w:color w:val="595959" w:themeColor="text1" w:themeTint="A6"/>
          <w:sz w:val="28"/>
          <w:szCs w:val="28"/>
        </w:rPr>
      </w:pPr>
      <w:r w:rsidRPr="00F57270">
        <w:rPr>
          <w:rFonts w:ascii="Segoe UI" w:hAnsi="Segoe UI" w:cs="Segoe UI"/>
          <w:b/>
          <w:bCs/>
          <w:color w:val="595959" w:themeColor="text1" w:themeTint="A6"/>
          <w:sz w:val="28"/>
          <w:szCs w:val="28"/>
        </w:rPr>
        <w:t xml:space="preserve">IN CRESCITA ANCHE LA </w:t>
      </w:r>
      <w:r w:rsidRPr="00F57270">
        <w:rPr>
          <w:rFonts w:ascii="Segoe UI" w:eastAsia="Times New Roman" w:hAnsi="Segoe UI" w:cs="Segoe UI"/>
          <w:b/>
          <w:bCs/>
          <w:color w:val="595959" w:themeColor="text1" w:themeTint="A6"/>
          <w:sz w:val="28"/>
          <w:szCs w:val="28"/>
          <w:lang w:eastAsia="it-IT"/>
        </w:rPr>
        <w:t>PERIFERIA SUD-OVEST VERSO FIUMICINO</w:t>
      </w:r>
    </w:p>
    <w:p w:rsidR="00F57270" w:rsidRPr="00F57270" w:rsidRDefault="00F57270" w:rsidP="00F57270">
      <w:pPr>
        <w:jc w:val="center"/>
        <w:rPr>
          <w:color w:val="595959" w:themeColor="text1" w:themeTint="A6"/>
        </w:rPr>
      </w:pPr>
    </w:p>
    <w:p w:rsidR="00F57270" w:rsidRPr="00F57270" w:rsidRDefault="00F57270" w:rsidP="00F57270">
      <w:pPr>
        <w:jc w:val="both"/>
        <w:rPr>
          <w:rFonts w:ascii="Segoe UI" w:hAnsi="Segoe UI" w:cs="Segoe UI"/>
          <w:bCs/>
          <w:color w:val="595959" w:themeColor="text1" w:themeTint="A6"/>
          <w:sz w:val="24"/>
          <w:szCs w:val="24"/>
        </w:rPr>
      </w:pPr>
      <w:r w:rsidRPr="00F57270">
        <w:rPr>
          <w:rFonts w:ascii="Segoe UI" w:hAnsi="Segoe UI" w:cs="Segoe UI"/>
          <w:bCs/>
          <w:color w:val="595959" w:themeColor="text1" w:themeTint="A6"/>
          <w:sz w:val="24"/>
          <w:szCs w:val="24"/>
        </w:rPr>
        <w:t>Il report ha come obiettivo quello di fornire una fotografia del mercato residenziale di Roma, con particolare riferimento al tema della nuova edilizia residenziale, in termini di sviluppi conclusi, in costruzione e futur</w:t>
      </w:r>
      <w:r w:rsidR="00600491">
        <w:rPr>
          <w:rFonts w:ascii="Segoe UI" w:hAnsi="Segoe UI" w:cs="Segoe UI"/>
          <w:bCs/>
          <w:color w:val="595959" w:themeColor="text1" w:themeTint="A6"/>
          <w:sz w:val="24"/>
          <w:szCs w:val="24"/>
        </w:rPr>
        <w:t>i</w:t>
      </w:r>
      <w:r w:rsidRPr="00F57270">
        <w:rPr>
          <w:rFonts w:ascii="Segoe UI" w:hAnsi="Segoe UI" w:cs="Segoe UI"/>
          <w:bCs/>
          <w:color w:val="595959" w:themeColor="text1" w:themeTint="A6"/>
          <w:sz w:val="24"/>
          <w:szCs w:val="24"/>
        </w:rPr>
        <w:t xml:space="preserve">. Il risultato è una fotografia dell’offerta attuale e delle progettualità di nuove abitazioni, che fornisce un’indicazione di tendenza sulle aree di maggiore </w:t>
      </w:r>
      <w:r w:rsidR="00600491">
        <w:rPr>
          <w:rFonts w:ascii="Segoe UI" w:hAnsi="Segoe UI" w:cs="Segoe UI"/>
          <w:bCs/>
          <w:color w:val="595959" w:themeColor="text1" w:themeTint="A6"/>
          <w:sz w:val="24"/>
          <w:szCs w:val="24"/>
        </w:rPr>
        <w:t>interesse</w:t>
      </w:r>
      <w:r w:rsidRPr="00F57270">
        <w:rPr>
          <w:rFonts w:ascii="Segoe UI" w:hAnsi="Segoe UI" w:cs="Segoe UI"/>
          <w:bCs/>
          <w:color w:val="595959" w:themeColor="text1" w:themeTint="A6"/>
          <w:sz w:val="24"/>
          <w:szCs w:val="24"/>
        </w:rPr>
        <w:t xml:space="preserve">, attuale e del prossimo futuro. </w:t>
      </w:r>
    </w:p>
    <w:p w:rsidR="00F57270" w:rsidRPr="00F57270" w:rsidRDefault="00F57270" w:rsidP="00F57270">
      <w:pPr>
        <w:jc w:val="center"/>
        <w:rPr>
          <w:rFonts w:ascii="Segoe UI" w:hAnsi="Segoe UI" w:cs="Segoe UI"/>
          <w:b/>
          <w:color w:val="595959" w:themeColor="text1" w:themeTint="A6"/>
          <w:sz w:val="24"/>
          <w:szCs w:val="24"/>
        </w:rPr>
      </w:pPr>
      <w:r w:rsidRPr="00F57270">
        <w:rPr>
          <w:rFonts w:ascii="Segoe UI" w:hAnsi="Segoe UI" w:cs="Segoe UI"/>
          <w:b/>
          <w:color w:val="595959" w:themeColor="text1" w:themeTint="A6"/>
          <w:sz w:val="24"/>
          <w:szCs w:val="24"/>
        </w:rPr>
        <w:t>IL MERCATO RESIDENZIALE ROMANO</w:t>
      </w:r>
    </w:p>
    <w:p w:rsidR="00F57270" w:rsidRPr="00F57270" w:rsidRDefault="00F57270" w:rsidP="00F57270">
      <w:pPr>
        <w:rPr>
          <w:rFonts w:ascii="Segoe UI" w:eastAsia="Times New Roman" w:hAnsi="Segoe UI" w:cs="Segoe UI"/>
          <w:color w:val="595959" w:themeColor="text1" w:themeTint="A6"/>
          <w:sz w:val="24"/>
          <w:szCs w:val="24"/>
        </w:rPr>
      </w:pPr>
      <w:r w:rsidRPr="00F57270">
        <w:rPr>
          <w:rFonts w:ascii="Segoe UI" w:eastAsia="Times New Roman" w:hAnsi="Segoe UI" w:cs="Segoe UI"/>
          <w:color w:val="595959" w:themeColor="text1" w:themeTint="A6"/>
          <w:sz w:val="24"/>
          <w:szCs w:val="24"/>
        </w:rPr>
        <w:t xml:space="preserve">In termini di </w:t>
      </w:r>
      <w:r w:rsidRPr="00F57270"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</w:rPr>
        <w:t>volumi</w:t>
      </w:r>
      <w:r w:rsidRPr="00F57270">
        <w:rPr>
          <w:rFonts w:ascii="Segoe UI" w:eastAsia="Times New Roman" w:hAnsi="Segoe UI" w:cs="Segoe UI"/>
          <w:color w:val="595959" w:themeColor="text1" w:themeTint="A6"/>
          <w:sz w:val="24"/>
          <w:szCs w:val="24"/>
        </w:rPr>
        <w:t>, il mercato degli immobili a uso residenziale del Comune di Roma, nel periodo 2013-2020, present</w:t>
      </w:r>
      <w:r w:rsidR="006F6052">
        <w:rPr>
          <w:rFonts w:ascii="Segoe UI" w:eastAsia="Times New Roman" w:hAnsi="Segoe UI" w:cs="Segoe UI"/>
          <w:color w:val="595959" w:themeColor="text1" w:themeTint="A6"/>
          <w:sz w:val="24"/>
          <w:szCs w:val="24"/>
        </w:rPr>
        <w:t>a</w:t>
      </w:r>
      <w:r>
        <w:rPr>
          <w:rFonts w:ascii="Segoe UI" w:eastAsia="Times New Roman" w:hAnsi="Segoe UI" w:cs="Segoe UI"/>
          <w:color w:val="595959" w:themeColor="text1" w:themeTint="A6"/>
          <w:sz w:val="24"/>
          <w:szCs w:val="24"/>
        </w:rPr>
        <w:t xml:space="preserve"> </w:t>
      </w:r>
      <w:r w:rsidRPr="00F57270">
        <w:rPr>
          <w:rFonts w:ascii="Segoe UI" w:eastAsia="Times New Roman" w:hAnsi="Segoe UI" w:cs="Segoe UI"/>
          <w:color w:val="595959" w:themeColor="text1" w:themeTint="A6"/>
          <w:sz w:val="24"/>
          <w:szCs w:val="24"/>
        </w:rPr>
        <w:t>una media pari a 29.251 transazioni.</w:t>
      </w:r>
    </w:p>
    <w:p w:rsidR="00F57270" w:rsidRPr="00F57270" w:rsidRDefault="00F57270" w:rsidP="006F6052">
      <w:pPr>
        <w:jc w:val="both"/>
        <w:rPr>
          <w:rFonts w:ascii="Segoe UI" w:eastAsia="Times New Roman" w:hAnsi="Segoe UI" w:cs="Segoe UI"/>
          <w:color w:val="595959" w:themeColor="text1" w:themeTint="A6"/>
          <w:sz w:val="24"/>
          <w:szCs w:val="24"/>
        </w:rPr>
      </w:pPr>
      <w:r w:rsidRPr="00F57270">
        <w:rPr>
          <w:rFonts w:ascii="Segoe UI" w:eastAsia="Times New Roman" w:hAnsi="Segoe UI" w:cs="Segoe UI"/>
          <w:color w:val="595959" w:themeColor="text1" w:themeTint="A6"/>
          <w:sz w:val="24"/>
          <w:szCs w:val="24"/>
        </w:rPr>
        <w:t>Dal picco più basso del numero di transazioni annuali, registrato nel 2013, pari a 23.763, la Capitale ha recuperato i volumi precrisi, avvicinandosi al dato dell’anno 2011 (33.532), per poi calare nuovamente nel 2020 (</w:t>
      </w:r>
      <w:r w:rsidRPr="00F57270">
        <w:rPr>
          <w:rFonts w:ascii="Segoe UI" w:eastAsia="Times New Roman" w:hAnsi="Segoe UI" w:cs="Segoe UI"/>
          <w:bCs/>
          <w:color w:val="595959" w:themeColor="text1" w:themeTint="A6"/>
          <w:sz w:val="24"/>
          <w:szCs w:val="24"/>
        </w:rPr>
        <w:t>29.505)</w:t>
      </w:r>
      <w:r w:rsidRPr="00F57270">
        <w:rPr>
          <w:rFonts w:ascii="Segoe UI" w:eastAsia="Times New Roman" w:hAnsi="Segoe UI" w:cs="Segoe UI"/>
          <w:color w:val="595959" w:themeColor="text1" w:themeTint="A6"/>
          <w:sz w:val="24"/>
          <w:szCs w:val="24"/>
        </w:rPr>
        <w:t>, a seguito dell’impatto della pandemia da Covid-19.</w:t>
      </w:r>
      <w:r w:rsidR="006F6052">
        <w:rPr>
          <w:rFonts w:ascii="Segoe UI" w:eastAsia="Times New Roman" w:hAnsi="Segoe UI" w:cs="Segoe UI"/>
          <w:color w:val="595959" w:themeColor="text1" w:themeTint="A6"/>
          <w:sz w:val="24"/>
          <w:szCs w:val="24"/>
        </w:rPr>
        <w:t xml:space="preserve"> </w:t>
      </w:r>
      <w:r w:rsidR="006F6052" w:rsidRPr="006F6052">
        <w:rPr>
          <w:rFonts w:ascii="Segoe UI" w:eastAsia="Times New Roman" w:hAnsi="Segoe UI" w:cs="Segoe UI"/>
          <w:color w:val="595959" w:themeColor="text1" w:themeTint="A6"/>
          <w:sz w:val="24"/>
          <w:szCs w:val="24"/>
        </w:rPr>
        <w:t>Nel primo semestre 2021 si è registrata una significativa crescita (+42,3%) per un totale di 19.153 transazion</w:t>
      </w:r>
      <w:r w:rsidR="006F6052">
        <w:rPr>
          <w:rFonts w:ascii="Segoe UI" w:eastAsia="Times New Roman" w:hAnsi="Segoe UI" w:cs="Segoe UI"/>
          <w:color w:val="595959" w:themeColor="text1" w:themeTint="A6"/>
          <w:sz w:val="24"/>
          <w:szCs w:val="24"/>
        </w:rPr>
        <w:t>i</w:t>
      </w:r>
    </w:p>
    <w:p w:rsidR="00F57270" w:rsidRPr="00F57270" w:rsidRDefault="00F57270" w:rsidP="00F57270">
      <w:pPr>
        <w:jc w:val="both"/>
        <w:rPr>
          <w:rFonts w:ascii="Segoe UI" w:eastAsia="Times New Roman" w:hAnsi="Segoe UI" w:cs="Segoe UI"/>
          <w:color w:val="595959" w:themeColor="text1" w:themeTint="A6"/>
          <w:sz w:val="24"/>
          <w:szCs w:val="24"/>
        </w:rPr>
      </w:pPr>
      <w:r w:rsidRPr="00F57270">
        <w:rPr>
          <w:rFonts w:ascii="Segoe UI" w:eastAsia="Times New Roman" w:hAnsi="Segoe UI" w:cs="Segoe UI"/>
          <w:color w:val="595959" w:themeColor="text1" w:themeTint="A6"/>
          <w:sz w:val="24"/>
          <w:szCs w:val="24"/>
        </w:rPr>
        <w:t xml:space="preserve">Analizzando le </w:t>
      </w:r>
      <w:r w:rsidRPr="00F57270"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</w:rPr>
        <w:t>classi dimensionali</w:t>
      </w:r>
      <w:r w:rsidRPr="00F57270">
        <w:rPr>
          <w:rFonts w:ascii="Segoe UI" w:eastAsia="Times New Roman" w:hAnsi="Segoe UI" w:cs="Segoe UI"/>
          <w:color w:val="595959" w:themeColor="text1" w:themeTint="A6"/>
          <w:sz w:val="24"/>
          <w:szCs w:val="24"/>
        </w:rPr>
        <w:t xml:space="preserve"> delle unità residenziali transate nel 2020 a Roma si nota come quasi la metà degli immobili compravenduti, nello specifico il </w:t>
      </w:r>
      <w:r w:rsidRPr="00F57270"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</w:rPr>
        <w:t>40,8%, sia di taglio compreso tra i 50 e gli 85 mq</w:t>
      </w:r>
      <w:r w:rsidRPr="00F57270">
        <w:rPr>
          <w:rFonts w:ascii="Segoe UI" w:eastAsia="Times New Roman" w:hAnsi="Segoe UI" w:cs="Segoe UI"/>
          <w:color w:val="595959" w:themeColor="text1" w:themeTint="A6"/>
          <w:sz w:val="24"/>
          <w:szCs w:val="24"/>
        </w:rPr>
        <w:t>, seguito da un 27,8% per la classe dimensionale tra gli 85 e i 115 mq.</w:t>
      </w:r>
    </w:p>
    <w:p w:rsidR="00F57270" w:rsidRPr="00F57270" w:rsidRDefault="00F57270" w:rsidP="00F57270">
      <w:pPr>
        <w:jc w:val="both"/>
        <w:rPr>
          <w:rFonts w:ascii="Segoe UI" w:eastAsia="Times New Roman" w:hAnsi="Segoe UI" w:cs="Segoe UI"/>
          <w:noProof/>
          <w:color w:val="595959" w:themeColor="text1" w:themeTint="A6"/>
          <w:sz w:val="24"/>
          <w:szCs w:val="24"/>
        </w:rPr>
      </w:pPr>
      <w:r w:rsidRPr="00F57270">
        <w:rPr>
          <w:rFonts w:ascii="Segoe UI" w:eastAsia="Times New Roman" w:hAnsi="Segoe UI" w:cs="Segoe UI"/>
          <w:noProof/>
          <w:color w:val="595959" w:themeColor="text1" w:themeTint="A6"/>
          <w:sz w:val="24"/>
          <w:szCs w:val="24"/>
        </w:rPr>
        <w:t xml:space="preserve">Nel 2020 i </w:t>
      </w:r>
      <w:r w:rsidRPr="00F57270">
        <w:rPr>
          <w:rFonts w:ascii="Segoe UI" w:eastAsia="Times New Roman" w:hAnsi="Segoe UI" w:cs="Segoe UI"/>
          <w:b/>
          <w:noProof/>
          <w:color w:val="595959" w:themeColor="text1" w:themeTint="A6"/>
          <w:sz w:val="24"/>
          <w:szCs w:val="24"/>
        </w:rPr>
        <w:t>prezzi medi</w:t>
      </w:r>
      <w:r w:rsidRPr="00F57270">
        <w:rPr>
          <w:rFonts w:ascii="Segoe UI" w:eastAsia="Times New Roman" w:hAnsi="Segoe UI" w:cs="Segoe UI"/>
          <w:noProof/>
          <w:color w:val="595959" w:themeColor="text1" w:themeTint="A6"/>
          <w:sz w:val="24"/>
          <w:szCs w:val="24"/>
        </w:rPr>
        <w:t xml:space="preserve"> delle abitazioni a Roma hanno avuto una </w:t>
      </w:r>
      <w:r w:rsidRPr="00F57270">
        <w:rPr>
          <w:rFonts w:ascii="Segoe UI" w:eastAsia="Times New Roman" w:hAnsi="Segoe UI" w:cs="Segoe UI"/>
          <w:b/>
          <w:noProof/>
          <w:color w:val="595959" w:themeColor="text1" w:themeTint="A6"/>
          <w:sz w:val="24"/>
          <w:szCs w:val="24"/>
        </w:rPr>
        <w:t xml:space="preserve">lieve flessione </w:t>
      </w:r>
      <w:r w:rsidRPr="00F57270">
        <w:rPr>
          <w:rFonts w:ascii="Segoe UI" w:eastAsia="Times New Roman" w:hAnsi="Segoe UI" w:cs="Segoe UI"/>
          <w:noProof/>
          <w:color w:val="595959" w:themeColor="text1" w:themeTint="A6"/>
          <w:sz w:val="24"/>
          <w:szCs w:val="24"/>
        </w:rPr>
        <w:t xml:space="preserve">(-2,2%), con tempi medi di vendita che si sono mantenuti poco al di sotto dei </w:t>
      </w:r>
      <w:r w:rsidR="00D425AB">
        <w:rPr>
          <w:rFonts w:ascii="Segoe UI" w:eastAsia="Times New Roman" w:hAnsi="Segoe UI" w:cs="Segoe UI"/>
          <w:noProof/>
          <w:color w:val="595959" w:themeColor="text1" w:themeTint="A6"/>
          <w:sz w:val="24"/>
          <w:szCs w:val="24"/>
        </w:rPr>
        <w:t>5</w:t>
      </w:r>
      <w:r w:rsidRPr="00F57270">
        <w:rPr>
          <w:rFonts w:ascii="Segoe UI" w:eastAsia="Times New Roman" w:hAnsi="Segoe UI" w:cs="Segoe UI"/>
          <w:noProof/>
          <w:color w:val="595959" w:themeColor="text1" w:themeTint="A6"/>
          <w:sz w:val="24"/>
          <w:szCs w:val="24"/>
        </w:rPr>
        <w:t xml:space="preserve"> mesi e sconti in sede di chiusura delle trattative intorno </w:t>
      </w:r>
      <w:r w:rsidRPr="00F57270">
        <w:rPr>
          <w:rFonts w:ascii="Segoe UI" w:eastAsia="Times New Roman" w:hAnsi="Segoe UI" w:cs="Segoe UI"/>
          <w:b/>
          <w:noProof/>
          <w:color w:val="595959" w:themeColor="text1" w:themeTint="A6"/>
          <w:sz w:val="24"/>
          <w:szCs w:val="24"/>
        </w:rPr>
        <w:t>all’11%</w:t>
      </w:r>
      <w:r w:rsidRPr="00F57270">
        <w:rPr>
          <w:rFonts w:ascii="Segoe UI" w:eastAsia="Times New Roman" w:hAnsi="Segoe UI" w:cs="Segoe UI"/>
          <w:noProof/>
          <w:color w:val="595959" w:themeColor="text1" w:themeTint="A6"/>
          <w:sz w:val="24"/>
          <w:szCs w:val="24"/>
        </w:rPr>
        <w:t>.</w:t>
      </w:r>
      <w:r w:rsidR="00D425AB">
        <w:rPr>
          <w:rFonts w:ascii="Segoe UI" w:eastAsia="Times New Roman" w:hAnsi="Segoe UI" w:cs="Segoe UI"/>
          <w:noProof/>
          <w:color w:val="595959" w:themeColor="text1" w:themeTint="A6"/>
          <w:sz w:val="24"/>
          <w:szCs w:val="24"/>
        </w:rPr>
        <w:t xml:space="preserve"> Nel primo semestre 2021 si è registrata una lieve flessione (-0,6%) in un contesto ti tempi e sconti sostanzialmente stabili.</w:t>
      </w:r>
    </w:p>
    <w:p w:rsidR="00F57270" w:rsidRDefault="00F57270" w:rsidP="00F57270">
      <w:pPr>
        <w:jc w:val="center"/>
        <w:rPr>
          <w:rFonts w:ascii="Segoe UI" w:hAnsi="Segoe UI" w:cs="Segoe UI"/>
          <w:b/>
          <w:color w:val="595959" w:themeColor="text1" w:themeTint="A6"/>
          <w:sz w:val="24"/>
          <w:szCs w:val="24"/>
        </w:rPr>
      </w:pPr>
    </w:p>
    <w:p w:rsidR="00D425AB" w:rsidRPr="00F57270" w:rsidRDefault="00D425AB" w:rsidP="00F57270">
      <w:pPr>
        <w:jc w:val="center"/>
        <w:rPr>
          <w:rFonts w:ascii="Segoe UI" w:hAnsi="Segoe UI" w:cs="Segoe UI"/>
          <w:b/>
          <w:color w:val="595959" w:themeColor="text1" w:themeTint="A6"/>
          <w:sz w:val="24"/>
          <w:szCs w:val="24"/>
        </w:rPr>
      </w:pPr>
    </w:p>
    <w:p w:rsidR="00F57270" w:rsidRPr="00F57270" w:rsidRDefault="00F57270" w:rsidP="00F57270">
      <w:pPr>
        <w:jc w:val="center"/>
        <w:rPr>
          <w:rFonts w:ascii="Segoe UI" w:hAnsi="Segoe UI" w:cs="Segoe UI"/>
          <w:b/>
          <w:color w:val="595959" w:themeColor="text1" w:themeTint="A6"/>
          <w:sz w:val="24"/>
          <w:szCs w:val="24"/>
        </w:rPr>
      </w:pPr>
      <w:bookmarkStart w:id="0" w:name="_Toc82524542"/>
      <w:r w:rsidRPr="00F57270">
        <w:rPr>
          <w:rFonts w:ascii="Segoe UI" w:hAnsi="Segoe UI" w:cs="Segoe UI"/>
          <w:b/>
          <w:color w:val="595959" w:themeColor="text1" w:themeTint="A6"/>
          <w:sz w:val="24"/>
          <w:szCs w:val="24"/>
        </w:rPr>
        <w:lastRenderedPageBreak/>
        <w:t>TENDENZE E PROSPETTIVE DEL RESIDENTIAL TO LET A ROMA</w:t>
      </w:r>
      <w:bookmarkEnd w:id="0"/>
    </w:p>
    <w:p w:rsidR="00F57270" w:rsidRPr="008A74B6" w:rsidRDefault="00F57270" w:rsidP="00F57270">
      <w:pPr>
        <w:spacing w:before="0" w:after="0"/>
        <w:jc w:val="both"/>
        <w:rPr>
          <w:rFonts w:ascii="Segoe UI" w:eastAsia="Times New Roman" w:hAnsi="Segoe UI" w:cs="Segoe UI"/>
          <w:noProof/>
          <w:color w:val="595959" w:themeColor="text1" w:themeTint="A6"/>
          <w:sz w:val="24"/>
          <w:szCs w:val="24"/>
        </w:rPr>
      </w:pPr>
      <w:r w:rsidRPr="00F57270">
        <w:rPr>
          <w:rFonts w:ascii="Segoe UI" w:eastAsia="Times New Roman" w:hAnsi="Segoe UI" w:cs="Segoe UI"/>
          <w:noProof/>
          <w:color w:val="595959" w:themeColor="text1" w:themeTint="A6"/>
          <w:sz w:val="24"/>
          <w:szCs w:val="24"/>
        </w:rPr>
        <w:t xml:space="preserve">La sfida, ora più che mai, è quella di offrire al mercato della Capitale </w:t>
      </w:r>
      <w:r w:rsidR="00485B88">
        <w:rPr>
          <w:rFonts w:ascii="Segoe UI" w:eastAsia="Times New Roman" w:hAnsi="Segoe UI" w:cs="Segoe UI"/>
          <w:noProof/>
          <w:color w:val="595959" w:themeColor="text1" w:themeTint="A6"/>
          <w:sz w:val="24"/>
          <w:szCs w:val="24"/>
        </w:rPr>
        <w:t xml:space="preserve"> abitazioni </w:t>
      </w:r>
      <w:r w:rsidRPr="00F57270">
        <w:rPr>
          <w:rFonts w:ascii="Segoe UI" w:eastAsia="Times New Roman" w:hAnsi="Segoe UI" w:cs="Segoe UI"/>
          <w:noProof/>
          <w:color w:val="595959" w:themeColor="text1" w:themeTint="A6"/>
          <w:sz w:val="24"/>
          <w:szCs w:val="24"/>
        </w:rPr>
        <w:t>di nuova generazione, i cui spazi siano funzionali al nuovo equilibrio tra vita privata e lavoro</w:t>
      </w:r>
      <w:r w:rsidR="00485B88">
        <w:rPr>
          <w:rFonts w:ascii="Segoe UI" w:eastAsia="Times New Roman" w:hAnsi="Segoe UI" w:cs="Segoe UI"/>
          <w:noProof/>
          <w:color w:val="595959" w:themeColor="text1" w:themeTint="A6"/>
          <w:sz w:val="24"/>
          <w:szCs w:val="24"/>
        </w:rPr>
        <w:t xml:space="preserve">. </w:t>
      </w:r>
      <w:r w:rsidRPr="00F57270">
        <w:rPr>
          <w:rFonts w:ascii="Segoe UI" w:eastAsia="Times New Roman" w:hAnsi="Segoe UI" w:cs="Segoe UI"/>
          <w:noProof/>
          <w:color w:val="595959" w:themeColor="text1" w:themeTint="A6"/>
          <w:sz w:val="24"/>
          <w:szCs w:val="24"/>
        </w:rPr>
        <w:t xml:space="preserve"> </w:t>
      </w:r>
      <w:r w:rsidR="00485B88">
        <w:rPr>
          <w:rFonts w:ascii="Segoe UI" w:eastAsia="Times New Roman" w:hAnsi="Segoe UI" w:cs="Segoe UI"/>
          <w:noProof/>
          <w:color w:val="595959" w:themeColor="text1" w:themeTint="A6"/>
          <w:sz w:val="24"/>
          <w:szCs w:val="24"/>
        </w:rPr>
        <w:t xml:space="preserve">Un prodotto </w:t>
      </w:r>
      <w:r w:rsidRPr="00F57270">
        <w:rPr>
          <w:rFonts w:ascii="Segoe UI" w:eastAsia="Times New Roman" w:hAnsi="Segoe UI" w:cs="Segoe UI"/>
          <w:noProof/>
          <w:color w:val="595959" w:themeColor="text1" w:themeTint="A6"/>
          <w:sz w:val="24"/>
          <w:szCs w:val="24"/>
        </w:rPr>
        <w:t xml:space="preserve">inclusivo di soluzioni tecnologiche che portino vantaggi concreti in termini di comfort, mediante la gestione degli spazi comuni e privati, </w:t>
      </w:r>
      <w:r w:rsidR="00485B88">
        <w:rPr>
          <w:rFonts w:ascii="Segoe UI" w:eastAsia="Times New Roman" w:hAnsi="Segoe UI" w:cs="Segoe UI"/>
          <w:noProof/>
          <w:color w:val="595959" w:themeColor="text1" w:themeTint="A6"/>
          <w:sz w:val="24"/>
          <w:szCs w:val="24"/>
        </w:rPr>
        <w:t xml:space="preserve">e </w:t>
      </w:r>
      <w:r w:rsidRPr="00F57270">
        <w:rPr>
          <w:rFonts w:ascii="Segoe UI" w:eastAsia="Times New Roman" w:hAnsi="Segoe UI" w:cs="Segoe UI"/>
          <w:noProof/>
          <w:color w:val="595959" w:themeColor="text1" w:themeTint="A6"/>
          <w:sz w:val="24"/>
          <w:szCs w:val="24"/>
        </w:rPr>
        <w:t>che sia meno energivor</w:t>
      </w:r>
      <w:r w:rsidR="00485B88">
        <w:rPr>
          <w:rFonts w:ascii="Segoe UI" w:eastAsia="Times New Roman" w:hAnsi="Segoe UI" w:cs="Segoe UI"/>
          <w:noProof/>
          <w:color w:val="595959" w:themeColor="text1" w:themeTint="A6"/>
          <w:sz w:val="24"/>
          <w:szCs w:val="24"/>
        </w:rPr>
        <w:t>o</w:t>
      </w:r>
      <w:r w:rsidRPr="00F57270">
        <w:rPr>
          <w:rFonts w:ascii="Segoe UI" w:eastAsia="Times New Roman" w:hAnsi="Segoe UI" w:cs="Segoe UI"/>
          <w:noProof/>
          <w:color w:val="595959" w:themeColor="text1" w:themeTint="A6"/>
          <w:sz w:val="24"/>
          <w:szCs w:val="24"/>
        </w:rPr>
        <w:t xml:space="preserve">, riducendone di fatto i costi per chi ci abita e un abbattimento delle emissioni </w:t>
      </w:r>
      <w:r w:rsidRPr="00B76BF9">
        <w:rPr>
          <w:rFonts w:ascii="Segoe UI" w:eastAsia="Times New Roman" w:hAnsi="Segoe UI" w:cs="Segoe UI"/>
          <w:noProof/>
          <w:sz w:val="24"/>
          <w:szCs w:val="24"/>
        </w:rPr>
        <w:t xml:space="preserve">nocive per </w:t>
      </w:r>
      <w:r w:rsidRPr="008A74B6">
        <w:rPr>
          <w:rFonts w:ascii="Segoe UI" w:eastAsia="Times New Roman" w:hAnsi="Segoe UI" w:cs="Segoe UI"/>
          <w:noProof/>
          <w:color w:val="595959" w:themeColor="text1" w:themeTint="A6"/>
          <w:sz w:val="24"/>
          <w:szCs w:val="24"/>
        </w:rPr>
        <w:t>l’ambiente circostante.</w:t>
      </w:r>
    </w:p>
    <w:p w:rsidR="00F57270" w:rsidRPr="008A74B6" w:rsidRDefault="00F57270" w:rsidP="00486E50">
      <w:pPr>
        <w:jc w:val="both"/>
        <w:rPr>
          <w:rFonts w:ascii="Segoe UI" w:eastAsia="Times New Roman" w:hAnsi="Segoe UI" w:cs="Segoe UI"/>
          <w:i/>
          <w:iCs/>
          <w:color w:val="595959" w:themeColor="text1" w:themeTint="A6"/>
          <w:sz w:val="24"/>
          <w:szCs w:val="24"/>
          <w:lang w:eastAsia="it-IT"/>
        </w:rPr>
      </w:pPr>
      <w:r w:rsidRPr="008A74B6">
        <w:rPr>
          <w:rFonts w:ascii="Segoe UI" w:eastAsia="Times New Roman" w:hAnsi="Segoe UI" w:cs="Segoe UI"/>
          <w:i/>
          <w:iCs/>
          <w:color w:val="595959" w:themeColor="text1" w:themeTint="A6"/>
          <w:sz w:val="24"/>
          <w:szCs w:val="24"/>
          <w:lang w:eastAsia="it-IT"/>
        </w:rPr>
        <w:t xml:space="preserve">“Un elemento di novità per il mercato romano è rappresentato dagli edifici di nuova costruzione, o oggetto di riqualificazione, pensati </w:t>
      </w:r>
      <w:r w:rsidR="00080934" w:rsidRPr="008A74B6">
        <w:rPr>
          <w:rFonts w:ascii="Segoe UI" w:eastAsia="Times New Roman" w:hAnsi="Segoe UI" w:cs="Segoe UI"/>
          <w:i/>
          <w:iCs/>
          <w:color w:val="595959" w:themeColor="text1" w:themeTint="A6"/>
          <w:sz w:val="24"/>
          <w:szCs w:val="24"/>
          <w:lang w:eastAsia="it-IT"/>
        </w:rPr>
        <w:t>a</w:t>
      </w:r>
      <w:r w:rsidR="00485B88" w:rsidRPr="008A74B6">
        <w:rPr>
          <w:rFonts w:ascii="Segoe UI" w:eastAsia="Times New Roman" w:hAnsi="Segoe UI" w:cs="Segoe UI"/>
          <w:i/>
          <w:iCs/>
          <w:color w:val="595959" w:themeColor="text1" w:themeTint="A6"/>
          <w:sz w:val="24"/>
          <w:szCs w:val="24"/>
          <w:lang w:eastAsia="it-IT"/>
        </w:rPr>
        <w:t>b</w:t>
      </w:r>
      <w:r w:rsidR="00080934" w:rsidRPr="008A74B6">
        <w:rPr>
          <w:rFonts w:ascii="Segoe UI" w:eastAsia="Times New Roman" w:hAnsi="Segoe UI" w:cs="Segoe UI"/>
          <w:i/>
          <w:iCs/>
          <w:color w:val="595959" w:themeColor="text1" w:themeTint="A6"/>
          <w:sz w:val="24"/>
          <w:szCs w:val="24"/>
          <w:lang w:eastAsia="it-IT"/>
        </w:rPr>
        <w:t xml:space="preserve"> </w:t>
      </w:r>
      <w:r w:rsidRPr="008A74B6">
        <w:rPr>
          <w:rFonts w:ascii="Segoe UI" w:eastAsia="Times New Roman" w:hAnsi="Segoe UI" w:cs="Segoe UI"/>
          <w:i/>
          <w:iCs/>
          <w:color w:val="595959" w:themeColor="text1" w:themeTint="A6"/>
          <w:sz w:val="24"/>
          <w:szCs w:val="24"/>
          <w:lang w:eastAsia="it-IT"/>
        </w:rPr>
        <w:t>origine per la locazione, mediante soluzioni già presenti da tempo in città del nord Europa e, recentemente, a Milano. In tale contesto, i servizi caratterizzanti queste nuove soluzioni per l’abitare</w:t>
      </w:r>
      <w:r w:rsidR="00A962F1" w:rsidRPr="008A74B6">
        <w:rPr>
          <w:rFonts w:ascii="Segoe UI" w:eastAsia="Times New Roman" w:hAnsi="Segoe UI" w:cs="Segoe UI"/>
          <w:i/>
          <w:iCs/>
          <w:color w:val="595959" w:themeColor="text1" w:themeTint="A6"/>
          <w:sz w:val="24"/>
          <w:szCs w:val="24"/>
          <w:lang w:eastAsia="it-IT"/>
        </w:rPr>
        <w:t xml:space="preserve"> -</w:t>
      </w:r>
      <w:r w:rsidRPr="008A74B6">
        <w:rPr>
          <w:rFonts w:ascii="Segoe UI" w:eastAsia="Times New Roman" w:hAnsi="Segoe UI" w:cs="Segoe UI"/>
          <w:i/>
          <w:iCs/>
          <w:color w:val="595959" w:themeColor="text1" w:themeTint="A6"/>
          <w:sz w:val="24"/>
          <w:szCs w:val="24"/>
          <w:lang w:eastAsia="it-IT"/>
        </w:rPr>
        <w:t xml:space="preserve"> </w:t>
      </w:r>
      <w:r w:rsidR="00A962F1" w:rsidRPr="008A74B6">
        <w:rPr>
          <w:rFonts w:ascii="Segoe UI" w:eastAsia="Times New Roman" w:hAnsi="Segoe UI" w:cs="Segoe UI"/>
          <w:i/>
          <w:iCs/>
          <w:color w:val="595959" w:themeColor="text1" w:themeTint="A6"/>
          <w:sz w:val="24"/>
          <w:szCs w:val="24"/>
          <w:lang w:eastAsia="it-IT"/>
        </w:rPr>
        <w:t>a partire da</w:t>
      </w:r>
      <w:r w:rsidRPr="008A74B6">
        <w:rPr>
          <w:rFonts w:ascii="Segoe UI" w:eastAsia="Times New Roman" w:hAnsi="Segoe UI" w:cs="Segoe UI"/>
          <w:i/>
          <w:iCs/>
          <w:color w:val="595959" w:themeColor="text1" w:themeTint="A6"/>
          <w:sz w:val="24"/>
          <w:szCs w:val="24"/>
          <w:lang w:eastAsia="it-IT"/>
        </w:rPr>
        <w:t xml:space="preserve"> Private Rented Sector</w:t>
      </w:r>
      <w:r w:rsidR="00FC6FBF" w:rsidRPr="008A74B6">
        <w:rPr>
          <w:rFonts w:ascii="Segoe UI" w:eastAsia="Times New Roman" w:hAnsi="Segoe UI" w:cs="Segoe UI"/>
          <w:i/>
          <w:iCs/>
          <w:color w:val="595959" w:themeColor="text1" w:themeTint="A6"/>
          <w:sz w:val="24"/>
          <w:szCs w:val="24"/>
          <w:lang w:eastAsia="it-IT"/>
        </w:rPr>
        <w:t xml:space="preserve"> (PRS)</w:t>
      </w:r>
      <w:r w:rsidRPr="008A74B6">
        <w:rPr>
          <w:rFonts w:ascii="Segoe UI" w:eastAsia="Times New Roman" w:hAnsi="Segoe UI" w:cs="Segoe UI"/>
          <w:i/>
          <w:iCs/>
          <w:color w:val="595959" w:themeColor="text1" w:themeTint="A6"/>
          <w:sz w:val="24"/>
          <w:szCs w:val="24"/>
          <w:lang w:eastAsia="it-IT"/>
        </w:rPr>
        <w:t>, Student Housing, Co-Living, Senior Living</w:t>
      </w:r>
      <w:r w:rsidR="00A962F1" w:rsidRPr="008A74B6">
        <w:rPr>
          <w:rFonts w:ascii="Segoe UI" w:eastAsia="Times New Roman" w:hAnsi="Segoe UI" w:cs="Segoe UI"/>
          <w:i/>
          <w:iCs/>
          <w:color w:val="595959" w:themeColor="text1" w:themeTint="A6"/>
          <w:sz w:val="24"/>
          <w:szCs w:val="24"/>
          <w:lang w:eastAsia="it-IT"/>
        </w:rPr>
        <w:t xml:space="preserve"> -</w:t>
      </w:r>
      <w:r w:rsidRPr="008A74B6">
        <w:rPr>
          <w:rFonts w:ascii="Segoe UI" w:eastAsia="Times New Roman" w:hAnsi="Segoe UI" w:cs="Segoe UI"/>
          <w:i/>
          <w:iCs/>
          <w:color w:val="595959" w:themeColor="text1" w:themeTint="A6"/>
          <w:sz w:val="24"/>
          <w:szCs w:val="24"/>
          <w:lang w:eastAsia="it-IT"/>
        </w:rPr>
        <w:t xml:space="preserve"> hanno un ruolo centrale e, insieme a una appropriata progettazione degli spazi sia privati sia comuni, puntano a </w:t>
      </w:r>
      <w:r w:rsidR="00486E50" w:rsidRPr="008A74B6">
        <w:rPr>
          <w:rFonts w:ascii="Segoe UI" w:eastAsia="Times New Roman" w:hAnsi="Segoe UI" w:cs="Segoe UI"/>
          <w:i/>
          <w:iCs/>
          <w:color w:val="595959" w:themeColor="text1" w:themeTint="A6"/>
          <w:sz w:val="24"/>
          <w:szCs w:val="24"/>
          <w:lang w:eastAsia="it-IT"/>
        </w:rPr>
        <w:t xml:space="preserve">soddisfare i bisogni legati a un differente modo di vivere la propria abitazione, </w:t>
      </w:r>
      <w:r w:rsidRPr="008A74B6">
        <w:rPr>
          <w:rFonts w:ascii="Segoe UI" w:eastAsia="Times New Roman" w:hAnsi="Segoe UI" w:cs="Segoe UI"/>
          <w:i/>
          <w:iCs/>
          <w:color w:val="595959" w:themeColor="text1" w:themeTint="A6"/>
          <w:sz w:val="24"/>
          <w:szCs w:val="24"/>
          <w:lang w:eastAsia="it-IT"/>
        </w:rPr>
        <w:t>in particolare modo</w:t>
      </w:r>
      <w:r w:rsidR="00486E50" w:rsidRPr="008A74B6">
        <w:rPr>
          <w:rFonts w:ascii="Segoe UI" w:eastAsia="Times New Roman" w:hAnsi="Segoe UI" w:cs="Segoe UI"/>
          <w:i/>
          <w:iCs/>
          <w:color w:val="595959" w:themeColor="text1" w:themeTint="A6"/>
          <w:sz w:val="24"/>
          <w:szCs w:val="24"/>
          <w:lang w:eastAsia="it-IT"/>
        </w:rPr>
        <w:t xml:space="preserve"> per </w:t>
      </w:r>
      <w:r w:rsidRPr="008A74B6">
        <w:rPr>
          <w:rFonts w:ascii="Segoe UI" w:eastAsia="Times New Roman" w:hAnsi="Segoe UI" w:cs="Segoe UI"/>
          <w:i/>
          <w:iCs/>
          <w:color w:val="595959" w:themeColor="text1" w:themeTint="A6"/>
          <w:sz w:val="24"/>
          <w:szCs w:val="24"/>
          <w:lang w:eastAsia="it-IT"/>
        </w:rPr>
        <w:t>Millenials e Gen.Z</w:t>
      </w:r>
      <w:r w:rsidR="00486E50" w:rsidRPr="008A74B6">
        <w:rPr>
          <w:rFonts w:ascii="Segoe UI" w:eastAsia="Times New Roman" w:hAnsi="Segoe UI" w:cs="Segoe UI"/>
          <w:i/>
          <w:iCs/>
          <w:color w:val="595959" w:themeColor="text1" w:themeTint="A6"/>
          <w:sz w:val="24"/>
          <w:szCs w:val="24"/>
          <w:lang w:eastAsia="it-IT"/>
        </w:rPr>
        <w:t>. Con questa evoluzione, il residenziale si propone come una nuova asset class per gli investitori istituzionali anche internazionali e, la città di Roma, può offrire interessanti opportunità da sviluppare</w:t>
      </w:r>
      <w:r w:rsidRPr="008A74B6">
        <w:rPr>
          <w:rFonts w:ascii="Segoe UI" w:eastAsia="Times New Roman" w:hAnsi="Segoe UI" w:cs="Segoe UI"/>
          <w:i/>
          <w:iCs/>
          <w:color w:val="595959" w:themeColor="text1" w:themeTint="A6"/>
          <w:sz w:val="24"/>
          <w:szCs w:val="24"/>
          <w:lang w:eastAsia="it-IT"/>
        </w:rPr>
        <w:t xml:space="preserve">” </w:t>
      </w:r>
      <w:r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 xml:space="preserve">precisa </w:t>
      </w:r>
      <w:r w:rsidRPr="008A74B6">
        <w:rPr>
          <w:rFonts w:ascii="Segoe UI" w:eastAsia="Times New Roman" w:hAnsi="Segoe UI" w:cs="Segoe UI"/>
          <w:b/>
          <w:bCs/>
          <w:color w:val="595959" w:themeColor="text1" w:themeTint="A6"/>
          <w:sz w:val="24"/>
          <w:szCs w:val="24"/>
          <w:lang w:eastAsia="it-IT"/>
        </w:rPr>
        <w:t>Enrico Cestari, responsabile Gabetti Home Value.</w:t>
      </w:r>
    </w:p>
    <w:p w:rsidR="00F57270" w:rsidRPr="00F57270" w:rsidRDefault="00F57270" w:rsidP="00F57270">
      <w:pPr>
        <w:jc w:val="center"/>
        <w:rPr>
          <w:rFonts w:ascii="Segoe UI" w:hAnsi="Segoe UI" w:cs="Segoe UI"/>
          <w:b/>
          <w:color w:val="595959" w:themeColor="text1" w:themeTint="A6"/>
          <w:sz w:val="24"/>
          <w:szCs w:val="24"/>
        </w:rPr>
      </w:pPr>
      <w:bookmarkStart w:id="1" w:name="_Toc82524545"/>
      <w:r w:rsidRPr="00F57270">
        <w:rPr>
          <w:rFonts w:ascii="Segoe UI" w:hAnsi="Segoe UI" w:cs="Segoe UI"/>
          <w:b/>
          <w:color w:val="595959" w:themeColor="text1" w:themeTint="A6"/>
          <w:sz w:val="24"/>
          <w:szCs w:val="24"/>
        </w:rPr>
        <w:t>L’OFFERTA DI NUOVE ABITAZIONI: LE AREE DI SVILUPPO DELLA CAPITALE</w:t>
      </w:r>
      <w:bookmarkEnd w:id="1"/>
    </w:p>
    <w:p w:rsidR="00F57270" w:rsidRDefault="00F57270" w:rsidP="00F57270">
      <w:pPr>
        <w:spacing w:after="160"/>
        <w:contextualSpacing/>
        <w:jc w:val="both"/>
        <w:rPr>
          <w:rFonts w:ascii="Segoe UI" w:hAnsi="Segoe UI" w:cs="Segoe UI"/>
          <w:color w:val="595959" w:themeColor="text1" w:themeTint="A6"/>
          <w:sz w:val="24"/>
          <w:szCs w:val="24"/>
        </w:rPr>
      </w:pPr>
      <w:r w:rsidRPr="00F57270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L’analisi ha preso in considerazione circa </w:t>
      </w:r>
      <w:r w:rsidRPr="00F57270">
        <w:rPr>
          <w:rFonts w:ascii="Segoe UI" w:hAnsi="Segoe UI" w:cs="Segoe UI"/>
          <w:b/>
          <w:color w:val="595959" w:themeColor="text1" w:themeTint="A6"/>
          <w:sz w:val="24"/>
          <w:szCs w:val="24"/>
        </w:rPr>
        <w:t>180 iniziative residenziali</w:t>
      </w:r>
      <w:r w:rsidRPr="00F57270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(concluse, in costruzione o ancora allo stato preliminare di progetto), per un totale di oltre </w:t>
      </w:r>
      <w:r w:rsidRPr="00F57270">
        <w:rPr>
          <w:rFonts w:ascii="Segoe UI" w:hAnsi="Segoe UI" w:cs="Segoe UI"/>
          <w:b/>
          <w:bCs/>
          <w:color w:val="595959" w:themeColor="text1" w:themeTint="A6"/>
          <w:sz w:val="24"/>
          <w:szCs w:val="24"/>
        </w:rPr>
        <w:t>20.000</w:t>
      </w:r>
      <w:r w:rsidRPr="00F57270">
        <w:rPr>
          <w:rFonts w:ascii="Segoe UI" w:hAnsi="Segoe UI" w:cs="Segoe UI"/>
          <w:b/>
          <w:color w:val="595959" w:themeColor="text1" w:themeTint="A6"/>
          <w:sz w:val="24"/>
          <w:szCs w:val="24"/>
        </w:rPr>
        <w:t xml:space="preserve"> unità</w:t>
      </w:r>
      <w:r w:rsidRPr="00F57270">
        <w:rPr>
          <w:rFonts w:ascii="Segoe UI" w:hAnsi="Segoe UI" w:cs="Segoe UI"/>
          <w:color w:val="595959" w:themeColor="text1" w:themeTint="A6"/>
          <w:sz w:val="24"/>
          <w:szCs w:val="24"/>
        </w:rPr>
        <w:t>, con l’obiettivo di restituire una fotografia dell’offerta di nuovo in termini di unità per area.</w:t>
      </w:r>
    </w:p>
    <w:p w:rsidR="004513DC" w:rsidRDefault="004513DC" w:rsidP="00F57270">
      <w:pPr>
        <w:spacing w:after="160"/>
        <w:contextualSpacing/>
        <w:jc w:val="both"/>
        <w:rPr>
          <w:rFonts w:ascii="Segoe UI" w:hAnsi="Segoe UI" w:cs="Segoe UI"/>
          <w:color w:val="595959" w:themeColor="text1" w:themeTint="A6"/>
          <w:sz w:val="24"/>
          <w:szCs w:val="24"/>
        </w:rPr>
      </w:pPr>
    </w:p>
    <w:p w:rsidR="004513DC" w:rsidRDefault="004513DC" w:rsidP="004513DC">
      <w:pPr>
        <w:spacing w:after="160"/>
        <w:contextualSpacing/>
        <w:rPr>
          <w:rFonts w:ascii="Segoe UI" w:hAnsi="Segoe UI" w:cs="Segoe UI"/>
          <w:color w:val="595959" w:themeColor="text1" w:themeTint="A6"/>
          <w:sz w:val="24"/>
          <w:szCs w:val="24"/>
        </w:rPr>
      </w:pPr>
      <w:r>
        <w:rPr>
          <w:noProof/>
          <w:lang w:eastAsia="it-IT"/>
        </w:rPr>
        <w:drawing>
          <wp:inline distT="0" distB="0" distL="0" distR="0">
            <wp:extent cx="3043451" cy="2103261"/>
            <wp:effectExtent l="0" t="0" r="508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829" cy="212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</w:t>
      </w:r>
      <w:r>
        <w:rPr>
          <w:noProof/>
          <w:lang w:eastAsia="it-IT"/>
        </w:rPr>
        <w:drawing>
          <wp:inline distT="0" distB="0" distL="0" distR="0">
            <wp:extent cx="2983565" cy="2081145"/>
            <wp:effectExtent l="0" t="0" r="762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256" cy="213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3DC" w:rsidRPr="004513DC" w:rsidRDefault="004513DC" w:rsidP="004513DC">
      <w:pPr>
        <w:spacing w:after="160"/>
        <w:contextualSpacing/>
        <w:jc w:val="center"/>
        <w:rPr>
          <w:rFonts w:ascii="Segoe UI" w:hAnsi="Segoe UI" w:cs="Segoe UI"/>
          <w:i/>
          <w:color w:val="595959" w:themeColor="text1" w:themeTint="A6"/>
          <w:sz w:val="18"/>
          <w:szCs w:val="24"/>
        </w:rPr>
      </w:pPr>
      <w:r w:rsidRPr="004513DC">
        <w:rPr>
          <w:rFonts w:ascii="Segoe UI" w:hAnsi="Segoe UI" w:cs="Segoe UI"/>
          <w:i/>
          <w:color w:val="595959" w:themeColor="text1" w:themeTint="A6"/>
          <w:sz w:val="18"/>
          <w:szCs w:val="24"/>
        </w:rPr>
        <w:t>Elaborazione Ufficio Studi Gabetti</w:t>
      </w:r>
    </w:p>
    <w:p w:rsidR="004513DC" w:rsidRDefault="004513DC" w:rsidP="00F57270">
      <w:pPr>
        <w:spacing w:after="160"/>
        <w:contextualSpacing/>
        <w:jc w:val="both"/>
        <w:rPr>
          <w:rFonts w:ascii="Segoe UI" w:hAnsi="Segoe UI" w:cs="Segoe UI"/>
          <w:color w:val="595959" w:themeColor="text1" w:themeTint="A6"/>
          <w:sz w:val="24"/>
          <w:szCs w:val="24"/>
        </w:rPr>
      </w:pPr>
    </w:p>
    <w:p w:rsidR="004513DC" w:rsidRDefault="004513DC" w:rsidP="00F57270">
      <w:pPr>
        <w:spacing w:after="160"/>
        <w:contextualSpacing/>
        <w:jc w:val="both"/>
        <w:rPr>
          <w:rFonts w:ascii="Segoe UI" w:hAnsi="Segoe UI" w:cs="Segoe UI"/>
          <w:color w:val="595959" w:themeColor="text1" w:themeTint="A6"/>
          <w:sz w:val="24"/>
          <w:szCs w:val="24"/>
        </w:rPr>
      </w:pPr>
    </w:p>
    <w:p w:rsidR="00EF1040" w:rsidRPr="008A74B6" w:rsidRDefault="00F57270" w:rsidP="00F57270">
      <w:pPr>
        <w:spacing w:after="160"/>
        <w:contextualSpacing/>
        <w:jc w:val="both"/>
        <w:rPr>
          <w:rFonts w:ascii="Segoe UI" w:hAnsi="Segoe UI" w:cs="Segoe UI"/>
          <w:color w:val="595959" w:themeColor="text1" w:themeTint="A6"/>
          <w:sz w:val="24"/>
          <w:szCs w:val="24"/>
        </w:rPr>
      </w:pPr>
      <w:r w:rsidRPr="00F57270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Analizzando l’offerta attuale, e che sarà disponibile a seguito degli sviluppi residenziali analizzati, emerge come </w:t>
      </w:r>
      <w:r w:rsidRPr="00F57270">
        <w:rPr>
          <w:rFonts w:ascii="Segoe UI" w:hAnsi="Segoe UI" w:cs="Segoe UI"/>
          <w:b/>
          <w:bCs/>
          <w:color w:val="595959" w:themeColor="text1" w:themeTint="A6"/>
          <w:sz w:val="24"/>
          <w:szCs w:val="24"/>
        </w:rPr>
        <w:t>la zona Portuense si confermi quella con la maggiore concentrazione di nuova edilizia residenziale</w:t>
      </w:r>
      <w:r w:rsidRPr="00F57270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, pari a oltre 3.000 unità: quasi 1.500 in </w:t>
      </w: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progetto, 1.400 in costruzione o in fase di completamento e le restanti 250 concluse. Nella zona si distingue per numero di unità il progetto della </w:t>
      </w:r>
      <w:r w:rsidRPr="008A74B6">
        <w:rPr>
          <w:rFonts w:ascii="Segoe UI" w:hAnsi="Segoe UI" w:cs="Segoe UI"/>
          <w:b/>
          <w:bCs/>
          <w:color w:val="595959" w:themeColor="text1" w:themeTint="A6"/>
          <w:sz w:val="24"/>
          <w:szCs w:val="24"/>
        </w:rPr>
        <w:t>Collina della Muratella</w:t>
      </w: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>, con oltre 1.000 unità.</w:t>
      </w:r>
      <w:r w:rsidR="00EF104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L’accessibilità dell’area, che rimane all’interno del G.R.A</w:t>
      </w:r>
      <w:r w:rsidR="00D425AB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.</w:t>
      </w:r>
      <w:r w:rsidR="00EF104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,</w:t>
      </w:r>
      <w:r w:rsidR="00345A4D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è garantita a livello </w:t>
      </w:r>
      <w:r w:rsidR="00A962F1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sia </w:t>
      </w:r>
      <w:r w:rsidR="00345A4D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di infrastrutture stradali </w:t>
      </w:r>
      <w:r w:rsidR="00A962F1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sia </w:t>
      </w:r>
      <w:r w:rsidR="00EF104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di mezzi pubblici grazie alla presenza di trasporto pubblico in superficie e alla linea ferroviaria (Muratella). </w:t>
      </w:r>
    </w:p>
    <w:p w:rsidR="001B08EF" w:rsidRPr="008A74B6" w:rsidRDefault="001B08EF" w:rsidP="00F57270">
      <w:pPr>
        <w:spacing w:after="160"/>
        <w:contextualSpacing/>
        <w:jc w:val="both"/>
        <w:rPr>
          <w:rFonts w:ascii="Segoe UI" w:hAnsi="Segoe UI" w:cs="Segoe UI"/>
          <w:color w:val="595959" w:themeColor="text1" w:themeTint="A6"/>
          <w:sz w:val="24"/>
          <w:szCs w:val="24"/>
        </w:rPr>
      </w:pPr>
    </w:p>
    <w:p w:rsidR="00564C32" w:rsidRPr="008A74B6" w:rsidRDefault="00F57270" w:rsidP="008A1F1F">
      <w:pPr>
        <w:spacing w:after="160" w:line="240" w:lineRule="auto"/>
        <w:contextualSpacing/>
        <w:jc w:val="both"/>
        <w:rPr>
          <w:rFonts w:ascii="Segoe UI" w:hAnsi="Segoe UI" w:cs="Segoe UI"/>
          <w:color w:val="595959" w:themeColor="text1" w:themeTint="A6"/>
          <w:sz w:val="24"/>
          <w:szCs w:val="24"/>
        </w:rPr>
      </w:pP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A questa si aggiunge la zona </w:t>
      </w:r>
      <w:r w:rsidRPr="008A74B6">
        <w:rPr>
          <w:rFonts w:ascii="Segoe UI" w:hAnsi="Segoe UI" w:cs="Segoe UI"/>
          <w:b/>
          <w:color w:val="595959" w:themeColor="text1" w:themeTint="A6"/>
          <w:sz w:val="24"/>
          <w:szCs w:val="24"/>
        </w:rPr>
        <w:t>Cintura Eur</w:t>
      </w: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>, con quasi 3.000 unità, di cui 1.600 concluse, 750 in costruzione e circa 600 in fase di progetto.</w:t>
      </w:r>
      <w:r w:rsidR="00910A6B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</w:t>
      </w:r>
      <w:r w:rsidR="002878EF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In quest’area, particolarmente </w:t>
      </w:r>
      <w:r w:rsidR="00080934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ambita </w:t>
      </w:r>
      <w:r w:rsidR="002878EF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per la presenza di </w:t>
      </w:r>
      <w:r w:rsidR="00910A6B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uno dei centri direzionali più storici e riconosciuti della città</w:t>
      </w:r>
      <w:r w:rsidR="002D0E67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, è rivolta da anni l’attenzione dell’amministrazione comunale </w:t>
      </w:r>
      <w:r w:rsidR="00D67CC2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nel rendere ancora più attrattivo il distretto dell’Eur a una platea di residenti e visitatori sempre più ampia. </w:t>
      </w:r>
      <w:r w:rsidR="0031236D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L’area, oltre a essere caratterizzata dalla presenza di numerosi spazi per uffici che ospitano sia grandi aziende che operano nel settore terziario, sia numerosi enti pubblici e istituzionali, negli ultimi anni si sta affermando anche come polo congressuale della città. La cintura dell’Eur, </w:t>
      </w:r>
      <w:r w:rsidR="00515F11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situata </w:t>
      </w:r>
      <w:r w:rsidR="00564C32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a sud della città, </w:t>
      </w:r>
      <w:r w:rsidR="00515F11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gode di una particolare posizione strategica </w:t>
      </w:r>
      <w:r w:rsidR="00564C32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sia per la presenza di infrastrutture viarie (quali la via </w:t>
      </w:r>
      <w:r w:rsidR="001B08EF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Cristoforo Colombo</w:t>
      </w:r>
      <w:r w:rsidR="00564C32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, la via Pontina e l’Ostiense</w:t>
      </w:r>
      <w:r w:rsidR="00080934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)</w:t>
      </w:r>
      <w:r w:rsidR="00564C32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che consentono di raggiungere la costa tirrenica laziale in meno di mezz’ora</w:t>
      </w:r>
      <w:r w:rsidR="00910A6B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, sia per la presenza della metropolitana grazie alla quale è possibile </w:t>
      </w:r>
      <w:r w:rsidR="00A962F1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arrivare nel</w:t>
      </w:r>
      <w:r w:rsidR="00910A6B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cent</w:t>
      </w:r>
      <w:r w:rsidR="0031236D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r</w:t>
      </w:r>
      <w:r w:rsidR="00910A6B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o di Roma anche qui in meno di mezz’ora. </w:t>
      </w:r>
    </w:p>
    <w:p w:rsidR="00F57270" w:rsidRPr="008A74B6" w:rsidRDefault="00F57270" w:rsidP="00F57270">
      <w:pPr>
        <w:spacing w:after="160"/>
        <w:contextualSpacing/>
        <w:rPr>
          <w:rFonts w:ascii="Segoe UI" w:hAnsi="Segoe UI" w:cs="Segoe UI"/>
          <w:color w:val="595959" w:themeColor="text1" w:themeTint="A6"/>
          <w:sz w:val="24"/>
          <w:szCs w:val="24"/>
        </w:rPr>
      </w:pPr>
    </w:p>
    <w:p w:rsidR="00D63FB2" w:rsidRPr="008A74B6" w:rsidRDefault="00D63FB2" w:rsidP="00F57270">
      <w:pPr>
        <w:spacing w:before="0" w:after="160" w:line="240" w:lineRule="auto"/>
        <w:contextualSpacing/>
        <w:jc w:val="both"/>
        <w:rPr>
          <w:rFonts w:ascii="Segoe UI" w:hAnsi="Segoe UI" w:cs="Segoe UI"/>
          <w:color w:val="595959" w:themeColor="text1" w:themeTint="A6"/>
          <w:sz w:val="24"/>
          <w:szCs w:val="24"/>
        </w:rPr>
      </w:pP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>Tra le zone di sviluppo si segnalano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la </w:t>
      </w: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zona </w:t>
      </w:r>
      <w:r w:rsidR="00F57270" w:rsidRPr="008A74B6">
        <w:rPr>
          <w:rFonts w:ascii="Segoe UI" w:hAnsi="Segoe UI" w:cs="Segoe UI"/>
          <w:b/>
          <w:color w:val="595959" w:themeColor="text1" w:themeTint="A6"/>
          <w:sz w:val="24"/>
          <w:szCs w:val="24"/>
        </w:rPr>
        <w:t>Tiburtina,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con circa 1.900 unità, di cui quasi 870 in completamento, oltre 800 concluse e oltre 200 in fase progettuale. </w:t>
      </w: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>P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er numero di unità</w:t>
      </w: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, si distinguono 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l’intervento concluso </w:t>
      </w:r>
      <w:r w:rsidR="00F57270" w:rsidRPr="008A74B6">
        <w:rPr>
          <w:rFonts w:ascii="Segoe UI" w:hAnsi="Segoe UI" w:cs="Segoe UI"/>
          <w:b/>
          <w:color w:val="595959" w:themeColor="text1" w:themeTint="A6"/>
          <w:sz w:val="24"/>
          <w:szCs w:val="24"/>
        </w:rPr>
        <w:t>Domus Placidia</w:t>
      </w:r>
      <w:r w:rsidRPr="008A74B6">
        <w:rPr>
          <w:rFonts w:ascii="Segoe UI" w:hAnsi="Segoe UI" w:cs="Segoe UI"/>
          <w:b/>
          <w:color w:val="595959" w:themeColor="text1" w:themeTint="A6"/>
          <w:sz w:val="24"/>
          <w:szCs w:val="24"/>
        </w:rPr>
        <w:t xml:space="preserve"> </w:t>
      </w: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>(540)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, oltre a quello di </w:t>
      </w:r>
      <w:r w:rsidR="00F57270" w:rsidRPr="008A74B6">
        <w:rPr>
          <w:rFonts w:ascii="Segoe UI" w:hAnsi="Segoe UI" w:cs="Segoe UI"/>
          <w:b/>
          <w:bCs/>
          <w:color w:val="595959" w:themeColor="text1" w:themeTint="A6"/>
          <w:sz w:val="24"/>
          <w:szCs w:val="24"/>
        </w:rPr>
        <w:t>Tor Cervara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in completamento</w:t>
      </w: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. </w:t>
      </w:r>
      <w:r w:rsidR="000F5B0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Oltre </w:t>
      </w:r>
      <w:r w:rsidR="00373AD6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alla buona connessione dell’area con il resto della città e il territorio regionale</w:t>
      </w:r>
      <w:r w:rsidR="00A962F1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(</w:t>
      </w:r>
      <w:r w:rsidR="00373AD6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grazie alla metropolitana e ai numerosi treni regionali</w:t>
      </w:r>
      <w:r w:rsidR="00A962F1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)</w:t>
      </w:r>
      <w:r w:rsidR="00373AD6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e alla presenza di soluzioni abitative con un interessante rapporto qualità prezzo che </w:t>
      </w:r>
      <w:r w:rsidR="00080934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rendono</w:t>
      </w:r>
      <w:r w:rsidR="00373AD6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l’area in oggetto particolarmente attrattiva, la Tiburtina è interessata da un</w:t>
      </w:r>
      <w:r w:rsidR="00F858FE" w:rsidRPr="008A74B6">
        <w:rPr>
          <w:rFonts w:ascii="Arial" w:hAnsi="Arial" w:cs="Arial"/>
          <w:color w:val="595959" w:themeColor="text1" w:themeTint="A6"/>
          <w:sz w:val="24"/>
          <w:szCs w:val="24"/>
        </w:rPr>
        <w:t>’</w:t>
      </w:r>
      <w:r w:rsidR="00F858FE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iniziativa</w:t>
      </w:r>
      <w:r w:rsidR="00373AD6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avveniristic</w:t>
      </w:r>
      <w:r w:rsidR="00F858FE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a</w:t>
      </w:r>
      <w:r w:rsidR="00373AD6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che rivoluzionerà l’intero l’assetto urbanistico ed economico. Si tratta di una proposta di variante urbanistica per il progetto di un nuovo quartiere ispirato al modello dell’ar</w:t>
      </w:r>
      <w:r w:rsidR="00F858FE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e</w:t>
      </w:r>
      <w:r w:rsidR="00373AD6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a di Porta Garibaldi a Milano o de</w:t>
      </w:r>
      <w:r w:rsidR="00A962F1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La</w:t>
      </w:r>
      <w:r w:rsidR="00373AD6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D</w:t>
      </w:r>
      <w:r w:rsidR="00A962F1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é</w:t>
      </w:r>
      <w:r w:rsidR="00373AD6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fense di Parigi</w:t>
      </w:r>
      <w:r w:rsidR="00080934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,</w:t>
      </w:r>
      <w:r w:rsidR="000463F6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con l’idea di dotare la città di un nuovo centro direzionale avente come fulcro il piano di assetto della stazione </w:t>
      </w:r>
      <w:r w:rsidR="00080934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T</w:t>
      </w:r>
      <w:r w:rsidR="000463F6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iburti</w:t>
      </w:r>
      <w:r w:rsidR="00D67CC2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na. </w:t>
      </w:r>
    </w:p>
    <w:p w:rsidR="00D63FB2" w:rsidRPr="008A74B6" w:rsidRDefault="00D63FB2" w:rsidP="00F57270">
      <w:pPr>
        <w:spacing w:before="0" w:after="160" w:line="240" w:lineRule="auto"/>
        <w:contextualSpacing/>
        <w:jc w:val="both"/>
        <w:rPr>
          <w:rFonts w:ascii="Segoe UI" w:hAnsi="Segoe UI" w:cs="Segoe UI"/>
          <w:color w:val="595959" w:themeColor="text1" w:themeTint="A6"/>
          <w:sz w:val="24"/>
          <w:szCs w:val="24"/>
        </w:rPr>
      </w:pPr>
    </w:p>
    <w:p w:rsidR="00D63FB2" w:rsidRPr="008A74B6" w:rsidRDefault="00D63FB2" w:rsidP="00F57270">
      <w:pPr>
        <w:spacing w:before="0" w:after="160" w:line="240" w:lineRule="auto"/>
        <w:contextualSpacing/>
        <w:jc w:val="both"/>
        <w:rPr>
          <w:rFonts w:ascii="Segoe UI" w:hAnsi="Segoe UI" w:cs="Segoe UI"/>
          <w:color w:val="595959" w:themeColor="text1" w:themeTint="A6"/>
          <w:sz w:val="24"/>
          <w:szCs w:val="24"/>
        </w:rPr>
      </w:pPr>
    </w:p>
    <w:p w:rsidR="004E2A84" w:rsidRPr="008A74B6" w:rsidRDefault="00D63FB2" w:rsidP="00F57270">
      <w:pPr>
        <w:spacing w:before="0" w:after="160" w:line="240" w:lineRule="auto"/>
        <w:contextualSpacing/>
        <w:jc w:val="both"/>
        <w:rPr>
          <w:rFonts w:ascii="Segoe UI" w:hAnsi="Segoe UI" w:cs="Segoe UI"/>
          <w:color w:val="595959" w:themeColor="text1" w:themeTint="A6"/>
          <w:sz w:val="24"/>
          <w:szCs w:val="24"/>
        </w:rPr>
      </w:pP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>Invece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</w:t>
      </w:r>
      <w:r w:rsidR="00F57270" w:rsidRPr="008A74B6">
        <w:rPr>
          <w:rFonts w:ascii="Segoe UI" w:hAnsi="Segoe UI" w:cs="Segoe UI"/>
          <w:b/>
          <w:color w:val="595959" w:themeColor="text1" w:themeTint="A6"/>
          <w:sz w:val="24"/>
          <w:szCs w:val="24"/>
        </w:rPr>
        <w:t>l’Asse Colombo – Ostiense – Litorale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con oltre 1.700 unità, di cui oltre il 50% in fase di progetto, il 40% in costruzione e il 10% concluso</w:t>
      </w:r>
      <w:r w:rsidR="004E2A84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si presenta come l’area di connessione tra Roma e il mare. 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Si segnalano tra questi l’iniziativa </w:t>
      </w:r>
      <w:r w:rsidR="00F57270" w:rsidRPr="008A74B6">
        <w:rPr>
          <w:rFonts w:ascii="Segoe UI" w:hAnsi="Segoe UI" w:cs="Segoe UI"/>
          <w:b/>
          <w:color w:val="595959" w:themeColor="text1" w:themeTint="A6"/>
          <w:sz w:val="24"/>
          <w:szCs w:val="24"/>
        </w:rPr>
        <w:t>Giardino di Roma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(900 unità complessive) e di </w:t>
      </w:r>
      <w:r w:rsidR="00F57270" w:rsidRPr="008A74B6">
        <w:rPr>
          <w:rFonts w:ascii="Segoe UI" w:hAnsi="Segoe UI" w:cs="Segoe UI"/>
          <w:b/>
          <w:color w:val="595959" w:themeColor="text1" w:themeTint="A6"/>
          <w:sz w:val="24"/>
          <w:szCs w:val="24"/>
        </w:rPr>
        <w:t>Parco Leonardo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(situato nel Comune di Fiumicino) che vede 160 unità in 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lastRenderedPageBreak/>
        <w:t>costruzione e 92 concluse in fase di commercializzazione.</w:t>
      </w:r>
      <w:r w:rsidR="0031236D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 L’area</w:t>
      </w:r>
      <w:r w:rsidR="00165BBF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è caratterizzata anche dalla presenza del polo fieristico Nuova Fiera di Roma, in prossimità di Parco Leonardo</w:t>
      </w:r>
      <w:r w:rsidR="00FC6FBF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e dal vicino aeroporto di Fiumicino.</w:t>
      </w:r>
      <w:r w:rsidR="00165BBF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 </w:t>
      </w:r>
    </w:p>
    <w:p w:rsidR="004E2A84" w:rsidRPr="008A74B6" w:rsidRDefault="004E2A84" w:rsidP="00F57270">
      <w:pPr>
        <w:spacing w:before="0" w:after="160" w:line="240" w:lineRule="auto"/>
        <w:contextualSpacing/>
        <w:jc w:val="both"/>
        <w:rPr>
          <w:rFonts w:ascii="Segoe UI" w:hAnsi="Segoe UI" w:cs="Segoe UI"/>
          <w:color w:val="595959" w:themeColor="text1" w:themeTint="A6"/>
          <w:sz w:val="24"/>
          <w:szCs w:val="24"/>
        </w:rPr>
      </w:pPr>
    </w:p>
    <w:p w:rsidR="00F57270" w:rsidRPr="008A74B6" w:rsidRDefault="00F57270" w:rsidP="00F57270">
      <w:pPr>
        <w:spacing w:before="0" w:after="160" w:line="240" w:lineRule="auto"/>
        <w:contextualSpacing/>
        <w:jc w:val="both"/>
        <w:rPr>
          <w:rFonts w:ascii="Segoe UI" w:hAnsi="Segoe UI" w:cs="Segoe UI"/>
          <w:color w:val="595959" w:themeColor="text1" w:themeTint="A6"/>
          <w:sz w:val="24"/>
          <w:szCs w:val="24"/>
        </w:rPr>
      </w:pP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Da segnalare anche la zona </w:t>
      </w:r>
      <w:r w:rsidRPr="008A74B6">
        <w:rPr>
          <w:rFonts w:ascii="Segoe UI" w:hAnsi="Segoe UI" w:cs="Segoe UI"/>
          <w:b/>
          <w:color w:val="595959" w:themeColor="text1" w:themeTint="A6"/>
          <w:sz w:val="24"/>
          <w:szCs w:val="24"/>
        </w:rPr>
        <w:t>Salaria</w:t>
      </w: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>, con quasi 1.700 unità, di cui oltre 600 già concluse, 860 in costruzione e oltre 200 in fase di progetto.</w:t>
      </w:r>
      <w:r w:rsidR="00325638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</w:t>
      </w:r>
      <w:r w:rsidR="009E1D84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Questa zona, che dal quartiere IV Salario s</w:t>
      </w:r>
      <w:r w:rsidR="00165BBF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i</w:t>
      </w:r>
      <w:r w:rsidR="009E1D84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estende fino alla circonvallazione Salaria e delimitata dalla via Salaria </w:t>
      </w:r>
      <w:r w:rsidR="00165BBF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e dalla nuova circonvallazione interna nel quartiere Nomentano, è caratterizzat</w:t>
      </w:r>
      <w:r w:rsidR="00AA6B47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a</w:t>
      </w:r>
      <w:r w:rsidR="00165BBF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dalla presenze di numerosi spazi verdi (fra cui Villa Torlonia e Villa Ada che è il quarto più grande parco pubblico di Roma) </w:t>
      </w:r>
      <w:r w:rsidR="00AA6B47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, </w:t>
      </w:r>
      <w:r w:rsidR="00165BBF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di quattro stazioni della metropolitana che coprono sufficientemente tutta la macro-zona Salaria-Nomentana-Trieste e da due grandi vial</w:t>
      </w:r>
      <w:r w:rsidR="00AA6B47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i</w:t>
      </w:r>
      <w:r w:rsidR="00165BBF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di scorrimento (via Salaria e via Nomentana) che dal centro di Roma raggiungono il G.R.A a Nord-Est.</w:t>
      </w:r>
    </w:p>
    <w:p w:rsidR="00F57270" w:rsidRPr="00345A4D" w:rsidRDefault="00F57270" w:rsidP="00F57270">
      <w:pPr>
        <w:spacing w:before="0" w:after="160" w:line="240" w:lineRule="auto"/>
        <w:contextualSpacing/>
        <w:jc w:val="both"/>
        <w:rPr>
          <w:rFonts w:ascii="Segoe UI" w:hAnsi="Segoe UI" w:cs="Segoe UI"/>
          <w:sz w:val="24"/>
          <w:szCs w:val="24"/>
        </w:rPr>
      </w:pPr>
    </w:p>
    <w:p w:rsidR="00F57270" w:rsidRPr="008A74B6" w:rsidRDefault="00F57270" w:rsidP="00F57270">
      <w:pPr>
        <w:spacing w:before="0" w:line="240" w:lineRule="auto"/>
        <w:jc w:val="both"/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</w:pPr>
      <w:r w:rsidRPr="008A74B6">
        <w:rPr>
          <w:rFonts w:ascii="Segoe UI" w:eastAsia="Times New Roman" w:hAnsi="Segoe UI" w:cs="Segoe UI"/>
          <w:bCs/>
          <w:color w:val="595959" w:themeColor="text1" w:themeTint="A6"/>
          <w:sz w:val="24"/>
          <w:szCs w:val="24"/>
          <w:lang w:eastAsia="it-IT"/>
        </w:rPr>
        <w:t xml:space="preserve">Significativo lo sviluppo della zona di </w:t>
      </w:r>
      <w:r w:rsidRPr="008A74B6">
        <w:rPr>
          <w:rFonts w:ascii="Segoe UI" w:eastAsia="Times New Roman" w:hAnsi="Segoe UI" w:cs="Segoe UI"/>
          <w:b/>
          <w:bCs/>
          <w:color w:val="595959" w:themeColor="text1" w:themeTint="A6"/>
          <w:sz w:val="24"/>
          <w:szCs w:val="24"/>
          <w:lang w:eastAsia="it-IT"/>
        </w:rPr>
        <w:t>Montagnola</w:t>
      </w:r>
      <w:r w:rsidRPr="008A74B6">
        <w:rPr>
          <w:rFonts w:ascii="Segoe UI" w:eastAsia="Times New Roman" w:hAnsi="Segoe UI" w:cs="Segoe UI"/>
          <w:bCs/>
          <w:color w:val="595959" w:themeColor="text1" w:themeTint="A6"/>
          <w:sz w:val="24"/>
          <w:szCs w:val="24"/>
          <w:lang w:eastAsia="it-IT"/>
        </w:rPr>
        <w:t xml:space="preserve"> - </w:t>
      </w:r>
      <w:r w:rsidRPr="008A74B6">
        <w:rPr>
          <w:rFonts w:ascii="Segoe UI" w:eastAsia="Times New Roman" w:hAnsi="Segoe UI" w:cs="Segoe UI"/>
          <w:b/>
          <w:bCs/>
          <w:color w:val="595959" w:themeColor="text1" w:themeTint="A6"/>
          <w:sz w:val="24"/>
          <w:szCs w:val="24"/>
          <w:lang w:eastAsia="it-IT"/>
        </w:rPr>
        <w:t>Grotta Perfetta</w:t>
      </w:r>
      <w:r w:rsidRPr="008A74B6">
        <w:rPr>
          <w:rFonts w:ascii="Segoe UI" w:eastAsia="Times New Roman" w:hAnsi="Segoe UI" w:cs="Segoe UI"/>
          <w:bCs/>
          <w:color w:val="595959" w:themeColor="text1" w:themeTint="A6"/>
          <w:sz w:val="24"/>
          <w:szCs w:val="24"/>
          <w:lang w:eastAsia="it-IT"/>
        </w:rPr>
        <w:t>, che vede un totale di oltre 1.000 nuove unità di cui circa il 20% concluso e il restante 80% in costruzione/completamento. L’area compresa tra via di Grotta Perfetta, via Berto e via Giana Anguissola vede in questo momento l’interesse di diversi operatori.</w:t>
      </w:r>
    </w:p>
    <w:p w:rsidR="00F57270" w:rsidRPr="008A74B6" w:rsidRDefault="00F57270" w:rsidP="00F57270">
      <w:pPr>
        <w:jc w:val="both"/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</w:pPr>
      <w:r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 xml:space="preserve">Anche la zona </w:t>
      </w:r>
      <w:r w:rsidRPr="008A74B6"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  <w:lang w:eastAsia="it-IT"/>
        </w:rPr>
        <w:t>Aurelio</w:t>
      </w:r>
      <w:r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 xml:space="preserve"> vede oltre 900 unità totali, di cui 500 concluse/in completamento. Da segnalare il progetto della </w:t>
      </w:r>
      <w:r w:rsidRPr="008A74B6"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  <w:lang w:eastAsia="it-IT"/>
        </w:rPr>
        <w:t>Stazione Aurelia</w:t>
      </w:r>
      <w:r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 xml:space="preserve"> (348 unità) e di </w:t>
      </w:r>
      <w:r w:rsidRPr="008A74B6"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  <w:lang w:eastAsia="it-IT"/>
        </w:rPr>
        <w:t>Bogliasco</w:t>
      </w:r>
      <w:r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 xml:space="preserve"> (84 unità) del Gruppo Marronaro; Aurelia Green Park, seconda fase (190 unità) le residenze Aldobrandeschi di via Riva Ligure, di FinGM (160 unità); l’intervento di pregio “I Giardini di Aurelia Antica” (73 unità).</w:t>
      </w:r>
    </w:p>
    <w:p w:rsidR="00F57270" w:rsidRPr="008A74B6" w:rsidRDefault="00F57270" w:rsidP="00F57270">
      <w:pPr>
        <w:jc w:val="both"/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</w:pPr>
      <w:r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 xml:space="preserve">A Roma Sud, la zona </w:t>
      </w:r>
      <w:r w:rsidRPr="008A74B6"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  <w:lang w:eastAsia="it-IT"/>
        </w:rPr>
        <w:t>Fonte Laurentina</w:t>
      </w:r>
      <w:r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 xml:space="preserve"> vede oltre 830 unità di cui circa 350 concluse da parte del Gruppo Caltagirone (I Tigli, i Larici e i Salici) e il già citato intervento concluso promosso da Investire Sgr di </w:t>
      </w:r>
      <w:r w:rsidRPr="008A74B6"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  <w:lang w:eastAsia="it-IT"/>
        </w:rPr>
        <w:t xml:space="preserve">via Luigi de Marchi </w:t>
      </w:r>
      <w:r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>(486 unità).</w:t>
      </w:r>
    </w:p>
    <w:p w:rsidR="00F57270" w:rsidRPr="008A74B6" w:rsidRDefault="00F57270" w:rsidP="00F57270">
      <w:pPr>
        <w:jc w:val="both"/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</w:pPr>
      <w:r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 xml:space="preserve">La zona di </w:t>
      </w:r>
      <w:r w:rsidRPr="008A74B6"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  <w:lang w:eastAsia="it-IT"/>
        </w:rPr>
        <w:t>Casal Boccone</w:t>
      </w:r>
      <w:r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 xml:space="preserve"> vede coinvolto in modo significativo Impreme S.p.A. con circa 320 unità in costruzione (Rione rinascimento Terzo "Le Dalie", "Gli Astri" oltre a Residenze Armonia) e Consorzio AIC, con un’iniziativa già conclusa (Parco Talenti) di circa 90 unità. </w:t>
      </w:r>
    </w:p>
    <w:p w:rsidR="00F57270" w:rsidRPr="008A74B6" w:rsidRDefault="00F57270" w:rsidP="00F57270">
      <w:pPr>
        <w:spacing w:after="160"/>
        <w:contextualSpacing/>
        <w:jc w:val="both"/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</w:pPr>
      <w:r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>La zona</w:t>
      </w:r>
      <w:r w:rsidRPr="008A74B6"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  <w:lang w:eastAsia="it-IT"/>
        </w:rPr>
        <w:t xml:space="preserve"> Giuliano – Dalmata </w:t>
      </w:r>
      <w:r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>vede circa 900 unità, di cui 560 concluse e 340 in costruzione.</w:t>
      </w:r>
      <w:r w:rsidR="0071234D"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 xml:space="preserve"> </w:t>
      </w:r>
      <w:r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>Spiccano per numero di unità</w:t>
      </w:r>
      <w:r w:rsidRPr="008A74B6"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  <w:lang w:eastAsia="it-IT"/>
        </w:rPr>
        <w:t xml:space="preserve"> l’iniziativa di Colle della Strega, </w:t>
      </w:r>
      <w:r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>in costruzione e quella</w:t>
      </w:r>
      <w:r w:rsidRPr="008A74B6"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  <w:lang w:eastAsia="it-IT"/>
        </w:rPr>
        <w:t xml:space="preserve"> di via della Cecchignola </w:t>
      </w:r>
      <w:r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>già conclusa.</w:t>
      </w:r>
    </w:p>
    <w:p w:rsidR="00F57270" w:rsidRPr="008A74B6" w:rsidRDefault="00F57270" w:rsidP="00F57270">
      <w:pPr>
        <w:spacing w:after="160"/>
        <w:contextualSpacing/>
        <w:jc w:val="both"/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  <w:u w:val="single"/>
          <w:lang w:eastAsia="it-IT"/>
        </w:rPr>
      </w:pPr>
    </w:p>
    <w:p w:rsidR="00F57270" w:rsidRPr="008A74B6" w:rsidRDefault="00F57270" w:rsidP="00F57270">
      <w:pPr>
        <w:spacing w:after="160"/>
        <w:contextualSpacing/>
        <w:jc w:val="both"/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  <w:lang w:eastAsia="it-IT"/>
        </w:rPr>
      </w:pPr>
      <w:r w:rsidRPr="008A74B6"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  <w:lang w:eastAsia="it-IT"/>
        </w:rPr>
        <w:t xml:space="preserve">A Roma Nord </w:t>
      </w:r>
      <w:r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 xml:space="preserve">si segnala la zona di </w:t>
      </w:r>
      <w:r w:rsidRPr="008A74B6"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  <w:lang w:eastAsia="it-IT"/>
        </w:rPr>
        <w:t xml:space="preserve">Castelluccia </w:t>
      </w:r>
      <w:r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>con circa 750 unità. Tra queste si segnala l’iniziativa Rea Silvia in completamento) e il Progetto Roma Nord di CMB in costruzione.</w:t>
      </w:r>
    </w:p>
    <w:p w:rsidR="00F57270" w:rsidRPr="008A74B6" w:rsidRDefault="00F57270" w:rsidP="00F57270">
      <w:pPr>
        <w:spacing w:after="160"/>
        <w:contextualSpacing/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  <w:u w:val="single"/>
          <w:lang w:eastAsia="it-IT"/>
        </w:rPr>
      </w:pPr>
    </w:p>
    <w:p w:rsidR="00F57270" w:rsidRPr="008A74B6" w:rsidRDefault="00F57270" w:rsidP="00F57270">
      <w:pPr>
        <w:spacing w:after="160" w:line="360" w:lineRule="auto"/>
        <w:jc w:val="center"/>
        <w:rPr>
          <w:rFonts w:ascii="Segoe UI" w:hAnsi="Segoe UI" w:cs="Segoe UI"/>
          <w:b/>
          <w:bCs/>
          <w:color w:val="595959" w:themeColor="text1" w:themeTint="A6"/>
          <w:sz w:val="24"/>
          <w:szCs w:val="24"/>
        </w:rPr>
      </w:pPr>
      <w:r w:rsidRPr="008A74B6">
        <w:rPr>
          <w:rFonts w:ascii="Segoe UI" w:hAnsi="Segoe UI" w:cs="Segoe UI"/>
          <w:b/>
          <w:bCs/>
          <w:color w:val="595959" w:themeColor="text1" w:themeTint="A6"/>
          <w:sz w:val="24"/>
          <w:szCs w:val="24"/>
        </w:rPr>
        <w:t>INTERVENTI DI PREGIO</w:t>
      </w:r>
    </w:p>
    <w:p w:rsidR="00F57270" w:rsidRPr="008A74B6" w:rsidRDefault="004513DC" w:rsidP="00F57270">
      <w:pPr>
        <w:jc w:val="both"/>
        <w:rPr>
          <w:rFonts w:ascii="Segoe UI" w:hAnsi="Segoe UI" w:cs="Segoe UI"/>
          <w:color w:val="595959" w:themeColor="text1" w:themeTint="A6"/>
          <w:sz w:val="24"/>
          <w:szCs w:val="24"/>
        </w:rPr>
      </w:pPr>
      <w:r w:rsidRPr="008A74B6">
        <w:rPr>
          <w:noProof/>
          <w:color w:val="595959" w:themeColor="text1" w:themeTint="A6"/>
          <w:lang w:eastAsia="it-IT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33532</wp:posOffset>
            </wp:positionH>
            <wp:positionV relativeFrom="margin">
              <wp:posOffset>443230</wp:posOffset>
            </wp:positionV>
            <wp:extent cx="2389192" cy="2872849"/>
            <wp:effectExtent l="0" t="0" r="0" b="3810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192" cy="2872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Tra le iniziative mappate, sono state individuate 27 iniziative di pregio, di cui 18 concluse, 5 in costruzione e 4 progettualità. Si tratta per il 60% circa di interventi di nuova costruzione e del 40% di interventi di riqualificazione di edifici esistenti. Risultano circa 1.100 unità concluse e 180 in costruzione</w:t>
      </w:r>
      <w:r w:rsidR="00F858FE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.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</w:t>
      </w:r>
      <w:r w:rsidR="00F858FE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P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er quanto riguarda i progetti, al momento si stimano circa 240 unità (corrispondenti solo a tre delle iniziative). A livello di prezzi, la media risultante dalle iniziative analizzate (dove disponibile il valore) è di circa 7.700 euro al mq.</w:t>
      </w:r>
    </w:p>
    <w:p w:rsidR="00F57270" w:rsidRPr="008A74B6" w:rsidRDefault="00F57270" w:rsidP="00F57270">
      <w:pPr>
        <w:spacing w:after="160"/>
        <w:jc w:val="both"/>
        <w:rPr>
          <w:rFonts w:ascii="Segoe UI" w:hAnsi="Segoe UI" w:cs="Segoe UI"/>
          <w:color w:val="595959" w:themeColor="text1" w:themeTint="A6"/>
          <w:sz w:val="24"/>
          <w:szCs w:val="24"/>
        </w:rPr>
      </w:pP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Tra gli interventi conclusi più rilevanti, in termini di numero di unità, si segnala in zona Eur quello di </w:t>
      </w:r>
      <w:r w:rsidRPr="008A74B6">
        <w:rPr>
          <w:rFonts w:ascii="Segoe UI" w:hAnsi="Segoe UI" w:cs="Segoe UI"/>
          <w:b/>
          <w:color w:val="595959" w:themeColor="text1" w:themeTint="A6"/>
          <w:sz w:val="24"/>
          <w:szCs w:val="24"/>
        </w:rPr>
        <w:t>Eurosky</w:t>
      </w: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>, in via Ribotta, per un totale di oltre 300 unità</w:t>
      </w:r>
      <w:r w:rsidR="00F858FE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:</w:t>
      </w: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gestito da Silver Fir Capital Sgr, propone un modello di abitazione contemporaneo, basato sul concetto di ampi spazi aperti e ambienti comunicanti, nell’ambito di uno sviluppo verticale di 28 piani, progettato dall’architetto Franco Purini.</w:t>
      </w:r>
    </w:p>
    <w:p w:rsidR="00F57270" w:rsidRPr="008A74B6" w:rsidRDefault="00F57270" w:rsidP="00F57270">
      <w:pPr>
        <w:spacing w:after="160"/>
        <w:jc w:val="both"/>
        <w:rPr>
          <w:rFonts w:ascii="Segoe UI" w:hAnsi="Segoe UI" w:cs="Segoe UI"/>
          <w:color w:val="595959" w:themeColor="text1" w:themeTint="A6"/>
          <w:sz w:val="24"/>
          <w:szCs w:val="24"/>
        </w:rPr>
      </w:pP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In zona Ostiense, si segnala l’intervento di </w:t>
      </w:r>
      <w:r w:rsidRPr="008A74B6">
        <w:rPr>
          <w:rFonts w:ascii="Segoe UI" w:hAnsi="Segoe UI" w:cs="Segoe UI"/>
          <w:b/>
          <w:color w:val="595959" w:themeColor="text1" w:themeTint="A6"/>
          <w:sz w:val="24"/>
          <w:szCs w:val="24"/>
        </w:rPr>
        <w:t xml:space="preserve">Porto Fluviale 71 </w:t>
      </w: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>(185 unità), realizzato da Nessi &amp; Maiocchi. L’area di sviluppo riqualifica una superficie complessiva di circa 8.000 mq. Altra iniziativa da segnalare</w:t>
      </w:r>
      <w:r w:rsidR="006F6052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</w:t>
      </w: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come riqualificazione dell’esistente (tre edifici, in passato sede di BNL), è quella di </w:t>
      </w:r>
      <w:r w:rsidRPr="008A74B6">
        <w:rPr>
          <w:rFonts w:ascii="Segoe UI" w:hAnsi="Segoe UI" w:cs="Segoe UI"/>
          <w:b/>
          <w:color w:val="595959" w:themeColor="text1" w:themeTint="A6"/>
          <w:sz w:val="24"/>
          <w:szCs w:val="24"/>
        </w:rPr>
        <w:t>Domus Aventino</w:t>
      </w: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che conta circa 200 unità, per un totale di tre edifici. In </w:t>
      </w:r>
      <w:r w:rsidRPr="008A74B6">
        <w:rPr>
          <w:rFonts w:ascii="Segoe UI" w:hAnsi="Segoe UI" w:cs="Segoe UI"/>
          <w:b/>
          <w:color w:val="595959" w:themeColor="text1" w:themeTint="A6"/>
          <w:sz w:val="24"/>
          <w:szCs w:val="24"/>
        </w:rPr>
        <w:t>Piazza dei Navigatori</w:t>
      </w: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è prevista </w:t>
      </w:r>
      <w:r w:rsidR="006F6052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invece </w:t>
      </w: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>la realizzazione di oltre 100 unità</w:t>
      </w:r>
      <w:r w:rsidR="006F6052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.</w:t>
      </w:r>
    </w:p>
    <w:p w:rsidR="00B76BF9" w:rsidRPr="008A74B6" w:rsidRDefault="00B76BF9" w:rsidP="00F57270">
      <w:pPr>
        <w:spacing w:after="160"/>
        <w:jc w:val="both"/>
        <w:rPr>
          <w:rFonts w:ascii="Segoe UI" w:hAnsi="Segoe UI" w:cs="Segoe UI"/>
          <w:color w:val="595959" w:themeColor="text1" w:themeTint="A6"/>
          <w:sz w:val="24"/>
          <w:szCs w:val="24"/>
        </w:rPr>
      </w:pPr>
    </w:p>
    <w:p w:rsidR="00F57270" w:rsidRPr="008A74B6" w:rsidRDefault="00F57270" w:rsidP="00F57270">
      <w:pPr>
        <w:spacing w:after="160"/>
        <w:contextualSpacing/>
        <w:jc w:val="center"/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  <w:lang w:eastAsia="it-IT"/>
        </w:rPr>
      </w:pPr>
      <w:r w:rsidRPr="008A74B6"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  <w:lang w:eastAsia="it-IT"/>
        </w:rPr>
        <w:t>AREE DI PROSSIMO SVILUPPO</w:t>
      </w:r>
    </w:p>
    <w:p w:rsidR="00F57270" w:rsidRPr="008A74B6" w:rsidRDefault="00F57270" w:rsidP="00F57270">
      <w:pPr>
        <w:spacing w:after="160"/>
        <w:contextualSpacing/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  <w:lang w:eastAsia="it-IT"/>
        </w:rPr>
      </w:pPr>
    </w:p>
    <w:p w:rsidR="00F57270" w:rsidRPr="008A74B6" w:rsidRDefault="00246A7A" w:rsidP="00F57270">
      <w:pPr>
        <w:spacing w:after="160"/>
        <w:contextualSpacing/>
        <w:jc w:val="both"/>
        <w:rPr>
          <w:rFonts w:ascii="Segoe UI" w:eastAsia="Times New Roman" w:hAnsi="Segoe UI" w:cs="Segoe UI"/>
          <w:b/>
          <w:i/>
          <w:color w:val="595959" w:themeColor="text1" w:themeTint="A6"/>
          <w:sz w:val="24"/>
          <w:szCs w:val="24"/>
          <w:lang w:eastAsia="it-IT"/>
        </w:rPr>
      </w:pPr>
      <w:r w:rsidRPr="008A74B6">
        <w:rPr>
          <w:noProof/>
          <w:color w:val="595959" w:themeColor="text1" w:themeTint="A6"/>
          <w:lang w:eastAsia="it-IT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margin">
              <wp:posOffset>-41133</wp:posOffset>
            </wp:positionH>
            <wp:positionV relativeFrom="margin">
              <wp:align>bottom</wp:align>
            </wp:positionV>
            <wp:extent cx="1757584" cy="1716947"/>
            <wp:effectExtent l="0" t="0" r="0" b="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584" cy="1716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270" w:rsidRPr="008A74B6">
        <w:rPr>
          <w:rFonts w:ascii="Segoe UI" w:eastAsia="Times New Roman" w:hAnsi="Segoe UI" w:cs="Segoe UI"/>
          <w:b/>
          <w:iCs/>
          <w:color w:val="595959" w:themeColor="text1" w:themeTint="A6"/>
          <w:sz w:val="24"/>
          <w:szCs w:val="24"/>
          <w:lang w:eastAsia="it-IT"/>
        </w:rPr>
        <w:t>SVILUPPO SUD OVEST (ASSE ROMA – FIUMICINO COLOMBO - OSTIENSE - LITORALE).</w:t>
      </w:r>
      <w:r w:rsidR="00F57270" w:rsidRPr="008A74B6">
        <w:rPr>
          <w:rFonts w:ascii="Segoe UI" w:eastAsia="Times New Roman" w:hAnsi="Segoe UI" w:cs="Segoe UI"/>
          <w:b/>
          <w:i/>
          <w:color w:val="595959" w:themeColor="text1" w:themeTint="A6"/>
          <w:sz w:val="24"/>
          <w:szCs w:val="24"/>
          <w:lang w:eastAsia="it-IT"/>
        </w:rPr>
        <w:t xml:space="preserve"> </w:t>
      </w:r>
      <w:r w:rsidR="00F57270"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 xml:space="preserve">Una delle direttrici di prossimo sviluppo emergenti dall’analisi è quella della periferia </w:t>
      </w:r>
      <w:r w:rsidR="00F57270" w:rsidRPr="008A74B6"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  <w:lang w:eastAsia="it-IT"/>
        </w:rPr>
        <w:t>sud-ovest</w:t>
      </w:r>
      <w:r w:rsidR="00F57270"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 xml:space="preserve"> verso Fiumicino. Tra gli interventi principali di prossima realizzazione, si segnalano quello della </w:t>
      </w:r>
      <w:r w:rsidR="00F57270" w:rsidRPr="008A74B6"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  <w:lang w:eastAsia="it-IT"/>
        </w:rPr>
        <w:t xml:space="preserve">Collina Muratella, </w:t>
      </w:r>
      <w:r w:rsidR="00F57270"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>che</w:t>
      </w:r>
      <w:r w:rsidR="00F57270" w:rsidRPr="008A74B6"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  <w:lang w:eastAsia="it-IT"/>
        </w:rPr>
        <w:t xml:space="preserve"> </w:t>
      </w:r>
      <w:r w:rsidR="00F57270"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>prevede demolizione e ricostruzione con cambio di destinazione d’uso dell’ex Centro Direzionale Alitalia. L’intervento prevede la realizzazione di oltre 1.000 unità residenziali.</w:t>
      </w:r>
    </w:p>
    <w:p w:rsidR="00F57270" w:rsidRPr="008A74B6" w:rsidRDefault="00F57270" w:rsidP="00F57270">
      <w:pPr>
        <w:spacing w:after="160"/>
        <w:contextualSpacing/>
        <w:jc w:val="both"/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</w:pPr>
    </w:p>
    <w:p w:rsidR="00F57270" w:rsidRPr="008A74B6" w:rsidRDefault="00F57270" w:rsidP="00F57270">
      <w:pPr>
        <w:spacing w:after="160"/>
        <w:contextualSpacing/>
        <w:jc w:val="both"/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</w:pPr>
      <w:r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>Lo sviluppo</w:t>
      </w:r>
      <w:r w:rsidRPr="008A74B6">
        <w:rPr>
          <w:rFonts w:ascii="Segoe UI" w:eastAsia="Times New Roman" w:hAnsi="Segoe UI" w:cs="Segoe UI"/>
          <w:b/>
          <w:color w:val="595959" w:themeColor="text1" w:themeTint="A6"/>
          <w:sz w:val="24"/>
          <w:szCs w:val="24"/>
          <w:lang w:eastAsia="it-IT"/>
        </w:rPr>
        <w:t xml:space="preserve"> Giardino di Roma</w:t>
      </w:r>
      <w:r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 xml:space="preserve">, promosso dal Gruppo </w:t>
      </w:r>
      <w:r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lastRenderedPageBreak/>
        <w:t xml:space="preserve">Caltagirone, che </w:t>
      </w:r>
      <w:r w:rsidR="00F858FE"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>conta</w:t>
      </w:r>
      <w:r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 xml:space="preserve"> uno sviluppo complessivo di circa 900 unità residenziali, di cui 82 concluse e in fase di commercializzazione, altrettante in costruzione e la restante parte in fase progettuale.</w:t>
      </w:r>
    </w:p>
    <w:p w:rsidR="00F57270" w:rsidRPr="008A74B6" w:rsidRDefault="00F57270" w:rsidP="00F57270">
      <w:pPr>
        <w:spacing w:after="160"/>
        <w:contextualSpacing/>
        <w:jc w:val="both"/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</w:pPr>
    </w:p>
    <w:p w:rsidR="00F57270" w:rsidRPr="008A74B6" w:rsidRDefault="00F57270" w:rsidP="00F57270">
      <w:pPr>
        <w:spacing w:after="160"/>
        <w:contextualSpacing/>
        <w:jc w:val="both"/>
        <w:rPr>
          <w:rFonts w:ascii="Segoe UI" w:hAnsi="Segoe UI" w:cs="Segoe UI"/>
          <w:color w:val="595959" w:themeColor="text1" w:themeTint="A6"/>
          <w:sz w:val="24"/>
          <w:szCs w:val="24"/>
        </w:rPr>
      </w:pP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Da segnalare anche l’intervento di </w:t>
      </w:r>
      <w:r w:rsidRPr="008A74B6">
        <w:rPr>
          <w:rFonts w:ascii="Segoe UI" w:hAnsi="Segoe UI" w:cs="Segoe UI"/>
          <w:b/>
          <w:color w:val="595959" w:themeColor="text1" w:themeTint="A6"/>
          <w:sz w:val="24"/>
          <w:szCs w:val="24"/>
        </w:rPr>
        <w:t>Parco Leonardo</w:t>
      </w: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del Gruppo Leonardo Caltagirone, in cui è iniziata a novembre 2019 la commercializzazione della nuova residenza già conclusa, “Cerere” di 92 appartamenti</w:t>
      </w:r>
      <w:r w:rsidR="00F858FE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,</w:t>
      </w: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ed è in corso la costruzione dell’edificio “Residenze Calliope” di 160 unità. Un contesto di generale riassetto urbanistico e infrastrutturale che renderà l’area strategica sia per dotazione di servizi </w:t>
      </w:r>
      <w:r w:rsidR="00F858FE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sia</w:t>
      </w: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per posizione, essendo a pochi minuti da Roma e dal recente Head Quarter dell’IBM, </w:t>
      </w:r>
      <w:r w:rsidR="00F858FE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ma anche </w:t>
      </w:r>
      <w:r w:rsidRPr="008A74B6">
        <w:rPr>
          <w:rFonts w:ascii="Segoe UI" w:hAnsi="Segoe UI" w:cs="Segoe UI"/>
          <w:color w:val="595959" w:themeColor="text1" w:themeTint="A6"/>
          <w:sz w:val="24"/>
          <w:szCs w:val="24"/>
        </w:rPr>
        <w:t>dall’aeroporto di Roma Fiumicino.</w:t>
      </w:r>
    </w:p>
    <w:p w:rsidR="00F57270" w:rsidRPr="008A74B6" w:rsidRDefault="00F57270" w:rsidP="00F57270">
      <w:pPr>
        <w:spacing w:after="160"/>
        <w:contextualSpacing/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</w:pPr>
    </w:p>
    <w:p w:rsidR="00F141FF" w:rsidRPr="008A74B6" w:rsidRDefault="00F57270" w:rsidP="00F57270">
      <w:pPr>
        <w:spacing w:after="160"/>
        <w:contextualSpacing/>
        <w:rPr>
          <w:rFonts w:ascii="Segoe UI" w:eastAsia="Times New Roman" w:hAnsi="Segoe UI" w:cs="Segoe UI"/>
          <w:b/>
          <w:iCs/>
          <w:color w:val="595959" w:themeColor="text1" w:themeTint="A6"/>
          <w:sz w:val="24"/>
          <w:szCs w:val="24"/>
          <w:lang w:eastAsia="it-IT"/>
        </w:rPr>
      </w:pPr>
      <w:r w:rsidRPr="008A74B6">
        <w:rPr>
          <w:rFonts w:ascii="Segoe UI" w:eastAsia="Times New Roman" w:hAnsi="Segoe UI" w:cs="Segoe UI"/>
          <w:b/>
          <w:iCs/>
          <w:color w:val="595959" w:themeColor="text1" w:themeTint="A6"/>
          <w:sz w:val="24"/>
          <w:szCs w:val="24"/>
          <w:lang w:eastAsia="it-IT"/>
        </w:rPr>
        <w:t>SVILUPPO FUORI GRA – SUD e EST</w:t>
      </w:r>
    </w:p>
    <w:p w:rsidR="00F57270" w:rsidRPr="008A74B6" w:rsidRDefault="00246A7A" w:rsidP="00246A7A">
      <w:pPr>
        <w:spacing w:after="160"/>
        <w:contextualSpacing/>
        <w:jc w:val="both"/>
        <w:rPr>
          <w:rFonts w:ascii="Segoe UI" w:hAnsi="Segoe UI" w:cs="Segoe UI"/>
          <w:color w:val="595959" w:themeColor="text1" w:themeTint="A6"/>
          <w:sz w:val="24"/>
          <w:szCs w:val="24"/>
        </w:rPr>
      </w:pPr>
      <w:r w:rsidRPr="008A74B6">
        <w:rPr>
          <w:noProof/>
          <w:color w:val="595959" w:themeColor="text1" w:themeTint="A6"/>
          <w:lang w:eastAsia="it-IT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3035594</wp:posOffset>
            </wp:positionV>
            <wp:extent cx="1809750" cy="1739900"/>
            <wp:effectExtent l="0" t="0" r="0" b="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7ECC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N</w:t>
      </w:r>
      <w:r w:rsidR="00F141FF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el Quadrante Sud di Roma, </w:t>
      </w:r>
      <w:r w:rsidR="00F141FF" w:rsidRPr="008A74B6">
        <w:rPr>
          <w:rFonts w:ascii="Segoe UI" w:eastAsia="Times New Roman" w:hAnsi="Segoe UI" w:cs="Segoe UI"/>
          <w:color w:val="595959" w:themeColor="text1" w:themeTint="A6"/>
          <w:sz w:val="24"/>
          <w:szCs w:val="24"/>
          <w:lang w:eastAsia="it-IT"/>
        </w:rPr>
        <w:t>si segnala</w:t>
      </w:r>
      <w:r w:rsidR="00F57270" w:rsidRPr="008A74B6">
        <w:rPr>
          <w:rFonts w:ascii="Segoe UI" w:hAnsi="Segoe UI" w:cs="Segoe UI"/>
          <w:b/>
          <w:color w:val="595959" w:themeColor="text1" w:themeTint="A6"/>
          <w:sz w:val="24"/>
          <w:szCs w:val="24"/>
        </w:rPr>
        <w:t xml:space="preserve"> Trigoria</w:t>
      </w:r>
      <w:r w:rsidR="00F141FF" w:rsidRPr="008A74B6">
        <w:rPr>
          <w:rFonts w:ascii="Segoe UI" w:hAnsi="Segoe UI" w:cs="Segoe UI"/>
          <w:b/>
          <w:color w:val="595959" w:themeColor="text1" w:themeTint="A6"/>
          <w:sz w:val="24"/>
          <w:szCs w:val="24"/>
        </w:rPr>
        <w:t xml:space="preserve">, </w:t>
      </w:r>
      <w:r w:rsidR="00F141FF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i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niziativa promossa da Gruppo AIC, che prevede la realizzazione di 156 alloggi (di cui 52 in villini a schiera e 104 in quattro edifici in linea). Nella stessa macroarea abbiamo il progetto di </w:t>
      </w:r>
      <w:r w:rsidR="00F57270" w:rsidRPr="008A74B6">
        <w:rPr>
          <w:rFonts w:ascii="Segoe UI" w:hAnsi="Segoe UI" w:cs="Segoe UI"/>
          <w:b/>
          <w:color w:val="595959" w:themeColor="text1" w:themeTint="A6"/>
          <w:sz w:val="24"/>
          <w:szCs w:val="24"/>
        </w:rPr>
        <w:t>Santa Palomba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. Nel complesso verranno realizzati quasi 1.000 nuovi appartamenti in locazione calmierata, affitto a riscatto o vendita convenzionata, destinati a famiglie monoparentali e/o monoreddito, anziani, disabili, studenti fuori sede, giovani coppie e 12 “Unità Immobiliari per Servizi” destinate a ospitare servizi integrativi urbani, locali e per l’abitare.</w:t>
      </w:r>
    </w:p>
    <w:p w:rsidR="00F57270" w:rsidRPr="008A74B6" w:rsidRDefault="00F57270" w:rsidP="00F57270">
      <w:pPr>
        <w:spacing w:after="160"/>
        <w:contextualSpacing/>
        <w:jc w:val="both"/>
        <w:rPr>
          <w:rFonts w:ascii="Segoe UI" w:hAnsi="Segoe UI" w:cs="Segoe UI"/>
          <w:b/>
          <w:color w:val="595959" w:themeColor="text1" w:themeTint="A6"/>
          <w:sz w:val="24"/>
          <w:szCs w:val="24"/>
        </w:rPr>
      </w:pPr>
    </w:p>
    <w:p w:rsidR="00F57270" w:rsidRPr="008A74B6" w:rsidRDefault="00246A7A" w:rsidP="00F57270">
      <w:pPr>
        <w:spacing w:after="160"/>
        <w:contextualSpacing/>
        <w:jc w:val="both"/>
        <w:rPr>
          <w:rFonts w:ascii="Segoe UI" w:hAnsi="Segoe UI" w:cs="Segoe UI"/>
          <w:color w:val="595959" w:themeColor="text1" w:themeTint="A6"/>
          <w:sz w:val="24"/>
          <w:szCs w:val="24"/>
        </w:rPr>
      </w:pPr>
      <w:r w:rsidRPr="008A74B6">
        <w:rPr>
          <w:noProof/>
          <w:color w:val="595959" w:themeColor="text1" w:themeTint="A6"/>
          <w:lang w:eastAsia="it-IT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5744362</wp:posOffset>
            </wp:positionV>
            <wp:extent cx="1762664" cy="1564555"/>
            <wp:effectExtent l="0" t="0" r="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664" cy="156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In zona est si riscontrano diverse iniziative in costruzione, oltre al </w:t>
      </w:r>
      <w:r w:rsidR="006F6052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futuro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progetto</w:t>
      </w:r>
      <w:r w:rsidR="00F57270" w:rsidRPr="008A74B6">
        <w:rPr>
          <w:rFonts w:ascii="Segoe UI" w:hAnsi="Segoe UI" w:cs="Segoe UI"/>
          <w:b/>
          <w:color w:val="595959" w:themeColor="text1" w:themeTint="A6"/>
          <w:sz w:val="24"/>
          <w:szCs w:val="24"/>
        </w:rPr>
        <w:t xml:space="preserve"> Torrenova Città Parco, 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iniziativa ubicata nel quadrante di sud-est del Comune di Roma, tra le uscite della Casilina e Prenestina. Il comparto prevede la realizzazione di edifici residenziali sostenibili</w:t>
      </w:r>
      <w:r w:rsidR="00F858FE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e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un grande polo commerciale contestualizzati in ampi parchi verdi attrezzati</w:t>
      </w:r>
      <w:r w:rsidR="00F858FE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: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128.000 mq di residenze, 22.000 mq di commerciale, 5.200 mq di scuole ed edifici pubblici. </w:t>
      </w:r>
    </w:p>
    <w:p w:rsidR="00F57270" w:rsidRPr="008A74B6" w:rsidRDefault="00F57270" w:rsidP="00F57270">
      <w:pPr>
        <w:spacing w:after="160"/>
        <w:contextualSpacing/>
        <w:rPr>
          <w:rFonts w:ascii="Segoe UI" w:hAnsi="Segoe UI" w:cs="Segoe UI"/>
          <w:b/>
          <w:color w:val="595959" w:themeColor="text1" w:themeTint="A6"/>
          <w:sz w:val="24"/>
          <w:szCs w:val="24"/>
        </w:rPr>
      </w:pPr>
    </w:p>
    <w:p w:rsidR="00F141FF" w:rsidRPr="008A74B6" w:rsidRDefault="00F141FF" w:rsidP="00F57270">
      <w:pPr>
        <w:spacing w:after="160"/>
        <w:contextualSpacing/>
        <w:jc w:val="both"/>
        <w:rPr>
          <w:rFonts w:ascii="Segoe UI" w:hAnsi="Segoe UI" w:cs="Segoe UI"/>
          <w:b/>
          <w:iCs/>
          <w:color w:val="595959" w:themeColor="text1" w:themeTint="A6"/>
          <w:sz w:val="24"/>
          <w:szCs w:val="24"/>
        </w:rPr>
      </w:pPr>
    </w:p>
    <w:p w:rsidR="00F141FF" w:rsidRPr="008A74B6" w:rsidRDefault="00F141FF" w:rsidP="00F57270">
      <w:pPr>
        <w:spacing w:after="160"/>
        <w:contextualSpacing/>
        <w:jc w:val="both"/>
        <w:rPr>
          <w:rFonts w:ascii="Segoe UI" w:hAnsi="Segoe UI" w:cs="Segoe UI"/>
          <w:b/>
          <w:iCs/>
          <w:color w:val="595959" w:themeColor="text1" w:themeTint="A6"/>
          <w:sz w:val="24"/>
          <w:szCs w:val="24"/>
        </w:rPr>
      </w:pPr>
    </w:p>
    <w:p w:rsidR="00F141FF" w:rsidRPr="008A74B6" w:rsidRDefault="00F141FF" w:rsidP="00F57270">
      <w:pPr>
        <w:spacing w:after="160"/>
        <w:contextualSpacing/>
        <w:jc w:val="both"/>
        <w:rPr>
          <w:rFonts w:ascii="Segoe UI" w:hAnsi="Segoe UI" w:cs="Segoe UI"/>
          <w:b/>
          <w:iCs/>
          <w:color w:val="595959" w:themeColor="text1" w:themeTint="A6"/>
          <w:sz w:val="24"/>
          <w:szCs w:val="24"/>
        </w:rPr>
      </w:pPr>
    </w:p>
    <w:p w:rsidR="00F141FF" w:rsidRPr="008A74B6" w:rsidRDefault="00F141FF" w:rsidP="00F57270">
      <w:pPr>
        <w:spacing w:after="160"/>
        <w:contextualSpacing/>
        <w:jc w:val="both"/>
        <w:rPr>
          <w:rFonts w:ascii="Segoe UI" w:hAnsi="Segoe UI" w:cs="Segoe UI"/>
          <w:b/>
          <w:iCs/>
          <w:color w:val="595959" w:themeColor="text1" w:themeTint="A6"/>
          <w:sz w:val="24"/>
          <w:szCs w:val="24"/>
        </w:rPr>
      </w:pPr>
    </w:p>
    <w:p w:rsidR="00F57270" w:rsidRPr="008A74B6" w:rsidRDefault="00246A7A" w:rsidP="00F57270">
      <w:pPr>
        <w:spacing w:after="160"/>
        <w:contextualSpacing/>
        <w:jc w:val="both"/>
        <w:rPr>
          <w:rFonts w:ascii="Segoe UI" w:hAnsi="Segoe UI" w:cs="Segoe UI"/>
          <w:b/>
          <w:i/>
          <w:color w:val="595959" w:themeColor="text1" w:themeTint="A6"/>
          <w:sz w:val="24"/>
          <w:szCs w:val="24"/>
        </w:rPr>
      </w:pPr>
      <w:r w:rsidRPr="008A74B6">
        <w:rPr>
          <w:noProof/>
          <w:color w:val="595959" w:themeColor="text1" w:themeTint="A6"/>
          <w:lang w:eastAsia="it-IT"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368490</wp:posOffset>
            </wp:positionV>
            <wp:extent cx="1432482" cy="1579794"/>
            <wp:effectExtent l="0" t="0" r="0" b="1905"/>
            <wp:wrapSquare wrapText="bothSides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482" cy="1579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270" w:rsidRPr="008A74B6">
        <w:rPr>
          <w:rFonts w:ascii="Segoe UI" w:hAnsi="Segoe UI" w:cs="Segoe UI"/>
          <w:b/>
          <w:iCs/>
          <w:color w:val="595959" w:themeColor="text1" w:themeTint="A6"/>
          <w:sz w:val="24"/>
          <w:szCs w:val="24"/>
        </w:rPr>
        <w:t>SVILUPPO ZONA ARDEATINO</w:t>
      </w:r>
      <w:r w:rsidR="00F57270" w:rsidRPr="008A74B6">
        <w:rPr>
          <w:rFonts w:ascii="Segoe UI" w:hAnsi="Segoe UI" w:cs="Segoe UI"/>
          <w:b/>
          <w:i/>
          <w:color w:val="595959" w:themeColor="text1" w:themeTint="A6"/>
          <w:sz w:val="24"/>
          <w:szCs w:val="24"/>
        </w:rPr>
        <w:t xml:space="preserve">. 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In </w:t>
      </w:r>
      <w:r w:rsidR="00F57270" w:rsidRPr="008A74B6">
        <w:rPr>
          <w:rFonts w:ascii="Segoe UI" w:hAnsi="Segoe UI" w:cs="Segoe UI"/>
          <w:b/>
          <w:color w:val="595959" w:themeColor="text1" w:themeTint="A6"/>
          <w:sz w:val="24"/>
          <w:szCs w:val="24"/>
        </w:rPr>
        <w:t>Piazza dei Navigatori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 xml:space="preserve"> è prevista la realizzazione di oltre 100 residenze da parte del Gruppo Mezzaroma. L’area è inoltre interessata dal progetto di </w:t>
      </w:r>
      <w:r w:rsidR="00F57270" w:rsidRPr="008A74B6">
        <w:rPr>
          <w:rFonts w:ascii="Segoe UI" w:hAnsi="Segoe UI" w:cs="Segoe UI"/>
          <w:b/>
          <w:color w:val="595959" w:themeColor="text1" w:themeTint="A6"/>
          <w:sz w:val="24"/>
          <w:szCs w:val="24"/>
        </w:rPr>
        <w:t>Riqualificazione dell’ex Fiera di Roma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: in dicembre 2020 è stata approvata dall’Assemblea capitolina la delibera definitiva per la riqualificazione dell’area che conferma la riduzione di consistenza edilizia edificabile da 67mila mq a 44mila mq, di cui l’80% destinati a edilizia residenziale (di cui 20% housing sociale) e il restante 20% destinato a servizi.</w:t>
      </w:r>
    </w:p>
    <w:p w:rsidR="00F57270" w:rsidRPr="008A74B6" w:rsidRDefault="00F57270" w:rsidP="00F57270">
      <w:pPr>
        <w:spacing w:after="160"/>
        <w:contextualSpacing/>
        <w:jc w:val="both"/>
        <w:rPr>
          <w:rFonts w:ascii="Segoe UI" w:hAnsi="Segoe UI" w:cs="Segoe UI"/>
          <w:b/>
          <w:color w:val="595959" w:themeColor="text1" w:themeTint="A6"/>
          <w:sz w:val="24"/>
          <w:szCs w:val="24"/>
        </w:rPr>
      </w:pPr>
    </w:p>
    <w:p w:rsidR="00F57270" w:rsidRPr="008A74B6" w:rsidRDefault="00B76BF9" w:rsidP="00F57270">
      <w:pPr>
        <w:spacing w:after="160"/>
        <w:contextualSpacing/>
        <w:jc w:val="both"/>
        <w:rPr>
          <w:rFonts w:ascii="Segoe UI" w:hAnsi="Segoe UI" w:cs="Segoe UI"/>
          <w:b/>
          <w:i/>
          <w:color w:val="595959" w:themeColor="text1" w:themeTint="A6"/>
          <w:sz w:val="24"/>
          <w:szCs w:val="24"/>
        </w:rPr>
      </w:pPr>
      <w:r w:rsidRPr="008A74B6">
        <w:rPr>
          <w:noProof/>
          <w:color w:val="595959" w:themeColor="text1" w:themeTint="A6"/>
          <w:lang w:eastAsia="it-IT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margin">
              <wp:posOffset>-56515</wp:posOffset>
            </wp:positionH>
            <wp:positionV relativeFrom="margin">
              <wp:posOffset>2564765</wp:posOffset>
            </wp:positionV>
            <wp:extent cx="1528445" cy="1550670"/>
            <wp:effectExtent l="0" t="0" r="0" b="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550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270" w:rsidRPr="008A74B6">
        <w:rPr>
          <w:rFonts w:ascii="Segoe UI" w:hAnsi="Segoe UI" w:cs="Segoe UI"/>
          <w:b/>
          <w:iCs/>
          <w:color w:val="595959" w:themeColor="text1" w:themeTint="A6"/>
          <w:sz w:val="24"/>
          <w:szCs w:val="24"/>
        </w:rPr>
        <w:t>SVILUPPO ZONA AURELIO – PISANA – BRAVETTA</w:t>
      </w:r>
      <w:r w:rsidR="00F57270" w:rsidRPr="008A74B6">
        <w:rPr>
          <w:rFonts w:ascii="Segoe UI" w:hAnsi="Segoe UI" w:cs="Segoe UI"/>
          <w:b/>
          <w:i/>
          <w:color w:val="595959" w:themeColor="text1" w:themeTint="A6"/>
          <w:sz w:val="24"/>
          <w:szCs w:val="24"/>
        </w:rPr>
        <w:t xml:space="preserve">. 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Nella zona, oltre a diverse iniziative in costruzione, si segnala il progetto</w:t>
      </w:r>
      <w:r w:rsidR="00F57270" w:rsidRPr="008A74B6">
        <w:rPr>
          <w:rFonts w:ascii="Segoe UI" w:hAnsi="Segoe UI" w:cs="Segoe UI"/>
          <w:b/>
          <w:color w:val="595959" w:themeColor="text1" w:themeTint="A6"/>
          <w:sz w:val="24"/>
          <w:szCs w:val="24"/>
        </w:rPr>
        <w:t xml:space="preserve"> Corti Romane, </w:t>
      </w:r>
      <w:r w:rsidR="00F57270" w:rsidRPr="008A74B6">
        <w:rPr>
          <w:rFonts w:ascii="Segoe UI" w:hAnsi="Segoe UI" w:cs="Segoe UI"/>
          <w:color w:val="595959" w:themeColor="text1" w:themeTint="A6"/>
          <w:sz w:val="24"/>
          <w:szCs w:val="24"/>
        </w:rPr>
        <w:t>promosso dal Gruppo Mezzaroma e finalizzato alla riqualificazione delle strutture edilizie attualmente dismesse e localizzate su via di Bravetta 415 che prevede la realizzazione di 165 unità residenziali.</w:t>
      </w:r>
    </w:p>
    <w:p w:rsidR="00F57270" w:rsidRPr="008A74B6" w:rsidRDefault="00F57270" w:rsidP="00F57270">
      <w:pPr>
        <w:spacing w:after="160"/>
        <w:contextualSpacing/>
        <w:rPr>
          <w:rFonts w:ascii="Segoe UI" w:hAnsi="Segoe UI" w:cs="Segoe UI"/>
          <w:color w:val="595959" w:themeColor="text1" w:themeTint="A6"/>
          <w:sz w:val="24"/>
          <w:szCs w:val="24"/>
        </w:rPr>
      </w:pPr>
    </w:p>
    <w:p w:rsidR="00BD0524" w:rsidRPr="008A74B6" w:rsidRDefault="00BD0524" w:rsidP="00BD0524">
      <w:pPr>
        <w:spacing w:after="0"/>
        <w:jc w:val="both"/>
        <w:rPr>
          <w:rFonts w:cs="Arial"/>
          <w:color w:val="595959" w:themeColor="text1" w:themeTint="A6"/>
        </w:rPr>
      </w:pPr>
    </w:p>
    <w:p w:rsidR="000D2071" w:rsidRPr="008A74B6" w:rsidRDefault="000D2071" w:rsidP="000E7F95">
      <w:pPr>
        <w:pStyle w:val="Corpodeltesto"/>
        <w:jc w:val="both"/>
        <w:rPr>
          <w:rFonts w:ascii="Segoe UI" w:eastAsiaTheme="minorEastAsia" w:hAnsi="Segoe UI" w:cs="Segoe UI"/>
          <w:color w:val="595959" w:themeColor="text1" w:themeTint="A6"/>
          <w:sz w:val="24"/>
          <w:szCs w:val="24"/>
          <w:lang w:val="it-IT"/>
        </w:rPr>
      </w:pPr>
    </w:p>
    <w:p w:rsidR="00B76BF9" w:rsidRPr="008A74B6" w:rsidRDefault="00B76BF9" w:rsidP="000E7F95">
      <w:pPr>
        <w:pStyle w:val="Corpodeltesto"/>
        <w:jc w:val="both"/>
        <w:rPr>
          <w:rFonts w:ascii="Segoe UI" w:eastAsiaTheme="minorEastAsia" w:hAnsi="Segoe UI" w:cs="Segoe UI"/>
          <w:color w:val="595959" w:themeColor="text1" w:themeTint="A6"/>
          <w:sz w:val="24"/>
          <w:szCs w:val="24"/>
          <w:lang w:val="it-IT"/>
        </w:rPr>
      </w:pPr>
    </w:p>
    <w:p w:rsidR="00B76BF9" w:rsidRPr="00843E62" w:rsidRDefault="00B76BF9" w:rsidP="000E7F95">
      <w:pPr>
        <w:pStyle w:val="Corpodeltesto"/>
        <w:jc w:val="both"/>
        <w:rPr>
          <w:rFonts w:ascii="Segoe UI" w:eastAsiaTheme="minorEastAsia" w:hAnsi="Segoe UI" w:cs="Segoe UI"/>
          <w:color w:val="3D3C3B"/>
          <w:sz w:val="24"/>
          <w:szCs w:val="24"/>
          <w:lang w:val="it-IT"/>
        </w:rPr>
      </w:pPr>
    </w:p>
    <w:p w:rsidR="00586F2F" w:rsidRPr="008F540D" w:rsidRDefault="00CC6D4E" w:rsidP="00BB01F7">
      <w:pPr>
        <w:spacing w:line="240" w:lineRule="auto"/>
        <w:rPr>
          <w:rFonts w:ascii="Segoe UI" w:hAnsi="Segoe UI" w:cs="Segoe UI"/>
          <w:b/>
          <w:color w:val="404040" w:themeColor="text1" w:themeTint="BF"/>
          <w:sz w:val="22"/>
          <w:szCs w:val="22"/>
        </w:rPr>
      </w:pPr>
      <w:r w:rsidRPr="00CC6D4E">
        <w:rPr>
          <w:rFonts w:ascii="Segoe UI" w:hAnsi="Segoe UI" w:cs="Segoe UI"/>
          <w:b/>
          <w:noProof/>
          <w:color w:val="404040" w:themeColor="text1" w:themeTint="BF"/>
          <w:sz w:val="24"/>
          <w:szCs w:val="24"/>
          <w:lang w:eastAsia="it-IT"/>
        </w:rPr>
        <w:pict>
          <v:line id="Connettore 1 21" o:spid="_x0000_s2051" style="position:absolute;z-index:251723776;visibility:visible;mso-width-relative:margin;mso-height-relative:margin" from="2.65pt,.15pt" to="484.6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" strokecolor="#a32236 [3204]" strokeweight="2.5pt">
            <v:stroke joinstyle="miter"/>
          </v:line>
        </w:pict>
      </w:r>
      <w:r w:rsidR="00B82C17" w:rsidRPr="00843E62">
        <w:rPr>
          <w:rFonts w:ascii="Segoe UI" w:hAnsi="Segoe UI" w:cs="Segoe UI"/>
          <w:b/>
          <w:color w:val="404040" w:themeColor="text1" w:themeTint="BF"/>
          <w:sz w:val="24"/>
          <w:szCs w:val="24"/>
        </w:rPr>
        <w:t>IL GRUPPO GABETTI</w:t>
      </w:r>
      <w:r w:rsidR="00586F2F" w:rsidRPr="00843E62">
        <w:rPr>
          <w:rFonts w:ascii="Segoe UI" w:hAnsi="Segoe UI" w:cs="Segoe UI"/>
          <w:color w:val="404040" w:themeColor="text1" w:themeTint="BF"/>
          <w:sz w:val="24"/>
          <w:szCs w:val="24"/>
        </w:rPr>
        <w:br/>
      </w:r>
      <w:r w:rsidR="00232E97" w:rsidRPr="00BD0524">
        <w:rPr>
          <w:rFonts w:ascii="Segoe UI" w:hAnsi="Segoe UI" w:cs="Segoe UI"/>
          <w:color w:val="404040" w:themeColor="text1" w:themeTint="BF"/>
        </w:rPr>
        <w:t>Gabetti Property Solutions, attraverso le diverse linee di business delle società controllate, eroga servizi per l’intero sistema immobiliare, offrendo consulenza integrata</w:t>
      </w:r>
      <w:r w:rsidR="00D81F80" w:rsidRPr="00BD0524">
        <w:rPr>
          <w:rFonts w:ascii="Segoe UI" w:hAnsi="Segoe UI" w:cs="Segoe UI"/>
          <w:color w:val="404040" w:themeColor="text1" w:themeTint="BF"/>
        </w:rPr>
        <w:t xml:space="preserve"> per</w:t>
      </w:r>
      <w:r w:rsidR="00232E97" w:rsidRPr="00BD0524">
        <w:rPr>
          <w:rFonts w:ascii="Segoe UI" w:hAnsi="Segoe UI" w:cs="Segoe UI"/>
          <w:color w:val="404040" w:themeColor="text1" w:themeTint="BF"/>
        </w:rPr>
        <w:t xml:space="preserve"> soddisfare esigenz</w:t>
      </w:r>
      <w:r w:rsidR="00F15DCB" w:rsidRPr="00BD0524">
        <w:rPr>
          <w:rFonts w:ascii="Segoe UI" w:hAnsi="Segoe UI" w:cs="Segoe UI"/>
          <w:color w:val="404040" w:themeColor="text1" w:themeTint="BF"/>
        </w:rPr>
        <w:t>e</w:t>
      </w:r>
      <w:r w:rsidR="00232E97" w:rsidRPr="00BD0524">
        <w:rPr>
          <w:rFonts w:ascii="Segoe UI" w:hAnsi="Segoe UI" w:cs="Segoe UI"/>
          <w:color w:val="404040" w:themeColor="text1" w:themeTint="BF"/>
        </w:rPr>
        <w:t xml:space="preserve"> e aspettativ</w:t>
      </w:r>
      <w:r w:rsidR="00F15DCB" w:rsidRPr="00BD0524">
        <w:rPr>
          <w:rFonts w:ascii="Segoe UI" w:hAnsi="Segoe UI" w:cs="Segoe UI"/>
          <w:color w:val="404040" w:themeColor="text1" w:themeTint="BF"/>
        </w:rPr>
        <w:t>e</w:t>
      </w:r>
      <w:r w:rsidR="00232E97" w:rsidRPr="00BD0524">
        <w:rPr>
          <w:rFonts w:ascii="Segoe UI" w:hAnsi="Segoe UI" w:cs="Segoe UI"/>
          <w:color w:val="404040" w:themeColor="text1" w:themeTint="BF"/>
        </w:rPr>
        <w:t xml:space="preserve"> di privati, aziende e operatori istituzionali. </w:t>
      </w:r>
      <w:r w:rsidR="00F15DCB" w:rsidRPr="00BD0524">
        <w:rPr>
          <w:rFonts w:ascii="Segoe UI" w:hAnsi="Segoe UI" w:cs="Segoe UI"/>
          <w:color w:val="404040" w:themeColor="text1" w:themeTint="BF"/>
        </w:rPr>
        <w:t>P</w:t>
      </w:r>
      <w:r w:rsidR="00232E97" w:rsidRPr="00BD0524">
        <w:rPr>
          <w:rFonts w:ascii="Segoe UI" w:hAnsi="Segoe UI" w:cs="Segoe UI"/>
          <w:color w:val="404040" w:themeColor="text1" w:themeTint="BF"/>
        </w:rPr>
        <w:t>roprio dall’integrazione e dalla sinergia di tutti i servizi</w:t>
      </w:r>
      <w:r w:rsidR="00F15DCB" w:rsidRPr="00BD0524">
        <w:rPr>
          <w:rFonts w:ascii="Segoe UI" w:hAnsi="Segoe UI" w:cs="Segoe UI"/>
          <w:color w:val="404040" w:themeColor="text1" w:themeTint="BF"/>
        </w:rPr>
        <w:t>,</w:t>
      </w:r>
      <w:r w:rsidR="00232E97" w:rsidRPr="00BD0524">
        <w:rPr>
          <w:rFonts w:ascii="Segoe UI" w:hAnsi="Segoe UI" w:cs="Segoe UI"/>
          <w:color w:val="404040" w:themeColor="text1" w:themeTint="BF"/>
        </w:rPr>
        <w:t xml:space="preserve"> emerge il valore aggiunto del gruppo: un modello unico rispetto a</w:t>
      </w:r>
      <w:r w:rsidR="00F15DCB" w:rsidRPr="00BD0524">
        <w:rPr>
          <w:rFonts w:ascii="Segoe UI" w:hAnsi="Segoe UI" w:cs="Segoe UI"/>
          <w:color w:val="404040" w:themeColor="text1" w:themeTint="BF"/>
        </w:rPr>
        <w:t>i</w:t>
      </w:r>
      <w:r w:rsidR="00232E97" w:rsidRPr="00BD0524">
        <w:rPr>
          <w:rFonts w:ascii="Segoe UI" w:hAnsi="Segoe UI" w:cs="Segoe UI"/>
          <w:color w:val="404040" w:themeColor="text1" w:themeTint="BF"/>
        </w:rPr>
        <w:t xml:space="preserve"> competitor. Il </w:t>
      </w:r>
      <w:r w:rsidR="0050057C" w:rsidRPr="00BD0524">
        <w:rPr>
          <w:rFonts w:ascii="Segoe UI" w:hAnsi="Segoe UI" w:cs="Segoe UI"/>
          <w:color w:val="404040" w:themeColor="text1" w:themeTint="BF"/>
        </w:rPr>
        <w:t>sistema</w:t>
      </w:r>
      <w:r w:rsidR="00232E97" w:rsidRPr="00BD0524">
        <w:rPr>
          <w:rFonts w:ascii="Segoe UI" w:hAnsi="Segoe UI" w:cs="Segoe UI"/>
          <w:color w:val="404040" w:themeColor="text1" w:themeTint="BF"/>
        </w:rPr>
        <w:t xml:space="preserve"> organizzativo di Gabetti Property Solutions consente l’integrazione e il coordinamento delle competenze specifiche di ciascuna società del Gruppo nell’ambito delle seguenti aree: Consulenza, Valorizzazione, Gestione, Intermediazione, Mediazione Creditizia e Assicurativa</w:t>
      </w:r>
      <w:r w:rsidR="001A480F" w:rsidRPr="00BD0524">
        <w:rPr>
          <w:rFonts w:ascii="Segoe UI" w:hAnsi="Segoe UI" w:cs="Segoe UI"/>
          <w:color w:val="404040" w:themeColor="text1" w:themeTint="BF"/>
        </w:rPr>
        <w:t xml:space="preserve"> e Riqualificazione</w:t>
      </w:r>
      <w:r w:rsidR="001A480F" w:rsidRPr="008F540D">
        <w:rPr>
          <w:rFonts w:ascii="Segoe UI" w:hAnsi="Segoe UI" w:cs="Segoe UI"/>
          <w:color w:val="404040" w:themeColor="text1" w:themeTint="BF"/>
          <w:sz w:val="22"/>
          <w:szCs w:val="22"/>
        </w:rPr>
        <w:t>.</w:t>
      </w:r>
    </w:p>
    <w:p w:rsidR="005475EE" w:rsidRDefault="00CC6D4E" w:rsidP="00586F2F">
      <w:pPr>
        <w:rPr>
          <w:rFonts w:ascii="Segoe UI" w:hAnsi="Segoe UI" w:cs="Segoe UI"/>
          <w:b/>
          <w:color w:val="404040" w:themeColor="text1" w:themeTint="BF"/>
          <w:sz w:val="22"/>
          <w:szCs w:val="22"/>
        </w:rPr>
      </w:pPr>
      <w:r w:rsidRPr="00CC6D4E">
        <w:rPr>
          <w:rFonts w:cs="Arial"/>
          <w:i/>
          <w:noProof/>
          <w:color w:val="000000" w:themeColor="text1"/>
          <w:lang w:eastAsia="it-IT"/>
        </w:rPr>
        <w:pict>
          <v:line id="Connettore 1 22" o:spid="_x0000_s2050" style="position:absolute;z-index:251725824;visibility:visible;mso-width-relative:margin;mso-height-relative:margin" from=".15pt,16.7pt" to="482.15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" strokecolor="#a32236 [3204]" strokeweight="2.5pt">
            <v:stroke joinstyle="miter"/>
          </v:line>
        </w:pict>
      </w:r>
    </w:p>
    <w:sectPr w:rsidR="005475EE" w:rsidSect="00B82C17">
      <w:headerReference w:type="default" r:id="rId16"/>
      <w:footerReference w:type="default" r:id="rId17"/>
      <w:headerReference w:type="first" r:id="rId18"/>
      <w:pgSz w:w="11900" w:h="16840" w:code="9"/>
      <w:pgMar w:top="1440" w:right="1077" w:bottom="1440" w:left="1077" w:header="709" w:footer="21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6A28" w:rsidRDefault="00D86A28" w:rsidP="002133DD">
      <w:pPr>
        <w:spacing w:before="0" w:after="0" w:line="240" w:lineRule="auto"/>
      </w:pPr>
      <w:r>
        <w:separator/>
      </w:r>
    </w:p>
  </w:endnote>
  <w:endnote w:type="continuationSeparator" w:id="0">
    <w:p w:rsidR="00D86A28" w:rsidRDefault="00D86A28" w:rsidP="002133D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tserrat Light">
    <w:charset w:val="4D"/>
    <w:family w:val="auto"/>
    <w:pitch w:val="variable"/>
    <w:sig w:usb0="2000020F" w:usb1="00000003" w:usb2="00000000" w:usb3="00000000" w:csb0="00000197" w:csb1="00000000"/>
  </w:font>
  <w:font w:name="Montserrat">
    <w:charset w:val="4D"/>
    <w:family w:val="auto"/>
    <w:pitch w:val="variable"/>
    <w:sig w:usb0="2000020F" w:usb1="00000003" w:usb2="00000000" w:usb3="00000000" w:csb0="00000197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eo Sans Std">
    <w:charset w:val="00"/>
    <w:family w:val="auto"/>
    <w:pitch w:val="variable"/>
    <w:sig w:usb0="800000AF" w:usb1="5000205B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2C17" w:rsidRPr="00B82C17" w:rsidRDefault="00B82C17" w:rsidP="00B82C17">
    <w:pPr>
      <w:pStyle w:val="Pidipagina"/>
      <w:jc w:val="center"/>
      <w:rPr>
        <w:rFonts w:ascii="Segoe UI" w:hAnsi="Segoe UI" w:cs="Segoe UI"/>
        <w:b/>
      </w:rPr>
    </w:pPr>
    <w:r w:rsidRPr="00B82C17">
      <w:rPr>
        <w:rFonts w:ascii="Segoe UI" w:hAnsi="Segoe UI" w:cs="Segoe UI"/>
        <w:b/>
      </w:rPr>
      <w:t>Gabetti Property Solutions</w:t>
    </w:r>
    <w:r>
      <w:rPr>
        <w:rFonts w:ascii="Segoe UI" w:hAnsi="Segoe UI" w:cs="Segoe UI"/>
        <w:b/>
      </w:rPr>
      <w:br/>
    </w:r>
    <w:r w:rsidRPr="00B82C17">
      <w:rPr>
        <w:rFonts w:ascii="Segoe UI" w:hAnsi="Segoe UI" w:cs="Segoe UI"/>
      </w:rPr>
      <w:t>Milano, Roma, Genova, Torino, Padova, Firenze, Bologna, Napoli, Bari, Reggio Calabria</w:t>
    </w:r>
    <w:r>
      <w:rPr>
        <w:rFonts w:ascii="Segoe UI" w:hAnsi="Segoe UI" w:cs="Segoe UI"/>
        <w:b/>
      </w:rPr>
      <w:br/>
    </w:r>
    <w:r w:rsidRPr="00B82C17">
      <w:rPr>
        <w:rFonts w:ascii="Segoe UI" w:hAnsi="Segoe UI" w:cs="Segoe UI"/>
        <w:b/>
      </w:rPr>
      <w:t>www.gabettigroup.com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6A28" w:rsidRDefault="00D86A28" w:rsidP="002133DD">
      <w:pPr>
        <w:spacing w:before="0" w:after="0" w:line="240" w:lineRule="auto"/>
      </w:pPr>
      <w:r>
        <w:separator/>
      </w:r>
    </w:p>
  </w:footnote>
  <w:footnote w:type="continuationSeparator" w:id="0">
    <w:p w:rsidR="00D86A28" w:rsidRDefault="00D86A28" w:rsidP="002133D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DB1" w:rsidRDefault="00863AC9" w:rsidP="002133DD">
    <w:pPr>
      <w:pStyle w:val="Intestazione"/>
      <w:jc w:val="right"/>
    </w:pPr>
    <w:r w:rsidRPr="00665837">
      <w:rPr>
        <w:noProof/>
        <w:lang w:eastAsia="it-IT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column">
            <wp:posOffset>3694430</wp:posOffset>
          </wp:positionH>
          <wp:positionV relativeFrom="paragraph">
            <wp:posOffset>-46355</wp:posOffset>
          </wp:positionV>
          <wp:extent cx="1409700" cy="520700"/>
          <wp:effectExtent l="0" t="0" r="0" b="0"/>
          <wp:wrapNone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9700" cy="520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C6D4E">
      <w:rPr>
        <w:noProof/>
        <w:lang w:eastAsia="it-IT"/>
      </w:rPr>
      <w:pict>
        <v:rect id="Rettangolo 14" o:spid="_x0000_s1026" style="position:absolute;left:0;text-align:left;margin-left:-251.05pt;margin-top:7.05pt;width:524pt;height:18.2pt;z-index:25166643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" fillcolor="#a32236 [3204]" stroked="f" strokeweight="1pt"/>
      </w:pict>
    </w:r>
  </w:p>
  <w:p w:rsidR="002133DD" w:rsidRDefault="002133DD" w:rsidP="002133DD">
    <w:pPr>
      <w:pStyle w:val="Intestazione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0AA1" w:rsidRDefault="00D60AA1">
    <w:pPr>
      <w:pStyle w:val="Intestazione"/>
    </w:pPr>
    <w:r w:rsidRPr="00D60AA1">
      <w:rPr>
        <w:noProof/>
        <w:lang w:eastAsia="it-IT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3449955</wp:posOffset>
          </wp:positionV>
          <wp:extent cx="6184900" cy="2627630"/>
          <wp:effectExtent l="0" t="0" r="6350" b="127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84900" cy="2627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60AA1">
      <w:rPr>
        <w:noProof/>
        <w:lang w:eastAsia="it-IT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270510</wp:posOffset>
          </wp:positionH>
          <wp:positionV relativeFrom="paragraph">
            <wp:posOffset>3732530</wp:posOffset>
          </wp:positionV>
          <wp:extent cx="5643880" cy="2063115"/>
          <wp:effectExtent l="0" t="0" r="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3880" cy="2063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45F97"/>
    <w:multiLevelType w:val="hybridMultilevel"/>
    <w:tmpl w:val="BD948FBA"/>
    <w:lvl w:ilvl="0" w:tplc="805CAF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F832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B68B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F698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446CC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DA67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C8BD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84C1D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7A39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AB79C6"/>
    <w:multiLevelType w:val="hybridMultilevel"/>
    <w:tmpl w:val="C62C2570"/>
    <w:lvl w:ilvl="0" w:tplc="B71420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7DA09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F4D9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0AC7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E2FF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1828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C47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945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EA3C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C4F604D"/>
    <w:multiLevelType w:val="hybridMultilevel"/>
    <w:tmpl w:val="24123A8E"/>
    <w:lvl w:ilvl="0" w:tplc="A9361E06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242517"/>
    <w:multiLevelType w:val="hybridMultilevel"/>
    <w:tmpl w:val="4D1202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1D7F4F"/>
    <w:multiLevelType w:val="hybridMultilevel"/>
    <w:tmpl w:val="2B36359E"/>
    <w:lvl w:ilvl="0" w:tplc="1062C286">
      <w:numFmt w:val="bullet"/>
      <w:lvlText w:val="•"/>
      <w:lvlJc w:val="left"/>
      <w:pPr>
        <w:ind w:left="720" w:hanging="360"/>
      </w:pPr>
      <w:rPr>
        <w:rFonts w:ascii="Segoe UI" w:eastAsiaTheme="minorEastAsia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241B43"/>
    <w:multiLevelType w:val="hybridMultilevel"/>
    <w:tmpl w:val="19E259CA"/>
    <w:lvl w:ilvl="0" w:tplc="7270D2DE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D2215A"/>
    <w:multiLevelType w:val="hybridMultilevel"/>
    <w:tmpl w:val="4AA89AE4"/>
    <w:lvl w:ilvl="0" w:tplc="AFA498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FA60D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4981D8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AA88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72553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CC694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674CB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9CADB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50932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5704AAA"/>
    <w:multiLevelType w:val="hybridMultilevel"/>
    <w:tmpl w:val="3AA2E66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7"/>
  </w:num>
  <w:num w:numId="5">
    <w:abstractNumId w:val="4"/>
  </w:num>
  <w:num w:numId="6">
    <w:abstractNumId w:val="1"/>
  </w:num>
  <w:num w:numId="7">
    <w:abstractNumId w:val="2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/>
  <w:defaultTabStop w:val="708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133DD"/>
    <w:rsid w:val="0002390F"/>
    <w:rsid w:val="00035C29"/>
    <w:rsid w:val="00044A8E"/>
    <w:rsid w:val="000463F6"/>
    <w:rsid w:val="00055210"/>
    <w:rsid w:val="00077D5E"/>
    <w:rsid w:val="00080934"/>
    <w:rsid w:val="00084A2D"/>
    <w:rsid w:val="00097A77"/>
    <w:rsid w:val="000A0D51"/>
    <w:rsid w:val="000A6AB7"/>
    <w:rsid w:val="000B1FFD"/>
    <w:rsid w:val="000B49C8"/>
    <w:rsid w:val="000C2082"/>
    <w:rsid w:val="000C4CD4"/>
    <w:rsid w:val="000C7B64"/>
    <w:rsid w:val="000D2071"/>
    <w:rsid w:val="000D3EDF"/>
    <w:rsid w:val="000D447A"/>
    <w:rsid w:val="000D610D"/>
    <w:rsid w:val="000E7F95"/>
    <w:rsid w:val="000F1037"/>
    <w:rsid w:val="000F5B00"/>
    <w:rsid w:val="000F7E0C"/>
    <w:rsid w:val="001028E4"/>
    <w:rsid w:val="00104874"/>
    <w:rsid w:val="00112334"/>
    <w:rsid w:val="00153C70"/>
    <w:rsid w:val="0016583E"/>
    <w:rsid w:val="00165BBF"/>
    <w:rsid w:val="0016657B"/>
    <w:rsid w:val="00193168"/>
    <w:rsid w:val="001A480F"/>
    <w:rsid w:val="001B08EF"/>
    <w:rsid w:val="001B39CD"/>
    <w:rsid w:val="001B58DB"/>
    <w:rsid w:val="001C3618"/>
    <w:rsid w:val="001E5A25"/>
    <w:rsid w:val="001F1173"/>
    <w:rsid w:val="002133DD"/>
    <w:rsid w:val="002163EB"/>
    <w:rsid w:val="002171A5"/>
    <w:rsid w:val="00232E97"/>
    <w:rsid w:val="00240932"/>
    <w:rsid w:val="00244ED6"/>
    <w:rsid w:val="00245829"/>
    <w:rsid w:val="00246A7A"/>
    <w:rsid w:val="00247FBE"/>
    <w:rsid w:val="00273494"/>
    <w:rsid w:val="002878EF"/>
    <w:rsid w:val="00295F04"/>
    <w:rsid w:val="002A1ED9"/>
    <w:rsid w:val="002A20B4"/>
    <w:rsid w:val="002C0284"/>
    <w:rsid w:val="002C43A8"/>
    <w:rsid w:val="002C6C7D"/>
    <w:rsid w:val="002D0E67"/>
    <w:rsid w:val="002D15A8"/>
    <w:rsid w:val="002E3B16"/>
    <w:rsid w:val="002E4C8E"/>
    <w:rsid w:val="002E7675"/>
    <w:rsid w:val="00305BA5"/>
    <w:rsid w:val="003111CA"/>
    <w:rsid w:val="003113DC"/>
    <w:rsid w:val="0031236D"/>
    <w:rsid w:val="00313510"/>
    <w:rsid w:val="00325638"/>
    <w:rsid w:val="00325D04"/>
    <w:rsid w:val="003400CB"/>
    <w:rsid w:val="00345A4D"/>
    <w:rsid w:val="003529B5"/>
    <w:rsid w:val="00355074"/>
    <w:rsid w:val="00355EB4"/>
    <w:rsid w:val="00362214"/>
    <w:rsid w:val="003679BE"/>
    <w:rsid w:val="00371A1F"/>
    <w:rsid w:val="00373AD6"/>
    <w:rsid w:val="00391754"/>
    <w:rsid w:val="003941D2"/>
    <w:rsid w:val="00395D2D"/>
    <w:rsid w:val="003B0DD3"/>
    <w:rsid w:val="003B767C"/>
    <w:rsid w:val="003C66D6"/>
    <w:rsid w:val="003E1866"/>
    <w:rsid w:val="003E1888"/>
    <w:rsid w:val="003E200C"/>
    <w:rsid w:val="003E2B2C"/>
    <w:rsid w:val="003E5A0C"/>
    <w:rsid w:val="003F1928"/>
    <w:rsid w:val="003F5343"/>
    <w:rsid w:val="00417B03"/>
    <w:rsid w:val="00420895"/>
    <w:rsid w:val="0042603A"/>
    <w:rsid w:val="00444BCE"/>
    <w:rsid w:val="004513DC"/>
    <w:rsid w:val="00461123"/>
    <w:rsid w:val="00473DE7"/>
    <w:rsid w:val="004741CA"/>
    <w:rsid w:val="004808BF"/>
    <w:rsid w:val="004845B5"/>
    <w:rsid w:val="00484954"/>
    <w:rsid w:val="00485B88"/>
    <w:rsid w:val="00486E50"/>
    <w:rsid w:val="004A20C1"/>
    <w:rsid w:val="004A7EB1"/>
    <w:rsid w:val="004B0549"/>
    <w:rsid w:val="004B1219"/>
    <w:rsid w:val="004B4948"/>
    <w:rsid w:val="004E2A84"/>
    <w:rsid w:val="004F4F68"/>
    <w:rsid w:val="0050057C"/>
    <w:rsid w:val="005021E1"/>
    <w:rsid w:val="00503A20"/>
    <w:rsid w:val="00512069"/>
    <w:rsid w:val="005128D7"/>
    <w:rsid w:val="00515F11"/>
    <w:rsid w:val="00524E20"/>
    <w:rsid w:val="00537093"/>
    <w:rsid w:val="00537119"/>
    <w:rsid w:val="005467C3"/>
    <w:rsid w:val="005475EE"/>
    <w:rsid w:val="0055103B"/>
    <w:rsid w:val="00556F6C"/>
    <w:rsid w:val="00564C32"/>
    <w:rsid w:val="005665ED"/>
    <w:rsid w:val="00586F2F"/>
    <w:rsid w:val="005912FD"/>
    <w:rsid w:val="0059638B"/>
    <w:rsid w:val="005A714E"/>
    <w:rsid w:val="005B6FF3"/>
    <w:rsid w:val="005D0368"/>
    <w:rsid w:val="005D0F6C"/>
    <w:rsid w:val="005E04B8"/>
    <w:rsid w:val="005E7442"/>
    <w:rsid w:val="005F128B"/>
    <w:rsid w:val="00600491"/>
    <w:rsid w:val="006127D9"/>
    <w:rsid w:val="0061312B"/>
    <w:rsid w:val="00624246"/>
    <w:rsid w:val="00625445"/>
    <w:rsid w:val="0062726E"/>
    <w:rsid w:val="00633A61"/>
    <w:rsid w:val="00643ABC"/>
    <w:rsid w:val="0065553B"/>
    <w:rsid w:val="00656187"/>
    <w:rsid w:val="006636D4"/>
    <w:rsid w:val="00665837"/>
    <w:rsid w:val="0068111F"/>
    <w:rsid w:val="006830FC"/>
    <w:rsid w:val="00684359"/>
    <w:rsid w:val="00695BC4"/>
    <w:rsid w:val="006C791B"/>
    <w:rsid w:val="006D3023"/>
    <w:rsid w:val="006E709D"/>
    <w:rsid w:val="006F6052"/>
    <w:rsid w:val="006F60FE"/>
    <w:rsid w:val="007011BA"/>
    <w:rsid w:val="00702782"/>
    <w:rsid w:val="007106F6"/>
    <w:rsid w:val="007111F8"/>
    <w:rsid w:val="0071234D"/>
    <w:rsid w:val="007128FC"/>
    <w:rsid w:val="00712D43"/>
    <w:rsid w:val="00713393"/>
    <w:rsid w:val="00716628"/>
    <w:rsid w:val="00721EE7"/>
    <w:rsid w:val="00725790"/>
    <w:rsid w:val="0073149A"/>
    <w:rsid w:val="00733E7F"/>
    <w:rsid w:val="007408D3"/>
    <w:rsid w:val="00740AAE"/>
    <w:rsid w:val="007443CE"/>
    <w:rsid w:val="007522E4"/>
    <w:rsid w:val="0075395F"/>
    <w:rsid w:val="00756E11"/>
    <w:rsid w:val="00762F73"/>
    <w:rsid w:val="007719AB"/>
    <w:rsid w:val="00771EA9"/>
    <w:rsid w:val="0077446B"/>
    <w:rsid w:val="007922C1"/>
    <w:rsid w:val="0079286C"/>
    <w:rsid w:val="00797611"/>
    <w:rsid w:val="007B1B86"/>
    <w:rsid w:val="007C20E0"/>
    <w:rsid w:val="007D6637"/>
    <w:rsid w:val="007D67BE"/>
    <w:rsid w:val="007E2B94"/>
    <w:rsid w:val="007F2751"/>
    <w:rsid w:val="007F69B5"/>
    <w:rsid w:val="00817157"/>
    <w:rsid w:val="00822FCC"/>
    <w:rsid w:val="008244D8"/>
    <w:rsid w:val="008309E8"/>
    <w:rsid w:val="00843E62"/>
    <w:rsid w:val="00845EA9"/>
    <w:rsid w:val="008461C4"/>
    <w:rsid w:val="0085150C"/>
    <w:rsid w:val="008550B8"/>
    <w:rsid w:val="00863AC9"/>
    <w:rsid w:val="008702A2"/>
    <w:rsid w:val="00870BB0"/>
    <w:rsid w:val="00871569"/>
    <w:rsid w:val="00873DB3"/>
    <w:rsid w:val="00874796"/>
    <w:rsid w:val="008802CE"/>
    <w:rsid w:val="00883DA1"/>
    <w:rsid w:val="008855E2"/>
    <w:rsid w:val="008A1F1F"/>
    <w:rsid w:val="008A74B6"/>
    <w:rsid w:val="008B0977"/>
    <w:rsid w:val="008B69C8"/>
    <w:rsid w:val="008C1E1D"/>
    <w:rsid w:val="008D1BA3"/>
    <w:rsid w:val="008D3844"/>
    <w:rsid w:val="008D59F7"/>
    <w:rsid w:val="008E0EBF"/>
    <w:rsid w:val="008E7235"/>
    <w:rsid w:val="008F0BBD"/>
    <w:rsid w:val="008F2FD9"/>
    <w:rsid w:val="008F540D"/>
    <w:rsid w:val="008F7095"/>
    <w:rsid w:val="0090378F"/>
    <w:rsid w:val="009107C4"/>
    <w:rsid w:val="00910A6B"/>
    <w:rsid w:val="0091623C"/>
    <w:rsid w:val="00916F0A"/>
    <w:rsid w:val="009214F3"/>
    <w:rsid w:val="00924927"/>
    <w:rsid w:val="0093166C"/>
    <w:rsid w:val="00941D0B"/>
    <w:rsid w:val="00947499"/>
    <w:rsid w:val="0096772D"/>
    <w:rsid w:val="00967E0F"/>
    <w:rsid w:val="009715A7"/>
    <w:rsid w:val="00975D7E"/>
    <w:rsid w:val="0098100E"/>
    <w:rsid w:val="00983002"/>
    <w:rsid w:val="0099082B"/>
    <w:rsid w:val="00996FAA"/>
    <w:rsid w:val="009975D3"/>
    <w:rsid w:val="009D5B80"/>
    <w:rsid w:val="009E1D84"/>
    <w:rsid w:val="009E22E7"/>
    <w:rsid w:val="009E4635"/>
    <w:rsid w:val="009E6E1C"/>
    <w:rsid w:val="009F62A1"/>
    <w:rsid w:val="00A050A0"/>
    <w:rsid w:val="00A058A2"/>
    <w:rsid w:val="00A06C9C"/>
    <w:rsid w:val="00A07517"/>
    <w:rsid w:val="00A257AF"/>
    <w:rsid w:val="00A323FE"/>
    <w:rsid w:val="00A407F7"/>
    <w:rsid w:val="00A52684"/>
    <w:rsid w:val="00A6086B"/>
    <w:rsid w:val="00A62938"/>
    <w:rsid w:val="00A657E8"/>
    <w:rsid w:val="00A73720"/>
    <w:rsid w:val="00A80CE1"/>
    <w:rsid w:val="00A80D73"/>
    <w:rsid w:val="00A962F1"/>
    <w:rsid w:val="00AA1A0D"/>
    <w:rsid w:val="00AA6B47"/>
    <w:rsid w:val="00AA7123"/>
    <w:rsid w:val="00AD2B7A"/>
    <w:rsid w:val="00AF6635"/>
    <w:rsid w:val="00B12A8E"/>
    <w:rsid w:val="00B12BE6"/>
    <w:rsid w:val="00B15909"/>
    <w:rsid w:val="00B2075C"/>
    <w:rsid w:val="00B33299"/>
    <w:rsid w:val="00B37A84"/>
    <w:rsid w:val="00B41C54"/>
    <w:rsid w:val="00B42F1C"/>
    <w:rsid w:val="00B43875"/>
    <w:rsid w:val="00B52988"/>
    <w:rsid w:val="00B65991"/>
    <w:rsid w:val="00B76BF9"/>
    <w:rsid w:val="00B8048B"/>
    <w:rsid w:val="00B82C17"/>
    <w:rsid w:val="00B90C8C"/>
    <w:rsid w:val="00B92862"/>
    <w:rsid w:val="00BA7A80"/>
    <w:rsid w:val="00BB00A7"/>
    <w:rsid w:val="00BB01F7"/>
    <w:rsid w:val="00BB3E6B"/>
    <w:rsid w:val="00BB55BD"/>
    <w:rsid w:val="00BC0C1C"/>
    <w:rsid w:val="00BC317E"/>
    <w:rsid w:val="00BC5993"/>
    <w:rsid w:val="00BD0524"/>
    <w:rsid w:val="00BD232F"/>
    <w:rsid w:val="00BE1A85"/>
    <w:rsid w:val="00BE30CF"/>
    <w:rsid w:val="00C06336"/>
    <w:rsid w:val="00C1033D"/>
    <w:rsid w:val="00C32ACB"/>
    <w:rsid w:val="00C44ACC"/>
    <w:rsid w:val="00C52C5C"/>
    <w:rsid w:val="00C5749C"/>
    <w:rsid w:val="00C66590"/>
    <w:rsid w:val="00C76DC1"/>
    <w:rsid w:val="00C94690"/>
    <w:rsid w:val="00CA185C"/>
    <w:rsid w:val="00CC5D52"/>
    <w:rsid w:val="00CC6D4E"/>
    <w:rsid w:val="00CD60C0"/>
    <w:rsid w:val="00CE0AB4"/>
    <w:rsid w:val="00CE126D"/>
    <w:rsid w:val="00CE4F89"/>
    <w:rsid w:val="00D006DB"/>
    <w:rsid w:val="00D026E9"/>
    <w:rsid w:val="00D11947"/>
    <w:rsid w:val="00D239C5"/>
    <w:rsid w:val="00D32327"/>
    <w:rsid w:val="00D34FA9"/>
    <w:rsid w:val="00D35ABB"/>
    <w:rsid w:val="00D425AB"/>
    <w:rsid w:val="00D504F5"/>
    <w:rsid w:val="00D50DD4"/>
    <w:rsid w:val="00D51EF6"/>
    <w:rsid w:val="00D60AA1"/>
    <w:rsid w:val="00D619FB"/>
    <w:rsid w:val="00D63FB2"/>
    <w:rsid w:val="00D67CC2"/>
    <w:rsid w:val="00D722A0"/>
    <w:rsid w:val="00D74150"/>
    <w:rsid w:val="00D753A8"/>
    <w:rsid w:val="00D81F80"/>
    <w:rsid w:val="00D8344C"/>
    <w:rsid w:val="00D86A28"/>
    <w:rsid w:val="00D915C6"/>
    <w:rsid w:val="00D93246"/>
    <w:rsid w:val="00DA14EA"/>
    <w:rsid w:val="00DC3853"/>
    <w:rsid w:val="00DC466D"/>
    <w:rsid w:val="00DD4A2B"/>
    <w:rsid w:val="00DD4DF3"/>
    <w:rsid w:val="00DE05B9"/>
    <w:rsid w:val="00DE333B"/>
    <w:rsid w:val="00DF3F68"/>
    <w:rsid w:val="00E26C21"/>
    <w:rsid w:val="00E37ECC"/>
    <w:rsid w:val="00E4160A"/>
    <w:rsid w:val="00E43755"/>
    <w:rsid w:val="00E47DC1"/>
    <w:rsid w:val="00E70387"/>
    <w:rsid w:val="00E75ED5"/>
    <w:rsid w:val="00E82278"/>
    <w:rsid w:val="00EA1360"/>
    <w:rsid w:val="00EC224F"/>
    <w:rsid w:val="00EC3110"/>
    <w:rsid w:val="00EC4FC5"/>
    <w:rsid w:val="00ED1D1E"/>
    <w:rsid w:val="00EF1040"/>
    <w:rsid w:val="00EF3050"/>
    <w:rsid w:val="00F11B9B"/>
    <w:rsid w:val="00F12ACB"/>
    <w:rsid w:val="00F141FF"/>
    <w:rsid w:val="00F15DCB"/>
    <w:rsid w:val="00F16160"/>
    <w:rsid w:val="00F23733"/>
    <w:rsid w:val="00F5652D"/>
    <w:rsid w:val="00F57270"/>
    <w:rsid w:val="00F66E72"/>
    <w:rsid w:val="00F72720"/>
    <w:rsid w:val="00F80EC5"/>
    <w:rsid w:val="00F858FE"/>
    <w:rsid w:val="00FA6DB1"/>
    <w:rsid w:val="00FB2319"/>
    <w:rsid w:val="00FC0EC9"/>
    <w:rsid w:val="00FC6FBF"/>
    <w:rsid w:val="00FC7314"/>
    <w:rsid w:val="00FC7777"/>
    <w:rsid w:val="00FD6AFE"/>
    <w:rsid w:val="00FE561B"/>
    <w:rsid w:val="00FE6399"/>
    <w:rsid w:val="00FE69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529B5"/>
    <w:rPr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3529B5"/>
    <w:pPr>
      <w:pBdr>
        <w:top w:val="single" w:sz="24" w:space="0" w:color="A32236" w:themeColor="accent1"/>
        <w:left w:val="single" w:sz="24" w:space="0" w:color="A32236" w:themeColor="accent1"/>
        <w:bottom w:val="single" w:sz="24" w:space="0" w:color="A32236" w:themeColor="accent1"/>
        <w:right w:val="single" w:sz="24" w:space="0" w:color="A32236" w:themeColor="accent1"/>
      </w:pBdr>
      <w:shd w:val="clear" w:color="auto" w:fill="A32236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529B5"/>
    <w:pPr>
      <w:pBdr>
        <w:top w:val="single" w:sz="24" w:space="0" w:color="F4CBD1" w:themeColor="accent1" w:themeTint="33"/>
        <w:left w:val="single" w:sz="24" w:space="0" w:color="F4CBD1" w:themeColor="accent1" w:themeTint="33"/>
        <w:bottom w:val="single" w:sz="24" w:space="0" w:color="F4CBD1" w:themeColor="accent1" w:themeTint="33"/>
        <w:right w:val="single" w:sz="24" w:space="0" w:color="F4CBD1" w:themeColor="accent1" w:themeTint="33"/>
      </w:pBdr>
      <w:shd w:val="clear" w:color="auto" w:fill="F4CBD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529B5"/>
    <w:pPr>
      <w:pBdr>
        <w:top w:val="single" w:sz="6" w:space="2" w:color="A32236" w:themeColor="accent1"/>
        <w:left w:val="single" w:sz="6" w:space="2" w:color="A32236" w:themeColor="accent1"/>
      </w:pBdr>
      <w:spacing w:before="300" w:after="0"/>
      <w:outlineLvl w:val="2"/>
    </w:pPr>
    <w:rPr>
      <w:caps/>
      <w:color w:val="51111A" w:themeColor="accent1" w:themeShade="7F"/>
      <w:spacing w:val="15"/>
      <w:sz w:val="22"/>
      <w:szCs w:val="22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529B5"/>
    <w:pPr>
      <w:pBdr>
        <w:top w:val="dotted" w:sz="6" w:space="2" w:color="A32236" w:themeColor="accent1"/>
        <w:left w:val="dotted" w:sz="6" w:space="2" w:color="A32236" w:themeColor="accent1"/>
      </w:pBdr>
      <w:spacing w:before="300" w:after="0"/>
      <w:outlineLvl w:val="3"/>
    </w:pPr>
    <w:rPr>
      <w:caps/>
      <w:color w:val="791928" w:themeColor="accent1" w:themeShade="BF"/>
      <w:spacing w:val="10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529B5"/>
    <w:pPr>
      <w:pBdr>
        <w:bottom w:val="single" w:sz="6" w:space="1" w:color="A32236" w:themeColor="accent1"/>
      </w:pBdr>
      <w:spacing w:before="300" w:after="0"/>
      <w:outlineLvl w:val="4"/>
    </w:pPr>
    <w:rPr>
      <w:caps/>
      <w:color w:val="791928" w:themeColor="accent1" w:themeShade="BF"/>
      <w:spacing w:val="10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529B5"/>
    <w:pPr>
      <w:pBdr>
        <w:bottom w:val="dotted" w:sz="6" w:space="1" w:color="A32236" w:themeColor="accent1"/>
      </w:pBdr>
      <w:spacing w:before="300" w:after="0"/>
      <w:outlineLvl w:val="5"/>
    </w:pPr>
    <w:rPr>
      <w:caps/>
      <w:color w:val="791928" w:themeColor="accent1" w:themeShade="BF"/>
      <w:spacing w:val="10"/>
      <w:sz w:val="22"/>
      <w:szCs w:val="22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529B5"/>
    <w:pPr>
      <w:spacing w:before="300" w:after="0"/>
      <w:outlineLvl w:val="6"/>
    </w:pPr>
    <w:rPr>
      <w:caps/>
      <w:color w:val="791928" w:themeColor="accent1" w:themeShade="BF"/>
      <w:spacing w:val="10"/>
      <w:sz w:val="22"/>
      <w:szCs w:val="22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529B5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529B5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133D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133DD"/>
  </w:style>
  <w:style w:type="paragraph" w:styleId="Pidipagina">
    <w:name w:val="footer"/>
    <w:basedOn w:val="Normale"/>
    <w:link w:val="PidipaginaCarattere"/>
    <w:uiPriority w:val="99"/>
    <w:unhideWhenUsed/>
    <w:rsid w:val="002133D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133DD"/>
  </w:style>
  <w:style w:type="paragraph" w:customStyle="1" w:styleId="p1">
    <w:name w:val="p1"/>
    <w:basedOn w:val="Normale"/>
    <w:rsid w:val="002133DD"/>
    <w:rPr>
      <w:rFonts w:ascii="Montserrat Light" w:hAnsi="Montserrat Light" w:cs="Times New Roman"/>
      <w:color w:val="B50014"/>
      <w:sz w:val="45"/>
      <w:szCs w:val="45"/>
      <w:lang w:eastAsia="it-IT"/>
    </w:rPr>
  </w:style>
  <w:style w:type="character" w:customStyle="1" w:styleId="s1">
    <w:name w:val="s1"/>
    <w:basedOn w:val="Carpredefinitoparagrafo"/>
    <w:rsid w:val="002133DD"/>
    <w:rPr>
      <w:rFonts w:ascii="Montserrat" w:hAnsi="Montserrat" w:hint="default"/>
      <w:sz w:val="45"/>
      <w:szCs w:val="45"/>
    </w:rPr>
  </w:style>
  <w:style w:type="character" w:customStyle="1" w:styleId="apple-converted-space">
    <w:name w:val="apple-converted-space"/>
    <w:basedOn w:val="Carpredefinitoparagrafo"/>
    <w:rsid w:val="002133DD"/>
  </w:style>
  <w:style w:type="character" w:customStyle="1" w:styleId="Titolo1Carattere">
    <w:name w:val="Titolo 1 Carattere"/>
    <w:basedOn w:val="Carpredefinitoparagrafo"/>
    <w:link w:val="Titolo1"/>
    <w:uiPriority w:val="9"/>
    <w:rsid w:val="003529B5"/>
    <w:rPr>
      <w:b/>
      <w:bCs/>
      <w:caps/>
      <w:color w:val="FFFFFF" w:themeColor="background1"/>
      <w:spacing w:val="15"/>
      <w:shd w:val="clear" w:color="auto" w:fill="A32236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529B5"/>
    <w:rPr>
      <w:caps/>
      <w:spacing w:val="15"/>
      <w:shd w:val="clear" w:color="auto" w:fill="F4CBD1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529B5"/>
    <w:rPr>
      <w:caps/>
      <w:color w:val="51111A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529B5"/>
    <w:rPr>
      <w:caps/>
      <w:color w:val="791928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529B5"/>
    <w:rPr>
      <w:caps/>
      <w:color w:val="791928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529B5"/>
    <w:rPr>
      <w:caps/>
      <w:color w:val="791928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529B5"/>
    <w:rPr>
      <w:caps/>
      <w:color w:val="791928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529B5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529B5"/>
    <w:rPr>
      <w:i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3529B5"/>
    <w:rPr>
      <w:b/>
      <w:bCs/>
      <w:color w:val="791928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uiPriority w:val="10"/>
    <w:qFormat/>
    <w:rsid w:val="003529B5"/>
    <w:pPr>
      <w:spacing w:before="720"/>
    </w:pPr>
    <w:rPr>
      <w:caps/>
      <w:color w:val="A32236" w:themeColor="accent1"/>
      <w:spacing w:val="10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3529B5"/>
    <w:rPr>
      <w:caps/>
      <w:color w:val="A32236" w:themeColor="accent1"/>
      <w:spacing w:val="10"/>
      <w:kern w:val="28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529B5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529B5"/>
    <w:rPr>
      <w:caps/>
      <w:color w:val="595959" w:themeColor="text1" w:themeTint="A6"/>
      <w:spacing w:val="10"/>
      <w:sz w:val="24"/>
      <w:szCs w:val="24"/>
    </w:rPr>
  </w:style>
  <w:style w:type="character" w:styleId="Enfasigrassetto">
    <w:name w:val="Strong"/>
    <w:uiPriority w:val="22"/>
    <w:qFormat/>
    <w:rsid w:val="003529B5"/>
    <w:rPr>
      <w:b/>
      <w:bCs/>
    </w:rPr>
  </w:style>
  <w:style w:type="character" w:styleId="Enfasicorsivo">
    <w:name w:val="Emphasis"/>
    <w:uiPriority w:val="20"/>
    <w:qFormat/>
    <w:rsid w:val="003529B5"/>
    <w:rPr>
      <w:caps/>
      <w:color w:val="51111A" w:themeColor="accent1" w:themeShade="7F"/>
      <w:spacing w:val="5"/>
    </w:rPr>
  </w:style>
  <w:style w:type="paragraph" w:styleId="Nessunaspaziatura">
    <w:name w:val="No Spacing"/>
    <w:basedOn w:val="Normale"/>
    <w:link w:val="NessunaspaziaturaCarattere"/>
    <w:uiPriority w:val="1"/>
    <w:qFormat/>
    <w:rsid w:val="003529B5"/>
    <w:pPr>
      <w:spacing w:before="0" w:after="0" w:line="240" w:lineRule="auto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3529B5"/>
    <w:rPr>
      <w:sz w:val="20"/>
      <w:szCs w:val="20"/>
    </w:rPr>
  </w:style>
  <w:style w:type="paragraph" w:styleId="Paragrafoelenco">
    <w:name w:val="List Paragraph"/>
    <w:basedOn w:val="Normale"/>
    <w:uiPriority w:val="34"/>
    <w:qFormat/>
    <w:rsid w:val="003529B5"/>
    <w:pPr>
      <w:ind w:left="720"/>
      <w:contextualSpacing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3529B5"/>
    <w:rPr>
      <w:i/>
      <w:iCs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529B5"/>
    <w:rPr>
      <w:i/>
      <w:iCs/>
      <w:sz w:val="20"/>
      <w:szCs w:val="20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529B5"/>
    <w:pPr>
      <w:pBdr>
        <w:top w:val="single" w:sz="4" w:space="10" w:color="A32236" w:themeColor="accent1"/>
        <w:left w:val="single" w:sz="4" w:space="10" w:color="A32236" w:themeColor="accent1"/>
      </w:pBdr>
      <w:spacing w:after="0"/>
      <w:ind w:left="1296" w:right="1152"/>
      <w:jc w:val="both"/>
    </w:pPr>
    <w:rPr>
      <w:i/>
      <w:iCs/>
      <w:color w:val="A32236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529B5"/>
    <w:rPr>
      <w:i/>
      <w:iCs/>
      <w:color w:val="A32236" w:themeColor="accent1"/>
      <w:sz w:val="20"/>
      <w:szCs w:val="20"/>
    </w:rPr>
  </w:style>
  <w:style w:type="character" w:styleId="Enfasidelicata">
    <w:name w:val="Subtle Emphasis"/>
    <w:uiPriority w:val="19"/>
    <w:qFormat/>
    <w:rsid w:val="003529B5"/>
    <w:rPr>
      <w:i/>
      <w:iCs/>
      <w:color w:val="51111A" w:themeColor="accent1" w:themeShade="7F"/>
    </w:rPr>
  </w:style>
  <w:style w:type="character" w:styleId="Enfasiintensa">
    <w:name w:val="Intense Emphasis"/>
    <w:uiPriority w:val="21"/>
    <w:qFormat/>
    <w:rsid w:val="003529B5"/>
    <w:rPr>
      <w:b/>
      <w:bCs/>
      <w:caps/>
      <w:color w:val="51111A" w:themeColor="accent1" w:themeShade="7F"/>
      <w:spacing w:val="10"/>
    </w:rPr>
  </w:style>
  <w:style w:type="character" w:styleId="Riferimentodelicato">
    <w:name w:val="Subtle Reference"/>
    <w:uiPriority w:val="31"/>
    <w:qFormat/>
    <w:rsid w:val="003529B5"/>
    <w:rPr>
      <w:b/>
      <w:bCs/>
      <w:color w:val="A32236" w:themeColor="accent1"/>
    </w:rPr>
  </w:style>
  <w:style w:type="character" w:styleId="Riferimentointenso">
    <w:name w:val="Intense Reference"/>
    <w:uiPriority w:val="32"/>
    <w:qFormat/>
    <w:rsid w:val="003529B5"/>
    <w:rPr>
      <w:b/>
      <w:bCs/>
      <w:i/>
      <w:iCs/>
      <w:caps/>
      <w:color w:val="A32236" w:themeColor="accent1"/>
    </w:rPr>
  </w:style>
  <w:style w:type="character" w:styleId="Titolodellibro">
    <w:name w:val="Book Title"/>
    <w:uiPriority w:val="33"/>
    <w:qFormat/>
    <w:rsid w:val="003529B5"/>
    <w:rPr>
      <w:b/>
      <w:bCs/>
      <w:i/>
      <w:iCs/>
      <w:spacing w:val="9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3529B5"/>
    <w:pPr>
      <w:outlineLvl w:val="9"/>
    </w:pPr>
  </w:style>
  <w:style w:type="paragraph" w:styleId="NormaleWeb">
    <w:name w:val="Normal (Web)"/>
    <w:basedOn w:val="Normale"/>
    <w:uiPriority w:val="99"/>
    <w:unhideWhenUsed/>
    <w:rsid w:val="00FC777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customStyle="1" w:styleId="p2">
    <w:name w:val="p2"/>
    <w:basedOn w:val="Normale"/>
    <w:rsid w:val="00CA185C"/>
    <w:pPr>
      <w:spacing w:before="0" w:after="0" w:line="240" w:lineRule="auto"/>
    </w:pPr>
    <w:rPr>
      <w:rFonts w:ascii="Helvetica" w:hAnsi="Helvetica" w:cs="Times New Roman"/>
      <w:color w:val="585757"/>
      <w:sz w:val="14"/>
      <w:szCs w:val="14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0AA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0AA1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665837"/>
    <w:rPr>
      <w:color w:val="0563C1" w:themeColor="hyperlink"/>
      <w:u w:val="single"/>
    </w:rPr>
  </w:style>
  <w:style w:type="character" w:customStyle="1" w:styleId="s2">
    <w:name w:val="s2"/>
    <w:basedOn w:val="Carpredefinitoparagrafo"/>
    <w:rsid w:val="00665837"/>
    <w:rPr>
      <w:rFonts w:ascii="Neo Sans Std" w:hAnsi="Neo Sans Std" w:hint="default"/>
      <w:color w:val="B10832"/>
      <w:sz w:val="14"/>
      <w:szCs w:val="14"/>
    </w:rPr>
  </w:style>
  <w:style w:type="paragraph" w:customStyle="1" w:styleId="Default">
    <w:name w:val="Default"/>
    <w:rsid w:val="00232E97"/>
    <w:pPr>
      <w:autoSpaceDE w:val="0"/>
      <w:autoSpaceDN w:val="0"/>
      <w:adjustRightInd w:val="0"/>
      <w:spacing w:before="0" w:after="0" w:line="240" w:lineRule="auto"/>
    </w:pPr>
    <w:rPr>
      <w:rFonts w:ascii="Verdana" w:eastAsiaTheme="minorHAnsi" w:hAnsi="Verdana" w:cs="Verdana"/>
      <w:color w:val="000000"/>
      <w:sz w:val="24"/>
      <w:szCs w:val="24"/>
    </w:rPr>
  </w:style>
  <w:style w:type="paragraph" w:styleId="Corpodeltesto">
    <w:name w:val="Body Text"/>
    <w:basedOn w:val="Normale"/>
    <w:link w:val="CorpodeltestoCarattere"/>
    <w:uiPriority w:val="1"/>
    <w:qFormat/>
    <w:rsid w:val="000E7F95"/>
    <w:pPr>
      <w:widowControl w:val="0"/>
      <w:spacing w:before="0" w:after="0" w:line="240" w:lineRule="auto"/>
    </w:pPr>
    <w:rPr>
      <w:rFonts w:ascii="Arial" w:eastAsia="Arial" w:hAnsi="Arial" w:cs="Arial"/>
      <w:lang w:val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0E7F95"/>
    <w:rPr>
      <w:rFonts w:ascii="Arial" w:eastAsia="Arial" w:hAnsi="Arial" w:cs="Arial"/>
      <w:sz w:val="20"/>
      <w:szCs w:val="20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sid w:val="0072579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25790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25790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2579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25790"/>
    <w:rPr>
      <w:b/>
      <w:bCs/>
      <w:sz w:val="20"/>
      <w:szCs w:val="20"/>
    </w:rPr>
  </w:style>
  <w:style w:type="character" w:customStyle="1" w:styleId="normaltextrun">
    <w:name w:val="normaltextrun"/>
    <w:basedOn w:val="Carpredefinitoparagrafo"/>
    <w:rsid w:val="009E4635"/>
  </w:style>
  <w:style w:type="paragraph" w:customStyle="1" w:styleId="paragraph">
    <w:name w:val="paragraph"/>
    <w:basedOn w:val="Normale"/>
    <w:rsid w:val="009810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Carpredefinitoparagrafo"/>
    <w:rsid w:val="0098100E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B5298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1303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14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939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591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22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888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65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Gabetti ok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A32236"/>
      </a:accent1>
      <a:accent2>
        <a:srgbClr val="A4A4A4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B8E8D513-9947-4847-8D08-C91D33215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2224</Words>
  <Characters>12683</Characters>
  <Application>Microsoft Office Word</Application>
  <DocSecurity>0</DocSecurity>
  <Lines>105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Gabetti</Company>
  <LinksUpToDate>false</LinksUpToDate>
  <CharactersWithSpaces>14878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Donegana</dc:creator>
  <cp:lastModifiedBy>paola</cp:lastModifiedBy>
  <cp:revision>19</cp:revision>
  <cp:lastPrinted>2020-09-15T10:20:00Z</cp:lastPrinted>
  <dcterms:created xsi:type="dcterms:W3CDTF">2021-10-28T14:00:00Z</dcterms:created>
  <dcterms:modified xsi:type="dcterms:W3CDTF">2021-12-06T10:27:00Z</dcterms:modified>
</cp:coreProperties>
</file>