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9CAF" w14:textId="77777777" w:rsidR="00900974" w:rsidRPr="00A950F7" w:rsidRDefault="00900974" w:rsidP="00816CA3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A950F7">
        <w:rPr>
          <w:b/>
          <w:bCs/>
          <w:sz w:val="20"/>
          <w:szCs w:val="20"/>
          <w:u w:val="single"/>
        </w:rPr>
        <w:t>COMUNICATO STAMPA</w:t>
      </w:r>
    </w:p>
    <w:p w14:paraId="58F4D25E" w14:textId="77777777" w:rsidR="00900974" w:rsidRPr="00677F38" w:rsidRDefault="00900974" w:rsidP="00816CA3">
      <w:pPr>
        <w:spacing w:line="360" w:lineRule="auto"/>
        <w:jc w:val="center"/>
        <w:rPr>
          <w:b/>
          <w:bCs/>
        </w:rPr>
      </w:pPr>
      <w:r w:rsidRPr="00677F38">
        <w:rPr>
          <w:b/>
          <w:bCs/>
        </w:rPr>
        <w:t xml:space="preserve">Nasce la nuova </w:t>
      </w:r>
      <w:proofErr w:type="spellStart"/>
      <w:r w:rsidRPr="00677F38">
        <w:rPr>
          <w:b/>
          <w:bCs/>
        </w:rPr>
        <w:t>Halldis</w:t>
      </w:r>
      <w:proofErr w:type="spellEnd"/>
      <w:r w:rsidRPr="00677F38">
        <w:rPr>
          <w:b/>
          <w:bCs/>
        </w:rPr>
        <w:t>, il Tribunale di Milano omologa il concordato preventivo</w:t>
      </w:r>
    </w:p>
    <w:p w14:paraId="3CFCBF70" w14:textId="7DCFAD34" w:rsidR="00900974" w:rsidRPr="00A950F7" w:rsidRDefault="00900974" w:rsidP="00816CA3">
      <w:pPr>
        <w:spacing w:line="360" w:lineRule="auto"/>
        <w:jc w:val="both"/>
        <w:rPr>
          <w:sz w:val="20"/>
          <w:szCs w:val="20"/>
        </w:rPr>
      </w:pPr>
      <w:r w:rsidRPr="00A950F7">
        <w:rPr>
          <w:i/>
          <w:iCs/>
          <w:sz w:val="20"/>
          <w:szCs w:val="20"/>
        </w:rPr>
        <w:t xml:space="preserve">Milano, </w:t>
      </w:r>
      <w:r w:rsidR="008B45A0">
        <w:rPr>
          <w:i/>
          <w:iCs/>
          <w:sz w:val="20"/>
          <w:szCs w:val="20"/>
        </w:rPr>
        <w:t>19</w:t>
      </w:r>
      <w:r w:rsidRPr="00A950F7">
        <w:rPr>
          <w:i/>
          <w:iCs/>
          <w:sz w:val="20"/>
          <w:szCs w:val="20"/>
        </w:rPr>
        <w:t>/0</w:t>
      </w:r>
      <w:r w:rsidR="008B45A0">
        <w:rPr>
          <w:i/>
          <w:iCs/>
          <w:sz w:val="20"/>
          <w:szCs w:val="20"/>
        </w:rPr>
        <w:t>5</w:t>
      </w:r>
      <w:r w:rsidRPr="00A950F7">
        <w:rPr>
          <w:i/>
          <w:iCs/>
          <w:sz w:val="20"/>
          <w:szCs w:val="20"/>
        </w:rPr>
        <w:t>/2022</w:t>
      </w:r>
      <w:r w:rsidRPr="00A950F7">
        <w:rPr>
          <w:sz w:val="20"/>
          <w:szCs w:val="20"/>
        </w:rPr>
        <w:t xml:space="preserve"> - Con decreto di omologa del Tribunale di Milano del 09/05/2022, la proposta di concordato preventivo di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 è stata approvata definitivamente. Trova così perfezionamento positivo il percorso di rinnovamento basato e declinato, da un lato sul piano commerciale - tramite una nuova capacità distributiva e di vendita, una maggiore marginalità e innalzamento della qualità degli immobili gestiti e un miglior equilibrio del portafoglio tra strutture urbane e di vacanza – dall’altro</w:t>
      </w:r>
      <w:r w:rsidR="00816CA3" w:rsidRPr="00A950F7">
        <w:rPr>
          <w:sz w:val="20"/>
          <w:szCs w:val="20"/>
        </w:rPr>
        <w:t>,</w:t>
      </w:r>
      <w:r w:rsidRPr="00A950F7">
        <w:rPr>
          <w:sz w:val="20"/>
          <w:szCs w:val="20"/>
        </w:rPr>
        <w:t xml:space="preserve"> a </w:t>
      </w:r>
      <w:r w:rsidR="00816CA3" w:rsidRPr="00A950F7">
        <w:rPr>
          <w:sz w:val="20"/>
          <w:szCs w:val="20"/>
        </w:rPr>
        <w:t>livello societario</w:t>
      </w:r>
      <w:r w:rsidRPr="00A950F7">
        <w:rPr>
          <w:sz w:val="20"/>
          <w:szCs w:val="20"/>
        </w:rPr>
        <w:t xml:space="preserve">, sul rafforzamento patrimoniale della società e la creazione di una struttura più semplice ed efficiente.  Nasce così a tutti gli effetti la </w:t>
      </w:r>
      <w:r w:rsidRPr="00A950F7">
        <w:rPr>
          <w:b/>
          <w:bCs/>
          <w:sz w:val="20"/>
          <w:szCs w:val="20"/>
        </w:rPr>
        <w:t xml:space="preserve">“nuova” </w:t>
      </w:r>
      <w:proofErr w:type="spellStart"/>
      <w:r w:rsidRPr="00A950F7">
        <w:rPr>
          <w:b/>
          <w:bCs/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>, società italiana con sede sotto la Madonnina, le cui origini risalgono al 1986, pioniere e leader di settore nel mercato degli affitti brevi, che, per conto di proprietari privati e istituzionali (banche, fondi e SGR), gestisce circa 1.000 proprietà, tra appartamenti, palazzi e ville, in più di 120 località italiane ed europee, affittate per uso turistico o motivi di lavoro.</w:t>
      </w:r>
    </w:p>
    <w:p w14:paraId="47490BF8" w14:textId="7D8E6DC9" w:rsidR="00900974" w:rsidRPr="00A950F7" w:rsidRDefault="00900974" w:rsidP="00816CA3">
      <w:pPr>
        <w:spacing w:line="360" w:lineRule="auto"/>
        <w:jc w:val="both"/>
        <w:rPr>
          <w:sz w:val="20"/>
          <w:szCs w:val="20"/>
        </w:rPr>
      </w:pPr>
      <w:r w:rsidRPr="00A950F7">
        <w:rPr>
          <w:sz w:val="20"/>
          <w:szCs w:val="20"/>
        </w:rPr>
        <w:t xml:space="preserve">Il percorso di ristrutturazione era iniziato nell’agosto 2020, quando il forte calo delle prenotazioni dovuto alla pandemia da Covid 19, andando ad accentuare le difficoltà che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 e il suo gruppo già incontravano in conseguenza di scelte delle passate gestioni, spinse la società a chiedere l’ammissione alla procedura di concordato preventivo presso il Tribunale del capoluogo lombardo. Nel corso di due anni segnati dalle gravi ripercussioni della crisi pandemica sulle attività di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="00816CA3" w:rsidRPr="00A950F7">
        <w:rPr>
          <w:sz w:val="20"/>
          <w:szCs w:val="20"/>
        </w:rPr>
        <w:t>,</w:t>
      </w:r>
      <w:r w:rsidRPr="00A950F7">
        <w:rPr>
          <w:sz w:val="20"/>
          <w:szCs w:val="20"/>
        </w:rPr>
        <w:t xml:space="preserve"> la società, grazie alla </w:t>
      </w:r>
      <w:r w:rsidRPr="00A950F7">
        <w:rPr>
          <w:b/>
          <w:bCs/>
          <w:sz w:val="20"/>
          <w:szCs w:val="20"/>
        </w:rPr>
        <w:t>trasformazione realizzata sotto la guida del nuovo ceo Michele Diamantini</w:t>
      </w:r>
      <w:r w:rsidRPr="00A950F7">
        <w:rPr>
          <w:sz w:val="20"/>
          <w:szCs w:val="20"/>
        </w:rPr>
        <w:t xml:space="preserve"> – già tra i fondatori di Expedia Italia e co-founder e general manager di </w:t>
      </w:r>
      <w:proofErr w:type="spellStart"/>
      <w:r w:rsidRPr="00A950F7">
        <w:rPr>
          <w:sz w:val="20"/>
          <w:szCs w:val="20"/>
        </w:rPr>
        <w:t>Vacasa</w:t>
      </w:r>
      <w:proofErr w:type="spellEnd"/>
      <w:r w:rsidRPr="00A950F7">
        <w:rPr>
          <w:sz w:val="20"/>
          <w:szCs w:val="20"/>
        </w:rPr>
        <w:t xml:space="preserve"> Europa – è riuscita a sviluppare un piano concordatario attestato che ha ricevuto prima l'approvazione da parte dei creditori della società (con il voto favorevole dell’ampia maggioranza di tutte le classi dei creditori) e poi il via libera da parte del Tribunale.</w:t>
      </w:r>
    </w:p>
    <w:p w14:paraId="585D1297" w14:textId="2A92D301" w:rsidR="00900974" w:rsidRPr="00A950F7" w:rsidRDefault="00900974" w:rsidP="00816CA3">
      <w:pPr>
        <w:spacing w:line="360" w:lineRule="auto"/>
        <w:jc w:val="both"/>
        <w:rPr>
          <w:sz w:val="20"/>
          <w:szCs w:val="20"/>
        </w:rPr>
      </w:pPr>
      <w:r w:rsidRPr="00A950F7">
        <w:rPr>
          <w:sz w:val="20"/>
          <w:szCs w:val="20"/>
        </w:rPr>
        <w:t xml:space="preserve">La crisi che ha colpito, parallelamente ad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, la sua società controllante </w:t>
      </w:r>
      <w:r w:rsidRPr="00A950F7">
        <w:rPr>
          <w:b/>
          <w:bCs/>
          <w:sz w:val="20"/>
          <w:szCs w:val="20"/>
        </w:rPr>
        <w:t xml:space="preserve">Windows on </w:t>
      </w:r>
      <w:r w:rsidRPr="00D941F8">
        <w:rPr>
          <w:b/>
          <w:bCs/>
          <w:sz w:val="20"/>
          <w:szCs w:val="20"/>
        </w:rPr>
        <w:t>Europe S.p.A</w:t>
      </w:r>
      <w:r w:rsidRPr="00A950F7">
        <w:rPr>
          <w:sz w:val="20"/>
          <w:szCs w:val="20"/>
        </w:rPr>
        <w:t>. (che ha anch’essa proposto una domanda concordataria, approvata con il voto ampiamente favorevole di tutte le classi dei creditori) ha imposto – in attesa della possibilità di ricorrere al c</w:t>
      </w:r>
      <w:r w:rsidR="00A51346" w:rsidRPr="00A950F7">
        <w:rPr>
          <w:sz w:val="20"/>
          <w:szCs w:val="20"/>
        </w:rPr>
        <w:t>osiddetto</w:t>
      </w:r>
      <w:r w:rsidRPr="00A950F7">
        <w:rPr>
          <w:sz w:val="20"/>
          <w:szCs w:val="20"/>
        </w:rPr>
        <w:t xml:space="preserve"> concordato di gruppo, previsto nel Codice della Crisi – l’elaborazione di un complesso piano concordatario che prevede la fusione tra le due società e la loro ricapitalizzazione, anche tramite aumenti di capitale ed emissioni di strumenti finanziari partecipativi da destinare ai creditori, al fine di assicurarne una migliore soddisfazione.</w:t>
      </w:r>
    </w:p>
    <w:p w14:paraId="059F2179" w14:textId="04F79457" w:rsidR="00900974" w:rsidRPr="00A950F7" w:rsidRDefault="00900974" w:rsidP="00816CA3">
      <w:pPr>
        <w:spacing w:line="360" w:lineRule="auto"/>
        <w:jc w:val="both"/>
        <w:rPr>
          <w:sz w:val="20"/>
          <w:szCs w:val="20"/>
        </w:rPr>
      </w:pPr>
      <w:r w:rsidRPr="00A950F7">
        <w:rPr>
          <w:sz w:val="20"/>
          <w:szCs w:val="20"/>
        </w:rPr>
        <w:t xml:space="preserve">“Siamo soddisfatti e orgogliosi – </w:t>
      </w:r>
      <w:r w:rsidRPr="00A950F7">
        <w:rPr>
          <w:b/>
          <w:bCs/>
          <w:sz w:val="20"/>
          <w:szCs w:val="20"/>
        </w:rPr>
        <w:t xml:space="preserve">dichiara Michele Diamantini, </w:t>
      </w:r>
      <w:r w:rsidR="00A51346" w:rsidRPr="00A950F7">
        <w:rPr>
          <w:b/>
          <w:bCs/>
          <w:sz w:val="20"/>
          <w:szCs w:val="20"/>
        </w:rPr>
        <w:t>CEO</w:t>
      </w:r>
      <w:r w:rsidRPr="00A950F7">
        <w:rPr>
          <w:b/>
          <w:bCs/>
          <w:sz w:val="20"/>
          <w:szCs w:val="20"/>
        </w:rPr>
        <w:t xml:space="preserve"> di </w:t>
      </w:r>
      <w:proofErr w:type="spellStart"/>
      <w:r w:rsidRPr="00A950F7">
        <w:rPr>
          <w:b/>
          <w:bCs/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 – del traguardo raggiunto, che oggi ci consente di affermare che una “nuova”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 è nata. Il percorso della società segue, e continuerà a seguire, la linea della nuova strategia elaborata due anni fa nel contesto dell’avvio del procedimento concordatario, fondata su una rinnovata capacità commerciale, di marginalità e di offerta più equilibrata tra città e località di vacanza, con la quale la </w:t>
      </w:r>
      <w:r w:rsidR="00A51346" w:rsidRPr="00A950F7">
        <w:rPr>
          <w:sz w:val="20"/>
          <w:szCs w:val="20"/>
        </w:rPr>
        <w:t>s</w:t>
      </w:r>
      <w:r w:rsidRPr="00A950F7">
        <w:rPr>
          <w:sz w:val="20"/>
          <w:szCs w:val="20"/>
        </w:rPr>
        <w:t xml:space="preserve">ocietà potrà conservare la sua posizione di leader del mercato italiano dello </w:t>
      </w:r>
      <w:r w:rsidRPr="00D941F8">
        <w:rPr>
          <w:i/>
          <w:iCs/>
          <w:sz w:val="20"/>
          <w:szCs w:val="20"/>
        </w:rPr>
        <w:t xml:space="preserve">short </w:t>
      </w:r>
      <w:proofErr w:type="spellStart"/>
      <w:r w:rsidRPr="00D941F8">
        <w:rPr>
          <w:i/>
          <w:iCs/>
          <w:sz w:val="20"/>
          <w:szCs w:val="20"/>
        </w:rPr>
        <w:t>rent</w:t>
      </w:r>
      <w:proofErr w:type="spellEnd"/>
      <w:r w:rsidRPr="00A950F7">
        <w:rPr>
          <w:sz w:val="20"/>
          <w:szCs w:val="20"/>
        </w:rPr>
        <w:t xml:space="preserve">. Il nuovo corso della </w:t>
      </w:r>
      <w:r w:rsidR="00A51346" w:rsidRPr="00A950F7">
        <w:rPr>
          <w:sz w:val="20"/>
          <w:szCs w:val="20"/>
        </w:rPr>
        <w:t>s</w:t>
      </w:r>
      <w:r w:rsidRPr="00A950F7">
        <w:rPr>
          <w:sz w:val="20"/>
          <w:szCs w:val="20"/>
        </w:rPr>
        <w:t>ocietà – che la stessa può oggi intraprendere su basi più solide, grazie al raggiungimento dell’accordo con i creditori e al suo rafforzamento patrimoniale – sta dando oggi i suoi frutti, come dimostrano il buon andamento delle prenotazioni nei primi quattro mesi dell’anno (complice anche la caduta delle misure emergenziali connesse alla pandemia) e le positive previsioni per l’imminente stagione estiva. Voglio ringraziare tutti coloro che hanno contribuito a farci conseguire questo risultato e hanno percepito il rinnovamento esplicitato in questi due anni e le aspettative oltremodo positive per i prossimi: dai collaboratori ai consulenti, dai proprietari ai nostri clienti”.</w:t>
      </w:r>
    </w:p>
    <w:p w14:paraId="5721B0F0" w14:textId="5238D1DF" w:rsidR="00900974" w:rsidRPr="00A950F7" w:rsidRDefault="00900974" w:rsidP="00816CA3">
      <w:pPr>
        <w:spacing w:line="360" w:lineRule="auto"/>
        <w:jc w:val="both"/>
        <w:rPr>
          <w:sz w:val="20"/>
          <w:szCs w:val="20"/>
        </w:rPr>
      </w:pPr>
      <w:r w:rsidRPr="00A950F7">
        <w:rPr>
          <w:sz w:val="20"/>
          <w:szCs w:val="20"/>
        </w:rPr>
        <w:lastRenderedPageBreak/>
        <w:t xml:space="preserve">La società è stata assistita da </w:t>
      </w:r>
      <w:r w:rsidRPr="00A873D6">
        <w:rPr>
          <w:b/>
          <w:bCs/>
          <w:sz w:val="20"/>
          <w:szCs w:val="20"/>
        </w:rPr>
        <w:t>Erre Quadro</w:t>
      </w:r>
      <w:r w:rsidRPr="00A950F7">
        <w:rPr>
          <w:sz w:val="20"/>
          <w:szCs w:val="20"/>
        </w:rPr>
        <w:t xml:space="preserve"> in qualità di advisor finanziario, con </w:t>
      </w:r>
      <w:proofErr w:type="gramStart"/>
      <w:r w:rsidRPr="00A950F7">
        <w:rPr>
          <w:sz w:val="20"/>
          <w:szCs w:val="20"/>
        </w:rPr>
        <w:t>un team guidato</w:t>
      </w:r>
      <w:proofErr w:type="gramEnd"/>
      <w:r w:rsidRPr="00A950F7">
        <w:rPr>
          <w:sz w:val="20"/>
          <w:szCs w:val="20"/>
        </w:rPr>
        <w:t xml:space="preserve"> dal partner </w:t>
      </w:r>
      <w:r w:rsidRPr="00A950F7">
        <w:rPr>
          <w:b/>
          <w:bCs/>
          <w:sz w:val="20"/>
          <w:szCs w:val="20"/>
        </w:rPr>
        <w:t>Barbara Biassoni</w:t>
      </w:r>
      <w:r w:rsidRPr="00A950F7">
        <w:rPr>
          <w:sz w:val="20"/>
          <w:szCs w:val="20"/>
        </w:rPr>
        <w:t xml:space="preserve">, e coadiuvato da </w:t>
      </w:r>
      <w:r w:rsidRPr="00A950F7">
        <w:rPr>
          <w:b/>
          <w:bCs/>
          <w:sz w:val="20"/>
          <w:szCs w:val="20"/>
        </w:rPr>
        <w:t xml:space="preserve">Nicola </w:t>
      </w:r>
      <w:proofErr w:type="spellStart"/>
      <w:r w:rsidRPr="00A950F7">
        <w:rPr>
          <w:b/>
          <w:bCs/>
          <w:sz w:val="20"/>
          <w:szCs w:val="20"/>
        </w:rPr>
        <w:t>Dubini</w:t>
      </w:r>
      <w:proofErr w:type="spellEnd"/>
      <w:r w:rsidR="00A51346" w:rsidRPr="00A950F7">
        <w:rPr>
          <w:sz w:val="20"/>
          <w:szCs w:val="20"/>
        </w:rPr>
        <w:t xml:space="preserve"> - </w:t>
      </w:r>
      <w:r w:rsidRPr="00A950F7">
        <w:rPr>
          <w:sz w:val="20"/>
          <w:szCs w:val="20"/>
        </w:rPr>
        <w:t xml:space="preserve">entrambi </w:t>
      </w:r>
      <w:r w:rsidR="00A51346" w:rsidRPr="00A950F7">
        <w:rPr>
          <w:sz w:val="20"/>
          <w:szCs w:val="20"/>
        </w:rPr>
        <w:t xml:space="preserve">recentemente </w:t>
      </w:r>
      <w:r w:rsidRPr="00A950F7">
        <w:rPr>
          <w:sz w:val="20"/>
          <w:szCs w:val="20"/>
        </w:rPr>
        <w:t xml:space="preserve">hanno fatto </w:t>
      </w:r>
      <w:r w:rsidR="00A873D6">
        <w:rPr>
          <w:sz w:val="20"/>
          <w:szCs w:val="20"/>
        </w:rPr>
        <w:t>il</w:t>
      </w:r>
      <w:r w:rsidRPr="00A950F7">
        <w:rPr>
          <w:sz w:val="20"/>
          <w:szCs w:val="20"/>
        </w:rPr>
        <w:t xml:space="preserve"> proprio ingresso in </w:t>
      </w:r>
      <w:r w:rsidRPr="00A873D6">
        <w:rPr>
          <w:b/>
          <w:bCs/>
          <w:sz w:val="20"/>
          <w:szCs w:val="20"/>
        </w:rPr>
        <w:t>FTI Consulting</w:t>
      </w:r>
      <w:r w:rsidR="00A51346" w:rsidRPr="00A950F7">
        <w:rPr>
          <w:sz w:val="20"/>
          <w:szCs w:val="20"/>
        </w:rPr>
        <w:t>-</w:t>
      </w:r>
      <w:r w:rsidRPr="00A950F7">
        <w:rPr>
          <w:sz w:val="20"/>
          <w:szCs w:val="20"/>
        </w:rPr>
        <w:t>.</w:t>
      </w:r>
      <w:r w:rsidR="00A51346" w:rsidRPr="00A950F7">
        <w:rPr>
          <w:sz w:val="20"/>
          <w:szCs w:val="20"/>
        </w:rPr>
        <w:t xml:space="preserve"> </w:t>
      </w:r>
      <w:r w:rsidRPr="00A950F7">
        <w:rPr>
          <w:sz w:val="20"/>
          <w:szCs w:val="20"/>
        </w:rPr>
        <w:t xml:space="preserve">A fianco di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 ha agito lo studio </w:t>
      </w:r>
      <w:r w:rsidRPr="00A873D6">
        <w:rPr>
          <w:b/>
          <w:bCs/>
          <w:sz w:val="20"/>
          <w:szCs w:val="20"/>
        </w:rPr>
        <w:t xml:space="preserve">Giliberti </w:t>
      </w:r>
      <w:proofErr w:type="spellStart"/>
      <w:r w:rsidRPr="00A873D6">
        <w:rPr>
          <w:b/>
          <w:bCs/>
          <w:sz w:val="20"/>
          <w:szCs w:val="20"/>
        </w:rPr>
        <w:t>Triscornia</w:t>
      </w:r>
      <w:proofErr w:type="spellEnd"/>
      <w:r w:rsidRPr="00A873D6">
        <w:rPr>
          <w:b/>
          <w:bCs/>
          <w:sz w:val="20"/>
          <w:szCs w:val="20"/>
        </w:rPr>
        <w:t xml:space="preserve"> e Associati</w:t>
      </w:r>
      <w:r w:rsidRPr="00A950F7">
        <w:rPr>
          <w:sz w:val="20"/>
          <w:szCs w:val="20"/>
        </w:rPr>
        <w:t xml:space="preserve">, per tutti i profili relativi alla assistenza nel procedimento concordatario e alla strutturazione societaria dell’operazione, con </w:t>
      </w:r>
      <w:proofErr w:type="gramStart"/>
      <w:r w:rsidRPr="00A950F7">
        <w:rPr>
          <w:sz w:val="20"/>
          <w:szCs w:val="20"/>
        </w:rPr>
        <w:t>un team coordinato</w:t>
      </w:r>
      <w:proofErr w:type="gramEnd"/>
      <w:r w:rsidRPr="00A950F7">
        <w:rPr>
          <w:sz w:val="20"/>
          <w:szCs w:val="20"/>
        </w:rPr>
        <w:t xml:space="preserve"> dal </w:t>
      </w:r>
      <w:proofErr w:type="spellStart"/>
      <w:r w:rsidRPr="00A950F7">
        <w:rPr>
          <w:sz w:val="20"/>
          <w:szCs w:val="20"/>
        </w:rPr>
        <w:t>counsel</w:t>
      </w:r>
      <w:proofErr w:type="spellEnd"/>
      <w:r w:rsidRPr="00A950F7">
        <w:rPr>
          <w:sz w:val="20"/>
          <w:szCs w:val="20"/>
        </w:rPr>
        <w:t xml:space="preserve"> </w:t>
      </w:r>
      <w:r w:rsidRPr="00A950F7">
        <w:rPr>
          <w:b/>
          <w:bCs/>
          <w:sz w:val="20"/>
          <w:szCs w:val="20"/>
        </w:rPr>
        <w:t>Lodovico Montevecchi</w:t>
      </w:r>
      <w:r w:rsidRPr="00A950F7">
        <w:rPr>
          <w:sz w:val="20"/>
          <w:szCs w:val="20"/>
        </w:rPr>
        <w:t xml:space="preserve"> e formato, per gli aspetti di diritto concorsuale da </w:t>
      </w:r>
      <w:r w:rsidRPr="00A950F7">
        <w:rPr>
          <w:b/>
          <w:bCs/>
          <w:sz w:val="20"/>
          <w:szCs w:val="20"/>
        </w:rPr>
        <w:t>Francesco Ambrosio</w:t>
      </w:r>
      <w:r w:rsidRPr="00A950F7">
        <w:rPr>
          <w:sz w:val="20"/>
          <w:szCs w:val="20"/>
        </w:rPr>
        <w:t xml:space="preserve"> e per </w:t>
      </w:r>
      <w:r w:rsidR="004576B4">
        <w:rPr>
          <w:sz w:val="20"/>
          <w:szCs w:val="20"/>
        </w:rPr>
        <w:t>quelli</w:t>
      </w:r>
      <w:r w:rsidRPr="00A950F7">
        <w:rPr>
          <w:sz w:val="20"/>
          <w:szCs w:val="20"/>
        </w:rPr>
        <w:t xml:space="preserve"> di diritto societario da </w:t>
      </w:r>
      <w:r w:rsidRPr="00A950F7">
        <w:rPr>
          <w:b/>
          <w:bCs/>
          <w:sz w:val="20"/>
          <w:szCs w:val="20"/>
        </w:rPr>
        <w:t xml:space="preserve">Luigi </w:t>
      </w:r>
      <w:proofErr w:type="spellStart"/>
      <w:r w:rsidRPr="00A950F7">
        <w:rPr>
          <w:b/>
          <w:bCs/>
          <w:sz w:val="20"/>
          <w:szCs w:val="20"/>
        </w:rPr>
        <w:t>Copetti</w:t>
      </w:r>
      <w:proofErr w:type="spellEnd"/>
      <w:r w:rsidRPr="00A950F7">
        <w:rPr>
          <w:sz w:val="20"/>
          <w:szCs w:val="20"/>
        </w:rPr>
        <w:t xml:space="preserve"> e </w:t>
      </w:r>
      <w:r w:rsidRPr="00A950F7">
        <w:rPr>
          <w:b/>
          <w:bCs/>
          <w:sz w:val="20"/>
          <w:szCs w:val="20"/>
        </w:rPr>
        <w:t>Sabrina Marino</w:t>
      </w:r>
      <w:r w:rsidRPr="00A950F7">
        <w:rPr>
          <w:sz w:val="20"/>
          <w:szCs w:val="20"/>
        </w:rPr>
        <w:t xml:space="preserve">. Gli aspetti giuslavoristici - particolarmente complessi visti, da un lato, i due anni di pandemia e, dall’altro, le logiche concorsuali - sono stati curati dai partner </w:t>
      </w:r>
      <w:r w:rsidRPr="00A950F7">
        <w:rPr>
          <w:b/>
          <w:bCs/>
          <w:sz w:val="20"/>
          <w:szCs w:val="20"/>
        </w:rPr>
        <w:t>Angelo Zambelli</w:t>
      </w:r>
      <w:r w:rsidRPr="00A950F7">
        <w:rPr>
          <w:sz w:val="20"/>
          <w:szCs w:val="20"/>
        </w:rPr>
        <w:t xml:space="preserve"> e </w:t>
      </w:r>
      <w:r w:rsidRPr="00A950F7">
        <w:rPr>
          <w:b/>
          <w:bCs/>
          <w:sz w:val="20"/>
          <w:szCs w:val="20"/>
        </w:rPr>
        <w:t>Barbara Grasselli</w:t>
      </w:r>
      <w:r w:rsidRPr="00A950F7">
        <w:rPr>
          <w:sz w:val="20"/>
          <w:szCs w:val="20"/>
        </w:rPr>
        <w:t xml:space="preserve"> dello studio </w:t>
      </w:r>
      <w:r w:rsidRPr="00A873D6">
        <w:rPr>
          <w:b/>
          <w:bCs/>
          <w:sz w:val="20"/>
          <w:szCs w:val="20"/>
        </w:rPr>
        <w:t>Zambelli &amp; Partners</w:t>
      </w:r>
      <w:r w:rsidRPr="00A950F7">
        <w:rPr>
          <w:sz w:val="20"/>
          <w:szCs w:val="20"/>
        </w:rPr>
        <w:t xml:space="preserve"> che hanno rinvenuto soluzioni positive per tutti i lavoratori coinvolti nella procedura</w:t>
      </w:r>
      <w:r w:rsidR="00362517">
        <w:rPr>
          <w:sz w:val="20"/>
          <w:szCs w:val="20"/>
        </w:rPr>
        <w:t>,</w:t>
      </w:r>
      <w:r w:rsidRPr="00A950F7">
        <w:rPr>
          <w:sz w:val="20"/>
          <w:szCs w:val="20"/>
        </w:rPr>
        <w:t xml:space="preserve"> mentre per i profili fiscali dell’operazione e la definizione della transazione fiscale con l’Agenzia delle Entrate</w:t>
      </w:r>
      <w:r w:rsidR="009C0126" w:rsidRPr="00A950F7">
        <w:rPr>
          <w:sz w:val="20"/>
          <w:szCs w:val="20"/>
        </w:rPr>
        <w:t>,</w:t>
      </w:r>
      <w:r w:rsidRPr="00A950F7">
        <w:rPr>
          <w:sz w:val="20"/>
          <w:szCs w:val="20"/>
        </w:rPr>
        <w:t xml:space="preserve"> </w:t>
      </w:r>
      <w:proofErr w:type="spellStart"/>
      <w:r w:rsidRPr="00A950F7">
        <w:rPr>
          <w:sz w:val="20"/>
          <w:szCs w:val="20"/>
        </w:rPr>
        <w:t>Halldis</w:t>
      </w:r>
      <w:proofErr w:type="spellEnd"/>
      <w:r w:rsidRPr="00A950F7">
        <w:rPr>
          <w:sz w:val="20"/>
          <w:szCs w:val="20"/>
        </w:rPr>
        <w:t xml:space="preserve"> è stata assistita da </w:t>
      </w:r>
      <w:r w:rsidRPr="00DE61EF">
        <w:rPr>
          <w:b/>
          <w:bCs/>
          <w:sz w:val="20"/>
          <w:szCs w:val="20"/>
        </w:rPr>
        <w:t>Andrea</w:t>
      </w:r>
      <w:r w:rsidRPr="00A950F7">
        <w:rPr>
          <w:sz w:val="20"/>
          <w:szCs w:val="20"/>
        </w:rPr>
        <w:t xml:space="preserve"> e </w:t>
      </w:r>
      <w:r w:rsidRPr="00A950F7">
        <w:rPr>
          <w:b/>
          <w:bCs/>
          <w:sz w:val="20"/>
          <w:szCs w:val="20"/>
        </w:rPr>
        <w:t xml:space="preserve">Costantino </w:t>
      </w:r>
      <w:proofErr w:type="spellStart"/>
      <w:r w:rsidRPr="00A950F7">
        <w:rPr>
          <w:b/>
          <w:bCs/>
          <w:sz w:val="20"/>
          <w:szCs w:val="20"/>
        </w:rPr>
        <w:t>Zoccali</w:t>
      </w:r>
      <w:proofErr w:type="spellEnd"/>
      <w:r w:rsidRPr="00A950F7">
        <w:rPr>
          <w:sz w:val="20"/>
          <w:szCs w:val="20"/>
        </w:rPr>
        <w:t xml:space="preserve"> dello </w:t>
      </w:r>
      <w:r w:rsidRPr="00362517">
        <w:rPr>
          <w:b/>
          <w:bCs/>
          <w:sz w:val="20"/>
          <w:szCs w:val="20"/>
        </w:rPr>
        <w:t xml:space="preserve">Studio Tributario </w:t>
      </w:r>
      <w:proofErr w:type="spellStart"/>
      <w:r w:rsidRPr="00362517">
        <w:rPr>
          <w:b/>
          <w:bCs/>
          <w:sz w:val="20"/>
          <w:szCs w:val="20"/>
        </w:rPr>
        <w:t>Deiure</w:t>
      </w:r>
      <w:proofErr w:type="spellEnd"/>
      <w:r w:rsidRPr="00A950F7">
        <w:rPr>
          <w:sz w:val="20"/>
          <w:szCs w:val="20"/>
        </w:rPr>
        <w:t>.</w:t>
      </w:r>
    </w:p>
    <w:p w14:paraId="428DCFB6" w14:textId="77777777" w:rsidR="00900974" w:rsidRPr="00A950F7" w:rsidRDefault="00900974" w:rsidP="00816CA3">
      <w:pPr>
        <w:spacing w:line="360" w:lineRule="auto"/>
        <w:rPr>
          <w:sz w:val="20"/>
          <w:szCs w:val="20"/>
        </w:rPr>
      </w:pPr>
    </w:p>
    <w:p w14:paraId="4BD3729B" w14:textId="77777777" w:rsidR="008970C6" w:rsidRPr="00A950F7" w:rsidRDefault="008970C6" w:rsidP="00816CA3">
      <w:pPr>
        <w:spacing w:line="360" w:lineRule="auto"/>
        <w:rPr>
          <w:sz w:val="20"/>
          <w:szCs w:val="20"/>
        </w:rPr>
      </w:pPr>
    </w:p>
    <w:sectPr w:rsidR="008970C6" w:rsidRPr="00A95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74"/>
    <w:rsid w:val="00362517"/>
    <w:rsid w:val="004576B4"/>
    <w:rsid w:val="00677F38"/>
    <w:rsid w:val="00816CA3"/>
    <w:rsid w:val="008970C6"/>
    <w:rsid w:val="008B45A0"/>
    <w:rsid w:val="00900974"/>
    <w:rsid w:val="009C0126"/>
    <w:rsid w:val="00A51346"/>
    <w:rsid w:val="00A873D6"/>
    <w:rsid w:val="00A950F7"/>
    <w:rsid w:val="00B944B8"/>
    <w:rsid w:val="00D941F8"/>
    <w:rsid w:val="00DE61EF"/>
    <w:rsid w:val="00F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2F9D"/>
  <w15:chartTrackingRefBased/>
  <w15:docId w15:val="{6AD3CF96-DB46-42D3-9566-41282B8E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Vergani</dc:creator>
  <cp:keywords/>
  <dc:description/>
  <cp:lastModifiedBy>Ernesto Vergani</cp:lastModifiedBy>
  <cp:revision>15</cp:revision>
  <dcterms:created xsi:type="dcterms:W3CDTF">2022-05-18T16:38:00Z</dcterms:created>
  <dcterms:modified xsi:type="dcterms:W3CDTF">2022-05-19T06:58:00Z</dcterms:modified>
</cp:coreProperties>
</file>