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9450" w14:textId="76ED66B6" w:rsidR="002D3762" w:rsidRDefault="00A725D0" w:rsidP="00EE766C">
      <w:pPr>
        <w:tabs>
          <w:tab w:val="left" w:pos="3420"/>
        </w:tabs>
        <w:suppressAutoHyphens/>
        <w:rPr>
          <w:rFonts w:ascii="Calibri" w:hAnsi="Calibri" w:cs="Calibri"/>
          <w:color w:val="1F497D"/>
          <w:sz w:val="28"/>
          <w:szCs w:val="28"/>
        </w:rPr>
      </w:pPr>
      <w:r>
        <w:rPr>
          <w:noProof/>
        </w:rPr>
        <w:drawing>
          <wp:anchor distT="0" distB="0" distL="114300" distR="114300" simplePos="0" relativeHeight="251661312" behindDoc="1" locked="0" layoutInCell="1" allowOverlap="1" wp14:anchorId="05B3B11B" wp14:editId="16CEBE12">
            <wp:simplePos x="0" y="0"/>
            <wp:positionH relativeFrom="column">
              <wp:posOffset>2480309</wp:posOffset>
            </wp:positionH>
            <wp:positionV relativeFrom="paragraph">
              <wp:posOffset>270</wp:posOffset>
            </wp:positionV>
            <wp:extent cx="1381125" cy="1576284"/>
            <wp:effectExtent l="0" t="0" r="0" b="5080"/>
            <wp:wrapTight wrapText="bothSides">
              <wp:wrapPolygon edited="0">
                <wp:start x="0" y="0"/>
                <wp:lineTo x="0" y="21409"/>
                <wp:lineTo x="21153" y="21409"/>
                <wp:lineTo x="21153"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MAA_ITAL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576284"/>
                    </a:xfrm>
                    <a:prstGeom prst="rect">
                      <a:avLst/>
                    </a:prstGeom>
                  </pic:spPr>
                </pic:pic>
              </a:graphicData>
            </a:graphic>
            <wp14:sizeRelH relativeFrom="margin">
              <wp14:pctWidth>0</wp14:pctWidth>
            </wp14:sizeRelH>
            <wp14:sizeRelV relativeFrom="margin">
              <wp14:pctHeight>0</wp14:pctHeight>
            </wp14:sizeRelV>
          </wp:anchor>
        </w:drawing>
      </w:r>
    </w:p>
    <w:p w14:paraId="37AC611C" w14:textId="1C7606BE" w:rsidR="00A725D0" w:rsidRDefault="00A725D0" w:rsidP="00A725D0">
      <w:pPr>
        <w:tabs>
          <w:tab w:val="left" w:pos="3420"/>
        </w:tabs>
        <w:suppressAutoHyphens/>
        <w:rPr>
          <w:rFonts w:ascii="Calibri" w:hAnsi="Calibri" w:cs="Calibri"/>
          <w:color w:val="1F497D"/>
          <w:sz w:val="28"/>
          <w:szCs w:val="28"/>
        </w:rPr>
      </w:pPr>
      <w:r>
        <w:rPr>
          <w:rFonts w:ascii="Calibri" w:hAnsi="Calibri" w:cs="Calibri"/>
          <w:color w:val="1F497D"/>
          <w:sz w:val="28"/>
          <w:szCs w:val="28"/>
        </w:rPr>
        <w:tab/>
      </w:r>
    </w:p>
    <w:p w14:paraId="6B165380" w14:textId="77777777" w:rsidR="00A725D0" w:rsidRDefault="00A725D0" w:rsidP="00A725D0">
      <w:pPr>
        <w:tabs>
          <w:tab w:val="left" w:pos="357"/>
        </w:tabs>
        <w:suppressAutoHyphens/>
        <w:rPr>
          <w:rFonts w:ascii="Calibri" w:hAnsi="Calibri" w:cs="Calibri"/>
          <w:color w:val="1F497D"/>
          <w:sz w:val="28"/>
          <w:szCs w:val="28"/>
        </w:rPr>
      </w:pPr>
    </w:p>
    <w:p w14:paraId="528E37A8" w14:textId="77777777" w:rsidR="00A725D0" w:rsidRDefault="00A725D0" w:rsidP="00A725D0">
      <w:pPr>
        <w:tabs>
          <w:tab w:val="left" w:pos="357"/>
        </w:tabs>
        <w:suppressAutoHyphens/>
        <w:rPr>
          <w:rFonts w:ascii="Calibri" w:hAnsi="Calibri" w:cs="Calibri"/>
          <w:color w:val="1F497D"/>
          <w:sz w:val="28"/>
          <w:szCs w:val="28"/>
        </w:rPr>
      </w:pPr>
    </w:p>
    <w:p w14:paraId="34FA0013" w14:textId="77777777" w:rsidR="00A725D0" w:rsidRDefault="00A725D0" w:rsidP="00A725D0">
      <w:pPr>
        <w:tabs>
          <w:tab w:val="left" w:pos="357"/>
        </w:tabs>
        <w:suppressAutoHyphens/>
        <w:rPr>
          <w:rFonts w:ascii="Calibri" w:hAnsi="Calibri" w:cs="Calibri"/>
          <w:color w:val="1F497D"/>
          <w:sz w:val="28"/>
          <w:szCs w:val="28"/>
        </w:rPr>
      </w:pPr>
    </w:p>
    <w:p w14:paraId="75E19CC9" w14:textId="77777777" w:rsidR="00A725D0" w:rsidRPr="00DE1EFA" w:rsidRDefault="00A725D0" w:rsidP="00A725D0">
      <w:pPr>
        <w:tabs>
          <w:tab w:val="left" w:pos="1093"/>
        </w:tabs>
        <w:suppressAutoHyphens/>
        <w:rPr>
          <w:rFonts w:ascii="Calibri" w:hAnsi="Calibri" w:cs="Calibri"/>
          <w:b/>
          <w:color w:val="1F497D"/>
          <w:sz w:val="28"/>
          <w:szCs w:val="28"/>
        </w:rPr>
      </w:pPr>
      <w:r w:rsidRPr="00DE1EFA">
        <w:rPr>
          <w:rFonts w:ascii="Calibri" w:hAnsi="Calibri" w:cs="Calibri"/>
          <w:b/>
          <w:color w:val="1F497D"/>
          <w:sz w:val="28"/>
          <w:szCs w:val="28"/>
        </w:rPr>
        <w:t xml:space="preserve">         </w:t>
      </w:r>
      <w:r w:rsidRPr="00DE1EFA">
        <w:rPr>
          <w:rFonts w:ascii="Calibri" w:hAnsi="Calibri" w:cs="Calibri"/>
          <w:b/>
          <w:color w:val="1F497D"/>
          <w:sz w:val="28"/>
          <w:szCs w:val="28"/>
        </w:rPr>
        <w:tab/>
      </w:r>
    </w:p>
    <w:p w14:paraId="6B48BA96" w14:textId="77777777" w:rsidR="00A725D0" w:rsidRDefault="00A725D0" w:rsidP="00A725D0">
      <w:pPr>
        <w:tabs>
          <w:tab w:val="left" w:pos="357"/>
        </w:tabs>
        <w:suppressAutoHyphens/>
        <w:rPr>
          <w:rFonts w:ascii="Calibri" w:hAnsi="Calibri" w:cs="Calibri"/>
          <w:color w:val="1F497D"/>
          <w:sz w:val="28"/>
          <w:szCs w:val="28"/>
        </w:rPr>
      </w:pPr>
    </w:p>
    <w:p w14:paraId="602AF82A" w14:textId="77777777" w:rsidR="00A725D0" w:rsidRPr="00A725D0" w:rsidRDefault="00A725D0" w:rsidP="00A725D0">
      <w:pPr>
        <w:tabs>
          <w:tab w:val="left" w:pos="357"/>
        </w:tabs>
        <w:suppressAutoHyphens/>
        <w:jc w:val="center"/>
        <w:rPr>
          <w:rFonts w:ascii="Calibri" w:hAnsi="Calibri" w:cs="Calibri"/>
          <w:b/>
          <w:color w:val="1F497D"/>
          <w:sz w:val="12"/>
          <w:szCs w:val="28"/>
        </w:rPr>
      </w:pPr>
    </w:p>
    <w:p w14:paraId="6B7F3DD8" w14:textId="77777777" w:rsidR="00A725D0" w:rsidRDefault="00A725D0" w:rsidP="00A725D0">
      <w:pPr>
        <w:tabs>
          <w:tab w:val="left" w:pos="357"/>
        </w:tabs>
        <w:suppressAutoHyphens/>
        <w:jc w:val="center"/>
        <w:rPr>
          <w:rFonts w:ascii="Calibri" w:hAnsi="Calibri" w:cs="Calibri"/>
          <w:b/>
          <w:color w:val="1F497D"/>
          <w:sz w:val="36"/>
          <w:szCs w:val="28"/>
        </w:rPr>
      </w:pPr>
      <w:r w:rsidRPr="00A725D0">
        <w:rPr>
          <w:rFonts w:ascii="Calibri" w:hAnsi="Calibri" w:cs="Calibri"/>
          <w:b/>
          <w:color w:val="1F497D"/>
          <w:sz w:val="36"/>
          <w:szCs w:val="28"/>
        </w:rPr>
        <w:t>Federazione Italiana Mediatori Agenti d’Affari</w:t>
      </w:r>
    </w:p>
    <w:p w14:paraId="2937202A" w14:textId="08DDD52F" w:rsidR="00774E62" w:rsidRPr="00774E62" w:rsidRDefault="00774E62" w:rsidP="00A725D0">
      <w:pPr>
        <w:tabs>
          <w:tab w:val="left" w:pos="357"/>
        </w:tabs>
        <w:suppressAutoHyphens/>
        <w:jc w:val="center"/>
        <w:rPr>
          <w:rFonts w:ascii="Calibri" w:hAnsi="Calibri" w:cs="Calibri"/>
          <w:b/>
          <w:color w:val="1F497D"/>
          <w:sz w:val="28"/>
          <w:szCs w:val="28"/>
        </w:rPr>
      </w:pPr>
      <w:r w:rsidRPr="00774E62">
        <w:rPr>
          <w:rFonts w:ascii="Calibri" w:hAnsi="Calibri" w:cs="Calibri"/>
          <w:b/>
          <w:color w:val="1F497D"/>
          <w:sz w:val="28"/>
          <w:szCs w:val="28"/>
        </w:rPr>
        <w:t>(</w:t>
      </w:r>
      <w:proofErr w:type="gramStart"/>
      <w:r w:rsidRPr="00774E62">
        <w:rPr>
          <w:rFonts w:ascii="Calibri" w:hAnsi="Calibri" w:cs="Calibri"/>
          <w:b/>
          <w:color w:val="1F497D"/>
          <w:sz w:val="28"/>
          <w:szCs w:val="28"/>
        </w:rPr>
        <w:t>agenti</w:t>
      </w:r>
      <w:proofErr w:type="gramEnd"/>
      <w:r w:rsidRPr="00774E62">
        <w:rPr>
          <w:rFonts w:ascii="Calibri" w:hAnsi="Calibri" w:cs="Calibri"/>
          <w:b/>
          <w:color w:val="1F497D"/>
          <w:sz w:val="28"/>
          <w:szCs w:val="28"/>
        </w:rPr>
        <w:t xml:space="preserve"> immobiliari)</w:t>
      </w:r>
    </w:p>
    <w:p w14:paraId="0B747877" w14:textId="77777777" w:rsidR="00A725D0" w:rsidRDefault="00A725D0" w:rsidP="00A725D0">
      <w:pPr>
        <w:tabs>
          <w:tab w:val="left" w:pos="357"/>
        </w:tabs>
        <w:suppressAutoHyphens/>
        <w:rPr>
          <w:rFonts w:ascii="Calibri" w:hAnsi="Calibri" w:cs="Calibri"/>
          <w:color w:val="1F497D"/>
          <w:sz w:val="28"/>
          <w:szCs w:val="28"/>
        </w:rPr>
      </w:pPr>
      <w:r>
        <w:rPr>
          <w:rFonts w:ascii="Calibri" w:hAnsi="Calibri" w:cs="Calibri"/>
          <w:noProof/>
          <w:color w:val="1F497D"/>
          <w:sz w:val="28"/>
          <w:szCs w:val="28"/>
        </w:rPr>
        <w:drawing>
          <wp:anchor distT="0" distB="0" distL="114300" distR="114300" simplePos="0" relativeHeight="251662336" behindDoc="1" locked="0" layoutInCell="1" allowOverlap="1" wp14:anchorId="203B9355" wp14:editId="6FFEE6FF">
            <wp:simplePos x="0" y="0"/>
            <wp:positionH relativeFrom="column">
              <wp:posOffset>2337435</wp:posOffset>
            </wp:positionH>
            <wp:positionV relativeFrom="paragraph">
              <wp:posOffset>133350</wp:posOffset>
            </wp:positionV>
            <wp:extent cx="1472565" cy="695325"/>
            <wp:effectExtent l="0" t="0" r="0" b="9525"/>
            <wp:wrapTight wrapText="bothSides">
              <wp:wrapPolygon edited="0">
                <wp:start x="0" y="0"/>
                <wp:lineTo x="0" y="21304"/>
                <wp:lineTo x="21237" y="21304"/>
                <wp:lineTo x="2123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FCOMMERC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2565" cy="695325"/>
                    </a:xfrm>
                    <a:prstGeom prst="rect">
                      <a:avLst/>
                    </a:prstGeom>
                  </pic:spPr>
                </pic:pic>
              </a:graphicData>
            </a:graphic>
            <wp14:sizeRelH relativeFrom="page">
              <wp14:pctWidth>0</wp14:pctWidth>
            </wp14:sizeRelH>
            <wp14:sizeRelV relativeFrom="page">
              <wp14:pctHeight>0</wp14:pctHeight>
            </wp14:sizeRelV>
          </wp:anchor>
        </w:drawing>
      </w:r>
    </w:p>
    <w:p w14:paraId="0E3E1D6A" w14:textId="77777777" w:rsidR="00A725D0" w:rsidRDefault="00A725D0" w:rsidP="00A725D0">
      <w:pPr>
        <w:tabs>
          <w:tab w:val="left" w:pos="357"/>
        </w:tabs>
        <w:suppressAutoHyphens/>
        <w:rPr>
          <w:rFonts w:ascii="Calibri" w:hAnsi="Calibri" w:cs="Calibri"/>
          <w:color w:val="1F497D"/>
          <w:sz w:val="28"/>
          <w:szCs w:val="28"/>
        </w:rPr>
      </w:pPr>
    </w:p>
    <w:p w14:paraId="7FFB171D" w14:textId="77777777" w:rsidR="00A725D0" w:rsidRDefault="00A725D0" w:rsidP="00A725D0">
      <w:pPr>
        <w:tabs>
          <w:tab w:val="left" w:pos="357"/>
        </w:tabs>
        <w:suppressAutoHyphens/>
        <w:rPr>
          <w:rFonts w:ascii="Calibri" w:hAnsi="Calibri" w:cs="Calibri"/>
          <w:color w:val="1F497D"/>
          <w:sz w:val="28"/>
          <w:szCs w:val="28"/>
        </w:rPr>
      </w:pPr>
    </w:p>
    <w:p w14:paraId="732856B3" w14:textId="77777777" w:rsidR="002D3762" w:rsidRDefault="002D3762" w:rsidP="00AE50F2">
      <w:pPr>
        <w:tabs>
          <w:tab w:val="left" w:pos="357"/>
        </w:tabs>
        <w:suppressAutoHyphens/>
        <w:rPr>
          <w:rFonts w:ascii="Calibri" w:hAnsi="Calibri" w:cs="Calibri"/>
          <w:color w:val="1F497D"/>
          <w:sz w:val="28"/>
          <w:szCs w:val="28"/>
        </w:rPr>
      </w:pPr>
    </w:p>
    <w:p w14:paraId="6A4CD49C" w14:textId="3FAA7D5A" w:rsidR="002D3762" w:rsidRPr="00774E62" w:rsidRDefault="00207589" w:rsidP="00A725D0">
      <w:pPr>
        <w:tabs>
          <w:tab w:val="left" w:pos="1093"/>
        </w:tabs>
        <w:suppressAutoHyphens/>
        <w:rPr>
          <w:rFonts w:ascii="Calibri" w:hAnsi="Calibri" w:cs="Calibri"/>
          <w:color w:val="1F497D"/>
          <w:sz w:val="6"/>
          <w:szCs w:val="28"/>
        </w:rPr>
      </w:pPr>
      <w:r>
        <w:rPr>
          <w:rFonts w:ascii="Calibri" w:hAnsi="Calibri" w:cs="Calibri"/>
          <w:color w:val="1F497D"/>
          <w:sz w:val="28"/>
          <w:szCs w:val="28"/>
        </w:rPr>
        <w:t xml:space="preserve">                        </w:t>
      </w:r>
      <w:r w:rsidR="00A725D0">
        <w:rPr>
          <w:rFonts w:ascii="Calibri" w:hAnsi="Calibri" w:cs="Calibri"/>
          <w:color w:val="1F497D"/>
          <w:sz w:val="28"/>
          <w:szCs w:val="28"/>
        </w:rPr>
        <w:t xml:space="preserve">                             </w:t>
      </w:r>
    </w:p>
    <w:p w14:paraId="20854961" w14:textId="77777777" w:rsidR="002D3762" w:rsidRPr="006C1A7C" w:rsidRDefault="002D3762" w:rsidP="00AE50F2">
      <w:pPr>
        <w:tabs>
          <w:tab w:val="left" w:pos="357"/>
        </w:tabs>
        <w:suppressAutoHyphens/>
        <w:rPr>
          <w:rFonts w:ascii="Calibri" w:hAnsi="Calibri" w:cs="Calibri"/>
          <w:color w:val="1F497D"/>
          <w:sz w:val="20"/>
          <w:szCs w:val="28"/>
        </w:rPr>
      </w:pPr>
    </w:p>
    <w:p w14:paraId="345CC683" w14:textId="77777777" w:rsidR="002D3762" w:rsidRDefault="002D3762" w:rsidP="00AE50F2">
      <w:pPr>
        <w:tabs>
          <w:tab w:val="left" w:pos="357"/>
        </w:tabs>
        <w:suppressAutoHyphens/>
        <w:rPr>
          <w:rFonts w:ascii="Calibri" w:hAnsi="Calibri" w:cs="Calibri"/>
          <w:color w:val="1F497D"/>
          <w:sz w:val="28"/>
          <w:szCs w:val="28"/>
        </w:rPr>
      </w:pPr>
      <w:r>
        <w:rPr>
          <w:rFonts w:asciiTheme="minorHAnsi" w:hAnsiTheme="minorHAnsi"/>
          <w:b/>
          <w:noProof/>
          <w:sz w:val="28"/>
          <w:szCs w:val="28"/>
        </w:rPr>
        <w:drawing>
          <wp:anchor distT="0" distB="0" distL="114300" distR="114300" simplePos="0" relativeHeight="251658240" behindDoc="0" locked="0" layoutInCell="1" allowOverlap="1" wp14:anchorId="2B4B18CA" wp14:editId="7B02CA68">
            <wp:simplePos x="0" y="0"/>
            <wp:positionH relativeFrom="column">
              <wp:posOffset>109644</wp:posOffset>
            </wp:positionH>
            <wp:positionV relativeFrom="paragraph">
              <wp:posOffset>13970</wp:posOffset>
            </wp:positionV>
            <wp:extent cx="6002444" cy="214206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2444" cy="2142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852E0" w14:textId="77777777" w:rsidR="002D3762" w:rsidRDefault="007351F6" w:rsidP="00AE50F2">
      <w:pPr>
        <w:tabs>
          <w:tab w:val="left" w:pos="357"/>
        </w:tabs>
        <w:suppressAutoHyphens/>
        <w:rPr>
          <w:rFonts w:ascii="Calibri" w:hAnsi="Calibri" w:cs="Calibri"/>
          <w:color w:val="1F497D"/>
          <w:sz w:val="28"/>
          <w:szCs w:val="28"/>
        </w:rPr>
      </w:pPr>
      <w:r>
        <w:rPr>
          <w:rFonts w:asciiTheme="minorHAnsi" w:hAnsiTheme="minorHAnsi"/>
          <w:b/>
          <w:noProof/>
          <w:sz w:val="28"/>
          <w:szCs w:val="28"/>
        </w:rPr>
        <mc:AlternateContent>
          <mc:Choice Requires="wps">
            <w:drawing>
              <wp:anchor distT="0" distB="0" distL="114300" distR="114300" simplePos="0" relativeHeight="251659264" behindDoc="0" locked="0" layoutInCell="1" allowOverlap="1" wp14:anchorId="351BED7F" wp14:editId="0B72E267">
                <wp:simplePos x="0" y="0"/>
                <wp:positionH relativeFrom="column">
                  <wp:posOffset>99060</wp:posOffset>
                </wp:positionH>
                <wp:positionV relativeFrom="paragraph">
                  <wp:posOffset>191135</wp:posOffset>
                </wp:positionV>
                <wp:extent cx="6010910" cy="1304925"/>
                <wp:effectExtent l="0" t="0" r="0"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3C2C0" w14:textId="519B64E8" w:rsidR="004B224E" w:rsidRDefault="004B224E" w:rsidP="00207589">
                            <w:pPr>
                              <w:jc w:val="center"/>
                              <w:rPr>
                                <w:rFonts w:ascii="Calibri" w:hAnsi="Calibri" w:cs="Calibri"/>
                                <w:iCs/>
                                <w:color w:val="FFFFFF"/>
                                <w:sz w:val="36"/>
                                <w:szCs w:val="36"/>
                              </w:rPr>
                            </w:pPr>
                            <w:r w:rsidRPr="002D3762">
                              <w:rPr>
                                <w:rFonts w:ascii="Calibri" w:hAnsi="Calibri" w:cs="Calibri"/>
                                <w:iCs/>
                                <w:color w:val="FFFFFF"/>
                                <w:sz w:val="36"/>
                                <w:szCs w:val="36"/>
                              </w:rPr>
                              <w:t xml:space="preserve">OSSERVATORIO </w:t>
                            </w:r>
                            <w:r w:rsidR="00851093">
                              <w:rPr>
                                <w:rFonts w:ascii="Calibri" w:hAnsi="Calibri" w:cs="Calibri"/>
                                <w:iCs/>
                                <w:color w:val="FFFFFF"/>
                                <w:sz w:val="36"/>
                                <w:szCs w:val="36"/>
                              </w:rPr>
                              <w:t>NAZIO</w:t>
                            </w:r>
                            <w:r w:rsidR="009611F1">
                              <w:rPr>
                                <w:rFonts w:ascii="Calibri" w:hAnsi="Calibri" w:cs="Calibri"/>
                                <w:iCs/>
                                <w:color w:val="FFFFFF"/>
                                <w:sz w:val="36"/>
                                <w:szCs w:val="36"/>
                              </w:rPr>
                              <w:t>N</w:t>
                            </w:r>
                            <w:r w:rsidR="00851093">
                              <w:rPr>
                                <w:rFonts w:ascii="Calibri" w:hAnsi="Calibri" w:cs="Calibri"/>
                                <w:iCs/>
                                <w:color w:val="FFFFFF"/>
                                <w:sz w:val="36"/>
                                <w:szCs w:val="36"/>
                              </w:rPr>
                              <w:t>A</w:t>
                            </w:r>
                            <w:r w:rsidR="009611F1">
                              <w:rPr>
                                <w:rFonts w:ascii="Calibri" w:hAnsi="Calibri" w:cs="Calibri"/>
                                <w:iCs/>
                                <w:color w:val="FFFFFF"/>
                                <w:sz w:val="36"/>
                                <w:szCs w:val="36"/>
                              </w:rPr>
                              <w:t xml:space="preserve">LE </w:t>
                            </w:r>
                            <w:r w:rsidRPr="002D3762">
                              <w:rPr>
                                <w:rFonts w:ascii="Calibri" w:hAnsi="Calibri" w:cs="Calibri"/>
                                <w:iCs/>
                                <w:color w:val="FFFFFF"/>
                                <w:sz w:val="36"/>
                                <w:szCs w:val="36"/>
                              </w:rPr>
                              <w:t>IMMOBILIARE TURISTICO 20</w:t>
                            </w:r>
                            <w:r w:rsidR="004B452F">
                              <w:rPr>
                                <w:rFonts w:ascii="Calibri" w:hAnsi="Calibri" w:cs="Calibri"/>
                                <w:iCs/>
                                <w:color w:val="FFFFFF"/>
                                <w:sz w:val="36"/>
                                <w:szCs w:val="36"/>
                              </w:rPr>
                              <w:t>22</w:t>
                            </w:r>
                          </w:p>
                          <w:p w14:paraId="4672FA58" w14:textId="77777777" w:rsidR="00207589" w:rsidRDefault="00207589" w:rsidP="00207589">
                            <w:pPr>
                              <w:jc w:val="center"/>
                              <w:rPr>
                                <w:rFonts w:ascii="Calibri" w:hAnsi="Calibri" w:cs="Calibri"/>
                                <w:iCs/>
                                <w:color w:val="FFFFFF"/>
                                <w:sz w:val="36"/>
                                <w:szCs w:val="36"/>
                              </w:rPr>
                            </w:pPr>
                          </w:p>
                          <w:p w14:paraId="43FADD75" w14:textId="77777777" w:rsidR="00207589" w:rsidRPr="002D3762" w:rsidRDefault="00207589" w:rsidP="00207589">
                            <w:pPr>
                              <w:jc w:val="center"/>
                              <w:rPr>
                                <w:rFonts w:ascii="Calibri" w:hAnsi="Calibri" w:cs="Calibri"/>
                                <w:iCs/>
                                <w:color w:val="FFFFFF"/>
                                <w:sz w:val="36"/>
                                <w:szCs w:val="36"/>
                              </w:rPr>
                            </w:pPr>
                            <w:r>
                              <w:rPr>
                                <w:rFonts w:ascii="Calibri" w:hAnsi="Calibri" w:cs="Calibri"/>
                                <w:iCs/>
                                <w:color w:val="FFFFFF"/>
                                <w:sz w:val="36"/>
                                <w:szCs w:val="36"/>
                              </w:rPr>
                              <w:t xml:space="preserve">Il mercato delle case nelle località turistiche </w:t>
                            </w:r>
                          </w:p>
                          <w:p w14:paraId="0A0EA308" w14:textId="77777777" w:rsidR="004B224E" w:rsidRPr="002D3762" w:rsidRDefault="004B224E" w:rsidP="00575691">
                            <w:pPr>
                              <w:jc w:val="right"/>
                              <w:rPr>
                                <w:rFonts w:ascii="Calibri" w:hAnsi="Calibri" w:cs="Calibri"/>
                                <w:iCs/>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1BED7F" id="_x0000_t202" coordsize="21600,21600" o:spt="202" path="m,l,21600r21600,l21600,xe">
                <v:stroke joinstyle="miter"/>
                <v:path gradientshapeok="t" o:connecttype="rect"/>
              </v:shapetype>
              <v:shape id="Casella di testo 3" o:spid="_x0000_s1026" type="#_x0000_t202" style="position:absolute;left:0;text-align:left;margin-left:7.8pt;margin-top:15.05pt;width:473.3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" filled="f" stroked="f">
                <v:textbox>
                  <w:txbxContent>
                    <w:p w14:paraId="15A3C2C0" w14:textId="519B64E8" w:rsidR="004B224E" w:rsidRDefault="004B224E" w:rsidP="00207589">
                      <w:pPr>
                        <w:jc w:val="center"/>
                        <w:rPr>
                          <w:rFonts w:ascii="Calibri" w:hAnsi="Calibri" w:cs="Calibri"/>
                          <w:iCs/>
                          <w:color w:val="FFFFFF"/>
                          <w:sz w:val="36"/>
                          <w:szCs w:val="36"/>
                        </w:rPr>
                      </w:pPr>
                      <w:r w:rsidRPr="002D3762">
                        <w:rPr>
                          <w:rFonts w:ascii="Calibri" w:hAnsi="Calibri" w:cs="Calibri"/>
                          <w:iCs/>
                          <w:color w:val="FFFFFF"/>
                          <w:sz w:val="36"/>
                          <w:szCs w:val="36"/>
                        </w:rPr>
                        <w:t xml:space="preserve">OSSERVATORIO </w:t>
                      </w:r>
                      <w:r w:rsidR="00851093">
                        <w:rPr>
                          <w:rFonts w:ascii="Calibri" w:hAnsi="Calibri" w:cs="Calibri"/>
                          <w:iCs/>
                          <w:color w:val="FFFFFF"/>
                          <w:sz w:val="36"/>
                          <w:szCs w:val="36"/>
                        </w:rPr>
                        <w:t>NAZIO</w:t>
                      </w:r>
                      <w:r w:rsidR="009611F1">
                        <w:rPr>
                          <w:rFonts w:ascii="Calibri" w:hAnsi="Calibri" w:cs="Calibri"/>
                          <w:iCs/>
                          <w:color w:val="FFFFFF"/>
                          <w:sz w:val="36"/>
                          <w:szCs w:val="36"/>
                        </w:rPr>
                        <w:t>N</w:t>
                      </w:r>
                      <w:r w:rsidR="00851093">
                        <w:rPr>
                          <w:rFonts w:ascii="Calibri" w:hAnsi="Calibri" w:cs="Calibri"/>
                          <w:iCs/>
                          <w:color w:val="FFFFFF"/>
                          <w:sz w:val="36"/>
                          <w:szCs w:val="36"/>
                        </w:rPr>
                        <w:t>A</w:t>
                      </w:r>
                      <w:r w:rsidR="009611F1">
                        <w:rPr>
                          <w:rFonts w:ascii="Calibri" w:hAnsi="Calibri" w:cs="Calibri"/>
                          <w:iCs/>
                          <w:color w:val="FFFFFF"/>
                          <w:sz w:val="36"/>
                          <w:szCs w:val="36"/>
                        </w:rPr>
                        <w:t xml:space="preserve">LE </w:t>
                      </w:r>
                      <w:r w:rsidRPr="002D3762">
                        <w:rPr>
                          <w:rFonts w:ascii="Calibri" w:hAnsi="Calibri" w:cs="Calibri"/>
                          <w:iCs/>
                          <w:color w:val="FFFFFF"/>
                          <w:sz w:val="36"/>
                          <w:szCs w:val="36"/>
                        </w:rPr>
                        <w:t>IMMOBILIARE TURISTICO 20</w:t>
                      </w:r>
                      <w:r w:rsidR="004B452F">
                        <w:rPr>
                          <w:rFonts w:ascii="Calibri" w:hAnsi="Calibri" w:cs="Calibri"/>
                          <w:iCs/>
                          <w:color w:val="FFFFFF"/>
                          <w:sz w:val="36"/>
                          <w:szCs w:val="36"/>
                        </w:rPr>
                        <w:t>22</w:t>
                      </w:r>
                    </w:p>
                    <w:p w14:paraId="4672FA58" w14:textId="77777777" w:rsidR="00207589" w:rsidRDefault="00207589" w:rsidP="00207589">
                      <w:pPr>
                        <w:jc w:val="center"/>
                        <w:rPr>
                          <w:rFonts w:ascii="Calibri" w:hAnsi="Calibri" w:cs="Calibri"/>
                          <w:iCs/>
                          <w:color w:val="FFFFFF"/>
                          <w:sz w:val="36"/>
                          <w:szCs w:val="36"/>
                        </w:rPr>
                      </w:pPr>
                    </w:p>
                    <w:p w14:paraId="43FADD75" w14:textId="77777777" w:rsidR="00207589" w:rsidRPr="002D3762" w:rsidRDefault="00207589" w:rsidP="00207589">
                      <w:pPr>
                        <w:jc w:val="center"/>
                        <w:rPr>
                          <w:rFonts w:ascii="Calibri" w:hAnsi="Calibri" w:cs="Calibri"/>
                          <w:iCs/>
                          <w:color w:val="FFFFFF"/>
                          <w:sz w:val="36"/>
                          <w:szCs w:val="36"/>
                        </w:rPr>
                      </w:pPr>
                      <w:r>
                        <w:rPr>
                          <w:rFonts w:ascii="Calibri" w:hAnsi="Calibri" w:cs="Calibri"/>
                          <w:iCs/>
                          <w:color w:val="FFFFFF"/>
                          <w:sz w:val="36"/>
                          <w:szCs w:val="36"/>
                        </w:rPr>
                        <w:t xml:space="preserve">Il mercato delle case nelle località turistiche </w:t>
                      </w:r>
                    </w:p>
                    <w:p w14:paraId="0A0EA308" w14:textId="77777777" w:rsidR="004B224E" w:rsidRPr="002D3762" w:rsidRDefault="004B224E" w:rsidP="00575691">
                      <w:pPr>
                        <w:jc w:val="right"/>
                        <w:rPr>
                          <w:rFonts w:ascii="Calibri" w:hAnsi="Calibri" w:cs="Calibri"/>
                          <w:iCs/>
                          <w:color w:val="FFFFFF"/>
                          <w:sz w:val="36"/>
                          <w:szCs w:val="36"/>
                        </w:rPr>
                      </w:pPr>
                    </w:p>
                  </w:txbxContent>
                </v:textbox>
              </v:shape>
            </w:pict>
          </mc:Fallback>
        </mc:AlternateContent>
      </w:r>
    </w:p>
    <w:p w14:paraId="19D03990" w14:textId="77777777" w:rsidR="002D3762" w:rsidRDefault="002D3762" w:rsidP="00AE50F2">
      <w:pPr>
        <w:tabs>
          <w:tab w:val="left" w:pos="357"/>
        </w:tabs>
        <w:suppressAutoHyphens/>
        <w:rPr>
          <w:rFonts w:ascii="Calibri" w:hAnsi="Calibri" w:cs="Calibri"/>
          <w:color w:val="1F497D"/>
          <w:sz w:val="28"/>
          <w:szCs w:val="28"/>
        </w:rPr>
      </w:pPr>
    </w:p>
    <w:p w14:paraId="643D0926" w14:textId="77777777" w:rsidR="002D3762" w:rsidRDefault="002D3762" w:rsidP="00AE50F2">
      <w:pPr>
        <w:tabs>
          <w:tab w:val="left" w:pos="357"/>
        </w:tabs>
        <w:suppressAutoHyphens/>
        <w:rPr>
          <w:rFonts w:ascii="Calibri" w:hAnsi="Calibri" w:cs="Calibri"/>
          <w:color w:val="1F497D"/>
          <w:sz w:val="28"/>
          <w:szCs w:val="28"/>
        </w:rPr>
      </w:pPr>
    </w:p>
    <w:p w14:paraId="1494EDB8" w14:textId="77777777" w:rsidR="002D3762" w:rsidRDefault="002D3762" w:rsidP="00AE50F2">
      <w:pPr>
        <w:tabs>
          <w:tab w:val="left" w:pos="357"/>
        </w:tabs>
        <w:suppressAutoHyphens/>
        <w:rPr>
          <w:rFonts w:ascii="Calibri" w:hAnsi="Calibri" w:cs="Calibri"/>
          <w:color w:val="1F497D"/>
          <w:sz w:val="28"/>
          <w:szCs w:val="28"/>
        </w:rPr>
      </w:pPr>
    </w:p>
    <w:p w14:paraId="30706970" w14:textId="77777777" w:rsidR="002D3762" w:rsidRDefault="002D3762" w:rsidP="00AE50F2">
      <w:pPr>
        <w:tabs>
          <w:tab w:val="left" w:pos="357"/>
        </w:tabs>
        <w:suppressAutoHyphens/>
        <w:rPr>
          <w:rFonts w:ascii="Calibri" w:hAnsi="Calibri" w:cs="Calibri"/>
          <w:color w:val="1F497D"/>
          <w:sz w:val="28"/>
          <w:szCs w:val="28"/>
        </w:rPr>
      </w:pPr>
    </w:p>
    <w:p w14:paraId="6389AD00" w14:textId="77777777" w:rsidR="002D3762" w:rsidRDefault="002D3762" w:rsidP="00AE50F2">
      <w:pPr>
        <w:tabs>
          <w:tab w:val="left" w:pos="357"/>
        </w:tabs>
        <w:suppressAutoHyphens/>
        <w:rPr>
          <w:rFonts w:ascii="Calibri" w:hAnsi="Calibri" w:cs="Calibri"/>
          <w:color w:val="1F497D"/>
          <w:sz w:val="28"/>
          <w:szCs w:val="28"/>
        </w:rPr>
      </w:pPr>
    </w:p>
    <w:p w14:paraId="33BEC57F" w14:textId="77777777" w:rsidR="002D3762" w:rsidRDefault="002D3762" w:rsidP="00AE50F2">
      <w:pPr>
        <w:tabs>
          <w:tab w:val="left" w:pos="357"/>
        </w:tabs>
        <w:suppressAutoHyphens/>
        <w:rPr>
          <w:rFonts w:ascii="Calibri" w:hAnsi="Calibri" w:cs="Calibri"/>
          <w:color w:val="1F497D"/>
          <w:sz w:val="28"/>
          <w:szCs w:val="28"/>
        </w:rPr>
      </w:pPr>
    </w:p>
    <w:p w14:paraId="38AB7393" w14:textId="77777777" w:rsidR="002D3762" w:rsidRDefault="002D3762" w:rsidP="00AE50F2">
      <w:pPr>
        <w:tabs>
          <w:tab w:val="left" w:pos="357"/>
        </w:tabs>
        <w:suppressAutoHyphens/>
        <w:rPr>
          <w:rFonts w:ascii="Calibri" w:hAnsi="Calibri" w:cs="Calibri"/>
          <w:color w:val="1F497D"/>
          <w:sz w:val="28"/>
          <w:szCs w:val="28"/>
        </w:rPr>
      </w:pPr>
    </w:p>
    <w:p w14:paraId="247DB176" w14:textId="77777777" w:rsidR="002D3762" w:rsidRDefault="002D3762" w:rsidP="00AE50F2">
      <w:pPr>
        <w:tabs>
          <w:tab w:val="left" w:pos="357"/>
        </w:tabs>
        <w:suppressAutoHyphens/>
        <w:rPr>
          <w:rFonts w:ascii="Calibri" w:hAnsi="Calibri" w:cs="Calibri"/>
          <w:color w:val="1F497D"/>
          <w:sz w:val="28"/>
          <w:szCs w:val="28"/>
        </w:rPr>
      </w:pPr>
    </w:p>
    <w:p w14:paraId="050DB44B" w14:textId="77777777" w:rsidR="002D3762" w:rsidRDefault="002D3762" w:rsidP="00AE50F2">
      <w:pPr>
        <w:tabs>
          <w:tab w:val="left" w:pos="357"/>
        </w:tabs>
        <w:suppressAutoHyphens/>
        <w:rPr>
          <w:rFonts w:ascii="Calibri" w:hAnsi="Calibri" w:cs="Calibri"/>
          <w:color w:val="1F497D"/>
          <w:sz w:val="28"/>
          <w:szCs w:val="28"/>
        </w:rPr>
      </w:pPr>
    </w:p>
    <w:p w14:paraId="79CA4C1A" w14:textId="77777777" w:rsidR="00D859D7" w:rsidRDefault="00D859D7" w:rsidP="00D859D7">
      <w:pPr>
        <w:tabs>
          <w:tab w:val="left" w:pos="357"/>
        </w:tabs>
        <w:suppressAutoHyphens/>
        <w:jc w:val="center"/>
        <w:rPr>
          <w:rFonts w:ascii="Calibri" w:hAnsi="Calibri" w:cs="Calibri"/>
          <w:b/>
          <w:color w:val="1F497D"/>
          <w:sz w:val="28"/>
          <w:szCs w:val="28"/>
          <w:u w:val="single"/>
        </w:rPr>
      </w:pPr>
      <w:r w:rsidRPr="00D859D7">
        <w:rPr>
          <w:rFonts w:ascii="Calibri" w:hAnsi="Calibri" w:cs="Calibri"/>
          <w:b/>
          <w:color w:val="1F497D"/>
          <w:sz w:val="28"/>
          <w:szCs w:val="28"/>
          <w:u w:val="single"/>
        </w:rPr>
        <w:t>SINTESI PER LA STAMPA</w:t>
      </w:r>
    </w:p>
    <w:p w14:paraId="707BB767" w14:textId="77777777" w:rsidR="00A30614" w:rsidRPr="00A30614" w:rsidRDefault="00A30614" w:rsidP="00D859D7">
      <w:pPr>
        <w:tabs>
          <w:tab w:val="left" w:pos="357"/>
        </w:tabs>
        <w:suppressAutoHyphens/>
        <w:jc w:val="center"/>
        <w:rPr>
          <w:rFonts w:ascii="Calibri" w:hAnsi="Calibri" w:cs="Calibri"/>
          <w:b/>
          <w:color w:val="1F497D"/>
          <w:sz w:val="6"/>
          <w:szCs w:val="28"/>
          <w:u w:val="single"/>
        </w:rPr>
      </w:pPr>
    </w:p>
    <w:p w14:paraId="60D67DC0" w14:textId="312D4560" w:rsidR="00207589" w:rsidRDefault="00207589" w:rsidP="00207589">
      <w:pPr>
        <w:tabs>
          <w:tab w:val="left" w:pos="357"/>
        </w:tabs>
        <w:suppressAutoHyphens/>
        <w:jc w:val="center"/>
        <w:rPr>
          <w:rFonts w:ascii="Calibri" w:hAnsi="Calibri" w:cs="Calibri"/>
          <w:color w:val="1F497D"/>
          <w:sz w:val="28"/>
          <w:szCs w:val="28"/>
        </w:rPr>
      </w:pPr>
      <w:r>
        <w:rPr>
          <w:rFonts w:ascii="Calibri" w:hAnsi="Calibri" w:cs="Calibri"/>
          <w:color w:val="1F497D"/>
          <w:sz w:val="28"/>
          <w:szCs w:val="28"/>
        </w:rPr>
        <w:t xml:space="preserve">Roma, </w:t>
      </w:r>
      <w:r w:rsidR="00BA4CCC">
        <w:rPr>
          <w:rFonts w:ascii="Calibri" w:hAnsi="Calibri" w:cs="Calibri"/>
          <w:color w:val="1F497D"/>
          <w:sz w:val="28"/>
          <w:szCs w:val="28"/>
        </w:rPr>
        <w:t>3 agosto</w:t>
      </w:r>
      <w:r>
        <w:rPr>
          <w:rFonts w:ascii="Calibri" w:hAnsi="Calibri" w:cs="Calibri"/>
          <w:color w:val="1F497D"/>
          <w:sz w:val="28"/>
          <w:szCs w:val="28"/>
        </w:rPr>
        <w:t xml:space="preserve"> 20</w:t>
      </w:r>
      <w:r w:rsidR="004B452F">
        <w:rPr>
          <w:rFonts w:ascii="Calibri" w:hAnsi="Calibri" w:cs="Calibri"/>
          <w:color w:val="1F497D"/>
          <w:sz w:val="28"/>
          <w:szCs w:val="28"/>
        </w:rPr>
        <w:t>22</w:t>
      </w:r>
    </w:p>
    <w:p w14:paraId="5537DB09" w14:textId="77777777" w:rsidR="00A30614" w:rsidRPr="00A30614" w:rsidRDefault="00A30614" w:rsidP="00207589">
      <w:pPr>
        <w:tabs>
          <w:tab w:val="left" w:pos="357"/>
        </w:tabs>
        <w:suppressAutoHyphens/>
        <w:jc w:val="center"/>
        <w:rPr>
          <w:rFonts w:ascii="Calibri" w:hAnsi="Calibri" w:cs="Calibri"/>
          <w:color w:val="1F497D"/>
          <w:sz w:val="6"/>
          <w:szCs w:val="28"/>
        </w:rPr>
      </w:pPr>
    </w:p>
    <w:p w14:paraId="0FAAB25D" w14:textId="7E45141C" w:rsidR="00A30614" w:rsidRPr="00A30614" w:rsidRDefault="00A30614" w:rsidP="00A30614">
      <w:pPr>
        <w:tabs>
          <w:tab w:val="left" w:pos="357"/>
        </w:tabs>
        <w:suppressAutoHyphens/>
        <w:jc w:val="center"/>
        <w:rPr>
          <w:rFonts w:ascii="Calibri" w:hAnsi="Calibri" w:cs="Calibri"/>
          <w:b/>
          <w:color w:val="1F497D"/>
          <w:sz w:val="40"/>
          <w:szCs w:val="28"/>
        </w:rPr>
      </w:pPr>
    </w:p>
    <w:p w14:paraId="1F18B209" w14:textId="77777777" w:rsidR="00A725D0" w:rsidRDefault="00A725D0" w:rsidP="002D3762">
      <w:pPr>
        <w:tabs>
          <w:tab w:val="left" w:pos="357"/>
        </w:tabs>
        <w:suppressAutoHyphens/>
        <w:jc w:val="center"/>
        <w:rPr>
          <w:rFonts w:ascii="Calibri" w:hAnsi="Calibri" w:cs="Calibri"/>
          <w:color w:val="1F497D"/>
          <w:sz w:val="28"/>
          <w:szCs w:val="28"/>
        </w:rPr>
      </w:pPr>
    </w:p>
    <w:p w14:paraId="2270AA2E" w14:textId="77777777" w:rsidR="008A4E21" w:rsidRDefault="00207589" w:rsidP="002D3762">
      <w:pPr>
        <w:tabs>
          <w:tab w:val="left" w:pos="357"/>
        </w:tabs>
        <w:suppressAutoHyphens/>
        <w:jc w:val="center"/>
        <w:rPr>
          <w:rFonts w:asciiTheme="minorHAnsi" w:hAnsiTheme="minorHAnsi"/>
          <w:b/>
          <w:sz w:val="28"/>
          <w:szCs w:val="28"/>
        </w:rPr>
      </w:pPr>
      <w:r w:rsidRPr="00207589">
        <w:rPr>
          <w:rFonts w:asciiTheme="minorHAnsi" w:hAnsiTheme="minorHAnsi"/>
          <w:sz w:val="28"/>
          <w:szCs w:val="28"/>
        </w:rPr>
        <w:t>Con la collaborazione di</w:t>
      </w:r>
      <w:r>
        <w:rPr>
          <w:rFonts w:asciiTheme="minorHAnsi" w:hAnsiTheme="minorHAnsi"/>
          <w:b/>
          <w:sz w:val="28"/>
          <w:szCs w:val="28"/>
        </w:rPr>
        <w:t xml:space="preserve"> </w:t>
      </w:r>
      <w:r w:rsidRPr="00E4690F">
        <w:rPr>
          <w:noProof/>
        </w:rPr>
        <w:drawing>
          <wp:inline distT="0" distB="0" distL="0" distR="0" wp14:anchorId="516444E9" wp14:editId="0EB48107">
            <wp:extent cx="2162610" cy="1074567"/>
            <wp:effectExtent l="0" t="0" r="9525" b="0"/>
            <wp:docPr id="17" name="Immagine 2" descr="C:\Users\margherita.tamburini\Desktop\Nomisma - pant 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herita.tamburini\Desktop\Nomisma - pant 28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8921" cy="1077703"/>
                    </a:xfrm>
                    <a:prstGeom prst="rect">
                      <a:avLst/>
                    </a:prstGeom>
                    <a:noFill/>
                    <a:ln>
                      <a:noFill/>
                    </a:ln>
                  </pic:spPr>
                </pic:pic>
              </a:graphicData>
            </a:graphic>
          </wp:inline>
        </w:drawing>
      </w:r>
    </w:p>
    <w:p w14:paraId="573D5D42" w14:textId="5ADAC268" w:rsidR="00A725D0" w:rsidRDefault="00A725D0" w:rsidP="00AE50F2">
      <w:pPr>
        <w:tabs>
          <w:tab w:val="left" w:pos="357"/>
        </w:tabs>
        <w:suppressAutoHyphens/>
        <w:rPr>
          <w:rFonts w:asciiTheme="minorHAnsi" w:hAnsiTheme="minorHAnsi"/>
          <w:b/>
          <w:sz w:val="28"/>
          <w:szCs w:val="28"/>
        </w:rPr>
      </w:pPr>
    </w:p>
    <w:p w14:paraId="47CD4845" w14:textId="77777777" w:rsidR="005F787C" w:rsidRPr="005F787C" w:rsidRDefault="005F787C" w:rsidP="00F72B38">
      <w:pPr>
        <w:spacing w:after="120" w:line="276" w:lineRule="auto"/>
        <w:rPr>
          <w:rFonts w:asciiTheme="minorHAnsi" w:eastAsia="Calibri" w:hAnsiTheme="minorHAnsi" w:cstheme="minorHAnsi"/>
          <w:b/>
          <w:bCs/>
          <w:sz w:val="4"/>
          <w:szCs w:val="24"/>
        </w:rPr>
      </w:pPr>
    </w:p>
    <w:p w14:paraId="682F8FCE" w14:textId="42FD5FA8" w:rsidR="006A0BF2" w:rsidRPr="00AC59FD" w:rsidRDefault="007A64EE" w:rsidP="00F72B38">
      <w:pPr>
        <w:spacing w:after="120" w:line="276" w:lineRule="auto"/>
        <w:rPr>
          <w:rFonts w:asciiTheme="minorHAnsi" w:eastAsia="Calibri" w:hAnsiTheme="minorHAnsi" w:cstheme="minorHAnsi"/>
          <w:b/>
          <w:bCs/>
          <w:szCs w:val="24"/>
        </w:rPr>
      </w:pPr>
      <w:r w:rsidRPr="00AC59FD">
        <w:rPr>
          <w:rFonts w:asciiTheme="minorHAnsi" w:eastAsia="Calibri" w:hAnsiTheme="minorHAnsi" w:cstheme="minorHAnsi"/>
          <w:b/>
          <w:bCs/>
          <w:szCs w:val="24"/>
        </w:rPr>
        <w:lastRenderedPageBreak/>
        <w:t>L’Osser</w:t>
      </w:r>
      <w:r w:rsidR="00693364" w:rsidRPr="00AC59FD">
        <w:rPr>
          <w:rFonts w:asciiTheme="minorHAnsi" w:eastAsia="Calibri" w:hAnsiTheme="minorHAnsi" w:cstheme="minorHAnsi"/>
          <w:b/>
          <w:bCs/>
          <w:szCs w:val="24"/>
        </w:rPr>
        <w:t>v</w:t>
      </w:r>
      <w:r w:rsidRPr="00AC59FD">
        <w:rPr>
          <w:rFonts w:asciiTheme="minorHAnsi" w:eastAsia="Calibri" w:hAnsiTheme="minorHAnsi" w:cstheme="minorHAnsi"/>
          <w:b/>
          <w:bCs/>
          <w:szCs w:val="24"/>
        </w:rPr>
        <w:t>atorio Nazionale Immobiliare Turistico 20</w:t>
      </w:r>
      <w:r w:rsidR="004B452F" w:rsidRPr="00AC59FD">
        <w:rPr>
          <w:rFonts w:asciiTheme="minorHAnsi" w:eastAsia="Calibri" w:hAnsiTheme="minorHAnsi" w:cstheme="minorHAnsi"/>
          <w:b/>
          <w:bCs/>
          <w:szCs w:val="24"/>
        </w:rPr>
        <w:t>22</w:t>
      </w:r>
      <w:r w:rsidRPr="00AC59FD">
        <w:rPr>
          <w:rFonts w:asciiTheme="minorHAnsi" w:eastAsia="Calibri" w:hAnsiTheme="minorHAnsi" w:cstheme="minorHAnsi"/>
          <w:b/>
          <w:bCs/>
          <w:szCs w:val="24"/>
        </w:rPr>
        <w:t xml:space="preserve"> di FIMAA-Confcommercio </w:t>
      </w:r>
      <w:r w:rsidRPr="00AD1FA3">
        <w:rPr>
          <w:rFonts w:asciiTheme="minorHAnsi" w:eastAsia="Calibri" w:hAnsiTheme="minorHAnsi" w:cstheme="minorHAnsi"/>
          <w:szCs w:val="24"/>
        </w:rPr>
        <w:t>(Federazione Italiana Mediatori Agenti d’Affari</w:t>
      </w:r>
      <w:r w:rsidR="00140A3F">
        <w:rPr>
          <w:rFonts w:asciiTheme="minorHAnsi" w:eastAsia="Calibri" w:hAnsiTheme="minorHAnsi" w:cstheme="minorHAnsi"/>
          <w:szCs w:val="24"/>
        </w:rPr>
        <w:t>, aderente a Confcommercio-Imprese per l’Italia</w:t>
      </w:r>
      <w:r w:rsidRPr="00AD1FA3">
        <w:rPr>
          <w:rFonts w:asciiTheme="minorHAnsi" w:eastAsia="Calibri" w:hAnsiTheme="minorHAnsi" w:cstheme="minorHAnsi"/>
          <w:szCs w:val="24"/>
        </w:rPr>
        <w:t>)</w:t>
      </w:r>
      <w:r w:rsidR="00776064">
        <w:rPr>
          <w:rFonts w:asciiTheme="minorHAnsi" w:eastAsia="Calibri" w:hAnsiTheme="minorHAnsi" w:cstheme="minorHAnsi"/>
          <w:szCs w:val="24"/>
        </w:rPr>
        <w:t>,</w:t>
      </w:r>
      <w:r w:rsidRPr="00AD1FA3">
        <w:rPr>
          <w:rFonts w:asciiTheme="minorHAnsi" w:eastAsia="Calibri" w:hAnsiTheme="minorHAnsi" w:cstheme="minorHAnsi"/>
          <w:szCs w:val="24"/>
        </w:rPr>
        <w:t xml:space="preserve"> con la collaborazione d</w:t>
      </w:r>
      <w:r w:rsidR="00776064">
        <w:rPr>
          <w:rFonts w:asciiTheme="minorHAnsi" w:eastAsia="Calibri" w:hAnsiTheme="minorHAnsi" w:cstheme="minorHAnsi"/>
          <w:szCs w:val="24"/>
        </w:rPr>
        <w:t>i</w:t>
      </w:r>
      <w:r w:rsidRPr="00AD1FA3">
        <w:rPr>
          <w:rFonts w:asciiTheme="minorHAnsi" w:eastAsia="Calibri" w:hAnsiTheme="minorHAnsi" w:cstheme="minorHAnsi"/>
          <w:szCs w:val="24"/>
        </w:rPr>
        <w:t xml:space="preserve"> NOMISMA</w:t>
      </w:r>
      <w:r w:rsidR="00776064">
        <w:rPr>
          <w:rFonts w:asciiTheme="minorHAnsi" w:eastAsia="Calibri" w:hAnsiTheme="minorHAnsi" w:cstheme="minorHAnsi"/>
          <w:szCs w:val="24"/>
        </w:rPr>
        <w:t>,</w:t>
      </w:r>
      <w:r w:rsidRPr="00AD1FA3">
        <w:rPr>
          <w:rFonts w:asciiTheme="minorHAnsi" w:eastAsia="Calibri" w:hAnsiTheme="minorHAnsi" w:cstheme="minorHAnsi"/>
          <w:szCs w:val="24"/>
        </w:rPr>
        <w:t xml:space="preserve"> </w:t>
      </w:r>
      <w:r w:rsidR="007F63FF">
        <w:rPr>
          <w:rFonts w:asciiTheme="minorHAnsi" w:eastAsia="Calibri" w:hAnsiTheme="minorHAnsi" w:cstheme="minorHAnsi"/>
          <w:szCs w:val="24"/>
        </w:rPr>
        <w:t>ha monitorato</w:t>
      </w:r>
      <w:r w:rsidR="006A0BF2" w:rsidRPr="00AD1FA3">
        <w:rPr>
          <w:rFonts w:asciiTheme="minorHAnsi" w:eastAsia="Calibri" w:hAnsiTheme="minorHAnsi" w:cstheme="minorHAnsi"/>
          <w:szCs w:val="24"/>
        </w:rPr>
        <w:t xml:space="preserve"> </w:t>
      </w:r>
      <w:r w:rsidR="00864A95" w:rsidRPr="00AD1FA3">
        <w:rPr>
          <w:rFonts w:asciiTheme="minorHAnsi" w:eastAsia="Calibri" w:hAnsiTheme="minorHAnsi" w:cstheme="minorHAnsi"/>
          <w:szCs w:val="24"/>
        </w:rPr>
        <w:t>l’andamento del</w:t>
      </w:r>
      <w:r w:rsidR="006A0BF2" w:rsidRPr="00AD1FA3">
        <w:rPr>
          <w:rFonts w:asciiTheme="minorHAnsi" w:eastAsia="Calibri" w:hAnsiTheme="minorHAnsi" w:cstheme="minorHAnsi"/>
          <w:szCs w:val="24"/>
        </w:rPr>
        <w:t xml:space="preserve"> m</w:t>
      </w:r>
      <w:r w:rsidR="009C78FC" w:rsidRPr="00AD1FA3">
        <w:rPr>
          <w:rFonts w:asciiTheme="minorHAnsi" w:eastAsia="Calibri" w:hAnsiTheme="minorHAnsi" w:cstheme="minorHAnsi"/>
          <w:szCs w:val="24"/>
        </w:rPr>
        <w:t xml:space="preserve">ercato </w:t>
      </w:r>
      <w:r w:rsidR="00776064">
        <w:rPr>
          <w:rFonts w:asciiTheme="minorHAnsi" w:eastAsia="Calibri" w:hAnsiTheme="minorHAnsi" w:cstheme="minorHAnsi"/>
          <w:szCs w:val="24"/>
        </w:rPr>
        <w:t>immobiliare</w:t>
      </w:r>
      <w:r w:rsidR="001534C0" w:rsidRPr="00AD1FA3">
        <w:rPr>
          <w:rFonts w:asciiTheme="minorHAnsi" w:eastAsia="Calibri" w:hAnsiTheme="minorHAnsi" w:cstheme="minorHAnsi"/>
          <w:szCs w:val="24"/>
        </w:rPr>
        <w:t xml:space="preserve"> </w:t>
      </w:r>
      <w:r w:rsidR="006A0BF2" w:rsidRPr="00AD1FA3">
        <w:rPr>
          <w:rFonts w:asciiTheme="minorHAnsi" w:eastAsia="Calibri" w:hAnsiTheme="minorHAnsi" w:cstheme="minorHAnsi"/>
          <w:szCs w:val="24"/>
        </w:rPr>
        <w:t>d</w:t>
      </w:r>
      <w:r w:rsidR="007F63FF">
        <w:rPr>
          <w:rFonts w:asciiTheme="minorHAnsi" w:eastAsia="Calibri" w:hAnsiTheme="minorHAnsi" w:cstheme="minorHAnsi"/>
          <w:szCs w:val="24"/>
        </w:rPr>
        <w:t>i un panel di</w:t>
      </w:r>
      <w:r w:rsidR="006A0BF2" w:rsidRPr="00AD1FA3">
        <w:rPr>
          <w:rFonts w:asciiTheme="minorHAnsi" w:eastAsia="Calibri" w:hAnsiTheme="minorHAnsi" w:cstheme="minorHAnsi"/>
          <w:szCs w:val="24"/>
        </w:rPr>
        <w:t xml:space="preserve"> </w:t>
      </w:r>
      <w:r w:rsidR="00776064">
        <w:rPr>
          <w:rFonts w:asciiTheme="minorHAnsi" w:eastAsia="Calibri" w:hAnsiTheme="minorHAnsi" w:cstheme="minorHAnsi"/>
          <w:szCs w:val="24"/>
        </w:rPr>
        <w:t>località turistiche</w:t>
      </w:r>
      <w:r w:rsidR="006A0BF2" w:rsidRPr="00AD1FA3">
        <w:rPr>
          <w:rFonts w:asciiTheme="minorHAnsi" w:eastAsia="Calibri" w:hAnsiTheme="minorHAnsi" w:cstheme="minorHAnsi"/>
          <w:szCs w:val="24"/>
        </w:rPr>
        <w:t xml:space="preserve"> </w:t>
      </w:r>
      <w:r w:rsidR="00864A95" w:rsidRPr="00AD1FA3">
        <w:rPr>
          <w:rFonts w:asciiTheme="minorHAnsi" w:eastAsia="Calibri" w:hAnsiTheme="minorHAnsi" w:cstheme="minorHAnsi"/>
          <w:szCs w:val="24"/>
        </w:rPr>
        <w:t xml:space="preserve">in </w:t>
      </w:r>
      <w:r w:rsidR="006A0BF2" w:rsidRPr="00AD1FA3">
        <w:rPr>
          <w:rFonts w:asciiTheme="minorHAnsi" w:eastAsia="Calibri" w:hAnsiTheme="minorHAnsi" w:cstheme="minorHAnsi"/>
          <w:szCs w:val="24"/>
        </w:rPr>
        <w:t>Italia</w:t>
      </w:r>
      <w:r w:rsidR="00AF3CF5" w:rsidRPr="00AD1FA3">
        <w:rPr>
          <w:rFonts w:asciiTheme="minorHAnsi" w:eastAsia="Calibri" w:hAnsiTheme="minorHAnsi" w:cstheme="minorHAnsi"/>
          <w:szCs w:val="24"/>
        </w:rPr>
        <w:t>,</w:t>
      </w:r>
      <w:r w:rsidR="00864A95" w:rsidRPr="00AD1FA3">
        <w:rPr>
          <w:rFonts w:asciiTheme="minorHAnsi" w:eastAsia="Calibri" w:hAnsiTheme="minorHAnsi" w:cstheme="minorHAnsi"/>
          <w:szCs w:val="24"/>
        </w:rPr>
        <w:t xml:space="preserve"> attraverso l’analisi dei dati </w:t>
      </w:r>
      <w:r w:rsidR="004D2B7B" w:rsidRPr="00AD1FA3">
        <w:rPr>
          <w:rFonts w:asciiTheme="minorHAnsi" w:eastAsia="Calibri" w:hAnsiTheme="minorHAnsi" w:cstheme="minorHAnsi"/>
          <w:szCs w:val="24"/>
        </w:rPr>
        <w:t>d</w:t>
      </w:r>
      <w:r w:rsidR="00776064">
        <w:rPr>
          <w:rFonts w:asciiTheme="minorHAnsi" w:eastAsia="Calibri" w:hAnsiTheme="minorHAnsi" w:cstheme="minorHAnsi"/>
          <w:szCs w:val="24"/>
        </w:rPr>
        <w:t>i</w:t>
      </w:r>
      <w:r w:rsidR="004D2B7B" w:rsidRPr="00AD1FA3">
        <w:rPr>
          <w:rFonts w:asciiTheme="minorHAnsi" w:eastAsia="Calibri" w:hAnsiTheme="minorHAnsi" w:cstheme="minorHAnsi"/>
          <w:szCs w:val="24"/>
        </w:rPr>
        <w:t xml:space="preserve"> </w:t>
      </w:r>
      <w:r w:rsidR="00F72B38" w:rsidRPr="00AD1FA3">
        <w:rPr>
          <w:rFonts w:asciiTheme="minorHAnsi" w:eastAsia="Calibri" w:hAnsiTheme="minorHAnsi" w:cstheme="minorHAnsi"/>
          <w:szCs w:val="24"/>
        </w:rPr>
        <w:t xml:space="preserve">compravendite e locazioni </w:t>
      </w:r>
      <w:r w:rsidR="0019429B" w:rsidRPr="00AD1FA3">
        <w:rPr>
          <w:rFonts w:asciiTheme="minorHAnsi" w:eastAsia="Calibri" w:hAnsiTheme="minorHAnsi" w:cstheme="minorHAnsi"/>
          <w:szCs w:val="24"/>
        </w:rPr>
        <w:t xml:space="preserve">di </w:t>
      </w:r>
      <w:r w:rsidR="004607D5" w:rsidRPr="00AC59FD">
        <w:rPr>
          <w:rFonts w:asciiTheme="minorHAnsi" w:eastAsia="Calibri" w:hAnsiTheme="minorHAnsi" w:cstheme="minorHAnsi"/>
          <w:b/>
          <w:bCs/>
          <w:szCs w:val="24"/>
        </w:rPr>
        <w:t>141</w:t>
      </w:r>
      <w:r w:rsidR="00864A95" w:rsidRPr="00AC59FD">
        <w:rPr>
          <w:rFonts w:asciiTheme="minorHAnsi" w:eastAsia="Calibri" w:hAnsiTheme="minorHAnsi" w:cstheme="minorHAnsi"/>
          <w:b/>
          <w:bCs/>
          <w:szCs w:val="24"/>
        </w:rPr>
        <w:t xml:space="preserve"> località di mare e </w:t>
      </w:r>
      <w:r w:rsidR="004607D5" w:rsidRPr="00AC59FD">
        <w:rPr>
          <w:rFonts w:asciiTheme="minorHAnsi" w:eastAsia="Calibri" w:hAnsiTheme="minorHAnsi" w:cstheme="minorHAnsi"/>
          <w:b/>
          <w:bCs/>
          <w:szCs w:val="24"/>
        </w:rPr>
        <w:t>76</w:t>
      </w:r>
      <w:r w:rsidR="00864A95" w:rsidRPr="00AC59FD">
        <w:rPr>
          <w:rFonts w:asciiTheme="minorHAnsi" w:eastAsia="Calibri" w:hAnsiTheme="minorHAnsi" w:cstheme="minorHAnsi"/>
          <w:b/>
          <w:bCs/>
          <w:szCs w:val="24"/>
        </w:rPr>
        <w:t xml:space="preserve"> di montagna e lago. </w:t>
      </w:r>
    </w:p>
    <w:p w14:paraId="0E312259" w14:textId="525FD116" w:rsidR="007F63FF" w:rsidRPr="00430438" w:rsidRDefault="007F63FF" w:rsidP="007F63FF">
      <w:pPr>
        <w:pStyle w:val="NormaleWeb"/>
        <w:shd w:val="clear" w:color="auto" w:fill="FFFFFF"/>
        <w:spacing w:before="0" w:beforeAutospacing="0" w:after="120" w:afterAutospacing="0" w:line="276" w:lineRule="auto"/>
        <w:jc w:val="both"/>
        <w:rPr>
          <w:rFonts w:asciiTheme="minorHAnsi" w:eastAsia="Calibri" w:hAnsiTheme="minorHAnsi" w:cstheme="minorHAnsi"/>
        </w:rPr>
      </w:pPr>
      <w:r w:rsidRPr="00430438">
        <w:rPr>
          <w:rFonts w:asciiTheme="minorHAnsi" w:eastAsia="Calibri" w:hAnsiTheme="minorHAnsi" w:cstheme="minorHAnsi"/>
        </w:rPr>
        <w:t>Quest’anno le performance che emergono dall’Osservatorio immobiliare turistico</w:t>
      </w:r>
      <w:r>
        <w:rPr>
          <w:rFonts w:asciiTheme="minorHAnsi" w:eastAsia="Calibri" w:hAnsiTheme="minorHAnsi" w:cstheme="minorHAnsi"/>
        </w:rPr>
        <w:t xml:space="preserve"> confermano un ritrovato</w:t>
      </w:r>
      <w:r w:rsidRPr="00430438">
        <w:rPr>
          <w:rFonts w:asciiTheme="minorHAnsi" w:eastAsia="Calibri" w:hAnsiTheme="minorHAnsi" w:cstheme="minorHAnsi"/>
        </w:rPr>
        <w:t xml:space="preserve"> interesse della domanda</w:t>
      </w:r>
      <w:r w:rsidR="00776064">
        <w:rPr>
          <w:rFonts w:asciiTheme="minorHAnsi" w:eastAsia="Calibri" w:hAnsiTheme="minorHAnsi" w:cstheme="minorHAnsi"/>
        </w:rPr>
        <w:t>,</w:t>
      </w:r>
      <w:r>
        <w:rPr>
          <w:rFonts w:asciiTheme="minorHAnsi" w:eastAsia="Calibri" w:hAnsiTheme="minorHAnsi" w:cstheme="minorHAnsi"/>
        </w:rPr>
        <w:t xml:space="preserve"> sia di acquisto che di locazione</w:t>
      </w:r>
      <w:r w:rsidR="00776064">
        <w:rPr>
          <w:rFonts w:asciiTheme="minorHAnsi" w:eastAsia="Calibri" w:hAnsiTheme="minorHAnsi" w:cstheme="minorHAnsi"/>
        </w:rPr>
        <w:t>,</w:t>
      </w:r>
      <w:r w:rsidRPr="00430438">
        <w:rPr>
          <w:rFonts w:asciiTheme="minorHAnsi" w:eastAsia="Calibri" w:hAnsiTheme="minorHAnsi" w:cstheme="minorHAnsi"/>
        </w:rPr>
        <w:t xml:space="preserve"> verso il mercato italiano delle abitazioni per vacanza</w:t>
      </w:r>
      <w:r w:rsidR="00A56617">
        <w:rPr>
          <w:rFonts w:asciiTheme="minorHAnsi" w:eastAsia="Calibri" w:hAnsiTheme="minorHAnsi" w:cstheme="minorHAnsi"/>
        </w:rPr>
        <w:t>,</w:t>
      </w:r>
      <w:r>
        <w:rPr>
          <w:rFonts w:asciiTheme="minorHAnsi" w:eastAsia="Calibri" w:hAnsiTheme="minorHAnsi" w:cstheme="minorHAnsi"/>
        </w:rPr>
        <w:t xml:space="preserve"> dopo la consistente battuta d’arresto provocata dalla pandemia</w:t>
      </w:r>
      <w:r w:rsidRPr="00430438">
        <w:rPr>
          <w:rFonts w:asciiTheme="minorHAnsi" w:eastAsia="Calibri" w:hAnsiTheme="minorHAnsi" w:cstheme="minorHAnsi"/>
        </w:rPr>
        <w:t xml:space="preserve">. </w:t>
      </w:r>
    </w:p>
    <w:p w14:paraId="159E56DB" w14:textId="7F900052" w:rsidR="00D859D7" w:rsidRPr="00AD1FA3" w:rsidRDefault="007F63FF" w:rsidP="00F72B38">
      <w:pPr>
        <w:spacing w:after="120" w:line="276" w:lineRule="auto"/>
        <w:rPr>
          <w:rFonts w:asciiTheme="minorHAnsi" w:eastAsia="Calibri" w:hAnsiTheme="minorHAnsi" w:cstheme="minorHAnsi"/>
          <w:szCs w:val="24"/>
        </w:rPr>
      </w:pPr>
      <w:r>
        <w:rPr>
          <w:rFonts w:asciiTheme="minorHAnsi" w:eastAsia="Calibri" w:hAnsiTheme="minorHAnsi" w:cstheme="minorHAnsi"/>
          <w:szCs w:val="24"/>
        </w:rPr>
        <w:t xml:space="preserve">Di seguito gli aspetti </w:t>
      </w:r>
      <w:r w:rsidR="00D859D7" w:rsidRPr="00AD1FA3">
        <w:rPr>
          <w:rFonts w:asciiTheme="minorHAnsi" w:eastAsia="Calibri" w:hAnsiTheme="minorHAnsi" w:cstheme="minorHAnsi"/>
          <w:szCs w:val="24"/>
        </w:rPr>
        <w:t>principali dell’analisi:</w:t>
      </w:r>
    </w:p>
    <w:p w14:paraId="7676BE03" w14:textId="3644AC78" w:rsidR="00D859D7" w:rsidRPr="00D67331" w:rsidRDefault="00D15552" w:rsidP="00205066">
      <w:pPr>
        <w:pStyle w:val="Paragrafoelenco"/>
        <w:numPr>
          <w:ilvl w:val="0"/>
          <w:numId w:val="4"/>
        </w:numPr>
        <w:spacing w:after="200" w:line="276" w:lineRule="auto"/>
        <w:rPr>
          <w:rFonts w:asciiTheme="minorHAnsi" w:eastAsia="Calibri" w:hAnsiTheme="minorHAnsi" w:cstheme="minorHAnsi"/>
          <w:b/>
          <w:szCs w:val="24"/>
        </w:rPr>
      </w:pPr>
      <w:r w:rsidRPr="00D15552">
        <w:rPr>
          <w:rFonts w:asciiTheme="minorHAnsi" w:eastAsia="Calibri" w:hAnsiTheme="minorHAnsi" w:cstheme="minorHAnsi"/>
          <w:b/>
          <w:bCs/>
        </w:rPr>
        <w:t xml:space="preserve">Le compravendite di abitazioni nelle località turistiche </w:t>
      </w:r>
      <w:r w:rsidR="009A7172">
        <w:rPr>
          <w:rFonts w:asciiTheme="minorHAnsi" w:eastAsia="Calibri" w:hAnsiTheme="minorHAnsi" w:cstheme="minorHAnsi"/>
          <w:b/>
          <w:bCs/>
        </w:rPr>
        <w:t xml:space="preserve">monitorate </w:t>
      </w:r>
      <w:r w:rsidR="006561E7" w:rsidRPr="00D15552">
        <w:rPr>
          <w:rFonts w:asciiTheme="minorHAnsi" w:eastAsia="Calibri" w:hAnsiTheme="minorHAnsi" w:cstheme="minorHAnsi"/>
          <w:b/>
          <w:szCs w:val="24"/>
        </w:rPr>
        <w:t xml:space="preserve">sono aumentate </w:t>
      </w:r>
      <w:r w:rsidR="00D67779" w:rsidRPr="00D15552">
        <w:rPr>
          <w:rFonts w:asciiTheme="minorHAnsi" w:eastAsia="Calibri" w:hAnsiTheme="minorHAnsi" w:cstheme="minorHAnsi"/>
          <w:b/>
          <w:szCs w:val="24"/>
        </w:rPr>
        <w:t xml:space="preserve">del </w:t>
      </w:r>
      <w:r w:rsidR="00EB6BCD" w:rsidRPr="00D15552">
        <w:rPr>
          <w:rFonts w:asciiTheme="minorHAnsi" w:eastAsia="Calibri" w:hAnsiTheme="minorHAnsi" w:cstheme="minorHAnsi"/>
          <w:b/>
          <w:szCs w:val="24"/>
        </w:rPr>
        <w:t>41,1</w:t>
      </w:r>
      <w:r w:rsidR="00D859D7" w:rsidRPr="00D15552">
        <w:rPr>
          <w:rFonts w:asciiTheme="minorHAnsi" w:eastAsia="Calibri" w:hAnsiTheme="minorHAnsi" w:cstheme="minorHAnsi"/>
          <w:b/>
          <w:szCs w:val="24"/>
        </w:rPr>
        <w:t>%</w:t>
      </w:r>
      <w:r>
        <w:rPr>
          <w:rFonts w:asciiTheme="minorHAnsi" w:eastAsia="Calibri" w:hAnsiTheme="minorHAnsi" w:cstheme="minorHAnsi"/>
          <w:b/>
          <w:szCs w:val="24"/>
        </w:rPr>
        <w:t xml:space="preserve"> nel 2021 rispetto al</w:t>
      </w:r>
      <w:r w:rsidRPr="00D67331">
        <w:rPr>
          <w:rFonts w:asciiTheme="minorHAnsi" w:eastAsia="Calibri" w:hAnsiTheme="minorHAnsi" w:cstheme="minorHAnsi"/>
          <w:b/>
          <w:szCs w:val="24"/>
        </w:rPr>
        <w:t xml:space="preserve"> 2020</w:t>
      </w:r>
      <w:r w:rsidR="00AD1FA3" w:rsidRPr="00D67331">
        <w:rPr>
          <w:rFonts w:asciiTheme="minorHAnsi" w:eastAsia="Calibri" w:hAnsiTheme="minorHAnsi" w:cstheme="minorHAnsi"/>
          <w:b/>
          <w:szCs w:val="24"/>
        </w:rPr>
        <w:t>,</w:t>
      </w:r>
      <w:r w:rsidRPr="00D67331">
        <w:rPr>
          <w:rFonts w:asciiTheme="minorHAnsi" w:eastAsia="Calibri" w:hAnsiTheme="minorHAnsi" w:cstheme="minorHAnsi"/>
          <w:b/>
          <w:szCs w:val="24"/>
        </w:rPr>
        <w:t xml:space="preserve"> con una intensità maggiore rispetto alla variazione</w:t>
      </w:r>
      <w:r w:rsidR="008F1BC7" w:rsidRPr="00D67331">
        <w:rPr>
          <w:rFonts w:asciiTheme="minorHAnsi" w:eastAsia="Calibri" w:hAnsiTheme="minorHAnsi" w:cstheme="minorHAnsi"/>
          <w:b/>
          <w:szCs w:val="24"/>
        </w:rPr>
        <w:t xml:space="preserve"> media</w:t>
      </w:r>
      <w:r w:rsidRPr="00D67331">
        <w:rPr>
          <w:rFonts w:asciiTheme="minorHAnsi" w:eastAsia="Calibri" w:hAnsiTheme="minorHAnsi" w:cstheme="minorHAnsi"/>
          <w:b/>
          <w:szCs w:val="24"/>
        </w:rPr>
        <w:t xml:space="preserve"> </w:t>
      </w:r>
      <w:r w:rsidR="005623E0" w:rsidRPr="00D67331">
        <w:rPr>
          <w:rFonts w:asciiTheme="minorHAnsi" w:eastAsia="Calibri" w:hAnsiTheme="minorHAnsi" w:cstheme="minorHAnsi"/>
          <w:b/>
          <w:szCs w:val="24"/>
        </w:rPr>
        <w:t>nazionale</w:t>
      </w:r>
      <w:r w:rsidR="00AD1FA3" w:rsidRPr="00D67331">
        <w:rPr>
          <w:rFonts w:asciiTheme="minorHAnsi" w:eastAsia="Calibri" w:hAnsiTheme="minorHAnsi" w:cstheme="minorHAnsi"/>
          <w:b/>
          <w:szCs w:val="24"/>
        </w:rPr>
        <w:t xml:space="preserve"> (+</w:t>
      </w:r>
      <w:r w:rsidR="00EB6BCD" w:rsidRPr="00D67331">
        <w:rPr>
          <w:rFonts w:asciiTheme="minorHAnsi" w:eastAsia="Calibri" w:hAnsiTheme="minorHAnsi" w:cstheme="minorHAnsi"/>
          <w:b/>
          <w:szCs w:val="24"/>
        </w:rPr>
        <w:t>34,0</w:t>
      </w:r>
      <w:r w:rsidR="00AD1FA3" w:rsidRPr="00D67331">
        <w:rPr>
          <w:rFonts w:asciiTheme="minorHAnsi" w:eastAsia="Calibri" w:hAnsiTheme="minorHAnsi" w:cstheme="minorHAnsi"/>
          <w:b/>
          <w:szCs w:val="24"/>
        </w:rPr>
        <w:t>%)</w:t>
      </w:r>
      <w:r w:rsidR="005623E0" w:rsidRPr="00D67331">
        <w:rPr>
          <w:rFonts w:asciiTheme="minorHAnsi" w:eastAsia="Calibri" w:hAnsiTheme="minorHAnsi" w:cstheme="minorHAnsi"/>
          <w:b/>
          <w:szCs w:val="24"/>
        </w:rPr>
        <w:t>, confermando il forte interesse della domanda verso questo segmento di mercato</w:t>
      </w:r>
      <w:r w:rsidR="008F1BC7" w:rsidRPr="00D67331">
        <w:rPr>
          <w:rFonts w:asciiTheme="minorHAnsi" w:eastAsia="Calibri" w:hAnsiTheme="minorHAnsi" w:cstheme="minorHAnsi"/>
          <w:b/>
          <w:szCs w:val="24"/>
        </w:rPr>
        <w:t>. I</w:t>
      </w:r>
      <w:r w:rsidR="00F72B38" w:rsidRPr="00D67331">
        <w:rPr>
          <w:rFonts w:asciiTheme="minorHAnsi" w:eastAsia="Calibri" w:hAnsiTheme="minorHAnsi" w:cstheme="minorHAnsi"/>
          <w:b/>
          <w:szCs w:val="24"/>
        </w:rPr>
        <w:t>n particolare</w:t>
      </w:r>
      <w:r w:rsidR="00D859D7" w:rsidRPr="00D67331">
        <w:rPr>
          <w:rFonts w:asciiTheme="minorHAnsi" w:eastAsia="Calibri" w:hAnsiTheme="minorHAnsi" w:cstheme="minorHAnsi"/>
          <w:b/>
          <w:szCs w:val="24"/>
        </w:rPr>
        <w:t>, le località marine</w:t>
      </w:r>
      <w:r w:rsidR="005942A3" w:rsidRPr="00D67331">
        <w:rPr>
          <w:rFonts w:asciiTheme="minorHAnsi" w:eastAsia="Calibri" w:hAnsiTheme="minorHAnsi" w:cstheme="minorHAnsi"/>
          <w:b/>
          <w:szCs w:val="24"/>
        </w:rPr>
        <w:t xml:space="preserve"> hanno fatto</w:t>
      </w:r>
      <w:r w:rsidR="00F72B38" w:rsidRPr="00D67331">
        <w:rPr>
          <w:rFonts w:asciiTheme="minorHAnsi" w:eastAsia="Calibri" w:hAnsiTheme="minorHAnsi" w:cstheme="minorHAnsi"/>
          <w:b/>
          <w:szCs w:val="24"/>
        </w:rPr>
        <w:t xml:space="preserve"> segnare +</w:t>
      </w:r>
      <w:r w:rsidR="00EB6BCD" w:rsidRPr="00D67331">
        <w:rPr>
          <w:rFonts w:asciiTheme="minorHAnsi" w:eastAsia="Calibri" w:hAnsiTheme="minorHAnsi" w:cstheme="minorHAnsi"/>
          <w:b/>
          <w:szCs w:val="24"/>
        </w:rPr>
        <w:t>43</w:t>
      </w:r>
      <w:r w:rsidR="005904AF" w:rsidRPr="00D67331">
        <w:rPr>
          <w:rFonts w:asciiTheme="minorHAnsi" w:eastAsia="Calibri" w:hAnsiTheme="minorHAnsi" w:cstheme="minorHAnsi"/>
          <w:b/>
          <w:szCs w:val="24"/>
        </w:rPr>
        <w:t>,</w:t>
      </w:r>
      <w:r w:rsidR="00C83ACE" w:rsidRPr="00D67331">
        <w:rPr>
          <w:rFonts w:asciiTheme="minorHAnsi" w:eastAsia="Calibri" w:hAnsiTheme="minorHAnsi" w:cstheme="minorHAnsi"/>
          <w:b/>
          <w:szCs w:val="24"/>
        </w:rPr>
        <w:t>4</w:t>
      </w:r>
      <w:r w:rsidR="00F72B38" w:rsidRPr="00D67331">
        <w:rPr>
          <w:rFonts w:asciiTheme="minorHAnsi" w:eastAsia="Calibri" w:hAnsiTheme="minorHAnsi" w:cstheme="minorHAnsi"/>
          <w:b/>
          <w:szCs w:val="24"/>
        </w:rPr>
        <w:t>%</w:t>
      </w:r>
      <w:r w:rsidR="00CC41FA" w:rsidRPr="00D67331">
        <w:rPr>
          <w:rFonts w:asciiTheme="minorHAnsi" w:eastAsia="Calibri" w:hAnsiTheme="minorHAnsi" w:cstheme="minorHAnsi"/>
          <w:b/>
          <w:szCs w:val="24"/>
        </w:rPr>
        <w:t xml:space="preserve">, </w:t>
      </w:r>
      <w:r w:rsidR="00F72B38" w:rsidRPr="00D67331">
        <w:rPr>
          <w:rFonts w:asciiTheme="minorHAnsi" w:eastAsia="Calibri" w:hAnsiTheme="minorHAnsi" w:cstheme="minorHAnsi"/>
          <w:b/>
          <w:szCs w:val="24"/>
        </w:rPr>
        <w:t xml:space="preserve">quelle </w:t>
      </w:r>
      <w:r w:rsidR="005904AF" w:rsidRPr="00D67331">
        <w:rPr>
          <w:rFonts w:asciiTheme="minorHAnsi" w:eastAsia="Calibri" w:hAnsiTheme="minorHAnsi" w:cstheme="minorHAnsi"/>
          <w:b/>
          <w:szCs w:val="24"/>
        </w:rPr>
        <w:t>montane +</w:t>
      </w:r>
      <w:r w:rsidR="00EB6BCD" w:rsidRPr="00D67331">
        <w:rPr>
          <w:rFonts w:asciiTheme="minorHAnsi" w:eastAsia="Calibri" w:hAnsiTheme="minorHAnsi" w:cstheme="minorHAnsi"/>
          <w:b/>
          <w:szCs w:val="24"/>
        </w:rPr>
        <w:t>35,0</w:t>
      </w:r>
      <w:r w:rsidR="005904AF" w:rsidRPr="00D67331">
        <w:rPr>
          <w:rFonts w:asciiTheme="minorHAnsi" w:eastAsia="Calibri" w:hAnsiTheme="minorHAnsi" w:cstheme="minorHAnsi"/>
          <w:b/>
          <w:szCs w:val="24"/>
        </w:rPr>
        <w:t>%</w:t>
      </w:r>
      <w:r w:rsidR="00C83ACE" w:rsidRPr="00D67331">
        <w:rPr>
          <w:rFonts w:asciiTheme="minorHAnsi" w:eastAsia="Calibri" w:hAnsiTheme="minorHAnsi" w:cstheme="minorHAnsi"/>
          <w:b/>
          <w:szCs w:val="24"/>
        </w:rPr>
        <w:t xml:space="preserve">, mentre quelle </w:t>
      </w:r>
      <w:r w:rsidR="005904AF" w:rsidRPr="00D67331">
        <w:rPr>
          <w:rFonts w:asciiTheme="minorHAnsi" w:eastAsia="Calibri" w:hAnsiTheme="minorHAnsi" w:cstheme="minorHAnsi"/>
          <w:b/>
          <w:szCs w:val="24"/>
        </w:rPr>
        <w:t>lacuali +</w:t>
      </w:r>
      <w:r w:rsidR="00EB6BCD" w:rsidRPr="00D67331">
        <w:rPr>
          <w:rFonts w:asciiTheme="minorHAnsi" w:eastAsia="Calibri" w:hAnsiTheme="minorHAnsi" w:cstheme="minorHAnsi"/>
          <w:b/>
          <w:szCs w:val="24"/>
        </w:rPr>
        <w:t>29</w:t>
      </w:r>
      <w:r w:rsidR="005904AF" w:rsidRPr="00D67331">
        <w:rPr>
          <w:rFonts w:asciiTheme="minorHAnsi" w:eastAsia="Calibri" w:hAnsiTheme="minorHAnsi" w:cstheme="minorHAnsi"/>
          <w:b/>
          <w:szCs w:val="24"/>
        </w:rPr>
        <w:t xml:space="preserve">,6% </w:t>
      </w:r>
      <w:r w:rsidR="000D7640" w:rsidRPr="00D67331">
        <w:rPr>
          <w:rFonts w:asciiTheme="minorHAnsi" w:eastAsia="Calibri" w:hAnsiTheme="minorHAnsi" w:cstheme="minorHAnsi"/>
          <w:b/>
          <w:szCs w:val="24"/>
        </w:rPr>
        <w:t>(tav.</w:t>
      </w:r>
      <w:r w:rsidR="00EB6BCD" w:rsidRPr="00D67331">
        <w:rPr>
          <w:rFonts w:asciiTheme="minorHAnsi" w:eastAsia="Calibri" w:hAnsiTheme="minorHAnsi" w:cstheme="minorHAnsi"/>
          <w:b/>
          <w:szCs w:val="24"/>
        </w:rPr>
        <w:t xml:space="preserve"> </w:t>
      </w:r>
      <w:r w:rsidR="00227B34" w:rsidRPr="00D67331">
        <w:rPr>
          <w:rFonts w:asciiTheme="minorHAnsi" w:eastAsia="Calibri" w:hAnsiTheme="minorHAnsi" w:cstheme="minorHAnsi"/>
          <w:b/>
          <w:szCs w:val="24"/>
        </w:rPr>
        <w:t>1</w:t>
      </w:r>
      <w:r w:rsidR="000D7640" w:rsidRPr="00D67331">
        <w:rPr>
          <w:rFonts w:asciiTheme="minorHAnsi" w:eastAsia="Calibri" w:hAnsiTheme="minorHAnsi" w:cstheme="minorHAnsi"/>
          <w:b/>
          <w:szCs w:val="24"/>
        </w:rPr>
        <w:t>)</w:t>
      </w:r>
      <w:r w:rsidR="00FE0AD1" w:rsidRPr="00D67331">
        <w:rPr>
          <w:rFonts w:asciiTheme="minorHAnsi" w:eastAsia="Calibri" w:hAnsiTheme="minorHAnsi" w:cstheme="minorHAnsi"/>
          <w:b/>
          <w:szCs w:val="24"/>
        </w:rPr>
        <w:t>.</w:t>
      </w:r>
    </w:p>
    <w:p w14:paraId="44646A9B" w14:textId="77777777" w:rsidR="00D859D7" w:rsidRPr="000865DC" w:rsidRDefault="00D859D7" w:rsidP="007B6950">
      <w:pPr>
        <w:pStyle w:val="Paragrafoelenco"/>
        <w:ind w:left="357"/>
        <w:rPr>
          <w:rFonts w:asciiTheme="minorHAnsi" w:eastAsia="Calibri" w:hAnsiTheme="minorHAnsi" w:cstheme="minorHAnsi"/>
          <w:b/>
          <w:sz w:val="16"/>
          <w:szCs w:val="24"/>
        </w:rPr>
      </w:pPr>
    </w:p>
    <w:p w14:paraId="0632FC67" w14:textId="40E52B55" w:rsidR="008F1BC7" w:rsidRPr="00D67331" w:rsidRDefault="00813DE3" w:rsidP="005942A3">
      <w:pPr>
        <w:pStyle w:val="Paragrafoelenco"/>
        <w:numPr>
          <w:ilvl w:val="0"/>
          <w:numId w:val="4"/>
        </w:numPr>
        <w:spacing w:after="200" w:line="276" w:lineRule="auto"/>
        <w:rPr>
          <w:rFonts w:asciiTheme="minorHAnsi" w:eastAsia="Calibri" w:hAnsiTheme="minorHAnsi" w:cstheme="minorHAnsi"/>
          <w:b/>
          <w:spacing w:val="-2"/>
          <w:szCs w:val="24"/>
        </w:rPr>
      </w:pPr>
      <w:r w:rsidRPr="00D67331">
        <w:rPr>
          <w:rFonts w:asciiTheme="minorHAnsi" w:eastAsia="Calibri" w:hAnsiTheme="minorHAnsi" w:cstheme="minorHAnsi"/>
          <w:b/>
          <w:spacing w:val="-2"/>
          <w:szCs w:val="24"/>
        </w:rPr>
        <w:t>N</w:t>
      </w:r>
      <w:r w:rsidR="000D7640" w:rsidRPr="00D67331">
        <w:rPr>
          <w:rFonts w:asciiTheme="minorHAnsi" w:eastAsia="Calibri" w:hAnsiTheme="minorHAnsi" w:cstheme="minorHAnsi"/>
          <w:b/>
          <w:spacing w:val="-2"/>
          <w:szCs w:val="24"/>
        </w:rPr>
        <w:t>el 20</w:t>
      </w:r>
      <w:r w:rsidR="00EB6BCD" w:rsidRPr="00D67331">
        <w:rPr>
          <w:rFonts w:asciiTheme="minorHAnsi" w:eastAsia="Calibri" w:hAnsiTheme="minorHAnsi" w:cstheme="minorHAnsi"/>
          <w:b/>
          <w:spacing w:val="-2"/>
          <w:szCs w:val="24"/>
        </w:rPr>
        <w:t>2</w:t>
      </w:r>
      <w:r w:rsidR="00A5318F" w:rsidRPr="00D67331">
        <w:rPr>
          <w:rFonts w:asciiTheme="minorHAnsi" w:eastAsia="Calibri" w:hAnsiTheme="minorHAnsi" w:cstheme="minorHAnsi"/>
          <w:b/>
          <w:spacing w:val="-2"/>
          <w:szCs w:val="24"/>
        </w:rPr>
        <w:t>2</w:t>
      </w:r>
      <w:r w:rsidR="000D7640" w:rsidRPr="00D67331">
        <w:rPr>
          <w:rFonts w:asciiTheme="minorHAnsi" w:eastAsia="Calibri" w:hAnsiTheme="minorHAnsi" w:cstheme="minorHAnsi"/>
          <w:b/>
          <w:spacing w:val="-2"/>
          <w:szCs w:val="24"/>
        </w:rPr>
        <w:t xml:space="preserve">, </w:t>
      </w:r>
      <w:r w:rsidR="00582B11" w:rsidRPr="00D67331">
        <w:rPr>
          <w:rFonts w:asciiTheme="minorHAnsi" w:eastAsia="Calibri" w:hAnsiTheme="minorHAnsi" w:cstheme="minorHAnsi"/>
          <w:b/>
          <w:spacing w:val="-2"/>
          <w:szCs w:val="24"/>
        </w:rPr>
        <w:t xml:space="preserve">il prezzo medio per l’acquisto di un’abitazione turistica in Italia </w:t>
      </w:r>
      <w:r w:rsidR="005942A3" w:rsidRPr="00D67331">
        <w:rPr>
          <w:rFonts w:asciiTheme="minorHAnsi" w:eastAsia="Calibri" w:hAnsiTheme="minorHAnsi" w:cstheme="minorHAnsi"/>
          <w:b/>
          <w:spacing w:val="-2"/>
          <w:szCs w:val="24"/>
        </w:rPr>
        <w:t>si attesta a</w:t>
      </w:r>
      <w:r w:rsidR="00582B11" w:rsidRPr="00D67331">
        <w:rPr>
          <w:rFonts w:asciiTheme="minorHAnsi" w:eastAsia="Calibri" w:hAnsiTheme="minorHAnsi" w:cstheme="minorHAnsi"/>
          <w:b/>
          <w:spacing w:val="-2"/>
          <w:szCs w:val="24"/>
        </w:rPr>
        <w:t xml:space="preserve"> </w:t>
      </w:r>
      <w:r w:rsidR="004607D5" w:rsidRPr="00D67331">
        <w:rPr>
          <w:rFonts w:asciiTheme="minorHAnsi" w:eastAsia="Calibri" w:hAnsiTheme="minorHAnsi" w:cstheme="minorHAnsi"/>
          <w:b/>
          <w:spacing w:val="-2"/>
          <w:szCs w:val="24"/>
        </w:rPr>
        <w:t>2.5</w:t>
      </w:r>
      <w:r w:rsidR="005C0E20" w:rsidRPr="00D67331">
        <w:rPr>
          <w:rFonts w:asciiTheme="minorHAnsi" w:eastAsia="Calibri" w:hAnsiTheme="minorHAnsi" w:cstheme="minorHAnsi"/>
          <w:b/>
          <w:spacing w:val="-2"/>
          <w:szCs w:val="24"/>
        </w:rPr>
        <w:t>5</w:t>
      </w:r>
      <w:r w:rsidR="008F1BC7" w:rsidRPr="00D67331">
        <w:rPr>
          <w:rFonts w:asciiTheme="minorHAnsi" w:eastAsia="Calibri" w:hAnsiTheme="minorHAnsi" w:cstheme="minorHAnsi"/>
          <w:b/>
          <w:spacing w:val="-2"/>
          <w:szCs w:val="24"/>
        </w:rPr>
        <w:t>0</w:t>
      </w:r>
      <w:r w:rsidR="00582B11" w:rsidRPr="00D67331">
        <w:rPr>
          <w:rFonts w:asciiTheme="minorHAnsi" w:eastAsia="Calibri" w:hAnsiTheme="minorHAnsi" w:cstheme="minorHAnsi"/>
          <w:b/>
          <w:spacing w:val="-2"/>
          <w:szCs w:val="24"/>
        </w:rPr>
        <w:t xml:space="preserve"> euro al mq commerciale</w:t>
      </w:r>
      <w:r w:rsidR="00C07801" w:rsidRPr="00D67331">
        <w:rPr>
          <w:rFonts w:asciiTheme="minorHAnsi" w:eastAsia="Calibri" w:hAnsiTheme="minorHAnsi" w:cstheme="minorHAnsi"/>
          <w:b/>
          <w:spacing w:val="-2"/>
          <w:szCs w:val="24"/>
        </w:rPr>
        <w:t>,</w:t>
      </w:r>
      <w:r w:rsidR="00582B11" w:rsidRPr="00D67331">
        <w:rPr>
          <w:rFonts w:asciiTheme="minorHAnsi" w:eastAsia="Calibri" w:hAnsiTheme="minorHAnsi" w:cstheme="minorHAnsi"/>
          <w:b/>
          <w:spacing w:val="-2"/>
          <w:szCs w:val="24"/>
        </w:rPr>
        <w:t xml:space="preserve"> con un trend de</w:t>
      </w:r>
      <w:r w:rsidR="00D859D7" w:rsidRPr="00D67331">
        <w:rPr>
          <w:rFonts w:asciiTheme="minorHAnsi" w:eastAsia="Calibri" w:hAnsiTheme="minorHAnsi" w:cstheme="minorHAnsi"/>
          <w:b/>
          <w:spacing w:val="-2"/>
          <w:szCs w:val="24"/>
        </w:rPr>
        <w:t>i prezzi di vendita delle case per vacanza</w:t>
      </w:r>
      <w:r w:rsidR="00582B11" w:rsidRPr="00D67331">
        <w:rPr>
          <w:rFonts w:asciiTheme="minorHAnsi" w:eastAsia="Calibri" w:hAnsiTheme="minorHAnsi" w:cstheme="minorHAnsi"/>
          <w:b/>
          <w:spacing w:val="-2"/>
          <w:szCs w:val="24"/>
        </w:rPr>
        <w:t xml:space="preserve"> </w:t>
      </w:r>
      <w:r w:rsidR="0000195A" w:rsidRPr="00D67331">
        <w:rPr>
          <w:rFonts w:asciiTheme="minorHAnsi" w:eastAsia="Calibri" w:hAnsiTheme="minorHAnsi" w:cstheme="minorHAnsi"/>
          <w:b/>
          <w:spacing w:val="-2"/>
          <w:szCs w:val="24"/>
        </w:rPr>
        <w:t>in</w:t>
      </w:r>
      <w:r w:rsidR="004527F2" w:rsidRPr="00D67331">
        <w:rPr>
          <w:rFonts w:asciiTheme="minorHAnsi" w:eastAsia="Calibri" w:hAnsiTheme="minorHAnsi" w:cstheme="minorHAnsi"/>
          <w:b/>
          <w:spacing w:val="-2"/>
          <w:szCs w:val="24"/>
        </w:rPr>
        <w:t xml:space="preserve"> </w:t>
      </w:r>
      <w:r w:rsidR="00DC3931" w:rsidRPr="00D67331">
        <w:rPr>
          <w:rFonts w:asciiTheme="minorHAnsi" w:eastAsia="Calibri" w:hAnsiTheme="minorHAnsi" w:cstheme="minorHAnsi"/>
          <w:b/>
          <w:spacing w:val="-2"/>
          <w:szCs w:val="24"/>
        </w:rPr>
        <w:t>aumento, mediamente del +</w:t>
      </w:r>
      <w:r w:rsidR="00A5318F" w:rsidRPr="00D67331">
        <w:rPr>
          <w:rFonts w:asciiTheme="minorHAnsi" w:eastAsia="Calibri" w:hAnsiTheme="minorHAnsi" w:cstheme="minorHAnsi"/>
          <w:b/>
          <w:spacing w:val="-2"/>
          <w:szCs w:val="24"/>
        </w:rPr>
        <w:t>3,2</w:t>
      </w:r>
      <w:r w:rsidR="00D859D7" w:rsidRPr="00D67331">
        <w:rPr>
          <w:rFonts w:asciiTheme="minorHAnsi" w:eastAsia="Calibri" w:hAnsiTheme="minorHAnsi" w:cstheme="minorHAnsi"/>
          <w:b/>
          <w:spacing w:val="-2"/>
          <w:szCs w:val="24"/>
        </w:rPr>
        <w:t xml:space="preserve">% </w:t>
      </w:r>
      <w:r w:rsidR="00DC3931" w:rsidRPr="00D67331">
        <w:rPr>
          <w:rFonts w:asciiTheme="minorHAnsi" w:eastAsia="Calibri" w:hAnsiTheme="minorHAnsi" w:cstheme="minorHAnsi"/>
          <w:b/>
          <w:spacing w:val="-2"/>
          <w:szCs w:val="24"/>
        </w:rPr>
        <w:t>annuo</w:t>
      </w:r>
      <w:r w:rsidR="008F1BC7" w:rsidRPr="00D67331">
        <w:rPr>
          <w:rFonts w:asciiTheme="minorHAnsi" w:eastAsia="Calibri" w:hAnsiTheme="minorHAnsi" w:cstheme="minorHAnsi"/>
          <w:b/>
          <w:spacing w:val="-2"/>
        </w:rPr>
        <w:t>,</w:t>
      </w:r>
      <w:r w:rsidR="008F1BC7" w:rsidRPr="00D67331">
        <w:rPr>
          <w:rFonts w:asciiTheme="minorHAnsi" w:eastAsia="Calibri" w:hAnsiTheme="minorHAnsi" w:cstheme="minorHAnsi"/>
          <w:b/>
          <w:spacing w:val="-2"/>
          <w:szCs w:val="24"/>
        </w:rPr>
        <w:t xml:space="preserve"> </w:t>
      </w:r>
      <w:r w:rsidR="008F1BC7" w:rsidRPr="00D67331">
        <w:rPr>
          <w:rFonts w:asciiTheme="minorHAnsi" w:eastAsia="Calibri" w:hAnsiTheme="minorHAnsi" w:cstheme="minorHAnsi"/>
          <w:b/>
          <w:spacing w:val="-2"/>
        </w:rPr>
        <w:t xml:space="preserve">confermando il recupero dei valori già segnalato </w:t>
      </w:r>
      <w:r w:rsidR="00D67331" w:rsidRPr="00D67331">
        <w:rPr>
          <w:rFonts w:asciiTheme="minorHAnsi" w:eastAsia="Calibri" w:hAnsiTheme="minorHAnsi" w:cstheme="minorHAnsi"/>
          <w:b/>
          <w:spacing w:val="-2"/>
        </w:rPr>
        <w:t>nel 2021</w:t>
      </w:r>
      <w:r w:rsidR="00D859D7" w:rsidRPr="00D67331">
        <w:rPr>
          <w:rFonts w:asciiTheme="minorHAnsi" w:eastAsia="Calibri" w:hAnsiTheme="minorHAnsi" w:cstheme="minorHAnsi"/>
          <w:b/>
          <w:spacing w:val="-2"/>
          <w:szCs w:val="24"/>
        </w:rPr>
        <w:t>.</w:t>
      </w:r>
      <w:r w:rsidR="00DC3931" w:rsidRPr="00D67331">
        <w:rPr>
          <w:rFonts w:asciiTheme="minorHAnsi" w:eastAsia="Calibri" w:hAnsiTheme="minorHAnsi" w:cstheme="minorHAnsi"/>
          <w:b/>
          <w:spacing w:val="-2"/>
          <w:szCs w:val="24"/>
        </w:rPr>
        <w:t xml:space="preserve"> </w:t>
      </w:r>
    </w:p>
    <w:p w14:paraId="44D7A6DE" w14:textId="77777777" w:rsidR="008F1BC7" w:rsidRPr="000865DC" w:rsidRDefault="008F1BC7" w:rsidP="001F3EB3">
      <w:pPr>
        <w:pStyle w:val="Paragrafoelenco"/>
        <w:spacing w:after="200" w:line="252" w:lineRule="auto"/>
        <w:rPr>
          <w:rFonts w:asciiTheme="minorHAnsi" w:eastAsia="Calibri" w:hAnsiTheme="minorHAnsi" w:cstheme="minorHAnsi"/>
          <w:b/>
          <w:spacing w:val="-2"/>
          <w:sz w:val="14"/>
          <w:szCs w:val="24"/>
        </w:rPr>
      </w:pPr>
    </w:p>
    <w:p w14:paraId="60AC7144" w14:textId="37499EDB" w:rsidR="008F1BC7" w:rsidRPr="00D67331" w:rsidRDefault="008F1BC7" w:rsidP="001F3EB3">
      <w:pPr>
        <w:pStyle w:val="Paragrafoelenco"/>
        <w:numPr>
          <w:ilvl w:val="0"/>
          <w:numId w:val="4"/>
        </w:numPr>
        <w:shd w:val="clear" w:color="auto" w:fill="FFFFFF"/>
        <w:spacing w:after="200" w:line="276" w:lineRule="auto"/>
        <w:rPr>
          <w:rFonts w:asciiTheme="minorHAnsi" w:eastAsia="Calibri" w:hAnsiTheme="minorHAnsi" w:cstheme="minorHAnsi"/>
          <w:b/>
          <w:spacing w:val="-2"/>
          <w:szCs w:val="24"/>
        </w:rPr>
      </w:pPr>
      <w:r w:rsidRPr="00D67331">
        <w:rPr>
          <w:rFonts w:asciiTheme="minorHAnsi" w:eastAsia="Calibri" w:hAnsiTheme="minorHAnsi" w:cstheme="minorHAnsi"/>
          <w:b/>
          <w:spacing w:val="-2"/>
          <w:szCs w:val="24"/>
        </w:rPr>
        <w:t xml:space="preserve">La ripresa dei valori di mercato delle abitazioni riguarda tutte le località turistiche, seppure con intensità diverse. Le case vacanze in montagna e al lago mostrano l’incremento più elevato, con variazioni medie che oscillano tra +3,7% a +5%, mentre le abitazioni al mare presentano una variazione media più contenuta che si mantiene nel </w:t>
      </w:r>
      <w:proofErr w:type="spellStart"/>
      <w:r w:rsidRPr="00D67331">
        <w:rPr>
          <w:rFonts w:asciiTheme="minorHAnsi" w:eastAsia="Calibri" w:hAnsiTheme="minorHAnsi" w:cstheme="minorHAnsi"/>
          <w:b/>
          <w:spacing w:val="-2"/>
          <w:szCs w:val="24"/>
        </w:rPr>
        <w:t>range</w:t>
      </w:r>
      <w:proofErr w:type="spellEnd"/>
      <w:r w:rsidRPr="00D67331">
        <w:rPr>
          <w:rFonts w:asciiTheme="minorHAnsi" w:eastAsia="Calibri" w:hAnsiTheme="minorHAnsi" w:cstheme="minorHAnsi"/>
          <w:b/>
          <w:spacing w:val="-2"/>
          <w:szCs w:val="24"/>
        </w:rPr>
        <w:t xml:space="preserve"> tra +2,2% e +2,8%</w:t>
      </w:r>
      <w:r w:rsidR="00773D15" w:rsidRPr="00D67331">
        <w:rPr>
          <w:rFonts w:asciiTheme="minorHAnsi" w:eastAsia="Calibri" w:hAnsiTheme="minorHAnsi" w:cstheme="minorHAnsi"/>
          <w:b/>
          <w:spacing w:val="-2"/>
          <w:szCs w:val="24"/>
        </w:rPr>
        <w:t xml:space="preserve"> (tav. </w:t>
      </w:r>
      <w:r w:rsidR="00D67331" w:rsidRPr="00D67331">
        <w:rPr>
          <w:rFonts w:asciiTheme="minorHAnsi" w:eastAsia="Calibri" w:hAnsiTheme="minorHAnsi" w:cstheme="minorHAnsi"/>
          <w:b/>
          <w:spacing w:val="-2"/>
          <w:szCs w:val="24"/>
        </w:rPr>
        <w:t>2</w:t>
      </w:r>
      <w:r w:rsidR="00773D15" w:rsidRPr="00D67331">
        <w:rPr>
          <w:rFonts w:asciiTheme="minorHAnsi" w:eastAsia="Calibri" w:hAnsiTheme="minorHAnsi" w:cstheme="minorHAnsi"/>
          <w:b/>
          <w:spacing w:val="-2"/>
          <w:szCs w:val="24"/>
        </w:rPr>
        <w:t>).</w:t>
      </w:r>
    </w:p>
    <w:p w14:paraId="2A2FEDCF" w14:textId="77777777" w:rsidR="00346450" w:rsidRPr="000865DC" w:rsidRDefault="00346450" w:rsidP="001F3EB3">
      <w:pPr>
        <w:pStyle w:val="Paragrafoelenco"/>
        <w:spacing w:after="200" w:line="276" w:lineRule="auto"/>
        <w:rPr>
          <w:rFonts w:asciiTheme="minorHAnsi" w:eastAsia="Calibri" w:hAnsiTheme="minorHAnsi" w:cstheme="minorHAnsi"/>
          <w:b/>
          <w:sz w:val="16"/>
          <w:szCs w:val="24"/>
        </w:rPr>
      </w:pPr>
    </w:p>
    <w:p w14:paraId="0BC2F126" w14:textId="64D35B62" w:rsidR="00D859D7" w:rsidRPr="00D67331" w:rsidRDefault="00584EB0" w:rsidP="00BF39B4">
      <w:pPr>
        <w:pStyle w:val="Paragrafoelenco"/>
        <w:numPr>
          <w:ilvl w:val="0"/>
          <w:numId w:val="4"/>
        </w:numPr>
        <w:spacing w:after="200" w:line="276" w:lineRule="auto"/>
        <w:rPr>
          <w:rFonts w:asciiTheme="minorHAnsi" w:eastAsia="Calibri" w:hAnsiTheme="minorHAnsi" w:cstheme="minorHAnsi"/>
          <w:b/>
          <w:szCs w:val="24"/>
        </w:rPr>
      </w:pPr>
      <w:r w:rsidRPr="00D67331">
        <w:rPr>
          <w:rFonts w:asciiTheme="minorHAnsi" w:eastAsia="Calibri" w:hAnsiTheme="minorHAnsi" w:cstheme="minorHAnsi"/>
          <w:b/>
          <w:szCs w:val="24"/>
        </w:rPr>
        <w:t>In cima alla classifica delle principali località turistiche</w:t>
      </w:r>
      <w:r w:rsidR="00622126" w:rsidRPr="00D67331">
        <w:rPr>
          <w:rFonts w:asciiTheme="minorHAnsi" w:eastAsia="Calibri" w:hAnsiTheme="minorHAnsi" w:cstheme="minorHAnsi"/>
          <w:b/>
          <w:szCs w:val="24"/>
        </w:rPr>
        <w:t xml:space="preserve"> -</w:t>
      </w:r>
      <w:r w:rsidRPr="00D67331">
        <w:rPr>
          <w:rFonts w:asciiTheme="minorHAnsi" w:eastAsia="Calibri" w:hAnsiTheme="minorHAnsi" w:cstheme="minorHAnsi"/>
          <w:b/>
          <w:szCs w:val="24"/>
        </w:rPr>
        <w:t xml:space="preserve"> per quanto riguarda i prezzi massimi di compravendita di appartamenti top o nuovi</w:t>
      </w:r>
      <w:r w:rsidR="00622126" w:rsidRPr="00D67331">
        <w:rPr>
          <w:rFonts w:eastAsia="Calibri"/>
          <w:vertAlign w:val="superscript"/>
        </w:rPr>
        <w:footnoteReference w:id="1"/>
      </w:r>
      <w:r w:rsidRPr="00D67331">
        <w:rPr>
          <w:rFonts w:asciiTheme="minorHAnsi" w:eastAsia="Calibri" w:hAnsiTheme="minorHAnsi" w:cstheme="minorHAnsi"/>
          <w:b/>
          <w:szCs w:val="24"/>
        </w:rPr>
        <w:t xml:space="preserve"> </w:t>
      </w:r>
      <w:r w:rsidR="00622126" w:rsidRPr="00D67331">
        <w:rPr>
          <w:rFonts w:asciiTheme="minorHAnsi" w:eastAsia="Calibri" w:hAnsiTheme="minorHAnsi" w:cstheme="minorHAnsi"/>
          <w:b/>
          <w:szCs w:val="24"/>
        </w:rPr>
        <w:t xml:space="preserve">- </w:t>
      </w:r>
      <w:r w:rsidR="00622126" w:rsidRPr="00D67331">
        <w:rPr>
          <w:rFonts w:asciiTheme="minorHAnsi" w:eastAsia="Calibri" w:hAnsiTheme="minorHAnsi" w:cstheme="minorHAnsi"/>
          <w:b/>
          <w:bCs/>
        </w:rPr>
        <w:t xml:space="preserve">troviamo anche quest’anno una destinazione montana. </w:t>
      </w:r>
      <w:r w:rsidR="00622126" w:rsidRPr="00D67331">
        <w:rPr>
          <w:rFonts w:asciiTheme="minorHAnsi" w:eastAsia="Calibri" w:hAnsiTheme="minorHAnsi" w:cstheme="minorHAnsi"/>
          <w:b/>
          <w:szCs w:val="24"/>
        </w:rPr>
        <w:t>M</w:t>
      </w:r>
      <w:r w:rsidR="007A63F1" w:rsidRPr="00D67331">
        <w:rPr>
          <w:rFonts w:asciiTheme="minorHAnsi" w:eastAsia="Calibri" w:hAnsiTheme="minorHAnsi" w:cstheme="minorHAnsi"/>
          <w:b/>
          <w:szCs w:val="24"/>
        </w:rPr>
        <w:t>adonna di Campiglio (TN</w:t>
      </w:r>
      <w:r w:rsidR="00572035" w:rsidRPr="00D67331">
        <w:rPr>
          <w:rFonts w:asciiTheme="minorHAnsi" w:eastAsia="Calibri" w:hAnsiTheme="minorHAnsi" w:cstheme="minorHAnsi"/>
          <w:b/>
          <w:szCs w:val="24"/>
        </w:rPr>
        <w:t>)</w:t>
      </w:r>
      <w:r w:rsidR="00622126" w:rsidRPr="00D67331">
        <w:rPr>
          <w:rFonts w:asciiTheme="minorHAnsi" w:eastAsia="Calibri" w:hAnsiTheme="minorHAnsi" w:cstheme="minorHAnsi"/>
          <w:b/>
          <w:szCs w:val="24"/>
        </w:rPr>
        <w:t xml:space="preserve"> </w:t>
      </w:r>
      <w:r w:rsidR="00622126" w:rsidRPr="00D67331">
        <w:rPr>
          <w:rFonts w:asciiTheme="minorHAnsi" w:eastAsia="Calibri" w:hAnsiTheme="minorHAnsi" w:cstheme="minorHAnsi"/>
          <w:b/>
          <w:bCs/>
        </w:rPr>
        <w:t>si posiziona in vetta alla classifica con valori che raggiungono</w:t>
      </w:r>
      <w:r w:rsidR="00622126" w:rsidRPr="00D67331">
        <w:rPr>
          <w:rFonts w:asciiTheme="minorHAnsi" w:eastAsia="Calibri" w:hAnsiTheme="minorHAnsi" w:cstheme="minorHAnsi"/>
          <w:b/>
          <w:szCs w:val="24"/>
        </w:rPr>
        <w:t xml:space="preserve"> </w:t>
      </w:r>
      <w:r w:rsidR="00572035" w:rsidRPr="00D67331">
        <w:rPr>
          <w:rFonts w:asciiTheme="minorHAnsi" w:eastAsia="Calibri" w:hAnsiTheme="minorHAnsi" w:cstheme="minorHAnsi"/>
          <w:b/>
          <w:szCs w:val="24"/>
        </w:rPr>
        <w:t xml:space="preserve">i </w:t>
      </w:r>
      <w:r w:rsidR="007A63F1" w:rsidRPr="00D67331">
        <w:rPr>
          <w:rFonts w:asciiTheme="minorHAnsi" w:eastAsia="Calibri" w:hAnsiTheme="minorHAnsi" w:cstheme="minorHAnsi"/>
          <w:b/>
          <w:szCs w:val="24"/>
        </w:rPr>
        <w:t>1</w:t>
      </w:r>
      <w:r w:rsidR="00572035" w:rsidRPr="00D67331">
        <w:rPr>
          <w:rFonts w:asciiTheme="minorHAnsi" w:eastAsia="Calibri" w:hAnsiTheme="minorHAnsi" w:cstheme="minorHAnsi"/>
          <w:b/>
          <w:szCs w:val="24"/>
        </w:rPr>
        <w:t>5</w:t>
      </w:r>
      <w:r w:rsidR="007A63F1" w:rsidRPr="00D67331">
        <w:rPr>
          <w:rFonts w:asciiTheme="minorHAnsi" w:eastAsia="Calibri" w:hAnsiTheme="minorHAnsi" w:cstheme="minorHAnsi"/>
          <w:b/>
          <w:szCs w:val="24"/>
        </w:rPr>
        <w:t>.</w:t>
      </w:r>
      <w:r w:rsidR="00572035" w:rsidRPr="00D67331">
        <w:rPr>
          <w:rFonts w:asciiTheme="minorHAnsi" w:eastAsia="Calibri" w:hAnsiTheme="minorHAnsi" w:cstheme="minorHAnsi"/>
          <w:b/>
          <w:szCs w:val="24"/>
        </w:rPr>
        <w:t>0</w:t>
      </w:r>
      <w:r w:rsidR="007A63F1" w:rsidRPr="00D67331">
        <w:rPr>
          <w:rFonts w:asciiTheme="minorHAnsi" w:eastAsia="Calibri" w:hAnsiTheme="minorHAnsi" w:cstheme="minorHAnsi"/>
          <w:b/>
          <w:szCs w:val="24"/>
        </w:rPr>
        <w:t>00 €/mq</w:t>
      </w:r>
      <w:r w:rsidR="00BF39B4" w:rsidRPr="00D67331">
        <w:rPr>
          <w:rFonts w:asciiTheme="minorHAnsi" w:eastAsia="Calibri" w:hAnsiTheme="minorHAnsi" w:cstheme="minorHAnsi"/>
          <w:b/>
          <w:szCs w:val="24"/>
        </w:rPr>
        <w:t>.</w:t>
      </w:r>
      <w:r w:rsidR="00D859D7" w:rsidRPr="00D67331">
        <w:rPr>
          <w:rFonts w:asciiTheme="minorHAnsi" w:eastAsia="Calibri" w:hAnsiTheme="minorHAnsi" w:cstheme="minorHAnsi"/>
          <w:b/>
          <w:szCs w:val="24"/>
        </w:rPr>
        <w:t xml:space="preserve"> Completano il podio Forte dei Marmi (LU) </w:t>
      </w:r>
      <w:r w:rsidR="00572035" w:rsidRPr="00D67331">
        <w:rPr>
          <w:rFonts w:asciiTheme="minorHAnsi" w:eastAsia="Calibri" w:hAnsiTheme="minorHAnsi" w:cstheme="minorHAnsi"/>
          <w:b/>
          <w:szCs w:val="24"/>
        </w:rPr>
        <w:t xml:space="preserve">e Capri (NA) </w:t>
      </w:r>
      <w:r w:rsidR="00D859D7" w:rsidRPr="00D67331">
        <w:rPr>
          <w:rFonts w:asciiTheme="minorHAnsi" w:eastAsia="Calibri" w:hAnsiTheme="minorHAnsi" w:cstheme="minorHAnsi"/>
          <w:b/>
          <w:szCs w:val="24"/>
        </w:rPr>
        <w:t>con 1</w:t>
      </w:r>
      <w:r w:rsidR="00572035" w:rsidRPr="00D67331">
        <w:rPr>
          <w:rFonts w:asciiTheme="minorHAnsi" w:eastAsia="Calibri" w:hAnsiTheme="minorHAnsi" w:cstheme="minorHAnsi"/>
          <w:b/>
          <w:szCs w:val="24"/>
        </w:rPr>
        <w:t>4</w:t>
      </w:r>
      <w:r w:rsidR="00D859D7" w:rsidRPr="00D67331">
        <w:rPr>
          <w:rFonts w:asciiTheme="minorHAnsi" w:eastAsia="Calibri" w:hAnsiTheme="minorHAnsi" w:cstheme="minorHAnsi"/>
          <w:b/>
          <w:szCs w:val="24"/>
        </w:rPr>
        <w:t>.</w:t>
      </w:r>
      <w:r w:rsidR="00572035" w:rsidRPr="00D67331">
        <w:rPr>
          <w:rFonts w:asciiTheme="minorHAnsi" w:eastAsia="Calibri" w:hAnsiTheme="minorHAnsi" w:cstheme="minorHAnsi"/>
          <w:b/>
          <w:szCs w:val="24"/>
        </w:rPr>
        <w:t>0</w:t>
      </w:r>
      <w:r w:rsidR="00D859D7" w:rsidRPr="00D67331">
        <w:rPr>
          <w:rFonts w:asciiTheme="minorHAnsi" w:eastAsia="Calibri" w:hAnsiTheme="minorHAnsi" w:cstheme="minorHAnsi"/>
          <w:b/>
          <w:szCs w:val="24"/>
        </w:rPr>
        <w:t>00 €/m</w:t>
      </w:r>
      <w:r w:rsidR="00572035" w:rsidRPr="00D67331">
        <w:rPr>
          <w:rFonts w:asciiTheme="minorHAnsi" w:eastAsia="Calibri" w:hAnsiTheme="minorHAnsi" w:cstheme="minorHAnsi"/>
          <w:b/>
          <w:szCs w:val="24"/>
        </w:rPr>
        <w:t>q</w:t>
      </w:r>
      <w:r w:rsidR="00D859D7" w:rsidRPr="00D67331">
        <w:rPr>
          <w:rFonts w:asciiTheme="minorHAnsi" w:eastAsia="Calibri" w:hAnsiTheme="minorHAnsi" w:cstheme="minorHAnsi"/>
          <w:b/>
          <w:szCs w:val="24"/>
        </w:rPr>
        <w:t xml:space="preserve">. </w:t>
      </w:r>
      <w:r w:rsidR="00572035" w:rsidRPr="00D67331">
        <w:rPr>
          <w:rFonts w:asciiTheme="minorHAnsi" w:eastAsia="Calibri" w:hAnsiTheme="minorHAnsi" w:cstheme="minorHAnsi"/>
          <w:b/>
          <w:szCs w:val="24"/>
        </w:rPr>
        <w:t>A seguire</w:t>
      </w:r>
      <w:r w:rsidR="008D29AA" w:rsidRPr="00D67331">
        <w:rPr>
          <w:rFonts w:asciiTheme="minorHAnsi" w:eastAsia="Calibri" w:hAnsiTheme="minorHAnsi" w:cstheme="minorHAnsi"/>
          <w:b/>
          <w:szCs w:val="24"/>
        </w:rPr>
        <w:t>,</w:t>
      </w:r>
      <w:r w:rsidR="00572035" w:rsidRPr="00D67331">
        <w:rPr>
          <w:rFonts w:asciiTheme="minorHAnsi" w:eastAsia="Calibri" w:hAnsiTheme="minorHAnsi" w:cstheme="minorHAnsi"/>
          <w:b/>
          <w:szCs w:val="24"/>
        </w:rPr>
        <w:t xml:space="preserve"> Cortina d'Ampezzo (BL) e </w:t>
      </w:r>
      <w:r w:rsidR="00BF39B4" w:rsidRPr="00D67331">
        <w:rPr>
          <w:rFonts w:asciiTheme="minorHAnsi" w:eastAsia="Calibri" w:hAnsiTheme="minorHAnsi" w:cstheme="minorHAnsi"/>
          <w:b/>
          <w:szCs w:val="24"/>
        </w:rPr>
        <w:t>Santa Margherita Ligure (GE)</w:t>
      </w:r>
      <w:r w:rsidR="008D29AA" w:rsidRPr="00D67331">
        <w:rPr>
          <w:rFonts w:asciiTheme="minorHAnsi" w:eastAsia="Calibri" w:hAnsiTheme="minorHAnsi" w:cstheme="minorHAnsi"/>
          <w:b/>
          <w:szCs w:val="24"/>
        </w:rPr>
        <w:t>, con valori massimi compresi tra i 13.000 e i 13.500 €/mq</w:t>
      </w:r>
      <w:r w:rsidR="00572035" w:rsidRPr="00D67331">
        <w:rPr>
          <w:rFonts w:asciiTheme="minorHAnsi" w:eastAsia="Calibri" w:hAnsiTheme="minorHAnsi" w:cstheme="minorHAnsi"/>
          <w:b/>
          <w:szCs w:val="24"/>
        </w:rPr>
        <w:t xml:space="preserve"> </w:t>
      </w:r>
      <w:r w:rsidR="00FE0AD1" w:rsidRPr="00D67331">
        <w:rPr>
          <w:rFonts w:asciiTheme="minorHAnsi" w:eastAsia="Calibri" w:hAnsiTheme="minorHAnsi" w:cstheme="minorHAnsi"/>
          <w:b/>
          <w:szCs w:val="24"/>
        </w:rPr>
        <w:t xml:space="preserve">[tavola </w:t>
      </w:r>
      <w:r w:rsidR="00D67331" w:rsidRPr="00D67331">
        <w:rPr>
          <w:rFonts w:asciiTheme="minorHAnsi" w:eastAsia="Calibri" w:hAnsiTheme="minorHAnsi" w:cstheme="minorHAnsi"/>
          <w:b/>
          <w:szCs w:val="24"/>
        </w:rPr>
        <w:t>5</w:t>
      </w:r>
      <w:r w:rsidR="00FE0AD1" w:rsidRPr="00D67331">
        <w:rPr>
          <w:rFonts w:asciiTheme="minorHAnsi" w:eastAsia="Calibri" w:hAnsiTheme="minorHAnsi" w:cstheme="minorHAnsi"/>
          <w:b/>
          <w:szCs w:val="24"/>
        </w:rPr>
        <w:t>].</w:t>
      </w:r>
    </w:p>
    <w:p w14:paraId="50A9F534" w14:textId="77777777" w:rsidR="003E6C72" w:rsidRPr="000865DC" w:rsidRDefault="003E6C72" w:rsidP="003E6C72">
      <w:pPr>
        <w:pStyle w:val="Paragrafoelenco"/>
        <w:rPr>
          <w:rFonts w:asciiTheme="minorHAnsi" w:eastAsia="Calibri" w:hAnsiTheme="minorHAnsi" w:cstheme="minorHAnsi"/>
          <w:b/>
          <w:sz w:val="16"/>
          <w:szCs w:val="24"/>
        </w:rPr>
      </w:pPr>
    </w:p>
    <w:p w14:paraId="2330A0C9" w14:textId="1B65A495" w:rsidR="003E6C72" w:rsidRDefault="00DA215B" w:rsidP="00BF39B4">
      <w:pPr>
        <w:pStyle w:val="Paragrafoelenco"/>
        <w:numPr>
          <w:ilvl w:val="0"/>
          <w:numId w:val="4"/>
        </w:numPr>
        <w:shd w:val="clear" w:color="auto" w:fill="FFFFFF" w:themeFill="background1"/>
        <w:spacing w:line="276" w:lineRule="auto"/>
        <w:rPr>
          <w:rFonts w:asciiTheme="minorHAnsi" w:eastAsia="Calibri" w:hAnsiTheme="minorHAnsi" w:cstheme="minorHAnsi"/>
          <w:b/>
          <w:szCs w:val="24"/>
        </w:rPr>
      </w:pPr>
      <w:r w:rsidRPr="00D67331">
        <w:rPr>
          <w:rFonts w:asciiTheme="minorHAnsi" w:eastAsia="Calibri" w:hAnsiTheme="minorHAnsi" w:cstheme="minorHAnsi"/>
          <w:b/>
          <w:szCs w:val="24"/>
        </w:rPr>
        <w:t>Nel 20</w:t>
      </w:r>
      <w:r w:rsidR="008D29AA" w:rsidRPr="00D67331">
        <w:rPr>
          <w:rFonts w:asciiTheme="minorHAnsi" w:eastAsia="Calibri" w:hAnsiTheme="minorHAnsi" w:cstheme="minorHAnsi"/>
          <w:b/>
          <w:szCs w:val="24"/>
        </w:rPr>
        <w:t>22</w:t>
      </w:r>
      <w:r w:rsidRPr="00D67331">
        <w:rPr>
          <w:rFonts w:asciiTheme="minorHAnsi" w:eastAsia="Calibri" w:hAnsiTheme="minorHAnsi" w:cstheme="minorHAnsi"/>
          <w:b/>
          <w:szCs w:val="24"/>
        </w:rPr>
        <w:t xml:space="preserve">, </w:t>
      </w:r>
      <w:r w:rsidR="00A63275" w:rsidRPr="00D67331">
        <w:rPr>
          <w:rFonts w:asciiTheme="minorHAnsi" w:eastAsia="Calibri" w:hAnsiTheme="minorHAnsi" w:cstheme="minorHAnsi"/>
          <w:b/>
          <w:szCs w:val="24"/>
        </w:rPr>
        <w:t>i</w:t>
      </w:r>
      <w:r w:rsidR="00C55E35" w:rsidRPr="00D67331">
        <w:rPr>
          <w:rFonts w:asciiTheme="minorHAnsi" w:eastAsia="Calibri" w:hAnsiTheme="minorHAnsi" w:cstheme="minorHAnsi"/>
          <w:b/>
          <w:szCs w:val="24"/>
        </w:rPr>
        <w:t xml:space="preserve"> canoni di locazione </w:t>
      </w:r>
      <w:r w:rsidR="008D3071" w:rsidRPr="00D67331">
        <w:rPr>
          <w:rFonts w:asciiTheme="minorHAnsi" w:eastAsia="Calibri" w:hAnsiTheme="minorHAnsi" w:cstheme="minorHAnsi"/>
          <w:b/>
          <w:szCs w:val="24"/>
        </w:rPr>
        <w:t>delle abitazioni segna</w:t>
      </w:r>
      <w:r w:rsidR="00C55E35" w:rsidRPr="00D67331">
        <w:rPr>
          <w:rFonts w:asciiTheme="minorHAnsi" w:eastAsia="Calibri" w:hAnsiTheme="minorHAnsi" w:cstheme="minorHAnsi"/>
          <w:b/>
          <w:szCs w:val="24"/>
        </w:rPr>
        <w:t>no</w:t>
      </w:r>
      <w:r w:rsidR="008D3071" w:rsidRPr="00D67331">
        <w:rPr>
          <w:rFonts w:asciiTheme="minorHAnsi" w:eastAsia="Calibri" w:hAnsiTheme="minorHAnsi" w:cstheme="minorHAnsi"/>
          <w:b/>
          <w:szCs w:val="24"/>
        </w:rPr>
        <w:t xml:space="preserve"> un +</w:t>
      </w:r>
      <w:r w:rsidR="00747F06" w:rsidRPr="00D67331">
        <w:rPr>
          <w:rFonts w:asciiTheme="minorHAnsi" w:eastAsia="Calibri" w:hAnsiTheme="minorHAnsi" w:cstheme="minorHAnsi"/>
          <w:b/>
          <w:szCs w:val="24"/>
        </w:rPr>
        <w:t>4</w:t>
      </w:r>
      <w:r w:rsidR="008D3071" w:rsidRPr="00D67331">
        <w:rPr>
          <w:rFonts w:asciiTheme="minorHAnsi" w:eastAsia="Calibri" w:hAnsiTheme="minorHAnsi" w:cstheme="minorHAnsi"/>
          <w:b/>
          <w:szCs w:val="24"/>
        </w:rPr>
        <w:t>,</w:t>
      </w:r>
      <w:r w:rsidR="00747F06" w:rsidRPr="00D67331">
        <w:rPr>
          <w:rFonts w:asciiTheme="minorHAnsi" w:eastAsia="Calibri" w:hAnsiTheme="minorHAnsi" w:cstheme="minorHAnsi"/>
          <w:b/>
          <w:szCs w:val="24"/>
        </w:rPr>
        <w:t>8</w:t>
      </w:r>
      <w:r w:rsidRPr="00D67331">
        <w:rPr>
          <w:rFonts w:asciiTheme="minorHAnsi" w:eastAsia="Calibri" w:hAnsiTheme="minorHAnsi" w:cstheme="minorHAnsi"/>
          <w:b/>
          <w:szCs w:val="24"/>
        </w:rPr>
        <w:t xml:space="preserve">% </w:t>
      </w:r>
      <w:r w:rsidR="00C55E35" w:rsidRPr="00D67331">
        <w:rPr>
          <w:rFonts w:asciiTheme="minorHAnsi" w:eastAsia="Calibri" w:hAnsiTheme="minorHAnsi" w:cstheme="minorHAnsi"/>
          <w:b/>
          <w:szCs w:val="24"/>
        </w:rPr>
        <w:t xml:space="preserve">medio </w:t>
      </w:r>
      <w:r w:rsidRPr="00D67331">
        <w:rPr>
          <w:rFonts w:asciiTheme="minorHAnsi" w:eastAsia="Calibri" w:hAnsiTheme="minorHAnsi" w:cstheme="minorHAnsi"/>
          <w:b/>
          <w:szCs w:val="24"/>
        </w:rPr>
        <w:t>su base annua, i</w:t>
      </w:r>
      <w:r w:rsidR="00BF39B4" w:rsidRPr="00D67331">
        <w:rPr>
          <w:rFonts w:asciiTheme="minorHAnsi" w:eastAsia="Calibri" w:hAnsiTheme="minorHAnsi" w:cstheme="minorHAnsi"/>
          <w:b/>
          <w:szCs w:val="24"/>
        </w:rPr>
        <w:t xml:space="preserve">n </w:t>
      </w:r>
      <w:r w:rsidR="00747F06" w:rsidRPr="00D67331">
        <w:rPr>
          <w:rFonts w:asciiTheme="minorHAnsi" w:eastAsia="Calibri" w:hAnsiTheme="minorHAnsi" w:cstheme="minorHAnsi"/>
          <w:b/>
          <w:szCs w:val="24"/>
        </w:rPr>
        <w:t xml:space="preserve">netto </w:t>
      </w:r>
      <w:r w:rsidR="00BF39B4" w:rsidRPr="00D67331">
        <w:rPr>
          <w:rFonts w:asciiTheme="minorHAnsi" w:eastAsia="Calibri" w:hAnsiTheme="minorHAnsi" w:cstheme="minorHAnsi"/>
          <w:b/>
          <w:szCs w:val="24"/>
        </w:rPr>
        <w:t>miglioramento rispetto al 20</w:t>
      </w:r>
      <w:r w:rsidR="00747F06" w:rsidRPr="00D67331">
        <w:rPr>
          <w:rFonts w:asciiTheme="minorHAnsi" w:eastAsia="Calibri" w:hAnsiTheme="minorHAnsi" w:cstheme="minorHAnsi"/>
          <w:b/>
          <w:szCs w:val="24"/>
        </w:rPr>
        <w:t>21</w:t>
      </w:r>
      <w:r w:rsidRPr="00D67331">
        <w:rPr>
          <w:rFonts w:asciiTheme="minorHAnsi" w:eastAsia="Calibri" w:hAnsiTheme="minorHAnsi" w:cstheme="minorHAnsi"/>
          <w:b/>
          <w:szCs w:val="24"/>
        </w:rPr>
        <w:t xml:space="preserve">, beneficiando della crescita dei flussi turistici. L’aumento ha interessato </w:t>
      </w:r>
      <w:r w:rsidR="008D3071" w:rsidRPr="00D67331">
        <w:rPr>
          <w:rFonts w:asciiTheme="minorHAnsi" w:eastAsia="Calibri" w:hAnsiTheme="minorHAnsi" w:cstheme="minorHAnsi"/>
          <w:b/>
          <w:szCs w:val="24"/>
        </w:rPr>
        <w:t>maggiormente le località marittime (</w:t>
      </w:r>
      <w:r w:rsidRPr="00D67331">
        <w:rPr>
          <w:rFonts w:asciiTheme="minorHAnsi" w:eastAsia="Calibri" w:hAnsiTheme="minorHAnsi" w:cstheme="minorHAnsi"/>
          <w:b/>
          <w:szCs w:val="24"/>
        </w:rPr>
        <w:t>+</w:t>
      </w:r>
      <w:r w:rsidR="00F00E15" w:rsidRPr="00D67331">
        <w:rPr>
          <w:rFonts w:asciiTheme="minorHAnsi" w:eastAsia="Calibri" w:hAnsiTheme="minorHAnsi" w:cstheme="minorHAnsi"/>
          <w:b/>
          <w:szCs w:val="24"/>
        </w:rPr>
        <w:t>5</w:t>
      </w:r>
      <w:r w:rsidRPr="00D67331">
        <w:rPr>
          <w:rFonts w:asciiTheme="minorHAnsi" w:eastAsia="Calibri" w:hAnsiTheme="minorHAnsi" w:cstheme="minorHAnsi"/>
          <w:b/>
          <w:szCs w:val="24"/>
        </w:rPr>
        <w:t>,</w:t>
      </w:r>
      <w:r w:rsidR="00F00E15" w:rsidRPr="00D67331">
        <w:rPr>
          <w:rFonts w:asciiTheme="minorHAnsi" w:eastAsia="Calibri" w:hAnsiTheme="minorHAnsi" w:cstheme="minorHAnsi"/>
          <w:b/>
          <w:szCs w:val="24"/>
        </w:rPr>
        <w:t>9</w:t>
      </w:r>
      <w:r w:rsidRPr="00D67331">
        <w:rPr>
          <w:rFonts w:asciiTheme="minorHAnsi" w:eastAsia="Calibri" w:hAnsiTheme="minorHAnsi" w:cstheme="minorHAnsi"/>
          <w:b/>
          <w:szCs w:val="24"/>
        </w:rPr>
        <w:t>%</w:t>
      </w:r>
      <w:r w:rsidR="008D3071" w:rsidRPr="00D67331">
        <w:rPr>
          <w:rFonts w:asciiTheme="minorHAnsi" w:eastAsia="Calibri" w:hAnsiTheme="minorHAnsi" w:cstheme="minorHAnsi"/>
          <w:b/>
          <w:szCs w:val="24"/>
        </w:rPr>
        <w:t xml:space="preserve"> in media)</w:t>
      </w:r>
      <w:r w:rsidRPr="00D67331">
        <w:rPr>
          <w:rFonts w:asciiTheme="minorHAnsi" w:eastAsia="Calibri" w:hAnsiTheme="minorHAnsi" w:cstheme="minorHAnsi"/>
          <w:b/>
          <w:szCs w:val="24"/>
        </w:rPr>
        <w:t xml:space="preserve"> </w:t>
      </w:r>
      <w:r w:rsidR="008D3071" w:rsidRPr="00D67331">
        <w:rPr>
          <w:rFonts w:asciiTheme="minorHAnsi" w:eastAsia="Calibri" w:hAnsiTheme="minorHAnsi" w:cstheme="minorHAnsi"/>
          <w:b/>
          <w:szCs w:val="24"/>
        </w:rPr>
        <w:t xml:space="preserve">e </w:t>
      </w:r>
      <w:r w:rsidRPr="00D67331">
        <w:rPr>
          <w:rFonts w:asciiTheme="minorHAnsi" w:eastAsia="Calibri" w:hAnsiTheme="minorHAnsi" w:cstheme="minorHAnsi"/>
          <w:b/>
          <w:szCs w:val="24"/>
        </w:rPr>
        <w:t xml:space="preserve">le località </w:t>
      </w:r>
      <w:r w:rsidRPr="00D67331">
        <w:rPr>
          <w:rFonts w:asciiTheme="minorHAnsi" w:eastAsia="Calibri" w:hAnsiTheme="minorHAnsi" w:cstheme="minorHAnsi"/>
          <w:b/>
          <w:szCs w:val="24"/>
        </w:rPr>
        <w:lastRenderedPageBreak/>
        <w:t>lacuali</w:t>
      </w:r>
      <w:r w:rsidR="008D3071" w:rsidRPr="00D67331">
        <w:rPr>
          <w:rFonts w:asciiTheme="minorHAnsi" w:eastAsia="Calibri" w:hAnsiTheme="minorHAnsi" w:cstheme="minorHAnsi"/>
          <w:b/>
          <w:szCs w:val="24"/>
        </w:rPr>
        <w:t xml:space="preserve"> (</w:t>
      </w:r>
      <w:r w:rsidRPr="00D67331">
        <w:rPr>
          <w:rFonts w:asciiTheme="minorHAnsi" w:eastAsia="Calibri" w:hAnsiTheme="minorHAnsi" w:cstheme="minorHAnsi"/>
          <w:b/>
          <w:szCs w:val="24"/>
        </w:rPr>
        <w:t>+</w:t>
      </w:r>
      <w:r w:rsidR="000F7CB6" w:rsidRPr="00D67331">
        <w:rPr>
          <w:rFonts w:asciiTheme="minorHAnsi" w:eastAsia="Calibri" w:hAnsiTheme="minorHAnsi" w:cstheme="minorHAnsi"/>
          <w:b/>
          <w:szCs w:val="24"/>
        </w:rPr>
        <w:t>5</w:t>
      </w:r>
      <w:r w:rsidRPr="00D67331">
        <w:rPr>
          <w:rFonts w:asciiTheme="minorHAnsi" w:eastAsia="Calibri" w:hAnsiTheme="minorHAnsi" w:cstheme="minorHAnsi"/>
          <w:b/>
          <w:szCs w:val="24"/>
        </w:rPr>
        <w:t>,</w:t>
      </w:r>
      <w:r w:rsidR="000F7CB6" w:rsidRPr="00D67331">
        <w:rPr>
          <w:rFonts w:asciiTheme="minorHAnsi" w:eastAsia="Calibri" w:hAnsiTheme="minorHAnsi" w:cstheme="minorHAnsi"/>
          <w:b/>
          <w:szCs w:val="24"/>
        </w:rPr>
        <w:t>3</w:t>
      </w:r>
      <w:r w:rsidRPr="00D67331">
        <w:rPr>
          <w:rFonts w:asciiTheme="minorHAnsi" w:eastAsia="Calibri" w:hAnsiTheme="minorHAnsi" w:cstheme="minorHAnsi"/>
          <w:b/>
          <w:szCs w:val="24"/>
        </w:rPr>
        <w:t>%</w:t>
      </w:r>
      <w:r w:rsidR="008D3071" w:rsidRPr="00D67331">
        <w:rPr>
          <w:rFonts w:asciiTheme="minorHAnsi" w:eastAsia="Calibri" w:hAnsiTheme="minorHAnsi" w:cstheme="minorHAnsi"/>
          <w:b/>
          <w:szCs w:val="24"/>
        </w:rPr>
        <w:t xml:space="preserve">), mentre </w:t>
      </w:r>
      <w:r w:rsidR="000F7CB6" w:rsidRPr="00D67331">
        <w:rPr>
          <w:rFonts w:asciiTheme="minorHAnsi" w:eastAsia="Calibri" w:hAnsiTheme="minorHAnsi" w:cstheme="minorHAnsi"/>
          <w:b/>
          <w:szCs w:val="24"/>
        </w:rPr>
        <w:t>i canoni medi del</w:t>
      </w:r>
      <w:r w:rsidR="008D3071" w:rsidRPr="00D67331">
        <w:rPr>
          <w:rFonts w:asciiTheme="minorHAnsi" w:eastAsia="Calibri" w:hAnsiTheme="minorHAnsi" w:cstheme="minorHAnsi"/>
          <w:b/>
          <w:szCs w:val="24"/>
        </w:rPr>
        <w:t>le località di mo</w:t>
      </w:r>
      <w:r w:rsidRPr="00D67331">
        <w:rPr>
          <w:rFonts w:asciiTheme="minorHAnsi" w:eastAsia="Calibri" w:hAnsiTheme="minorHAnsi" w:cstheme="minorHAnsi"/>
          <w:b/>
          <w:szCs w:val="24"/>
        </w:rPr>
        <w:t>ntagna</w:t>
      </w:r>
      <w:r w:rsidR="008D3071" w:rsidRPr="00D67331">
        <w:rPr>
          <w:rFonts w:asciiTheme="minorHAnsi" w:eastAsia="Calibri" w:hAnsiTheme="minorHAnsi" w:cstheme="minorHAnsi"/>
          <w:b/>
          <w:szCs w:val="24"/>
        </w:rPr>
        <w:t xml:space="preserve"> </w:t>
      </w:r>
      <w:r w:rsidR="000F7CB6" w:rsidRPr="00D67331">
        <w:rPr>
          <w:rFonts w:asciiTheme="minorHAnsi" w:eastAsia="Calibri" w:hAnsiTheme="minorHAnsi" w:cstheme="minorHAnsi"/>
          <w:b/>
          <w:szCs w:val="24"/>
        </w:rPr>
        <w:t>registrano un aumento molto più contenuto (+1,1%)</w:t>
      </w:r>
      <w:r w:rsidRPr="00D67331">
        <w:rPr>
          <w:rFonts w:asciiTheme="minorHAnsi" w:eastAsia="Calibri" w:hAnsiTheme="minorHAnsi" w:cstheme="minorHAnsi"/>
          <w:b/>
          <w:szCs w:val="24"/>
        </w:rPr>
        <w:t>.</w:t>
      </w:r>
    </w:p>
    <w:p w14:paraId="4DE789C0" w14:textId="77777777" w:rsidR="009A20CC" w:rsidRPr="009A20CC" w:rsidRDefault="009A20CC" w:rsidP="009A20CC">
      <w:pPr>
        <w:pStyle w:val="Paragrafoelenco"/>
        <w:rPr>
          <w:rFonts w:asciiTheme="minorHAnsi" w:eastAsia="Calibri" w:hAnsiTheme="minorHAnsi" w:cstheme="minorHAnsi"/>
          <w:b/>
          <w:szCs w:val="24"/>
        </w:rPr>
      </w:pPr>
    </w:p>
    <w:p w14:paraId="6921B9F3" w14:textId="77777777" w:rsidR="009A20CC" w:rsidRPr="00D67331" w:rsidRDefault="009A20CC" w:rsidP="009A20CC">
      <w:pPr>
        <w:pStyle w:val="Paragrafoelenco"/>
        <w:shd w:val="clear" w:color="auto" w:fill="FFFFFF" w:themeFill="background1"/>
        <w:spacing w:line="276" w:lineRule="auto"/>
        <w:rPr>
          <w:rFonts w:asciiTheme="minorHAnsi" w:eastAsia="Calibri" w:hAnsiTheme="minorHAnsi" w:cstheme="minorHAnsi"/>
          <w:b/>
          <w:szCs w:val="24"/>
        </w:rPr>
      </w:pPr>
    </w:p>
    <w:p w14:paraId="03634C68" w14:textId="77777777" w:rsidR="009A20CC" w:rsidRPr="009A20CC" w:rsidRDefault="009A20CC" w:rsidP="009A20CC">
      <w:pPr>
        <w:pStyle w:val="Paragrafoelenco"/>
        <w:numPr>
          <w:ilvl w:val="0"/>
          <w:numId w:val="4"/>
        </w:numPr>
        <w:rPr>
          <w:rFonts w:asciiTheme="minorHAnsi" w:hAnsiTheme="minorHAnsi" w:cstheme="minorHAnsi"/>
          <w:b/>
        </w:rPr>
      </w:pPr>
      <w:r w:rsidRPr="009A20CC">
        <w:rPr>
          <w:rFonts w:asciiTheme="minorHAnsi" w:hAnsiTheme="minorHAnsi" w:cstheme="minorHAnsi"/>
          <w:b/>
        </w:rPr>
        <w:t>Il commento di Santino Taverna, presidente nazionale Fimaa</w:t>
      </w:r>
    </w:p>
    <w:p w14:paraId="1376D693" w14:textId="77777777" w:rsidR="009A20CC" w:rsidRPr="009A20CC" w:rsidRDefault="009A20CC" w:rsidP="009A20CC">
      <w:pPr>
        <w:pStyle w:val="Paragrafoelenco"/>
        <w:rPr>
          <w:rFonts w:asciiTheme="minorHAnsi" w:hAnsiTheme="minorHAnsi" w:cstheme="minorHAnsi"/>
          <w:b/>
          <w:sz w:val="6"/>
        </w:rPr>
      </w:pPr>
    </w:p>
    <w:p w14:paraId="51127FFF" w14:textId="3DD9647C" w:rsidR="009A20CC" w:rsidRPr="00157AFF" w:rsidRDefault="009A20CC" w:rsidP="009A20CC">
      <w:pPr>
        <w:pStyle w:val="Paragrafoelenco"/>
        <w:rPr>
          <w:rFonts w:asciiTheme="minorHAnsi" w:hAnsiTheme="minorHAnsi" w:cstheme="minorHAnsi"/>
          <w:i/>
          <w:iCs/>
        </w:rPr>
      </w:pPr>
      <w:r w:rsidRPr="00271E70">
        <w:rPr>
          <w:rFonts w:asciiTheme="minorHAnsi" w:hAnsiTheme="minorHAnsi" w:cstheme="minorHAnsi"/>
          <w:i/>
          <w:iCs/>
        </w:rPr>
        <w:t>“</w:t>
      </w:r>
      <w:r w:rsidR="00FF3370" w:rsidRPr="00FF3370">
        <w:rPr>
          <w:rFonts w:asciiTheme="minorHAnsi" w:hAnsiTheme="minorHAnsi" w:cstheme="minorHAnsi"/>
          <w:i/>
          <w:iCs/>
        </w:rPr>
        <w:t>Il mercato immobiliare delle case per vacanza gode di buona salute, nonostante gli effetti negativi della guerra in Ucraina e l’impennata dell’inflazione. Per sostenere il turismo, di fondamentale importanza per l’economia del Paese, è auspicabile che il prossimo governo coinvolga le associazioni di categoria e gli operatori del settore per un Osservatorio del comparto turistico, che monitori tale mercato e fornisca indicazioni utili e propositive anche per la regolamentazione delle locazioni brevi turistiche, evitando disparità di normative tra le varie Regioni. Va scongiurato anche il rischio che il settore possa diventare preda dei grandi gruppi internazionali, orientati più alla massimizzazione dei profitti che alla qualità dei servizi da offrire ai consumatori”.</w:t>
      </w:r>
    </w:p>
    <w:p w14:paraId="4DC53520" w14:textId="77777777" w:rsidR="009A20CC" w:rsidRPr="00F46623" w:rsidRDefault="009A20CC" w:rsidP="009A20CC">
      <w:pPr>
        <w:pStyle w:val="Paragrafoelenco"/>
        <w:rPr>
          <w:rFonts w:asciiTheme="minorHAnsi" w:hAnsiTheme="minorHAnsi" w:cstheme="minorHAnsi"/>
          <w:i/>
          <w:iCs/>
          <w:sz w:val="14"/>
        </w:rPr>
      </w:pPr>
    </w:p>
    <w:p w14:paraId="2193DE26" w14:textId="77777777" w:rsidR="009A20CC" w:rsidRDefault="009A20CC" w:rsidP="009A20CC">
      <w:pPr>
        <w:pStyle w:val="Paragrafoelenco"/>
        <w:numPr>
          <w:ilvl w:val="0"/>
          <w:numId w:val="4"/>
        </w:numPr>
        <w:rPr>
          <w:rFonts w:asciiTheme="minorHAnsi" w:hAnsiTheme="minorHAnsi" w:cstheme="minorHAnsi"/>
          <w:b/>
        </w:rPr>
      </w:pPr>
      <w:r w:rsidRPr="00271E70">
        <w:rPr>
          <w:rFonts w:asciiTheme="minorHAnsi" w:hAnsiTheme="minorHAnsi" w:cstheme="minorHAnsi"/>
          <w:b/>
        </w:rPr>
        <w:t xml:space="preserve">Il commento di Luca Dondi, </w:t>
      </w:r>
      <w:r>
        <w:rPr>
          <w:rFonts w:asciiTheme="minorHAnsi" w:hAnsiTheme="minorHAnsi" w:cstheme="minorHAnsi"/>
          <w:b/>
        </w:rPr>
        <w:t>a</w:t>
      </w:r>
      <w:r w:rsidRPr="00271E70">
        <w:rPr>
          <w:rFonts w:asciiTheme="minorHAnsi" w:hAnsiTheme="minorHAnsi" w:cstheme="minorHAnsi"/>
          <w:b/>
        </w:rPr>
        <w:t>mministratore delegato di Nomisma</w:t>
      </w:r>
    </w:p>
    <w:p w14:paraId="40BE2342" w14:textId="77777777" w:rsidR="009A20CC" w:rsidRPr="002025D5" w:rsidRDefault="009A20CC" w:rsidP="009A20CC">
      <w:pPr>
        <w:pStyle w:val="Paragrafoelenco"/>
        <w:rPr>
          <w:rFonts w:asciiTheme="minorHAnsi" w:hAnsiTheme="minorHAnsi" w:cstheme="minorHAnsi"/>
          <w:b/>
          <w:sz w:val="6"/>
        </w:rPr>
      </w:pPr>
    </w:p>
    <w:p w14:paraId="595B7171" w14:textId="66C7E0ED" w:rsidR="009A20CC" w:rsidRPr="00051BA3" w:rsidRDefault="009A20CC" w:rsidP="009A20CC">
      <w:pPr>
        <w:pStyle w:val="Paragrafoelenco"/>
        <w:rPr>
          <w:rFonts w:asciiTheme="minorHAnsi" w:hAnsiTheme="minorHAnsi" w:cstheme="minorHAnsi"/>
          <w:i/>
        </w:rPr>
      </w:pPr>
      <w:r w:rsidRPr="00271E70">
        <w:rPr>
          <w:rFonts w:asciiTheme="minorHAnsi" w:hAnsiTheme="minorHAnsi" w:cstheme="minorHAnsi"/>
        </w:rPr>
        <w:t xml:space="preserve">Secondo Luca Dondi, </w:t>
      </w:r>
      <w:r>
        <w:rPr>
          <w:rFonts w:asciiTheme="minorHAnsi" w:hAnsiTheme="minorHAnsi" w:cstheme="minorHAnsi"/>
        </w:rPr>
        <w:t>a</w:t>
      </w:r>
      <w:r w:rsidRPr="00271E70">
        <w:rPr>
          <w:rFonts w:asciiTheme="minorHAnsi" w:hAnsiTheme="minorHAnsi" w:cstheme="minorHAnsi"/>
        </w:rPr>
        <w:t xml:space="preserve">mministratore delegato di Nomisma </w:t>
      </w:r>
      <w:r w:rsidRPr="00DB04E0">
        <w:rPr>
          <w:rFonts w:asciiTheme="minorHAnsi" w:hAnsiTheme="minorHAnsi" w:cstheme="minorHAnsi"/>
          <w:iCs/>
        </w:rPr>
        <w:t>“</w:t>
      </w:r>
      <w:r w:rsidR="006C2FBE" w:rsidRPr="006C2FBE">
        <w:rPr>
          <w:rFonts w:ascii="Calibri" w:hAnsi="Calibri" w:cs="Calibri"/>
          <w:i/>
          <w:color w:val="000000"/>
          <w:shd w:val="clear" w:color="auto" w:fill="FFFFFF"/>
        </w:rPr>
        <w:t xml:space="preserve">E’ proseguita, anche </w:t>
      </w:r>
      <w:r w:rsidR="00694790" w:rsidRPr="006C2FBE">
        <w:rPr>
          <w:rFonts w:ascii="Calibri" w:hAnsi="Calibri" w:cs="Calibri"/>
          <w:i/>
          <w:color w:val="000000"/>
          <w:shd w:val="clear" w:color="auto" w:fill="FFFFFF"/>
        </w:rPr>
        <w:t>nella prima</w:t>
      </w:r>
      <w:r w:rsidR="006C2FBE" w:rsidRPr="006C2FBE">
        <w:rPr>
          <w:rFonts w:ascii="Calibri" w:hAnsi="Calibri" w:cs="Calibri"/>
          <w:i/>
          <w:color w:val="000000"/>
          <w:shd w:val="clear" w:color="auto" w:fill="FFFFFF"/>
        </w:rPr>
        <w:t xml:space="preserve"> parte del 2022, la crescita del mercato immobiliare nelle località turistiche. Ad alimentarla è stata soprattutto l’esigenza delle famiglie italiane di privilegiare dopo la pandemia impieghi in grado di coniugare percezione di sicurezza e possibilità di godimento e gratificazione. Proprio quello che nell’immaginario collettivo rappresenta l’investimento </w:t>
      </w:r>
      <w:r w:rsidR="00694790" w:rsidRPr="006C2FBE">
        <w:rPr>
          <w:rFonts w:ascii="Calibri" w:hAnsi="Calibri" w:cs="Calibri"/>
          <w:i/>
          <w:color w:val="000000"/>
          <w:shd w:val="clear" w:color="auto" w:fill="FFFFFF"/>
        </w:rPr>
        <w:t>immobiliare</w:t>
      </w:r>
      <w:r w:rsidR="00694790" w:rsidRPr="00FC3557">
        <w:rPr>
          <w:rFonts w:ascii="Calibri" w:hAnsi="Calibri" w:cs="Calibri"/>
          <w:i/>
          <w:color w:val="000000"/>
          <w:shd w:val="clear" w:color="auto" w:fill="FFFFFF"/>
        </w:rPr>
        <w:t>.</w:t>
      </w:r>
      <w:r w:rsidRPr="00FC3557">
        <w:rPr>
          <w:rFonts w:asciiTheme="minorHAnsi" w:hAnsiTheme="minorHAnsi" w:cstheme="minorHAnsi"/>
          <w:i/>
        </w:rPr>
        <w:t>”</w:t>
      </w:r>
    </w:p>
    <w:p w14:paraId="1723B6AE" w14:textId="77777777" w:rsidR="006C2FBE" w:rsidRDefault="006C2FBE" w:rsidP="009A20CC">
      <w:pPr>
        <w:pStyle w:val="Paragrafoelenco"/>
        <w:rPr>
          <w:rFonts w:asciiTheme="minorHAnsi" w:hAnsiTheme="minorHAnsi" w:cstheme="minorHAnsi"/>
          <w:sz w:val="14"/>
        </w:rPr>
      </w:pPr>
    </w:p>
    <w:p w14:paraId="0CACDE3E" w14:textId="77777777" w:rsidR="006C2FBE" w:rsidRPr="00F46623" w:rsidRDefault="006C2FBE" w:rsidP="009A20CC">
      <w:pPr>
        <w:pStyle w:val="Paragrafoelenco"/>
        <w:rPr>
          <w:rFonts w:asciiTheme="minorHAnsi" w:hAnsiTheme="minorHAnsi" w:cstheme="minorHAnsi"/>
          <w:sz w:val="14"/>
        </w:rPr>
      </w:pPr>
    </w:p>
    <w:p w14:paraId="5E6FF4E4" w14:textId="77777777" w:rsidR="009A20CC" w:rsidRDefault="009A20CC" w:rsidP="009A20CC">
      <w:pPr>
        <w:pStyle w:val="Paragrafoelenco"/>
        <w:numPr>
          <w:ilvl w:val="0"/>
          <w:numId w:val="4"/>
        </w:numPr>
        <w:rPr>
          <w:rFonts w:asciiTheme="minorHAnsi" w:hAnsiTheme="minorHAnsi" w:cstheme="minorHAnsi"/>
          <w:b/>
          <w:szCs w:val="23"/>
        </w:rPr>
      </w:pPr>
      <w:r w:rsidRPr="007054C6">
        <w:rPr>
          <w:rFonts w:asciiTheme="minorHAnsi" w:hAnsiTheme="minorHAnsi" w:cstheme="minorHAnsi"/>
          <w:b/>
          <w:szCs w:val="23"/>
        </w:rPr>
        <w:t xml:space="preserve">Il commento di Fabrizio Savorani, referente settore turistico Ufficio </w:t>
      </w:r>
      <w:r>
        <w:rPr>
          <w:rFonts w:asciiTheme="minorHAnsi" w:hAnsiTheme="minorHAnsi" w:cstheme="minorHAnsi"/>
          <w:b/>
          <w:szCs w:val="23"/>
        </w:rPr>
        <w:t>s</w:t>
      </w:r>
      <w:r w:rsidRPr="007054C6">
        <w:rPr>
          <w:rFonts w:asciiTheme="minorHAnsi" w:hAnsiTheme="minorHAnsi" w:cstheme="minorHAnsi"/>
          <w:b/>
          <w:szCs w:val="23"/>
        </w:rPr>
        <w:t>tudi Fimaa</w:t>
      </w:r>
    </w:p>
    <w:p w14:paraId="0812B290" w14:textId="77777777" w:rsidR="009A20CC" w:rsidRPr="002025D5" w:rsidRDefault="009A20CC" w:rsidP="009A20CC">
      <w:pPr>
        <w:pStyle w:val="Paragrafoelenco"/>
        <w:rPr>
          <w:rFonts w:asciiTheme="minorHAnsi" w:hAnsiTheme="minorHAnsi" w:cstheme="minorHAnsi"/>
          <w:b/>
          <w:sz w:val="6"/>
          <w:szCs w:val="23"/>
        </w:rPr>
      </w:pPr>
    </w:p>
    <w:p w14:paraId="5058E8B9" w14:textId="479A87C8" w:rsidR="009A20CC" w:rsidRPr="001B23F7" w:rsidRDefault="009A20CC" w:rsidP="009A20CC">
      <w:pPr>
        <w:pStyle w:val="Paragrafoelenco"/>
        <w:rPr>
          <w:rFonts w:asciiTheme="minorHAnsi" w:hAnsiTheme="minorHAnsi" w:cstheme="minorHAnsi"/>
          <w:i/>
        </w:rPr>
      </w:pPr>
      <w:r w:rsidRPr="00FC3557">
        <w:rPr>
          <w:rFonts w:asciiTheme="minorHAnsi" w:hAnsiTheme="minorHAnsi" w:cstheme="minorHAnsi"/>
          <w:i/>
        </w:rPr>
        <w:t>“</w:t>
      </w:r>
      <w:r w:rsidR="00FF3370" w:rsidRPr="00FC3557">
        <w:rPr>
          <w:rFonts w:asciiTheme="minorHAnsi" w:hAnsiTheme="minorHAnsi" w:cstheme="minorHAnsi"/>
          <w:i/>
        </w:rPr>
        <w:t xml:space="preserve">Il controllo della pandemia, grazie alla diffusione capillare dei vaccini, ha fatto riscoprire a italiani e stranieri, soprattutto nord europei e americani, la voglia di vivere pienamente le località turistiche italiane. La casa al mare, lago o montagna si conferma così una certezza per chi sceglie di trascorrere le ferie in Italia. Oggi l’utente medio cerca una casa per vacanze da acquistare o locare che abbia standard e servizi di qualità. La pandemia ha spostato l’attenzione su soluzioni indipendenti o </w:t>
      </w:r>
      <w:proofErr w:type="spellStart"/>
      <w:r w:rsidR="00FF3370" w:rsidRPr="00FC3557">
        <w:rPr>
          <w:rFonts w:asciiTheme="minorHAnsi" w:hAnsiTheme="minorHAnsi" w:cstheme="minorHAnsi"/>
          <w:i/>
        </w:rPr>
        <w:t>semindipendenti</w:t>
      </w:r>
      <w:proofErr w:type="spellEnd"/>
      <w:r w:rsidR="00FF3370" w:rsidRPr="00FC3557">
        <w:rPr>
          <w:rFonts w:asciiTheme="minorHAnsi" w:hAnsiTheme="minorHAnsi" w:cstheme="minorHAnsi"/>
          <w:i/>
        </w:rPr>
        <w:t>, con giardino o terrazzo panoramico. Richiesta anche la piscina</w:t>
      </w:r>
      <w:r w:rsidRPr="00FC3557">
        <w:rPr>
          <w:rFonts w:asciiTheme="minorHAnsi" w:hAnsiTheme="minorHAnsi" w:cstheme="minorHAnsi"/>
          <w:i/>
        </w:rPr>
        <w:t>.”</w:t>
      </w:r>
    </w:p>
    <w:p w14:paraId="4BB9D92F" w14:textId="602CE0F5" w:rsidR="009A20CC" w:rsidRPr="005C3593" w:rsidRDefault="009A20CC" w:rsidP="001D182A">
      <w:pPr>
        <w:pStyle w:val="Paragrafoelenco"/>
        <w:numPr>
          <w:ilvl w:val="0"/>
          <w:numId w:val="4"/>
        </w:numPr>
        <w:tabs>
          <w:tab w:val="left" w:pos="357"/>
        </w:tabs>
        <w:suppressAutoHyphens/>
        <w:rPr>
          <w:rFonts w:asciiTheme="minorHAnsi" w:hAnsiTheme="minorHAnsi"/>
          <w:b/>
          <w:sz w:val="28"/>
          <w:szCs w:val="28"/>
        </w:rPr>
      </w:pPr>
      <w:r w:rsidRPr="005C3593">
        <w:rPr>
          <w:rFonts w:asciiTheme="minorHAnsi" w:hAnsiTheme="minorHAnsi"/>
          <w:b/>
          <w:sz w:val="28"/>
          <w:szCs w:val="28"/>
        </w:rPr>
        <w:br w:type="page"/>
      </w:r>
    </w:p>
    <w:p w14:paraId="33CDC886" w14:textId="2BD5F048" w:rsidR="009A20CC" w:rsidRPr="009A20CC" w:rsidRDefault="009A20CC" w:rsidP="00AE50F2">
      <w:pPr>
        <w:tabs>
          <w:tab w:val="left" w:pos="357"/>
        </w:tabs>
        <w:suppressAutoHyphens/>
        <w:rPr>
          <w:rFonts w:asciiTheme="minorHAnsi" w:hAnsiTheme="minorHAnsi"/>
          <w:b/>
          <w:sz w:val="10"/>
          <w:szCs w:val="28"/>
        </w:rPr>
      </w:pPr>
    </w:p>
    <w:p w14:paraId="28427107" w14:textId="77777777" w:rsidR="00B74650" w:rsidRPr="00A02EB4" w:rsidRDefault="002D3762" w:rsidP="00AE50F2">
      <w:pPr>
        <w:tabs>
          <w:tab w:val="left" w:pos="357"/>
        </w:tabs>
        <w:suppressAutoHyphens/>
        <w:rPr>
          <w:rFonts w:asciiTheme="minorHAnsi" w:hAnsiTheme="minorHAnsi"/>
          <w:b/>
          <w:sz w:val="28"/>
          <w:szCs w:val="28"/>
        </w:rPr>
      </w:pPr>
      <w:r w:rsidRPr="00A02EB4">
        <w:rPr>
          <w:rFonts w:asciiTheme="minorHAnsi" w:hAnsiTheme="minorHAnsi"/>
          <w:b/>
          <w:sz w:val="28"/>
          <w:szCs w:val="28"/>
        </w:rPr>
        <w:t>I</w:t>
      </w:r>
      <w:r w:rsidR="00AE50F2" w:rsidRPr="00A02EB4">
        <w:rPr>
          <w:rFonts w:asciiTheme="minorHAnsi" w:hAnsiTheme="minorHAnsi"/>
          <w:b/>
          <w:sz w:val="28"/>
          <w:szCs w:val="28"/>
        </w:rPr>
        <w:t>l mercato immobiliare in Italia</w:t>
      </w:r>
    </w:p>
    <w:p w14:paraId="676DB9B4" w14:textId="777A1C02" w:rsidR="00AC3A07" w:rsidRPr="00F546BD" w:rsidRDefault="00AC3A07" w:rsidP="00364602">
      <w:pPr>
        <w:rPr>
          <w:rFonts w:asciiTheme="minorHAnsi" w:eastAsia="Calibri" w:hAnsiTheme="minorHAnsi" w:cstheme="minorHAnsi"/>
          <w:sz w:val="8"/>
          <w:szCs w:val="24"/>
        </w:rPr>
      </w:pPr>
    </w:p>
    <w:p w14:paraId="299C8429" w14:textId="77777777" w:rsidR="00AC3A07" w:rsidRPr="002351E9" w:rsidRDefault="00AC3A07" w:rsidP="00AC3A07">
      <w:pPr>
        <w:spacing w:before="120" w:after="120"/>
        <w:rPr>
          <w:rFonts w:asciiTheme="minorHAnsi" w:hAnsiTheme="minorHAnsi" w:cstheme="minorHAnsi"/>
          <w:sz w:val="22"/>
          <w:szCs w:val="22"/>
        </w:rPr>
      </w:pPr>
      <w:r w:rsidRPr="002351E9">
        <w:rPr>
          <w:rFonts w:asciiTheme="minorHAnsi" w:hAnsiTheme="minorHAnsi" w:cstheme="minorHAnsi"/>
          <w:sz w:val="22"/>
          <w:szCs w:val="22"/>
        </w:rPr>
        <w:t xml:space="preserve">L’improvviso peggioramento del quadro macroeconomico ha inaspettatamente riacceso nel nostro Paese i timori di stagflazione. L’impennata inflativa provocata dalle vicende belliche ha, infatti, finito per determinare un brusco rallentamento nel percorso di recupero dei livelli di attività persi nel 2020, prontamente innescatosi non appena l’ondata pandemica aveva mostrato segni di cedimento. </w:t>
      </w:r>
    </w:p>
    <w:tbl>
      <w:tblPr>
        <w:tblStyle w:val="Grigliatabel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tblGrid>
      <w:tr w:rsidR="00AC3A07" w:rsidRPr="002351E9" w14:paraId="0A404BC2" w14:textId="77777777" w:rsidTr="00C52953">
        <w:tc>
          <w:tcPr>
            <w:tcW w:w="4820" w:type="dxa"/>
          </w:tcPr>
          <w:p w14:paraId="7486E9BD" w14:textId="77777777" w:rsidR="00AC3A07" w:rsidRPr="005A03FC" w:rsidRDefault="00AC3A07" w:rsidP="00C52953">
            <w:pPr>
              <w:rPr>
                <w:rFonts w:asciiTheme="minorHAnsi" w:hAnsiTheme="minorHAnsi" w:cstheme="minorHAnsi"/>
                <w:b w:val="0"/>
                <w:bCs w:val="0"/>
                <w:color w:val="2F5496" w:themeColor="accent5" w:themeShade="BF"/>
                <w:sz w:val="20"/>
              </w:rPr>
            </w:pPr>
            <w:r w:rsidRPr="005A03FC">
              <w:rPr>
                <w:rFonts w:ascii="Calibri" w:eastAsia="Calibri" w:hAnsi="Calibri" w:cs="Calibri"/>
                <w:bCs w:val="0"/>
                <w:caps w:val="0"/>
                <w:color w:val="2E74B5"/>
                <w:sz w:val="20"/>
                <w:szCs w:val="22"/>
                <w:lang w:eastAsia="en-US"/>
              </w:rPr>
              <w:t>Figura</w:t>
            </w:r>
            <w:r w:rsidRPr="005A03FC">
              <w:rPr>
                <w:rFonts w:asciiTheme="minorHAnsi" w:hAnsiTheme="minorHAnsi" w:cstheme="minorHAnsi"/>
                <w:color w:val="2F5496" w:themeColor="accent5" w:themeShade="BF"/>
                <w:sz w:val="20"/>
              </w:rPr>
              <w:t xml:space="preserve"> 1</w:t>
            </w:r>
          </w:p>
          <w:p w14:paraId="76C1F77C" w14:textId="77777777" w:rsidR="00AC3A07" w:rsidRPr="005A03FC" w:rsidRDefault="00AC3A07" w:rsidP="00C52953">
            <w:pPr>
              <w:spacing w:after="60"/>
              <w:rPr>
                <w:rFonts w:asciiTheme="minorHAnsi" w:hAnsiTheme="minorHAnsi" w:cstheme="minorHAnsi"/>
                <w:sz w:val="20"/>
              </w:rPr>
            </w:pPr>
            <w:r w:rsidRPr="005A03FC">
              <w:rPr>
                <w:rFonts w:ascii="Calibri" w:eastAsia="Calibri" w:hAnsi="Calibri" w:cs="Calibri"/>
                <w:bCs w:val="0"/>
                <w:caps w:val="0"/>
                <w:color w:val="2E74B5"/>
                <w:sz w:val="20"/>
                <w:szCs w:val="22"/>
                <w:lang w:eastAsia="en-US"/>
              </w:rPr>
              <w:t xml:space="preserve">Rappresentazione del potere d’acquisto delle famiglie italiane </w:t>
            </w:r>
            <w:r w:rsidRPr="005A03FC">
              <w:rPr>
                <w:rFonts w:ascii="Calibri" w:eastAsia="Calibri" w:hAnsi="Calibri" w:cs="Calibri"/>
                <w:b w:val="0"/>
                <w:caps w:val="0"/>
                <w:color w:val="2E74B5"/>
                <w:sz w:val="20"/>
                <w:szCs w:val="22"/>
                <w:lang w:eastAsia="en-US"/>
              </w:rPr>
              <w:t>(retribuzioni contrattuali di lavoratori dipendenti con un contratto collettivo nazionale di lavoro a tempo pieno)</w:t>
            </w:r>
          </w:p>
        </w:tc>
      </w:tr>
      <w:tr w:rsidR="00AC3A07" w:rsidRPr="002351E9" w14:paraId="24D4DD8F" w14:textId="77777777" w:rsidTr="00C52953">
        <w:tc>
          <w:tcPr>
            <w:tcW w:w="4820" w:type="dxa"/>
          </w:tcPr>
          <w:p w14:paraId="5FA700C1" w14:textId="77777777" w:rsidR="00AC3A07" w:rsidRPr="002351E9" w:rsidRDefault="00AC3A07" w:rsidP="00C52953">
            <w:pPr>
              <w:spacing w:before="60" w:after="60"/>
              <w:rPr>
                <w:rFonts w:asciiTheme="minorHAnsi" w:hAnsiTheme="minorHAnsi" w:cstheme="minorHAnsi"/>
                <w:sz w:val="22"/>
                <w:szCs w:val="22"/>
              </w:rPr>
            </w:pPr>
            <w:r w:rsidRPr="002351E9">
              <w:rPr>
                <w:rFonts w:asciiTheme="minorHAnsi" w:hAnsiTheme="minorHAnsi" w:cstheme="minorHAnsi"/>
                <w:noProof/>
                <w:sz w:val="22"/>
                <w:szCs w:val="22"/>
              </w:rPr>
              <w:drawing>
                <wp:inline distT="0" distB="0" distL="0" distR="0" wp14:anchorId="00A3F52B" wp14:editId="2D0114B7">
                  <wp:extent cx="2953593" cy="1599939"/>
                  <wp:effectExtent l="0" t="0" r="0" b="635"/>
                  <wp:docPr id="1892" name="Immagine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6195" cy="1601348"/>
                          </a:xfrm>
                          <a:prstGeom prst="rect">
                            <a:avLst/>
                          </a:prstGeom>
                          <a:noFill/>
                          <a:ln>
                            <a:noFill/>
                          </a:ln>
                        </pic:spPr>
                      </pic:pic>
                    </a:graphicData>
                  </a:graphic>
                </wp:inline>
              </w:drawing>
            </w:r>
          </w:p>
        </w:tc>
      </w:tr>
      <w:tr w:rsidR="00AC3A07" w:rsidRPr="002351E9" w14:paraId="7CB96902" w14:textId="77777777" w:rsidTr="00C52953">
        <w:tc>
          <w:tcPr>
            <w:tcW w:w="4820" w:type="dxa"/>
            <w:vAlign w:val="center"/>
          </w:tcPr>
          <w:p w14:paraId="15446A94" w14:textId="77777777" w:rsidR="00AC3A07" w:rsidRPr="005A03FC" w:rsidRDefault="00AC3A07" w:rsidP="00C52953">
            <w:pPr>
              <w:spacing w:before="60" w:after="120"/>
              <w:rPr>
                <w:rFonts w:ascii="Calibri" w:eastAsia="Calibri" w:hAnsi="Calibri"/>
                <w:b w:val="0"/>
                <w:bCs w:val="0"/>
                <w:caps w:val="0"/>
                <w:sz w:val="18"/>
                <w:szCs w:val="18"/>
                <w:lang w:eastAsia="en-US"/>
              </w:rPr>
            </w:pPr>
            <w:r w:rsidRPr="005A03FC">
              <w:rPr>
                <w:rFonts w:ascii="Calibri" w:eastAsia="Calibri" w:hAnsi="Calibri"/>
                <w:b w:val="0"/>
                <w:bCs w:val="0"/>
                <w:caps w:val="0"/>
                <w:sz w:val="18"/>
                <w:szCs w:val="18"/>
                <w:lang w:eastAsia="en-US"/>
              </w:rPr>
              <w:t>Fonte: elaborazioni Nomisma su dati ISTAT</w:t>
            </w:r>
          </w:p>
        </w:tc>
      </w:tr>
    </w:tbl>
    <w:p w14:paraId="6FFE693C" w14:textId="77777777" w:rsidR="00AC3A07" w:rsidRPr="002351E9" w:rsidRDefault="00AC3A07" w:rsidP="00AC3A07">
      <w:pPr>
        <w:rPr>
          <w:rFonts w:asciiTheme="minorHAnsi" w:hAnsiTheme="minorHAnsi" w:cstheme="minorHAnsi"/>
          <w:sz w:val="22"/>
          <w:szCs w:val="22"/>
        </w:rPr>
      </w:pPr>
      <w:r w:rsidRPr="002351E9">
        <w:rPr>
          <w:rFonts w:asciiTheme="minorHAnsi" w:hAnsiTheme="minorHAnsi" w:cstheme="minorHAnsi"/>
          <w:sz w:val="22"/>
          <w:szCs w:val="22"/>
        </w:rPr>
        <w:t xml:space="preserve">In tale scenario, la debolezza salariale che storicamente ci contraddistingue se, da un lato, ha rappresentato un fattore di alleggerimento della spinta rialzista sui prezzi, limitando la crescita dell’inflazione di fondo (calcolata al netto di beni energetici e alimentari freschi), dall’altra ha penalizzato la capacità di spesa della domanda interna. </w:t>
      </w:r>
    </w:p>
    <w:p w14:paraId="0E181836" w14:textId="1669FB89" w:rsidR="00AC3A07" w:rsidRPr="002351E9" w:rsidRDefault="00AC3A07" w:rsidP="00AC3A07">
      <w:pPr>
        <w:spacing w:before="120"/>
        <w:rPr>
          <w:rFonts w:asciiTheme="minorHAnsi" w:hAnsiTheme="minorHAnsi" w:cstheme="minorHAnsi"/>
          <w:sz w:val="22"/>
          <w:szCs w:val="22"/>
        </w:rPr>
      </w:pPr>
      <w:r w:rsidRPr="002351E9">
        <w:rPr>
          <w:rFonts w:asciiTheme="minorHAnsi" w:hAnsiTheme="minorHAnsi" w:cstheme="minorHAnsi"/>
          <w:sz w:val="22"/>
          <w:szCs w:val="22"/>
        </w:rPr>
        <w:t xml:space="preserve">È, tuttavia, evidente che il protrarsi dello shock esogeno a cui siamo sottoposti metta a dura prova le capacità di resistenza di un sistema economico appena ripresosi da una batosta di proporzioni eccezionali. La salvaguardia della nostra economia passa inevitabilmente da misure di coesione continentale, oltre che da reiterati sforzi di sterilizzazione delle fiammate di rincaro delle materie prime. </w:t>
      </w:r>
    </w:p>
    <w:p w14:paraId="4D659B5F" w14:textId="77777777" w:rsidR="00AC3A07" w:rsidRPr="002351E9" w:rsidRDefault="00AC3A07" w:rsidP="00AC3A07">
      <w:pPr>
        <w:spacing w:before="120"/>
        <w:rPr>
          <w:rFonts w:asciiTheme="minorHAnsi" w:hAnsiTheme="minorHAnsi" w:cstheme="minorHAnsi"/>
          <w:sz w:val="22"/>
          <w:szCs w:val="22"/>
        </w:rPr>
      </w:pPr>
      <w:r w:rsidRPr="002351E9">
        <w:rPr>
          <w:rFonts w:asciiTheme="minorHAnsi" w:hAnsiTheme="minorHAnsi" w:cstheme="minorHAnsi"/>
          <w:sz w:val="22"/>
          <w:szCs w:val="22"/>
        </w:rPr>
        <w:t xml:space="preserve">A complicare ulteriormente il quadro ha fin qui concorso la diversa esposizione di Europa e Stati Uniti alle vicende belliche, riconducibile non tanto a ragioni di sensibilità o geografiche, ma alla minore dipendenza dagli approvvigionamenti di materie prime di provenienza russa. Lo scenario sta tuttavia gradualmente mutando, con i rincari dei beni energetici che iniziano a indebolire l’economia americana, già alle prese con gli effetti di una politica monetaria fattasi più restrittiva per contenere gli effetti della vigoria della domanda interna e dell’eccesso di liquidità presente nel sistema. L’allineamento degli interessi economici occidentali rappresenta il presupposto per una decisa azione negoziale che consenta l’uscita dall’impasse e scongiuri il rischio del protrarsi del conflitto che finirebbe per favorire l’avveramento delle prospettive recessive. </w:t>
      </w:r>
    </w:p>
    <w:p w14:paraId="4E06577D" w14:textId="1980C321" w:rsidR="00750AAA" w:rsidRPr="002351E9" w:rsidRDefault="00AC3A07" w:rsidP="00AC3A07">
      <w:pPr>
        <w:spacing w:before="120"/>
        <w:rPr>
          <w:rFonts w:asciiTheme="minorHAnsi" w:hAnsiTheme="minorHAnsi" w:cstheme="minorHAnsi"/>
          <w:sz w:val="22"/>
          <w:szCs w:val="22"/>
        </w:rPr>
      </w:pPr>
      <w:r w:rsidRPr="002351E9">
        <w:rPr>
          <w:rFonts w:asciiTheme="minorHAnsi" w:hAnsiTheme="minorHAnsi" w:cstheme="minorHAnsi"/>
          <w:sz w:val="22"/>
          <w:szCs w:val="22"/>
        </w:rPr>
        <w:t xml:space="preserve">In attesa che maturino le condizioni per un cambio di strategia, la situazione si manterrà critica soprattutto per le economie, come la nostra, più ricattabili sul piano degli approvvigionamenti energetici. Alla luce del contesto, non deve stupire il peggioramento nella percezione delle famiglie, sia delle prospettive economiche del Paese che delle proprie condizioni finanziarie. Le conseguenze dell’inversione di rotta sono rinvenibili anche nella riduzione della capacità di risparmio, che ben sintetizza la divaricazione di possibilità tra le diverse fasce di reddito, con una sparuta minoranza che ha visto migliorare il tenore di vita, mentre la stragrande maggioranza lo ha visto peggiorare. </w:t>
      </w:r>
    </w:p>
    <w:p w14:paraId="7BCA7B43" w14:textId="77777777" w:rsidR="00750AAA" w:rsidRPr="002351E9" w:rsidRDefault="00750AAA">
      <w:pPr>
        <w:spacing w:after="200" w:line="276" w:lineRule="auto"/>
        <w:jc w:val="left"/>
        <w:rPr>
          <w:rFonts w:asciiTheme="minorHAnsi" w:hAnsiTheme="minorHAnsi" w:cstheme="minorHAnsi"/>
          <w:sz w:val="22"/>
          <w:szCs w:val="22"/>
        </w:rPr>
      </w:pPr>
      <w:r w:rsidRPr="002351E9">
        <w:rPr>
          <w:rFonts w:asciiTheme="minorHAnsi" w:hAnsiTheme="minorHAnsi" w:cstheme="minorHAnsi"/>
          <w:sz w:val="22"/>
          <w:szCs w:val="22"/>
        </w:rPr>
        <w:br w:type="page"/>
      </w:r>
    </w:p>
    <w:p w14:paraId="0FB7CEAF" w14:textId="77777777" w:rsidR="00AC3A07" w:rsidRPr="002351E9" w:rsidRDefault="00AC3A07" w:rsidP="00AC3A07">
      <w:pPr>
        <w:spacing w:before="120"/>
        <w:rPr>
          <w:rFonts w:asciiTheme="minorHAnsi" w:hAnsiTheme="minorHAnsi" w:cstheme="minorHAnsi"/>
          <w:sz w:val="22"/>
          <w:szCs w:val="22"/>
        </w:rPr>
      </w:pPr>
    </w:p>
    <w:tbl>
      <w:tblPr>
        <w:tblStyle w:val="Grigliatabel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tblGrid>
      <w:tr w:rsidR="00AC3A07" w:rsidRPr="002351E9" w14:paraId="64589FE9" w14:textId="77777777" w:rsidTr="00C52953">
        <w:tc>
          <w:tcPr>
            <w:tcW w:w="5387" w:type="dxa"/>
          </w:tcPr>
          <w:p w14:paraId="6457374A" w14:textId="77777777" w:rsidR="00AC3A07" w:rsidRPr="005A03FC" w:rsidRDefault="00AC3A07" w:rsidP="00C52953">
            <w:pPr>
              <w:spacing w:before="120"/>
              <w:rPr>
                <w:rFonts w:ascii="Calibri" w:eastAsia="Calibri" w:hAnsi="Calibri" w:cs="Calibri"/>
                <w:bCs w:val="0"/>
                <w:caps w:val="0"/>
                <w:color w:val="2E74B5"/>
                <w:sz w:val="20"/>
                <w:szCs w:val="22"/>
                <w:lang w:eastAsia="en-US"/>
              </w:rPr>
            </w:pPr>
            <w:r w:rsidRPr="005A03FC">
              <w:rPr>
                <w:rFonts w:ascii="Calibri" w:eastAsia="Calibri" w:hAnsi="Calibri" w:cs="Calibri"/>
                <w:bCs w:val="0"/>
                <w:caps w:val="0"/>
                <w:color w:val="2E74B5"/>
                <w:sz w:val="20"/>
                <w:szCs w:val="22"/>
                <w:lang w:eastAsia="en-US"/>
              </w:rPr>
              <w:t>Figura 2</w:t>
            </w:r>
          </w:p>
          <w:p w14:paraId="00F10CC5" w14:textId="77777777" w:rsidR="00AC3A07" w:rsidRPr="005A03FC" w:rsidRDefault="00AC3A07" w:rsidP="00C52953">
            <w:pPr>
              <w:rPr>
                <w:rFonts w:ascii="Calibri" w:eastAsia="Calibri" w:hAnsi="Calibri" w:cs="Calibri"/>
                <w:bCs w:val="0"/>
                <w:caps w:val="0"/>
                <w:color w:val="2E74B5"/>
                <w:sz w:val="20"/>
                <w:szCs w:val="22"/>
                <w:lang w:eastAsia="en-US"/>
              </w:rPr>
            </w:pPr>
            <w:r w:rsidRPr="005A03FC">
              <w:rPr>
                <w:rFonts w:ascii="Calibri" w:eastAsia="Calibri" w:hAnsi="Calibri" w:cs="Calibri"/>
                <w:bCs w:val="0"/>
                <w:caps w:val="0"/>
                <w:color w:val="2E74B5"/>
                <w:sz w:val="20"/>
                <w:szCs w:val="22"/>
                <w:lang w:eastAsia="en-US"/>
              </w:rPr>
              <w:t>Evoluzione del clima di fiducia di consumatori e imprese</w:t>
            </w:r>
          </w:p>
          <w:p w14:paraId="3A8390D9" w14:textId="77777777" w:rsidR="00AC3A07" w:rsidRPr="005A03FC" w:rsidRDefault="00AC3A07" w:rsidP="00C52953">
            <w:pPr>
              <w:spacing w:after="60"/>
              <w:rPr>
                <w:rFonts w:asciiTheme="minorHAnsi" w:hAnsiTheme="minorHAnsi" w:cstheme="minorHAnsi"/>
                <w:b w:val="0"/>
                <w:sz w:val="22"/>
                <w:szCs w:val="22"/>
              </w:rPr>
            </w:pPr>
            <w:r w:rsidRPr="005A03FC">
              <w:rPr>
                <w:rFonts w:ascii="Calibri" w:eastAsia="Calibri" w:hAnsi="Calibri" w:cs="Calibri"/>
                <w:b w:val="0"/>
                <w:caps w:val="0"/>
                <w:color w:val="2E74B5"/>
                <w:sz w:val="20"/>
                <w:szCs w:val="22"/>
                <w:lang w:eastAsia="en-US"/>
              </w:rPr>
              <w:t>(Numeri indice 2010 = 100)</w:t>
            </w:r>
          </w:p>
        </w:tc>
      </w:tr>
      <w:tr w:rsidR="00AC3A07" w:rsidRPr="002351E9" w14:paraId="6C46FDAC" w14:textId="77777777" w:rsidTr="00C52953">
        <w:tc>
          <w:tcPr>
            <w:tcW w:w="5387" w:type="dxa"/>
          </w:tcPr>
          <w:p w14:paraId="36FB9319" w14:textId="77777777" w:rsidR="00AC3A07" w:rsidRPr="002351E9" w:rsidRDefault="00AC3A07" w:rsidP="00C52953">
            <w:pPr>
              <w:spacing w:before="60" w:after="60"/>
              <w:rPr>
                <w:rFonts w:asciiTheme="minorHAnsi" w:hAnsiTheme="minorHAnsi" w:cstheme="minorHAnsi"/>
                <w:sz w:val="22"/>
                <w:szCs w:val="22"/>
              </w:rPr>
            </w:pPr>
            <w:r w:rsidRPr="002351E9">
              <w:rPr>
                <w:rFonts w:asciiTheme="minorHAnsi" w:hAnsiTheme="minorHAnsi" w:cstheme="minorHAnsi"/>
                <w:noProof/>
                <w:sz w:val="22"/>
                <w:szCs w:val="22"/>
              </w:rPr>
              <w:drawing>
                <wp:inline distT="0" distB="0" distL="0" distR="0" wp14:anchorId="1D847CC3" wp14:editId="7EB3005E">
                  <wp:extent cx="3276600" cy="17430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6600" cy="1743075"/>
                          </a:xfrm>
                          <a:prstGeom prst="rect">
                            <a:avLst/>
                          </a:prstGeom>
                          <a:noFill/>
                          <a:ln>
                            <a:noFill/>
                          </a:ln>
                        </pic:spPr>
                      </pic:pic>
                    </a:graphicData>
                  </a:graphic>
                </wp:inline>
              </w:drawing>
            </w:r>
          </w:p>
        </w:tc>
      </w:tr>
      <w:tr w:rsidR="00AC3A07" w:rsidRPr="002351E9" w14:paraId="65585073" w14:textId="77777777" w:rsidTr="00C52953">
        <w:tc>
          <w:tcPr>
            <w:tcW w:w="5387" w:type="dxa"/>
          </w:tcPr>
          <w:p w14:paraId="7A7E9648" w14:textId="77777777" w:rsidR="00AC3A07" w:rsidRPr="002351E9" w:rsidRDefault="00AC3A07" w:rsidP="00C52953">
            <w:pPr>
              <w:spacing w:before="60" w:after="120"/>
              <w:rPr>
                <w:rFonts w:asciiTheme="minorHAnsi" w:hAnsiTheme="minorHAnsi" w:cstheme="minorHAnsi"/>
                <w:noProof/>
                <w:sz w:val="22"/>
                <w:szCs w:val="22"/>
              </w:rPr>
            </w:pPr>
            <w:r w:rsidRPr="005A03FC">
              <w:rPr>
                <w:rFonts w:ascii="Calibri" w:eastAsia="Calibri" w:hAnsi="Calibri"/>
                <w:b w:val="0"/>
                <w:bCs w:val="0"/>
                <w:caps w:val="0"/>
                <w:sz w:val="18"/>
                <w:szCs w:val="18"/>
                <w:lang w:eastAsia="en-US"/>
              </w:rPr>
              <w:t>Fonte: elaborazioni Nomisma su dati ISTAT</w:t>
            </w:r>
          </w:p>
        </w:tc>
      </w:tr>
    </w:tbl>
    <w:p w14:paraId="08133535" w14:textId="41A4A971" w:rsidR="00AC3A07" w:rsidRPr="002351E9" w:rsidRDefault="00AC3A07" w:rsidP="00AC3A07">
      <w:pPr>
        <w:spacing w:before="120" w:after="120"/>
        <w:rPr>
          <w:rFonts w:asciiTheme="minorHAnsi" w:hAnsiTheme="minorHAnsi" w:cstheme="minorHAnsi"/>
          <w:sz w:val="22"/>
          <w:szCs w:val="22"/>
        </w:rPr>
      </w:pPr>
      <w:r w:rsidRPr="002351E9">
        <w:rPr>
          <w:rFonts w:asciiTheme="minorHAnsi" w:hAnsiTheme="minorHAnsi" w:cstheme="minorHAnsi"/>
          <w:sz w:val="22"/>
          <w:szCs w:val="22"/>
        </w:rPr>
        <w:t>In uno scenario così problematico</w:t>
      </w:r>
      <w:r w:rsidR="000D5256">
        <w:rPr>
          <w:rFonts w:asciiTheme="minorHAnsi" w:hAnsiTheme="minorHAnsi" w:cstheme="minorHAnsi"/>
          <w:sz w:val="22"/>
          <w:szCs w:val="22"/>
        </w:rPr>
        <w:t xml:space="preserve">, </w:t>
      </w:r>
      <w:r w:rsidRPr="002351E9">
        <w:rPr>
          <w:rFonts w:asciiTheme="minorHAnsi" w:hAnsiTheme="minorHAnsi" w:cstheme="minorHAnsi"/>
          <w:sz w:val="22"/>
          <w:szCs w:val="22"/>
        </w:rPr>
        <w:t xml:space="preserve">le famiglie italiane hanno una volta di più individuato nella casa l’oggetto delle proprie attenzioni. Si tratta di un interesse che molto spesso esula da valutazioni di carattere congiunturale, prendendo le mosse più dall’esigenza di miglioramento della condizione abitativa che non dalla ricerca di ritorno finanziario. Non stupisce al proposito l’esiguità della componente di investimento sul totale delle intenzioni di acquisto, a conferma di una connotazione tutt’altro che speculativa della domanda attualmente presente sul mercato o di imminente attivazione. La casa assume il significato di strumento di gratificazione dopo angustie pandemiche e inquietudini belliche, più che di rifugio della ricchezza per salvaguardarne il potere di acquisto. </w:t>
      </w:r>
    </w:p>
    <w:tbl>
      <w:tblPr>
        <w:tblStyle w:val="Grigliatabel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C3A07" w:rsidRPr="002351E9" w14:paraId="0B2B91DD" w14:textId="77777777" w:rsidTr="00C52953">
        <w:tc>
          <w:tcPr>
            <w:tcW w:w="5387" w:type="dxa"/>
          </w:tcPr>
          <w:p w14:paraId="63ECD52B" w14:textId="77777777" w:rsidR="00AC3A07" w:rsidRPr="005A03FC" w:rsidRDefault="00AC3A07" w:rsidP="005A03FC">
            <w:pPr>
              <w:spacing w:before="120"/>
              <w:rPr>
                <w:rFonts w:ascii="Calibri" w:eastAsia="Calibri" w:hAnsi="Calibri" w:cs="Calibri"/>
                <w:bCs w:val="0"/>
                <w:caps w:val="0"/>
                <w:color w:val="2E74B5"/>
                <w:sz w:val="20"/>
                <w:szCs w:val="22"/>
                <w:lang w:eastAsia="en-US"/>
              </w:rPr>
            </w:pPr>
            <w:r w:rsidRPr="005A03FC">
              <w:rPr>
                <w:rFonts w:ascii="Calibri" w:eastAsia="Calibri" w:hAnsi="Calibri" w:cs="Calibri"/>
                <w:bCs w:val="0"/>
                <w:caps w:val="0"/>
                <w:color w:val="2E74B5"/>
                <w:sz w:val="20"/>
                <w:szCs w:val="22"/>
                <w:lang w:eastAsia="en-US"/>
              </w:rPr>
              <w:t>Figura 3</w:t>
            </w:r>
          </w:p>
          <w:p w14:paraId="0FBAC531" w14:textId="77777777" w:rsidR="00AC3A07" w:rsidRPr="002351E9" w:rsidRDefault="00AC3A07" w:rsidP="00C52953">
            <w:pPr>
              <w:spacing w:after="60"/>
              <w:rPr>
                <w:rFonts w:asciiTheme="minorHAnsi" w:hAnsiTheme="minorHAnsi" w:cstheme="minorHAnsi"/>
                <w:sz w:val="22"/>
                <w:szCs w:val="22"/>
              </w:rPr>
            </w:pPr>
            <w:r w:rsidRPr="005A03FC">
              <w:rPr>
                <w:rFonts w:ascii="Calibri" w:eastAsia="Calibri" w:hAnsi="Calibri" w:cs="Calibri"/>
                <w:bCs w:val="0"/>
                <w:caps w:val="0"/>
                <w:color w:val="2E74B5"/>
                <w:sz w:val="20"/>
                <w:szCs w:val="22"/>
                <w:lang w:eastAsia="en-US"/>
              </w:rPr>
              <w:t xml:space="preserve">Utilizzo dell’abitazione che si intende acquistare nei prossimi 12 mesi </w:t>
            </w:r>
            <w:r w:rsidRPr="005A03FC">
              <w:rPr>
                <w:rFonts w:ascii="Calibri" w:eastAsia="Calibri" w:hAnsi="Calibri" w:cs="Calibri"/>
                <w:b w:val="0"/>
                <w:caps w:val="0"/>
                <w:color w:val="2E74B5"/>
                <w:sz w:val="20"/>
                <w:szCs w:val="22"/>
                <w:lang w:eastAsia="en-US"/>
              </w:rPr>
              <w:t>(% sul totale famiglie che intendono acquistare casa)</w:t>
            </w:r>
          </w:p>
        </w:tc>
      </w:tr>
      <w:tr w:rsidR="00AC3A07" w:rsidRPr="002351E9" w14:paraId="69302CD1" w14:textId="77777777" w:rsidTr="00C52953">
        <w:tblPrEx>
          <w:tblCellMar>
            <w:left w:w="70" w:type="dxa"/>
            <w:right w:w="70" w:type="dxa"/>
          </w:tblCellMar>
        </w:tblPrEx>
        <w:tc>
          <w:tcPr>
            <w:tcW w:w="5387" w:type="dxa"/>
            <w:vAlign w:val="center"/>
          </w:tcPr>
          <w:p w14:paraId="21879371" w14:textId="77777777" w:rsidR="00AC3A07" w:rsidRPr="002351E9" w:rsidRDefault="00AC3A07" w:rsidP="00C52953">
            <w:pPr>
              <w:spacing w:before="60"/>
              <w:rPr>
                <w:rFonts w:asciiTheme="minorHAnsi" w:hAnsiTheme="minorHAnsi" w:cstheme="minorHAnsi"/>
                <w:sz w:val="22"/>
                <w:szCs w:val="22"/>
              </w:rPr>
            </w:pPr>
            <w:r w:rsidRPr="002351E9">
              <w:rPr>
                <w:rFonts w:asciiTheme="minorHAnsi" w:hAnsiTheme="minorHAnsi" w:cstheme="minorHAnsi"/>
                <w:noProof/>
                <w:sz w:val="22"/>
                <w:szCs w:val="22"/>
              </w:rPr>
              <w:drawing>
                <wp:inline distT="0" distB="0" distL="0" distR="0" wp14:anchorId="34220F32" wp14:editId="19ADC8C2">
                  <wp:extent cx="3124200" cy="1752600"/>
                  <wp:effectExtent l="0" t="0" r="0" b="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4200" cy="1752600"/>
                          </a:xfrm>
                          <a:prstGeom prst="rect">
                            <a:avLst/>
                          </a:prstGeom>
                          <a:noFill/>
                          <a:ln>
                            <a:noFill/>
                          </a:ln>
                        </pic:spPr>
                      </pic:pic>
                    </a:graphicData>
                  </a:graphic>
                </wp:inline>
              </w:drawing>
            </w:r>
          </w:p>
        </w:tc>
      </w:tr>
      <w:tr w:rsidR="00AC3A07" w:rsidRPr="002351E9" w14:paraId="05DA8560" w14:textId="77777777" w:rsidTr="00C52953">
        <w:tc>
          <w:tcPr>
            <w:tcW w:w="5387" w:type="dxa"/>
          </w:tcPr>
          <w:p w14:paraId="783434CD" w14:textId="77777777" w:rsidR="00AC3A07" w:rsidRPr="002351E9" w:rsidRDefault="00AC3A07" w:rsidP="00C52953">
            <w:pPr>
              <w:spacing w:before="60" w:after="120"/>
              <w:rPr>
                <w:rFonts w:asciiTheme="minorHAnsi" w:hAnsiTheme="minorHAnsi" w:cstheme="minorHAnsi"/>
                <w:sz w:val="22"/>
                <w:szCs w:val="22"/>
              </w:rPr>
            </w:pPr>
            <w:r w:rsidRPr="005A03FC">
              <w:rPr>
                <w:rFonts w:ascii="Calibri" w:eastAsia="Calibri" w:hAnsi="Calibri"/>
                <w:b w:val="0"/>
                <w:bCs w:val="0"/>
                <w:caps w:val="0"/>
                <w:sz w:val="18"/>
                <w:szCs w:val="18"/>
                <w:lang w:eastAsia="en-US"/>
              </w:rPr>
              <w:t>Fonte: indagine Nomisma sulle famiglie, anni vari</w:t>
            </w:r>
          </w:p>
        </w:tc>
      </w:tr>
    </w:tbl>
    <w:p w14:paraId="2B3B72BE" w14:textId="77777777" w:rsidR="00AC3A07" w:rsidRPr="002351E9" w:rsidRDefault="00AC3A07" w:rsidP="00AC3A07">
      <w:pPr>
        <w:rPr>
          <w:rFonts w:asciiTheme="minorHAnsi" w:hAnsiTheme="minorHAnsi" w:cstheme="minorHAnsi"/>
          <w:sz w:val="22"/>
          <w:szCs w:val="22"/>
        </w:rPr>
      </w:pPr>
      <w:r w:rsidRPr="002351E9">
        <w:rPr>
          <w:rFonts w:asciiTheme="minorHAnsi" w:hAnsiTheme="minorHAnsi" w:cstheme="minorHAnsi"/>
          <w:sz w:val="22"/>
          <w:szCs w:val="22"/>
        </w:rPr>
        <w:t xml:space="preserve">Ad alimentare il mercato residenziale è, dunque, la ricerca di un salto di qualità in termini di efficienza energetica, dotazioni accessorie (spazi verdi e altri comfort), prossimità ai servizi essenziali e distribuzione degli ambienti interni, in risposta alle inadeguatezze riscontrate in occasione delle forzose permanenze domestiche degli scorsi mesi. Si tratta di fenomeni destinati a non esaurirsi, a prescindere dall’evoluzione virale, conferendo alle dinamiche in atto tratti di robustezza e solidità, che solo la carenza di offerta e la selettività degli istituti di credito potrebbero scalfire. Se, infatti, la domanda immobiliare delle famiglie si dimostra poco sensibile alle evoluzioni macroeconomiche, l’ormai strutturale mancanza di prodotto da una parte, nonché il graduale irrigidimento dei criteri per la concessione dei finanziamenti dall’altra, possono contribuire ad arginarne l’esuberanza. </w:t>
      </w:r>
    </w:p>
    <w:p w14:paraId="22ADA5B6" w14:textId="449E2B78" w:rsidR="00AC3A07" w:rsidRDefault="00AC3A07" w:rsidP="00AC3A07">
      <w:pPr>
        <w:spacing w:before="120" w:after="240"/>
        <w:rPr>
          <w:rFonts w:asciiTheme="minorHAnsi" w:hAnsiTheme="minorHAnsi" w:cstheme="minorHAnsi"/>
          <w:sz w:val="22"/>
          <w:szCs w:val="22"/>
        </w:rPr>
      </w:pPr>
      <w:bookmarkStart w:id="0" w:name="_Hlk107394144"/>
      <w:r w:rsidRPr="002351E9">
        <w:rPr>
          <w:rFonts w:asciiTheme="minorHAnsi" w:hAnsiTheme="minorHAnsi" w:cstheme="minorHAnsi"/>
          <w:sz w:val="22"/>
          <w:szCs w:val="22"/>
        </w:rPr>
        <w:t xml:space="preserve">Se sul primo fronte si tratta della conseguenza tutt’altro che inaspettata della mancata attivazione dei processi edilizi degli scorsi anni, sul secondo le novità sono più recenti e non meno prevedibili. Il deterioramento delle prospettive economiche ha, infatti, riproposto all’attenzione delle banche il tema della rischiosità del credito. Sebbene i tassi di ingresso in sofferenza si attestino tuttora su valori assai contenuti, la preoccupazione sulla solvibilità futura di mutuatari, la cui condizione lavorativa potrebbe presto diventare meno solida, pare destinata a crescere. La portata del sostegno bancario, che rappresenta un fattore abilitante per una quota significativa della domanda, potrebbe pertanto ridursi, con conseguenti riflessi sull’attività transattiva che, almeno per quest’anno, è comunque destinata a mantenersi su livelli elevati. </w:t>
      </w:r>
    </w:p>
    <w:p w14:paraId="02F68080" w14:textId="77777777" w:rsidR="005A03FC" w:rsidRPr="002351E9" w:rsidRDefault="005A03FC" w:rsidP="00AC3A07">
      <w:pPr>
        <w:spacing w:before="120" w:after="240"/>
        <w:rPr>
          <w:rFonts w:asciiTheme="minorHAnsi" w:hAnsiTheme="minorHAnsi" w:cstheme="minorHAnsi"/>
          <w:sz w:val="22"/>
          <w:szCs w:val="22"/>
        </w:rPr>
      </w:pPr>
    </w:p>
    <w:tbl>
      <w:tblPr>
        <w:tblStyle w:val="Grigliatabella"/>
        <w:tblpPr w:leftFromText="142" w:rightFromText="34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tblGrid>
      <w:tr w:rsidR="00AC3A07" w:rsidRPr="002351E9" w14:paraId="4A28C543" w14:textId="77777777" w:rsidTr="00C52953">
        <w:tc>
          <w:tcPr>
            <w:tcW w:w="4815" w:type="dxa"/>
          </w:tcPr>
          <w:p w14:paraId="7ABB03EA" w14:textId="77777777" w:rsidR="00AC3A07" w:rsidRPr="005A03FC" w:rsidRDefault="00AC3A07" w:rsidP="005A03FC">
            <w:pPr>
              <w:rPr>
                <w:rFonts w:ascii="Calibri" w:eastAsia="Calibri" w:hAnsi="Calibri" w:cs="Calibri"/>
                <w:bCs w:val="0"/>
                <w:caps w:val="0"/>
                <w:color w:val="2E74B5"/>
                <w:sz w:val="20"/>
                <w:szCs w:val="22"/>
                <w:lang w:eastAsia="en-US"/>
              </w:rPr>
            </w:pPr>
            <w:r w:rsidRPr="005A03FC">
              <w:rPr>
                <w:rFonts w:ascii="Calibri" w:eastAsia="Calibri" w:hAnsi="Calibri" w:cs="Calibri"/>
                <w:bCs w:val="0"/>
                <w:caps w:val="0"/>
                <w:color w:val="2E74B5"/>
                <w:sz w:val="20"/>
                <w:szCs w:val="22"/>
                <w:lang w:eastAsia="en-US"/>
              </w:rPr>
              <w:t>Figura 4</w:t>
            </w:r>
          </w:p>
          <w:p w14:paraId="73922F2D" w14:textId="77777777" w:rsidR="00AC3A07" w:rsidRPr="005A03FC" w:rsidRDefault="00AC3A07" w:rsidP="005A03FC">
            <w:pPr>
              <w:rPr>
                <w:rFonts w:ascii="Calibri" w:eastAsia="Calibri" w:hAnsi="Calibri" w:cs="Calibri"/>
                <w:bCs w:val="0"/>
                <w:caps w:val="0"/>
                <w:color w:val="2E74B5"/>
                <w:sz w:val="20"/>
                <w:szCs w:val="22"/>
                <w:lang w:eastAsia="en-US"/>
              </w:rPr>
            </w:pPr>
            <w:r w:rsidRPr="005A03FC">
              <w:rPr>
                <w:rFonts w:ascii="Calibri" w:eastAsia="Calibri" w:hAnsi="Calibri" w:cs="Calibri"/>
                <w:bCs w:val="0"/>
                <w:caps w:val="0"/>
                <w:color w:val="2E74B5"/>
                <w:sz w:val="20"/>
                <w:szCs w:val="22"/>
                <w:lang w:eastAsia="en-US"/>
              </w:rPr>
              <w:t xml:space="preserve">Erogazioni di mutui alle famiglie per l’acquisto </w:t>
            </w:r>
            <w:r w:rsidRPr="005A03FC">
              <w:rPr>
                <w:rFonts w:ascii="Calibri" w:eastAsia="Calibri" w:hAnsi="Calibri" w:cs="Calibri"/>
                <w:bCs w:val="0"/>
                <w:caps w:val="0"/>
                <w:color w:val="2E74B5"/>
                <w:sz w:val="20"/>
                <w:szCs w:val="22"/>
                <w:lang w:eastAsia="en-US"/>
              </w:rPr>
              <w:br/>
              <w:t xml:space="preserve">di abitazioni e previsioni 2022-2024 </w:t>
            </w:r>
            <w:r w:rsidRPr="005A03FC">
              <w:rPr>
                <w:rFonts w:ascii="Calibri" w:eastAsia="Calibri" w:hAnsi="Calibri" w:cs="Calibri"/>
                <w:bCs w:val="0"/>
                <w:caps w:val="0"/>
                <w:color w:val="2E74B5"/>
                <w:sz w:val="20"/>
                <w:szCs w:val="22"/>
                <w:lang w:eastAsia="en-US"/>
              </w:rPr>
              <w:br/>
            </w:r>
            <w:r w:rsidRPr="005A03FC">
              <w:rPr>
                <w:rFonts w:ascii="Calibri" w:eastAsia="Calibri" w:hAnsi="Calibri" w:cs="Calibri"/>
                <w:b w:val="0"/>
                <w:caps w:val="0"/>
                <w:color w:val="2E74B5"/>
                <w:sz w:val="20"/>
                <w:szCs w:val="22"/>
                <w:lang w:eastAsia="en-US"/>
              </w:rPr>
              <w:t>(dati annuali; miliardi di euro)</w:t>
            </w:r>
          </w:p>
        </w:tc>
      </w:tr>
      <w:tr w:rsidR="00AC3A07" w:rsidRPr="002351E9" w14:paraId="26B03762" w14:textId="77777777" w:rsidTr="00C52953">
        <w:tc>
          <w:tcPr>
            <w:tcW w:w="4815" w:type="dxa"/>
          </w:tcPr>
          <w:p w14:paraId="1924752E" w14:textId="77777777" w:rsidR="00AC3A07" w:rsidRPr="002351E9" w:rsidRDefault="00AC3A07" w:rsidP="00C52953">
            <w:pPr>
              <w:spacing w:before="60" w:after="60"/>
              <w:rPr>
                <w:rFonts w:asciiTheme="minorHAnsi" w:hAnsiTheme="minorHAnsi" w:cstheme="minorHAnsi"/>
                <w:sz w:val="22"/>
                <w:szCs w:val="22"/>
              </w:rPr>
            </w:pPr>
            <w:r w:rsidRPr="002351E9">
              <w:rPr>
                <w:rFonts w:asciiTheme="minorHAnsi" w:hAnsiTheme="minorHAnsi" w:cstheme="minorHAnsi"/>
                <w:noProof/>
                <w:sz w:val="22"/>
                <w:szCs w:val="22"/>
              </w:rPr>
              <w:drawing>
                <wp:inline distT="0" distB="0" distL="0" distR="0" wp14:anchorId="3AFB7AEA" wp14:editId="5CA744F0">
                  <wp:extent cx="3067050" cy="171450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7050" cy="1714500"/>
                          </a:xfrm>
                          <a:prstGeom prst="rect">
                            <a:avLst/>
                          </a:prstGeom>
                          <a:noFill/>
                          <a:ln>
                            <a:noFill/>
                          </a:ln>
                        </pic:spPr>
                      </pic:pic>
                    </a:graphicData>
                  </a:graphic>
                </wp:inline>
              </w:drawing>
            </w:r>
          </w:p>
        </w:tc>
      </w:tr>
      <w:tr w:rsidR="00AC3A07" w:rsidRPr="002351E9" w14:paraId="5EFD7B40" w14:textId="77777777" w:rsidTr="00C52953">
        <w:tc>
          <w:tcPr>
            <w:tcW w:w="4815" w:type="dxa"/>
          </w:tcPr>
          <w:p w14:paraId="514983FE" w14:textId="77777777" w:rsidR="00AC3A07" w:rsidRPr="005A03FC" w:rsidRDefault="00AC3A07" w:rsidP="00C52953">
            <w:pPr>
              <w:spacing w:before="60"/>
              <w:rPr>
                <w:rFonts w:ascii="Calibri" w:eastAsia="Calibri" w:hAnsi="Calibri"/>
                <w:b w:val="0"/>
                <w:bCs w:val="0"/>
                <w:caps w:val="0"/>
                <w:sz w:val="18"/>
                <w:szCs w:val="18"/>
                <w:lang w:eastAsia="en-US"/>
              </w:rPr>
            </w:pPr>
            <w:r w:rsidRPr="005A03FC">
              <w:rPr>
                <w:rFonts w:ascii="Calibri" w:eastAsia="Calibri" w:hAnsi="Calibri"/>
                <w:b w:val="0"/>
                <w:bCs w:val="0"/>
                <w:caps w:val="0"/>
                <w:sz w:val="18"/>
                <w:szCs w:val="18"/>
                <w:lang w:eastAsia="en-US"/>
              </w:rPr>
              <w:t>* Previsioni Nomisma.</w:t>
            </w:r>
          </w:p>
          <w:p w14:paraId="0C597581" w14:textId="77777777" w:rsidR="00AC3A07" w:rsidRPr="002351E9" w:rsidRDefault="00AC3A07" w:rsidP="00C52953">
            <w:pPr>
              <w:spacing w:before="60" w:after="120"/>
              <w:rPr>
                <w:rFonts w:asciiTheme="minorHAnsi" w:hAnsiTheme="minorHAnsi" w:cstheme="minorHAnsi"/>
                <w:sz w:val="22"/>
                <w:szCs w:val="22"/>
              </w:rPr>
            </w:pPr>
            <w:r w:rsidRPr="005A03FC">
              <w:rPr>
                <w:rFonts w:ascii="Calibri" w:eastAsia="Calibri" w:hAnsi="Calibri"/>
                <w:b w:val="0"/>
                <w:bCs w:val="0"/>
                <w:caps w:val="0"/>
                <w:sz w:val="18"/>
                <w:szCs w:val="18"/>
                <w:lang w:eastAsia="en-US"/>
              </w:rPr>
              <w:t>Fonte: elaborazioni Nomisma su dati Banca d’Italia</w:t>
            </w:r>
          </w:p>
        </w:tc>
      </w:tr>
    </w:tbl>
    <w:p w14:paraId="3D6E3897" w14:textId="29E6FBD4" w:rsidR="00AC3A07" w:rsidRDefault="00AC3A07" w:rsidP="00AC3A07">
      <w:pPr>
        <w:spacing w:before="120"/>
        <w:rPr>
          <w:rFonts w:asciiTheme="minorHAnsi" w:hAnsiTheme="minorHAnsi" w:cstheme="minorHAnsi"/>
          <w:sz w:val="22"/>
          <w:szCs w:val="22"/>
        </w:rPr>
      </w:pPr>
      <w:r w:rsidRPr="002351E9">
        <w:rPr>
          <w:rFonts w:asciiTheme="minorHAnsi" w:hAnsiTheme="minorHAnsi" w:cstheme="minorHAnsi"/>
          <w:sz w:val="22"/>
          <w:szCs w:val="22"/>
        </w:rPr>
        <w:t xml:space="preserve">È, dunque, attraverso il canale creditizio che il rallentamento congiunturale si insinua nelle dinamiche di settore, riducendone il potenziale di attivazione. Si tratta di dinamiche non ancora evidenti nelle statistiche relative alla prima parte del 2022, che beneficiano dello slancio espansivo scaturito dal venir meno delle limitazioni pandemiche. All’incremento delle transazioni (+12% su base tendenziale), ha fatto riscontro il più marcato incremento semestrale dei prezzi delle abitazioni degli ultimi 15 anni (+2,1%), a conferma dell’intensità della crescita in atto. </w:t>
      </w:r>
    </w:p>
    <w:p w14:paraId="1F79B823" w14:textId="77777777" w:rsidR="00AC3A07" w:rsidRPr="002351E9" w:rsidRDefault="00AC3A07" w:rsidP="00AC3A07">
      <w:pPr>
        <w:spacing w:before="120"/>
        <w:rPr>
          <w:rFonts w:asciiTheme="minorHAnsi" w:hAnsiTheme="minorHAnsi" w:cstheme="minorHAnsi"/>
          <w:sz w:val="22"/>
          <w:szCs w:val="22"/>
        </w:rPr>
      </w:pPr>
      <w:r w:rsidRPr="002351E9">
        <w:rPr>
          <w:rFonts w:asciiTheme="minorHAnsi" w:hAnsiTheme="minorHAnsi" w:cstheme="minorHAnsi"/>
          <w:sz w:val="22"/>
          <w:szCs w:val="22"/>
        </w:rPr>
        <w:t xml:space="preserve">Le prime conseguenze del mutato atteggiamento bancario inizieranno a manifestarsi nella seconda parte dell’anno, con una progressiva riduzione dei tassi di crescita, destinata a sfociare in un’inversione di tendenza nel 2023, quando le compravendite torneranno sui livelli </w:t>
      </w:r>
      <w:proofErr w:type="spellStart"/>
      <w:r w:rsidRPr="002351E9">
        <w:rPr>
          <w:rFonts w:asciiTheme="minorHAnsi" w:hAnsiTheme="minorHAnsi" w:cstheme="minorHAnsi"/>
          <w:sz w:val="22"/>
          <w:szCs w:val="22"/>
        </w:rPr>
        <w:t>pre</w:t>
      </w:r>
      <w:proofErr w:type="spellEnd"/>
      <w:r w:rsidRPr="002351E9">
        <w:rPr>
          <w:rFonts w:asciiTheme="minorHAnsi" w:hAnsiTheme="minorHAnsi" w:cstheme="minorHAnsi"/>
          <w:sz w:val="22"/>
          <w:szCs w:val="22"/>
        </w:rPr>
        <w:t xml:space="preserve">-Covid e i prezzi faticheranno a tenere il passo dell’inflazione. Il ridimensionamento sarà invero modesto, per effetto di un bacino di interesse potenziale che, seppure più fragile economicamente e meno supportato finanziariamente, rimane straordinariamente rilevante. </w:t>
      </w:r>
    </w:p>
    <w:bookmarkEnd w:id="0"/>
    <w:p w14:paraId="34000A9D" w14:textId="16C39D7F" w:rsidR="00AC3A07" w:rsidRPr="002351E9" w:rsidRDefault="00AC3A07" w:rsidP="00AC3A07">
      <w:pPr>
        <w:spacing w:before="120"/>
        <w:rPr>
          <w:rFonts w:asciiTheme="minorHAnsi" w:hAnsiTheme="minorHAnsi" w:cstheme="minorHAnsi"/>
          <w:sz w:val="22"/>
          <w:szCs w:val="22"/>
        </w:rPr>
      </w:pPr>
      <w:r w:rsidRPr="002351E9">
        <w:rPr>
          <w:rFonts w:asciiTheme="minorHAnsi" w:hAnsiTheme="minorHAnsi" w:cstheme="minorHAnsi"/>
          <w:sz w:val="22"/>
          <w:szCs w:val="22"/>
        </w:rPr>
        <w:t>Il mercato immobiliare italiano, superate brillantemente le insidie pandemiche, si trova</w:t>
      </w:r>
      <w:r w:rsidR="002351E9" w:rsidRPr="002351E9">
        <w:rPr>
          <w:rFonts w:asciiTheme="minorHAnsi" w:hAnsiTheme="minorHAnsi" w:cstheme="minorHAnsi"/>
          <w:sz w:val="22"/>
          <w:szCs w:val="22"/>
        </w:rPr>
        <w:t xml:space="preserve"> dunque </w:t>
      </w:r>
      <w:r w:rsidRPr="002351E9">
        <w:rPr>
          <w:rFonts w:asciiTheme="minorHAnsi" w:hAnsiTheme="minorHAnsi" w:cstheme="minorHAnsi"/>
          <w:sz w:val="22"/>
          <w:szCs w:val="22"/>
        </w:rPr>
        <w:t>oggi a dover far fronte alle conseguenze economiche della guerra. Le possibilità di un nuovo arretramento sono concrete, ma non vi sono dubbi che il settore entri in questa fase con un’inerzia decisamente favorevole, che si fonda sull’enorme interesse delle famiglie per la casa e sull‘accresciuta propensione alla diversificazione degli investitori corporate.</w:t>
      </w:r>
    </w:p>
    <w:p w14:paraId="473A52A6" w14:textId="238184AC" w:rsidR="00AC3A07" w:rsidRDefault="00AC3A07" w:rsidP="00364602">
      <w:pPr>
        <w:rPr>
          <w:rFonts w:asciiTheme="minorHAnsi" w:eastAsia="Calibri" w:hAnsiTheme="minorHAnsi" w:cstheme="minorHAnsi"/>
          <w:sz w:val="22"/>
          <w:szCs w:val="24"/>
        </w:rPr>
      </w:pPr>
    </w:p>
    <w:p w14:paraId="3ACB7035" w14:textId="77777777" w:rsidR="00AC3A07" w:rsidRPr="006344E1" w:rsidRDefault="00AC3A07" w:rsidP="00364602">
      <w:pPr>
        <w:rPr>
          <w:rFonts w:asciiTheme="minorHAnsi" w:eastAsia="Calibri" w:hAnsiTheme="minorHAnsi" w:cstheme="minorHAnsi"/>
          <w:sz w:val="22"/>
          <w:szCs w:val="24"/>
        </w:rPr>
      </w:pPr>
    </w:p>
    <w:p w14:paraId="6D7E7B5F" w14:textId="77777777" w:rsidR="00623961" w:rsidRDefault="00623961">
      <w:pPr>
        <w:spacing w:after="200" w:line="276" w:lineRule="auto"/>
        <w:jc w:val="left"/>
        <w:rPr>
          <w:rFonts w:asciiTheme="minorHAnsi" w:eastAsia="Calibri" w:hAnsiTheme="minorHAnsi" w:cs="Calibri"/>
          <w:b/>
          <w:sz w:val="28"/>
          <w:szCs w:val="28"/>
        </w:rPr>
      </w:pPr>
      <w:r>
        <w:rPr>
          <w:rFonts w:asciiTheme="minorHAnsi" w:hAnsiTheme="minorHAnsi" w:cs="Calibri"/>
          <w:b/>
          <w:sz w:val="28"/>
          <w:szCs w:val="28"/>
        </w:rPr>
        <w:br w:type="page"/>
      </w:r>
    </w:p>
    <w:p w14:paraId="1A5AB2B3" w14:textId="77777777" w:rsidR="005F787C" w:rsidRPr="005F787C" w:rsidRDefault="005F787C" w:rsidP="007F37E0">
      <w:pPr>
        <w:pStyle w:val="Paragrafoelenco1"/>
        <w:tabs>
          <w:tab w:val="left" w:pos="1418"/>
        </w:tabs>
        <w:suppressAutoHyphens/>
        <w:ind w:left="0"/>
        <w:rPr>
          <w:rFonts w:asciiTheme="minorHAnsi" w:hAnsiTheme="minorHAnsi" w:cs="Calibri"/>
          <w:b/>
          <w:sz w:val="12"/>
          <w:szCs w:val="28"/>
        </w:rPr>
      </w:pPr>
    </w:p>
    <w:p w14:paraId="284FDAEF" w14:textId="77777777" w:rsidR="00170F64" w:rsidRPr="003D3270" w:rsidRDefault="00170F64" w:rsidP="007F37E0">
      <w:pPr>
        <w:pStyle w:val="Paragrafoelenco1"/>
        <w:tabs>
          <w:tab w:val="left" w:pos="1418"/>
        </w:tabs>
        <w:suppressAutoHyphens/>
        <w:ind w:left="0"/>
        <w:rPr>
          <w:rFonts w:asciiTheme="minorHAnsi" w:hAnsiTheme="minorHAnsi" w:cs="Calibri"/>
          <w:b/>
          <w:sz w:val="28"/>
          <w:szCs w:val="28"/>
        </w:rPr>
      </w:pPr>
      <w:r w:rsidRPr="003D3270">
        <w:rPr>
          <w:rFonts w:asciiTheme="minorHAnsi" w:hAnsiTheme="minorHAnsi" w:cs="Calibri"/>
          <w:b/>
          <w:sz w:val="28"/>
          <w:szCs w:val="28"/>
        </w:rPr>
        <w:t xml:space="preserve">Il mercato delle abitazioni per vacanza </w:t>
      </w:r>
    </w:p>
    <w:p w14:paraId="1A8EBA33" w14:textId="77777777" w:rsidR="00170F64" w:rsidRPr="00474E67" w:rsidRDefault="00170F64" w:rsidP="00364602">
      <w:pPr>
        <w:rPr>
          <w:rFonts w:asciiTheme="minorHAnsi" w:eastAsia="Calibri" w:hAnsiTheme="minorHAnsi" w:cstheme="minorHAnsi"/>
          <w:sz w:val="22"/>
          <w:szCs w:val="24"/>
        </w:rPr>
      </w:pPr>
    </w:p>
    <w:p w14:paraId="7089F2EB" w14:textId="5B218106" w:rsidR="00775E1B" w:rsidRDefault="00792C4C" w:rsidP="00DC7E35">
      <w:pPr>
        <w:pStyle w:val="NormaleWeb"/>
        <w:shd w:val="clear" w:color="auto" w:fill="FFFFFF"/>
        <w:spacing w:before="0" w:beforeAutospacing="0" w:after="120" w:afterAutospacing="0"/>
        <w:jc w:val="both"/>
        <w:rPr>
          <w:rFonts w:asciiTheme="minorHAnsi" w:eastAsia="Calibri" w:hAnsiTheme="minorHAnsi" w:cstheme="minorHAnsi"/>
          <w:sz w:val="22"/>
          <w:szCs w:val="22"/>
        </w:rPr>
      </w:pPr>
      <w:r>
        <w:rPr>
          <w:rFonts w:asciiTheme="minorHAnsi" w:eastAsia="Calibri" w:hAnsiTheme="minorHAnsi" w:cstheme="minorHAnsi"/>
          <w:sz w:val="22"/>
          <w:szCs w:val="22"/>
        </w:rPr>
        <w:t>In uno scenario</w:t>
      </w:r>
      <w:r w:rsidR="00775E1B" w:rsidRPr="00AD38CF">
        <w:rPr>
          <w:rFonts w:asciiTheme="minorHAnsi" w:eastAsia="Calibri" w:hAnsiTheme="minorHAnsi" w:cstheme="minorHAnsi"/>
          <w:sz w:val="22"/>
          <w:szCs w:val="22"/>
        </w:rPr>
        <w:t xml:space="preserve"> di</w:t>
      </w:r>
      <w:r w:rsidR="00ED20AC">
        <w:rPr>
          <w:rFonts w:asciiTheme="minorHAnsi" w:eastAsia="Calibri" w:hAnsiTheme="minorHAnsi" w:cstheme="minorHAnsi"/>
          <w:sz w:val="22"/>
          <w:szCs w:val="22"/>
        </w:rPr>
        <w:t xml:space="preserve"> </w:t>
      </w:r>
      <w:r w:rsidR="0026543B">
        <w:rPr>
          <w:rFonts w:asciiTheme="minorHAnsi" w:eastAsia="Calibri" w:hAnsiTheme="minorHAnsi" w:cstheme="minorHAnsi"/>
          <w:sz w:val="22"/>
          <w:szCs w:val="22"/>
        </w:rPr>
        <w:t>ripresa</w:t>
      </w:r>
      <w:r w:rsidR="00775E1B" w:rsidRPr="00AD38CF">
        <w:rPr>
          <w:rFonts w:asciiTheme="minorHAnsi" w:eastAsia="Calibri" w:hAnsiTheme="minorHAnsi" w:cstheme="minorHAnsi"/>
          <w:sz w:val="22"/>
          <w:szCs w:val="22"/>
        </w:rPr>
        <w:t xml:space="preserve"> </w:t>
      </w:r>
      <w:r>
        <w:rPr>
          <w:rFonts w:asciiTheme="minorHAnsi" w:eastAsia="Calibri" w:hAnsiTheme="minorHAnsi" w:cstheme="minorHAnsi"/>
          <w:sz w:val="22"/>
          <w:szCs w:val="22"/>
        </w:rPr>
        <w:t>dei flussi turistici</w:t>
      </w:r>
      <w:r w:rsidR="00ED20AC">
        <w:rPr>
          <w:rFonts w:asciiTheme="minorHAnsi" w:eastAsia="Calibri" w:hAnsiTheme="minorHAnsi" w:cstheme="minorHAnsi"/>
          <w:sz w:val="22"/>
          <w:szCs w:val="22"/>
        </w:rPr>
        <w:t xml:space="preserve"> nel 2021</w:t>
      </w:r>
      <w:r w:rsidR="001A70DA">
        <w:rPr>
          <w:rFonts w:asciiTheme="minorHAnsi" w:eastAsia="Calibri" w:hAnsiTheme="minorHAnsi" w:cstheme="minorHAnsi"/>
          <w:sz w:val="22"/>
          <w:szCs w:val="22"/>
        </w:rPr>
        <w:t xml:space="preserve"> (di circa il 40% rispetto al 2020)</w:t>
      </w:r>
      <w:r w:rsidR="0026543B">
        <w:rPr>
          <w:rFonts w:asciiTheme="minorHAnsi" w:eastAsia="Calibri" w:hAnsiTheme="minorHAnsi" w:cstheme="minorHAnsi"/>
          <w:sz w:val="22"/>
          <w:szCs w:val="22"/>
        </w:rPr>
        <w:t xml:space="preserve">, </w:t>
      </w:r>
      <w:r w:rsidR="001A70DA">
        <w:rPr>
          <w:rFonts w:asciiTheme="minorHAnsi" w:eastAsia="Calibri" w:hAnsiTheme="minorHAnsi" w:cstheme="minorHAnsi"/>
          <w:sz w:val="22"/>
          <w:szCs w:val="22"/>
        </w:rPr>
        <w:t xml:space="preserve">confermato </w:t>
      </w:r>
      <w:r w:rsidR="00776064">
        <w:rPr>
          <w:rFonts w:asciiTheme="minorHAnsi" w:eastAsia="Calibri" w:hAnsiTheme="minorHAnsi" w:cstheme="minorHAnsi"/>
          <w:sz w:val="22"/>
          <w:szCs w:val="22"/>
        </w:rPr>
        <w:t>nei</w:t>
      </w:r>
      <w:r w:rsidR="001A70DA">
        <w:rPr>
          <w:rFonts w:asciiTheme="minorHAnsi" w:eastAsia="Calibri" w:hAnsiTheme="minorHAnsi" w:cstheme="minorHAnsi"/>
          <w:sz w:val="22"/>
          <w:szCs w:val="22"/>
        </w:rPr>
        <w:t xml:space="preserve"> </w:t>
      </w:r>
      <w:r w:rsidR="008A2057">
        <w:rPr>
          <w:rFonts w:asciiTheme="minorHAnsi" w:eastAsia="Calibri" w:hAnsiTheme="minorHAnsi" w:cstheme="minorHAnsi"/>
          <w:sz w:val="22"/>
          <w:szCs w:val="22"/>
        </w:rPr>
        <w:t xml:space="preserve">primi quattro </w:t>
      </w:r>
      <w:r w:rsidR="001A70DA">
        <w:rPr>
          <w:rFonts w:asciiTheme="minorHAnsi" w:eastAsia="Calibri" w:hAnsiTheme="minorHAnsi" w:cstheme="minorHAnsi"/>
          <w:sz w:val="22"/>
          <w:szCs w:val="22"/>
        </w:rPr>
        <w:t>mesi del 2022</w:t>
      </w:r>
      <w:r w:rsidR="00775E1B" w:rsidRPr="00AD38CF">
        <w:rPr>
          <w:rFonts w:asciiTheme="minorHAnsi" w:eastAsia="Calibri" w:hAnsiTheme="minorHAnsi" w:cstheme="minorHAnsi"/>
          <w:sz w:val="22"/>
          <w:szCs w:val="22"/>
        </w:rPr>
        <w:t>, il mercato delle case vacanze segna un</w:t>
      </w:r>
      <w:r w:rsidR="001A70DA">
        <w:rPr>
          <w:rFonts w:asciiTheme="minorHAnsi" w:eastAsia="Calibri" w:hAnsiTheme="minorHAnsi" w:cstheme="minorHAnsi"/>
          <w:sz w:val="22"/>
          <w:szCs w:val="22"/>
        </w:rPr>
        <w:t xml:space="preserve"> considerevole </w:t>
      </w:r>
      <w:r w:rsidR="00775E1B" w:rsidRPr="00AD38CF">
        <w:rPr>
          <w:rFonts w:asciiTheme="minorHAnsi" w:eastAsia="Calibri" w:hAnsiTheme="minorHAnsi" w:cstheme="minorHAnsi"/>
          <w:sz w:val="22"/>
          <w:szCs w:val="22"/>
        </w:rPr>
        <w:t>incremento delle compravendite</w:t>
      </w:r>
      <w:r>
        <w:rPr>
          <w:rFonts w:asciiTheme="minorHAnsi" w:eastAsia="Calibri" w:hAnsiTheme="minorHAnsi" w:cstheme="minorHAnsi"/>
          <w:sz w:val="22"/>
          <w:szCs w:val="22"/>
        </w:rPr>
        <w:t>, come emerge dall’Osservatorio immobiliare turistico 2022</w:t>
      </w:r>
      <w:r w:rsidR="00775E1B" w:rsidRPr="00AD38CF">
        <w:rPr>
          <w:rFonts w:asciiTheme="minorHAnsi" w:eastAsia="Calibri" w:hAnsiTheme="minorHAnsi" w:cstheme="minorHAnsi"/>
          <w:sz w:val="22"/>
          <w:szCs w:val="22"/>
        </w:rPr>
        <w:t xml:space="preserve">. </w:t>
      </w:r>
    </w:p>
    <w:p w14:paraId="77390AA4" w14:textId="4E2CE230" w:rsidR="00775E1B" w:rsidRDefault="00775E1B" w:rsidP="00DC7E35">
      <w:pPr>
        <w:pStyle w:val="NormaleWeb"/>
        <w:shd w:val="clear" w:color="auto" w:fill="FFFFFF"/>
        <w:spacing w:before="0" w:beforeAutospacing="0" w:after="120" w:afterAutospacing="0"/>
        <w:jc w:val="both"/>
        <w:rPr>
          <w:rFonts w:asciiTheme="minorHAnsi" w:eastAsia="Calibri" w:hAnsiTheme="minorHAnsi" w:cstheme="minorHAnsi"/>
          <w:sz w:val="22"/>
          <w:szCs w:val="22"/>
        </w:rPr>
      </w:pPr>
      <w:r w:rsidRPr="00AD38CF">
        <w:rPr>
          <w:rFonts w:asciiTheme="minorHAnsi" w:eastAsia="Calibri" w:hAnsiTheme="minorHAnsi" w:cstheme="minorHAnsi"/>
          <w:sz w:val="22"/>
          <w:szCs w:val="22"/>
        </w:rPr>
        <w:t>Le transazioni</w:t>
      </w:r>
      <w:r w:rsidR="00792C4C">
        <w:rPr>
          <w:rFonts w:asciiTheme="minorHAnsi" w:eastAsia="Calibri" w:hAnsiTheme="minorHAnsi" w:cstheme="minorHAnsi"/>
          <w:sz w:val="22"/>
          <w:szCs w:val="22"/>
        </w:rPr>
        <w:t xml:space="preserve"> delle abitazioni nelle località turistiche italiane</w:t>
      </w:r>
      <w:r w:rsidR="00A5318F" w:rsidRPr="00AD38CF">
        <w:rPr>
          <w:rFonts w:asciiTheme="minorHAnsi" w:eastAsia="Calibri" w:hAnsiTheme="minorHAnsi" w:cstheme="minorHAnsi"/>
          <w:sz w:val="22"/>
          <w:szCs w:val="22"/>
        </w:rPr>
        <w:t xml:space="preserve">, infatti, </w:t>
      </w:r>
      <w:r w:rsidRPr="00AD38CF">
        <w:rPr>
          <w:rFonts w:asciiTheme="minorHAnsi" w:eastAsia="Calibri" w:hAnsiTheme="minorHAnsi" w:cstheme="minorHAnsi"/>
          <w:sz w:val="22"/>
          <w:szCs w:val="22"/>
        </w:rPr>
        <w:t>sono</w:t>
      </w:r>
      <w:r w:rsidR="00D5490D" w:rsidRPr="00AD38CF">
        <w:rPr>
          <w:rFonts w:asciiTheme="minorHAnsi" w:eastAsia="Calibri" w:hAnsiTheme="minorHAnsi" w:cstheme="minorHAnsi"/>
          <w:sz w:val="22"/>
          <w:szCs w:val="22"/>
        </w:rPr>
        <w:t xml:space="preserve"> </w:t>
      </w:r>
      <w:r w:rsidRPr="00AD38CF">
        <w:rPr>
          <w:rFonts w:asciiTheme="minorHAnsi" w:eastAsia="Calibri" w:hAnsiTheme="minorHAnsi" w:cstheme="minorHAnsi"/>
          <w:sz w:val="22"/>
          <w:szCs w:val="22"/>
        </w:rPr>
        <w:t xml:space="preserve">aumentate </w:t>
      </w:r>
      <w:r w:rsidR="00AD38CF" w:rsidRPr="00AD38CF">
        <w:rPr>
          <w:rFonts w:asciiTheme="minorHAnsi" w:eastAsia="Calibri" w:hAnsiTheme="minorHAnsi" w:cstheme="minorHAnsi"/>
          <w:sz w:val="22"/>
          <w:szCs w:val="22"/>
        </w:rPr>
        <w:t>del 41</w:t>
      </w:r>
      <w:r w:rsidRPr="00AD38CF">
        <w:rPr>
          <w:rFonts w:asciiTheme="minorHAnsi" w:eastAsia="Calibri" w:hAnsiTheme="minorHAnsi" w:cstheme="minorHAnsi"/>
          <w:sz w:val="22"/>
          <w:szCs w:val="22"/>
        </w:rPr>
        <w:t>,</w:t>
      </w:r>
      <w:r w:rsidR="00474E67" w:rsidRPr="00AD38CF">
        <w:rPr>
          <w:rFonts w:asciiTheme="minorHAnsi" w:eastAsia="Calibri" w:hAnsiTheme="minorHAnsi" w:cstheme="minorHAnsi"/>
          <w:sz w:val="22"/>
          <w:szCs w:val="22"/>
        </w:rPr>
        <w:t>1</w:t>
      </w:r>
      <w:r w:rsidRPr="00AD38CF">
        <w:rPr>
          <w:rFonts w:asciiTheme="minorHAnsi" w:eastAsia="Calibri" w:hAnsiTheme="minorHAnsi" w:cstheme="minorHAnsi"/>
          <w:sz w:val="22"/>
          <w:szCs w:val="22"/>
        </w:rPr>
        <w:t xml:space="preserve">% </w:t>
      </w:r>
      <w:r w:rsidR="002A6F49" w:rsidRPr="00AD38CF">
        <w:rPr>
          <w:rFonts w:asciiTheme="minorHAnsi" w:eastAsia="Calibri" w:hAnsiTheme="minorHAnsi" w:cstheme="minorHAnsi"/>
          <w:sz w:val="22"/>
          <w:szCs w:val="22"/>
        </w:rPr>
        <w:t xml:space="preserve">nel 2021 </w:t>
      </w:r>
      <w:r w:rsidRPr="00AD38CF">
        <w:rPr>
          <w:rFonts w:asciiTheme="minorHAnsi" w:eastAsia="Calibri" w:hAnsiTheme="minorHAnsi" w:cstheme="minorHAnsi"/>
          <w:sz w:val="22"/>
          <w:szCs w:val="22"/>
        </w:rPr>
        <w:t>rispetto al</w:t>
      </w:r>
      <w:r w:rsidR="00AD38CF" w:rsidRPr="00AD38CF">
        <w:rPr>
          <w:rFonts w:asciiTheme="minorHAnsi" w:eastAsia="Calibri" w:hAnsiTheme="minorHAnsi" w:cstheme="minorHAnsi"/>
          <w:sz w:val="22"/>
          <w:szCs w:val="22"/>
        </w:rPr>
        <w:t xml:space="preserve"> 2020</w:t>
      </w:r>
      <w:r w:rsidRPr="00AD38CF">
        <w:rPr>
          <w:rFonts w:asciiTheme="minorHAnsi" w:eastAsia="Calibri" w:hAnsiTheme="minorHAnsi" w:cstheme="minorHAnsi"/>
          <w:sz w:val="22"/>
          <w:szCs w:val="22"/>
        </w:rPr>
        <w:t xml:space="preserve">, con </w:t>
      </w:r>
      <w:r w:rsidR="00AD38CF" w:rsidRPr="00AD38CF">
        <w:rPr>
          <w:rFonts w:asciiTheme="minorHAnsi" w:eastAsia="Calibri" w:hAnsiTheme="minorHAnsi" w:cstheme="minorHAnsi"/>
          <w:sz w:val="22"/>
          <w:szCs w:val="22"/>
        </w:rPr>
        <w:t>un’</w:t>
      </w:r>
      <w:r w:rsidRPr="00AD38CF">
        <w:rPr>
          <w:rFonts w:asciiTheme="minorHAnsi" w:eastAsia="Calibri" w:hAnsiTheme="minorHAnsi" w:cstheme="minorHAnsi"/>
          <w:sz w:val="22"/>
          <w:szCs w:val="22"/>
        </w:rPr>
        <w:t xml:space="preserve">intensità </w:t>
      </w:r>
      <w:r w:rsidR="00792C4C">
        <w:rPr>
          <w:rFonts w:asciiTheme="minorHAnsi" w:eastAsia="Calibri" w:hAnsiTheme="minorHAnsi" w:cstheme="minorHAnsi"/>
          <w:sz w:val="22"/>
          <w:szCs w:val="22"/>
        </w:rPr>
        <w:t>di gran lunga superiore agli anni precedenti, recuperando pienamente la battuta di arresto registrata a causa della pandemia</w:t>
      </w:r>
      <w:r w:rsidR="00474E67" w:rsidRPr="00AD38CF">
        <w:rPr>
          <w:rFonts w:asciiTheme="minorHAnsi" w:eastAsia="Calibri" w:hAnsiTheme="minorHAnsi" w:cstheme="minorHAnsi"/>
          <w:sz w:val="22"/>
          <w:szCs w:val="22"/>
        </w:rPr>
        <w:t>.</w:t>
      </w:r>
    </w:p>
    <w:p w14:paraId="5C78D8C7" w14:textId="0F7718CC" w:rsidR="009E4DD3" w:rsidRDefault="009E4DD3" w:rsidP="00DC7E35">
      <w:pPr>
        <w:pStyle w:val="NormaleWeb"/>
        <w:shd w:val="clear" w:color="auto" w:fill="FFFFFF"/>
        <w:spacing w:before="0" w:beforeAutospacing="0" w:after="120" w:afterAutospacing="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La crescita ha riguardato </w:t>
      </w:r>
      <w:r w:rsidR="002A6F49">
        <w:rPr>
          <w:rFonts w:asciiTheme="minorHAnsi" w:eastAsia="Calibri" w:hAnsiTheme="minorHAnsi" w:cstheme="minorHAnsi"/>
          <w:sz w:val="22"/>
          <w:szCs w:val="22"/>
        </w:rPr>
        <w:t>nel</w:t>
      </w:r>
      <w:r>
        <w:rPr>
          <w:rFonts w:asciiTheme="minorHAnsi" w:eastAsia="Calibri" w:hAnsiTheme="minorHAnsi" w:cstheme="minorHAnsi"/>
          <w:sz w:val="22"/>
          <w:szCs w:val="22"/>
        </w:rPr>
        <w:t xml:space="preserve"> complesso</w:t>
      </w:r>
      <w:r w:rsidR="002A6F49">
        <w:rPr>
          <w:rFonts w:asciiTheme="minorHAnsi" w:eastAsia="Calibri" w:hAnsiTheme="minorHAnsi" w:cstheme="minorHAnsi"/>
          <w:sz w:val="22"/>
          <w:szCs w:val="22"/>
        </w:rPr>
        <w:t xml:space="preserve"> tutte le tipologie di </w:t>
      </w:r>
      <w:r>
        <w:rPr>
          <w:rFonts w:asciiTheme="minorHAnsi" w:eastAsia="Calibri" w:hAnsiTheme="minorHAnsi" w:cstheme="minorHAnsi"/>
          <w:sz w:val="22"/>
          <w:szCs w:val="22"/>
        </w:rPr>
        <w:t>località turistiche</w:t>
      </w:r>
      <w:r w:rsidR="002A6F49">
        <w:rPr>
          <w:rFonts w:asciiTheme="minorHAnsi" w:eastAsia="Calibri" w:hAnsiTheme="minorHAnsi" w:cstheme="minorHAnsi"/>
          <w:sz w:val="22"/>
          <w:szCs w:val="22"/>
        </w:rPr>
        <w:t xml:space="preserve"> monitorate</w:t>
      </w:r>
      <w:r>
        <w:rPr>
          <w:rFonts w:asciiTheme="minorHAnsi" w:eastAsia="Calibri" w:hAnsiTheme="minorHAnsi" w:cstheme="minorHAnsi"/>
          <w:sz w:val="22"/>
          <w:szCs w:val="22"/>
        </w:rPr>
        <w:t>, con particolare riguardo quelle marine (+43%), a seguire le località montane (+35%) e lacuali (+29,6%).</w:t>
      </w:r>
    </w:p>
    <w:p w14:paraId="625A3DB9" w14:textId="77777777" w:rsidR="00F36BB9" w:rsidRPr="002A6F49" w:rsidRDefault="00F36BB9" w:rsidP="00B23B9D">
      <w:pPr>
        <w:rPr>
          <w:rFonts w:asciiTheme="minorHAnsi" w:eastAsia="Calibri" w:hAnsiTheme="minorHAnsi" w:cstheme="minorHAnsi"/>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1810"/>
        <w:gridCol w:w="1811"/>
        <w:gridCol w:w="1810"/>
        <w:gridCol w:w="1811"/>
      </w:tblGrid>
      <w:tr w:rsidR="00A5318F" w:rsidRPr="00A5318F" w14:paraId="3BAC27E4" w14:textId="77777777" w:rsidTr="00CF1C82">
        <w:trPr>
          <w:trHeight w:val="340"/>
        </w:trPr>
        <w:tc>
          <w:tcPr>
            <w:tcW w:w="2444" w:type="dxa"/>
            <w:vAlign w:val="center"/>
          </w:tcPr>
          <w:p w14:paraId="3AFEBDB2" w14:textId="6D61FD1C" w:rsidR="00B23B9D" w:rsidRPr="00CE2041" w:rsidRDefault="00B23B9D" w:rsidP="00CF1C82">
            <w:pPr>
              <w:jc w:val="left"/>
              <w:rPr>
                <w:rFonts w:asciiTheme="minorHAnsi" w:eastAsia="Calibri" w:hAnsiTheme="minorHAnsi" w:cstheme="minorHAnsi"/>
                <w:bCs w:val="0"/>
                <w:sz w:val="20"/>
              </w:rPr>
            </w:pPr>
            <w:r w:rsidRPr="00CE2041">
              <w:rPr>
                <w:rFonts w:asciiTheme="minorHAnsi" w:eastAsia="Calibri" w:hAnsiTheme="minorHAnsi" w:cstheme="minorHAnsi"/>
                <w:bCs w:val="0"/>
                <w:caps w:val="0"/>
                <w:sz w:val="20"/>
              </w:rPr>
              <w:t xml:space="preserve">Tavola </w:t>
            </w:r>
            <w:r w:rsidR="00CE2041" w:rsidRPr="00CE2041">
              <w:rPr>
                <w:rFonts w:asciiTheme="minorHAnsi" w:eastAsia="Calibri" w:hAnsiTheme="minorHAnsi" w:cstheme="minorHAnsi"/>
                <w:bCs w:val="0"/>
                <w:sz w:val="20"/>
              </w:rPr>
              <w:t>1</w:t>
            </w:r>
          </w:p>
        </w:tc>
        <w:tc>
          <w:tcPr>
            <w:tcW w:w="7334" w:type="dxa"/>
            <w:gridSpan w:val="4"/>
            <w:shd w:val="clear" w:color="auto" w:fill="F2F2F2" w:themeFill="background1" w:themeFillShade="F2"/>
            <w:vAlign w:val="center"/>
          </w:tcPr>
          <w:p w14:paraId="59C0272F" w14:textId="77777777" w:rsidR="00B23B9D" w:rsidRPr="00A5318F" w:rsidRDefault="00B23B9D" w:rsidP="00CF1C82">
            <w:pPr>
              <w:jc w:val="center"/>
              <w:rPr>
                <w:rFonts w:asciiTheme="minorHAnsi" w:eastAsia="Calibri" w:hAnsiTheme="minorHAnsi" w:cstheme="minorHAnsi"/>
                <w:caps w:val="0"/>
                <w:sz w:val="20"/>
              </w:rPr>
            </w:pPr>
            <w:r w:rsidRPr="00A5318F">
              <w:rPr>
                <w:rFonts w:ascii="Calibri" w:hAnsi="Calibri" w:cs="Arial"/>
                <w:caps w:val="0"/>
                <w:sz w:val="20"/>
              </w:rPr>
              <w:t>Numero di compravendite di abitazioni – Variazioni % annuali</w:t>
            </w:r>
          </w:p>
        </w:tc>
      </w:tr>
      <w:tr w:rsidR="00A5318F" w:rsidRPr="00A5318F" w14:paraId="64CA23A2" w14:textId="77777777" w:rsidTr="00CF1C82">
        <w:trPr>
          <w:trHeight w:val="340"/>
        </w:trPr>
        <w:tc>
          <w:tcPr>
            <w:tcW w:w="2444" w:type="dxa"/>
            <w:vAlign w:val="center"/>
          </w:tcPr>
          <w:p w14:paraId="56832C4B" w14:textId="77777777" w:rsidR="001F25F8" w:rsidRPr="00A5318F" w:rsidRDefault="001F25F8" w:rsidP="001F25F8">
            <w:pPr>
              <w:jc w:val="left"/>
              <w:rPr>
                <w:rFonts w:asciiTheme="minorHAnsi" w:eastAsia="Calibri" w:hAnsiTheme="minorHAnsi" w:cstheme="minorHAnsi"/>
                <w:b w:val="0"/>
                <w:sz w:val="20"/>
              </w:rPr>
            </w:pPr>
          </w:p>
        </w:tc>
        <w:tc>
          <w:tcPr>
            <w:tcW w:w="1833" w:type="dxa"/>
            <w:shd w:val="clear" w:color="auto" w:fill="F2F2F2" w:themeFill="background1" w:themeFillShade="F2"/>
            <w:vAlign w:val="center"/>
          </w:tcPr>
          <w:p w14:paraId="01472A9E" w14:textId="475D786B" w:rsidR="001F25F8" w:rsidRPr="00A5318F" w:rsidRDefault="001F25F8" w:rsidP="001F25F8">
            <w:pPr>
              <w:jc w:val="center"/>
              <w:rPr>
                <w:rFonts w:ascii="Calibri" w:hAnsi="Calibri" w:cs="Arial"/>
                <w:caps w:val="0"/>
                <w:sz w:val="20"/>
              </w:rPr>
            </w:pPr>
            <w:r w:rsidRPr="00A5318F">
              <w:rPr>
                <w:rFonts w:ascii="Calibri" w:hAnsi="Calibri" w:cs="Arial"/>
                <w:caps w:val="0"/>
                <w:sz w:val="20"/>
              </w:rPr>
              <w:t>2018/2017</w:t>
            </w:r>
          </w:p>
        </w:tc>
        <w:tc>
          <w:tcPr>
            <w:tcW w:w="1834" w:type="dxa"/>
            <w:shd w:val="clear" w:color="auto" w:fill="F2F2F2" w:themeFill="background1" w:themeFillShade="F2"/>
            <w:vAlign w:val="center"/>
          </w:tcPr>
          <w:p w14:paraId="223A9C0F" w14:textId="17B28772" w:rsidR="001F25F8" w:rsidRPr="00A5318F" w:rsidRDefault="001F25F8" w:rsidP="001F25F8">
            <w:pPr>
              <w:jc w:val="center"/>
              <w:rPr>
                <w:rFonts w:ascii="Calibri" w:hAnsi="Calibri" w:cs="Arial"/>
                <w:caps w:val="0"/>
                <w:sz w:val="20"/>
              </w:rPr>
            </w:pPr>
            <w:r w:rsidRPr="00A5318F">
              <w:rPr>
                <w:rFonts w:ascii="Calibri" w:hAnsi="Calibri" w:cs="Arial"/>
                <w:caps w:val="0"/>
                <w:sz w:val="20"/>
              </w:rPr>
              <w:t>2019/2018</w:t>
            </w:r>
          </w:p>
        </w:tc>
        <w:tc>
          <w:tcPr>
            <w:tcW w:w="1833" w:type="dxa"/>
            <w:shd w:val="clear" w:color="auto" w:fill="F2F2F2" w:themeFill="background1" w:themeFillShade="F2"/>
            <w:vAlign w:val="center"/>
          </w:tcPr>
          <w:p w14:paraId="3D81A8D1" w14:textId="77E1CCDE" w:rsidR="001F25F8" w:rsidRPr="00A5318F" w:rsidRDefault="001F25F8" w:rsidP="001F25F8">
            <w:pPr>
              <w:jc w:val="center"/>
              <w:rPr>
                <w:rFonts w:ascii="Calibri" w:hAnsi="Calibri" w:cs="Arial"/>
                <w:caps w:val="0"/>
                <w:sz w:val="20"/>
              </w:rPr>
            </w:pPr>
            <w:r w:rsidRPr="00A5318F">
              <w:rPr>
                <w:rFonts w:ascii="Calibri" w:hAnsi="Calibri" w:cs="Arial"/>
                <w:caps w:val="0"/>
                <w:sz w:val="20"/>
              </w:rPr>
              <w:t>2020/2019</w:t>
            </w:r>
          </w:p>
        </w:tc>
        <w:tc>
          <w:tcPr>
            <w:tcW w:w="1834" w:type="dxa"/>
            <w:shd w:val="clear" w:color="auto" w:fill="F2F2F2" w:themeFill="background1" w:themeFillShade="F2"/>
            <w:vAlign w:val="center"/>
          </w:tcPr>
          <w:p w14:paraId="32363633" w14:textId="7482C4DF" w:rsidR="001F25F8" w:rsidRPr="00A5318F" w:rsidRDefault="001F25F8" w:rsidP="001F25F8">
            <w:pPr>
              <w:jc w:val="center"/>
              <w:rPr>
                <w:rFonts w:ascii="Calibri" w:hAnsi="Calibri" w:cs="Arial"/>
                <w:caps w:val="0"/>
                <w:sz w:val="20"/>
              </w:rPr>
            </w:pPr>
            <w:r w:rsidRPr="00A5318F">
              <w:rPr>
                <w:rFonts w:ascii="Calibri" w:hAnsi="Calibri" w:cs="Arial"/>
                <w:caps w:val="0"/>
                <w:sz w:val="20"/>
              </w:rPr>
              <w:t>2021/2020</w:t>
            </w:r>
          </w:p>
        </w:tc>
      </w:tr>
      <w:tr w:rsidR="00A5318F" w:rsidRPr="00A5318F" w14:paraId="7095664C" w14:textId="77777777" w:rsidTr="00A5318F">
        <w:trPr>
          <w:trHeight w:val="340"/>
        </w:trPr>
        <w:tc>
          <w:tcPr>
            <w:tcW w:w="2444" w:type="dxa"/>
            <w:shd w:val="clear" w:color="auto" w:fill="DEEAF6" w:themeFill="accent1" w:themeFillTint="33"/>
            <w:vAlign w:val="center"/>
          </w:tcPr>
          <w:p w14:paraId="39C5E747" w14:textId="77777777" w:rsidR="00A5318F" w:rsidRPr="00A5318F" w:rsidRDefault="00A5318F" w:rsidP="00A5318F">
            <w:pPr>
              <w:jc w:val="left"/>
              <w:rPr>
                <w:rFonts w:asciiTheme="minorHAnsi" w:eastAsia="Calibri" w:hAnsiTheme="minorHAnsi" w:cstheme="minorHAnsi"/>
                <w:b w:val="0"/>
                <w:bCs w:val="0"/>
                <w:sz w:val="20"/>
              </w:rPr>
            </w:pPr>
            <w:r w:rsidRPr="00A5318F">
              <w:rPr>
                <w:rFonts w:asciiTheme="minorHAnsi" w:eastAsia="Calibri" w:hAnsiTheme="minorHAnsi" w:cstheme="minorHAnsi"/>
                <w:b w:val="0"/>
                <w:bCs w:val="0"/>
                <w:caps w:val="0"/>
                <w:sz w:val="20"/>
              </w:rPr>
              <w:t xml:space="preserve">Località lacuali </w:t>
            </w:r>
            <w:r w:rsidRPr="00A5318F">
              <w:rPr>
                <w:rFonts w:asciiTheme="minorHAnsi" w:eastAsia="Calibri" w:hAnsiTheme="minorHAnsi" w:cstheme="minorHAnsi"/>
                <w:b w:val="0"/>
                <w:bCs w:val="0"/>
                <w:caps w:val="0"/>
                <w:sz w:val="16"/>
              </w:rPr>
              <w:t>(13)</w:t>
            </w:r>
          </w:p>
        </w:tc>
        <w:tc>
          <w:tcPr>
            <w:tcW w:w="1833" w:type="dxa"/>
            <w:shd w:val="clear" w:color="auto" w:fill="DEEAF6" w:themeFill="accent1" w:themeFillTint="33"/>
            <w:vAlign w:val="center"/>
          </w:tcPr>
          <w:p w14:paraId="78465812" w14:textId="03995A34"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7,6</w:t>
            </w:r>
            <w:r w:rsidR="009A7172">
              <w:rPr>
                <w:rFonts w:ascii="Calibri" w:hAnsi="Calibri" w:cs="Calibri"/>
                <w:b w:val="0"/>
                <w:bCs w:val="0"/>
                <w:color w:val="000000"/>
                <w:sz w:val="20"/>
              </w:rPr>
              <w:t>%</w:t>
            </w:r>
          </w:p>
        </w:tc>
        <w:tc>
          <w:tcPr>
            <w:tcW w:w="1834" w:type="dxa"/>
            <w:shd w:val="clear" w:color="auto" w:fill="DEEAF6" w:themeFill="accent1" w:themeFillTint="33"/>
            <w:vAlign w:val="center"/>
          </w:tcPr>
          <w:p w14:paraId="3DAD9D1B" w14:textId="1525E17F"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2,1</w:t>
            </w:r>
            <w:r w:rsidR="009A7172">
              <w:rPr>
                <w:rFonts w:ascii="Calibri" w:hAnsi="Calibri" w:cs="Calibri"/>
                <w:b w:val="0"/>
                <w:bCs w:val="0"/>
                <w:color w:val="000000"/>
                <w:sz w:val="20"/>
              </w:rPr>
              <w:t>%</w:t>
            </w:r>
          </w:p>
        </w:tc>
        <w:tc>
          <w:tcPr>
            <w:tcW w:w="1833" w:type="dxa"/>
            <w:shd w:val="clear" w:color="auto" w:fill="DEEAF6" w:themeFill="accent1" w:themeFillTint="33"/>
            <w:vAlign w:val="center"/>
          </w:tcPr>
          <w:p w14:paraId="4870E44F" w14:textId="7138A993"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-3,4</w:t>
            </w:r>
            <w:r w:rsidR="009A7172">
              <w:rPr>
                <w:rFonts w:ascii="Calibri" w:hAnsi="Calibri" w:cs="Calibri"/>
                <w:b w:val="0"/>
                <w:bCs w:val="0"/>
                <w:color w:val="000000"/>
                <w:sz w:val="20"/>
              </w:rPr>
              <w:t>%</w:t>
            </w:r>
          </w:p>
        </w:tc>
        <w:tc>
          <w:tcPr>
            <w:tcW w:w="1834" w:type="dxa"/>
            <w:shd w:val="clear" w:color="auto" w:fill="DEEAF6" w:themeFill="accent1" w:themeFillTint="33"/>
            <w:vAlign w:val="center"/>
          </w:tcPr>
          <w:p w14:paraId="2DF379D3" w14:textId="3D82AF53"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29,6</w:t>
            </w:r>
            <w:r w:rsidR="009A7172">
              <w:rPr>
                <w:rFonts w:ascii="Calibri" w:hAnsi="Calibri" w:cs="Calibri"/>
                <w:b w:val="0"/>
                <w:bCs w:val="0"/>
                <w:color w:val="000000"/>
                <w:sz w:val="20"/>
              </w:rPr>
              <w:t>%</w:t>
            </w:r>
          </w:p>
        </w:tc>
      </w:tr>
      <w:tr w:rsidR="00A5318F" w:rsidRPr="00A5318F" w14:paraId="4350B976" w14:textId="77777777" w:rsidTr="00A5318F">
        <w:trPr>
          <w:trHeight w:val="340"/>
        </w:trPr>
        <w:tc>
          <w:tcPr>
            <w:tcW w:w="2444" w:type="dxa"/>
            <w:shd w:val="clear" w:color="auto" w:fill="DEEAF6" w:themeFill="accent1" w:themeFillTint="33"/>
            <w:vAlign w:val="center"/>
          </w:tcPr>
          <w:p w14:paraId="2E8258DD" w14:textId="71C022EB" w:rsidR="00A5318F" w:rsidRPr="00A5318F" w:rsidRDefault="00A5318F" w:rsidP="00A5318F">
            <w:pPr>
              <w:jc w:val="left"/>
              <w:rPr>
                <w:rFonts w:asciiTheme="minorHAnsi" w:eastAsia="Calibri" w:hAnsiTheme="minorHAnsi" w:cstheme="minorHAnsi"/>
                <w:b w:val="0"/>
                <w:bCs w:val="0"/>
                <w:sz w:val="20"/>
              </w:rPr>
            </w:pPr>
            <w:r w:rsidRPr="00A5318F">
              <w:rPr>
                <w:rFonts w:asciiTheme="minorHAnsi" w:eastAsia="Calibri" w:hAnsiTheme="minorHAnsi" w:cstheme="minorHAnsi"/>
                <w:b w:val="0"/>
                <w:bCs w:val="0"/>
                <w:caps w:val="0"/>
                <w:sz w:val="20"/>
              </w:rPr>
              <w:t xml:space="preserve">Località marine </w:t>
            </w:r>
            <w:r w:rsidRPr="00A5318F">
              <w:rPr>
                <w:rFonts w:asciiTheme="minorHAnsi" w:eastAsia="Calibri" w:hAnsiTheme="minorHAnsi" w:cstheme="minorHAnsi"/>
                <w:b w:val="0"/>
                <w:bCs w:val="0"/>
                <w:caps w:val="0"/>
                <w:sz w:val="16"/>
              </w:rPr>
              <w:t>(124)</w:t>
            </w:r>
          </w:p>
        </w:tc>
        <w:tc>
          <w:tcPr>
            <w:tcW w:w="1833" w:type="dxa"/>
            <w:shd w:val="clear" w:color="auto" w:fill="DEEAF6" w:themeFill="accent1" w:themeFillTint="33"/>
            <w:vAlign w:val="center"/>
          </w:tcPr>
          <w:p w14:paraId="5997D573" w14:textId="2D2631DE"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6,2</w:t>
            </w:r>
            <w:r w:rsidR="009A7172">
              <w:rPr>
                <w:rFonts w:ascii="Calibri" w:hAnsi="Calibri" w:cs="Calibri"/>
                <w:b w:val="0"/>
                <w:bCs w:val="0"/>
                <w:color w:val="000000"/>
                <w:sz w:val="20"/>
              </w:rPr>
              <w:t>%</w:t>
            </w:r>
          </w:p>
        </w:tc>
        <w:tc>
          <w:tcPr>
            <w:tcW w:w="1834" w:type="dxa"/>
            <w:shd w:val="clear" w:color="auto" w:fill="DEEAF6" w:themeFill="accent1" w:themeFillTint="33"/>
            <w:vAlign w:val="center"/>
          </w:tcPr>
          <w:p w14:paraId="30E47B57" w14:textId="694870D1"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3,5</w:t>
            </w:r>
            <w:r w:rsidR="009A7172">
              <w:rPr>
                <w:rFonts w:ascii="Calibri" w:hAnsi="Calibri" w:cs="Calibri"/>
                <w:b w:val="0"/>
                <w:bCs w:val="0"/>
                <w:color w:val="000000"/>
                <w:sz w:val="20"/>
              </w:rPr>
              <w:t>%</w:t>
            </w:r>
          </w:p>
        </w:tc>
        <w:tc>
          <w:tcPr>
            <w:tcW w:w="1833" w:type="dxa"/>
            <w:shd w:val="clear" w:color="auto" w:fill="DEEAF6" w:themeFill="accent1" w:themeFillTint="33"/>
            <w:vAlign w:val="center"/>
          </w:tcPr>
          <w:p w14:paraId="485C74EC" w14:textId="25CE7380"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-6,7</w:t>
            </w:r>
            <w:r w:rsidR="009A7172">
              <w:rPr>
                <w:rFonts w:ascii="Calibri" w:hAnsi="Calibri" w:cs="Calibri"/>
                <w:b w:val="0"/>
                <w:bCs w:val="0"/>
                <w:color w:val="000000"/>
                <w:sz w:val="20"/>
              </w:rPr>
              <w:t>%</w:t>
            </w:r>
          </w:p>
        </w:tc>
        <w:tc>
          <w:tcPr>
            <w:tcW w:w="1834" w:type="dxa"/>
            <w:shd w:val="clear" w:color="auto" w:fill="DEEAF6" w:themeFill="accent1" w:themeFillTint="33"/>
            <w:vAlign w:val="center"/>
          </w:tcPr>
          <w:p w14:paraId="1DFE640B" w14:textId="598CCC22"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43,4</w:t>
            </w:r>
            <w:r w:rsidR="009A7172">
              <w:rPr>
                <w:rFonts w:ascii="Calibri" w:hAnsi="Calibri" w:cs="Calibri"/>
                <w:b w:val="0"/>
                <w:bCs w:val="0"/>
                <w:color w:val="000000"/>
                <w:sz w:val="20"/>
              </w:rPr>
              <w:t>%</w:t>
            </w:r>
          </w:p>
        </w:tc>
      </w:tr>
      <w:tr w:rsidR="00A5318F" w:rsidRPr="00A5318F" w14:paraId="447B61ED" w14:textId="77777777" w:rsidTr="00A5318F">
        <w:trPr>
          <w:trHeight w:val="340"/>
        </w:trPr>
        <w:tc>
          <w:tcPr>
            <w:tcW w:w="2444" w:type="dxa"/>
            <w:shd w:val="clear" w:color="auto" w:fill="DEEAF6" w:themeFill="accent1" w:themeFillTint="33"/>
            <w:vAlign w:val="center"/>
          </w:tcPr>
          <w:p w14:paraId="0AE7B7F1" w14:textId="2A1BEDB5" w:rsidR="00A5318F" w:rsidRPr="00A5318F" w:rsidRDefault="00A5318F" w:rsidP="00A5318F">
            <w:pPr>
              <w:jc w:val="left"/>
              <w:rPr>
                <w:rFonts w:asciiTheme="minorHAnsi" w:eastAsia="Calibri" w:hAnsiTheme="minorHAnsi" w:cstheme="minorHAnsi"/>
                <w:b w:val="0"/>
                <w:bCs w:val="0"/>
                <w:sz w:val="20"/>
              </w:rPr>
            </w:pPr>
            <w:r w:rsidRPr="00A5318F">
              <w:rPr>
                <w:rFonts w:asciiTheme="minorHAnsi" w:eastAsia="Calibri" w:hAnsiTheme="minorHAnsi" w:cstheme="minorHAnsi"/>
                <w:b w:val="0"/>
                <w:bCs w:val="0"/>
                <w:caps w:val="0"/>
                <w:sz w:val="20"/>
              </w:rPr>
              <w:t xml:space="preserve">Località montane </w:t>
            </w:r>
            <w:r w:rsidRPr="00A5318F">
              <w:rPr>
                <w:rFonts w:asciiTheme="minorHAnsi" w:eastAsia="Calibri" w:hAnsiTheme="minorHAnsi" w:cstheme="minorHAnsi"/>
                <w:b w:val="0"/>
                <w:bCs w:val="0"/>
                <w:caps w:val="0"/>
                <w:sz w:val="16"/>
              </w:rPr>
              <w:t>(50)</w:t>
            </w:r>
          </w:p>
        </w:tc>
        <w:tc>
          <w:tcPr>
            <w:tcW w:w="1833" w:type="dxa"/>
            <w:shd w:val="clear" w:color="auto" w:fill="DEEAF6" w:themeFill="accent1" w:themeFillTint="33"/>
            <w:vAlign w:val="center"/>
          </w:tcPr>
          <w:p w14:paraId="76884461" w14:textId="2D53D53C"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5,6</w:t>
            </w:r>
            <w:r w:rsidR="009A7172">
              <w:rPr>
                <w:rFonts w:ascii="Calibri" w:hAnsi="Calibri" w:cs="Calibri"/>
                <w:b w:val="0"/>
                <w:bCs w:val="0"/>
                <w:color w:val="000000"/>
                <w:sz w:val="20"/>
              </w:rPr>
              <w:t>%</w:t>
            </w:r>
          </w:p>
        </w:tc>
        <w:tc>
          <w:tcPr>
            <w:tcW w:w="1834" w:type="dxa"/>
            <w:shd w:val="clear" w:color="auto" w:fill="DEEAF6" w:themeFill="accent1" w:themeFillTint="33"/>
            <w:vAlign w:val="center"/>
          </w:tcPr>
          <w:p w14:paraId="64B44767" w14:textId="1B1CFE29"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13,0</w:t>
            </w:r>
            <w:r w:rsidR="009A7172">
              <w:rPr>
                <w:rFonts w:ascii="Calibri" w:hAnsi="Calibri" w:cs="Calibri"/>
                <w:b w:val="0"/>
                <w:bCs w:val="0"/>
                <w:color w:val="000000"/>
                <w:sz w:val="20"/>
              </w:rPr>
              <w:t>%</w:t>
            </w:r>
          </w:p>
        </w:tc>
        <w:tc>
          <w:tcPr>
            <w:tcW w:w="1833" w:type="dxa"/>
            <w:shd w:val="clear" w:color="auto" w:fill="DEEAF6" w:themeFill="accent1" w:themeFillTint="33"/>
            <w:vAlign w:val="center"/>
          </w:tcPr>
          <w:p w14:paraId="73243885" w14:textId="7C31BC27"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-2,8</w:t>
            </w:r>
            <w:r w:rsidR="009A7172">
              <w:rPr>
                <w:rFonts w:ascii="Calibri" w:hAnsi="Calibri" w:cs="Calibri"/>
                <w:b w:val="0"/>
                <w:bCs w:val="0"/>
                <w:color w:val="000000"/>
                <w:sz w:val="20"/>
              </w:rPr>
              <w:t>%</w:t>
            </w:r>
          </w:p>
        </w:tc>
        <w:tc>
          <w:tcPr>
            <w:tcW w:w="1834" w:type="dxa"/>
            <w:shd w:val="clear" w:color="auto" w:fill="DEEAF6" w:themeFill="accent1" w:themeFillTint="33"/>
            <w:vAlign w:val="center"/>
          </w:tcPr>
          <w:p w14:paraId="4F993B0E" w14:textId="09800B0C" w:rsidR="00A5318F" w:rsidRPr="00A5318F" w:rsidRDefault="00A5318F" w:rsidP="00A5318F">
            <w:pPr>
              <w:jc w:val="center"/>
              <w:rPr>
                <w:rFonts w:ascii="Calibri" w:hAnsi="Calibri" w:cs="Arial"/>
                <w:b w:val="0"/>
                <w:bCs w:val="0"/>
                <w:sz w:val="20"/>
              </w:rPr>
            </w:pPr>
            <w:r w:rsidRPr="00A5318F">
              <w:rPr>
                <w:rFonts w:ascii="Calibri" w:hAnsi="Calibri" w:cs="Calibri"/>
                <w:b w:val="0"/>
                <w:bCs w:val="0"/>
                <w:color w:val="000000"/>
                <w:sz w:val="20"/>
              </w:rPr>
              <w:t>35,0</w:t>
            </w:r>
            <w:r w:rsidR="009A7172">
              <w:rPr>
                <w:rFonts w:ascii="Calibri" w:hAnsi="Calibri" w:cs="Calibri"/>
                <w:b w:val="0"/>
                <w:bCs w:val="0"/>
                <w:color w:val="000000"/>
                <w:sz w:val="20"/>
              </w:rPr>
              <w:t>%</w:t>
            </w:r>
          </w:p>
        </w:tc>
      </w:tr>
      <w:tr w:rsidR="00A5318F" w:rsidRPr="00A5318F" w14:paraId="57912864" w14:textId="77777777" w:rsidTr="00A5318F">
        <w:trPr>
          <w:trHeight w:val="340"/>
        </w:trPr>
        <w:tc>
          <w:tcPr>
            <w:tcW w:w="2444" w:type="dxa"/>
            <w:shd w:val="clear" w:color="auto" w:fill="F2F2F2" w:themeFill="background1" w:themeFillShade="F2"/>
            <w:vAlign w:val="center"/>
          </w:tcPr>
          <w:p w14:paraId="4C6892C5" w14:textId="77777777" w:rsidR="00A5318F" w:rsidRPr="00A5318F" w:rsidRDefault="00A5318F" w:rsidP="00A5318F">
            <w:pPr>
              <w:jc w:val="left"/>
              <w:rPr>
                <w:rFonts w:asciiTheme="minorHAnsi" w:eastAsia="Calibri" w:hAnsiTheme="minorHAnsi" w:cstheme="minorHAnsi"/>
                <w:caps w:val="0"/>
                <w:sz w:val="20"/>
              </w:rPr>
            </w:pPr>
            <w:r w:rsidRPr="00A5318F">
              <w:rPr>
                <w:rFonts w:asciiTheme="minorHAnsi" w:eastAsia="Calibri" w:hAnsiTheme="minorHAnsi" w:cstheme="minorHAnsi"/>
                <w:caps w:val="0"/>
                <w:sz w:val="20"/>
              </w:rPr>
              <w:t>Totale località turistiche</w:t>
            </w:r>
          </w:p>
        </w:tc>
        <w:tc>
          <w:tcPr>
            <w:tcW w:w="1833" w:type="dxa"/>
            <w:shd w:val="clear" w:color="auto" w:fill="F2F2F2" w:themeFill="background1" w:themeFillShade="F2"/>
            <w:vAlign w:val="center"/>
          </w:tcPr>
          <w:p w14:paraId="62D368F4" w14:textId="0428327F" w:rsidR="00A5318F" w:rsidRPr="00A5318F" w:rsidRDefault="00A5318F" w:rsidP="00A5318F">
            <w:pPr>
              <w:jc w:val="center"/>
              <w:rPr>
                <w:rFonts w:ascii="Calibri" w:hAnsi="Calibri" w:cs="Arial"/>
                <w:sz w:val="20"/>
              </w:rPr>
            </w:pPr>
            <w:r w:rsidRPr="00A5318F">
              <w:rPr>
                <w:rFonts w:ascii="Calibri" w:hAnsi="Calibri" w:cs="Calibri"/>
                <w:color w:val="000000"/>
                <w:sz w:val="20"/>
              </w:rPr>
              <w:t>6,2</w:t>
            </w:r>
            <w:r w:rsidR="009A7172">
              <w:rPr>
                <w:rFonts w:ascii="Calibri" w:hAnsi="Calibri" w:cs="Calibri"/>
                <w:color w:val="000000"/>
                <w:sz w:val="20"/>
              </w:rPr>
              <w:t>%</w:t>
            </w:r>
          </w:p>
        </w:tc>
        <w:tc>
          <w:tcPr>
            <w:tcW w:w="1834" w:type="dxa"/>
            <w:shd w:val="clear" w:color="auto" w:fill="F2F2F2" w:themeFill="background1" w:themeFillShade="F2"/>
            <w:vAlign w:val="center"/>
          </w:tcPr>
          <w:p w14:paraId="636E4D3A" w14:textId="424F2484" w:rsidR="00A5318F" w:rsidRPr="00A5318F" w:rsidRDefault="00A5318F" w:rsidP="00A5318F">
            <w:pPr>
              <w:jc w:val="center"/>
              <w:rPr>
                <w:rFonts w:ascii="Calibri" w:hAnsi="Calibri" w:cs="Arial"/>
                <w:sz w:val="20"/>
              </w:rPr>
            </w:pPr>
            <w:r w:rsidRPr="00A5318F">
              <w:rPr>
                <w:rFonts w:ascii="Calibri" w:hAnsi="Calibri" w:cs="Calibri"/>
                <w:color w:val="000000"/>
                <w:sz w:val="20"/>
              </w:rPr>
              <w:t>4,7</w:t>
            </w:r>
            <w:r w:rsidR="009A7172">
              <w:rPr>
                <w:rFonts w:ascii="Calibri" w:hAnsi="Calibri" w:cs="Calibri"/>
                <w:color w:val="000000"/>
                <w:sz w:val="20"/>
              </w:rPr>
              <w:t>%</w:t>
            </w:r>
          </w:p>
        </w:tc>
        <w:tc>
          <w:tcPr>
            <w:tcW w:w="1833" w:type="dxa"/>
            <w:shd w:val="clear" w:color="auto" w:fill="F2F2F2" w:themeFill="background1" w:themeFillShade="F2"/>
            <w:vAlign w:val="center"/>
          </w:tcPr>
          <w:p w14:paraId="19959C30" w14:textId="1B0C2F63" w:rsidR="00A5318F" w:rsidRPr="00A5318F" w:rsidRDefault="00A5318F" w:rsidP="00A5318F">
            <w:pPr>
              <w:jc w:val="center"/>
              <w:rPr>
                <w:rFonts w:ascii="Calibri" w:hAnsi="Calibri" w:cs="Arial"/>
                <w:sz w:val="20"/>
              </w:rPr>
            </w:pPr>
            <w:r w:rsidRPr="00A5318F">
              <w:rPr>
                <w:rFonts w:ascii="Calibri" w:hAnsi="Calibri" w:cs="Calibri"/>
                <w:color w:val="000000"/>
                <w:sz w:val="20"/>
              </w:rPr>
              <w:t>-5,9</w:t>
            </w:r>
            <w:r w:rsidR="009A7172">
              <w:rPr>
                <w:rFonts w:ascii="Calibri" w:hAnsi="Calibri" w:cs="Calibri"/>
                <w:color w:val="000000"/>
                <w:sz w:val="20"/>
              </w:rPr>
              <w:t>%</w:t>
            </w:r>
          </w:p>
        </w:tc>
        <w:tc>
          <w:tcPr>
            <w:tcW w:w="1834" w:type="dxa"/>
            <w:shd w:val="clear" w:color="auto" w:fill="F2F2F2" w:themeFill="background1" w:themeFillShade="F2"/>
            <w:vAlign w:val="center"/>
          </w:tcPr>
          <w:p w14:paraId="1B95A96B" w14:textId="103484E8" w:rsidR="00A5318F" w:rsidRPr="00A5318F" w:rsidRDefault="00A5318F" w:rsidP="00A5318F">
            <w:pPr>
              <w:jc w:val="center"/>
              <w:rPr>
                <w:rFonts w:ascii="Calibri" w:hAnsi="Calibri" w:cs="Arial"/>
                <w:sz w:val="20"/>
              </w:rPr>
            </w:pPr>
            <w:r w:rsidRPr="00A5318F">
              <w:rPr>
                <w:rFonts w:ascii="Calibri" w:hAnsi="Calibri" w:cs="Calibri"/>
                <w:color w:val="000000"/>
                <w:sz w:val="20"/>
              </w:rPr>
              <w:t>41,1</w:t>
            </w:r>
            <w:r w:rsidR="009A7172">
              <w:rPr>
                <w:rFonts w:ascii="Calibri" w:hAnsi="Calibri" w:cs="Calibri"/>
                <w:color w:val="000000"/>
                <w:sz w:val="20"/>
              </w:rPr>
              <w:t>%</w:t>
            </w:r>
          </w:p>
        </w:tc>
      </w:tr>
    </w:tbl>
    <w:p w14:paraId="76C758D8" w14:textId="77777777" w:rsidR="00B23B9D" w:rsidRPr="00A5318F" w:rsidRDefault="00B23B9D" w:rsidP="008D7331">
      <w:pPr>
        <w:spacing w:before="60"/>
        <w:rPr>
          <w:rFonts w:asciiTheme="minorHAnsi" w:eastAsia="Calibri" w:hAnsiTheme="minorHAnsi" w:cstheme="minorHAnsi"/>
          <w:sz w:val="18"/>
        </w:rPr>
      </w:pPr>
      <w:r w:rsidRPr="00A5318F">
        <w:rPr>
          <w:rFonts w:asciiTheme="minorHAnsi" w:eastAsia="Calibri" w:hAnsiTheme="minorHAnsi" w:cstheme="minorHAnsi"/>
          <w:sz w:val="18"/>
        </w:rPr>
        <w:t xml:space="preserve">Fonte: </w:t>
      </w:r>
      <w:r w:rsidR="008D7331" w:rsidRPr="00A5318F">
        <w:rPr>
          <w:rFonts w:asciiTheme="minorHAnsi" w:eastAsia="Calibri" w:hAnsiTheme="minorHAnsi" w:cstheme="minorHAnsi"/>
          <w:sz w:val="18"/>
        </w:rPr>
        <w:t xml:space="preserve">elaborazioni </w:t>
      </w:r>
      <w:r w:rsidRPr="00A5318F">
        <w:rPr>
          <w:rFonts w:asciiTheme="minorHAnsi" w:eastAsia="Calibri" w:hAnsiTheme="minorHAnsi" w:cstheme="minorHAnsi"/>
          <w:sz w:val="18"/>
        </w:rPr>
        <w:t>Nomisma su dati Agenzia delle Entrate</w:t>
      </w:r>
    </w:p>
    <w:p w14:paraId="58A85279" w14:textId="77777777" w:rsidR="00B23B9D" w:rsidRPr="002A6F49" w:rsidRDefault="00B23B9D" w:rsidP="00B23B9D">
      <w:pPr>
        <w:rPr>
          <w:rFonts w:asciiTheme="minorHAnsi" w:eastAsia="Calibri" w:hAnsiTheme="minorHAnsi" w:cstheme="minorHAnsi"/>
          <w:strike/>
          <w:sz w:val="22"/>
          <w:szCs w:val="22"/>
        </w:rPr>
      </w:pPr>
    </w:p>
    <w:p w14:paraId="5BC91E15" w14:textId="6FE3D8E2" w:rsidR="00593572" w:rsidRDefault="003648AC" w:rsidP="00DC7E35">
      <w:pPr>
        <w:spacing w:after="120"/>
        <w:rPr>
          <w:rFonts w:asciiTheme="minorHAnsi" w:eastAsia="Calibri" w:hAnsiTheme="minorHAnsi" w:cstheme="minorHAnsi"/>
          <w:color w:val="000000" w:themeColor="text1"/>
          <w:sz w:val="22"/>
          <w:szCs w:val="22"/>
        </w:rPr>
      </w:pPr>
      <w:r w:rsidRPr="002A6F49">
        <w:rPr>
          <w:rFonts w:asciiTheme="minorHAnsi" w:eastAsia="Calibri" w:hAnsiTheme="minorHAnsi" w:cstheme="minorHAnsi"/>
          <w:sz w:val="22"/>
          <w:szCs w:val="22"/>
        </w:rPr>
        <w:t xml:space="preserve">Per effetto della </w:t>
      </w:r>
      <w:r w:rsidR="005C668F" w:rsidRPr="002A6F49">
        <w:rPr>
          <w:rFonts w:asciiTheme="minorHAnsi" w:eastAsia="Calibri" w:hAnsiTheme="minorHAnsi" w:cstheme="minorHAnsi"/>
          <w:sz w:val="22"/>
          <w:szCs w:val="22"/>
        </w:rPr>
        <w:t xml:space="preserve">forte </w:t>
      </w:r>
      <w:r w:rsidRPr="002A6F49">
        <w:rPr>
          <w:rFonts w:asciiTheme="minorHAnsi" w:eastAsia="Calibri" w:hAnsiTheme="minorHAnsi" w:cstheme="minorHAnsi"/>
          <w:sz w:val="22"/>
          <w:szCs w:val="22"/>
        </w:rPr>
        <w:t>ripresa del</w:t>
      </w:r>
      <w:r w:rsidR="005C668F" w:rsidRPr="002A6F49">
        <w:rPr>
          <w:rFonts w:asciiTheme="minorHAnsi" w:eastAsia="Calibri" w:hAnsiTheme="minorHAnsi" w:cstheme="minorHAnsi"/>
          <w:sz w:val="22"/>
          <w:szCs w:val="22"/>
        </w:rPr>
        <w:t>l’attività transattiva che ha interessato le località turistiche</w:t>
      </w:r>
      <w:r w:rsidR="00593572" w:rsidRPr="002A6F49">
        <w:rPr>
          <w:rFonts w:asciiTheme="minorHAnsi" w:eastAsia="Calibri" w:hAnsiTheme="minorHAnsi" w:cstheme="minorHAnsi"/>
          <w:sz w:val="22"/>
          <w:szCs w:val="22"/>
        </w:rPr>
        <w:t>, analogamente alle maggiori città italiane</w:t>
      </w:r>
      <w:r w:rsidRPr="002A6F49">
        <w:rPr>
          <w:rFonts w:asciiTheme="minorHAnsi" w:eastAsia="Calibri" w:hAnsiTheme="minorHAnsi" w:cstheme="minorHAnsi"/>
          <w:sz w:val="22"/>
          <w:szCs w:val="22"/>
        </w:rPr>
        <w:t>, le quotazioni delle case per vacanza</w:t>
      </w:r>
      <w:r w:rsidR="00593572" w:rsidRPr="002A6F49">
        <w:rPr>
          <w:rFonts w:asciiTheme="minorHAnsi" w:eastAsia="Calibri" w:hAnsiTheme="minorHAnsi" w:cstheme="minorHAnsi"/>
          <w:sz w:val="22"/>
          <w:szCs w:val="22"/>
        </w:rPr>
        <w:t xml:space="preserve">, secondo l’Osservatorio, confermano </w:t>
      </w:r>
      <w:r w:rsidR="00593572">
        <w:rPr>
          <w:rFonts w:asciiTheme="minorHAnsi" w:eastAsia="Calibri" w:hAnsiTheme="minorHAnsi" w:cstheme="minorHAnsi"/>
          <w:sz w:val="22"/>
          <w:szCs w:val="22"/>
        </w:rPr>
        <w:t>la crescita già segnalata lo scorso anno</w:t>
      </w:r>
      <w:r w:rsidR="005F6C7F">
        <w:rPr>
          <w:rFonts w:asciiTheme="minorHAnsi" w:eastAsia="Calibri" w:hAnsiTheme="minorHAnsi" w:cstheme="minorHAnsi"/>
          <w:sz w:val="22"/>
          <w:szCs w:val="22"/>
        </w:rPr>
        <w:t>,</w:t>
      </w:r>
      <w:r w:rsidR="007804CC">
        <w:rPr>
          <w:rFonts w:asciiTheme="minorHAnsi" w:eastAsia="Calibri" w:hAnsiTheme="minorHAnsi" w:cstheme="minorHAnsi"/>
          <w:sz w:val="22"/>
          <w:szCs w:val="22"/>
        </w:rPr>
        <w:t xml:space="preserve"> che può essere ricondotta a</w:t>
      </w:r>
      <w:r w:rsidR="004E7027" w:rsidRPr="00EA664A">
        <w:rPr>
          <w:rFonts w:asciiTheme="minorHAnsi" w:eastAsia="Calibri" w:hAnsiTheme="minorHAnsi" w:cstheme="minorHAnsi"/>
          <w:color w:val="000000" w:themeColor="text1"/>
          <w:sz w:val="22"/>
          <w:szCs w:val="22"/>
        </w:rPr>
        <w:t xml:space="preserve"> </w:t>
      </w:r>
      <w:r w:rsidR="00B3675A" w:rsidRPr="00EA664A">
        <w:rPr>
          <w:rFonts w:asciiTheme="minorHAnsi" w:eastAsia="Calibri" w:hAnsiTheme="minorHAnsi" w:cstheme="minorHAnsi"/>
          <w:color w:val="000000" w:themeColor="text1"/>
          <w:sz w:val="22"/>
          <w:szCs w:val="22"/>
        </w:rPr>
        <w:t xml:space="preserve">diversi fattori, tra i quali </w:t>
      </w:r>
      <w:r w:rsidRPr="00EA664A">
        <w:rPr>
          <w:rFonts w:asciiTheme="minorHAnsi" w:eastAsia="Calibri" w:hAnsiTheme="minorHAnsi" w:cstheme="minorHAnsi"/>
          <w:color w:val="000000" w:themeColor="text1"/>
          <w:sz w:val="22"/>
          <w:szCs w:val="22"/>
        </w:rPr>
        <w:t>l’allentamento delle restrizioni</w:t>
      </w:r>
      <w:r w:rsidR="00B3675A" w:rsidRPr="00EA664A">
        <w:rPr>
          <w:rFonts w:asciiTheme="minorHAnsi" w:eastAsia="Calibri" w:hAnsiTheme="minorHAnsi" w:cstheme="minorHAnsi"/>
          <w:color w:val="000000" w:themeColor="text1"/>
          <w:sz w:val="22"/>
          <w:szCs w:val="22"/>
        </w:rPr>
        <w:t xml:space="preserve">, </w:t>
      </w:r>
      <w:r w:rsidR="00EA664A" w:rsidRPr="00EA664A">
        <w:rPr>
          <w:rFonts w:asciiTheme="minorHAnsi" w:eastAsia="Calibri" w:hAnsiTheme="minorHAnsi" w:cstheme="minorHAnsi"/>
          <w:color w:val="000000" w:themeColor="text1"/>
          <w:sz w:val="22"/>
          <w:szCs w:val="22"/>
        </w:rPr>
        <w:t>l’aumento dei flussi turistici</w:t>
      </w:r>
      <w:r w:rsidR="009C72B2" w:rsidRPr="00EA664A">
        <w:rPr>
          <w:rFonts w:asciiTheme="minorHAnsi" w:eastAsia="Calibri" w:hAnsiTheme="minorHAnsi" w:cstheme="minorHAnsi"/>
          <w:color w:val="000000" w:themeColor="text1"/>
          <w:sz w:val="22"/>
          <w:szCs w:val="22"/>
        </w:rPr>
        <w:t>,</w:t>
      </w:r>
      <w:r w:rsidR="00B3675A" w:rsidRPr="00EA664A">
        <w:rPr>
          <w:rFonts w:asciiTheme="minorHAnsi" w:eastAsia="Calibri" w:hAnsiTheme="minorHAnsi" w:cstheme="minorHAnsi"/>
          <w:color w:val="000000" w:themeColor="text1"/>
          <w:sz w:val="22"/>
          <w:szCs w:val="22"/>
        </w:rPr>
        <w:t xml:space="preserve"> così come il ritorno dell’interesse della domanda verso il bene casa</w:t>
      </w:r>
      <w:r w:rsidR="00776064">
        <w:rPr>
          <w:rFonts w:asciiTheme="minorHAnsi" w:eastAsia="Calibri" w:hAnsiTheme="minorHAnsi" w:cstheme="minorHAnsi"/>
          <w:color w:val="000000" w:themeColor="text1"/>
          <w:sz w:val="22"/>
          <w:szCs w:val="22"/>
        </w:rPr>
        <w:t>, nonché l’esigenza di gratificazioni dopo un periodo di privazioni</w:t>
      </w:r>
      <w:r w:rsidR="00593572">
        <w:rPr>
          <w:rFonts w:asciiTheme="minorHAnsi" w:eastAsia="Calibri" w:hAnsiTheme="minorHAnsi" w:cstheme="minorHAnsi"/>
          <w:color w:val="000000" w:themeColor="text1"/>
          <w:sz w:val="22"/>
          <w:szCs w:val="22"/>
        </w:rPr>
        <w:t>.</w:t>
      </w:r>
    </w:p>
    <w:p w14:paraId="4A7F99BA" w14:textId="054292D7" w:rsidR="002178FF" w:rsidRDefault="00593572" w:rsidP="002178FF">
      <w:pPr>
        <w:spacing w:after="120"/>
        <w:rPr>
          <w:rFonts w:asciiTheme="minorHAnsi" w:eastAsia="Calibri" w:hAnsiTheme="minorHAnsi" w:cstheme="minorHAnsi"/>
          <w:sz w:val="22"/>
          <w:szCs w:val="22"/>
        </w:rPr>
      </w:pPr>
      <w:r w:rsidRPr="005F6C7F">
        <w:rPr>
          <w:rFonts w:asciiTheme="minorHAnsi" w:eastAsia="Calibri" w:hAnsiTheme="minorHAnsi" w:cstheme="minorHAnsi"/>
          <w:sz w:val="22"/>
          <w:szCs w:val="22"/>
        </w:rPr>
        <w:t>La variazione media</w:t>
      </w:r>
      <w:r w:rsidR="005F6C7F" w:rsidRPr="005F6C7F">
        <w:rPr>
          <w:rFonts w:asciiTheme="minorHAnsi" w:eastAsia="Calibri" w:hAnsiTheme="minorHAnsi" w:cstheme="minorHAnsi"/>
          <w:sz w:val="22"/>
          <w:szCs w:val="22"/>
        </w:rPr>
        <w:t xml:space="preserve"> delle quotazioni</w:t>
      </w:r>
      <w:r w:rsidRPr="005F6C7F">
        <w:rPr>
          <w:rFonts w:asciiTheme="minorHAnsi" w:eastAsia="Calibri" w:hAnsiTheme="minorHAnsi" w:cstheme="minorHAnsi"/>
          <w:sz w:val="22"/>
          <w:szCs w:val="22"/>
        </w:rPr>
        <w:t>, sintesi dei mercati top, centrali e periferici delle singole località turistiche monitorate</w:t>
      </w:r>
      <w:r w:rsidR="00776064">
        <w:rPr>
          <w:rFonts w:asciiTheme="minorHAnsi" w:eastAsia="Calibri" w:hAnsiTheme="minorHAnsi" w:cstheme="minorHAnsi"/>
          <w:sz w:val="22"/>
          <w:szCs w:val="22"/>
        </w:rPr>
        <w:t xml:space="preserve"> evidenzia</w:t>
      </w:r>
      <w:r w:rsidRPr="005F6C7F">
        <w:rPr>
          <w:rFonts w:asciiTheme="minorHAnsi" w:eastAsia="Calibri" w:hAnsiTheme="minorHAnsi" w:cstheme="minorHAnsi"/>
          <w:sz w:val="22"/>
          <w:szCs w:val="22"/>
        </w:rPr>
        <w:t xml:space="preserve">, </w:t>
      </w:r>
      <w:r w:rsidR="006B29DD" w:rsidRPr="005F6C7F">
        <w:rPr>
          <w:rFonts w:asciiTheme="minorHAnsi" w:eastAsia="Calibri" w:hAnsiTheme="minorHAnsi" w:cstheme="minorHAnsi"/>
          <w:sz w:val="22"/>
          <w:szCs w:val="22"/>
        </w:rPr>
        <w:t>infatti</w:t>
      </w:r>
      <w:r w:rsidR="002A6F49">
        <w:rPr>
          <w:rFonts w:asciiTheme="minorHAnsi" w:eastAsia="Calibri" w:hAnsiTheme="minorHAnsi" w:cstheme="minorHAnsi"/>
          <w:sz w:val="22"/>
          <w:szCs w:val="22"/>
        </w:rPr>
        <w:t>,</w:t>
      </w:r>
      <w:r w:rsidR="006B29DD" w:rsidRPr="005F6C7F">
        <w:rPr>
          <w:rFonts w:asciiTheme="minorHAnsi" w:eastAsia="Calibri" w:hAnsiTheme="minorHAnsi" w:cstheme="minorHAnsi"/>
          <w:sz w:val="22"/>
          <w:szCs w:val="22"/>
        </w:rPr>
        <w:t xml:space="preserve"> </w:t>
      </w:r>
      <w:r w:rsidRPr="005F6C7F">
        <w:rPr>
          <w:rFonts w:asciiTheme="minorHAnsi" w:eastAsia="Calibri" w:hAnsiTheme="minorHAnsi" w:cstheme="minorHAnsi"/>
          <w:sz w:val="22"/>
          <w:szCs w:val="22"/>
        </w:rPr>
        <w:t>un aumento</w:t>
      </w:r>
      <w:r w:rsidR="005F6C7F" w:rsidRPr="005F6C7F">
        <w:rPr>
          <w:rFonts w:asciiTheme="minorHAnsi" w:eastAsia="Calibri" w:hAnsiTheme="minorHAnsi" w:cstheme="minorHAnsi"/>
          <w:sz w:val="22"/>
          <w:szCs w:val="22"/>
        </w:rPr>
        <w:t xml:space="preserve"> </w:t>
      </w:r>
      <w:r w:rsidR="00776064">
        <w:rPr>
          <w:rFonts w:asciiTheme="minorHAnsi" w:eastAsia="Calibri" w:hAnsiTheme="minorHAnsi" w:cstheme="minorHAnsi"/>
          <w:sz w:val="22"/>
          <w:szCs w:val="22"/>
        </w:rPr>
        <w:t xml:space="preserve">su base </w:t>
      </w:r>
      <w:r w:rsidR="005F6C7F" w:rsidRPr="005F6C7F">
        <w:rPr>
          <w:rFonts w:asciiTheme="minorHAnsi" w:eastAsia="Calibri" w:hAnsiTheme="minorHAnsi" w:cstheme="minorHAnsi"/>
          <w:sz w:val="22"/>
          <w:szCs w:val="22"/>
        </w:rPr>
        <w:t>ann</w:t>
      </w:r>
      <w:r w:rsidR="00E94B3B">
        <w:rPr>
          <w:rFonts w:asciiTheme="minorHAnsi" w:eastAsia="Calibri" w:hAnsiTheme="minorHAnsi" w:cstheme="minorHAnsi"/>
          <w:sz w:val="22"/>
          <w:szCs w:val="22"/>
        </w:rPr>
        <w:t>u</w:t>
      </w:r>
      <w:r w:rsidR="00776064">
        <w:rPr>
          <w:rFonts w:asciiTheme="minorHAnsi" w:eastAsia="Calibri" w:hAnsiTheme="minorHAnsi" w:cstheme="minorHAnsi"/>
          <w:sz w:val="22"/>
          <w:szCs w:val="22"/>
        </w:rPr>
        <w:t>a</w:t>
      </w:r>
      <w:r w:rsidRPr="005F6C7F">
        <w:rPr>
          <w:rFonts w:asciiTheme="minorHAnsi" w:eastAsia="Calibri" w:hAnsiTheme="minorHAnsi" w:cstheme="minorHAnsi"/>
          <w:sz w:val="22"/>
          <w:szCs w:val="22"/>
        </w:rPr>
        <w:t xml:space="preserve"> del 3,2</w:t>
      </w:r>
      <w:r w:rsidR="00D67331">
        <w:rPr>
          <w:rFonts w:asciiTheme="minorHAnsi" w:eastAsia="Calibri" w:hAnsiTheme="minorHAnsi" w:cstheme="minorHAnsi"/>
          <w:sz w:val="22"/>
          <w:szCs w:val="22"/>
        </w:rPr>
        <w:t>%</w:t>
      </w:r>
      <w:r w:rsidRPr="005F6C7F">
        <w:rPr>
          <w:rFonts w:asciiTheme="minorHAnsi" w:eastAsia="Calibri" w:hAnsiTheme="minorHAnsi" w:cstheme="minorHAnsi"/>
          <w:sz w:val="22"/>
          <w:szCs w:val="22"/>
        </w:rPr>
        <w:t>.</w:t>
      </w:r>
      <w:r w:rsidR="00D67331">
        <w:rPr>
          <w:rFonts w:asciiTheme="minorHAnsi" w:eastAsia="Calibri" w:hAnsiTheme="minorHAnsi" w:cstheme="minorHAnsi"/>
          <w:sz w:val="22"/>
          <w:szCs w:val="22"/>
        </w:rPr>
        <w:t xml:space="preserve"> </w:t>
      </w:r>
    </w:p>
    <w:p w14:paraId="76DB806B" w14:textId="77777777" w:rsidR="002178FF" w:rsidRDefault="00B152BE" w:rsidP="002178FF">
      <w:pPr>
        <w:spacing w:after="120"/>
        <w:rPr>
          <w:rFonts w:asciiTheme="minorHAnsi" w:eastAsia="Calibri" w:hAnsiTheme="minorHAnsi" w:cstheme="minorHAnsi"/>
          <w:sz w:val="22"/>
          <w:szCs w:val="22"/>
        </w:rPr>
      </w:pPr>
      <w:r>
        <w:rPr>
          <w:rFonts w:asciiTheme="minorHAnsi" w:eastAsia="Calibri" w:hAnsiTheme="minorHAnsi" w:cstheme="minorHAnsi"/>
          <w:sz w:val="22"/>
          <w:szCs w:val="22"/>
        </w:rPr>
        <w:t>La ripresa dei valori di mercato delle abitazioni riguarda - come accennato - tutte le località turistiche</w:t>
      </w:r>
      <w:r w:rsidR="00E35FBB">
        <w:rPr>
          <w:rFonts w:asciiTheme="minorHAnsi" w:eastAsia="Calibri" w:hAnsiTheme="minorHAnsi" w:cstheme="minorHAnsi"/>
          <w:sz w:val="22"/>
          <w:szCs w:val="22"/>
        </w:rPr>
        <w:t>,</w:t>
      </w:r>
      <w:r>
        <w:rPr>
          <w:rFonts w:asciiTheme="minorHAnsi" w:eastAsia="Calibri" w:hAnsiTheme="minorHAnsi" w:cstheme="minorHAnsi"/>
          <w:sz w:val="22"/>
          <w:szCs w:val="22"/>
        </w:rPr>
        <w:t xml:space="preserve"> seppure con intensità diverse.</w:t>
      </w:r>
      <w:r w:rsidR="002178FF">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Le case vacanze in montagna e al lago mostrano l’incremento più elevato, con variazioni medie che oscillano tra +3,7% a +5%, mentre le abitazioni al mare presentano una variazione media più contenuta che si mantiene nel </w:t>
      </w:r>
      <w:proofErr w:type="spellStart"/>
      <w:r>
        <w:rPr>
          <w:rFonts w:asciiTheme="minorHAnsi" w:eastAsia="Calibri" w:hAnsiTheme="minorHAnsi" w:cstheme="minorHAnsi"/>
          <w:sz w:val="22"/>
          <w:szCs w:val="22"/>
        </w:rPr>
        <w:t>range</w:t>
      </w:r>
      <w:proofErr w:type="spellEnd"/>
      <w:r>
        <w:rPr>
          <w:rFonts w:asciiTheme="minorHAnsi" w:eastAsia="Calibri" w:hAnsiTheme="minorHAnsi" w:cstheme="minorHAnsi"/>
          <w:sz w:val="22"/>
          <w:szCs w:val="22"/>
        </w:rPr>
        <w:t xml:space="preserve"> tra +2,2% e +2,8%.</w:t>
      </w:r>
      <w:r w:rsidR="002178FF">
        <w:rPr>
          <w:rFonts w:asciiTheme="minorHAnsi" w:eastAsia="Calibri" w:hAnsiTheme="minorHAnsi" w:cstheme="minorHAnsi"/>
          <w:sz w:val="22"/>
          <w:szCs w:val="22"/>
        </w:rPr>
        <w:t xml:space="preserve"> </w:t>
      </w:r>
    </w:p>
    <w:p w14:paraId="58D5C5FC" w14:textId="77777777" w:rsidR="00C80C91" w:rsidRDefault="00C80C91" w:rsidP="00B152BE">
      <w:pPr>
        <w:pStyle w:val="xmsonormal"/>
        <w:shd w:val="clear" w:color="auto" w:fill="FFFFFF"/>
        <w:spacing w:after="120"/>
        <w:jc w:val="both"/>
        <w:rPr>
          <w:rFonts w:asciiTheme="minorHAnsi" w:eastAsia="Calibr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1505"/>
        <w:gridCol w:w="1281"/>
        <w:gridCol w:w="1281"/>
        <w:gridCol w:w="1609"/>
        <w:gridCol w:w="1273"/>
        <w:gridCol w:w="1378"/>
        <w:gridCol w:w="1306"/>
      </w:tblGrid>
      <w:tr w:rsidR="00B152BE" w:rsidRPr="00B152BE" w14:paraId="206519EC" w14:textId="77777777" w:rsidTr="00E35FBB">
        <w:trPr>
          <w:trHeight w:val="255"/>
        </w:trPr>
        <w:tc>
          <w:tcPr>
            <w:tcW w:w="2111" w:type="pct"/>
            <w:gridSpan w:val="3"/>
            <w:vMerge w:val="restart"/>
            <w:tcBorders>
              <w:top w:val="nil"/>
              <w:left w:val="nil"/>
              <w:right w:val="nil"/>
            </w:tcBorders>
            <w:shd w:val="clear" w:color="auto" w:fill="auto"/>
            <w:noWrap/>
            <w:vAlign w:val="bottom"/>
            <w:hideMark/>
          </w:tcPr>
          <w:p w14:paraId="27E354F2" w14:textId="78851A61" w:rsidR="00B152BE" w:rsidRPr="00CE2041" w:rsidRDefault="00B152BE" w:rsidP="00B152BE">
            <w:pPr>
              <w:spacing w:after="60"/>
              <w:jc w:val="left"/>
              <w:rPr>
                <w:rFonts w:asciiTheme="minorHAnsi" w:eastAsia="Calibri" w:hAnsiTheme="minorHAnsi" w:cstheme="minorHAnsi"/>
                <w:b/>
                <w:bCs/>
                <w:color w:val="000000" w:themeColor="text1"/>
                <w:sz w:val="20"/>
                <w:szCs w:val="22"/>
              </w:rPr>
            </w:pPr>
            <w:r w:rsidRPr="00CE2041">
              <w:rPr>
                <w:rFonts w:asciiTheme="minorHAnsi" w:eastAsia="Calibri" w:hAnsiTheme="minorHAnsi" w:cstheme="minorHAnsi"/>
                <w:b/>
                <w:bCs/>
                <w:color w:val="000000" w:themeColor="text1"/>
                <w:sz w:val="20"/>
                <w:szCs w:val="22"/>
              </w:rPr>
              <w:t xml:space="preserve">Tavola </w:t>
            </w:r>
            <w:r w:rsidR="00CE2041" w:rsidRPr="00CE2041">
              <w:rPr>
                <w:rFonts w:asciiTheme="minorHAnsi" w:eastAsia="Calibri" w:hAnsiTheme="minorHAnsi" w:cstheme="minorHAnsi"/>
                <w:b/>
                <w:bCs/>
                <w:color w:val="000000" w:themeColor="text1"/>
                <w:sz w:val="20"/>
                <w:szCs w:val="22"/>
              </w:rPr>
              <w:t>2</w:t>
            </w:r>
          </w:p>
          <w:p w14:paraId="4363B537" w14:textId="77777777" w:rsidR="00B152BE" w:rsidRPr="00B152BE" w:rsidRDefault="00B152BE" w:rsidP="00B152BE">
            <w:pPr>
              <w:jc w:val="left"/>
              <w:rPr>
                <w:color w:val="000000" w:themeColor="text1"/>
                <w:sz w:val="20"/>
              </w:rPr>
            </w:pPr>
          </w:p>
        </w:tc>
        <w:tc>
          <w:tcPr>
            <w:tcW w:w="835" w:type="pct"/>
            <w:tcBorders>
              <w:top w:val="nil"/>
              <w:left w:val="nil"/>
              <w:bottom w:val="nil"/>
              <w:right w:val="nil"/>
            </w:tcBorders>
            <w:shd w:val="clear" w:color="auto" w:fill="auto"/>
            <w:noWrap/>
            <w:vAlign w:val="bottom"/>
            <w:hideMark/>
          </w:tcPr>
          <w:p w14:paraId="632BE4F5" w14:textId="77777777" w:rsidR="00B152BE" w:rsidRPr="00B152BE" w:rsidRDefault="00B152BE" w:rsidP="00B152BE">
            <w:pPr>
              <w:jc w:val="right"/>
              <w:rPr>
                <w:rFonts w:ascii="Calibri" w:hAnsi="Calibri" w:cs="Calibri"/>
                <w:color w:val="000000" w:themeColor="text1"/>
                <w:sz w:val="20"/>
              </w:rPr>
            </w:pPr>
            <w:proofErr w:type="spellStart"/>
            <w:r w:rsidRPr="00B152BE">
              <w:rPr>
                <w:rFonts w:ascii="Calibri" w:hAnsi="Calibri" w:cs="Calibri"/>
                <w:color w:val="000000" w:themeColor="text1"/>
                <w:sz w:val="20"/>
              </w:rPr>
              <w:t>Var</w:t>
            </w:r>
            <w:proofErr w:type="spellEnd"/>
            <w:r w:rsidRPr="00B152BE">
              <w:rPr>
                <w:rFonts w:ascii="Calibri" w:hAnsi="Calibri" w:cs="Calibri"/>
                <w:color w:val="000000" w:themeColor="text1"/>
                <w:sz w:val="20"/>
              </w:rPr>
              <w:t>.% valori medi</w:t>
            </w:r>
          </w:p>
        </w:tc>
        <w:tc>
          <w:tcPr>
            <w:tcW w:w="661" w:type="pct"/>
            <w:tcBorders>
              <w:top w:val="single" w:sz="4" w:space="0" w:color="auto"/>
              <w:left w:val="single" w:sz="4" w:space="0" w:color="auto"/>
              <w:bottom w:val="nil"/>
              <w:right w:val="nil"/>
            </w:tcBorders>
            <w:shd w:val="clear" w:color="auto" w:fill="BDD6EE" w:themeFill="accent1" w:themeFillTint="66"/>
            <w:noWrap/>
            <w:vAlign w:val="bottom"/>
            <w:hideMark/>
          </w:tcPr>
          <w:p w14:paraId="25FB6D03" w14:textId="77777777" w:rsidR="00B152BE" w:rsidRPr="00B152BE" w:rsidRDefault="00B152BE" w:rsidP="00B152BE">
            <w:pPr>
              <w:jc w:val="center"/>
              <w:rPr>
                <w:rFonts w:ascii="Calibri" w:hAnsi="Calibri" w:cs="Calibri"/>
                <w:b/>
                <w:bCs/>
                <w:sz w:val="20"/>
              </w:rPr>
            </w:pPr>
            <w:r w:rsidRPr="00B152BE">
              <w:rPr>
                <w:rFonts w:ascii="Calibri" w:hAnsi="Calibri" w:cs="Calibri"/>
                <w:b/>
                <w:bCs/>
                <w:sz w:val="20"/>
              </w:rPr>
              <w:t>Top</w:t>
            </w:r>
          </w:p>
        </w:tc>
        <w:tc>
          <w:tcPr>
            <w:tcW w:w="715" w:type="pct"/>
            <w:tcBorders>
              <w:top w:val="single" w:sz="4" w:space="0" w:color="auto"/>
              <w:left w:val="nil"/>
              <w:bottom w:val="nil"/>
              <w:right w:val="nil"/>
            </w:tcBorders>
            <w:shd w:val="clear" w:color="auto" w:fill="BDD6EE" w:themeFill="accent1" w:themeFillTint="66"/>
            <w:noWrap/>
            <w:vAlign w:val="bottom"/>
            <w:hideMark/>
          </w:tcPr>
          <w:p w14:paraId="3991D60B" w14:textId="5D49189D" w:rsidR="00B152BE" w:rsidRPr="00B152BE" w:rsidRDefault="00B152BE" w:rsidP="00B152BE">
            <w:pPr>
              <w:jc w:val="center"/>
              <w:rPr>
                <w:rFonts w:ascii="Calibri" w:hAnsi="Calibri" w:cs="Calibri"/>
                <w:b/>
                <w:bCs/>
                <w:sz w:val="20"/>
              </w:rPr>
            </w:pPr>
            <w:r w:rsidRPr="00B152BE">
              <w:rPr>
                <w:rFonts w:ascii="Calibri" w:hAnsi="Calibri" w:cs="Calibri"/>
                <w:b/>
                <w:bCs/>
                <w:sz w:val="20"/>
              </w:rPr>
              <w:t>Cent</w:t>
            </w:r>
            <w:r w:rsidRPr="00E35FBB">
              <w:rPr>
                <w:rFonts w:ascii="Calibri" w:hAnsi="Calibri" w:cs="Calibri"/>
                <w:b/>
                <w:bCs/>
                <w:sz w:val="20"/>
              </w:rPr>
              <w:t>ro</w:t>
            </w:r>
          </w:p>
        </w:tc>
        <w:tc>
          <w:tcPr>
            <w:tcW w:w="678" w:type="pct"/>
            <w:tcBorders>
              <w:top w:val="single" w:sz="4" w:space="0" w:color="auto"/>
              <w:left w:val="nil"/>
              <w:bottom w:val="nil"/>
              <w:right w:val="single" w:sz="4" w:space="0" w:color="auto"/>
            </w:tcBorders>
            <w:shd w:val="clear" w:color="auto" w:fill="BDD6EE" w:themeFill="accent1" w:themeFillTint="66"/>
            <w:noWrap/>
            <w:vAlign w:val="bottom"/>
            <w:hideMark/>
          </w:tcPr>
          <w:p w14:paraId="2ACD488D" w14:textId="6D43C652" w:rsidR="00B152BE" w:rsidRPr="00B152BE" w:rsidRDefault="00B152BE" w:rsidP="00B152BE">
            <w:pPr>
              <w:jc w:val="center"/>
              <w:rPr>
                <w:rFonts w:ascii="Calibri" w:hAnsi="Calibri" w:cs="Calibri"/>
                <w:b/>
                <w:bCs/>
                <w:sz w:val="20"/>
              </w:rPr>
            </w:pPr>
            <w:r w:rsidRPr="00B152BE">
              <w:rPr>
                <w:rFonts w:ascii="Calibri" w:hAnsi="Calibri" w:cs="Calibri"/>
                <w:b/>
                <w:bCs/>
                <w:sz w:val="20"/>
              </w:rPr>
              <w:t>Perif</w:t>
            </w:r>
            <w:r w:rsidRPr="00E35FBB">
              <w:rPr>
                <w:rFonts w:ascii="Calibri" w:hAnsi="Calibri" w:cs="Calibri"/>
                <w:b/>
                <w:bCs/>
                <w:sz w:val="20"/>
              </w:rPr>
              <w:t>eria</w:t>
            </w:r>
          </w:p>
        </w:tc>
      </w:tr>
      <w:tr w:rsidR="00B152BE" w:rsidRPr="00B152BE" w14:paraId="2785CE27" w14:textId="77777777" w:rsidTr="00E35FBB">
        <w:trPr>
          <w:trHeight w:val="255"/>
        </w:trPr>
        <w:tc>
          <w:tcPr>
            <w:tcW w:w="2111" w:type="pct"/>
            <w:gridSpan w:val="3"/>
            <w:vMerge/>
            <w:tcBorders>
              <w:left w:val="nil"/>
              <w:bottom w:val="nil"/>
              <w:right w:val="nil"/>
            </w:tcBorders>
            <w:shd w:val="clear" w:color="auto" w:fill="auto"/>
            <w:noWrap/>
            <w:vAlign w:val="bottom"/>
            <w:hideMark/>
          </w:tcPr>
          <w:p w14:paraId="0F5D322E" w14:textId="77777777" w:rsidR="00B152BE" w:rsidRPr="00B152BE" w:rsidRDefault="00B152BE" w:rsidP="00B152BE">
            <w:pPr>
              <w:jc w:val="left"/>
              <w:rPr>
                <w:sz w:val="20"/>
              </w:rPr>
            </w:pPr>
          </w:p>
        </w:tc>
        <w:tc>
          <w:tcPr>
            <w:tcW w:w="835" w:type="pct"/>
            <w:tcBorders>
              <w:top w:val="nil"/>
              <w:left w:val="nil"/>
              <w:bottom w:val="nil"/>
              <w:right w:val="nil"/>
            </w:tcBorders>
            <w:shd w:val="clear" w:color="auto" w:fill="auto"/>
            <w:noWrap/>
            <w:vAlign w:val="bottom"/>
            <w:hideMark/>
          </w:tcPr>
          <w:p w14:paraId="055ABBBF" w14:textId="77777777" w:rsidR="00B152BE" w:rsidRPr="00B152BE" w:rsidRDefault="00B152BE" w:rsidP="00B152BE">
            <w:pPr>
              <w:jc w:val="left"/>
              <w:rPr>
                <w:sz w:val="20"/>
              </w:rPr>
            </w:pPr>
          </w:p>
        </w:tc>
        <w:tc>
          <w:tcPr>
            <w:tcW w:w="661" w:type="pct"/>
            <w:tcBorders>
              <w:top w:val="nil"/>
              <w:left w:val="single" w:sz="4" w:space="0" w:color="auto"/>
              <w:bottom w:val="single" w:sz="4" w:space="0" w:color="auto"/>
              <w:right w:val="nil"/>
            </w:tcBorders>
            <w:shd w:val="clear" w:color="auto" w:fill="BDD6EE" w:themeFill="accent1" w:themeFillTint="66"/>
            <w:noWrap/>
            <w:vAlign w:val="bottom"/>
            <w:hideMark/>
          </w:tcPr>
          <w:p w14:paraId="04E1483C" w14:textId="77777777" w:rsidR="00B152BE" w:rsidRPr="00B152BE" w:rsidRDefault="00B152BE" w:rsidP="00B152BE">
            <w:pPr>
              <w:jc w:val="center"/>
              <w:rPr>
                <w:rFonts w:ascii="Calibri" w:hAnsi="Calibri" w:cs="Calibri"/>
                <w:b/>
                <w:bCs/>
                <w:sz w:val="20"/>
              </w:rPr>
            </w:pPr>
            <w:proofErr w:type="gramStart"/>
            <w:r w:rsidRPr="00B152BE">
              <w:rPr>
                <w:rFonts w:ascii="Calibri" w:hAnsi="Calibri" w:cs="Calibri"/>
                <w:b/>
                <w:bCs/>
                <w:sz w:val="20"/>
              </w:rPr>
              <w:t>nuovi</w:t>
            </w:r>
            <w:proofErr w:type="gramEnd"/>
          </w:p>
        </w:tc>
        <w:tc>
          <w:tcPr>
            <w:tcW w:w="715" w:type="pct"/>
            <w:tcBorders>
              <w:top w:val="nil"/>
              <w:left w:val="nil"/>
              <w:bottom w:val="single" w:sz="4" w:space="0" w:color="auto"/>
              <w:right w:val="nil"/>
            </w:tcBorders>
            <w:shd w:val="clear" w:color="auto" w:fill="BDD6EE" w:themeFill="accent1" w:themeFillTint="66"/>
            <w:noWrap/>
            <w:vAlign w:val="bottom"/>
            <w:hideMark/>
          </w:tcPr>
          <w:p w14:paraId="519CE1F7" w14:textId="77777777" w:rsidR="00B152BE" w:rsidRPr="00B152BE" w:rsidRDefault="00B152BE" w:rsidP="00B152BE">
            <w:pPr>
              <w:jc w:val="center"/>
              <w:rPr>
                <w:rFonts w:ascii="Calibri" w:hAnsi="Calibri" w:cs="Calibri"/>
                <w:b/>
                <w:bCs/>
                <w:sz w:val="20"/>
              </w:rPr>
            </w:pPr>
            <w:proofErr w:type="gramStart"/>
            <w:r w:rsidRPr="00B152BE">
              <w:rPr>
                <w:rFonts w:ascii="Calibri" w:hAnsi="Calibri" w:cs="Calibri"/>
                <w:b/>
                <w:bCs/>
                <w:sz w:val="20"/>
              </w:rPr>
              <w:t>usati</w:t>
            </w:r>
            <w:proofErr w:type="gramEnd"/>
          </w:p>
        </w:tc>
        <w:tc>
          <w:tcPr>
            <w:tcW w:w="678" w:type="pct"/>
            <w:tcBorders>
              <w:top w:val="nil"/>
              <w:left w:val="nil"/>
              <w:bottom w:val="single" w:sz="4" w:space="0" w:color="auto"/>
              <w:right w:val="single" w:sz="4" w:space="0" w:color="auto"/>
            </w:tcBorders>
            <w:shd w:val="clear" w:color="auto" w:fill="BDD6EE" w:themeFill="accent1" w:themeFillTint="66"/>
            <w:noWrap/>
            <w:vAlign w:val="bottom"/>
            <w:hideMark/>
          </w:tcPr>
          <w:p w14:paraId="0A95951A" w14:textId="77777777" w:rsidR="00B152BE" w:rsidRPr="00B152BE" w:rsidRDefault="00B152BE" w:rsidP="00B152BE">
            <w:pPr>
              <w:jc w:val="center"/>
              <w:rPr>
                <w:rFonts w:ascii="Calibri" w:hAnsi="Calibri" w:cs="Calibri"/>
                <w:b/>
                <w:bCs/>
                <w:sz w:val="20"/>
              </w:rPr>
            </w:pPr>
            <w:proofErr w:type="gramStart"/>
            <w:r w:rsidRPr="00B152BE">
              <w:rPr>
                <w:rFonts w:ascii="Calibri" w:hAnsi="Calibri" w:cs="Calibri"/>
                <w:b/>
                <w:bCs/>
                <w:sz w:val="20"/>
              </w:rPr>
              <w:t>usati</w:t>
            </w:r>
            <w:proofErr w:type="gramEnd"/>
          </w:p>
        </w:tc>
      </w:tr>
      <w:tr w:rsidR="00E35FBB" w:rsidRPr="00B152BE" w14:paraId="070A2F44" w14:textId="77777777" w:rsidTr="00E35FBB">
        <w:trPr>
          <w:trHeight w:val="255"/>
        </w:trPr>
        <w:tc>
          <w:tcPr>
            <w:tcW w:w="781" w:type="pct"/>
            <w:tcBorders>
              <w:top w:val="single" w:sz="4" w:space="0" w:color="auto"/>
              <w:left w:val="single" w:sz="4" w:space="0" w:color="auto"/>
              <w:bottom w:val="nil"/>
              <w:right w:val="nil"/>
            </w:tcBorders>
            <w:shd w:val="clear" w:color="auto" w:fill="F2F2F2" w:themeFill="background1" w:themeFillShade="F2"/>
            <w:noWrap/>
            <w:vAlign w:val="bottom"/>
            <w:hideMark/>
          </w:tcPr>
          <w:p w14:paraId="5342817D" w14:textId="77777777" w:rsidR="00B152BE" w:rsidRPr="00B152BE" w:rsidRDefault="00B152BE" w:rsidP="00B152BE">
            <w:pPr>
              <w:jc w:val="left"/>
              <w:rPr>
                <w:rFonts w:ascii="Calibri" w:hAnsi="Calibri" w:cs="Calibri"/>
                <w:color w:val="000000"/>
                <w:sz w:val="20"/>
              </w:rPr>
            </w:pPr>
            <w:r w:rsidRPr="00B152BE">
              <w:rPr>
                <w:rFonts w:ascii="Calibri" w:hAnsi="Calibri" w:cs="Calibri"/>
                <w:color w:val="000000"/>
                <w:sz w:val="20"/>
              </w:rPr>
              <w:t>Mare</w:t>
            </w:r>
          </w:p>
        </w:tc>
        <w:tc>
          <w:tcPr>
            <w:tcW w:w="665" w:type="pct"/>
            <w:tcBorders>
              <w:top w:val="single" w:sz="4" w:space="0" w:color="auto"/>
              <w:left w:val="nil"/>
              <w:bottom w:val="nil"/>
              <w:right w:val="nil"/>
            </w:tcBorders>
            <w:shd w:val="clear" w:color="auto" w:fill="F2F2F2" w:themeFill="background1" w:themeFillShade="F2"/>
            <w:noWrap/>
            <w:vAlign w:val="bottom"/>
            <w:hideMark/>
          </w:tcPr>
          <w:p w14:paraId="396E71A7" w14:textId="77777777" w:rsidR="00B152BE" w:rsidRPr="00B152BE" w:rsidRDefault="00B152BE" w:rsidP="00B152BE">
            <w:pPr>
              <w:jc w:val="left"/>
              <w:rPr>
                <w:rFonts w:ascii="Calibri" w:hAnsi="Calibri" w:cs="Calibri"/>
                <w:color w:val="000000"/>
                <w:sz w:val="20"/>
              </w:rPr>
            </w:pPr>
            <w:r w:rsidRPr="00B152BE">
              <w:rPr>
                <w:rFonts w:ascii="Calibri" w:hAnsi="Calibri" w:cs="Calibri"/>
                <w:color w:val="000000"/>
                <w:sz w:val="20"/>
              </w:rPr>
              <w:t> </w:t>
            </w:r>
          </w:p>
        </w:tc>
        <w:tc>
          <w:tcPr>
            <w:tcW w:w="665" w:type="pct"/>
            <w:tcBorders>
              <w:top w:val="single" w:sz="4" w:space="0" w:color="auto"/>
              <w:left w:val="nil"/>
              <w:bottom w:val="nil"/>
              <w:right w:val="nil"/>
            </w:tcBorders>
            <w:shd w:val="clear" w:color="auto" w:fill="F2F2F2" w:themeFill="background1" w:themeFillShade="F2"/>
            <w:noWrap/>
            <w:vAlign w:val="bottom"/>
            <w:hideMark/>
          </w:tcPr>
          <w:p w14:paraId="5D0AD3F4" w14:textId="77777777" w:rsidR="00B152BE" w:rsidRPr="00B152BE" w:rsidRDefault="00B152BE" w:rsidP="00B152BE">
            <w:pPr>
              <w:jc w:val="left"/>
              <w:rPr>
                <w:rFonts w:ascii="Calibri" w:hAnsi="Calibri" w:cs="Calibri"/>
                <w:color w:val="000000"/>
                <w:sz w:val="20"/>
              </w:rPr>
            </w:pPr>
            <w:r w:rsidRPr="00B152BE">
              <w:rPr>
                <w:rFonts w:ascii="Calibri" w:hAnsi="Calibri" w:cs="Calibri"/>
                <w:color w:val="000000"/>
                <w:sz w:val="20"/>
              </w:rPr>
              <w:t> </w:t>
            </w:r>
          </w:p>
        </w:tc>
        <w:tc>
          <w:tcPr>
            <w:tcW w:w="835" w:type="pct"/>
            <w:tcBorders>
              <w:top w:val="single" w:sz="4" w:space="0" w:color="auto"/>
              <w:left w:val="nil"/>
              <w:bottom w:val="nil"/>
              <w:right w:val="single" w:sz="4" w:space="0" w:color="auto"/>
            </w:tcBorders>
            <w:shd w:val="clear" w:color="auto" w:fill="F2F2F2" w:themeFill="background1" w:themeFillShade="F2"/>
            <w:noWrap/>
            <w:vAlign w:val="bottom"/>
            <w:hideMark/>
          </w:tcPr>
          <w:p w14:paraId="03723201" w14:textId="77777777" w:rsidR="00B152BE" w:rsidRPr="00B152BE" w:rsidRDefault="00B152BE" w:rsidP="00B152BE">
            <w:pPr>
              <w:jc w:val="left"/>
              <w:rPr>
                <w:rFonts w:ascii="Calibri" w:hAnsi="Calibri" w:cs="Calibri"/>
                <w:color w:val="000000"/>
                <w:sz w:val="20"/>
              </w:rPr>
            </w:pPr>
            <w:r w:rsidRPr="00B152BE">
              <w:rPr>
                <w:rFonts w:ascii="Calibri" w:hAnsi="Calibri" w:cs="Calibri"/>
                <w:color w:val="000000"/>
                <w:sz w:val="20"/>
              </w:rPr>
              <w:t> </w:t>
            </w:r>
          </w:p>
        </w:tc>
        <w:tc>
          <w:tcPr>
            <w:tcW w:w="661" w:type="pct"/>
            <w:tcBorders>
              <w:top w:val="nil"/>
              <w:left w:val="nil"/>
              <w:bottom w:val="nil"/>
              <w:right w:val="nil"/>
            </w:tcBorders>
            <w:shd w:val="clear" w:color="auto" w:fill="F2F2F2" w:themeFill="background1" w:themeFillShade="F2"/>
            <w:noWrap/>
            <w:vAlign w:val="bottom"/>
            <w:hideMark/>
          </w:tcPr>
          <w:p w14:paraId="4EF4F53A" w14:textId="5C1C1A78" w:rsidR="00B152BE" w:rsidRPr="00B152BE" w:rsidRDefault="00B152BE" w:rsidP="00B152BE">
            <w:pPr>
              <w:jc w:val="center"/>
              <w:rPr>
                <w:rFonts w:ascii="Calibri" w:hAnsi="Calibri" w:cs="Calibri"/>
                <w:color w:val="000000"/>
                <w:sz w:val="20"/>
              </w:rPr>
            </w:pPr>
            <w:r w:rsidRPr="00B152BE">
              <w:rPr>
                <w:rFonts w:ascii="Calibri" w:hAnsi="Calibri" w:cs="Calibri"/>
                <w:color w:val="000000"/>
                <w:sz w:val="20"/>
              </w:rPr>
              <w:t>2,8</w:t>
            </w:r>
            <w:r>
              <w:rPr>
                <w:rFonts w:ascii="Calibri" w:hAnsi="Calibri" w:cs="Calibri"/>
                <w:color w:val="000000"/>
                <w:sz w:val="20"/>
              </w:rPr>
              <w:t>%</w:t>
            </w:r>
          </w:p>
        </w:tc>
        <w:tc>
          <w:tcPr>
            <w:tcW w:w="715" w:type="pct"/>
            <w:tcBorders>
              <w:top w:val="nil"/>
              <w:left w:val="nil"/>
              <w:bottom w:val="nil"/>
              <w:right w:val="nil"/>
            </w:tcBorders>
            <w:shd w:val="clear" w:color="auto" w:fill="F2F2F2" w:themeFill="background1" w:themeFillShade="F2"/>
            <w:noWrap/>
            <w:vAlign w:val="bottom"/>
            <w:hideMark/>
          </w:tcPr>
          <w:p w14:paraId="267099FF" w14:textId="2B3FB532" w:rsidR="00B152BE" w:rsidRPr="00B152BE" w:rsidRDefault="00B152BE" w:rsidP="00B152BE">
            <w:pPr>
              <w:jc w:val="center"/>
              <w:rPr>
                <w:rFonts w:ascii="Calibri" w:hAnsi="Calibri" w:cs="Calibri"/>
                <w:color w:val="000000"/>
                <w:sz w:val="20"/>
              </w:rPr>
            </w:pPr>
            <w:r w:rsidRPr="00B152BE">
              <w:rPr>
                <w:rFonts w:ascii="Calibri" w:hAnsi="Calibri" w:cs="Calibri"/>
                <w:color w:val="000000"/>
                <w:sz w:val="20"/>
              </w:rPr>
              <w:t>2,6</w:t>
            </w:r>
            <w:r>
              <w:rPr>
                <w:rFonts w:ascii="Calibri" w:hAnsi="Calibri" w:cs="Calibri"/>
                <w:color w:val="000000"/>
                <w:sz w:val="20"/>
              </w:rPr>
              <w:t>%</w:t>
            </w:r>
          </w:p>
        </w:tc>
        <w:tc>
          <w:tcPr>
            <w:tcW w:w="678" w:type="pct"/>
            <w:tcBorders>
              <w:top w:val="nil"/>
              <w:left w:val="nil"/>
              <w:bottom w:val="nil"/>
              <w:right w:val="single" w:sz="4" w:space="0" w:color="auto"/>
            </w:tcBorders>
            <w:shd w:val="clear" w:color="auto" w:fill="F2F2F2" w:themeFill="background1" w:themeFillShade="F2"/>
            <w:noWrap/>
            <w:vAlign w:val="bottom"/>
            <w:hideMark/>
          </w:tcPr>
          <w:p w14:paraId="48D0A301" w14:textId="23B095AC" w:rsidR="00B152BE" w:rsidRPr="00B152BE" w:rsidRDefault="00B152BE" w:rsidP="00B152BE">
            <w:pPr>
              <w:jc w:val="center"/>
              <w:rPr>
                <w:rFonts w:ascii="Calibri" w:hAnsi="Calibri" w:cs="Calibri"/>
                <w:color w:val="000000"/>
                <w:sz w:val="20"/>
              </w:rPr>
            </w:pPr>
            <w:r w:rsidRPr="00B152BE">
              <w:rPr>
                <w:rFonts w:ascii="Calibri" w:hAnsi="Calibri" w:cs="Calibri"/>
                <w:color w:val="000000"/>
                <w:sz w:val="20"/>
              </w:rPr>
              <w:t>2,2</w:t>
            </w:r>
            <w:r>
              <w:rPr>
                <w:rFonts w:ascii="Calibri" w:hAnsi="Calibri" w:cs="Calibri"/>
                <w:color w:val="000000"/>
                <w:sz w:val="20"/>
              </w:rPr>
              <w:t>%</w:t>
            </w:r>
          </w:p>
        </w:tc>
      </w:tr>
      <w:tr w:rsidR="00E35FBB" w:rsidRPr="00B152BE" w14:paraId="74EAC73A" w14:textId="77777777" w:rsidTr="00E35FBB">
        <w:trPr>
          <w:trHeight w:val="255"/>
        </w:trPr>
        <w:tc>
          <w:tcPr>
            <w:tcW w:w="1446" w:type="pct"/>
            <w:gridSpan w:val="2"/>
            <w:tcBorders>
              <w:top w:val="nil"/>
              <w:left w:val="single" w:sz="4" w:space="0" w:color="auto"/>
              <w:bottom w:val="nil"/>
              <w:right w:val="nil"/>
            </w:tcBorders>
            <w:shd w:val="clear" w:color="auto" w:fill="F2F2F2" w:themeFill="background1" w:themeFillShade="F2"/>
            <w:noWrap/>
            <w:vAlign w:val="bottom"/>
            <w:hideMark/>
          </w:tcPr>
          <w:p w14:paraId="2CC3E546" w14:textId="77777777" w:rsidR="00B152BE" w:rsidRPr="00B152BE" w:rsidRDefault="00B152BE" w:rsidP="00B152BE">
            <w:pPr>
              <w:jc w:val="left"/>
              <w:rPr>
                <w:rFonts w:ascii="Calibri" w:hAnsi="Calibri" w:cs="Calibri"/>
                <w:color w:val="000000"/>
                <w:sz w:val="20"/>
              </w:rPr>
            </w:pPr>
            <w:r w:rsidRPr="00B152BE">
              <w:rPr>
                <w:rFonts w:ascii="Calibri" w:hAnsi="Calibri" w:cs="Calibri"/>
                <w:color w:val="000000"/>
                <w:sz w:val="20"/>
              </w:rPr>
              <w:t>Montagna</w:t>
            </w:r>
          </w:p>
        </w:tc>
        <w:tc>
          <w:tcPr>
            <w:tcW w:w="665" w:type="pct"/>
            <w:tcBorders>
              <w:top w:val="nil"/>
              <w:left w:val="nil"/>
              <w:bottom w:val="nil"/>
              <w:right w:val="nil"/>
            </w:tcBorders>
            <w:shd w:val="clear" w:color="auto" w:fill="F2F2F2" w:themeFill="background1" w:themeFillShade="F2"/>
            <w:noWrap/>
            <w:vAlign w:val="bottom"/>
            <w:hideMark/>
          </w:tcPr>
          <w:p w14:paraId="723F704A" w14:textId="77777777" w:rsidR="00B152BE" w:rsidRPr="00B152BE" w:rsidRDefault="00B152BE" w:rsidP="00B152BE">
            <w:pPr>
              <w:jc w:val="left"/>
              <w:rPr>
                <w:rFonts w:ascii="Calibri" w:hAnsi="Calibri" w:cs="Calibri"/>
                <w:color w:val="000000"/>
                <w:sz w:val="20"/>
              </w:rPr>
            </w:pPr>
          </w:p>
        </w:tc>
        <w:tc>
          <w:tcPr>
            <w:tcW w:w="835" w:type="pct"/>
            <w:tcBorders>
              <w:top w:val="nil"/>
              <w:left w:val="nil"/>
              <w:bottom w:val="nil"/>
              <w:right w:val="single" w:sz="4" w:space="0" w:color="auto"/>
            </w:tcBorders>
            <w:shd w:val="clear" w:color="auto" w:fill="F2F2F2" w:themeFill="background1" w:themeFillShade="F2"/>
            <w:noWrap/>
            <w:vAlign w:val="bottom"/>
            <w:hideMark/>
          </w:tcPr>
          <w:p w14:paraId="06C3BA20" w14:textId="77777777" w:rsidR="00B152BE" w:rsidRPr="00B152BE" w:rsidRDefault="00B152BE" w:rsidP="00B152BE">
            <w:pPr>
              <w:jc w:val="right"/>
              <w:rPr>
                <w:rFonts w:ascii="Calibri" w:hAnsi="Calibri" w:cs="Calibri"/>
                <w:color w:val="000000"/>
                <w:sz w:val="20"/>
              </w:rPr>
            </w:pPr>
            <w:r w:rsidRPr="00B152BE">
              <w:rPr>
                <w:rFonts w:ascii="Calibri" w:hAnsi="Calibri" w:cs="Calibri"/>
                <w:color w:val="000000"/>
                <w:sz w:val="20"/>
              </w:rPr>
              <w:t> </w:t>
            </w:r>
          </w:p>
        </w:tc>
        <w:tc>
          <w:tcPr>
            <w:tcW w:w="661" w:type="pct"/>
            <w:tcBorders>
              <w:top w:val="nil"/>
              <w:left w:val="nil"/>
              <w:bottom w:val="nil"/>
              <w:right w:val="nil"/>
            </w:tcBorders>
            <w:shd w:val="clear" w:color="auto" w:fill="F2F2F2" w:themeFill="background1" w:themeFillShade="F2"/>
            <w:noWrap/>
            <w:vAlign w:val="bottom"/>
            <w:hideMark/>
          </w:tcPr>
          <w:p w14:paraId="1DC81F31" w14:textId="3D305DC3" w:rsidR="00B152BE" w:rsidRPr="00B152BE" w:rsidRDefault="00B152BE" w:rsidP="00B152BE">
            <w:pPr>
              <w:jc w:val="center"/>
              <w:rPr>
                <w:rFonts w:ascii="Calibri" w:hAnsi="Calibri" w:cs="Calibri"/>
                <w:color w:val="000000"/>
                <w:sz w:val="20"/>
              </w:rPr>
            </w:pPr>
            <w:r w:rsidRPr="00B152BE">
              <w:rPr>
                <w:rFonts w:ascii="Calibri" w:hAnsi="Calibri" w:cs="Calibri"/>
                <w:color w:val="000000"/>
                <w:sz w:val="20"/>
              </w:rPr>
              <w:t>4,3</w:t>
            </w:r>
            <w:r>
              <w:rPr>
                <w:rFonts w:ascii="Calibri" w:hAnsi="Calibri" w:cs="Calibri"/>
                <w:color w:val="000000"/>
                <w:sz w:val="20"/>
              </w:rPr>
              <w:t>%</w:t>
            </w:r>
          </w:p>
        </w:tc>
        <w:tc>
          <w:tcPr>
            <w:tcW w:w="715" w:type="pct"/>
            <w:tcBorders>
              <w:top w:val="nil"/>
              <w:left w:val="nil"/>
              <w:bottom w:val="nil"/>
              <w:right w:val="nil"/>
            </w:tcBorders>
            <w:shd w:val="clear" w:color="auto" w:fill="F2F2F2" w:themeFill="background1" w:themeFillShade="F2"/>
            <w:noWrap/>
            <w:vAlign w:val="bottom"/>
            <w:hideMark/>
          </w:tcPr>
          <w:p w14:paraId="21614BCE" w14:textId="4616FD48" w:rsidR="00B152BE" w:rsidRPr="00B152BE" w:rsidRDefault="00B152BE" w:rsidP="00B152BE">
            <w:pPr>
              <w:jc w:val="center"/>
              <w:rPr>
                <w:rFonts w:ascii="Calibri" w:hAnsi="Calibri" w:cs="Calibri"/>
                <w:color w:val="000000"/>
                <w:sz w:val="20"/>
              </w:rPr>
            </w:pPr>
            <w:r w:rsidRPr="00B152BE">
              <w:rPr>
                <w:rFonts w:ascii="Calibri" w:hAnsi="Calibri" w:cs="Calibri"/>
                <w:color w:val="000000"/>
                <w:sz w:val="20"/>
              </w:rPr>
              <w:t>3,7</w:t>
            </w:r>
            <w:r>
              <w:rPr>
                <w:rFonts w:ascii="Calibri" w:hAnsi="Calibri" w:cs="Calibri"/>
                <w:color w:val="000000"/>
                <w:sz w:val="20"/>
              </w:rPr>
              <w:t>%</w:t>
            </w:r>
          </w:p>
        </w:tc>
        <w:tc>
          <w:tcPr>
            <w:tcW w:w="678" w:type="pct"/>
            <w:tcBorders>
              <w:top w:val="nil"/>
              <w:left w:val="nil"/>
              <w:bottom w:val="nil"/>
              <w:right w:val="single" w:sz="4" w:space="0" w:color="auto"/>
            </w:tcBorders>
            <w:shd w:val="clear" w:color="auto" w:fill="F2F2F2" w:themeFill="background1" w:themeFillShade="F2"/>
            <w:noWrap/>
            <w:vAlign w:val="bottom"/>
            <w:hideMark/>
          </w:tcPr>
          <w:p w14:paraId="2CA5EFBC" w14:textId="486AB8DB" w:rsidR="00B152BE" w:rsidRPr="00B152BE" w:rsidRDefault="00B152BE" w:rsidP="00B152BE">
            <w:pPr>
              <w:jc w:val="center"/>
              <w:rPr>
                <w:rFonts w:ascii="Calibri" w:hAnsi="Calibri" w:cs="Calibri"/>
                <w:color w:val="000000"/>
                <w:sz w:val="20"/>
              </w:rPr>
            </w:pPr>
            <w:r w:rsidRPr="00B152BE">
              <w:rPr>
                <w:rFonts w:ascii="Calibri" w:hAnsi="Calibri" w:cs="Calibri"/>
                <w:color w:val="000000"/>
                <w:sz w:val="20"/>
              </w:rPr>
              <w:t>4,7</w:t>
            </w:r>
            <w:r>
              <w:rPr>
                <w:rFonts w:ascii="Calibri" w:hAnsi="Calibri" w:cs="Calibri"/>
                <w:color w:val="000000"/>
                <w:sz w:val="20"/>
              </w:rPr>
              <w:t>%</w:t>
            </w:r>
          </w:p>
        </w:tc>
      </w:tr>
      <w:tr w:rsidR="00E35FBB" w:rsidRPr="00B152BE" w14:paraId="5BDE54D1" w14:textId="77777777" w:rsidTr="00E35FBB">
        <w:trPr>
          <w:trHeight w:val="255"/>
        </w:trPr>
        <w:tc>
          <w:tcPr>
            <w:tcW w:w="781" w:type="pct"/>
            <w:tcBorders>
              <w:top w:val="nil"/>
              <w:left w:val="single" w:sz="4" w:space="0" w:color="auto"/>
              <w:bottom w:val="single" w:sz="4" w:space="0" w:color="auto"/>
              <w:right w:val="nil"/>
            </w:tcBorders>
            <w:shd w:val="clear" w:color="auto" w:fill="F2F2F2" w:themeFill="background1" w:themeFillShade="F2"/>
            <w:noWrap/>
            <w:vAlign w:val="bottom"/>
            <w:hideMark/>
          </w:tcPr>
          <w:p w14:paraId="6DE9E44B" w14:textId="77777777" w:rsidR="00B152BE" w:rsidRPr="00B152BE" w:rsidRDefault="00B152BE" w:rsidP="00B152BE">
            <w:pPr>
              <w:jc w:val="left"/>
              <w:rPr>
                <w:rFonts w:ascii="Calibri" w:hAnsi="Calibri" w:cs="Calibri"/>
                <w:color w:val="000000"/>
                <w:sz w:val="20"/>
              </w:rPr>
            </w:pPr>
            <w:r w:rsidRPr="00B152BE">
              <w:rPr>
                <w:rFonts w:ascii="Calibri" w:hAnsi="Calibri" w:cs="Calibri"/>
                <w:color w:val="000000"/>
                <w:sz w:val="20"/>
              </w:rPr>
              <w:t>Lago</w:t>
            </w:r>
          </w:p>
        </w:tc>
        <w:tc>
          <w:tcPr>
            <w:tcW w:w="665" w:type="pct"/>
            <w:tcBorders>
              <w:top w:val="nil"/>
              <w:left w:val="nil"/>
              <w:bottom w:val="single" w:sz="4" w:space="0" w:color="auto"/>
              <w:right w:val="nil"/>
            </w:tcBorders>
            <w:shd w:val="clear" w:color="auto" w:fill="F2F2F2" w:themeFill="background1" w:themeFillShade="F2"/>
            <w:noWrap/>
            <w:vAlign w:val="bottom"/>
            <w:hideMark/>
          </w:tcPr>
          <w:p w14:paraId="40E80490" w14:textId="77777777" w:rsidR="00B152BE" w:rsidRPr="00B152BE" w:rsidRDefault="00B152BE" w:rsidP="00B152BE">
            <w:pPr>
              <w:jc w:val="left"/>
              <w:rPr>
                <w:rFonts w:ascii="Calibri" w:hAnsi="Calibri" w:cs="Calibri"/>
                <w:color w:val="000000"/>
                <w:sz w:val="20"/>
              </w:rPr>
            </w:pPr>
            <w:r w:rsidRPr="00B152BE">
              <w:rPr>
                <w:rFonts w:ascii="Calibri" w:hAnsi="Calibri" w:cs="Calibri"/>
                <w:color w:val="000000"/>
                <w:sz w:val="20"/>
              </w:rPr>
              <w:t> </w:t>
            </w:r>
          </w:p>
        </w:tc>
        <w:tc>
          <w:tcPr>
            <w:tcW w:w="665" w:type="pct"/>
            <w:tcBorders>
              <w:top w:val="nil"/>
              <w:left w:val="nil"/>
              <w:bottom w:val="single" w:sz="4" w:space="0" w:color="auto"/>
              <w:right w:val="nil"/>
            </w:tcBorders>
            <w:shd w:val="clear" w:color="auto" w:fill="F2F2F2" w:themeFill="background1" w:themeFillShade="F2"/>
            <w:noWrap/>
            <w:vAlign w:val="bottom"/>
            <w:hideMark/>
          </w:tcPr>
          <w:p w14:paraId="2003D0C5" w14:textId="77777777" w:rsidR="00B152BE" w:rsidRPr="00B152BE" w:rsidRDefault="00B152BE" w:rsidP="00B152BE">
            <w:pPr>
              <w:jc w:val="left"/>
              <w:rPr>
                <w:rFonts w:ascii="Calibri" w:hAnsi="Calibri" w:cs="Calibri"/>
                <w:color w:val="000000"/>
                <w:sz w:val="20"/>
              </w:rPr>
            </w:pPr>
            <w:r w:rsidRPr="00B152BE">
              <w:rPr>
                <w:rFonts w:ascii="Calibri" w:hAnsi="Calibri" w:cs="Calibri"/>
                <w:color w:val="000000"/>
                <w:sz w:val="20"/>
              </w:rPr>
              <w:t> </w:t>
            </w:r>
          </w:p>
        </w:tc>
        <w:tc>
          <w:tcPr>
            <w:tcW w:w="835" w:type="pct"/>
            <w:tcBorders>
              <w:top w:val="nil"/>
              <w:left w:val="nil"/>
              <w:bottom w:val="single" w:sz="4" w:space="0" w:color="auto"/>
              <w:right w:val="single" w:sz="4" w:space="0" w:color="auto"/>
            </w:tcBorders>
            <w:shd w:val="clear" w:color="auto" w:fill="F2F2F2" w:themeFill="background1" w:themeFillShade="F2"/>
            <w:noWrap/>
            <w:vAlign w:val="bottom"/>
            <w:hideMark/>
          </w:tcPr>
          <w:p w14:paraId="4D6CE1D8" w14:textId="77777777" w:rsidR="00B152BE" w:rsidRPr="00B152BE" w:rsidRDefault="00B152BE" w:rsidP="00B152BE">
            <w:pPr>
              <w:jc w:val="left"/>
              <w:rPr>
                <w:rFonts w:ascii="Calibri" w:hAnsi="Calibri" w:cs="Calibri"/>
                <w:color w:val="000000"/>
                <w:sz w:val="20"/>
              </w:rPr>
            </w:pPr>
            <w:r w:rsidRPr="00B152BE">
              <w:rPr>
                <w:rFonts w:ascii="Calibri" w:hAnsi="Calibri" w:cs="Calibri"/>
                <w:color w:val="000000"/>
                <w:sz w:val="20"/>
              </w:rPr>
              <w:t> </w:t>
            </w:r>
          </w:p>
        </w:tc>
        <w:tc>
          <w:tcPr>
            <w:tcW w:w="661" w:type="pct"/>
            <w:tcBorders>
              <w:top w:val="nil"/>
              <w:left w:val="nil"/>
              <w:bottom w:val="single" w:sz="4" w:space="0" w:color="auto"/>
              <w:right w:val="nil"/>
            </w:tcBorders>
            <w:shd w:val="clear" w:color="auto" w:fill="F2F2F2" w:themeFill="background1" w:themeFillShade="F2"/>
            <w:noWrap/>
            <w:vAlign w:val="bottom"/>
            <w:hideMark/>
          </w:tcPr>
          <w:p w14:paraId="6520F1DC" w14:textId="0389D876" w:rsidR="00B152BE" w:rsidRPr="00B152BE" w:rsidRDefault="00B152BE" w:rsidP="00B152BE">
            <w:pPr>
              <w:jc w:val="center"/>
              <w:rPr>
                <w:rFonts w:ascii="Calibri" w:hAnsi="Calibri" w:cs="Calibri"/>
                <w:color w:val="000000"/>
                <w:sz w:val="20"/>
              </w:rPr>
            </w:pPr>
            <w:r w:rsidRPr="00B152BE">
              <w:rPr>
                <w:rFonts w:ascii="Calibri" w:hAnsi="Calibri" w:cs="Calibri"/>
                <w:color w:val="000000"/>
                <w:sz w:val="20"/>
              </w:rPr>
              <w:t>4,3</w:t>
            </w:r>
            <w:r>
              <w:rPr>
                <w:rFonts w:ascii="Calibri" w:hAnsi="Calibri" w:cs="Calibri"/>
                <w:color w:val="000000"/>
                <w:sz w:val="20"/>
              </w:rPr>
              <w:t>%</w:t>
            </w:r>
          </w:p>
        </w:tc>
        <w:tc>
          <w:tcPr>
            <w:tcW w:w="715" w:type="pct"/>
            <w:tcBorders>
              <w:top w:val="nil"/>
              <w:left w:val="nil"/>
              <w:bottom w:val="single" w:sz="4" w:space="0" w:color="auto"/>
              <w:right w:val="nil"/>
            </w:tcBorders>
            <w:shd w:val="clear" w:color="auto" w:fill="F2F2F2" w:themeFill="background1" w:themeFillShade="F2"/>
            <w:noWrap/>
            <w:vAlign w:val="bottom"/>
            <w:hideMark/>
          </w:tcPr>
          <w:p w14:paraId="3BEB6F52" w14:textId="7AFF7CE2" w:rsidR="00B152BE" w:rsidRPr="00B152BE" w:rsidRDefault="00B152BE" w:rsidP="00B152BE">
            <w:pPr>
              <w:jc w:val="center"/>
              <w:rPr>
                <w:rFonts w:ascii="Calibri" w:hAnsi="Calibri" w:cs="Calibri"/>
                <w:color w:val="000000"/>
                <w:sz w:val="20"/>
              </w:rPr>
            </w:pPr>
            <w:r w:rsidRPr="00B152BE">
              <w:rPr>
                <w:rFonts w:ascii="Calibri" w:hAnsi="Calibri" w:cs="Calibri"/>
                <w:color w:val="000000"/>
                <w:sz w:val="20"/>
              </w:rPr>
              <w:t>5,0</w:t>
            </w:r>
            <w:r>
              <w:rPr>
                <w:rFonts w:ascii="Calibri" w:hAnsi="Calibri" w:cs="Calibri"/>
                <w:color w:val="000000"/>
                <w:sz w:val="20"/>
              </w:rPr>
              <w:t>%</w:t>
            </w:r>
          </w:p>
        </w:tc>
        <w:tc>
          <w:tcPr>
            <w:tcW w:w="678" w:type="pct"/>
            <w:tcBorders>
              <w:top w:val="nil"/>
              <w:left w:val="nil"/>
              <w:bottom w:val="single" w:sz="4" w:space="0" w:color="auto"/>
              <w:right w:val="single" w:sz="4" w:space="0" w:color="auto"/>
            </w:tcBorders>
            <w:shd w:val="clear" w:color="auto" w:fill="F2F2F2" w:themeFill="background1" w:themeFillShade="F2"/>
            <w:noWrap/>
            <w:vAlign w:val="bottom"/>
            <w:hideMark/>
          </w:tcPr>
          <w:p w14:paraId="521A73EE" w14:textId="41428D70" w:rsidR="00B152BE" w:rsidRPr="00B152BE" w:rsidRDefault="00B152BE" w:rsidP="00B152BE">
            <w:pPr>
              <w:jc w:val="center"/>
              <w:rPr>
                <w:rFonts w:ascii="Calibri" w:hAnsi="Calibri" w:cs="Calibri"/>
                <w:color w:val="000000"/>
                <w:sz w:val="20"/>
              </w:rPr>
            </w:pPr>
            <w:r w:rsidRPr="00B152BE">
              <w:rPr>
                <w:rFonts w:ascii="Calibri" w:hAnsi="Calibri" w:cs="Calibri"/>
                <w:color w:val="000000"/>
                <w:sz w:val="20"/>
              </w:rPr>
              <w:t>4,7</w:t>
            </w:r>
            <w:r>
              <w:rPr>
                <w:rFonts w:ascii="Calibri" w:hAnsi="Calibri" w:cs="Calibri"/>
                <w:color w:val="000000"/>
                <w:sz w:val="20"/>
              </w:rPr>
              <w:t>%</w:t>
            </w:r>
          </w:p>
        </w:tc>
      </w:tr>
      <w:tr w:rsidR="00B152BE" w:rsidRPr="00B152BE" w14:paraId="4F884847" w14:textId="77777777" w:rsidTr="00E35FBB">
        <w:trPr>
          <w:trHeight w:val="255"/>
        </w:trPr>
        <w:tc>
          <w:tcPr>
            <w:tcW w:w="2946" w:type="pct"/>
            <w:gridSpan w:val="4"/>
            <w:tcBorders>
              <w:top w:val="nil"/>
              <w:left w:val="single" w:sz="4" w:space="0" w:color="auto"/>
              <w:bottom w:val="single" w:sz="4" w:space="0" w:color="auto"/>
              <w:right w:val="single" w:sz="4" w:space="0" w:color="000000"/>
            </w:tcBorders>
            <w:shd w:val="clear" w:color="auto" w:fill="auto"/>
            <w:noWrap/>
            <w:vAlign w:val="bottom"/>
            <w:hideMark/>
          </w:tcPr>
          <w:p w14:paraId="7B68AA38" w14:textId="77777777" w:rsidR="00B152BE" w:rsidRPr="00B152BE" w:rsidRDefault="00B152BE" w:rsidP="00E35FBB">
            <w:pPr>
              <w:shd w:val="clear" w:color="auto" w:fill="F2F2F2" w:themeFill="background1" w:themeFillShade="F2"/>
              <w:jc w:val="left"/>
              <w:rPr>
                <w:rFonts w:ascii="Calibri" w:hAnsi="Calibri" w:cs="Calibri"/>
                <w:b/>
                <w:bCs/>
                <w:color w:val="000000"/>
                <w:sz w:val="20"/>
              </w:rPr>
            </w:pPr>
            <w:r w:rsidRPr="00B152BE">
              <w:rPr>
                <w:rFonts w:ascii="Calibri" w:hAnsi="Calibri" w:cs="Calibri"/>
                <w:b/>
                <w:bCs/>
                <w:color w:val="000000"/>
                <w:sz w:val="20"/>
              </w:rPr>
              <w:t>Tot panel località (217)</w:t>
            </w:r>
          </w:p>
        </w:tc>
        <w:tc>
          <w:tcPr>
            <w:tcW w:w="661" w:type="pct"/>
            <w:tcBorders>
              <w:top w:val="nil"/>
              <w:left w:val="nil"/>
              <w:bottom w:val="single" w:sz="4" w:space="0" w:color="auto"/>
              <w:right w:val="nil"/>
            </w:tcBorders>
            <w:shd w:val="clear" w:color="auto" w:fill="auto"/>
            <w:noWrap/>
            <w:vAlign w:val="bottom"/>
            <w:hideMark/>
          </w:tcPr>
          <w:p w14:paraId="79570D71" w14:textId="5A41D971" w:rsidR="00B152BE" w:rsidRPr="00B152BE" w:rsidRDefault="00B152BE" w:rsidP="00E35FBB">
            <w:pPr>
              <w:shd w:val="clear" w:color="auto" w:fill="F2F2F2" w:themeFill="background1" w:themeFillShade="F2"/>
              <w:jc w:val="center"/>
              <w:rPr>
                <w:rFonts w:ascii="Calibri" w:hAnsi="Calibri" w:cs="Calibri"/>
                <w:b/>
                <w:bCs/>
                <w:color w:val="000000"/>
                <w:sz w:val="20"/>
              </w:rPr>
            </w:pPr>
            <w:r w:rsidRPr="00B152BE">
              <w:rPr>
                <w:rFonts w:ascii="Calibri" w:hAnsi="Calibri" w:cs="Calibri"/>
                <w:b/>
                <w:bCs/>
                <w:color w:val="000000"/>
                <w:sz w:val="20"/>
              </w:rPr>
              <w:t>3,3</w:t>
            </w:r>
            <w:r w:rsidRPr="00E35FBB">
              <w:rPr>
                <w:rFonts w:ascii="Calibri" w:hAnsi="Calibri" w:cs="Calibri"/>
                <w:b/>
                <w:bCs/>
                <w:color w:val="000000"/>
                <w:sz w:val="20"/>
              </w:rPr>
              <w:t>%</w:t>
            </w:r>
          </w:p>
        </w:tc>
        <w:tc>
          <w:tcPr>
            <w:tcW w:w="715" w:type="pct"/>
            <w:tcBorders>
              <w:top w:val="nil"/>
              <w:left w:val="nil"/>
              <w:bottom w:val="single" w:sz="4" w:space="0" w:color="auto"/>
              <w:right w:val="nil"/>
            </w:tcBorders>
            <w:shd w:val="clear" w:color="auto" w:fill="auto"/>
            <w:noWrap/>
            <w:vAlign w:val="bottom"/>
            <w:hideMark/>
          </w:tcPr>
          <w:p w14:paraId="1BABA5DC" w14:textId="3666E01D" w:rsidR="00B152BE" w:rsidRPr="00B152BE" w:rsidRDefault="00B152BE" w:rsidP="00E35FBB">
            <w:pPr>
              <w:shd w:val="clear" w:color="auto" w:fill="F2F2F2" w:themeFill="background1" w:themeFillShade="F2"/>
              <w:jc w:val="center"/>
              <w:rPr>
                <w:rFonts w:ascii="Calibri" w:hAnsi="Calibri" w:cs="Calibri"/>
                <w:b/>
                <w:bCs/>
                <w:color w:val="000000"/>
                <w:sz w:val="20"/>
              </w:rPr>
            </w:pPr>
            <w:r w:rsidRPr="00B152BE">
              <w:rPr>
                <w:rFonts w:ascii="Calibri" w:hAnsi="Calibri" w:cs="Calibri"/>
                <w:b/>
                <w:bCs/>
                <w:color w:val="000000"/>
                <w:sz w:val="20"/>
              </w:rPr>
              <w:t>3,1</w:t>
            </w:r>
            <w:r w:rsidRPr="00E35FBB">
              <w:rPr>
                <w:rFonts w:ascii="Calibri" w:hAnsi="Calibri" w:cs="Calibri"/>
                <w:b/>
                <w:bCs/>
                <w:color w:val="000000"/>
                <w:sz w:val="20"/>
              </w:rPr>
              <w:t>%</w:t>
            </w:r>
          </w:p>
        </w:tc>
        <w:tc>
          <w:tcPr>
            <w:tcW w:w="678" w:type="pct"/>
            <w:tcBorders>
              <w:top w:val="nil"/>
              <w:left w:val="nil"/>
              <w:bottom w:val="single" w:sz="4" w:space="0" w:color="auto"/>
              <w:right w:val="single" w:sz="4" w:space="0" w:color="auto"/>
            </w:tcBorders>
            <w:shd w:val="clear" w:color="auto" w:fill="auto"/>
            <w:noWrap/>
            <w:vAlign w:val="bottom"/>
            <w:hideMark/>
          </w:tcPr>
          <w:p w14:paraId="23069B80" w14:textId="3138E066" w:rsidR="00B152BE" w:rsidRPr="00B152BE" w:rsidRDefault="00B152BE" w:rsidP="00E35FBB">
            <w:pPr>
              <w:shd w:val="clear" w:color="auto" w:fill="F2F2F2" w:themeFill="background1" w:themeFillShade="F2"/>
              <w:jc w:val="center"/>
              <w:rPr>
                <w:rFonts w:ascii="Calibri" w:hAnsi="Calibri" w:cs="Calibri"/>
                <w:b/>
                <w:bCs/>
                <w:color w:val="000000"/>
                <w:sz w:val="20"/>
              </w:rPr>
            </w:pPr>
            <w:r w:rsidRPr="00B152BE">
              <w:rPr>
                <w:rFonts w:ascii="Calibri" w:hAnsi="Calibri" w:cs="Calibri"/>
                <w:b/>
                <w:bCs/>
                <w:color w:val="000000"/>
                <w:sz w:val="20"/>
              </w:rPr>
              <w:t>3,1</w:t>
            </w:r>
            <w:r w:rsidRPr="00E35FBB">
              <w:rPr>
                <w:rFonts w:ascii="Calibri" w:hAnsi="Calibri" w:cs="Calibri"/>
                <w:b/>
                <w:bCs/>
                <w:color w:val="000000"/>
                <w:sz w:val="20"/>
              </w:rPr>
              <w:t>%</w:t>
            </w:r>
          </w:p>
        </w:tc>
      </w:tr>
    </w:tbl>
    <w:p w14:paraId="1EAFBAC7" w14:textId="77777777" w:rsidR="00E35FBB" w:rsidRPr="0003400F" w:rsidRDefault="00E35FBB" w:rsidP="00E35FBB">
      <w:pPr>
        <w:spacing w:before="60"/>
        <w:rPr>
          <w:rFonts w:asciiTheme="minorHAnsi" w:eastAsia="Calibri" w:hAnsiTheme="minorHAnsi" w:cstheme="minorHAnsi"/>
          <w:sz w:val="18"/>
          <w:lang w:val="pt-PT"/>
        </w:rPr>
      </w:pPr>
      <w:r w:rsidRPr="0003400F">
        <w:rPr>
          <w:rFonts w:asciiTheme="minorHAnsi" w:eastAsia="Calibri" w:hAnsiTheme="minorHAnsi" w:cstheme="minorHAnsi"/>
          <w:sz w:val="18"/>
          <w:lang w:val="pt-PT"/>
        </w:rPr>
        <w:t>Fonte: Nomisma e Fimaa-Confcommercio</w:t>
      </w:r>
    </w:p>
    <w:p w14:paraId="1A11D242" w14:textId="77777777" w:rsidR="00F3610B" w:rsidRDefault="00F3610B" w:rsidP="00DC7E35">
      <w:pPr>
        <w:spacing w:after="120"/>
        <w:rPr>
          <w:rFonts w:asciiTheme="minorHAnsi" w:eastAsia="Calibri" w:hAnsiTheme="minorHAnsi" w:cstheme="minorHAnsi"/>
          <w:sz w:val="22"/>
          <w:szCs w:val="22"/>
        </w:rPr>
      </w:pPr>
    </w:p>
    <w:p w14:paraId="5604B6D9" w14:textId="279E0149" w:rsidR="000D7640" w:rsidRDefault="00E35FBB" w:rsidP="00DC7E35">
      <w:pPr>
        <w:spacing w:after="120"/>
        <w:rPr>
          <w:rFonts w:asciiTheme="minorHAnsi" w:eastAsia="Calibri" w:hAnsiTheme="minorHAnsi" w:cstheme="minorHAnsi"/>
          <w:sz w:val="22"/>
          <w:szCs w:val="22"/>
        </w:rPr>
      </w:pPr>
      <w:r>
        <w:rPr>
          <w:rFonts w:asciiTheme="minorHAnsi" w:eastAsia="Calibri" w:hAnsiTheme="minorHAnsi" w:cstheme="minorHAnsi"/>
          <w:sz w:val="22"/>
          <w:szCs w:val="22"/>
        </w:rPr>
        <w:t xml:space="preserve">Per quanto riguarda </w:t>
      </w:r>
      <w:r w:rsidR="00F3610B">
        <w:rPr>
          <w:rFonts w:asciiTheme="minorHAnsi" w:eastAsia="Calibri" w:hAnsiTheme="minorHAnsi" w:cstheme="minorHAnsi"/>
          <w:sz w:val="22"/>
          <w:szCs w:val="22"/>
        </w:rPr>
        <w:t>la declinazione</w:t>
      </w:r>
      <w:r>
        <w:rPr>
          <w:rFonts w:asciiTheme="minorHAnsi" w:eastAsia="Calibri" w:hAnsiTheme="minorHAnsi" w:cstheme="minorHAnsi"/>
          <w:sz w:val="22"/>
          <w:szCs w:val="22"/>
        </w:rPr>
        <w:t xml:space="preserve"> regionale, la</w:t>
      </w:r>
      <w:r w:rsidR="00CF1C82" w:rsidRPr="00F1088B">
        <w:rPr>
          <w:rFonts w:asciiTheme="minorHAnsi" w:eastAsia="Calibri" w:hAnsiTheme="minorHAnsi" w:cstheme="minorHAnsi"/>
          <w:sz w:val="22"/>
          <w:szCs w:val="22"/>
        </w:rPr>
        <w:t xml:space="preserve"> variabilità </w:t>
      </w:r>
      <w:r w:rsidR="00F1088B" w:rsidRPr="00F1088B">
        <w:rPr>
          <w:rFonts w:asciiTheme="minorHAnsi" w:eastAsia="Calibri" w:hAnsiTheme="minorHAnsi" w:cstheme="minorHAnsi"/>
          <w:sz w:val="22"/>
          <w:szCs w:val="22"/>
        </w:rPr>
        <w:t>degli aumenti</w:t>
      </w:r>
      <w:r w:rsidR="00CF1C82" w:rsidRPr="00F1088B">
        <w:rPr>
          <w:rFonts w:asciiTheme="minorHAnsi" w:eastAsia="Calibri" w:hAnsiTheme="minorHAnsi" w:cstheme="minorHAnsi"/>
          <w:sz w:val="22"/>
          <w:szCs w:val="22"/>
        </w:rPr>
        <w:t xml:space="preserve"> annual</w:t>
      </w:r>
      <w:r w:rsidR="00F1088B" w:rsidRPr="00F1088B">
        <w:rPr>
          <w:rFonts w:asciiTheme="minorHAnsi" w:eastAsia="Calibri" w:hAnsiTheme="minorHAnsi" w:cstheme="minorHAnsi"/>
          <w:sz w:val="22"/>
          <w:szCs w:val="22"/>
        </w:rPr>
        <w:t>i</w:t>
      </w:r>
      <w:r w:rsidR="00CF1C82" w:rsidRPr="00F1088B">
        <w:rPr>
          <w:rFonts w:asciiTheme="minorHAnsi" w:eastAsia="Calibri" w:hAnsiTheme="minorHAnsi" w:cstheme="minorHAnsi"/>
          <w:sz w:val="22"/>
          <w:szCs w:val="22"/>
        </w:rPr>
        <w:t xml:space="preserve"> dei prezzi </w:t>
      </w:r>
      <w:r w:rsidR="00DE3B5B" w:rsidRPr="00F1088B">
        <w:rPr>
          <w:rFonts w:asciiTheme="minorHAnsi" w:eastAsia="Calibri" w:hAnsiTheme="minorHAnsi" w:cstheme="minorHAnsi"/>
          <w:sz w:val="22"/>
          <w:szCs w:val="22"/>
        </w:rPr>
        <w:t>registrat</w:t>
      </w:r>
      <w:r w:rsidR="00F1088B" w:rsidRPr="00F1088B">
        <w:rPr>
          <w:rFonts w:asciiTheme="minorHAnsi" w:eastAsia="Calibri" w:hAnsiTheme="minorHAnsi" w:cstheme="minorHAnsi"/>
          <w:sz w:val="22"/>
          <w:szCs w:val="22"/>
        </w:rPr>
        <w:t>i</w:t>
      </w:r>
      <w:r w:rsidR="00DE3B5B" w:rsidRPr="00F1088B">
        <w:rPr>
          <w:rFonts w:asciiTheme="minorHAnsi" w:eastAsia="Calibri" w:hAnsiTheme="minorHAnsi" w:cstheme="minorHAnsi"/>
          <w:sz w:val="22"/>
          <w:szCs w:val="22"/>
        </w:rPr>
        <w:t xml:space="preserve"> nelle località turistiche oggetto di monitoraggio </w:t>
      </w:r>
      <w:r w:rsidR="00CF1C82" w:rsidRPr="00F1088B">
        <w:rPr>
          <w:rFonts w:asciiTheme="minorHAnsi" w:eastAsia="Calibri" w:hAnsiTheme="minorHAnsi" w:cstheme="minorHAnsi"/>
          <w:sz w:val="22"/>
          <w:szCs w:val="22"/>
        </w:rPr>
        <w:t xml:space="preserve">è espressa </w:t>
      </w:r>
      <w:r w:rsidR="00262584" w:rsidRPr="00F1088B">
        <w:rPr>
          <w:rFonts w:asciiTheme="minorHAnsi" w:eastAsia="Calibri" w:hAnsiTheme="minorHAnsi" w:cstheme="minorHAnsi"/>
          <w:sz w:val="22"/>
          <w:szCs w:val="22"/>
        </w:rPr>
        <w:t>dalla</w:t>
      </w:r>
      <w:r w:rsidR="00CF1C82" w:rsidRPr="00F1088B">
        <w:rPr>
          <w:rFonts w:asciiTheme="minorHAnsi" w:eastAsia="Calibri" w:hAnsiTheme="minorHAnsi" w:cstheme="minorHAnsi"/>
          <w:sz w:val="22"/>
          <w:szCs w:val="22"/>
        </w:rPr>
        <w:t xml:space="preserve"> scala</w:t>
      </w:r>
      <w:r w:rsidR="00262584" w:rsidRPr="00F1088B">
        <w:rPr>
          <w:rFonts w:asciiTheme="minorHAnsi" w:eastAsia="Calibri" w:hAnsiTheme="minorHAnsi" w:cstheme="minorHAnsi"/>
          <w:sz w:val="22"/>
          <w:szCs w:val="22"/>
        </w:rPr>
        <w:t xml:space="preserve"> di seguito riportata</w:t>
      </w:r>
      <w:r>
        <w:rPr>
          <w:rFonts w:asciiTheme="minorHAnsi" w:eastAsia="Calibri" w:hAnsiTheme="minorHAnsi" w:cstheme="minorHAnsi"/>
          <w:sz w:val="22"/>
          <w:szCs w:val="22"/>
        </w:rPr>
        <w:t>.</w:t>
      </w:r>
    </w:p>
    <w:p w14:paraId="24862BEF" w14:textId="77777777" w:rsidR="005F787C" w:rsidRPr="005F787C" w:rsidRDefault="005F787C" w:rsidP="00DC7E35">
      <w:pPr>
        <w:spacing w:after="120"/>
        <w:rPr>
          <w:rFonts w:asciiTheme="minorHAnsi" w:eastAsia="Calibri" w:hAnsiTheme="minorHAnsi" w:cstheme="minorHAnsi"/>
          <w:sz w:val="8"/>
          <w:szCs w:val="22"/>
        </w:rPr>
      </w:pPr>
    </w:p>
    <w:p w14:paraId="4FC86969" w14:textId="17CA4419" w:rsidR="00E35FBB" w:rsidRPr="00402187" w:rsidRDefault="002A6F49" w:rsidP="00DC7E35">
      <w:pPr>
        <w:spacing w:after="120"/>
        <w:rPr>
          <w:rFonts w:asciiTheme="minorHAnsi" w:eastAsia="Calibri" w:hAnsiTheme="minorHAnsi" w:cstheme="minorHAnsi"/>
          <w:sz w:val="22"/>
          <w:szCs w:val="22"/>
        </w:rPr>
      </w:pPr>
      <w:r>
        <w:rPr>
          <w:rFonts w:asciiTheme="minorHAnsi" w:eastAsia="Calibri" w:hAnsiTheme="minorHAnsi" w:cstheme="minorHAnsi"/>
          <w:sz w:val="22"/>
          <w:szCs w:val="22"/>
        </w:rPr>
        <w:t>Nel dettaglio, nella</w:t>
      </w:r>
      <w:r w:rsidR="00E35FBB" w:rsidRPr="00402187">
        <w:rPr>
          <w:rFonts w:asciiTheme="minorHAnsi" w:eastAsia="Calibri" w:hAnsiTheme="minorHAnsi" w:cstheme="minorHAnsi"/>
          <w:sz w:val="22"/>
          <w:szCs w:val="22"/>
        </w:rPr>
        <w:t xml:space="preserve"> maggior parte delle regioni </w:t>
      </w:r>
      <w:r>
        <w:rPr>
          <w:rFonts w:asciiTheme="minorHAnsi" w:eastAsia="Calibri" w:hAnsiTheme="minorHAnsi" w:cstheme="minorHAnsi"/>
          <w:sz w:val="22"/>
          <w:szCs w:val="22"/>
        </w:rPr>
        <w:t>l’</w:t>
      </w:r>
      <w:r w:rsidR="00E35FBB" w:rsidRPr="00402187">
        <w:rPr>
          <w:rFonts w:asciiTheme="minorHAnsi" w:eastAsia="Calibri" w:hAnsiTheme="minorHAnsi" w:cstheme="minorHAnsi"/>
          <w:sz w:val="22"/>
          <w:szCs w:val="22"/>
        </w:rPr>
        <w:t>aumento</w:t>
      </w:r>
      <w:r>
        <w:rPr>
          <w:rFonts w:asciiTheme="minorHAnsi" w:eastAsia="Calibri" w:hAnsiTheme="minorHAnsi" w:cstheme="minorHAnsi"/>
          <w:sz w:val="22"/>
          <w:szCs w:val="22"/>
        </w:rPr>
        <w:t xml:space="preserve"> medio annuo</w:t>
      </w:r>
      <w:r w:rsidR="00E35FBB" w:rsidRPr="00402187">
        <w:rPr>
          <w:rFonts w:asciiTheme="minorHAnsi" w:eastAsia="Calibri" w:hAnsiTheme="minorHAnsi" w:cstheme="minorHAnsi"/>
          <w:sz w:val="22"/>
          <w:szCs w:val="22"/>
        </w:rPr>
        <w:t xml:space="preserve"> dei prezzi</w:t>
      </w:r>
      <w:r>
        <w:rPr>
          <w:rFonts w:asciiTheme="minorHAnsi" w:eastAsia="Calibri" w:hAnsiTheme="minorHAnsi" w:cstheme="minorHAnsi"/>
          <w:sz w:val="22"/>
          <w:szCs w:val="22"/>
        </w:rPr>
        <w:t xml:space="preserve"> delle case vacanza</w:t>
      </w:r>
      <w:r w:rsidR="00E35FBB" w:rsidRPr="00402187">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oscilla </w:t>
      </w:r>
      <w:r w:rsidR="00E35FBB" w:rsidRPr="00402187">
        <w:rPr>
          <w:rFonts w:asciiTheme="minorHAnsi" w:eastAsia="Calibri" w:hAnsiTheme="minorHAnsi" w:cstheme="minorHAnsi"/>
          <w:sz w:val="22"/>
          <w:szCs w:val="22"/>
        </w:rPr>
        <w:t xml:space="preserve">tra </w:t>
      </w:r>
      <w:r>
        <w:rPr>
          <w:rFonts w:asciiTheme="minorHAnsi" w:eastAsia="Calibri" w:hAnsiTheme="minorHAnsi" w:cstheme="minorHAnsi"/>
          <w:sz w:val="22"/>
          <w:szCs w:val="22"/>
        </w:rPr>
        <w:t>l’</w:t>
      </w:r>
      <w:r w:rsidR="00E35FBB" w:rsidRPr="00402187">
        <w:rPr>
          <w:rFonts w:asciiTheme="minorHAnsi" w:eastAsia="Calibri" w:hAnsiTheme="minorHAnsi" w:cstheme="minorHAnsi"/>
          <w:sz w:val="22"/>
          <w:szCs w:val="22"/>
        </w:rPr>
        <w:t xml:space="preserve">1% e il 4%, </w:t>
      </w:r>
      <w:r>
        <w:rPr>
          <w:rFonts w:asciiTheme="minorHAnsi" w:eastAsia="Calibri" w:hAnsiTheme="minorHAnsi" w:cstheme="minorHAnsi"/>
          <w:sz w:val="22"/>
          <w:szCs w:val="22"/>
        </w:rPr>
        <w:t xml:space="preserve">rispetto ad una </w:t>
      </w:r>
      <w:r w:rsidR="00E35FBB" w:rsidRPr="00402187">
        <w:rPr>
          <w:rFonts w:asciiTheme="minorHAnsi" w:eastAsia="Calibri" w:hAnsiTheme="minorHAnsi" w:cstheme="minorHAnsi"/>
          <w:sz w:val="22"/>
          <w:szCs w:val="22"/>
        </w:rPr>
        <w:t xml:space="preserve">media nazionale </w:t>
      </w:r>
      <w:r>
        <w:rPr>
          <w:rFonts w:asciiTheme="minorHAnsi" w:eastAsia="Calibri" w:hAnsiTheme="minorHAnsi" w:cstheme="minorHAnsi"/>
          <w:sz w:val="22"/>
          <w:szCs w:val="22"/>
        </w:rPr>
        <w:t xml:space="preserve">del </w:t>
      </w:r>
      <w:r w:rsidR="00E35FBB" w:rsidRPr="00402187">
        <w:rPr>
          <w:rFonts w:asciiTheme="minorHAnsi" w:eastAsia="Calibri" w:hAnsiTheme="minorHAnsi" w:cstheme="minorHAnsi"/>
          <w:sz w:val="22"/>
          <w:szCs w:val="22"/>
        </w:rPr>
        <w:t>3,2%.</w:t>
      </w:r>
      <w:r>
        <w:rPr>
          <w:rFonts w:asciiTheme="minorHAnsi" w:eastAsia="Calibri" w:hAnsiTheme="minorHAnsi" w:cstheme="minorHAnsi"/>
          <w:sz w:val="22"/>
          <w:szCs w:val="22"/>
        </w:rPr>
        <w:t xml:space="preserve"> Le</w:t>
      </w:r>
      <w:r w:rsidRPr="002A6F49">
        <w:rPr>
          <w:rFonts w:asciiTheme="minorHAnsi" w:eastAsia="Calibri" w:hAnsiTheme="minorHAnsi" w:cstheme="minorHAnsi"/>
          <w:sz w:val="22"/>
          <w:szCs w:val="22"/>
        </w:rPr>
        <w:t xml:space="preserve"> </w:t>
      </w:r>
      <w:r w:rsidRPr="00F465CE">
        <w:rPr>
          <w:rFonts w:asciiTheme="minorHAnsi" w:eastAsia="Calibri" w:hAnsiTheme="minorHAnsi" w:cstheme="minorHAnsi"/>
          <w:sz w:val="22"/>
          <w:szCs w:val="22"/>
        </w:rPr>
        <w:t>regioni che hanno registrato l</w:t>
      </w:r>
      <w:r>
        <w:rPr>
          <w:rFonts w:asciiTheme="minorHAnsi" w:eastAsia="Calibri" w:hAnsiTheme="minorHAnsi" w:cstheme="minorHAnsi"/>
          <w:sz w:val="22"/>
          <w:szCs w:val="22"/>
        </w:rPr>
        <w:t>’incremento</w:t>
      </w:r>
      <w:r w:rsidRPr="00F465CE">
        <w:rPr>
          <w:rFonts w:asciiTheme="minorHAnsi" w:eastAsia="Calibri" w:hAnsiTheme="minorHAnsi" w:cstheme="minorHAnsi"/>
          <w:sz w:val="22"/>
          <w:szCs w:val="22"/>
        </w:rPr>
        <w:t xml:space="preserve"> </w:t>
      </w:r>
      <w:r>
        <w:rPr>
          <w:rFonts w:asciiTheme="minorHAnsi" w:eastAsia="Calibri" w:hAnsiTheme="minorHAnsi" w:cstheme="minorHAnsi"/>
          <w:sz w:val="22"/>
          <w:szCs w:val="22"/>
        </w:rPr>
        <w:t>dei valori</w:t>
      </w:r>
      <w:r w:rsidRPr="00F465CE">
        <w:rPr>
          <w:rFonts w:asciiTheme="minorHAnsi" w:eastAsia="Calibri" w:hAnsiTheme="minorHAnsi" w:cstheme="minorHAnsi"/>
          <w:sz w:val="22"/>
          <w:szCs w:val="22"/>
        </w:rPr>
        <w:t xml:space="preserve"> più intenso</w:t>
      </w:r>
      <w:r>
        <w:rPr>
          <w:rFonts w:asciiTheme="minorHAnsi" w:eastAsia="Calibri" w:hAnsiTheme="minorHAnsi" w:cstheme="minorHAnsi"/>
          <w:sz w:val="22"/>
          <w:szCs w:val="22"/>
        </w:rPr>
        <w:t xml:space="preserve"> sono la </w:t>
      </w:r>
      <w:r w:rsidR="00E35FBB" w:rsidRPr="00F465CE">
        <w:rPr>
          <w:rFonts w:asciiTheme="minorHAnsi" w:eastAsia="Calibri" w:hAnsiTheme="minorHAnsi" w:cstheme="minorHAnsi"/>
          <w:sz w:val="22"/>
          <w:szCs w:val="22"/>
        </w:rPr>
        <w:t xml:space="preserve">Lombardia e </w:t>
      </w:r>
      <w:r>
        <w:rPr>
          <w:rFonts w:asciiTheme="minorHAnsi" w:eastAsia="Calibri" w:hAnsiTheme="minorHAnsi" w:cstheme="minorHAnsi"/>
          <w:sz w:val="22"/>
          <w:szCs w:val="22"/>
        </w:rPr>
        <w:t xml:space="preserve">le </w:t>
      </w:r>
      <w:r w:rsidR="00E35FBB" w:rsidRPr="00F465CE">
        <w:rPr>
          <w:rFonts w:asciiTheme="minorHAnsi" w:eastAsia="Calibri" w:hAnsiTheme="minorHAnsi" w:cstheme="minorHAnsi"/>
          <w:sz w:val="22"/>
          <w:szCs w:val="22"/>
        </w:rPr>
        <w:t>Marche (+7,0%), segui</w:t>
      </w:r>
      <w:r w:rsidR="00885B52">
        <w:rPr>
          <w:rFonts w:asciiTheme="minorHAnsi" w:eastAsia="Calibri" w:hAnsiTheme="minorHAnsi" w:cstheme="minorHAnsi"/>
          <w:sz w:val="22"/>
          <w:szCs w:val="22"/>
        </w:rPr>
        <w:t>te</w:t>
      </w:r>
      <w:r w:rsidR="00E35FBB" w:rsidRPr="00F465CE">
        <w:rPr>
          <w:rFonts w:asciiTheme="minorHAnsi" w:eastAsia="Calibri" w:hAnsiTheme="minorHAnsi" w:cstheme="minorHAnsi"/>
          <w:sz w:val="22"/>
          <w:szCs w:val="22"/>
        </w:rPr>
        <w:t xml:space="preserve"> </w:t>
      </w:r>
      <w:r w:rsidR="00885B52">
        <w:rPr>
          <w:rFonts w:asciiTheme="minorHAnsi" w:eastAsia="Calibri" w:hAnsiTheme="minorHAnsi" w:cstheme="minorHAnsi"/>
          <w:sz w:val="22"/>
          <w:szCs w:val="22"/>
        </w:rPr>
        <w:t>d</w:t>
      </w:r>
      <w:r>
        <w:rPr>
          <w:rFonts w:asciiTheme="minorHAnsi" w:eastAsia="Calibri" w:hAnsiTheme="minorHAnsi" w:cstheme="minorHAnsi"/>
          <w:sz w:val="22"/>
          <w:szCs w:val="22"/>
        </w:rPr>
        <w:t xml:space="preserve">a </w:t>
      </w:r>
      <w:r w:rsidR="00E35FBB" w:rsidRPr="00F465CE">
        <w:rPr>
          <w:rFonts w:asciiTheme="minorHAnsi" w:eastAsia="Calibri" w:hAnsiTheme="minorHAnsi" w:cstheme="minorHAnsi"/>
          <w:sz w:val="22"/>
          <w:szCs w:val="22"/>
        </w:rPr>
        <w:t>Campania e Molise (+6,0%)</w:t>
      </w:r>
      <w:r w:rsidR="00D71AB4">
        <w:rPr>
          <w:rFonts w:asciiTheme="minorHAnsi" w:eastAsia="Calibri" w:hAnsiTheme="minorHAnsi" w:cstheme="minorHAnsi"/>
          <w:sz w:val="22"/>
          <w:szCs w:val="22"/>
        </w:rPr>
        <w:t xml:space="preserve">. </w:t>
      </w:r>
      <w:r w:rsidR="00E35FBB" w:rsidRPr="00402187">
        <w:rPr>
          <w:rFonts w:asciiTheme="minorHAnsi" w:eastAsia="Calibri" w:hAnsiTheme="minorHAnsi" w:cstheme="minorHAnsi"/>
          <w:sz w:val="22"/>
          <w:szCs w:val="22"/>
        </w:rPr>
        <w:t xml:space="preserve">Il Piemonte è l’unica regione a registrare un calo dei prezzi medi, seppur di entità </w:t>
      </w:r>
      <w:r w:rsidR="00885B52">
        <w:rPr>
          <w:rFonts w:asciiTheme="minorHAnsi" w:eastAsia="Calibri" w:hAnsiTheme="minorHAnsi" w:cstheme="minorHAnsi"/>
          <w:sz w:val="22"/>
          <w:szCs w:val="22"/>
        </w:rPr>
        <w:t>modesta</w:t>
      </w:r>
      <w:r w:rsidR="00E35FBB" w:rsidRPr="00402187">
        <w:rPr>
          <w:rFonts w:asciiTheme="minorHAnsi" w:eastAsia="Calibri" w:hAnsiTheme="minorHAnsi" w:cstheme="minorHAnsi"/>
          <w:sz w:val="22"/>
          <w:szCs w:val="22"/>
        </w:rPr>
        <w:t xml:space="preserve"> (-0,4%).</w:t>
      </w:r>
    </w:p>
    <w:p w14:paraId="0DE7794D" w14:textId="77777777" w:rsidR="00B246EF" w:rsidRPr="00F1088B" w:rsidRDefault="00B246EF" w:rsidP="00CF1C82">
      <w:pPr>
        <w:rPr>
          <w:rFonts w:asciiTheme="minorHAnsi" w:eastAsia="Calibri" w:hAnsiTheme="minorHAnsi" w:cstheme="minorHAnsi"/>
          <w:sz w:val="18"/>
          <w:szCs w:val="18"/>
          <w:highlight w:val="yellow"/>
        </w:rPr>
      </w:pPr>
    </w:p>
    <w:p w14:paraId="042549FB" w14:textId="55980AD4" w:rsidR="00F02CF0" w:rsidRPr="00CE2041" w:rsidRDefault="00F02CF0" w:rsidP="00DB782A">
      <w:pPr>
        <w:spacing w:after="60"/>
        <w:jc w:val="left"/>
        <w:rPr>
          <w:rFonts w:asciiTheme="minorHAnsi" w:eastAsia="Calibri" w:hAnsiTheme="minorHAnsi" w:cstheme="minorHAnsi"/>
          <w:b/>
          <w:bCs/>
          <w:sz w:val="20"/>
          <w:szCs w:val="22"/>
        </w:rPr>
      </w:pPr>
      <w:r w:rsidRPr="00CE2041">
        <w:rPr>
          <w:rFonts w:asciiTheme="minorHAnsi" w:eastAsia="Calibri" w:hAnsiTheme="minorHAnsi" w:cstheme="minorHAnsi"/>
          <w:b/>
          <w:bCs/>
          <w:sz w:val="20"/>
          <w:szCs w:val="22"/>
        </w:rPr>
        <w:t xml:space="preserve">Tavola </w:t>
      </w:r>
      <w:r w:rsidR="00CE2041" w:rsidRPr="00CE2041">
        <w:rPr>
          <w:rFonts w:asciiTheme="minorHAnsi" w:eastAsia="Calibri" w:hAnsiTheme="minorHAnsi" w:cstheme="minorHAnsi"/>
          <w:b/>
          <w:bCs/>
          <w:sz w:val="20"/>
          <w:szCs w:val="22"/>
        </w:rPr>
        <w:t>3</w:t>
      </w:r>
    </w:p>
    <w:tbl>
      <w:tblPr>
        <w:tblW w:w="0" w:type="auto"/>
        <w:tblCellMar>
          <w:left w:w="70" w:type="dxa"/>
          <w:right w:w="70" w:type="dxa"/>
        </w:tblCellMar>
        <w:tblLook w:val="04A0" w:firstRow="1" w:lastRow="0" w:firstColumn="1" w:lastColumn="0" w:noHBand="0" w:noVBand="1"/>
      </w:tblPr>
      <w:tblGrid>
        <w:gridCol w:w="1040"/>
        <w:gridCol w:w="857"/>
        <w:gridCol w:w="699"/>
        <w:gridCol w:w="1224"/>
        <w:gridCol w:w="705"/>
        <w:gridCol w:w="1701"/>
        <w:gridCol w:w="1418"/>
        <w:gridCol w:w="992"/>
        <w:gridCol w:w="992"/>
      </w:tblGrid>
      <w:tr w:rsidR="00F465CE" w:rsidRPr="00002E27" w14:paraId="19A7B7BC" w14:textId="77777777" w:rsidTr="00F465CE">
        <w:trPr>
          <w:trHeight w:val="408"/>
        </w:trPr>
        <w:tc>
          <w:tcPr>
            <w:tcW w:w="105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93CED8" w14:textId="57E1EFD8" w:rsidR="00F465CE" w:rsidRPr="00F4759C" w:rsidRDefault="00F465CE" w:rsidP="00757CC6">
            <w:pPr>
              <w:jc w:val="center"/>
              <w:rPr>
                <w:rFonts w:ascii="Calibri" w:hAnsi="Calibri" w:cs="Arial"/>
                <w:b/>
                <w:bCs/>
                <w:color w:val="000000"/>
                <w:sz w:val="18"/>
                <w:szCs w:val="18"/>
              </w:rPr>
            </w:pPr>
            <w:r w:rsidRPr="00F4759C">
              <w:rPr>
                <w:rFonts w:ascii="Calibri" w:hAnsi="Calibri" w:cs="Arial"/>
                <w:b/>
                <w:bCs/>
                <w:color w:val="000000"/>
                <w:sz w:val="18"/>
                <w:szCs w:val="18"/>
              </w:rPr>
              <w:t>0,0%</w:t>
            </w:r>
          </w:p>
        </w:tc>
        <w:tc>
          <w:tcPr>
            <w:tcW w:w="857"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3272F1D6" w14:textId="3F9B4BFF" w:rsidR="00F465CE" w:rsidRPr="00F4759C" w:rsidRDefault="00F465CE" w:rsidP="00757CC6">
            <w:pPr>
              <w:jc w:val="center"/>
              <w:rPr>
                <w:rFonts w:ascii="Calibri" w:hAnsi="Calibri" w:cs="Arial"/>
                <w:b/>
                <w:bCs/>
                <w:color w:val="000000"/>
                <w:sz w:val="18"/>
                <w:szCs w:val="18"/>
              </w:rPr>
            </w:pPr>
            <w:r>
              <w:rPr>
                <w:rFonts w:ascii="Calibri" w:hAnsi="Calibri" w:cs="Arial"/>
                <w:b/>
                <w:bCs/>
                <w:color w:val="000000"/>
                <w:sz w:val="18"/>
                <w:szCs w:val="18"/>
              </w:rPr>
              <w:t>+</w:t>
            </w:r>
            <w:r w:rsidRPr="00F4759C">
              <w:rPr>
                <w:rFonts w:ascii="Calibri" w:hAnsi="Calibri" w:cs="Arial"/>
                <w:b/>
                <w:bCs/>
                <w:color w:val="000000"/>
                <w:sz w:val="18"/>
                <w:szCs w:val="18"/>
              </w:rPr>
              <w:t>1,0%</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EB46F83" w14:textId="5A116095" w:rsidR="00F465CE" w:rsidRPr="00F4759C" w:rsidRDefault="00F465CE" w:rsidP="00757CC6">
            <w:pPr>
              <w:jc w:val="center"/>
              <w:rPr>
                <w:rFonts w:ascii="Calibri" w:hAnsi="Calibri" w:cs="Arial"/>
                <w:b/>
                <w:bCs/>
                <w:color w:val="000000"/>
                <w:sz w:val="18"/>
                <w:szCs w:val="18"/>
              </w:rPr>
            </w:pPr>
            <w:r>
              <w:rPr>
                <w:rFonts w:ascii="Calibri" w:hAnsi="Calibri" w:cs="Arial"/>
                <w:b/>
                <w:bCs/>
                <w:color w:val="000000"/>
                <w:sz w:val="18"/>
                <w:szCs w:val="18"/>
              </w:rPr>
              <w:t>+1</w:t>
            </w:r>
            <w:r w:rsidRPr="00F4759C">
              <w:rPr>
                <w:rFonts w:ascii="Calibri" w:hAnsi="Calibri" w:cs="Arial"/>
                <w:b/>
                <w:bCs/>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087AC85" w14:textId="03C680FD" w:rsidR="00F465CE" w:rsidRDefault="00F465CE" w:rsidP="00757CC6">
            <w:pPr>
              <w:jc w:val="center"/>
              <w:rPr>
                <w:rFonts w:ascii="Calibri" w:hAnsi="Calibri" w:cs="Arial"/>
                <w:b/>
                <w:bCs/>
                <w:color w:val="000000"/>
                <w:sz w:val="18"/>
                <w:szCs w:val="18"/>
              </w:rPr>
            </w:pPr>
            <w:r>
              <w:rPr>
                <w:rFonts w:ascii="Calibri" w:hAnsi="Calibri" w:cs="Arial"/>
                <w:b/>
                <w:bCs/>
                <w:color w:val="000000"/>
                <w:sz w:val="18"/>
                <w:szCs w:val="18"/>
              </w:rPr>
              <w:t>+2</w:t>
            </w:r>
            <w:r w:rsidRPr="00F4759C">
              <w:rPr>
                <w:rFonts w:ascii="Calibri" w:hAnsi="Calibri" w:cs="Arial"/>
                <w:b/>
                <w:bCs/>
                <w:color w:val="000000"/>
                <w:sz w:val="18"/>
                <w:szCs w:val="18"/>
              </w:rPr>
              <w:t>,0%</w:t>
            </w:r>
          </w:p>
        </w:tc>
        <w:tc>
          <w:tcPr>
            <w:tcW w:w="708"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6B26ED72" w14:textId="3D8EFEDE" w:rsidR="00F465CE" w:rsidRPr="00F4759C" w:rsidRDefault="00F465CE" w:rsidP="00757CC6">
            <w:pPr>
              <w:jc w:val="center"/>
              <w:rPr>
                <w:rFonts w:ascii="Calibri" w:hAnsi="Calibri" w:cs="Arial"/>
                <w:b/>
                <w:bCs/>
                <w:color w:val="000000"/>
                <w:sz w:val="18"/>
                <w:szCs w:val="18"/>
              </w:rPr>
            </w:pPr>
            <w:r>
              <w:rPr>
                <w:rFonts w:ascii="Calibri" w:hAnsi="Calibri" w:cs="Arial"/>
                <w:b/>
                <w:bCs/>
                <w:color w:val="000000"/>
                <w:sz w:val="18"/>
                <w:szCs w:val="18"/>
              </w:rPr>
              <w:t>+2</w:t>
            </w:r>
            <w:r w:rsidRPr="00F4759C">
              <w:rPr>
                <w:rFonts w:ascii="Calibri" w:hAnsi="Calibri" w:cs="Arial"/>
                <w:b/>
                <w:bCs/>
                <w:color w:val="000000"/>
                <w:sz w:val="18"/>
                <w:szCs w:val="18"/>
              </w:rPr>
              <w:t>,</w:t>
            </w:r>
            <w:r>
              <w:rPr>
                <w:rFonts w:ascii="Calibri" w:hAnsi="Calibri" w:cs="Arial"/>
                <w:b/>
                <w:bCs/>
                <w:color w:val="000000"/>
                <w:sz w:val="18"/>
                <w:szCs w:val="18"/>
              </w:rPr>
              <w:t>5</w:t>
            </w:r>
            <w:r w:rsidRPr="00F4759C">
              <w:rPr>
                <w:rFonts w:ascii="Calibri" w:hAnsi="Calibri" w:cs="Arial"/>
                <w:b/>
                <w:bCs/>
                <w:color w:val="000000"/>
                <w:sz w:val="18"/>
                <w:szCs w:val="18"/>
              </w:rPr>
              <w:t>%</w:t>
            </w:r>
          </w:p>
        </w:tc>
        <w:tc>
          <w:tcPr>
            <w:tcW w:w="1701" w:type="dxa"/>
            <w:tcBorders>
              <w:top w:val="single" w:sz="4" w:space="0" w:color="auto"/>
              <w:left w:val="nil"/>
              <w:bottom w:val="single" w:sz="4" w:space="0" w:color="auto"/>
              <w:right w:val="nil"/>
            </w:tcBorders>
            <w:shd w:val="clear" w:color="000000" w:fill="1F497D"/>
            <w:vAlign w:val="center"/>
            <w:hideMark/>
          </w:tcPr>
          <w:p w14:paraId="4F702E2B" w14:textId="0B29FC79" w:rsidR="00F465CE" w:rsidRPr="00F4759C" w:rsidRDefault="00F465CE" w:rsidP="00757CC6">
            <w:pPr>
              <w:jc w:val="center"/>
              <w:rPr>
                <w:rFonts w:ascii="Calibri" w:hAnsi="Calibri" w:cs="Arial"/>
                <w:b/>
                <w:bCs/>
                <w:color w:val="FFFFFF"/>
                <w:sz w:val="18"/>
                <w:szCs w:val="18"/>
              </w:rPr>
            </w:pPr>
            <w:r w:rsidRPr="00F4759C">
              <w:rPr>
                <w:rFonts w:ascii="Calibri" w:hAnsi="Calibri" w:cs="Arial"/>
                <w:b/>
                <w:bCs/>
                <w:color w:val="FFFFFF"/>
                <w:sz w:val="18"/>
                <w:szCs w:val="18"/>
              </w:rPr>
              <w:t xml:space="preserve">Media località turistiche: </w:t>
            </w:r>
            <w:r>
              <w:rPr>
                <w:rFonts w:ascii="Calibri" w:hAnsi="Calibri" w:cs="Arial"/>
                <w:b/>
                <w:bCs/>
                <w:color w:val="FFFFFF"/>
                <w:sz w:val="18"/>
                <w:szCs w:val="18"/>
              </w:rPr>
              <w:t>+3,</w:t>
            </w:r>
            <w:r w:rsidR="00BA5D78">
              <w:rPr>
                <w:rFonts w:ascii="Calibri" w:hAnsi="Calibri" w:cs="Arial"/>
                <w:b/>
                <w:bCs/>
                <w:color w:val="FFFFFF"/>
                <w:sz w:val="18"/>
                <w:szCs w:val="18"/>
              </w:rPr>
              <w:t>2</w:t>
            </w:r>
            <w:r w:rsidRPr="00F4759C">
              <w:rPr>
                <w:rFonts w:ascii="Calibri" w:hAnsi="Calibri" w:cs="Arial"/>
                <w:b/>
                <w:bCs/>
                <w:color w:val="FFFFF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1DA7F5EC" w14:textId="16A59C23" w:rsidR="00F465CE" w:rsidRPr="00F4759C" w:rsidRDefault="00F465CE" w:rsidP="00757CC6">
            <w:pPr>
              <w:jc w:val="center"/>
              <w:rPr>
                <w:rFonts w:ascii="Calibri" w:hAnsi="Calibri" w:cs="Arial"/>
                <w:b/>
                <w:bCs/>
                <w:color w:val="000000"/>
                <w:sz w:val="18"/>
                <w:szCs w:val="18"/>
              </w:rPr>
            </w:pPr>
            <w:r>
              <w:rPr>
                <w:rFonts w:ascii="Calibri" w:hAnsi="Calibri" w:cs="Arial"/>
                <w:b/>
                <w:bCs/>
                <w:color w:val="000000"/>
                <w:sz w:val="18"/>
                <w:szCs w:val="18"/>
              </w:rPr>
              <w:t>+4,0%</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4F923174" w14:textId="723D14E5" w:rsidR="00F465CE" w:rsidRPr="00F4759C" w:rsidRDefault="00F465CE" w:rsidP="00757CC6">
            <w:pPr>
              <w:jc w:val="center"/>
              <w:rPr>
                <w:rFonts w:ascii="Calibri" w:hAnsi="Calibri" w:cs="Arial"/>
                <w:b/>
                <w:bCs/>
                <w:color w:val="000000"/>
                <w:sz w:val="18"/>
                <w:szCs w:val="18"/>
              </w:rPr>
            </w:pPr>
            <w:r>
              <w:rPr>
                <w:rFonts w:ascii="Calibri" w:hAnsi="Calibri" w:cs="Arial"/>
                <w:b/>
                <w:bCs/>
                <w:color w:val="000000"/>
                <w:sz w:val="18"/>
                <w:szCs w:val="18"/>
              </w:rPr>
              <w:t>+6,0%</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6BF333AD" w14:textId="736E3640" w:rsidR="00F465CE" w:rsidRPr="00F4759C" w:rsidRDefault="00F465CE" w:rsidP="00757CC6">
            <w:pPr>
              <w:jc w:val="center"/>
              <w:rPr>
                <w:rFonts w:ascii="Calibri" w:hAnsi="Calibri" w:cs="Arial"/>
                <w:b/>
                <w:bCs/>
                <w:color w:val="000000"/>
                <w:sz w:val="18"/>
                <w:szCs w:val="18"/>
              </w:rPr>
            </w:pPr>
            <w:r>
              <w:rPr>
                <w:rFonts w:ascii="Calibri" w:hAnsi="Calibri" w:cs="Arial"/>
                <w:b/>
                <w:bCs/>
                <w:color w:val="000000"/>
                <w:sz w:val="18"/>
                <w:szCs w:val="18"/>
              </w:rPr>
              <w:t>+7,0%</w:t>
            </w:r>
          </w:p>
        </w:tc>
      </w:tr>
      <w:tr w:rsidR="00F465CE" w:rsidRPr="00002E27" w14:paraId="3088889E" w14:textId="77777777" w:rsidTr="00F465CE">
        <w:trPr>
          <w:trHeight w:val="276"/>
        </w:trPr>
        <w:tc>
          <w:tcPr>
            <w:tcW w:w="1056" w:type="dxa"/>
            <w:tcBorders>
              <w:top w:val="nil"/>
              <w:left w:val="single" w:sz="4" w:space="0" w:color="auto"/>
              <w:bottom w:val="nil"/>
              <w:right w:val="single" w:sz="4" w:space="0" w:color="auto"/>
            </w:tcBorders>
            <w:shd w:val="clear" w:color="auto" w:fill="auto"/>
            <w:vAlign w:val="center"/>
          </w:tcPr>
          <w:p w14:paraId="524054ED" w14:textId="1EF64884" w:rsidR="00F465CE" w:rsidRPr="00F4759C" w:rsidRDefault="00F465CE" w:rsidP="00757CC6">
            <w:pPr>
              <w:jc w:val="center"/>
              <w:rPr>
                <w:rFonts w:ascii="Calibri" w:hAnsi="Calibri" w:cs="Arial"/>
                <w:color w:val="000000"/>
                <w:sz w:val="18"/>
                <w:szCs w:val="18"/>
              </w:rPr>
            </w:pPr>
            <w:r w:rsidRPr="00F4759C">
              <w:rPr>
                <w:rFonts w:ascii="Calibri" w:hAnsi="Calibri" w:cs="Arial"/>
                <w:color w:val="000000"/>
                <w:sz w:val="18"/>
                <w:szCs w:val="18"/>
              </w:rPr>
              <w:t>Abruzzo</w:t>
            </w:r>
          </w:p>
        </w:tc>
        <w:tc>
          <w:tcPr>
            <w:tcW w:w="857" w:type="dxa"/>
            <w:tcBorders>
              <w:top w:val="nil"/>
              <w:left w:val="nil"/>
              <w:bottom w:val="nil"/>
              <w:right w:val="single" w:sz="4" w:space="0" w:color="auto"/>
            </w:tcBorders>
            <w:shd w:val="clear" w:color="auto" w:fill="E7E6E6" w:themeFill="background2"/>
            <w:noWrap/>
            <w:vAlign w:val="center"/>
          </w:tcPr>
          <w:p w14:paraId="0906F9B1" w14:textId="5D4994C2" w:rsidR="00F465CE" w:rsidRPr="00F4759C" w:rsidRDefault="00F465CE" w:rsidP="00757CC6">
            <w:pPr>
              <w:jc w:val="center"/>
              <w:rPr>
                <w:rFonts w:ascii="Calibri" w:hAnsi="Calibri" w:cs="Arial"/>
                <w:color w:val="000000"/>
                <w:sz w:val="18"/>
                <w:szCs w:val="18"/>
              </w:rPr>
            </w:pPr>
            <w:r w:rsidRPr="00F4759C">
              <w:rPr>
                <w:rFonts w:ascii="Calibri" w:hAnsi="Calibri" w:cs="Arial"/>
                <w:color w:val="000000"/>
                <w:sz w:val="18"/>
                <w:szCs w:val="18"/>
              </w:rPr>
              <w:t>Toscana</w:t>
            </w:r>
          </w:p>
        </w:tc>
        <w:tc>
          <w:tcPr>
            <w:tcW w:w="709" w:type="dxa"/>
            <w:tcBorders>
              <w:top w:val="nil"/>
              <w:left w:val="nil"/>
              <w:bottom w:val="nil"/>
              <w:right w:val="single" w:sz="4" w:space="0" w:color="auto"/>
            </w:tcBorders>
            <w:shd w:val="clear" w:color="auto" w:fill="auto"/>
            <w:vAlign w:val="center"/>
          </w:tcPr>
          <w:p w14:paraId="6BA5BCDC" w14:textId="6C102174" w:rsidR="00F465CE" w:rsidRPr="00F4759C" w:rsidRDefault="00F00E15" w:rsidP="00757CC6">
            <w:pPr>
              <w:jc w:val="center"/>
              <w:rPr>
                <w:rFonts w:ascii="Calibri" w:hAnsi="Calibri" w:cs="Arial"/>
                <w:color w:val="000000"/>
                <w:sz w:val="18"/>
                <w:szCs w:val="18"/>
              </w:rPr>
            </w:pPr>
            <w:r w:rsidRPr="00F4759C">
              <w:rPr>
                <w:rFonts w:ascii="Calibri" w:hAnsi="Calibri" w:cs="Arial"/>
                <w:color w:val="000000"/>
                <w:sz w:val="18"/>
                <w:szCs w:val="18"/>
              </w:rPr>
              <w:t>Sicilia</w:t>
            </w:r>
          </w:p>
        </w:tc>
        <w:tc>
          <w:tcPr>
            <w:tcW w:w="1276" w:type="dxa"/>
            <w:tcBorders>
              <w:top w:val="nil"/>
              <w:left w:val="nil"/>
              <w:bottom w:val="nil"/>
              <w:right w:val="single" w:sz="4" w:space="0" w:color="auto"/>
            </w:tcBorders>
            <w:shd w:val="clear" w:color="auto" w:fill="E7E6E6" w:themeFill="background2"/>
            <w:vAlign w:val="center"/>
          </w:tcPr>
          <w:p w14:paraId="1E0AAEBD" w14:textId="714F0A80" w:rsidR="00F465CE" w:rsidRPr="00F4759C" w:rsidRDefault="00F465CE" w:rsidP="00757CC6">
            <w:pPr>
              <w:jc w:val="center"/>
              <w:rPr>
                <w:rFonts w:ascii="Calibri" w:hAnsi="Calibri" w:cs="Arial"/>
                <w:color w:val="000000"/>
                <w:sz w:val="18"/>
                <w:szCs w:val="18"/>
              </w:rPr>
            </w:pPr>
            <w:r w:rsidRPr="00F4759C">
              <w:rPr>
                <w:rFonts w:ascii="Calibri" w:hAnsi="Calibri" w:cs="Arial"/>
                <w:color w:val="000000"/>
                <w:sz w:val="18"/>
                <w:szCs w:val="18"/>
              </w:rPr>
              <w:t>Emilia-R</w:t>
            </w:r>
            <w:r>
              <w:rPr>
                <w:rFonts w:ascii="Calibri" w:hAnsi="Calibri" w:cs="Arial"/>
                <w:color w:val="000000"/>
                <w:sz w:val="18"/>
                <w:szCs w:val="18"/>
              </w:rPr>
              <w:t>om.</w:t>
            </w:r>
          </w:p>
        </w:tc>
        <w:tc>
          <w:tcPr>
            <w:tcW w:w="708" w:type="dxa"/>
            <w:tcBorders>
              <w:top w:val="nil"/>
              <w:left w:val="single" w:sz="4" w:space="0" w:color="auto"/>
              <w:bottom w:val="nil"/>
              <w:right w:val="nil"/>
            </w:tcBorders>
            <w:vAlign w:val="center"/>
          </w:tcPr>
          <w:p w14:paraId="504B41A7" w14:textId="657E003C" w:rsidR="00F465CE" w:rsidRPr="00F4759C" w:rsidRDefault="00F00E15" w:rsidP="00757CC6">
            <w:pPr>
              <w:jc w:val="center"/>
              <w:rPr>
                <w:rFonts w:ascii="Calibri" w:hAnsi="Calibri" w:cs="Arial"/>
                <w:sz w:val="18"/>
                <w:szCs w:val="18"/>
              </w:rPr>
            </w:pPr>
            <w:r w:rsidRPr="00F4759C">
              <w:rPr>
                <w:rFonts w:ascii="Calibri" w:hAnsi="Calibri" w:cs="Arial"/>
                <w:color w:val="000000"/>
                <w:sz w:val="18"/>
                <w:szCs w:val="18"/>
              </w:rPr>
              <w:t>Puglia</w:t>
            </w:r>
          </w:p>
        </w:tc>
        <w:tc>
          <w:tcPr>
            <w:tcW w:w="1701" w:type="dxa"/>
            <w:tcBorders>
              <w:top w:val="nil"/>
              <w:left w:val="nil"/>
              <w:bottom w:val="nil"/>
              <w:right w:val="single" w:sz="4" w:space="0" w:color="auto"/>
            </w:tcBorders>
            <w:shd w:val="clear" w:color="000000" w:fill="1F497D"/>
            <w:noWrap/>
            <w:vAlign w:val="center"/>
          </w:tcPr>
          <w:p w14:paraId="722275B6" w14:textId="09C4F89E" w:rsidR="00F465CE" w:rsidRPr="00F4759C" w:rsidRDefault="00F465CE" w:rsidP="00757CC6">
            <w:pPr>
              <w:jc w:val="center"/>
              <w:rPr>
                <w:rFonts w:ascii="Calibri" w:hAnsi="Calibri" w:cs="Arial"/>
                <w:color w:val="FFFFFF"/>
                <w:sz w:val="18"/>
                <w:szCs w:val="18"/>
              </w:rPr>
            </w:pPr>
            <w:r>
              <w:rPr>
                <w:rFonts w:ascii="Calibri" w:hAnsi="Calibri" w:cs="Arial"/>
                <w:color w:val="FFFFFF"/>
                <w:sz w:val="18"/>
                <w:szCs w:val="18"/>
              </w:rPr>
              <w:t>Lazio</w:t>
            </w:r>
          </w:p>
        </w:tc>
        <w:tc>
          <w:tcPr>
            <w:tcW w:w="1418" w:type="dxa"/>
            <w:tcBorders>
              <w:top w:val="nil"/>
              <w:left w:val="nil"/>
              <w:bottom w:val="nil"/>
              <w:right w:val="single" w:sz="4" w:space="0" w:color="auto"/>
            </w:tcBorders>
            <w:shd w:val="clear" w:color="auto" w:fill="E7E6E6" w:themeFill="background2"/>
            <w:noWrap/>
            <w:vAlign w:val="center"/>
          </w:tcPr>
          <w:p w14:paraId="2F0AC35A" w14:textId="6557CB7F" w:rsidR="00F465CE" w:rsidRPr="00F4759C" w:rsidRDefault="00F465CE" w:rsidP="00757CC6">
            <w:pPr>
              <w:jc w:val="center"/>
              <w:rPr>
                <w:rFonts w:ascii="Calibri" w:hAnsi="Calibri" w:cs="Arial"/>
                <w:color w:val="000000"/>
                <w:sz w:val="18"/>
                <w:szCs w:val="18"/>
              </w:rPr>
            </w:pPr>
            <w:r w:rsidRPr="00F4759C">
              <w:rPr>
                <w:rFonts w:ascii="Calibri" w:hAnsi="Calibri" w:cs="Arial"/>
                <w:color w:val="000000"/>
                <w:sz w:val="18"/>
                <w:szCs w:val="18"/>
              </w:rPr>
              <w:t>Trentino-Alto A.</w:t>
            </w:r>
          </w:p>
        </w:tc>
        <w:tc>
          <w:tcPr>
            <w:tcW w:w="992" w:type="dxa"/>
            <w:tcBorders>
              <w:top w:val="nil"/>
              <w:left w:val="nil"/>
              <w:bottom w:val="nil"/>
              <w:right w:val="single" w:sz="4" w:space="0" w:color="auto"/>
            </w:tcBorders>
            <w:shd w:val="clear" w:color="auto" w:fill="auto"/>
            <w:noWrap/>
            <w:vAlign w:val="center"/>
          </w:tcPr>
          <w:p w14:paraId="4AF50D77" w14:textId="0DF15BE4" w:rsidR="00F465CE" w:rsidRPr="00F4759C" w:rsidRDefault="00F465CE" w:rsidP="00757CC6">
            <w:pPr>
              <w:jc w:val="center"/>
              <w:rPr>
                <w:rFonts w:ascii="Calibri" w:hAnsi="Calibri" w:cs="Arial"/>
                <w:color w:val="000000"/>
                <w:sz w:val="18"/>
                <w:szCs w:val="18"/>
              </w:rPr>
            </w:pPr>
            <w:r w:rsidRPr="00F4759C">
              <w:rPr>
                <w:rFonts w:ascii="Calibri" w:hAnsi="Calibri" w:cs="Arial"/>
                <w:color w:val="000000"/>
                <w:sz w:val="18"/>
                <w:szCs w:val="18"/>
              </w:rPr>
              <w:t>Campania</w:t>
            </w:r>
          </w:p>
        </w:tc>
        <w:tc>
          <w:tcPr>
            <w:tcW w:w="992" w:type="dxa"/>
            <w:tcBorders>
              <w:top w:val="nil"/>
              <w:left w:val="nil"/>
              <w:bottom w:val="nil"/>
              <w:right w:val="single" w:sz="4" w:space="0" w:color="auto"/>
            </w:tcBorders>
            <w:shd w:val="clear" w:color="auto" w:fill="E7E6E6" w:themeFill="background2"/>
            <w:noWrap/>
            <w:vAlign w:val="center"/>
          </w:tcPr>
          <w:p w14:paraId="7B71693C" w14:textId="5FF293E5" w:rsidR="00F465CE" w:rsidRPr="00F4759C" w:rsidRDefault="00F465CE" w:rsidP="00757CC6">
            <w:pPr>
              <w:jc w:val="center"/>
              <w:rPr>
                <w:rFonts w:ascii="Calibri" w:hAnsi="Calibri" w:cs="Arial"/>
                <w:color w:val="000000"/>
                <w:sz w:val="18"/>
                <w:szCs w:val="18"/>
              </w:rPr>
            </w:pPr>
            <w:r w:rsidRPr="00F4759C">
              <w:rPr>
                <w:rFonts w:ascii="Calibri" w:hAnsi="Calibri" w:cs="Arial"/>
                <w:sz w:val="18"/>
                <w:szCs w:val="18"/>
              </w:rPr>
              <w:t>Lombardia</w:t>
            </w:r>
          </w:p>
        </w:tc>
      </w:tr>
      <w:tr w:rsidR="00F465CE" w:rsidRPr="00002E27" w14:paraId="17C37C97" w14:textId="77777777" w:rsidTr="00F465CE">
        <w:trPr>
          <w:trHeight w:val="276"/>
        </w:trPr>
        <w:tc>
          <w:tcPr>
            <w:tcW w:w="1056" w:type="dxa"/>
            <w:tcBorders>
              <w:top w:val="nil"/>
              <w:left w:val="single" w:sz="4" w:space="0" w:color="auto"/>
              <w:bottom w:val="nil"/>
              <w:right w:val="single" w:sz="4" w:space="0" w:color="auto"/>
            </w:tcBorders>
            <w:shd w:val="clear" w:color="auto" w:fill="auto"/>
            <w:vAlign w:val="center"/>
          </w:tcPr>
          <w:p w14:paraId="00EDDCE2" w14:textId="563609F6" w:rsidR="00F465CE" w:rsidRPr="00F4759C" w:rsidRDefault="00F465CE" w:rsidP="00757CC6">
            <w:pPr>
              <w:jc w:val="center"/>
              <w:rPr>
                <w:rFonts w:ascii="Calibri" w:hAnsi="Calibri" w:cs="Arial"/>
                <w:color w:val="000000"/>
                <w:sz w:val="18"/>
                <w:szCs w:val="18"/>
              </w:rPr>
            </w:pPr>
            <w:r w:rsidRPr="00F4759C">
              <w:rPr>
                <w:rFonts w:ascii="Calibri" w:hAnsi="Calibri" w:cs="Arial"/>
                <w:color w:val="000000"/>
                <w:sz w:val="18"/>
                <w:szCs w:val="18"/>
              </w:rPr>
              <w:t>Calabria</w:t>
            </w:r>
          </w:p>
        </w:tc>
        <w:tc>
          <w:tcPr>
            <w:tcW w:w="857" w:type="dxa"/>
            <w:tcBorders>
              <w:top w:val="nil"/>
              <w:left w:val="nil"/>
              <w:bottom w:val="nil"/>
              <w:right w:val="single" w:sz="4" w:space="0" w:color="auto"/>
            </w:tcBorders>
            <w:shd w:val="clear" w:color="auto" w:fill="E7E6E6" w:themeFill="background2"/>
            <w:noWrap/>
            <w:vAlign w:val="center"/>
          </w:tcPr>
          <w:p w14:paraId="403F8884" w14:textId="77777777" w:rsidR="00F465CE" w:rsidRPr="00F4759C" w:rsidRDefault="00F465CE" w:rsidP="00757CC6">
            <w:pPr>
              <w:jc w:val="center"/>
              <w:rPr>
                <w:rFonts w:ascii="Calibri" w:hAnsi="Calibri" w:cs="Arial"/>
                <w:color w:val="000000"/>
                <w:sz w:val="18"/>
                <w:szCs w:val="18"/>
              </w:rPr>
            </w:pPr>
          </w:p>
        </w:tc>
        <w:tc>
          <w:tcPr>
            <w:tcW w:w="709" w:type="dxa"/>
            <w:tcBorders>
              <w:top w:val="nil"/>
              <w:left w:val="nil"/>
              <w:bottom w:val="nil"/>
              <w:right w:val="single" w:sz="4" w:space="0" w:color="auto"/>
            </w:tcBorders>
            <w:shd w:val="clear" w:color="auto" w:fill="auto"/>
            <w:vAlign w:val="center"/>
          </w:tcPr>
          <w:p w14:paraId="6065158E" w14:textId="4E13E39F" w:rsidR="00F465CE" w:rsidRPr="00F4759C" w:rsidRDefault="00F465CE" w:rsidP="00757CC6">
            <w:pPr>
              <w:jc w:val="center"/>
              <w:rPr>
                <w:rFonts w:ascii="Calibri" w:hAnsi="Calibri" w:cs="Arial"/>
                <w:color w:val="000000"/>
                <w:sz w:val="18"/>
                <w:szCs w:val="18"/>
              </w:rPr>
            </w:pPr>
          </w:p>
        </w:tc>
        <w:tc>
          <w:tcPr>
            <w:tcW w:w="1276" w:type="dxa"/>
            <w:tcBorders>
              <w:top w:val="nil"/>
              <w:left w:val="nil"/>
              <w:bottom w:val="nil"/>
              <w:right w:val="single" w:sz="4" w:space="0" w:color="auto"/>
            </w:tcBorders>
            <w:shd w:val="clear" w:color="auto" w:fill="E7E6E6" w:themeFill="background2"/>
            <w:vAlign w:val="center"/>
          </w:tcPr>
          <w:p w14:paraId="5B9BD20A" w14:textId="0052D13B" w:rsidR="00F465CE" w:rsidRPr="00F4759C" w:rsidRDefault="00F465CE" w:rsidP="00757CC6">
            <w:pPr>
              <w:jc w:val="center"/>
              <w:rPr>
                <w:rFonts w:ascii="Calibri" w:hAnsi="Calibri" w:cs="Arial"/>
                <w:color w:val="000000"/>
                <w:sz w:val="18"/>
                <w:szCs w:val="18"/>
              </w:rPr>
            </w:pPr>
            <w:r w:rsidRPr="00F4759C">
              <w:rPr>
                <w:rFonts w:ascii="Calibri" w:hAnsi="Calibri" w:cs="Arial"/>
                <w:color w:val="000000"/>
                <w:sz w:val="18"/>
                <w:szCs w:val="18"/>
              </w:rPr>
              <w:t>Liguria</w:t>
            </w:r>
          </w:p>
        </w:tc>
        <w:tc>
          <w:tcPr>
            <w:tcW w:w="708" w:type="dxa"/>
            <w:tcBorders>
              <w:top w:val="nil"/>
              <w:left w:val="single" w:sz="4" w:space="0" w:color="auto"/>
              <w:bottom w:val="nil"/>
              <w:right w:val="nil"/>
            </w:tcBorders>
            <w:vAlign w:val="center"/>
          </w:tcPr>
          <w:p w14:paraId="20F8D994" w14:textId="3479D03F" w:rsidR="00F465CE" w:rsidRPr="00F4759C" w:rsidRDefault="00F00E15" w:rsidP="00757CC6">
            <w:pPr>
              <w:jc w:val="center"/>
              <w:rPr>
                <w:rFonts w:ascii="Calibri" w:hAnsi="Calibri" w:cs="Arial"/>
                <w:sz w:val="18"/>
                <w:szCs w:val="18"/>
              </w:rPr>
            </w:pPr>
            <w:r w:rsidRPr="00F4759C">
              <w:rPr>
                <w:rFonts w:ascii="Calibri" w:hAnsi="Calibri" w:cs="Arial"/>
                <w:color w:val="000000"/>
                <w:sz w:val="18"/>
                <w:szCs w:val="18"/>
              </w:rPr>
              <w:t>Veneto</w:t>
            </w:r>
          </w:p>
        </w:tc>
        <w:tc>
          <w:tcPr>
            <w:tcW w:w="1701" w:type="dxa"/>
            <w:tcBorders>
              <w:top w:val="nil"/>
              <w:left w:val="nil"/>
              <w:bottom w:val="nil"/>
              <w:right w:val="single" w:sz="4" w:space="0" w:color="auto"/>
            </w:tcBorders>
            <w:shd w:val="clear" w:color="000000" w:fill="1F497D"/>
            <w:noWrap/>
            <w:vAlign w:val="center"/>
          </w:tcPr>
          <w:p w14:paraId="05BFD950" w14:textId="77777777" w:rsidR="00F465CE" w:rsidRPr="00F4759C" w:rsidRDefault="00F465CE" w:rsidP="00757CC6">
            <w:pPr>
              <w:jc w:val="center"/>
              <w:rPr>
                <w:rFonts w:ascii="Calibri" w:hAnsi="Calibri" w:cs="Arial"/>
                <w:color w:val="FFFFFF"/>
                <w:sz w:val="18"/>
                <w:szCs w:val="18"/>
              </w:rPr>
            </w:pPr>
          </w:p>
        </w:tc>
        <w:tc>
          <w:tcPr>
            <w:tcW w:w="1418" w:type="dxa"/>
            <w:tcBorders>
              <w:top w:val="nil"/>
              <w:left w:val="nil"/>
              <w:bottom w:val="nil"/>
              <w:right w:val="nil"/>
            </w:tcBorders>
            <w:shd w:val="clear" w:color="auto" w:fill="E7E6E6" w:themeFill="background2"/>
            <w:noWrap/>
            <w:vAlign w:val="center"/>
          </w:tcPr>
          <w:p w14:paraId="2C007DAC" w14:textId="53DFB3FE" w:rsidR="00F465CE" w:rsidRPr="00F4759C" w:rsidRDefault="00F465CE" w:rsidP="00757CC6">
            <w:pPr>
              <w:jc w:val="center"/>
              <w:rPr>
                <w:rFonts w:ascii="Calibri" w:hAnsi="Calibri" w:cs="Arial"/>
                <w:color w:val="000000"/>
                <w:sz w:val="18"/>
                <w:szCs w:val="18"/>
              </w:rPr>
            </w:pPr>
          </w:p>
        </w:tc>
        <w:tc>
          <w:tcPr>
            <w:tcW w:w="992" w:type="dxa"/>
            <w:tcBorders>
              <w:top w:val="nil"/>
              <w:left w:val="single" w:sz="4" w:space="0" w:color="auto"/>
              <w:bottom w:val="nil"/>
              <w:right w:val="single" w:sz="4" w:space="0" w:color="auto"/>
            </w:tcBorders>
            <w:shd w:val="clear" w:color="auto" w:fill="auto"/>
            <w:noWrap/>
            <w:vAlign w:val="center"/>
          </w:tcPr>
          <w:p w14:paraId="29E1FE63" w14:textId="7F5F0341" w:rsidR="00F465CE" w:rsidRPr="00F4759C" w:rsidRDefault="00F465CE" w:rsidP="00757CC6">
            <w:pPr>
              <w:jc w:val="center"/>
              <w:rPr>
                <w:rFonts w:ascii="Calibri" w:hAnsi="Calibri" w:cs="Arial"/>
                <w:color w:val="000000"/>
                <w:sz w:val="18"/>
                <w:szCs w:val="18"/>
              </w:rPr>
            </w:pPr>
            <w:r w:rsidRPr="00F4759C">
              <w:rPr>
                <w:rFonts w:ascii="Calibri" w:hAnsi="Calibri" w:cs="Arial"/>
                <w:color w:val="000000"/>
                <w:sz w:val="18"/>
                <w:szCs w:val="18"/>
              </w:rPr>
              <w:t>Molise</w:t>
            </w:r>
          </w:p>
        </w:tc>
        <w:tc>
          <w:tcPr>
            <w:tcW w:w="992" w:type="dxa"/>
            <w:tcBorders>
              <w:top w:val="nil"/>
              <w:left w:val="nil"/>
              <w:bottom w:val="nil"/>
              <w:right w:val="single" w:sz="4" w:space="0" w:color="auto"/>
            </w:tcBorders>
            <w:shd w:val="clear" w:color="auto" w:fill="E7E6E6" w:themeFill="background2"/>
            <w:noWrap/>
            <w:vAlign w:val="center"/>
          </w:tcPr>
          <w:p w14:paraId="48F4C201" w14:textId="010BA8E5" w:rsidR="00F465CE" w:rsidRPr="00F4759C" w:rsidRDefault="00F465CE" w:rsidP="00757CC6">
            <w:pPr>
              <w:jc w:val="center"/>
              <w:rPr>
                <w:rFonts w:ascii="Calibri" w:hAnsi="Calibri" w:cs="Arial"/>
                <w:color w:val="000000"/>
                <w:sz w:val="18"/>
                <w:szCs w:val="18"/>
              </w:rPr>
            </w:pPr>
            <w:r w:rsidRPr="00757CC6">
              <w:rPr>
                <w:rFonts w:ascii="Calibri" w:hAnsi="Calibri" w:cs="Arial"/>
                <w:sz w:val="18"/>
                <w:szCs w:val="18"/>
              </w:rPr>
              <w:t>Marche</w:t>
            </w:r>
          </w:p>
        </w:tc>
      </w:tr>
      <w:tr w:rsidR="00F465CE" w:rsidRPr="00002E27" w14:paraId="665EEAE2" w14:textId="77777777" w:rsidTr="00F465CE">
        <w:trPr>
          <w:trHeight w:val="276"/>
        </w:trPr>
        <w:tc>
          <w:tcPr>
            <w:tcW w:w="1056" w:type="dxa"/>
            <w:tcBorders>
              <w:top w:val="nil"/>
              <w:left w:val="single" w:sz="4" w:space="0" w:color="auto"/>
              <w:bottom w:val="nil"/>
              <w:right w:val="single" w:sz="4" w:space="0" w:color="auto"/>
            </w:tcBorders>
            <w:shd w:val="clear" w:color="auto" w:fill="auto"/>
            <w:vAlign w:val="center"/>
          </w:tcPr>
          <w:p w14:paraId="418F6294" w14:textId="00875283" w:rsidR="00F465CE" w:rsidRPr="00F4759C" w:rsidRDefault="00F465CE" w:rsidP="00757CC6">
            <w:pPr>
              <w:jc w:val="center"/>
              <w:rPr>
                <w:rFonts w:ascii="Calibri" w:hAnsi="Calibri" w:cs="Arial"/>
                <w:color w:val="000000"/>
                <w:sz w:val="18"/>
                <w:szCs w:val="18"/>
              </w:rPr>
            </w:pPr>
            <w:r w:rsidRPr="00F4759C">
              <w:rPr>
                <w:rFonts w:ascii="Calibri" w:hAnsi="Calibri" w:cs="Arial"/>
                <w:color w:val="000000"/>
                <w:sz w:val="18"/>
                <w:szCs w:val="18"/>
              </w:rPr>
              <w:t>Friuli V.G.</w:t>
            </w:r>
          </w:p>
        </w:tc>
        <w:tc>
          <w:tcPr>
            <w:tcW w:w="857" w:type="dxa"/>
            <w:tcBorders>
              <w:top w:val="nil"/>
              <w:left w:val="nil"/>
              <w:bottom w:val="nil"/>
              <w:right w:val="single" w:sz="4" w:space="0" w:color="auto"/>
            </w:tcBorders>
            <w:shd w:val="clear" w:color="auto" w:fill="E7E6E6" w:themeFill="background2"/>
            <w:noWrap/>
            <w:vAlign w:val="center"/>
          </w:tcPr>
          <w:p w14:paraId="34C5AAAC" w14:textId="77777777" w:rsidR="00F465CE" w:rsidRPr="00F4759C" w:rsidRDefault="00F465CE" w:rsidP="00757CC6">
            <w:pPr>
              <w:jc w:val="center"/>
              <w:rPr>
                <w:rFonts w:ascii="Calibri" w:hAnsi="Calibri" w:cs="Arial"/>
                <w:color w:val="000000"/>
                <w:sz w:val="18"/>
                <w:szCs w:val="18"/>
              </w:rPr>
            </w:pPr>
          </w:p>
        </w:tc>
        <w:tc>
          <w:tcPr>
            <w:tcW w:w="709" w:type="dxa"/>
            <w:tcBorders>
              <w:top w:val="nil"/>
              <w:left w:val="nil"/>
              <w:bottom w:val="nil"/>
              <w:right w:val="single" w:sz="4" w:space="0" w:color="auto"/>
            </w:tcBorders>
            <w:shd w:val="clear" w:color="auto" w:fill="auto"/>
            <w:vAlign w:val="center"/>
          </w:tcPr>
          <w:p w14:paraId="1E315956" w14:textId="0A64EFA0" w:rsidR="00F465CE" w:rsidRPr="00F4759C" w:rsidRDefault="00F465CE" w:rsidP="00757CC6">
            <w:pPr>
              <w:jc w:val="center"/>
              <w:rPr>
                <w:rFonts w:ascii="Calibri" w:hAnsi="Calibri" w:cs="Arial"/>
                <w:color w:val="000000"/>
                <w:sz w:val="18"/>
                <w:szCs w:val="18"/>
              </w:rPr>
            </w:pPr>
          </w:p>
        </w:tc>
        <w:tc>
          <w:tcPr>
            <w:tcW w:w="1276" w:type="dxa"/>
            <w:tcBorders>
              <w:top w:val="nil"/>
              <w:left w:val="nil"/>
              <w:bottom w:val="nil"/>
              <w:right w:val="single" w:sz="4" w:space="0" w:color="auto"/>
            </w:tcBorders>
            <w:shd w:val="clear" w:color="auto" w:fill="E7E6E6" w:themeFill="background2"/>
          </w:tcPr>
          <w:p w14:paraId="3831D081" w14:textId="77777777" w:rsidR="00F465CE" w:rsidRPr="00F4759C" w:rsidRDefault="00F465CE" w:rsidP="00757CC6">
            <w:pPr>
              <w:jc w:val="center"/>
              <w:rPr>
                <w:rFonts w:ascii="Calibri" w:hAnsi="Calibri" w:cs="Arial"/>
                <w:sz w:val="18"/>
                <w:szCs w:val="18"/>
              </w:rPr>
            </w:pPr>
          </w:p>
        </w:tc>
        <w:tc>
          <w:tcPr>
            <w:tcW w:w="708" w:type="dxa"/>
            <w:tcBorders>
              <w:top w:val="nil"/>
              <w:left w:val="single" w:sz="4" w:space="0" w:color="auto"/>
              <w:bottom w:val="nil"/>
              <w:right w:val="nil"/>
            </w:tcBorders>
            <w:vAlign w:val="center"/>
          </w:tcPr>
          <w:p w14:paraId="663CEB57" w14:textId="03D5B29D" w:rsidR="00F465CE" w:rsidRPr="00F4759C" w:rsidRDefault="00F465CE" w:rsidP="00757CC6">
            <w:pPr>
              <w:jc w:val="center"/>
              <w:rPr>
                <w:rFonts w:ascii="Calibri" w:hAnsi="Calibri" w:cs="Arial"/>
                <w:sz w:val="18"/>
                <w:szCs w:val="18"/>
              </w:rPr>
            </w:pPr>
          </w:p>
        </w:tc>
        <w:tc>
          <w:tcPr>
            <w:tcW w:w="1701" w:type="dxa"/>
            <w:tcBorders>
              <w:top w:val="nil"/>
              <w:left w:val="nil"/>
              <w:bottom w:val="nil"/>
              <w:right w:val="single" w:sz="4" w:space="0" w:color="auto"/>
            </w:tcBorders>
            <w:shd w:val="clear" w:color="000000" w:fill="1F497D"/>
            <w:noWrap/>
            <w:vAlign w:val="center"/>
          </w:tcPr>
          <w:p w14:paraId="4A1D6429" w14:textId="77777777" w:rsidR="00F465CE" w:rsidRPr="00F4759C" w:rsidRDefault="00F465CE" w:rsidP="00757CC6">
            <w:pPr>
              <w:jc w:val="center"/>
              <w:rPr>
                <w:rFonts w:ascii="Calibri" w:hAnsi="Calibri" w:cs="Arial"/>
                <w:color w:val="FFFFFF"/>
                <w:sz w:val="18"/>
                <w:szCs w:val="18"/>
              </w:rPr>
            </w:pPr>
          </w:p>
        </w:tc>
        <w:tc>
          <w:tcPr>
            <w:tcW w:w="1418" w:type="dxa"/>
            <w:tcBorders>
              <w:top w:val="nil"/>
              <w:left w:val="nil"/>
              <w:bottom w:val="nil"/>
              <w:right w:val="nil"/>
            </w:tcBorders>
            <w:shd w:val="clear" w:color="auto" w:fill="E7E6E6" w:themeFill="background2"/>
            <w:noWrap/>
            <w:vAlign w:val="center"/>
          </w:tcPr>
          <w:p w14:paraId="649866E3" w14:textId="5DDF94AE" w:rsidR="00F465CE" w:rsidRPr="00F4759C" w:rsidRDefault="00F465CE" w:rsidP="00757CC6">
            <w:pPr>
              <w:jc w:val="center"/>
              <w:rPr>
                <w:rFonts w:ascii="Calibri" w:hAnsi="Calibri" w:cs="Arial"/>
                <w:color w:val="000000"/>
                <w:sz w:val="18"/>
                <w:szCs w:val="18"/>
              </w:rPr>
            </w:pPr>
          </w:p>
        </w:tc>
        <w:tc>
          <w:tcPr>
            <w:tcW w:w="992" w:type="dxa"/>
            <w:tcBorders>
              <w:top w:val="nil"/>
              <w:left w:val="single" w:sz="4" w:space="0" w:color="auto"/>
              <w:bottom w:val="nil"/>
              <w:right w:val="single" w:sz="4" w:space="0" w:color="auto"/>
            </w:tcBorders>
            <w:shd w:val="clear" w:color="auto" w:fill="auto"/>
            <w:noWrap/>
            <w:vAlign w:val="center"/>
          </w:tcPr>
          <w:p w14:paraId="45B0052E" w14:textId="77777777" w:rsidR="00F465CE" w:rsidRPr="00F4759C" w:rsidRDefault="00F465CE" w:rsidP="00757CC6">
            <w:pPr>
              <w:jc w:val="center"/>
              <w:rPr>
                <w:rFonts w:ascii="Calibri" w:hAnsi="Calibri" w:cs="Arial"/>
                <w:color w:val="000000"/>
                <w:sz w:val="18"/>
                <w:szCs w:val="18"/>
              </w:rPr>
            </w:pPr>
          </w:p>
        </w:tc>
        <w:tc>
          <w:tcPr>
            <w:tcW w:w="992" w:type="dxa"/>
            <w:tcBorders>
              <w:top w:val="nil"/>
              <w:left w:val="nil"/>
              <w:bottom w:val="nil"/>
              <w:right w:val="single" w:sz="4" w:space="0" w:color="auto"/>
            </w:tcBorders>
            <w:shd w:val="clear" w:color="auto" w:fill="E7E6E6" w:themeFill="background2"/>
            <w:noWrap/>
            <w:vAlign w:val="center"/>
          </w:tcPr>
          <w:p w14:paraId="45EDFFD1" w14:textId="78F0B7C3" w:rsidR="00F465CE" w:rsidRPr="00F4759C" w:rsidRDefault="00F465CE" w:rsidP="00757CC6">
            <w:pPr>
              <w:jc w:val="center"/>
              <w:rPr>
                <w:rFonts w:ascii="Calibri" w:hAnsi="Calibri" w:cs="Arial"/>
                <w:color w:val="000000"/>
                <w:sz w:val="18"/>
                <w:szCs w:val="18"/>
              </w:rPr>
            </w:pPr>
          </w:p>
        </w:tc>
      </w:tr>
      <w:tr w:rsidR="00F465CE" w:rsidRPr="00002E27" w14:paraId="59EC67B9" w14:textId="77777777" w:rsidTr="00F465CE">
        <w:trPr>
          <w:trHeight w:val="276"/>
        </w:trPr>
        <w:tc>
          <w:tcPr>
            <w:tcW w:w="1056" w:type="dxa"/>
            <w:tcBorders>
              <w:top w:val="nil"/>
              <w:left w:val="single" w:sz="4" w:space="0" w:color="auto"/>
              <w:bottom w:val="single" w:sz="4" w:space="0" w:color="auto"/>
              <w:right w:val="single" w:sz="4" w:space="0" w:color="auto"/>
            </w:tcBorders>
            <w:shd w:val="clear" w:color="auto" w:fill="auto"/>
            <w:vAlign w:val="center"/>
          </w:tcPr>
          <w:p w14:paraId="6265C627" w14:textId="320F8B8D" w:rsidR="00F465CE" w:rsidRPr="00E8117B" w:rsidRDefault="00F465CE" w:rsidP="00E8117B">
            <w:pPr>
              <w:jc w:val="center"/>
              <w:rPr>
                <w:rFonts w:asciiTheme="minorHAnsi" w:eastAsia="Calibri" w:hAnsiTheme="minorHAnsi" w:cstheme="minorHAnsi"/>
                <w:sz w:val="22"/>
                <w:szCs w:val="22"/>
                <w:lang w:val="pt-PT"/>
              </w:rPr>
            </w:pPr>
            <w:r w:rsidRPr="00F4759C">
              <w:rPr>
                <w:rFonts w:ascii="Calibri" w:hAnsi="Calibri" w:cs="Arial"/>
                <w:sz w:val="18"/>
                <w:szCs w:val="18"/>
              </w:rPr>
              <w:t>Piemonte</w:t>
            </w:r>
          </w:p>
        </w:tc>
        <w:tc>
          <w:tcPr>
            <w:tcW w:w="857" w:type="dxa"/>
            <w:tcBorders>
              <w:top w:val="nil"/>
              <w:left w:val="nil"/>
              <w:bottom w:val="single" w:sz="4" w:space="0" w:color="auto"/>
              <w:right w:val="single" w:sz="4" w:space="0" w:color="auto"/>
            </w:tcBorders>
            <w:shd w:val="clear" w:color="auto" w:fill="E7E6E6" w:themeFill="background2"/>
            <w:noWrap/>
            <w:vAlign w:val="center"/>
          </w:tcPr>
          <w:p w14:paraId="756FAF24" w14:textId="77777777" w:rsidR="00F465CE" w:rsidRPr="00F4759C" w:rsidRDefault="00F465CE" w:rsidP="00757CC6">
            <w:pPr>
              <w:jc w:val="center"/>
              <w:rPr>
                <w:rFonts w:ascii="Calibri" w:hAnsi="Calibri" w:cs="Arial"/>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89EE446" w14:textId="6ADCB9D2" w:rsidR="00F465CE" w:rsidRPr="00F4759C" w:rsidRDefault="00F465CE" w:rsidP="00757CC6">
            <w:pPr>
              <w:jc w:val="center"/>
              <w:rPr>
                <w:rFonts w:ascii="Calibri" w:hAnsi="Calibri" w:cs="Arial"/>
                <w:color w:val="000000"/>
                <w:sz w:val="18"/>
                <w:szCs w:val="18"/>
              </w:rPr>
            </w:pPr>
          </w:p>
        </w:tc>
        <w:tc>
          <w:tcPr>
            <w:tcW w:w="1276" w:type="dxa"/>
            <w:tcBorders>
              <w:top w:val="nil"/>
              <w:left w:val="nil"/>
              <w:bottom w:val="single" w:sz="4" w:space="0" w:color="auto"/>
              <w:right w:val="single" w:sz="4" w:space="0" w:color="auto"/>
            </w:tcBorders>
            <w:shd w:val="clear" w:color="auto" w:fill="E7E6E6" w:themeFill="background2"/>
          </w:tcPr>
          <w:p w14:paraId="54023DEC" w14:textId="77777777" w:rsidR="00F465CE" w:rsidRPr="00F4759C" w:rsidRDefault="00F465CE" w:rsidP="00757CC6">
            <w:pPr>
              <w:jc w:val="center"/>
              <w:rPr>
                <w:rFonts w:ascii="Calibri" w:hAnsi="Calibri" w:cs="Arial"/>
                <w:sz w:val="18"/>
                <w:szCs w:val="18"/>
              </w:rPr>
            </w:pPr>
          </w:p>
        </w:tc>
        <w:tc>
          <w:tcPr>
            <w:tcW w:w="708" w:type="dxa"/>
            <w:tcBorders>
              <w:top w:val="nil"/>
              <w:left w:val="single" w:sz="4" w:space="0" w:color="auto"/>
              <w:bottom w:val="single" w:sz="4" w:space="0" w:color="auto"/>
              <w:right w:val="nil"/>
            </w:tcBorders>
            <w:vAlign w:val="center"/>
          </w:tcPr>
          <w:p w14:paraId="62A8365B" w14:textId="6A18C9CA" w:rsidR="00F465CE" w:rsidRPr="00F4759C" w:rsidRDefault="00F465CE" w:rsidP="00757CC6">
            <w:pPr>
              <w:jc w:val="center"/>
              <w:rPr>
                <w:rFonts w:ascii="Calibri" w:hAnsi="Calibri" w:cs="Arial"/>
                <w:sz w:val="18"/>
                <w:szCs w:val="18"/>
              </w:rPr>
            </w:pPr>
          </w:p>
        </w:tc>
        <w:tc>
          <w:tcPr>
            <w:tcW w:w="1701" w:type="dxa"/>
            <w:tcBorders>
              <w:top w:val="nil"/>
              <w:left w:val="nil"/>
              <w:bottom w:val="single" w:sz="4" w:space="0" w:color="auto"/>
              <w:right w:val="single" w:sz="4" w:space="0" w:color="auto"/>
            </w:tcBorders>
            <w:shd w:val="clear" w:color="000000" w:fill="1F497D"/>
            <w:noWrap/>
            <w:vAlign w:val="center"/>
          </w:tcPr>
          <w:p w14:paraId="6A3A3499" w14:textId="77777777" w:rsidR="00F465CE" w:rsidRPr="00F4759C" w:rsidRDefault="00F465CE" w:rsidP="00757CC6">
            <w:pPr>
              <w:jc w:val="center"/>
              <w:rPr>
                <w:rFonts w:ascii="Calibri" w:hAnsi="Calibri" w:cs="Arial"/>
                <w:color w:val="FFFFFF"/>
                <w:sz w:val="18"/>
                <w:szCs w:val="18"/>
              </w:rPr>
            </w:pPr>
          </w:p>
        </w:tc>
        <w:tc>
          <w:tcPr>
            <w:tcW w:w="1418" w:type="dxa"/>
            <w:tcBorders>
              <w:top w:val="nil"/>
              <w:left w:val="nil"/>
              <w:bottom w:val="single" w:sz="4" w:space="0" w:color="auto"/>
              <w:right w:val="single" w:sz="4" w:space="0" w:color="auto"/>
            </w:tcBorders>
            <w:shd w:val="clear" w:color="auto" w:fill="E7E6E6" w:themeFill="background2"/>
            <w:noWrap/>
            <w:vAlign w:val="center"/>
          </w:tcPr>
          <w:p w14:paraId="5600AEDE" w14:textId="4FD53E63" w:rsidR="00F465CE" w:rsidRPr="00F4759C" w:rsidRDefault="00F465CE" w:rsidP="00757CC6">
            <w:pPr>
              <w:jc w:val="center"/>
              <w:rPr>
                <w:rFonts w:ascii="Calibri" w:hAnsi="Calibri"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734159F4" w14:textId="63878073" w:rsidR="00F465CE" w:rsidRPr="00F4759C" w:rsidRDefault="00F465CE" w:rsidP="00757CC6">
            <w:pPr>
              <w:jc w:val="center"/>
              <w:rPr>
                <w:rFonts w:ascii="Calibri" w:hAnsi="Calibri" w:cs="Arial"/>
                <w:color w:val="000000"/>
                <w:sz w:val="18"/>
                <w:szCs w:val="18"/>
              </w:rPr>
            </w:pPr>
          </w:p>
        </w:tc>
        <w:tc>
          <w:tcPr>
            <w:tcW w:w="992" w:type="dxa"/>
            <w:tcBorders>
              <w:top w:val="nil"/>
              <w:left w:val="nil"/>
              <w:bottom w:val="single" w:sz="4" w:space="0" w:color="auto"/>
              <w:right w:val="single" w:sz="4" w:space="0" w:color="auto"/>
            </w:tcBorders>
            <w:shd w:val="clear" w:color="auto" w:fill="E7E6E6" w:themeFill="background2"/>
            <w:noWrap/>
            <w:vAlign w:val="center"/>
          </w:tcPr>
          <w:p w14:paraId="7BD75E1C" w14:textId="77777777" w:rsidR="00F465CE" w:rsidRPr="00F4759C" w:rsidRDefault="00F465CE" w:rsidP="00757CC6">
            <w:pPr>
              <w:jc w:val="center"/>
              <w:rPr>
                <w:rFonts w:ascii="Calibri" w:hAnsi="Calibri" w:cs="Arial"/>
                <w:color w:val="000000"/>
                <w:sz w:val="18"/>
                <w:szCs w:val="18"/>
              </w:rPr>
            </w:pPr>
          </w:p>
        </w:tc>
      </w:tr>
    </w:tbl>
    <w:p w14:paraId="5D541CD7" w14:textId="77777777" w:rsidR="00CC41FA" w:rsidRPr="0003400F" w:rsidRDefault="00CC41FA" w:rsidP="00CC41FA">
      <w:pPr>
        <w:spacing w:before="60"/>
        <w:rPr>
          <w:rFonts w:asciiTheme="minorHAnsi" w:eastAsia="Calibri" w:hAnsiTheme="minorHAnsi" w:cstheme="minorHAnsi"/>
          <w:sz w:val="18"/>
          <w:lang w:val="pt-PT"/>
        </w:rPr>
      </w:pPr>
      <w:r w:rsidRPr="0003400F">
        <w:rPr>
          <w:rFonts w:asciiTheme="minorHAnsi" w:eastAsia="Calibri" w:hAnsiTheme="minorHAnsi" w:cstheme="minorHAnsi"/>
          <w:sz w:val="18"/>
          <w:lang w:val="pt-PT"/>
        </w:rPr>
        <w:t>Fonte: Nomisma e Fimaa-Confcommercio</w:t>
      </w:r>
    </w:p>
    <w:p w14:paraId="73FBA5C7" w14:textId="77777777" w:rsidR="004607D5" w:rsidRPr="00F465CE" w:rsidRDefault="004607D5" w:rsidP="005D0767">
      <w:pPr>
        <w:rPr>
          <w:rFonts w:asciiTheme="minorHAnsi" w:eastAsia="Calibri" w:hAnsiTheme="minorHAnsi" w:cstheme="minorHAnsi"/>
          <w:sz w:val="22"/>
          <w:szCs w:val="22"/>
          <w:lang w:val="pt-PT"/>
        </w:rPr>
      </w:pPr>
    </w:p>
    <w:p w14:paraId="3FE8ED98" w14:textId="65EE81AB" w:rsidR="00C80C91" w:rsidRDefault="007750D1" w:rsidP="00DC7E35">
      <w:pPr>
        <w:spacing w:after="120"/>
        <w:rPr>
          <w:rFonts w:asciiTheme="minorHAnsi" w:eastAsia="Calibri" w:hAnsiTheme="minorHAnsi" w:cstheme="minorHAnsi"/>
          <w:sz w:val="22"/>
          <w:szCs w:val="22"/>
        </w:rPr>
      </w:pPr>
      <w:r>
        <w:rPr>
          <w:rFonts w:asciiTheme="minorHAnsi" w:eastAsia="Calibri" w:hAnsiTheme="minorHAnsi" w:cstheme="minorHAnsi"/>
          <w:sz w:val="22"/>
          <w:szCs w:val="22"/>
        </w:rPr>
        <w:t>Con riferimento alle</w:t>
      </w:r>
      <w:r w:rsidRPr="009751A6">
        <w:rPr>
          <w:rFonts w:asciiTheme="minorHAnsi" w:eastAsia="Calibri" w:hAnsiTheme="minorHAnsi" w:cstheme="minorHAnsi"/>
          <w:sz w:val="22"/>
          <w:szCs w:val="22"/>
        </w:rPr>
        <w:t xml:space="preserve"> destinazioni turistiche monitorate</w:t>
      </w:r>
      <w:r w:rsidR="00C80C91">
        <w:rPr>
          <w:rFonts w:asciiTheme="minorHAnsi" w:eastAsia="Calibri" w:hAnsiTheme="minorHAnsi" w:cstheme="minorHAnsi"/>
          <w:sz w:val="22"/>
          <w:szCs w:val="22"/>
        </w:rPr>
        <w:t xml:space="preserve">, il prezzo medio di un’abitazione in Italia </w:t>
      </w:r>
      <w:r w:rsidR="00885B52">
        <w:rPr>
          <w:rFonts w:asciiTheme="minorHAnsi" w:eastAsia="Calibri" w:hAnsiTheme="minorHAnsi" w:cstheme="minorHAnsi"/>
          <w:sz w:val="22"/>
          <w:szCs w:val="22"/>
        </w:rPr>
        <w:t>si attesta nell’ordine di</w:t>
      </w:r>
      <w:r w:rsidR="00C80C91" w:rsidRPr="00C80C91">
        <w:rPr>
          <w:rFonts w:asciiTheme="minorHAnsi" w:eastAsia="Calibri" w:hAnsiTheme="minorHAnsi" w:cstheme="minorHAnsi"/>
          <w:sz w:val="22"/>
          <w:szCs w:val="22"/>
        </w:rPr>
        <w:t xml:space="preserve"> 2.550 eur</w:t>
      </w:r>
      <w:r w:rsidR="00C80C91">
        <w:rPr>
          <w:rFonts w:asciiTheme="minorHAnsi" w:eastAsia="Calibri" w:hAnsiTheme="minorHAnsi" w:cstheme="minorHAnsi"/>
          <w:sz w:val="22"/>
          <w:szCs w:val="22"/>
        </w:rPr>
        <w:t>o al mq commerciale, che rappresenta la sintesi dei valori differenziati per tipologia abitativa e località turistica.</w:t>
      </w:r>
    </w:p>
    <w:p w14:paraId="1471FD3B" w14:textId="15B42A73" w:rsidR="00593572" w:rsidRDefault="001615AD" w:rsidP="00DC7E35">
      <w:pPr>
        <w:spacing w:after="120"/>
        <w:rPr>
          <w:rFonts w:asciiTheme="minorHAnsi" w:eastAsia="Calibri" w:hAnsiTheme="minorHAnsi" w:cstheme="minorHAnsi"/>
          <w:spacing w:val="2"/>
          <w:sz w:val="22"/>
        </w:rPr>
      </w:pPr>
      <w:r>
        <w:rPr>
          <w:rFonts w:asciiTheme="minorHAnsi" w:eastAsia="Calibri" w:hAnsiTheme="minorHAnsi" w:cstheme="minorHAnsi"/>
          <w:sz w:val="22"/>
          <w:szCs w:val="22"/>
        </w:rPr>
        <w:t xml:space="preserve">Concentrandosi sulle abitazioni </w:t>
      </w:r>
      <w:r w:rsidR="00885B52">
        <w:rPr>
          <w:rFonts w:asciiTheme="minorHAnsi" w:eastAsia="Calibri" w:hAnsiTheme="minorHAnsi" w:cstheme="minorHAnsi"/>
          <w:sz w:val="22"/>
          <w:szCs w:val="22"/>
        </w:rPr>
        <w:t>di fascia più elevata (t</w:t>
      </w:r>
      <w:r>
        <w:rPr>
          <w:rFonts w:asciiTheme="minorHAnsi" w:eastAsia="Calibri" w:hAnsiTheme="minorHAnsi" w:cstheme="minorHAnsi"/>
          <w:sz w:val="22"/>
          <w:szCs w:val="22"/>
        </w:rPr>
        <w:t>op nuove</w:t>
      </w:r>
      <w:r w:rsidR="00885B52">
        <w:rPr>
          <w:rFonts w:asciiTheme="minorHAnsi" w:eastAsia="Calibri" w:hAnsiTheme="minorHAnsi" w:cstheme="minorHAnsi"/>
          <w:sz w:val="22"/>
          <w:szCs w:val="22"/>
        </w:rPr>
        <w:t>)</w:t>
      </w:r>
      <w:r>
        <w:rPr>
          <w:rFonts w:asciiTheme="minorHAnsi" w:eastAsia="Calibri" w:hAnsiTheme="minorHAnsi" w:cstheme="minorHAnsi"/>
          <w:sz w:val="22"/>
          <w:szCs w:val="22"/>
        </w:rPr>
        <w:t>, le quotazioni medie s</w:t>
      </w:r>
      <w:r w:rsidR="00885B52">
        <w:rPr>
          <w:rFonts w:asciiTheme="minorHAnsi" w:eastAsia="Calibri" w:hAnsiTheme="minorHAnsi" w:cstheme="minorHAnsi"/>
          <w:sz w:val="22"/>
          <w:szCs w:val="22"/>
        </w:rPr>
        <w:t>ono tornate a superare</w:t>
      </w:r>
      <w:r>
        <w:rPr>
          <w:rFonts w:asciiTheme="minorHAnsi" w:eastAsia="Calibri" w:hAnsiTheme="minorHAnsi" w:cstheme="minorHAnsi"/>
          <w:sz w:val="22"/>
          <w:szCs w:val="22"/>
        </w:rPr>
        <w:t xml:space="preserve"> i 3.400 euro al mq, le abitazioni centrali usate </w:t>
      </w:r>
      <w:r w:rsidR="00885B52">
        <w:rPr>
          <w:rFonts w:asciiTheme="minorHAnsi" w:eastAsia="Calibri" w:hAnsiTheme="minorHAnsi" w:cstheme="minorHAnsi"/>
          <w:sz w:val="22"/>
          <w:szCs w:val="22"/>
        </w:rPr>
        <w:t>raggiungono</w:t>
      </w:r>
      <w:r>
        <w:rPr>
          <w:rFonts w:asciiTheme="minorHAnsi" w:eastAsia="Calibri" w:hAnsiTheme="minorHAnsi" w:cstheme="minorHAnsi"/>
          <w:sz w:val="22"/>
          <w:szCs w:val="22"/>
        </w:rPr>
        <w:t xml:space="preserve"> valori </w:t>
      </w:r>
      <w:r w:rsidR="00885B52">
        <w:rPr>
          <w:rFonts w:asciiTheme="minorHAnsi" w:eastAsia="Calibri" w:hAnsiTheme="minorHAnsi" w:cstheme="minorHAnsi"/>
          <w:sz w:val="22"/>
          <w:szCs w:val="22"/>
        </w:rPr>
        <w:t>prossimi a</w:t>
      </w:r>
      <w:r>
        <w:rPr>
          <w:rFonts w:asciiTheme="minorHAnsi" w:eastAsia="Calibri" w:hAnsiTheme="minorHAnsi" w:cstheme="minorHAnsi"/>
          <w:sz w:val="22"/>
          <w:szCs w:val="22"/>
        </w:rPr>
        <w:t xml:space="preserve"> 2.500 euro al mq</w:t>
      </w:r>
      <w:r w:rsidR="007750D1">
        <w:rPr>
          <w:rFonts w:asciiTheme="minorHAnsi" w:eastAsia="Calibri" w:hAnsiTheme="minorHAnsi" w:cstheme="minorHAnsi"/>
          <w:sz w:val="22"/>
          <w:szCs w:val="22"/>
        </w:rPr>
        <w:t>,</w:t>
      </w:r>
      <w:r>
        <w:rPr>
          <w:rFonts w:asciiTheme="minorHAnsi" w:eastAsia="Calibri" w:hAnsiTheme="minorHAnsi" w:cstheme="minorHAnsi"/>
          <w:sz w:val="22"/>
          <w:szCs w:val="22"/>
        </w:rPr>
        <w:t xml:space="preserve"> mentre le abitazioni periferiche usate si mantengono intorno a 1.700 euro al mq. </w:t>
      </w:r>
    </w:p>
    <w:p w14:paraId="26E19A3C" w14:textId="77777777" w:rsidR="00CE2041" w:rsidRPr="00402187" w:rsidRDefault="00CE2041" w:rsidP="00853E99">
      <w:pPr>
        <w:rPr>
          <w:rFonts w:asciiTheme="minorHAnsi" w:eastAsia="Calibr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2099"/>
        <w:gridCol w:w="2652"/>
        <w:gridCol w:w="2859"/>
      </w:tblGrid>
      <w:tr w:rsidR="0041716C" w:rsidRPr="0041716C" w14:paraId="18C40AD7" w14:textId="77777777" w:rsidTr="00C72373">
        <w:trPr>
          <w:trHeight w:val="340"/>
          <w:jc w:val="center"/>
        </w:trPr>
        <w:tc>
          <w:tcPr>
            <w:tcW w:w="2055" w:type="dxa"/>
            <w:vAlign w:val="center"/>
          </w:tcPr>
          <w:p w14:paraId="64B0A7FD" w14:textId="04877880" w:rsidR="00FC7BBB" w:rsidRPr="00CE2041" w:rsidRDefault="00B23B9D" w:rsidP="000D7640">
            <w:pPr>
              <w:jc w:val="left"/>
              <w:rPr>
                <w:rFonts w:asciiTheme="minorHAnsi" w:eastAsia="Calibri" w:hAnsiTheme="minorHAnsi" w:cstheme="minorHAnsi"/>
                <w:bCs w:val="0"/>
                <w:sz w:val="20"/>
              </w:rPr>
            </w:pPr>
            <w:r w:rsidRPr="00CE2041">
              <w:rPr>
                <w:rFonts w:asciiTheme="minorHAnsi" w:eastAsia="Calibri" w:hAnsiTheme="minorHAnsi" w:cstheme="minorHAnsi"/>
                <w:bCs w:val="0"/>
                <w:caps w:val="0"/>
                <w:sz w:val="20"/>
              </w:rPr>
              <w:t xml:space="preserve">Tavola </w:t>
            </w:r>
            <w:r w:rsidR="00CE2041" w:rsidRPr="00CE2041">
              <w:rPr>
                <w:rFonts w:asciiTheme="minorHAnsi" w:eastAsia="Calibri" w:hAnsiTheme="minorHAnsi" w:cstheme="minorHAnsi"/>
                <w:bCs w:val="0"/>
                <w:caps w:val="0"/>
                <w:sz w:val="20"/>
              </w:rPr>
              <w:t>4</w:t>
            </w:r>
          </w:p>
        </w:tc>
        <w:tc>
          <w:tcPr>
            <w:tcW w:w="7723" w:type="dxa"/>
            <w:gridSpan w:val="3"/>
            <w:shd w:val="clear" w:color="auto" w:fill="D9D9D9" w:themeFill="background1" w:themeFillShade="D9"/>
            <w:vAlign w:val="center"/>
          </w:tcPr>
          <w:p w14:paraId="6829703F" w14:textId="4BB6FE24" w:rsidR="00FC7BBB" w:rsidRPr="0041716C" w:rsidRDefault="00FC7BBB" w:rsidP="00633F06">
            <w:pPr>
              <w:jc w:val="center"/>
              <w:rPr>
                <w:rFonts w:asciiTheme="minorHAnsi" w:eastAsia="Calibri" w:hAnsiTheme="minorHAnsi" w:cstheme="minorHAnsi"/>
                <w:caps w:val="0"/>
                <w:sz w:val="20"/>
              </w:rPr>
            </w:pPr>
            <w:r w:rsidRPr="0041716C">
              <w:rPr>
                <w:rFonts w:asciiTheme="minorHAnsi" w:eastAsia="Calibri" w:hAnsiTheme="minorHAnsi" w:cstheme="minorHAnsi"/>
                <w:caps w:val="0"/>
                <w:sz w:val="20"/>
              </w:rPr>
              <w:t>Prezz</w:t>
            </w:r>
            <w:r w:rsidR="00161EC2" w:rsidRPr="0041716C">
              <w:rPr>
                <w:rFonts w:asciiTheme="minorHAnsi" w:eastAsia="Calibri" w:hAnsiTheme="minorHAnsi" w:cstheme="minorHAnsi"/>
                <w:caps w:val="0"/>
                <w:sz w:val="20"/>
              </w:rPr>
              <w:t>i</w:t>
            </w:r>
            <w:r w:rsidRPr="0041716C">
              <w:rPr>
                <w:rFonts w:asciiTheme="minorHAnsi" w:eastAsia="Calibri" w:hAnsiTheme="minorHAnsi" w:cstheme="minorHAnsi"/>
                <w:caps w:val="0"/>
                <w:sz w:val="20"/>
              </w:rPr>
              <w:t xml:space="preserve"> medi</w:t>
            </w:r>
            <w:r w:rsidR="00F02CF0" w:rsidRPr="0041716C">
              <w:rPr>
                <w:rFonts w:asciiTheme="minorHAnsi" w:eastAsia="Calibri" w:hAnsiTheme="minorHAnsi" w:cstheme="minorHAnsi"/>
                <w:caps w:val="0"/>
                <w:sz w:val="20"/>
              </w:rPr>
              <w:t xml:space="preserve"> 20</w:t>
            </w:r>
            <w:r w:rsidR="00020534">
              <w:rPr>
                <w:rFonts w:asciiTheme="minorHAnsi" w:eastAsia="Calibri" w:hAnsiTheme="minorHAnsi" w:cstheme="minorHAnsi"/>
                <w:caps w:val="0"/>
                <w:sz w:val="20"/>
              </w:rPr>
              <w:t>22</w:t>
            </w:r>
            <w:r w:rsidR="00C04B49" w:rsidRPr="0041716C">
              <w:rPr>
                <w:rFonts w:asciiTheme="minorHAnsi" w:eastAsia="Calibri" w:hAnsiTheme="minorHAnsi" w:cstheme="minorHAnsi"/>
                <w:caps w:val="0"/>
                <w:sz w:val="20"/>
              </w:rPr>
              <w:t xml:space="preserve"> (€/mq)</w:t>
            </w:r>
          </w:p>
        </w:tc>
      </w:tr>
      <w:tr w:rsidR="0041716C" w:rsidRPr="0041716C" w14:paraId="2939DC16" w14:textId="77777777" w:rsidTr="00C72373">
        <w:trPr>
          <w:trHeight w:val="340"/>
          <w:jc w:val="center"/>
        </w:trPr>
        <w:tc>
          <w:tcPr>
            <w:tcW w:w="2055" w:type="dxa"/>
            <w:vAlign w:val="center"/>
          </w:tcPr>
          <w:p w14:paraId="33E08770" w14:textId="77777777" w:rsidR="00FC7BBB" w:rsidRPr="0041716C" w:rsidRDefault="00FC7BBB" w:rsidP="00C72373">
            <w:pPr>
              <w:jc w:val="left"/>
              <w:rPr>
                <w:rFonts w:asciiTheme="minorHAnsi" w:eastAsia="Calibri" w:hAnsiTheme="minorHAnsi" w:cstheme="minorHAnsi"/>
                <w:sz w:val="20"/>
              </w:rPr>
            </w:pPr>
          </w:p>
        </w:tc>
        <w:tc>
          <w:tcPr>
            <w:tcW w:w="2126" w:type="dxa"/>
            <w:shd w:val="clear" w:color="auto" w:fill="F2F2F2" w:themeFill="background1" w:themeFillShade="F2"/>
            <w:vAlign w:val="center"/>
          </w:tcPr>
          <w:p w14:paraId="47B8A968" w14:textId="77777777" w:rsidR="00FC7BBB" w:rsidRPr="0041716C" w:rsidRDefault="00F63B06" w:rsidP="00C72373">
            <w:pPr>
              <w:jc w:val="center"/>
              <w:rPr>
                <w:rFonts w:asciiTheme="minorHAnsi" w:eastAsia="Calibri" w:hAnsiTheme="minorHAnsi" w:cstheme="minorHAnsi"/>
                <w:sz w:val="20"/>
              </w:rPr>
            </w:pPr>
            <w:r w:rsidRPr="0041716C">
              <w:rPr>
                <w:rFonts w:asciiTheme="minorHAnsi" w:eastAsia="Calibri" w:hAnsiTheme="minorHAnsi" w:cstheme="minorHAnsi"/>
                <w:caps w:val="0"/>
                <w:sz w:val="20"/>
              </w:rPr>
              <w:t xml:space="preserve">Abitazioni </w:t>
            </w:r>
            <w:r w:rsidR="00FC7BBB" w:rsidRPr="0041716C">
              <w:rPr>
                <w:rFonts w:asciiTheme="minorHAnsi" w:eastAsia="Calibri" w:hAnsiTheme="minorHAnsi" w:cstheme="minorHAnsi"/>
                <w:caps w:val="0"/>
                <w:sz w:val="20"/>
              </w:rPr>
              <w:t>top nuove</w:t>
            </w:r>
          </w:p>
        </w:tc>
        <w:tc>
          <w:tcPr>
            <w:tcW w:w="2693" w:type="dxa"/>
            <w:shd w:val="clear" w:color="auto" w:fill="F2F2F2" w:themeFill="background1" w:themeFillShade="F2"/>
            <w:vAlign w:val="center"/>
          </w:tcPr>
          <w:p w14:paraId="1247CCD5" w14:textId="77777777" w:rsidR="00FC7BBB" w:rsidRPr="0041716C" w:rsidRDefault="00F63B06" w:rsidP="00C72373">
            <w:pPr>
              <w:jc w:val="center"/>
              <w:rPr>
                <w:rFonts w:asciiTheme="minorHAnsi" w:eastAsia="Calibri" w:hAnsiTheme="minorHAnsi" w:cstheme="minorHAnsi"/>
                <w:sz w:val="20"/>
              </w:rPr>
            </w:pPr>
            <w:r w:rsidRPr="0041716C">
              <w:rPr>
                <w:rFonts w:asciiTheme="minorHAnsi" w:eastAsia="Calibri" w:hAnsiTheme="minorHAnsi" w:cstheme="minorHAnsi"/>
                <w:caps w:val="0"/>
                <w:sz w:val="20"/>
              </w:rPr>
              <w:t>Abitazioni centrali usate</w:t>
            </w:r>
          </w:p>
        </w:tc>
        <w:tc>
          <w:tcPr>
            <w:tcW w:w="2904" w:type="dxa"/>
            <w:shd w:val="clear" w:color="auto" w:fill="F2F2F2" w:themeFill="background1" w:themeFillShade="F2"/>
            <w:vAlign w:val="center"/>
          </w:tcPr>
          <w:p w14:paraId="6789B6E2" w14:textId="77777777" w:rsidR="00FC7BBB" w:rsidRPr="0041716C" w:rsidRDefault="00F63B06" w:rsidP="00C72373">
            <w:pPr>
              <w:jc w:val="center"/>
              <w:rPr>
                <w:rFonts w:asciiTheme="minorHAnsi" w:eastAsia="Calibri" w:hAnsiTheme="minorHAnsi" w:cstheme="minorHAnsi"/>
                <w:sz w:val="20"/>
              </w:rPr>
            </w:pPr>
            <w:r w:rsidRPr="0041716C">
              <w:rPr>
                <w:rFonts w:asciiTheme="minorHAnsi" w:eastAsia="Calibri" w:hAnsiTheme="minorHAnsi" w:cstheme="minorHAnsi"/>
                <w:caps w:val="0"/>
                <w:sz w:val="20"/>
              </w:rPr>
              <w:t>Abitazioni periferiche usate</w:t>
            </w:r>
          </w:p>
        </w:tc>
      </w:tr>
      <w:tr w:rsidR="00402187" w:rsidRPr="0041716C" w14:paraId="4C936F72" w14:textId="77777777" w:rsidTr="00402187">
        <w:trPr>
          <w:trHeight w:val="340"/>
          <w:jc w:val="center"/>
        </w:trPr>
        <w:tc>
          <w:tcPr>
            <w:tcW w:w="2055" w:type="dxa"/>
            <w:shd w:val="clear" w:color="auto" w:fill="DEEAF6" w:themeFill="accent1" w:themeFillTint="33"/>
            <w:vAlign w:val="center"/>
          </w:tcPr>
          <w:p w14:paraId="2BBD059F" w14:textId="77777777" w:rsidR="00402187" w:rsidRPr="0041716C" w:rsidRDefault="00402187" w:rsidP="00402187">
            <w:pPr>
              <w:jc w:val="left"/>
              <w:rPr>
                <w:rFonts w:asciiTheme="minorHAnsi" w:eastAsia="Calibri" w:hAnsiTheme="minorHAnsi" w:cstheme="minorHAnsi"/>
                <w:caps w:val="0"/>
                <w:sz w:val="20"/>
              </w:rPr>
            </w:pPr>
            <w:r w:rsidRPr="0041716C">
              <w:rPr>
                <w:rFonts w:asciiTheme="minorHAnsi" w:eastAsia="Calibri" w:hAnsiTheme="minorHAnsi" w:cstheme="minorHAnsi"/>
                <w:caps w:val="0"/>
                <w:sz w:val="20"/>
              </w:rPr>
              <w:t>Località lacuali</w:t>
            </w:r>
          </w:p>
        </w:tc>
        <w:tc>
          <w:tcPr>
            <w:tcW w:w="2126" w:type="dxa"/>
            <w:shd w:val="clear" w:color="auto" w:fill="DEEAF6" w:themeFill="accent1" w:themeFillTint="33"/>
            <w:vAlign w:val="center"/>
          </w:tcPr>
          <w:p w14:paraId="0D8D5F22" w14:textId="0A19E7AE" w:rsidR="00402187" w:rsidRPr="009D3729" w:rsidRDefault="00402187" w:rsidP="00402187">
            <w:pPr>
              <w:jc w:val="center"/>
              <w:rPr>
                <w:rFonts w:ascii="Calibri" w:hAnsi="Calibri" w:cs="Arial"/>
                <w:b w:val="0"/>
                <w:bCs w:val="0"/>
                <w:color w:val="000000"/>
                <w:sz w:val="20"/>
              </w:rPr>
            </w:pPr>
            <w:r w:rsidRPr="009D3729">
              <w:rPr>
                <w:rFonts w:ascii="Calibri" w:hAnsi="Calibri" w:cs="Calibri"/>
                <w:b w:val="0"/>
                <w:bCs w:val="0"/>
                <w:color w:val="000000"/>
                <w:sz w:val="20"/>
              </w:rPr>
              <w:t>3.665</w:t>
            </w:r>
          </w:p>
        </w:tc>
        <w:tc>
          <w:tcPr>
            <w:tcW w:w="2693" w:type="dxa"/>
            <w:shd w:val="clear" w:color="auto" w:fill="DEEAF6" w:themeFill="accent1" w:themeFillTint="33"/>
            <w:vAlign w:val="center"/>
          </w:tcPr>
          <w:p w14:paraId="038761F0" w14:textId="5D6019D4" w:rsidR="00402187" w:rsidRPr="009D3729" w:rsidRDefault="00402187" w:rsidP="00402187">
            <w:pPr>
              <w:jc w:val="center"/>
              <w:rPr>
                <w:rFonts w:ascii="Calibri" w:hAnsi="Calibri" w:cs="Arial"/>
                <w:b w:val="0"/>
                <w:bCs w:val="0"/>
                <w:color w:val="000000"/>
                <w:sz w:val="20"/>
              </w:rPr>
            </w:pPr>
            <w:r w:rsidRPr="009D3729">
              <w:rPr>
                <w:rFonts w:ascii="Calibri" w:hAnsi="Calibri" w:cs="Calibri"/>
                <w:b w:val="0"/>
                <w:bCs w:val="0"/>
                <w:color w:val="000000"/>
                <w:sz w:val="20"/>
              </w:rPr>
              <w:t>2.485</w:t>
            </w:r>
          </w:p>
        </w:tc>
        <w:tc>
          <w:tcPr>
            <w:tcW w:w="2904" w:type="dxa"/>
            <w:shd w:val="clear" w:color="auto" w:fill="DEEAF6" w:themeFill="accent1" w:themeFillTint="33"/>
            <w:vAlign w:val="center"/>
          </w:tcPr>
          <w:p w14:paraId="7BC4EBB5" w14:textId="0A82781E" w:rsidR="00402187" w:rsidRPr="009D3729" w:rsidRDefault="00402187" w:rsidP="00402187">
            <w:pPr>
              <w:jc w:val="center"/>
              <w:rPr>
                <w:rFonts w:ascii="Calibri" w:hAnsi="Calibri" w:cs="Arial"/>
                <w:b w:val="0"/>
                <w:bCs w:val="0"/>
                <w:color w:val="000000"/>
                <w:sz w:val="20"/>
              </w:rPr>
            </w:pPr>
            <w:r w:rsidRPr="009D3729">
              <w:rPr>
                <w:rFonts w:ascii="Calibri" w:hAnsi="Calibri" w:cs="Calibri"/>
                <w:b w:val="0"/>
                <w:bCs w:val="0"/>
                <w:color w:val="000000"/>
                <w:sz w:val="20"/>
              </w:rPr>
              <w:t>1.770</w:t>
            </w:r>
          </w:p>
        </w:tc>
      </w:tr>
      <w:tr w:rsidR="000A3456" w:rsidRPr="0041716C" w14:paraId="07FA5031" w14:textId="77777777" w:rsidTr="00402187">
        <w:trPr>
          <w:trHeight w:val="340"/>
          <w:jc w:val="center"/>
        </w:trPr>
        <w:tc>
          <w:tcPr>
            <w:tcW w:w="2055" w:type="dxa"/>
            <w:shd w:val="clear" w:color="auto" w:fill="DEEAF6" w:themeFill="accent1" w:themeFillTint="33"/>
            <w:vAlign w:val="center"/>
          </w:tcPr>
          <w:p w14:paraId="4F274972" w14:textId="77777777" w:rsidR="000A3456" w:rsidRPr="0041716C" w:rsidRDefault="000A3456" w:rsidP="000A3456">
            <w:pPr>
              <w:jc w:val="left"/>
              <w:rPr>
                <w:rFonts w:asciiTheme="minorHAnsi" w:eastAsia="Calibri" w:hAnsiTheme="minorHAnsi" w:cstheme="minorHAnsi"/>
                <w:sz w:val="20"/>
              </w:rPr>
            </w:pPr>
            <w:r w:rsidRPr="0041716C">
              <w:rPr>
                <w:rFonts w:asciiTheme="minorHAnsi" w:eastAsia="Calibri" w:hAnsiTheme="minorHAnsi" w:cstheme="minorHAnsi"/>
                <w:caps w:val="0"/>
                <w:sz w:val="20"/>
              </w:rPr>
              <w:t>Località marine</w:t>
            </w:r>
          </w:p>
        </w:tc>
        <w:tc>
          <w:tcPr>
            <w:tcW w:w="2126" w:type="dxa"/>
            <w:shd w:val="clear" w:color="auto" w:fill="DEEAF6" w:themeFill="accent1" w:themeFillTint="33"/>
            <w:vAlign w:val="center"/>
          </w:tcPr>
          <w:p w14:paraId="31397CDF" w14:textId="62AF5FD0" w:rsidR="000A3456" w:rsidRPr="000A3456" w:rsidRDefault="000A3456" w:rsidP="000A3456">
            <w:pPr>
              <w:jc w:val="center"/>
              <w:rPr>
                <w:rFonts w:ascii="Calibri" w:hAnsi="Calibri" w:cs="Calibri"/>
                <w:b w:val="0"/>
                <w:bCs w:val="0"/>
                <w:color w:val="000000"/>
                <w:sz w:val="20"/>
              </w:rPr>
            </w:pPr>
            <w:r w:rsidRPr="000A3456">
              <w:rPr>
                <w:rFonts w:ascii="Calibri" w:hAnsi="Calibri" w:cs="Calibri"/>
                <w:b w:val="0"/>
                <w:bCs w:val="0"/>
                <w:color w:val="000000"/>
                <w:sz w:val="20"/>
              </w:rPr>
              <w:t>3.430</w:t>
            </w:r>
          </w:p>
        </w:tc>
        <w:tc>
          <w:tcPr>
            <w:tcW w:w="2693" w:type="dxa"/>
            <w:shd w:val="clear" w:color="auto" w:fill="DEEAF6" w:themeFill="accent1" w:themeFillTint="33"/>
            <w:vAlign w:val="center"/>
          </w:tcPr>
          <w:p w14:paraId="0578446B" w14:textId="58ACA917" w:rsidR="000A3456" w:rsidRPr="000A3456" w:rsidRDefault="000A3456" w:rsidP="000A3456">
            <w:pPr>
              <w:jc w:val="center"/>
              <w:rPr>
                <w:rFonts w:ascii="Calibri" w:hAnsi="Calibri" w:cs="Calibri"/>
                <w:b w:val="0"/>
                <w:bCs w:val="0"/>
                <w:color w:val="000000"/>
                <w:sz w:val="20"/>
              </w:rPr>
            </w:pPr>
            <w:r w:rsidRPr="000A3456">
              <w:rPr>
                <w:rFonts w:ascii="Calibri" w:hAnsi="Calibri" w:cs="Calibri"/>
                <w:b w:val="0"/>
                <w:bCs w:val="0"/>
                <w:color w:val="000000"/>
                <w:sz w:val="20"/>
              </w:rPr>
              <w:t>2.430</w:t>
            </w:r>
          </w:p>
        </w:tc>
        <w:tc>
          <w:tcPr>
            <w:tcW w:w="2904" w:type="dxa"/>
            <w:shd w:val="clear" w:color="auto" w:fill="DEEAF6" w:themeFill="accent1" w:themeFillTint="33"/>
            <w:vAlign w:val="center"/>
          </w:tcPr>
          <w:p w14:paraId="71E56255" w14:textId="0A921D5B" w:rsidR="000A3456" w:rsidRPr="000A3456" w:rsidRDefault="000A3456" w:rsidP="000A3456">
            <w:pPr>
              <w:jc w:val="center"/>
              <w:rPr>
                <w:rFonts w:ascii="Calibri" w:hAnsi="Calibri" w:cs="Calibri"/>
                <w:b w:val="0"/>
                <w:bCs w:val="0"/>
                <w:color w:val="000000"/>
                <w:sz w:val="20"/>
              </w:rPr>
            </w:pPr>
            <w:r w:rsidRPr="000A3456">
              <w:rPr>
                <w:rFonts w:ascii="Calibri" w:hAnsi="Calibri" w:cs="Calibri"/>
                <w:b w:val="0"/>
                <w:bCs w:val="0"/>
                <w:color w:val="000000"/>
                <w:sz w:val="20"/>
              </w:rPr>
              <w:t>1.725</w:t>
            </w:r>
          </w:p>
        </w:tc>
      </w:tr>
      <w:tr w:rsidR="00402187" w:rsidRPr="0041716C" w14:paraId="1F38CB6D" w14:textId="77777777" w:rsidTr="00402187">
        <w:trPr>
          <w:trHeight w:val="340"/>
          <w:jc w:val="center"/>
        </w:trPr>
        <w:tc>
          <w:tcPr>
            <w:tcW w:w="2055" w:type="dxa"/>
            <w:shd w:val="clear" w:color="auto" w:fill="DEEAF6" w:themeFill="accent1" w:themeFillTint="33"/>
            <w:vAlign w:val="center"/>
          </w:tcPr>
          <w:p w14:paraId="28E31E46" w14:textId="77777777" w:rsidR="00402187" w:rsidRPr="0041716C" w:rsidRDefault="00402187" w:rsidP="00402187">
            <w:pPr>
              <w:jc w:val="left"/>
              <w:rPr>
                <w:rFonts w:asciiTheme="minorHAnsi" w:eastAsia="Calibri" w:hAnsiTheme="minorHAnsi" w:cstheme="minorHAnsi"/>
                <w:sz w:val="20"/>
              </w:rPr>
            </w:pPr>
            <w:r w:rsidRPr="0041716C">
              <w:rPr>
                <w:rFonts w:asciiTheme="minorHAnsi" w:eastAsia="Calibri" w:hAnsiTheme="minorHAnsi" w:cstheme="minorHAnsi"/>
                <w:caps w:val="0"/>
                <w:sz w:val="20"/>
              </w:rPr>
              <w:t>Località montane</w:t>
            </w:r>
          </w:p>
        </w:tc>
        <w:tc>
          <w:tcPr>
            <w:tcW w:w="2126" w:type="dxa"/>
            <w:shd w:val="clear" w:color="auto" w:fill="DEEAF6" w:themeFill="accent1" w:themeFillTint="33"/>
            <w:vAlign w:val="center"/>
          </w:tcPr>
          <w:p w14:paraId="2C0D3F4B" w14:textId="468FF666" w:rsidR="00402187" w:rsidRPr="009D3729" w:rsidRDefault="00402187" w:rsidP="00402187">
            <w:pPr>
              <w:jc w:val="center"/>
              <w:rPr>
                <w:rFonts w:ascii="Calibri" w:hAnsi="Calibri" w:cs="Arial"/>
                <w:b w:val="0"/>
                <w:bCs w:val="0"/>
                <w:color w:val="000000"/>
                <w:sz w:val="20"/>
              </w:rPr>
            </w:pPr>
            <w:r w:rsidRPr="009D3729">
              <w:rPr>
                <w:rFonts w:ascii="Calibri" w:hAnsi="Calibri" w:cs="Calibri"/>
                <w:b w:val="0"/>
                <w:bCs w:val="0"/>
                <w:color w:val="000000"/>
                <w:sz w:val="20"/>
              </w:rPr>
              <w:t>3.500</w:t>
            </w:r>
          </w:p>
        </w:tc>
        <w:tc>
          <w:tcPr>
            <w:tcW w:w="2693" w:type="dxa"/>
            <w:shd w:val="clear" w:color="auto" w:fill="DEEAF6" w:themeFill="accent1" w:themeFillTint="33"/>
            <w:vAlign w:val="center"/>
          </w:tcPr>
          <w:p w14:paraId="1341EE40" w14:textId="5DC733FB" w:rsidR="00402187" w:rsidRPr="009D3729" w:rsidRDefault="00402187" w:rsidP="00402187">
            <w:pPr>
              <w:jc w:val="center"/>
              <w:rPr>
                <w:rFonts w:ascii="Calibri" w:hAnsi="Calibri" w:cs="Arial"/>
                <w:b w:val="0"/>
                <w:bCs w:val="0"/>
                <w:color w:val="000000"/>
                <w:sz w:val="20"/>
              </w:rPr>
            </w:pPr>
            <w:r w:rsidRPr="009D3729">
              <w:rPr>
                <w:rFonts w:ascii="Calibri" w:hAnsi="Calibri" w:cs="Calibri"/>
                <w:b w:val="0"/>
                <w:bCs w:val="0"/>
                <w:color w:val="000000"/>
                <w:sz w:val="20"/>
              </w:rPr>
              <w:t>2.515</w:t>
            </w:r>
          </w:p>
        </w:tc>
        <w:tc>
          <w:tcPr>
            <w:tcW w:w="2904" w:type="dxa"/>
            <w:shd w:val="clear" w:color="auto" w:fill="DEEAF6" w:themeFill="accent1" w:themeFillTint="33"/>
            <w:vAlign w:val="center"/>
          </w:tcPr>
          <w:p w14:paraId="635DC418" w14:textId="16925E83" w:rsidR="00402187" w:rsidRPr="009D3729" w:rsidRDefault="00402187" w:rsidP="00402187">
            <w:pPr>
              <w:jc w:val="center"/>
              <w:rPr>
                <w:rFonts w:ascii="Calibri" w:hAnsi="Calibri" w:cs="Arial"/>
                <w:b w:val="0"/>
                <w:bCs w:val="0"/>
                <w:color w:val="000000"/>
                <w:sz w:val="20"/>
              </w:rPr>
            </w:pPr>
            <w:r w:rsidRPr="009D3729">
              <w:rPr>
                <w:rFonts w:ascii="Calibri" w:hAnsi="Calibri" w:cs="Calibri"/>
                <w:b w:val="0"/>
                <w:bCs w:val="0"/>
                <w:color w:val="000000"/>
                <w:sz w:val="20"/>
              </w:rPr>
              <w:t>1.780</w:t>
            </w:r>
          </w:p>
        </w:tc>
      </w:tr>
    </w:tbl>
    <w:p w14:paraId="60E0CDFE" w14:textId="77777777" w:rsidR="008D7331" w:rsidRPr="00402187" w:rsidRDefault="008D7331" w:rsidP="008D7331">
      <w:pPr>
        <w:spacing w:before="60"/>
        <w:rPr>
          <w:rFonts w:asciiTheme="minorHAnsi" w:eastAsia="Calibri" w:hAnsiTheme="minorHAnsi" w:cstheme="minorHAnsi"/>
          <w:sz w:val="18"/>
          <w:lang w:val="pt-PT"/>
        </w:rPr>
      </w:pPr>
      <w:r w:rsidRPr="00402187">
        <w:rPr>
          <w:rFonts w:asciiTheme="minorHAnsi" w:eastAsia="Calibri" w:hAnsiTheme="minorHAnsi" w:cstheme="minorHAnsi"/>
          <w:sz w:val="18"/>
          <w:lang w:val="pt-PT"/>
        </w:rPr>
        <w:t>Fonte: Nomisma e Fimaa</w:t>
      </w:r>
      <w:r w:rsidR="00AC5889" w:rsidRPr="00402187">
        <w:rPr>
          <w:rFonts w:asciiTheme="minorHAnsi" w:eastAsia="Calibri" w:hAnsiTheme="minorHAnsi" w:cstheme="minorHAnsi"/>
          <w:sz w:val="18"/>
          <w:lang w:val="pt-PT"/>
        </w:rPr>
        <w:t>-Confcommercio</w:t>
      </w:r>
    </w:p>
    <w:p w14:paraId="2B4B685C" w14:textId="77777777" w:rsidR="00FC7BBB" w:rsidRPr="00402187" w:rsidRDefault="00FC7BBB" w:rsidP="00364602">
      <w:pPr>
        <w:rPr>
          <w:rFonts w:asciiTheme="minorHAnsi" w:eastAsia="Calibri" w:hAnsiTheme="minorHAnsi" w:cstheme="minorHAnsi"/>
          <w:sz w:val="22"/>
          <w:szCs w:val="24"/>
          <w:lang w:val="pt-PT"/>
        </w:rPr>
      </w:pPr>
    </w:p>
    <w:p w14:paraId="3832DA6E" w14:textId="59750F28" w:rsidR="001615AD" w:rsidRDefault="001615AD" w:rsidP="00DC7E35">
      <w:pPr>
        <w:pStyle w:val="Paragrafoelenco"/>
        <w:spacing w:after="120"/>
        <w:ind w:left="0"/>
        <w:rPr>
          <w:rFonts w:asciiTheme="minorHAnsi" w:eastAsia="Calibri" w:hAnsiTheme="minorHAnsi" w:cstheme="minorHAnsi"/>
          <w:sz w:val="22"/>
          <w:szCs w:val="22"/>
        </w:rPr>
      </w:pPr>
      <w:r>
        <w:rPr>
          <w:rFonts w:asciiTheme="minorHAnsi" w:eastAsia="Calibri" w:hAnsiTheme="minorHAnsi" w:cstheme="minorHAnsi"/>
          <w:sz w:val="22"/>
          <w:szCs w:val="22"/>
        </w:rPr>
        <w:t>In cima alla classifica delle principali località turistiche - per quanto riguarda i prezzi massimi di compravendita di appartamenti top o nuovi</w:t>
      </w:r>
      <w:r>
        <w:rPr>
          <w:rFonts w:asciiTheme="minorHAnsi" w:eastAsia="Calibri" w:hAnsiTheme="minorHAnsi"/>
          <w:sz w:val="22"/>
          <w:szCs w:val="22"/>
          <w:vertAlign w:val="superscript"/>
        </w:rPr>
        <w:footnoteReference w:id="2"/>
      </w:r>
      <w:r>
        <w:rPr>
          <w:rFonts w:asciiTheme="minorHAnsi" w:eastAsia="Calibri" w:hAnsiTheme="minorHAnsi" w:cstheme="minorHAnsi"/>
          <w:sz w:val="22"/>
          <w:szCs w:val="22"/>
        </w:rPr>
        <w:t xml:space="preserve"> - troviamo anche quest’anno, come nelle precedenti edizioni, una destinazione montana</w:t>
      </w:r>
      <w:r w:rsidR="007750D1">
        <w:rPr>
          <w:rFonts w:asciiTheme="minorHAnsi" w:eastAsia="Calibri" w:hAnsiTheme="minorHAnsi" w:cstheme="minorHAnsi"/>
          <w:sz w:val="22"/>
          <w:szCs w:val="22"/>
        </w:rPr>
        <w:t>.</w:t>
      </w:r>
    </w:p>
    <w:p w14:paraId="06EF5828" w14:textId="3676EA19" w:rsidR="00695100" w:rsidRPr="006B27BA" w:rsidRDefault="00664973" w:rsidP="00DC7E35">
      <w:pPr>
        <w:spacing w:after="120"/>
        <w:rPr>
          <w:rFonts w:asciiTheme="minorHAnsi" w:eastAsia="Calibri" w:hAnsiTheme="minorHAnsi" w:cstheme="minorHAnsi"/>
          <w:sz w:val="22"/>
          <w:szCs w:val="22"/>
        </w:rPr>
      </w:pPr>
      <w:r>
        <w:rPr>
          <w:rFonts w:asciiTheme="minorHAnsi" w:eastAsia="Calibri" w:hAnsiTheme="minorHAnsi" w:cstheme="minorHAnsi"/>
          <w:sz w:val="22"/>
          <w:szCs w:val="22"/>
        </w:rPr>
        <w:t>Nel dettaglio,</w:t>
      </w:r>
      <w:r w:rsidR="00695100" w:rsidRPr="006B27BA">
        <w:rPr>
          <w:rFonts w:asciiTheme="minorHAnsi" w:eastAsia="Calibri" w:hAnsiTheme="minorHAnsi" w:cstheme="minorHAnsi"/>
          <w:sz w:val="22"/>
          <w:szCs w:val="22"/>
        </w:rPr>
        <w:t xml:space="preserve"> </w:t>
      </w:r>
      <w:r w:rsidR="006B27BA" w:rsidRPr="006B27BA">
        <w:rPr>
          <w:rFonts w:asciiTheme="minorHAnsi" w:eastAsia="Calibri" w:hAnsiTheme="minorHAnsi" w:cstheme="minorHAnsi"/>
          <w:sz w:val="22"/>
          <w:szCs w:val="22"/>
        </w:rPr>
        <w:t>Madonna di Campiglio</w:t>
      </w:r>
      <w:r>
        <w:rPr>
          <w:rFonts w:asciiTheme="minorHAnsi" w:eastAsia="Calibri" w:hAnsiTheme="minorHAnsi" w:cstheme="minorHAnsi"/>
          <w:sz w:val="22"/>
          <w:szCs w:val="22"/>
        </w:rPr>
        <w:t xml:space="preserve"> si posiziona in cima alla classifica</w:t>
      </w:r>
      <w:r w:rsidRPr="00250D22">
        <w:rPr>
          <w:rFonts w:asciiTheme="minorHAnsi" w:eastAsia="Calibri" w:hAnsiTheme="minorHAnsi" w:cstheme="minorHAnsi"/>
          <w:sz w:val="22"/>
          <w:szCs w:val="22"/>
        </w:rPr>
        <w:t xml:space="preserve"> con </w:t>
      </w:r>
      <w:r w:rsidR="00695100" w:rsidRPr="006B27BA">
        <w:rPr>
          <w:rFonts w:asciiTheme="minorHAnsi" w:eastAsia="Calibri" w:hAnsiTheme="minorHAnsi" w:cstheme="minorHAnsi"/>
          <w:sz w:val="22"/>
          <w:szCs w:val="22"/>
        </w:rPr>
        <w:t>quotazioni sul mercato top che arrivano fino a 1</w:t>
      </w:r>
      <w:r w:rsidR="006B27BA" w:rsidRPr="006B27BA">
        <w:rPr>
          <w:rFonts w:asciiTheme="minorHAnsi" w:eastAsia="Calibri" w:hAnsiTheme="minorHAnsi" w:cstheme="minorHAnsi"/>
          <w:sz w:val="22"/>
          <w:szCs w:val="22"/>
        </w:rPr>
        <w:t>5</w:t>
      </w:r>
      <w:r w:rsidR="00695100" w:rsidRPr="006B27BA">
        <w:rPr>
          <w:rFonts w:asciiTheme="minorHAnsi" w:eastAsia="Calibri" w:hAnsiTheme="minorHAnsi" w:cstheme="minorHAnsi"/>
          <w:sz w:val="22"/>
          <w:szCs w:val="22"/>
        </w:rPr>
        <w:t>.</w:t>
      </w:r>
      <w:r w:rsidR="006B27BA" w:rsidRPr="006B27BA">
        <w:rPr>
          <w:rFonts w:asciiTheme="minorHAnsi" w:eastAsia="Calibri" w:hAnsiTheme="minorHAnsi" w:cstheme="minorHAnsi"/>
          <w:sz w:val="22"/>
          <w:szCs w:val="22"/>
        </w:rPr>
        <w:t>0</w:t>
      </w:r>
      <w:r w:rsidR="00695100" w:rsidRPr="006B27BA">
        <w:rPr>
          <w:rFonts w:asciiTheme="minorHAnsi" w:eastAsia="Calibri" w:hAnsiTheme="minorHAnsi" w:cstheme="minorHAnsi"/>
          <w:sz w:val="22"/>
          <w:szCs w:val="22"/>
        </w:rPr>
        <w:t>00 €/mq</w:t>
      </w:r>
      <w:r>
        <w:rPr>
          <w:rFonts w:asciiTheme="minorHAnsi" w:eastAsia="Calibri" w:hAnsiTheme="minorHAnsi" w:cstheme="minorHAnsi"/>
          <w:sz w:val="22"/>
          <w:szCs w:val="22"/>
        </w:rPr>
        <w:t xml:space="preserve">, seguita da Forte dei Marmi che si colloca in seconda posizione con </w:t>
      </w:r>
      <w:r w:rsidRPr="006B27BA">
        <w:rPr>
          <w:rFonts w:asciiTheme="minorHAnsi" w:eastAsia="Calibri" w:hAnsiTheme="minorHAnsi" w:cstheme="minorHAnsi"/>
          <w:sz w:val="22"/>
          <w:szCs w:val="22"/>
        </w:rPr>
        <w:t>1</w:t>
      </w:r>
      <w:r>
        <w:rPr>
          <w:rFonts w:asciiTheme="minorHAnsi" w:eastAsia="Calibri" w:hAnsiTheme="minorHAnsi" w:cstheme="minorHAnsi"/>
          <w:sz w:val="22"/>
          <w:szCs w:val="22"/>
        </w:rPr>
        <w:t>4</w:t>
      </w:r>
      <w:r w:rsidRPr="006B27BA">
        <w:rPr>
          <w:rFonts w:asciiTheme="minorHAnsi" w:eastAsia="Calibri" w:hAnsiTheme="minorHAnsi" w:cstheme="minorHAnsi"/>
          <w:sz w:val="22"/>
          <w:szCs w:val="22"/>
        </w:rPr>
        <w:t>.000 €/mq</w:t>
      </w:r>
      <w:r w:rsidR="00695100" w:rsidRPr="006B27BA">
        <w:rPr>
          <w:rFonts w:asciiTheme="minorHAnsi" w:eastAsia="Calibri" w:hAnsiTheme="minorHAnsi" w:cstheme="minorHAnsi"/>
          <w:sz w:val="22"/>
          <w:szCs w:val="22"/>
        </w:rPr>
        <w:t>.</w:t>
      </w:r>
    </w:p>
    <w:p w14:paraId="71CD0D86" w14:textId="77777777" w:rsidR="00F86725" w:rsidRPr="006B27BA" w:rsidRDefault="00F86725" w:rsidP="00DC7E35">
      <w:pPr>
        <w:pStyle w:val="Paragrafoelenco"/>
        <w:spacing w:after="120"/>
        <w:ind w:left="0"/>
        <w:rPr>
          <w:rFonts w:asciiTheme="minorHAnsi" w:eastAsia="Calibri" w:hAnsiTheme="minorHAnsi" w:cstheme="minorHAnsi"/>
          <w:sz w:val="22"/>
          <w:szCs w:val="22"/>
        </w:rPr>
      </w:pPr>
      <w:r w:rsidRPr="006B27BA">
        <w:rPr>
          <w:rFonts w:asciiTheme="minorHAnsi" w:eastAsia="Calibri" w:hAnsiTheme="minorHAnsi" w:cstheme="minorHAnsi"/>
          <w:sz w:val="22"/>
          <w:szCs w:val="22"/>
        </w:rPr>
        <w:t>Completa il podio Capri (NA) con 14.000 €/mq. A seguire, Cortina d'Ampezzo (BL) e Santa Margherita Ligure (GE), con valori massimi compresi tra i 13.000 e i 13.500 €/mq.</w:t>
      </w:r>
    </w:p>
    <w:p w14:paraId="592EE181" w14:textId="7074F4CB" w:rsidR="006B27BA" w:rsidRDefault="006B27BA" w:rsidP="00695100">
      <w:pPr>
        <w:pStyle w:val="Paragrafoelenco"/>
        <w:ind w:left="0"/>
        <w:rPr>
          <w:rFonts w:asciiTheme="minorHAnsi" w:eastAsia="Calibri" w:hAnsiTheme="minorHAnsi" w:cstheme="minorHAnsi"/>
          <w:sz w:val="22"/>
          <w:szCs w:val="22"/>
        </w:rPr>
      </w:pPr>
    </w:p>
    <w:p w14:paraId="0E1BB4B9" w14:textId="77777777" w:rsidR="007F6848" w:rsidRDefault="007F6848">
      <w:pPr>
        <w:spacing w:after="200" w:line="276" w:lineRule="auto"/>
        <w:jc w:val="left"/>
        <w:rPr>
          <w:rFonts w:ascii="Calibri" w:hAnsi="Calibri" w:cs="Arial"/>
          <w:b/>
          <w:bCs/>
          <w:sz w:val="22"/>
          <w:szCs w:val="22"/>
        </w:rPr>
      </w:pPr>
      <w:r>
        <w:rPr>
          <w:rFonts w:ascii="Calibri" w:hAnsi="Calibri" w:cs="Arial"/>
          <w:b/>
          <w:bCs/>
          <w:sz w:val="22"/>
          <w:szCs w:val="22"/>
        </w:rPr>
        <w:br w:type="page"/>
      </w:r>
    </w:p>
    <w:p w14:paraId="18E8E34C" w14:textId="4573FF73" w:rsidR="00664973" w:rsidRPr="0041716C" w:rsidRDefault="00664973" w:rsidP="00664973">
      <w:pPr>
        <w:jc w:val="left"/>
        <w:rPr>
          <w:rFonts w:ascii="Calibri" w:hAnsi="Calibri" w:cs="Arial"/>
          <w:b/>
          <w:bCs/>
          <w:sz w:val="22"/>
          <w:szCs w:val="22"/>
        </w:rPr>
      </w:pPr>
      <w:r w:rsidRPr="0041716C">
        <w:rPr>
          <w:rFonts w:ascii="Calibri" w:hAnsi="Calibri" w:cs="Arial"/>
          <w:b/>
          <w:bCs/>
          <w:sz w:val="22"/>
          <w:szCs w:val="22"/>
        </w:rPr>
        <w:t xml:space="preserve">Tavola </w:t>
      </w:r>
      <w:r w:rsidR="00CE2041">
        <w:rPr>
          <w:rFonts w:ascii="Calibri" w:hAnsi="Calibri" w:cs="Arial"/>
          <w:b/>
          <w:bCs/>
          <w:sz w:val="22"/>
          <w:szCs w:val="22"/>
        </w:rPr>
        <w:t>5</w:t>
      </w:r>
    </w:p>
    <w:p w14:paraId="39649CFF" w14:textId="77777777" w:rsidR="00664973" w:rsidRPr="0041716C" w:rsidRDefault="00664973" w:rsidP="00664973">
      <w:pPr>
        <w:jc w:val="left"/>
        <w:rPr>
          <w:rFonts w:asciiTheme="minorHAnsi" w:hAnsiTheme="minorHAnsi" w:cstheme="minorHAnsi"/>
          <w:b/>
          <w:bCs/>
          <w:sz w:val="22"/>
          <w:szCs w:val="22"/>
        </w:rPr>
      </w:pPr>
      <w:r w:rsidRPr="0041716C">
        <w:rPr>
          <w:rFonts w:asciiTheme="minorHAnsi" w:hAnsiTheme="minorHAnsi" w:cstheme="minorHAnsi"/>
          <w:b/>
          <w:bCs/>
          <w:sz w:val="22"/>
          <w:szCs w:val="22"/>
        </w:rPr>
        <w:t>Prime 1</w:t>
      </w:r>
      <w:r>
        <w:rPr>
          <w:rFonts w:asciiTheme="minorHAnsi" w:hAnsiTheme="minorHAnsi" w:cstheme="minorHAnsi"/>
          <w:b/>
          <w:bCs/>
          <w:sz w:val="22"/>
          <w:szCs w:val="22"/>
        </w:rPr>
        <w:t>2</w:t>
      </w:r>
      <w:r w:rsidRPr="0041716C">
        <w:rPr>
          <w:rFonts w:asciiTheme="minorHAnsi" w:hAnsiTheme="minorHAnsi" w:cstheme="minorHAnsi"/>
          <w:b/>
          <w:bCs/>
          <w:sz w:val="22"/>
          <w:szCs w:val="22"/>
        </w:rPr>
        <w:t xml:space="preserve"> località per prezzi massimi di compravendita di appartamenti top o nuovi</w:t>
      </w:r>
    </w:p>
    <w:p w14:paraId="63E7B9ED" w14:textId="77777777" w:rsidR="00664973" w:rsidRPr="0041716C" w:rsidRDefault="00664973" w:rsidP="00664973">
      <w:pPr>
        <w:jc w:val="left"/>
        <w:rPr>
          <w:rFonts w:asciiTheme="minorHAnsi" w:hAnsiTheme="minorHAnsi" w:cstheme="minorHAnsi"/>
          <w:i/>
          <w:iCs/>
          <w:sz w:val="22"/>
          <w:szCs w:val="22"/>
        </w:rPr>
      </w:pPr>
      <w:r w:rsidRPr="0041716C">
        <w:rPr>
          <w:rFonts w:asciiTheme="minorHAnsi" w:hAnsiTheme="minorHAnsi" w:cstheme="minorHAnsi"/>
          <w:i/>
          <w:iCs/>
          <w:sz w:val="22"/>
          <w:szCs w:val="22"/>
        </w:rPr>
        <w:t>(€/mq)</w:t>
      </w:r>
    </w:p>
    <w:p w14:paraId="4BD4AA64" w14:textId="77777777" w:rsidR="00664973" w:rsidRPr="0041716C" w:rsidRDefault="00664973" w:rsidP="00664973">
      <w:pPr>
        <w:jc w:val="center"/>
        <w:rPr>
          <w:rFonts w:asciiTheme="minorHAnsi" w:hAnsiTheme="minorHAnsi" w:cstheme="minorHAnsi"/>
          <w:iCs/>
          <w:sz w:val="16"/>
          <w:szCs w:val="16"/>
        </w:rPr>
      </w:pPr>
    </w:p>
    <w:tbl>
      <w:tblPr>
        <w:tblW w:w="0" w:type="auto"/>
        <w:tblLayout w:type="fixed"/>
        <w:tblLook w:val="04A0" w:firstRow="1" w:lastRow="0" w:firstColumn="1" w:lastColumn="0" w:noHBand="0" w:noVBand="1"/>
      </w:tblPr>
      <w:tblGrid>
        <w:gridCol w:w="3189"/>
        <w:gridCol w:w="2126"/>
      </w:tblGrid>
      <w:tr w:rsidR="00664973" w:rsidRPr="0041716C" w14:paraId="483DA9C1" w14:textId="77777777" w:rsidTr="003C0954">
        <w:trPr>
          <w:trHeight w:val="283"/>
        </w:trPr>
        <w:tc>
          <w:tcPr>
            <w:tcW w:w="3189" w:type="dxa"/>
            <w:tcBorders>
              <w:top w:val="single" w:sz="8" w:space="0" w:color="auto"/>
              <w:left w:val="nil"/>
              <w:bottom w:val="single" w:sz="8" w:space="0" w:color="auto"/>
              <w:right w:val="nil"/>
            </w:tcBorders>
            <w:shd w:val="clear" w:color="auto" w:fill="D9D9D9" w:themeFill="background1" w:themeFillShade="D9"/>
            <w:vAlign w:val="center"/>
            <w:hideMark/>
          </w:tcPr>
          <w:p w14:paraId="38998A62" w14:textId="77777777" w:rsidR="00664973" w:rsidRPr="0041716C" w:rsidRDefault="00664973" w:rsidP="003C0954">
            <w:pPr>
              <w:autoSpaceDE w:val="0"/>
              <w:autoSpaceDN w:val="0"/>
              <w:adjustRightInd w:val="0"/>
              <w:spacing w:line="276" w:lineRule="auto"/>
              <w:jc w:val="left"/>
              <w:rPr>
                <w:rFonts w:asciiTheme="minorHAnsi" w:hAnsiTheme="minorHAnsi" w:cstheme="minorHAnsi"/>
                <w:sz w:val="20"/>
                <w:lang w:eastAsia="en-US"/>
              </w:rPr>
            </w:pPr>
            <w:r w:rsidRPr="0041716C">
              <w:rPr>
                <w:rFonts w:asciiTheme="minorHAnsi" w:hAnsiTheme="minorHAnsi" w:cstheme="minorHAnsi"/>
                <w:b/>
                <w:bCs/>
                <w:sz w:val="20"/>
                <w:lang w:eastAsia="en-US"/>
              </w:rPr>
              <w:t>Località</w:t>
            </w:r>
          </w:p>
        </w:tc>
        <w:tc>
          <w:tcPr>
            <w:tcW w:w="2126" w:type="dxa"/>
            <w:tcBorders>
              <w:top w:val="single" w:sz="8" w:space="0" w:color="auto"/>
              <w:left w:val="nil"/>
              <w:bottom w:val="single" w:sz="8" w:space="0" w:color="auto"/>
              <w:right w:val="nil"/>
            </w:tcBorders>
            <w:shd w:val="clear" w:color="auto" w:fill="D9D9D9" w:themeFill="background1" w:themeFillShade="D9"/>
            <w:vAlign w:val="center"/>
            <w:hideMark/>
          </w:tcPr>
          <w:p w14:paraId="755E9316" w14:textId="77777777" w:rsidR="00664973" w:rsidRPr="0041716C" w:rsidRDefault="00664973" w:rsidP="003C0954">
            <w:pPr>
              <w:autoSpaceDE w:val="0"/>
              <w:autoSpaceDN w:val="0"/>
              <w:adjustRightInd w:val="0"/>
              <w:spacing w:line="276" w:lineRule="auto"/>
              <w:jc w:val="center"/>
              <w:rPr>
                <w:rFonts w:asciiTheme="minorHAnsi" w:hAnsiTheme="minorHAnsi" w:cstheme="minorHAnsi"/>
                <w:sz w:val="20"/>
                <w:lang w:eastAsia="en-US"/>
              </w:rPr>
            </w:pPr>
            <w:r w:rsidRPr="0041716C">
              <w:rPr>
                <w:rFonts w:asciiTheme="minorHAnsi" w:hAnsiTheme="minorHAnsi" w:cstheme="minorHAnsi"/>
                <w:b/>
                <w:bCs/>
                <w:sz w:val="20"/>
                <w:lang w:eastAsia="en-US"/>
              </w:rPr>
              <w:t>Prezzi</w:t>
            </w:r>
            <w:r w:rsidRPr="0041716C">
              <w:rPr>
                <w:rFonts w:asciiTheme="minorHAnsi" w:hAnsiTheme="minorHAnsi" w:cstheme="minorHAnsi"/>
                <w:b/>
                <w:bCs/>
                <w:sz w:val="20"/>
                <w:lang w:eastAsia="en-US"/>
              </w:rPr>
              <w:br/>
            </w:r>
            <w:r w:rsidRPr="0041716C">
              <w:rPr>
                <w:rFonts w:asciiTheme="minorHAnsi" w:hAnsiTheme="minorHAnsi" w:cstheme="minorHAnsi"/>
                <w:bCs/>
                <w:i/>
                <w:sz w:val="20"/>
                <w:lang w:eastAsia="en-US"/>
              </w:rPr>
              <w:t>(€/mq)</w:t>
            </w:r>
          </w:p>
        </w:tc>
      </w:tr>
      <w:tr w:rsidR="00664973" w:rsidRPr="0041716C" w14:paraId="4C4DBBEB" w14:textId="77777777" w:rsidTr="003C0954">
        <w:trPr>
          <w:trHeight w:val="283"/>
        </w:trPr>
        <w:tc>
          <w:tcPr>
            <w:tcW w:w="3189" w:type="dxa"/>
            <w:tcBorders>
              <w:top w:val="nil"/>
              <w:left w:val="nil"/>
              <w:bottom w:val="nil"/>
              <w:right w:val="nil"/>
            </w:tcBorders>
            <w:vAlign w:val="center"/>
            <w:hideMark/>
          </w:tcPr>
          <w:p w14:paraId="00A62736" w14:textId="77777777" w:rsidR="00664973" w:rsidRPr="00F57138" w:rsidRDefault="00664973" w:rsidP="003C0954">
            <w:pPr>
              <w:jc w:val="left"/>
              <w:rPr>
                <w:rFonts w:ascii="Calibri" w:hAnsi="Calibri" w:cs="Arial"/>
                <w:sz w:val="20"/>
              </w:rPr>
            </w:pPr>
            <w:r w:rsidRPr="00F57138">
              <w:rPr>
                <w:rFonts w:ascii="Calibri" w:hAnsi="Calibri" w:cs="Arial"/>
                <w:sz w:val="20"/>
              </w:rPr>
              <w:t>1. Madonna di Campiglio (TN)</w:t>
            </w:r>
          </w:p>
        </w:tc>
        <w:tc>
          <w:tcPr>
            <w:tcW w:w="2126" w:type="dxa"/>
            <w:tcBorders>
              <w:top w:val="nil"/>
              <w:left w:val="nil"/>
              <w:bottom w:val="nil"/>
              <w:right w:val="nil"/>
            </w:tcBorders>
            <w:vAlign w:val="center"/>
          </w:tcPr>
          <w:p w14:paraId="013AEAC8" w14:textId="77777777" w:rsidR="00664973" w:rsidRPr="00F57138" w:rsidRDefault="00664973" w:rsidP="003C0954">
            <w:pPr>
              <w:ind w:right="680"/>
              <w:jc w:val="right"/>
              <w:rPr>
                <w:rFonts w:ascii="Calibri" w:hAnsi="Calibri" w:cs="Arial"/>
                <w:color w:val="000000"/>
                <w:sz w:val="20"/>
              </w:rPr>
            </w:pPr>
            <w:r w:rsidRPr="00F57138">
              <w:rPr>
                <w:rFonts w:ascii="Calibri" w:hAnsi="Calibri" w:cs="Arial"/>
                <w:color w:val="000000"/>
                <w:sz w:val="20"/>
              </w:rPr>
              <w:t>15.000</w:t>
            </w:r>
          </w:p>
        </w:tc>
      </w:tr>
      <w:tr w:rsidR="00664973" w:rsidRPr="0041716C" w14:paraId="1C634D6E" w14:textId="77777777" w:rsidTr="003C0954">
        <w:trPr>
          <w:trHeight w:val="283"/>
        </w:trPr>
        <w:tc>
          <w:tcPr>
            <w:tcW w:w="3189" w:type="dxa"/>
            <w:tcBorders>
              <w:top w:val="nil"/>
              <w:left w:val="nil"/>
              <w:bottom w:val="nil"/>
              <w:right w:val="nil"/>
            </w:tcBorders>
            <w:vAlign w:val="center"/>
            <w:hideMark/>
          </w:tcPr>
          <w:p w14:paraId="5D2F13BA" w14:textId="77777777" w:rsidR="00664973" w:rsidRPr="00F57138" w:rsidRDefault="00664973" w:rsidP="003C0954">
            <w:pPr>
              <w:jc w:val="left"/>
              <w:rPr>
                <w:rFonts w:ascii="Calibri" w:hAnsi="Calibri" w:cs="Arial"/>
                <w:sz w:val="20"/>
              </w:rPr>
            </w:pPr>
            <w:r w:rsidRPr="00F57138">
              <w:rPr>
                <w:rFonts w:ascii="Calibri" w:hAnsi="Calibri" w:cs="Arial"/>
                <w:sz w:val="20"/>
              </w:rPr>
              <w:t>2. Forte dei Marmi (LU)</w:t>
            </w:r>
          </w:p>
        </w:tc>
        <w:tc>
          <w:tcPr>
            <w:tcW w:w="2126" w:type="dxa"/>
            <w:tcBorders>
              <w:top w:val="nil"/>
              <w:left w:val="nil"/>
              <w:bottom w:val="nil"/>
              <w:right w:val="nil"/>
            </w:tcBorders>
            <w:vAlign w:val="center"/>
          </w:tcPr>
          <w:p w14:paraId="7214A0A2" w14:textId="77777777" w:rsidR="00664973" w:rsidRPr="00F57138" w:rsidRDefault="00664973" w:rsidP="003C0954">
            <w:pPr>
              <w:ind w:right="680"/>
              <w:jc w:val="right"/>
              <w:rPr>
                <w:rFonts w:ascii="Calibri" w:hAnsi="Calibri" w:cs="Arial"/>
                <w:color w:val="000000"/>
                <w:sz w:val="20"/>
              </w:rPr>
            </w:pPr>
            <w:r w:rsidRPr="00F57138">
              <w:rPr>
                <w:rFonts w:ascii="Calibri" w:hAnsi="Calibri" w:cs="Arial"/>
                <w:color w:val="000000"/>
                <w:sz w:val="20"/>
              </w:rPr>
              <w:t>14.000</w:t>
            </w:r>
          </w:p>
        </w:tc>
      </w:tr>
      <w:tr w:rsidR="00664973" w:rsidRPr="0041716C" w14:paraId="2B7E736B" w14:textId="77777777" w:rsidTr="003C0954">
        <w:trPr>
          <w:trHeight w:val="283"/>
        </w:trPr>
        <w:tc>
          <w:tcPr>
            <w:tcW w:w="3189" w:type="dxa"/>
            <w:tcBorders>
              <w:top w:val="nil"/>
              <w:left w:val="nil"/>
              <w:bottom w:val="nil"/>
              <w:right w:val="nil"/>
            </w:tcBorders>
            <w:vAlign w:val="center"/>
            <w:hideMark/>
          </w:tcPr>
          <w:p w14:paraId="289E4210" w14:textId="77777777" w:rsidR="00664973" w:rsidRPr="00F57138" w:rsidRDefault="00664973" w:rsidP="003C0954">
            <w:pPr>
              <w:jc w:val="left"/>
              <w:rPr>
                <w:rFonts w:ascii="Calibri" w:hAnsi="Calibri" w:cs="Arial"/>
                <w:sz w:val="20"/>
              </w:rPr>
            </w:pPr>
            <w:r w:rsidRPr="00F57138">
              <w:rPr>
                <w:rFonts w:ascii="Calibri" w:hAnsi="Calibri" w:cs="Arial"/>
                <w:sz w:val="20"/>
              </w:rPr>
              <w:t>3. Capri (NA)</w:t>
            </w:r>
          </w:p>
        </w:tc>
        <w:tc>
          <w:tcPr>
            <w:tcW w:w="2126" w:type="dxa"/>
            <w:tcBorders>
              <w:top w:val="nil"/>
              <w:left w:val="nil"/>
              <w:bottom w:val="nil"/>
              <w:right w:val="nil"/>
            </w:tcBorders>
            <w:vAlign w:val="center"/>
          </w:tcPr>
          <w:p w14:paraId="5A593621" w14:textId="77777777" w:rsidR="00664973" w:rsidRPr="00F57138" w:rsidRDefault="00664973" w:rsidP="003C0954">
            <w:pPr>
              <w:ind w:right="680"/>
              <w:jc w:val="right"/>
              <w:rPr>
                <w:rFonts w:ascii="Calibri" w:hAnsi="Calibri" w:cs="Arial"/>
                <w:color w:val="000000"/>
                <w:sz w:val="20"/>
              </w:rPr>
            </w:pPr>
            <w:r w:rsidRPr="00F57138">
              <w:rPr>
                <w:rFonts w:ascii="Calibri" w:hAnsi="Calibri" w:cs="Arial"/>
                <w:color w:val="000000"/>
                <w:sz w:val="20"/>
              </w:rPr>
              <w:t>14.000</w:t>
            </w:r>
          </w:p>
        </w:tc>
      </w:tr>
      <w:tr w:rsidR="00664973" w:rsidRPr="0041716C" w14:paraId="423706B2" w14:textId="77777777" w:rsidTr="003C0954">
        <w:trPr>
          <w:trHeight w:val="283"/>
        </w:trPr>
        <w:tc>
          <w:tcPr>
            <w:tcW w:w="3189" w:type="dxa"/>
            <w:tcBorders>
              <w:top w:val="nil"/>
              <w:left w:val="nil"/>
              <w:bottom w:val="nil"/>
              <w:right w:val="nil"/>
            </w:tcBorders>
            <w:vAlign w:val="center"/>
          </w:tcPr>
          <w:p w14:paraId="2D1EAB23" w14:textId="77777777" w:rsidR="00664973" w:rsidRPr="00F57138" w:rsidRDefault="00664973" w:rsidP="003C0954">
            <w:pPr>
              <w:jc w:val="left"/>
              <w:rPr>
                <w:rFonts w:ascii="Calibri" w:hAnsi="Calibri" w:cs="Arial"/>
                <w:sz w:val="20"/>
              </w:rPr>
            </w:pPr>
            <w:r w:rsidRPr="00F57138">
              <w:rPr>
                <w:rFonts w:ascii="Calibri" w:hAnsi="Calibri" w:cs="Arial"/>
                <w:sz w:val="20"/>
              </w:rPr>
              <w:t>4. Cortina d'Ampezzo (BL)</w:t>
            </w:r>
          </w:p>
        </w:tc>
        <w:tc>
          <w:tcPr>
            <w:tcW w:w="2126" w:type="dxa"/>
            <w:tcBorders>
              <w:top w:val="nil"/>
              <w:left w:val="nil"/>
              <w:bottom w:val="nil"/>
              <w:right w:val="nil"/>
            </w:tcBorders>
            <w:vAlign w:val="center"/>
          </w:tcPr>
          <w:p w14:paraId="0C981A56" w14:textId="77777777" w:rsidR="00664973" w:rsidRPr="00F57138" w:rsidRDefault="00664973" w:rsidP="003C0954">
            <w:pPr>
              <w:ind w:right="680"/>
              <w:jc w:val="right"/>
              <w:rPr>
                <w:rFonts w:ascii="Calibri" w:hAnsi="Calibri" w:cs="Arial"/>
                <w:color w:val="000000"/>
                <w:sz w:val="20"/>
              </w:rPr>
            </w:pPr>
            <w:r w:rsidRPr="00F57138">
              <w:rPr>
                <w:rFonts w:ascii="Calibri" w:hAnsi="Calibri" w:cs="Arial"/>
                <w:color w:val="000000"/>
                <w:sz w:val="20"/>
              </w:rPr>
              <w:t>13.500</w:t>
            </w:r>
          </w:p>
        </w:tc>
      </w:tr>
      <w:tr w:rsidR="00664973" w:rsidRPr="0041716C" w14:paraId="16ABB1B9" w14:textId="77777777" w:rsidTr="003C0954">
        <w:trPr>
          <w:trHeight w:val="283"/>
        </w:trPr>
        <w:tc>
          <w:tcPr>
            <w:tcW w:w="3189" w:type="dxa"/>
            <w:tcBorders>
              <w:top w:val="nil"/>
              <w:left w:val="nil"/>
              <w:bottom w:val="nil"/>
              <w:right w:val="nil"/>
            </w:tcBorders>
            <w:vAlign w:val="center"/>
            <w:hideMark/>
          </w:tcPr>
          <w:p w14:paraId="5408B002" w14:textId="77777777" w:rsidR="00664973" w:rsidRPr="00F57138" w:rsidRDefault="00664973" w:rsidP="003C0954">
            <w:pPr>
              <w:jc w:val="left"/>
              <w:rPr>
                <w:rFonts w:ascii="Calibri" w:hAnsi="Calibri" w:cs="Arial"/>
                <w:sz w:val="20"/>
              </w:rPr>
            </w:pPr>
            <w:r w:rsidRPr="00F57138">
              <w:rPr>
                <w:rFonts w:ascii="Calibri" w:hAnsi="Calibri" w:cs="Arial"/>
                <w:sz w:val="20"/>
              </w:rPr>
              <w:t>5. Santa Margherita Ligure (GE)</w:t>
            </w:r>
          </w:p>
        </w:tc>
        <w:tc>
          <w:tcPr>
            <w:tcW w:w="2126" w:type="dxa"/>
            <w:tcBorders>
              <w:top w:val="nil"/>
              <w:left w:val="nil"/>
              <w:bottom w:val="nil"/>
              <w:right w:val="nil"/>
            </w:tcBorders>
            <w:vAlign w:val="center"/>
          </w:tcPr>
          <w:p w14:paraId="6C55124B" w14:textId="77777777" w:rsidR="00664973" w:rsidRPr="00F57138" w:rsidRDefault="00664973" w:rsidP="003C0954">
            <w:pPr>
              <w:ind w:right="680"/>
              <w:jc w:val="right"/>
              <w:rPr>
                <w:rFonts w:ascii="Calibri" w:hAnsi="Calibri" w:cs="Arial"/>
                <w:color w:val="000000"/>
                <w:sz w:val="20"/>
              </w:rPr>
            </w:pPr>
            <w:r w:rsidRPr="00F57138">
              <w:rPr>
                <w:rFonts w:ascii="Calibri" w:hAnsi="Calibri" w:cs="Arial"/>
                <w:color w:val="000000"/>
                <w:sz w:val="20"/>
              </w:rPr>
              <w:t>13.000</w:t>
            </w:r>
          </w:p>
        </w:tc>
      </w:tr>
      <w:tr w:rsidR="00664973" w:rsidRPr="0041716C" w14:paraId="74F687EF" w14:textId="77777777" w:rsidTr="003C0954">
        <w:trPr>
          <w:trHeight w:val="283"/>
        </w:trPr>
        <w:tc>
          <w:tcPr>
            <w:tcW w:w="3189" w:type="dxa"/>
            <w:tcBorders>
              <w:top w:val="nil"/>
              <w:left w:val="nil"/>
              <w:bottom w:val="nil"/>
              <w:right w:val="nil"/>
            </w:tcBorders>
            <w:vAlign w:val="center"/>
            <w:hideMark/>
          </w:tcPr>
          <w:p w14:paraId="53CDBE07" w14:textId="77777777" w:rsidR="00664973" w:rsidRPr="00F57138" w:rsidRDefault="00664973" w:rsidP="003C0954">
            <w:pPr>
              <w:jc w:val="left"/>
              <w:rPr>
                <w:rFonts w:ascii="Calibri" w:hAnsi="Calibri" w:cs="Arial"/>
                <w:sz w:val="20"/>
              </w:rPr>
            </w:pPr>
            <w:r w:rsidRPr="00F57138">
              <w:rPr>
                <w:rFonts w:ascii="Calibri" w:hAnsi="Calibri" w:cs="Arial"/>
                <w:sz w:val="20"/>
              </w:rPr>
              <w:t>6. Courmayeur (AO)</w:t>
            </w:r>
          </w:p>
        </w:tc>
        <w:tc>
          <w:tcPr>
            <w:tcW w:w="2126" w:type="dxa"/>
            <w:tcBorders>
              <w:top w:val="nil"/>
              <w:left w:val="nil"/>
              <w:bottom w:val="nil"/>
              <w:right w:val="nil"/>
            </w:tcBorders>
            <w:vAlign w:val="center"/>
          </w:tcPr>
          <w:p w14:paraId="16FFF8BF" w14:textId="77777777" w:rsidR="00664973" w:rsidRPr="00F57138" w:rsidRDefault="00664973" w:rsidP="003C0954">
            <w:pPr>
              <w:ind w:right="680"/>
              <w:jc w:val="right"/>
              <w:rPr>
                <w:rFonts w:ascii="Calibri" w:hAnsi="Calibri" w:cs="Arial"/>
                <w:color w:val="000000"/>
                <w:sz w:val="20"/>
              </w:rPr>
            </w:pPr>
            <w:r w:rsidRPr="00F57138">
              <w:rPr>
                <w:rFonts w:ascii="Calibri" w:hAnsi="Calibri" w:cs="Arial"/>
                <w:color w:val="000000"/>
                <w:sz w:val="20"/>
              </w:rPr>
              <w:t>11.000</w:t>
            </w:r>
          </w:p>
        </w:tc>
      </w:tr>
      <w:tr w:rsidR="00664973" w:rsidRPr="0041716C" w14:paraId="12504856" w14:textId="77777777" w:rsidTr="003C0954">
        <w:trPr>
          <w:trHeight w:val="283"/>
        </w:trPr>
        <w:tc>
          <w:tcPr>
            <w:tcW w:w="3189" w:type="dxa"/>
            <w:tcBorders>
              <w:top w:val="nil"/>
              <w:left w:val="nil"/>
              <w:bottom w:val="nil"/>
              <w:right w:val="nil"/>
            </w:tcBorders>
            <w:vAlign w:val="center"/>
            <w:hideMark/>
          </w:tcPr>
          <w:p w14:paraId="30C9BFC8" w14:textId="77777777" w:rsidR="00664973" w:rsidRPr="00F57138" w:rsidRDefault="00664973" w:rsidP="003C0954">
            <w:pPr>
              <w:jc w:val="left"/>
              <w:rPr>
                <w:rFonts w:ascii="Calibri" w:hAnsi="Calibri" w:cs="Arial"/>
                <w:sz w:val="20"/>
              </w:rPr>
            </w:pPr>
            <w:r w:rsidRPr="00F57138">
              <w:rPr>
                <w:rFonts w:ascii="Calibri" w:hAnsi="Calibri" w:cs="Arial"/>
                <w:sz w:val="20"/>
              </w:rPr>
              <w:t xml:space="preserve">7. </w:t>
            </w:r>
            <w:r w:rsidRPr="00D274A0">
              <w:rPr>
                <w:rFonts w:ascii="Calibri" w:hAnsi="Calibri" w:cs="Calibri"/>
                <w:color w:val="000000"/>
                <w:sz w:val="20"/>
              </w:rPr>
              <w:t>Positano</w:t>
            </w:r>
            <w:r w:rsidRPr="00F57138">
              <w:rPr>
                <w:rFonts w:ascii="Calibri" w:hAnsi="Calibri" w:cs="Calibri"/>
                <w:color w:val="000000"/>
                <w:sz w:val="20"/>
              </w:rPr>
              <w:t xml:space="preserve"> (SA)</w:t>
            </w:r>
          </w:p>
        </w:tc>
        <w:tc>
          <w:tcPr>
            <w:tcW w:w="2126" w:type="dxa"/>
            <w:tcBorders>
              <w:top w:val="nil"/>
              <w:left w:val="nil"/>
              <w:bottom w:val="nil"/>
              <w:right w:val="nil"/>
            </w:tcBorders>
            <w:vAlign w:val="center"/>
          </w:tcPr>
          <w:p w14:paraId="46CF1B1F" w14:textId="77777777" w:rsidR="00664973" w:rsidRPr="00F57138" w:rsidRDefault="00664973" w:rsidP="003C0954">
            <w:pPr>
              <w:ind w:right="680"/>
              <w:jc w:val="right"/>
              <w:rPr>
                <w:rFonts w:ascii="Calibri" w:hAnsi="Calibri" w:cs="Arial"/>
                <w:color w:val="000000"/>
                <w:sz w:val="20"/>
              </w:rPr>
            </w:pPr>
            <w:r w:rsidRPr="00F57138">
              <w:rPr>
                <w:rFonts w:ascii="Calibri" w:hAnsi="Calibri" w:cs="Arial"/>
                <w:color w:val="000000"/>
                <w:sz w:val="20"/>
              </w:rPr>
              <w:t>11.000</w:t>
            </w:r>
          </w:p>
        </w:tc>
      </w:tr>
      <w:tr w:rsidR="00664973" w:rsidRPr="0041716C" w14:paraId="083CF280" w14:textId="77777777" w:rsidTr="003C0954">
        <w:trPr>
          <w:trHeight w:val="283"/>
        </w:trPr>
        <w:tc>
          <w:tcPr>
            <w:tcW w:w="3189" w:type="dxa"/>
            <w:tcBorders>
              <w:top w:val="nil"/>
              <w:left w:val="nil"/>
              <w:bottom w:val="nil"/>
              <w:right w:val="nil"/>
            </w:tcBorders>
            <w:vAlign w:val="center"/>
            <w:hideMark/>
          </w:tcPr>
          <w:p w14:paraId="2CF3B714" w14:textId="77777777" w:rsidR="00664973" w:rsidRPr="00F57138" w:rsidRDefault="00664973" w:rsidP="003C0954">
            <w:pPr>
              <w:jc w:val="left"/>
              <w:rPr>
                <w:rFonts w:ascii="Calibri" w:hAnsi="Calibri" w:cs="Arial"/>
                <w:sz w:val="20"/>
              </w:rPr>
            </w:pPr>
            <w:r w:rsidRPr="00F57138">
              <w:rPr>
                <w:rFonts w:ascii="Calibri" w:hAnsi="Calibri" w:cs="Arial"/>
                <w:sz w:val="20"/>
              </w:rPr>
              <w:t xml:space="preserve">8. </w:t>
            </w:r>
            <w:r w:rsidRPr="00D274A0">
              <w:rPr>
                <w:rFonts w:ascii="Calibri" w:hAnsi="Calibri" w:cs="Calibri"/>
                <w:color w:val="000000"/>
                <w:sz w:val="20"/>
              </w:rPr>
              <w:t>Rapallo</w:t>
            </w:r>
            <w:r>
              <w:rPr>
                <w:rFonts w:ascii="Calibri" w:hAnsi="Calibri" w:cs="Calibri"/>
                <w:color w:val="000000"/>
                <w:sz w:val="20"/>
              </w:rPr>
              <w:t xml:space="preserve"> (GE)</w:t>
            </w:r>
          </w:p>
        </w:tc>
        <w:tc>
          <w:tcPr>
            <w:tcW w:w="2126" w:type="dxa"/>
            <w:tcBorders>
              <w:top w:val="nil"/>
              <w:left w:val="nil"/>
              <w:bottom w:val="nil"/>
              <w:right w:val="nil"/>
            </w:tcBorders>
            <w:vAlign w:val="center"/>
          </w:tcPr>
          <w:p w14:paraId="1CC337B6" w14:textId="77777777" w:rsidR="00664973" w:rsidRPr="00F57138" w:rsidRDefault="00664973" w:rsidP="003C0954">
            <w:pPr>
              <w:ind w:right="680"/>
              <w:jc w:val="right"/>
              <w:rPr>
                <w:rFonts w:ascii="Calibri" w:hAnsi="Calibri" w:cs="Arial"/>
                <w:color w:val="000000"/>
                <w:sz w:val="20"/>
              </w:rPr>
            </w:pPr>
            <w:r w:rsidRPr="00F57138">
              <w:rPr>
                <w:rFonts w:ascii="Calibri" w:hAnsi="Calibri" w:cs="Arial"/>
                <w:color w:val="000000"/>
                <w:sz w:val="20"/>
              </w:rPr>
              <w:t>1</w:t>
            </w:r>
            <w:r>
              <w:rPr>
                <w:rFonts w:ascii="Calibri" w:hAnsi="Calibri" w:cs="Arial"/>
                <w:color w:val="000000"/>
                <w:sz w:val="20"/>
              </w:rPr>
              <w:t>0</w:t>
            </w:r>
            <w:r w:rsidRPr="00F57138">
              <w:rPr>
                <w:rFonts w:ascii="Calibri" w:hAnsi="Calibri" w:cs="Arial"/>
                <w:color w:val="000000"/>
                <w:sz w:val="20"/>
              </w:rPr>
              <w:t>.500</w:t>
            </w:r>
          </w:p>
        </w:tc>
      </w:tr>
      <w:tr w:rsidR="00664973" w:rsidRPr="0041716C" w14:paraId="7B63FCE3" w14:textId="77777777" w:rsidTr="003C0954">
        <w:trPr>
          <w:trHeight w:val="283"/>
        </w:trPr>
        <w:tc>
          <w:tcPr>
            <w:tcW w:w="3189" w:type="dxa"/>
            <w:tcBorders>
              <w:top w:val="nil"/>
              <w:left w:val="nil"/>
              <w:bottom w:val="nil"/>
              <w:right w:val="nil"/>
            </w:tcBorders>
            <w:vAlign w:val="center"/>
            <w:hideMark/>
          </w:tcPr>
          <w:p w14:paraId="252FC084" w14:textId="77777777" w:rsidR="00664973" w:rsidRPr="00F57138" w:rsidRDefault="00664973" w:rsidP="003C0954">
            <w:pPr>
              <w:jc w:val="left"/>
              <w:rPr>
                <w:rFonts w:ascii="Calibri" w:hAnsi="Calibri" w:cs="Arial"/>
                <w:sz w:val="20"/>
              </w:rPr>
            </w:pPr>
            <w:r w:rsidRPr="00F57138">
              <w:rPr>
                <w:rFonts w:ascii="Calibri" w:hAnsi="Calibri" w:cs="Arial"/>
                <w:sz w:val="20"/>
              </w:rPr>
              <w:t>9. Selva di Val Gardena (BZ)</w:t>
            </w:r>
          </w:p>
        </w:tc>
        <w:tc>
          <w:tcPr>
            <w:tcW w:w="2126" w:type="dxa"/>
            <w:tcBorders>
              <w:top w:val="nil"/>
              <w:left w:val="nil"/>
              <w:bottom w:val="nil"/>
              <w:right w:val="nil"/>
            </w:tcBorders>
            <w:vAlign w:val="center"/>
          </w:tcPr>
          <w:p w14:paraId="33F93B48" w14:textId="77777777" w:rsidR="00664973" w:rsidRPr="00F57138" w:rsidRDefault="00664973" w:rsidP="003C0954">
            <w:pPr>
              <w:ind w:right="680"/>
              <w:jc w:val="right"/>
              <w:rPr>
                <w:rFonts w:ascii="Calibri" w:hAnsi="Calibri" w:cs="Arial"/>
                <w:color w:val="000000"/>
                <w:sz w:val="20"/>
              </w:rPr>
            </w:pPr>
            <w:r w:rsidRPr="00F57138">
              <w:rPr>
                <w:rFonts w:ascii="Calibri" w:hAnsi="Calibri" w:cs="Arial"/>
                <w:color w:val="000000"/>
                <w:sz w:val="20"/>
              </w:rPr>
              <w:t>1</w:t>
            </w:r>
            <w:r>
              <w:rPr>
                <w:rFonts w:ascii="Calibri" w:hAnsi="Calibri" w:cs="Arial"/>
                <w:color w:val="000000"/>
                <w:sz w:val="20"/>
              </w:rPr>
              <w:t>0</w:t>
            </w:r>
            <w:r w:rsidRPr="00F57138">
              <w:rPr>
                <w:rFonts w:ascii="Calibri" w:hAnsi="Calibri" w:cs="Arial"/>
                <w:color w:val="000000"/>
                <w:sz w:val="20"/>
              </w:rPr>
              <w:t>.</w:t>
            </w:r>
            <w:r>
              <w:rPr>
                <w:rFonts w:ascii="Calibri" w:hAnsi="Calibri" w:cs="Arial"/>
                <w:color w:val="000000"/>
                <w:sz w:val="20"/>
              </w:rPr>
              <w:t>0</w:t>
            </w:r>
            <w:r w:rsidRPr="00F57138">
              <w:rPr>
                <w:rFonts w:ascii="Calibri" w:hAnsi="Calibri" w:cs="Arial"/>
                <w:color w:val="000000"/>
                <w:sz w:val="20"/>
              </w:rPr>
              <w:t>00</w:t>
            </w:r>
          </w:p>
        </w:tc>
      </w:tr>
      <w:tr w:rsidR="00664973" w:rsidRPr="0041716C" w14:paraId="3D3846A3" w14:textId="77777777" w:rsidTr="003C0954">
        <w:trPr>
          <w:trHeight w:val="283"/>
        </w:trPr>
        <w:tc>
          <w:tcPr>
            <w:tcW w:w="3189" w:type="dxa"/>
            <w:tcBorders>
              <w:top w:val="nil"/>
              <w:left w:val="nil"/>
              <w:bottom w:val="nil"/>
              <w:right w:val="nil"/>
            </w:tcBorders>
            <w:vAlign w:val="center"/>
            <w:hideMark/>
          </w:tcPr>
          <w:p w14:paraId="45E99876" w14:textId="77777777" w:rsidR="00664973" w:rsidRPr="00F57138" w:rsidRDefault="00664973" w:rsidP="003C0954">
            <w:pPr>
              <w:jc w:val="left"/>
              <w:rPr>
                <w:rFonts w:ascii="Calibri" w:hAnsi="Calibri" w:cs="Arial"/>
                <w:sz w:val="20"/>
                <w:lang w:val="pt-PT"/>
              </w:rPr>
            </w:pPr>
            <w:r w:rsidRPr="00F57138">
              <w:rPr>
                <w:rFonts w:ascii="Calibri" w:hAnsi="Calibri" w:cs="Arial"/>
                <w:sz w:val="20"/>
                <w:lang w:val="pt-PT"/>
              </w:rPr>
              <w:t>10. Porto Cervo (SS)</w:t>
            </w:r>
          </w:p>
        </w:tc>
        <w:tc>
          <w:tcPr>
            <w:tcW w:w="2126" w:type="dxa"/>
            <w:tcBorders>
              <w:top w:val="nil"/>
              <w:left w:val="nil"/>
              <w:bottom w:val="nil"/>
              <w:right w:val="nil"/>
            </w:tcBorders>
            <w:vAlign w:val="center"/>
          </w:tcPr>
          <w:p w14:paraId="2D8AB46B" w14:textId="77777777" w:rsidR="00664973" w:rsidRPr="00F57138" w:rsidRDefault="00664973" w:rsidP="003C0954">
            <w:pPr>
              <w:ind w:right="680"/>
              <w:jc w:val="right"/>
              <w:rPr>
                <w:rFonts w:ascii="Calibri" w:hAnsi="Calibri" w:cs="Arial"/>
                <w:color w:val="000000"/>
                <w:sz w:val="20"/>
              </w:rPr>
            </w:pPr>
            <w:r w:rsidRPr="00F57138">
              <w:rPr>
                <w:rFonts w:ascii="Calibri" w:hAnsi="Calibri" w:cs="Arial"/>
                <w:color w:val="000000"/>
                <w:sz w:val="20"/>
              </w:rPr>
              <w:t>1</w:t>
            </w:r>
            <w:r>
              <w:rPr>
                <w:rFonts w:ascii="Calibri" w:hAnsi="Calibri" w:cs="Arial"/>
                <w:color w:val="000000"/>
                <w:sz w:val="20"/>
              </w:rPr>
              <w:t>0</w:t>
            </w:r>
            <w:r w:rsidRPr="00F57138">
              <w:rPr>
                <w:rFonts w:ascii="Calibri" w:hAnsi="Calibri" w:cs="Arial"/>
                <w:color w:val="000000"/>
                <w:sz w:val="20"/>
              </w:rPr>
              <w:t>.</w:t>
            </w:r>
            <w:r>
              <w:rPr>
                <w:rFonts w:ascii="Calibri" w:hAnsi="Calibri" w:cs="Arial"/>
                <w:color w:val="000000"/>
                <w:sz w:val="20"/>
              </w:rPr>
              <w:t>0</w:t>
            </w:r>
            <w:r w:rsidRPr="00F57138">
              <w:rPr>
                <w:rFonts w:ascii="Calibri" w:hAnsi="Calibri" w:cs="Arial"/>
                <w:color w:val="000000"/>
                <w:sz w:val="20"/>
              </w:rPr>
              <w:t>00</w:t>
            </w:r>
          </w:p>
        </w:tc>
      </w:tr>
      <w:tr w:rsidR="00664973" w:rsidRPr="0041716C" w14:paraId="4C3A7CF4" w14:textId="77777777" w:rsidTr="003C0954">
        <w:trPr>
          <w:trHeight w:val="283"/>
        </w:trPr>
        <w:tc>
          <w:tcPr>
            <w:tcW w:w="3189" w:type="dxa"/>
            <w:tcBorders>
              <w:top w:val="nil"/>
              <w:left w:val="nil"/>
              <w:bottom w:val="nil"/>
              <w:right w:val="nil"/>
            </w:tcBorders>
            <w:vAlign w:val="center"/>
            <w:hideMark/>
          </w:tcPr>
          <w:p w14:paraId="32FAA5EB" w14:textId="77777777" w:rsidR="00664973" w:rsidRPr="00F57138" w:rsidRDefault="00664973" w:rsidP="003C0954">
            <w:pPr>
              <w:jc w:val="left"/>
              <w:rPr>
                <w:rFonts w:ascii="Calibri" w:hAnsi="Calibri" w:cs="Arial"/>
                <w:sz w:val="20"/>
              </w:rPr>
            </w:pPr>
            <w:r w:rsidRPr="00F57138">
              <w:rPr>
                <w:rFonts w:ascii="Calibri" w:hAnsi="Calibri" w:cs="Arial"/>
                <w:sz w:val="20"/>
              </w:rPr>
              <w:t xml:space="preserve">11. </w:t>
            </w:r>
            <w:r w:rsidRPr="00F57138">
              <w:rPr>
                <w:rFonts w:ascii="Calibri" w:hAnsi="Calibri" w:cs="Arial"/>
                <w:sz w:val="20"/>
                <w:lang w:val="pt-PT"/>
              </w:rPr>
              <w:t>Ortisei (BZ)</w:t>
            </w:r>
          </w:p>
        </w:tc>
        <w:tc>
          <w:tcPr>
            <w:tcW w:w="2126" w:type="dxa"/>
            <w:tcBorders>
              <w:top w:val="nil"/>
              <w:left w:val="nil"/>
              <w:bottom w:val="nil"/>
              <w:right w:val="nil"/>
            </w:tcBorders>
            <w:vAlign w:val="center"/>
          </w:tcPr>
          <w:p w14:paraId="54BC05E1" w14:textId="77777777" w:rsidR="00664973" w:rsidRPr="00F57138" w:rsidRDefault="00664973" w:rsidP="003C0954">
            <w:pPr>
              <w:ind w:right="680"/>
              <w:jc w:val="right"/>
              <w:rPr>
                <w:rFonts w:ascii="Calibri" w:hAnsi="Calibri" w:cs="Arial"/>
                <w:color w:val="000000"/>
                <w:sz w:val="20"/>
              </w:rPr>
            </w:pPr>
            <w:r>
              <w:rPr>
                <w:rFonts w:ascii="Calibri" w:hAnsi="Calibri" w:cs="Arial"/>
                <w:color w:val="000000"/>
                <w:sz w:val="20"/>
              </w:rPr>
              <w:t>9</w:t>
            </w:r>
            <w:r w:rsidRPr="00F57138">
              <w:rPr>
                <w:rFonts w:ascii="Calibri" w:hAnsi="Calibri" w:cs="Arial"/>
                <w:color w:val="000000"/>
                <w:sz w:val="20"/>
              </w:rPr>
              <w:t>.100</w:t>
            </w:r>
          </w:p>
        </w:tc>
      </w:tr>
      <w:tr w:rsidR="00664973" w:rsidRPr="0041716C" w14:paraId="293F0FF1" w14:textId="77777777" w:rsidTr="003C0954">
        <w:trPr>
          <w:trHeight w:val="283"/>
        </w:trPr>
        <w:tc>
          <w:tcPr>
            <w:tcW w:w="3189" w:type="dxa"/>
            <w:tcBorders>
              <w:top w:val="nil"/>
              <w:left w:val="nil"/>
              <w:bottom w:val="single" w:sz="8" w:space="0" w:color="auto"/>
              <w:right w:val="nil"/>
            </w:tcBorders>
            <w:vAlign w:val="center"/>
            <w:hideMark/>
          </w:tcPr>
          <w:p w14:paraId="7AD86BE9" w14:textId="77777777" w:rsidR="00664973" w:rsidRPr="00F57138" w:rsidRDefault="00664973" w:rsidP="003C0954">
            <w:pPr>
              <w:jc w:val="left"/>
              <w:rPr>
                <w:rFonts w:ascii="Calibri" w:hAnsi="Calibri" w:cs="Arial"/>
                <w:sz w:val="20"/>
              </w:rPr>
            </w:pPr>
            <w:r w:rsidRPr="00F57138">
              <w:rPr>
                <w:rFonts w:ascii="Calibri" w:hAnsi="Calibri" w:cs="Arial"/>
                <w:sz w:val="20"/>
              </w:rPr>
              <w:t xml:space="preserve">12. </w:t>
            </w:r>
            <w:proofErr w:type="spellStart"/>
            <w:r w:rsidRPr="00D274A0">
              <w:rPr>
                <w:rFonts w:ascii="Calibri" w:hAnsi="Calibri" w:cs="Calibri"/>
                <w:color w:val="000000"/>
                <w:sz w:val="20"/>
              </w:rPr>
              <w:t>Panarea</w:t>
            </w:r>
            <w:proofErr w:type="spellEnd"/>
            <w:r w:rsidRPr="00F57138">
              <w:rPr>
                <w:rFonts w:ascii="Calibri" w:hAnsi="Calibri" w:cs="Arial"/>
                <w:sz w:val="20"/>
              </w:rPr>
              <w:t xml:space="preserve"> (ME)</w:t>
            </w:r>
          </w:p>
        </w:tc>
        <w:tc>
          <w:tcPr>
            <w:tcW w:w="2126" w:type="dxa"/>
            <w:tcBorders>
              <w:top w:val="nil"/>
              <w:left w:val="nil"/>
              <w:bottom w:val="single" w:sz="8" w:space="0" w:color="auto"/>
              <w:right w:val="nil"/>
            </w:tcBorders>
            <w:vAlign w:val="center"/>
          </w:tcPr>
          <w:p w14:paraId="5BB0D097" w14:textId="77777777" w:rsidR="00664973" w:rsidRPr="00F57138" w:rsidRDefault="00664973" w:rsidP="003C0954">
            <w:pPr>
              <w:ind w:right="680"/>
              <w:jc w:val="right"/>
              <w:rPr>
                <w:rFonts w:ascii="Calibri" w:hAnsi="Calibri" w:cs="Arial"/>
                <w:color w:val="000000"/>
                <w:sz w:val="20"/>
              </w:rPr>
            </w:pPr>
            <w:r>
              <w:rPr>
                <w:rFonts w:ascii="Calibri" w:hAnsi="Calibri" w:cs="Arial"/>
                <w:color w:val="000000"/>
                <w:sz w:val="20"/>
              </w:rPr>
              <w:t>9</w:t>
            </w:r>
            <w:r w:rsidRPr="00F57138">
              <w:rPr>
                <w:rFonts w:ascii="Calibri" w:hAnsi="Calibri" w:cs="Arial"/>
                <w:color w:val="000000"/>
                <w:sz w:val="20"/>
              </w:rPr>
              <w:t>.</w:t>
            </w:r>
            <w:r>
              <w:rPr>
                <w:rFonts w:ascii="Calibri" w:hAnsi="Calibri" w:cs="Arial"/>
                <w:color w:val="000000"/>
                <w:sz w:val="20"/>
              </w:rPr>
              <w:t>0</w:t>
            </w:r>
            <w:r w:rsidRPr="00F57138">
              <w:rPr>
                <w:rFonts w:ascii="Calibri" w:hAnsi="Calibri" w:cs="Arial"/>
                <w:color w:val="000000"/>
                <w:sz w:val="20"/>
              </w:rPr>
              <w:t>00</w:t>
            </w:r>
          </w:p>
        </w:tc>
      </w:tr>
    </w:tbl>
    <w:p w14:paraId="73535748" w14:textId="77777777" w:rsidR="00664973" w:rsidRPr="0041716C" w:rsidRDefault="00664973" w:rsidP="00664973">
      <w:pPr>
        <w:ind w:firstLine="708"/>
        <w:jc w:val="left"/>
        <w:rPr>
          <w:rFonts w:asciiTheme="minorHAnsi" w:eastAsia="Calibri" w:hAnsiTheme="minorHAnsi" w:cstheme="minorHAnsi"/>
          <w:sz w:val="2"/>
          <w:szCs w:val="2"/>
        </w:rPr>
      </w:pPr>
    </w:p>
    <w:p w14:paraId="5F4850FA" w14:textId="77777777" w:rsidR="00664973" w:rsidRDefault="00664973" w:rsidP="00664973">
      <w:pPr>
        <w:spacing w:before="60"/>
        <w:jc w:val="left"/>
        <w:rPr>
          <w:rFonts w:asciiTheme="minorHAnsi" w:eastAsia="Calibri" w:hAnsiTheme="minorHAnsi" w:cstheme="minorHAnsi"/>
          <w:sz w:val="18"/>
        </w:rPr>
      </w:pPr>
      <w:r w:rsidRPr="0041716C">
        <w:rPr>
          <w:rFonts w:asciiTheme="minorHAnsi" w:eastAsia="Calibri" w:hAnsiTheme="minorHAnsi" w:cstheme="minorHAnsi"/>
          <w:sz w:val="18"/>
        </w:rPr>
        <w:t>Fonte: Nomis</w:t>
      </w:r>
      <w:r w:rsidRPr="003D3270">
        <w:rPr>
          <w:rFonts w:asciiTheme="minorHAnsi" w:eastAsia="Calibri" w:hAnsiTheme="minorHAnsi" w:cstheme="minorHAnsi"/>
          <w:sz w:val="18"/>
        </w:rPr>
        <w:t>ma e Fimaa-Confcommercio</w:t>
      </w:r>
    </w:p>
    <w:p w14:paraId="21280F8A" w14:textId="77777777" w:rsidR="00664973" w:rsidRPr="006B27BA" w:rsidRDefault="00664973" w:rsidP="00695100">
      <w:pPr>
        <w:pStyle w:val="Paragrafoelenco"/>
        <w:ind w:left="0"/>
        <w:rPr>
          <w:rFonts w:asciiTheme="minorHAnsi" w:eastAsia="Calibri" w:hAnsiTheme="minorHAnsi" w:cstheme="minorHAnsi"/>
          <w:sz w:val="22"/>
          <w:szCs w:val="22"/>
        </w:rPr>
      </w:pPr>
    </w:p>
    <w:p w14:paraId="47DBC834" w14:textId="5C0F2D30" w:rsidR="007816E7" w:rsidRPr="00BA2F74" w:rsidRDefault="00885B52" w:rsidP="00DC7E35">
      <w:pPr>
        <w:spacing w:after="120"/>
        <w:rPr>
          <w:rFonts w:asciiTheme="minorHAnsi" w:eastAsia="Calibri" w:hAnsiTheme="minorHAnsi" w:cstheme="minorHAnsi"/>
          <w:sz w:val="22"/>
          <w:szCs w:val="22"/>
        </w:rPr>
      </w:pPr>
      <w:r>
        <w:rPr>
          <w:rFonts w:asciiTheme="minorHAnsi" w:eastAsia="Calibri" w:hAnsiTheme="minorHAnsi" w:cstheme="minorHAnsi"/>
          <w:sz w:val="22"/>
          <w:szCs w:val="22"/>
        </w:rPr>
        <w:t>Anche su</w:t>
      </w:r>
      <w:r w:rsidR="007816E7" w:rsidRPr="00BA2F74">
        <w:rPr>
          <w:rFonts w:asciiTheme="minorHAnsi" w:eastAsia="Calibri" w:hAnsiTheme="minorHAnsi" w:cstheme="minorHAnsi"/>
          <w:sz w:val="22"/>
          <w:szCs w:val="22"/>
        </w:rPr>
        <w:t xml:space="preserve">l comparto locativo </w:t>
      </w:r>
      <w:r w:rsidR="0043730C">
        <w:rPr>
          <w:rFonts w:asciiTheme="minorHAnsi" w:eastAsia="Calibri" w:hAnsiTheme="minorHAnsi" w:cstheme="minorHAnsi"/>
          <w:sz w:val="22"/>
          <w:szCs w:val="22"/>
        </w:rPr>
        <w:t>si confermano i</w:t>
      </w:r>
      <w:r w:rsidR="007816E7" w:rsidRPr="00BA2F74">
        <w:rPr>
          <w:rFonts w:asciiTheme="minorHAnsi" w:eastAsia="Calibri" w:hAnsiTheme="minorHAnsi" w:cstheme="minorHAnsi"/>
          <w:sz w:val="22"/>
          <w:szCs w:val="22"/>
        </w:rPr>
        <w:t xml:space="preserve"> segnali di</w:t>
      </w:r>
      <w:r w:rsidR="0043730C">
        <w:rPr>
          <w:rFonts w:asciiTheme="minorHAnsi" w:eastAsia="Calibri" w:hAnsiTheme="minorHAnsi" w:cstheme="minorHAnsi"/>
          <w:sz w:val="22"/>
          <w:szCs w:val="22"/>
        </w:rPr>
        <w:t xml:space="preserve"> </w:t>
      </w:r>
      <w:r w:rsidR="007816E7" w:rsidRPr="00BA2F74">
        <w:rPr>
          <w:rFonts w:asciiTheme="minorHAnsi" w:eastAsia="Calibri" w:hAnsiTheme="minorHAnsi" w:cstheme="minorHAnsi"/>
          <w:sz w:val="22"/>
          <w:szCs w:val="22"/>
        </w:rPr>
        <w:t xml:space="preserve">maggiore </w:t>
      </w:r>
      <w:r w:rsidR="00BA2F74" w:rsidRPr="00BA2F74">
        <w:rPr>
          <w:rFonts w:asciiTheme="minorHAnsi" w:eastAsia="Calibri" w:hAnsiTheme="minorHAnsi" w:cstheme="minorHAnsi"/>
          <w:sz w:val="22"/>
          <w:szCs w:val="22"/>
        </w:rPr>
        <w:t>dinamismo</w:t>
      </w:r>
      <w:r w:rsidR="007816E7" w:rsidRPr="00BA2F74">
        <w:rPr>
          <w:rFonts w:asciiTheme="minorHAnsi" w:eastAsia="Calibri" w:hAnsiTheme="minorHAnsi" w:cstheme="minorHAnsi"/>
          <w:sz w:val="22"/>
          <w:szCs w:val="22"/>
        </w:rPr>
        <w:t xml:space="preserve"> in termini di valori</w:t>
      </w:r>
      <w:r w:rsidR="0043730C">
        <w:rPr>
          <w:rFonts w:asciiTheme="minorHAnsi" w:eastAsia="Calibri" w:hAnsiTheme="minorHAnsi" w:cstheme="minorHAnsi"/>
          <w:sz w:val="22"/>
          <w:szCs w:val="22"/>
        </w:rPr>
        <w:t xml:space="preserve">, </w:t>
      </w:r>
      <w:r w:rsidR="00803DE5">
        <w:rPr>
          <w:rFonts w:asciiTheme="minorHAnsi" w:eastAsia="Calibri" w:hAnsiTheme="minorHAnsi" w:cstheme="minorHAnsi"/>
          <w:sz w:val="22"/>
          <w:szCs w:val="22"/>
        </w:rPr>
        <w:t>analogamente alle tendenze rilevate nella</w:t>
      </w:r>
      <w:r w:rsidR="0043730C">
        <w:rPr>
          <w:rFonts w:asciiTheme="minorHAnsi" w:eastAsia="Calibri" w:hAnsiTheme="minorHAnsi" w:cstheme="minorHAnsi"/>
          <w:sz w:val="22"/>
          <w:szCs w:val="22"/>
        </w:rPr>
        <w:t xml:space="preserve"> precedente edizione</w:t>
      </w:r>
      <w:r w:rsidR="00803DE5">
        <w:rPr>
          <w:rFonts w:asciiTheme="minorHAnsi" w:eastAsia="Calibri" w:hAnsiTheme="minorHAnsi" w:cstheme="minorHAnsi"/>
          <w:sz w:val="22"/>
          <w:szCs w:val="22"/>
        </w:rPr>
        <w:t xml:space="preserve"> dell’Osservatorio</w:t>
      </w:r>
      <w:r w:rsidR="007816E7" w:rsidRPr="00BA2F74">
        <w:rPr>
          <w:rFonts w:asciiTheme="minorHAnsi" w:eastAsia="Calibri" w:hAnsiTheme="minorHAnsi" w:cstheme="minorHAnsi"/>
          <w:sz w:val="22"/>
          <w:szCs w:val="22"/>
        </w:rPr>
        <w:t>. Il dato medio, sintesi dei canoni richiesti in giugno, luglio e agosto nelle singole località turistiche monitorate, evidenzia un</w:t>
      </w:r>
      <w:r w:rsidR="00875FD4">
        <w:rPr>
          <w:rFonts w:asciiTheme="minorHAnsi" w:eastAsia="Calibri" w:hAnsiTheme="minorHAnsi" w:cstheme="minorHAnsi"/>
          <w:sz w:val="22"/>
          <w:szCs w:val="22"/>
        </w:rPr>
        <w:t xml:space="preserve"> aumento del </w:t>
      </w:r>
      <w:r w:rsidR="00BA2F74" w:rsidRPr="007750D1">
        <w:rPr>
          <w:rFonts w:asciiTheme="minorHAnsi" w:eastAsia="Calibri" w:hAnsiTheme="minorHAnsi" w:cstheme="minorHAnsi"/>
          <w:sz w:val="22"/>
          <w:szCs w:val="22"/>
        </w:rPr>
        <w:t>4</w:t>
      </w:r>
      <w:r w:rsidR="007816E7" w:rsidRPr="007750D1">
        <w:rPr>
          <w:rFonts w:asciiTheme="minorHAnsi" w:eastAsia="Calibri" w:hAnsiTheme="minorHAnsi" w:cstheme="minorHAnsi"/>
          <w:sz w:val="22"/>
          <w:szCs w:val="22"/>
        </w:rPr>
        <w:t>,</w:t>
      </w:r>
      <w:r w:rsidR="00BA2F74" w:rsidRPr="007750D1">
        <w:rPr>
          <w:rFonts w:asciiTheme="minorHAnsi" w:eastAsia="Calibri" w:hAnsiTheme="minorHAnsi" w:cstheme="minorHAnsi"/>
          <w:sz w:val="22"/>
          <w:szCs w:val="22"/>
        </w:rPr>
        <w:t>8</w:t>
      </w:r>
      <w:r w:rsidR="007816E7" w:rsidRPr="007750D1">
        <w:rPr>
          <w:rFonts w:asciiTheme="minorHAnsi" w:eastAsia="Calibri" w:hAnsiTheme="minorHAnsi" w:cstheme="minorHAnsi"/>
          <w:sz w:val="22"/>
          <w:szCs w:val="22"/>
        </w:rPr>
        <w:t>%</w:t>
      </w:r>
      <w:r w:rsidR="007816E7" w:rsidRPr="00BA2F74">
        <w:rPr>
          <w:rFonts w:asciiTheme="minorHAnsi" w:eastAsia="Calibri" w:hAnsiTheme="minorHAnsi" w:cstheme="minorHAnsi"/>
          <w:sz w:val="22"/>
          <w:szCs w:val="22"/>
        </w:rPr>
        <w:t xml:space="preserve"> </w:t>
      </w:r>
      <w:r w:rsidR="00875FD4">
        <w:rPr>
          <w:rFonts w:asciiTheme="minorHAnsi" w:eastAsia="Calibri" w:hAnsiTheme="minorHAnsi" w:cstheme="minorHAnsi"/>
          <w:sz w:val="22"/>
          <w:szCs w:val="22"/>
        </w:rPr>
        <w:t>rispetto allo scorso anno</w:t>
      </w:r>
      <w:r w:rsidR="007816E7" w:rsidRPr="00BA2F74">
        <w:rPr>
          <w:rFonts w:asciiTheme="minorHAnsi" w:eastAsia="Calibri" w:hAnsiTheme="minorHAnsi" w:cstheme="minorHAnsi"/>
          <w:sz w:val="22"/>
          <w:szCs w:val="22"/>
        </w:rPr>
        <w:t>.</w:t>
      </w:r>
    </w:p>
    <w:p w14:paraId="559C4E4D" w14:textId="2C36744C" w:rsidR="007816E7" w:rsidRPr="00BA2F74" w:rsidRDefault="007816E7" w:rsidP="00DC7E35">
      <w:pPr>
        <w:spacing w:after="120"/>
        <w:rPr>
          <w:rFonts w:asciiTheme="minorHAnsi" w:eastAsia="Calibri" w:hAnsiTheme="minorHAnsi" w:cstheme="minorHAnsi"/>
          <w:sz w:val="22"/>
          <w:szCs w:val="22"/>
        </w:rPr>
      </w:pPr>
      <w:r w:rsidRPr="00BA2F74">
        <w:rPr>
          <w:rFonts w:asciiTheme="minorHAnsi" w:eastAsia="Calibri" w:hAnsiTheme="minorHAnsi" w:cstheme="minorHAnsi"/>
          <w:sz w:val="22"/>
          <w:szCs w:val="22"/>
        </w:rPr>
        <w:t xml:space="preserve">Il mercato della locazione delle località turistiche è caratterizzato da un canone medio settimanale ordinario (valore di massima frequenza per un appartamento con camera matrimoniale, cameretta, cucina e bagno, 4 posti letto spese incluse) di </w:t>
      </w:r>
      <w:r w:rsidR="00BA2F74" w:rsidRPr="00BA2F74">
        <w:rPr>
          <w:rFonts w:asciiTheme="minorHAnsi" w:eastAsia="Calibri" w:hAnsiTheme="minorHAnsi" w:cstheme="minorHAnsi"/>
          <w:sz w:val="22"/>
          <w:szCs w:val="22"/>
        </w:rPr>
        <w:t>525</w:t>
      </w:r>
      <w:r w:rsidRPr="00BA2F74">
        <w:rPr>
          <w:rFonts w:asciiTheme="minorHAnsi" w:eastAsia="Calibri" w:hAnsiTheme="minorHAnsi" w:cstheme="minorHAnsi"/>
          <w:sz w:val="22"/>
          <w:szCs w:val="22"/>
        </w:rPr>
        <w:t xml:space="preserve"> € per il mese di giugno, </w:t>
      </w:r>
      <w:r w:rsidR="00BA2F74" w:rsidRPr="00BA2F74">
        <w:rPr>
          <w:rFonts w:asciiTheme="minorHAnsi" w:eastAsia="Calibri" w:hAnsiTheme="minorHAnsi" w:cstheme="minorHAnsi"/>
          <w:sz w:val="22"/>
          <w:szCs w:val="22"/>
        </w:rPr>
        <w:t>7</w:t>
      </w:r>
      <w:r w:rsidR="000A3456">
        <w:rPr>
          <w:rFonts w:asciiTheme="minorHAnsi" w:eastAsia="Calibri" w:hAnsiTheme="minorHAnsi" w:cstheme="minorHAnsi"/>
          <w:sz w:val="22"/>
          <w:szCs w:val="22"/>
        </w:rPr>
        <w:t>5</w:t>
      </w:r>
      <w:r w:rsidR="00BA2F74" w:rsidRPr="00BA2F74">
        <w:rPr>
          <w:rFonts w:asciiTheme="minorHAnsi" w:eastAsia="Calibri" w:hAnsiTheme="minorHAnsi" w:cstheme="minorHAnsi"/>
          <w:sz w:val="22"/>
          <w:szCs w:val="22"/>
        </w:rPr>
        <w:t>0</w:t>
      </w:r>
      <w:r w:rsidRPr="00BA2F74">
        <w:rPr>
          <w:rFonts w:asciiTheme="minorHAnsi" w:eastAsia="Calibri" w:hAnsiTheme="minorHAnsi" w:cstheme="minorHAnsi"/>
          <w:sz w:val="22"/>
          <w:szCs w:val="22"/>
        </w:rPr>
        <w:t xml:space="preserve"> € per luglio e </w:t>
      </w:r>
      <w:r w:rsidR="00BA2F74" w:rsidRPr="00BA2F74">
        <w:rPr>
          <w:rFonts w:asciiTheme="minorHAnsi" w:eastAsia="Calibri" w:hAnsiTheme="minorHAnsi" w:cstheme="minorHAnsi"/>
          <w:sz w:val="22"/>
          <w:szCs w:val="22"/>
        </w:rPr>
        <w:t>97</w:t>
      </w:r>
      <w:r w:rsidR="000A3456">
        <w:rPr>
          <w:rFonts w:asciiTheme="minorHAnsi" w:eastAsia="Calibri" w:hAnsiTheme="minorHAnsi" w:cstheme="minorHAnsi"/>
          <w:sz w:val="22"/>
          <w:szCs w:val="22"/>
        </w:rPr>
        <w:t>0</w:t>
      </w:r>
      <w:r w:rsidRPr="00BA2F74">
        <w:rPr>
          <w:rFonts w:asciiTheme="minorHAnsi" w:eastAsia="Calibri" w:hAnsiTheme="minorHAnsi" w:cstheme="minorHAnsi"/>
          <w:sz w:val="22"/>
          <w:szCs w:val="22"/>
        </w:rPr>
        <w:t xml:space="preserve"> € per agosto.</w:t>
      </w:r>
    </w:p>
    <w:p w14:paraId="647E8A66" w14:textId="3512EDC8" w:rsidR="00B057C6" w:rsidRPr="00BA2F74" w:rsidRDefault="007816E7" w:rsidP="00DC7E35">
      <w:pPr>
        <w:spacing w:after="120"/>
        <w:rPr>
          <w:rFonts w:asciiTheme="minorHAnsi" w:eastAsia="Calibri" w:hAnsiTheme="minorHAnsi" w:cstheme="minorHAnsi"/>
          <w:sz w:val="22"/>
          <w:szCs w:val="22"/>
        </w:rPr>
      </w:pPr>
      <w:r w:rsidRPr="00BA2F74">
        <w:rPr>
          <w:rFonts w:asciiTheme="minorHAnsi" w:eastAsia="Calibri" w:hAnsiTheme="minorHAnsi" w:cstheme="minorHAnsi"/>
          <w:sz w:val="22"/>
          <w:szCs w:val="22"/>
        </w:rPr>
        <w:t>In questo segmento d</w:t>
      </w:r>
      <w:r w:rsidR="00885B52">
        <w:rPr>
          <w:rFonts w:asciiTheme="minorHAnsi" w:eastAsia="Calibri" w:hAnsiTheme="minorHAnsi" w:cstheme="minorHAnsi"/>
          <w:sz w:val="22"/>
          <w:szCs w:val="22"/>
        </w:rPr>
        <w:t>i</w:t>
      </w:r>
      <w:r w:rsidRPr="00BA2F74">
        <w:rPr>
          <w:rFonts w:asciiTheme="minorHAnsi" w:eastAsia="Calibri" w:hAnsiTheme="minorHAnsi" w:cstheme="minorHAnsi"/>
          <w:sz w:val="22"/>
          <w:szCs w:val="22"/>
        </w:rPr>
        <w:t xml:space="preserve"> mercato si riscontrano differenze</w:t>
      </w:r>
      <w:r w:rsidR="00803DE5">
        <w:rPr>
          <w:rFonts w:asciiTheme="minorHAnsi" w:eastAsia="Calibri" w:hAnsiTheme="minorHAnsi" w:cstheme="minorHAnsi"/>
          <w:sz w:val="22"/>
          <w:szCs w:val="22"/>
        </w:rPr>
        <w:t xml:space="preserve"> piuttosto accentuate</w:t>
      </w:r>
      <w:r w:rsidRPr="00BA2F74">
        <w:rPr>
          <w:rFonts w:asciiTheme="minorHAnsi" w:eastAsia="Calibri" w:hAnsiTheme="minorHAnsi" w:cstheme="minorHAnsi"/>
          <w:sz w:val="22"/>
          <w:szCs w:val="22"/>
        </w:rPr>
        <w:t xml:space="preserve"> tra le località lacuali e quelle marine/montane</w:t>
      </w:r>
      <w:r w:rsidR="00803DE5">
        <w:rPr>
          <w:rFonts w:asciiTheme="minorHAnsi" w:eastAsia="Calibri" w:hAnsiTheme="minorHAnsi" w:cstheme="minorHAnsi"/>
          <w:sz w:val="22"/>
          <w:szCs w:val="22"/>
        </w:rPr>
        <w:t>.</w:t>
      </w:r>
    </w:p>
    <w:p w14:paraId="65906782" w14:textId="77777777" w:rsidR="007816E7" w:rsidRPr="00BA2F74" w:rsidRDefault="007816E7" w:rsidP="007816E7">
      <w:pPr>
        <w:rPr>
          <w:rFonts w:asciiTheme="minorHAnsi" w:eastAsia="Calibr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9"/>
        <w:gridCol w:w="2407"/>
        <w:gridCol w:w="2409"/>
      </w:tblGrid>
      <w:tr w:rsidR="0041716C" w:rsidRPr="00F25710" w14:paraId="004939D4" w14:textId="77777777" w:rsidTr="002D78BD">
        <w:trPr>
          <w:trHeight w:val="340"/>
          <w:jc w:val="center"/>
        </w:trPr>
        <w:tc>
          <w:tcPr>
            <w:tcW w:w="2444" w:type="dxa"/>
            <w:vAlign w:val="center"/>
          </w:tcPr>
          <w:p w14:paraId="6FDFDB1D" w14:textId="78509A86" w:rsidR="00CC3C69" w:rsidRPr="00CE2041" w:rsidRDefault="00B23B9D" w:rsidP="000D7640">
            <w:pPr>
              <w:jc w:val="left"/>
              <w:rPr>
                <w:rFonts w:asciiTheme="minorHAnsi" w:eastAsia="Calibri" w:hAnsiTheme="minorHAnsi" w:cstheme="minorHAnsi"/>
                <w:bCs w:val="0"/>
                <w:sz w:val="20"/>
              </w:rPr>
            </w:pPr>
            <w:r w:rsidRPr="00CE2041">
              <w:rPr>
                <w:rFonts w:asciiTheme="minorHAnsi" w:eastAsia="Calibri" w:hAnsiTheme="minorHAnsi" w:cstheme="minorHAnsi"/>
                <w:bCs w:val="0"/>
                <w:caps w:val="0"/>
                <w:sz w:val="20"/>
              </w:rPr>
              <w:t xml:space="preserve">Tavola </w:t>
            </w:r>
            <w:r w:rsidR="00CE2041" w:rsidRPr="00CE2041">
              <w:rPr>
                <w:rFonts w:asciiTheme="minorHAnsi" w:eastAsia="Calibri" w:hAnsiTheme="minorHAnsi" w:cstheme="minorHAnsi"/>
                <w:bCs w:val="0"/>
                <w:caps w:val="0"/>
                <w:sz w:val="20"/>
              </w:rPr>
              <w:t>6</w:t>
            </w:r>
          </w:p>
        </w:tc>
        <w:tc>
          <w:tcPr>
            <w:tcW w:w="7334" w:type="dxa"/>
            <w:gridSpan w:val="3"/>
            <w:shd w:val="clear" w:color="auto" w:fill="D9D9D9" w:themeFill="background1" w:themeFillShade="D9"/>
            <w:vAlign w:val="center"/>
          </w:tcPr>
          <w:p w14:paraId="79E5CF28" w14:textId="71FEB3F8" w:rsidR="00B34199" w:rsidRPr="00F25710" w:rsidRDefault="00CC3C69" w:rsidP="00853E99">
            <w:pPr>
              <w:jc w:val="center"/>
              <w:rPr>
                <w:rFonts w:asciiTheme="minorHAnsi" w:eastAsia="Calibri" w:hAnsiTheme="minorHAnsi" w:cstheme="minorHAnsi"/>
                <w:caps w:val="0"/>
                <w:sz w:val="20"/>
              </w:rPr>
            </w:pPr>
            <w:r w:rsidRPr="00F25710">
              <w:rPr>
                <w:rFonts w:asciiTheme="minorHAnsi" w:eastAsia="Calibri" w:hAnsiTheme="minorHAnsi" w:cstheme="minorHAnsi"/>
                <w:caps w:val="0"/>
                <w:sz w:val="20"/>
              </w:rPr>
              <w:t>Canone medio</w:t>
            </w:r>
            <w:r w:rsidR="00856627" w:rsidRPr="00F25710">
              <w:rPr>
                <w:rFonts w:asciiTheme="minorHAnsi" w:eastAsia="Calibri" w:hAnsiTheme="minorHAnsi" w:cstheme="minorHAnsi"/>
                <w:caps w:val="0"/>
                <w:sz w:val="20"/>
              </w:rPr>
              <w:t xml:space="preserve"> </w:t>
            </w:r>
            <w:r w:rsidR="003D3270" w:rsidRPr="00F25710">
              <w:rPr>
                <w:rFonts w:asciiTheme="minorHAnsi" w:eastAsia="Calibri" w:hAnsiTheme="minorHAnsi" w:cstheme="minorHAnsi"/>
                <w:caps w:val="0"/>
                <w:sz w:val="20"/>
              </w:rPr>
              <w:t>settimanale</w:t>
            </w:r>
            <w:r w:rsidR="00F02CF0" w:rsidRPr="00F25710">
              <w:rPr>
                <w:rFonts w:asciiTheme="minorHAnsi" w:eastAsia="Calibri" w:hAnsiTheme="minorHAnsi" w:cstheme="minorHAnsi"/>
                <w:caps w:val="0"/>
                <w:sz w:val="20"/>
              </w:rPr>
              <w:t xml:space="preserve"> 20</w:t>
            </w:r>
            <w:r w:rsidR="00020534">
              <w:rPr>
                <w:rFonts w:asciiTheme="minorHAnsi" w:eastAsia="Calibri" w:hAnsiTheme="minorHAnsi" w:cstheme="minorHAnsi"/>
                <w:caps w:val="0"/>
                <w:sz w:val="20"/>
              </w:rPr>
              <w:t>22</w:t>
            </w:r>
          </w:p>
        </w:tc>
      </w:tr>
      <w:tr w:rsidR="0041716C" w:rsidRPr="00F25710" w14:paraId="1670A9D2" w14:textId="77777777" w:rsidTr="002D78BD">
        <w:trPr>
          <w:trHeight w:val="340"/>
          <w:jc w:val="center"/>
        </w:trPr>
        <w:tc>
          <w:tcPr>
            <w:tcW w:w="2444" w:type="dxa"/>
            <w:vAlign w:val="center"/>
          </w:tcPr>
          <w:p w14:paraId="143C3D14" w14:textId="77777777" w:rsidR="00CC3C69" w:rsidRPr="00F25710" w:rsidRDefault="00CC3C69" w:rsidP="002D78BD">
            <w:pPr>
              <w:jc w:val="left"/>
              <w:rPr>
                <w:rFonts w:asciiTheme="minorHAnsi" w:eastAsia="Calibri" w:hAnsiTheme="minorHAnsi" w:cstheme="minorHAnsi"/>
                <w:sz w:val="20"/>
              </w:rPr>
            </w:pPr>
          </w:p>
        </w:tc>
        <w:tc>
          <w:tcPr>
            <w:tcW w:w="2444" w:type="dxa"/>
            <w:shd w:val="clear" w:color="auto" w:fill="F2F2F2" w:themeFill="background1" w:themeFillShade="F2"/>
            <w:vAlign w:val="center"/>
          </w:tcPr>
          <w:p w14:paraId="65FFF18C" w14:textId="77777777" w:rsidR="00CC3C69" w:rsidRPr="00F25710" w:rsidRDefault="00CC3C69" w:rsidP="002D78BD">
            <w:pPr>
              <w:jc w:val="center"/>
              <w:rPr>
                <w:rFonts w:asciiTheme="minorHAnsi" w:eastAsia="Calibri" w:hAnsiTheme="minorHAnsi" w:cstheme="minorHAnsi"/>
                <w:sz w:val="20"/>
              </w:rPr>
            </w:pPr>
            <w:r w:rsidRPr="00F25710">
              <w:rPr>
                <w:rFonts w:asciiTheme="minorHAnsi" w:eastAsia="Calibri" w:hAnsiTheme="minorHAnsi" w:cstheme="minorHAnsi"/>
                <w:caps w:val="0"/>
                <w:sz w:val="20"/>
              </w:rPr>
              <w:t>Mese di giugno</w:t>
            </w:r>
          </w:p>
        </w:tc>
        <w:tc>
          <w:tcPr>
            <w:tcW w:w="2445" w:type="dxa"/>
            <w:shd w:val="clear" w:color="auto" w:fill="F2F2F2" w:themeFill="background1" w:themeFillShade="F2"/>
            <w:vAlign w:val="center"/>
          </w:tcPr>
          <w:p w14:paraId="26E2626E" w14:textId="77777777" w:rsidR="00CC3C69" w:rsidRPr="00F25710" w:rsidRDefault="00CC3C69" w:rsidP="002D78BD">
            <w:pPr>
              <w:jc w:val="center"/>
              <w:rPr>
                <w:rFonts w:asciiTheme="minorHAnsi" w:eastAsia="Calibri" w:hAnsiTheme="minorHAnsi" w:cstheme="minorHAnsi"/>
                <w:sz w:val="20"/>
              </w:rPr>
            </w:pPr>
            <w:r w:rsidRPr="00F25710">
              <w:rPr>
                <w:rFonts w:asciiTheme="minorHAnsi" w:eastAsia="Calibri" w:hAnsiTheme="minorHAnsi" w:cstheme="minorHAnsi"/>
                <w:caps w:val="0"/>
                <w:sz w:val="20"/>
              </w:rPr>
              <w:t>Mese di luglio</w:t>
            </w:r>
          </w:p>
        </w:tc>
        <w:tc>
          <w:tcPr>
            <w:tcW w:w="2445" w:type="dxa"/>
            <w:shd w:val="clear" w:color="auto" w:fill="F2F2F2" w:themeFill="background1" w:themeFillShade="F2"/>
            <w:vAlign w:val="center"/>
          </w:tcPr>
          <w:p w14:paraId="55E6E875" w14:textId="77777777" w:rsidR="00CC3C69" w:rsidRPr="00F25710" w:rsidRDefault="00CC3C69" w:rsidP="002D78BD">
            <w:pPr>
              <w:jc w:val="center"/>
              <w:rPr>
                <w:rFonts w:asciiTheme="minorHAnsi" w:eastAsia="Calibri" w:hAnsiTheme="minorHAnsi" w:cstheme="minorHAnsi"/>
                <w:sz w:val="20"/>
              </w:rPr>
            </w:pPr>
            <w:r w:rsidRPr="00F25710">
              <w:rPr>
                <w:rFonts w:asciiTheme="minorHAnsi" w:eastAsia="Calibri" w:hAnsiTheme="minorHAnsi" w:cstheme="minorHAnsi"/>
                <w:caps w:val="0"/>
                <w:sz w:val="20"/>
              </w:rPr>
              <w:t>Mese di agosto</w:t>
            </w:r>
          </w:p>
        </w:tc>
      </w:tr>
      <w:tr w:rsidR="009D3729" w:rsidRPr="00F25710" w14:paraId="625627C7" w14:textId="77777777" w:rsidTr="009D3729">
        <w:trPr>
          <w:trHeight w:val="340"/>
          <w:jc w:val="center"/>
        </w:trPr>
        <w:tc>
          <w:tcPr>
            <w:tcW w:w="2444" w:type="dxa"/>
            <w:shd w:val="clear" w:color="auto" w:fill="DEEAF6" w:themeFill="accent1" w:themeFillTint="33"/>
            <w:vAlign w:val="center"/>
          </w:tcPr>
          <w:p w14:paraId="7B2FA48B" w14:textId="77777777" w:rsidR="009D3729" w:rsidRPr="00F25710" w:rsidRDefault="009D3729" w:rsidP="009D3729">
            <w:pPr>
              <w:jc w:val="left"/>
              <w:rPr>
                <w:rFonts w:asciiTheme="minorHAnsi" w:eastAsia="Calibri" w:hAnsiTheme="minorHAnsi" w:cstheme="minorHAnsi"/>
                <w:caps w:val="0"/>
                <w:sz w:val="20"/>
              </w:rPr>
            </w:pPr>
            <w:r w:rsidRPr="00F25710">
              <w:rPr>
                <w:rFonts w:asciiTheme="minorHAnsi" w:eastAsia="Calibri" w:hAnsiTheme="minorHAnsi" w:cstheme="minorHAnsi"/>
                <w:caps w:val="0"/>
                <w:sz w:val="20"/>
              </w:rPr>
              <w:t>Località lacuali</w:t>
            </w:r>
          </w:p>
        </w:tc>
        <w:tc>
          <w:tcPr>
            <w:tcW w:w="2444" w:type="dxa"/>
            <w:shd w:val="clear" w:color="auto" w:fill="DEEAF6" w:themeFill="accent1" w:themeFillTint="33"/>
            <w:vAlign w:val="center"/>
          </w:tcPr>
          <w:p w14:paraId="6DC85EBB" w14:textId="77060B92" w:rsidR="009D3729" w:rsidRPr="009D3729" w:rsidRDefault="009D3729" w:rsidP="009D3729">
            <w:pPr>
              <w:jc w:val="center"/>
              <w:rPr>
                <w:rFonts w:ascii="Calibri" w:hAnsi="Calibri" w:cs="Arial"/>
                <w:b w:val="0"/>
                <w:bCs w:val="0"/>
                <w:sz w:val="20"/>
              </w:rPr>
            </w:pPr>
            <w:r w:rsidRPr="009D3729">
              <w:rPr>
                <w:rFonts w:ascii="Calibri" w:hAnsi="Calibri" w:cs="Calibri"/>
                <w:b w:val="0"/>
                <w:bCs w:val="0"/>
                <w:color w:val="000000"/>
                <w:sz w:val="20"/>
              </w:rPr>
              <w:t>725 €</w:t>
            </w:r>
          </w:p>
        </w:tc>
        <w:tc>
          <w:tcPr>
            <w:tcW w:w="2445" w:type="dxa"/>
            <w:shd w:val="clear" w:color="auto" w:fill="DEEAF6" w:themeFill="accent1" w:themeFillTint="33"/>
            <w:vAlign w:val="center"/>
          </w:tcPr>
          <w:p w14:paraId="3AE71E0D" w14:textId="54EB047E" w:rsidR="009D3729" w:rsidRPr="009D3729" w:rsidRDefault="009D3729" w:rsidP="009D3729">
            <w:pPr>
              <w:jc w:val="center"/>
              <w:rPr>
                <w:rFonts w:ascii="Calibri" w:hAnsi="Calibri" w:cs="Arial"/>
                <w:b w:val="0"/>
                <w:bCs w:val="0"/>
                <w:sz w:val="20"/>
              </w:rPr>
            </w:pPr>
            <w:r w:rsidRPr="009D3729">
              <w:rPr>
                <w:rFonts w:ascii="Calibri" w:hAnsi="Calibri" w:cs="Calibri"/>
                <w:b w:val="0"/>
                <w:bCs w:val="0"/>
                <w:color w:val="000000"/>
                <w:sz w:val="20"/>
              </w:rPr>
              <w:t>92</w:t>
            </w:r>
            <w:r>
              <w:rPr>
                <w:rFonts w:ascii="Calibri" w:hAnsi="Calibri" w:cs="Calibri"/>
                <w:b w:val="0"/>
                <w:bCs w:val="0"/>
                <w:color w:val="000000"/>
                <w:sz w:val="20"/>
              </w:rPr>
              <w:t>5</w:t>
            </w:r>
            <w:r w:rsidRPr="009D3729">
              <w:rPr>
                <w:rFonts w:ascii="Calibri" w:hAnsi="Calibri" w:cs="Calibri"/>
                <w:b w:val="0"/>
                <w:bCs w:val="0"/>
                <w:color w:val="000000"/>
                <w:sz w:val="20"/>
              </w:rPr>
              <w:t xml:space="preserve"> €</w:t>
            </w:r>
          </w:p>
        </w:tc>
        <w:tc>
          <w:tcPr>
            <w:tcW w:w="2445" w:type="dxa"/>
            <w:shd w:val="clear" w:color="auto" w:fill="DEEAF6" w:themeFill="accent1" w:themeFillTint="33"/>
            <w:vAlign w:val="center"/>
          </w:tcPr>
          <w:p w14:paraId="4F78A4C6" w14:textId="57F2942B" w:rsidR="009D3729" w:rsidRPr="009D3729" w:rsidRDefault="009D3729" w:rsidP="009D3729">
            <w:pPr>
              <w:jc w:val="center"/>
              <w:rPr>
                <w:rFonts w:ascii="Calibri" w:hAnsi="Calibri" w:cs="Arial"/>
                <w:b w:val="0"/>
                <w:bCs w:val="0"/>
                <w:sz w:val="20"/>
              </w:rPr>
            </w:pPr>
            <w:r w:rsidRPr="009D3729">
              <w:rPr>
                <w:rFonts w:ascii="Calibri" w:hAnsi="Calibri" w:cs="Calibri"/>
                <w:b w:val="0"/>
                <w:bCs w:val="0"/>
                <w:color w:val="000000"/>
                <w:sz w:val="20"/>
              </w:rPr>
              <w:t>1.07</w:t>
            </w:r>
            <w:r>
              <w:rPr>
                <w:rFonts w:ascii="Calibri" w:hAnsi="Calibri" w:cs="Calibri"/>
                <w:b w:val="0"/>
                <w:bCs w:val="0"/>
                <w:color w:val="000000"/>
                <w:sz w:val="20"/>
              </w:rPr>
              <w:t>5</w:t>
            </w:r>
            <w:r w:rsidRPr="009D3729">
              <w:rPr>
                <w:rFonts w:ascii="Calibri" w:hAnsi="Calibri" w:cs="Calibri"/>
                <w:b w:val="0"/>
                <w:bCs w:val="0"/>
                <w:color w:val="000000"/>
                <w:sz w:val="20"/>
              </w:rPr>
              <w:t xml:space="preserve"> €</w:t>
            </w:r>
          </w:p>
        </w:tc>
      </w:tr>
      <w:tr w:rsidR="009D3729" w:rsidRPr="00F25710" w14:paraId="0D975BE4" w14:textId="77777777" w:rsidTr="009D3729">
        <w:trPr>
          <w:trHeight w:val="340"/>
          <w:jc w:val="center"/>
        </w:trPr>
        <w:tc>
          <w:tcPr>
            <w:tcW w:w="2444" w:type="dxa"/>
            <w:shd w:val="clear" w:color="auto" w:fill="DEEAF6" w:themeFill="accent1" w:themeFillTint="33"/>
            <w:vAlign w:val="center"/>
          </w:tcPr>
          <w:p w14:paraId="1E40F40F" w14:textId="77777777" w:rsidR="009D3729" w:rsidRPr="00F25710" w:rsidRDefault="009D3729" w:rsidP="009D3729">
            <w:pPr>
              <w:jc w:val="left"/>
              <w:rPr>
                <w:rFonts w:asciiTheme="minorHAnsi" w:eastAsia="Calibri" w:hAnsiTheme="minorHAnsi" w:cstheme="minorHAnsi"/>
                <w:sz w:val="20"/>
              </w:rPr>
            </w:pPr>
            <w:r w:rsidRPr="00F25710">
              <w:rPr>
                <w:rFonts w:asciiTheme="minorHAnsi" w:eastAsia="Calibri" w:hAnsiTheme="minorHAnsi" w:cstheme="minorHAnsi"/>
                <w:caps w:val="0"/>
                <w:sz w:val="20"/>
              </w:rPr>
              <w:t>Località marine</w:t>
            </w:r>
          </w:p>
        </w:tc>
        <w:tc>
          <w:tcPr>
            <w:tcW w:w="2444" w:type="dxa"/>
            <w:shd w:val="clear" w:color="auto" w:fill="DEEAF6" w:themeFill="accent1" w:themeFillTint="33"/>
            <w:vAlign w:val="center"/>
          </w:tcPr>
          <w:p w14:paraId="3CDF931B" w14:textId="68DB79C6" w:rsidR="009D3729" w:rsidRPr="009D3729" w:rsidRDefault="009D3729" w:rsidP="009D3729">
            <w:pPr>
              <w:jc w:val="center"/>
              <w:rPr>
                <w:rFonts w:ascii="Calibri" w:hAnsi="Calibri" w:cs="Arial"/>
                <w:b w:val="0"/>
                <w:bCs w:val="0"/>
                <w:sz w:val="20"/>
              </w:rPr>
            </w:pPr>
            <w:r w:rsidRPr="009D3729">
              <w:rPr>
                <w:rFonts w:ascii="Calibri" w:hAnsi="Calibri" w:cs="Calibri"/>
                <w:b w:val="0"/>
                <w:bCs w:val="0"/>
                <w:color w:val="000000"/>
                <w:sz w:val="20"/>
              </w:rPr>
              <w:t>4</w:t>
            </w:r>
            <w:r w:rsidR="000A3456">
              <w:rPr>
                <w:rFonts w:ascii="Calibri" w:hAnsi="Calibri" w:cs="Calibri"/>
                <w:b w:val="0"/>
                <w:bCs w:val="0"/>
                <w:color w:val="000000"/>
                <w:sz w:val="20"/>
              </w:rPr>
              <w:t>85</w:t>
            </w:r>
            <w:r w:rsidRPr="009D3729">
              <w:rPr>
                <w:rFonts w:ascii="Calibri" w:hAnsi="Calibri" w:cs="Calibri"/>
                <w:b w:val="0"/>
                <w:bCs w:val="0"/>
                <w:color w:val="000000"/>
                <w:sz w:val="20"/>
              </w:rPr>
              <w:t xml:space="preserve"> €</w:t>
            </w:r>
          </w:p>
        </w:tc>
        <w:tc>
          <w:tcPr>
            <w:tcW w:w="2445" w:type="dxa"/>
            <w:shd w:val="clear" w:color="auto" w:fill="DEEAF6" w:themeFill="accent1" w:themeFillTint="33"/>
            <w:vAlign w:val="center"/>
          </w:tcPr>
          <w:p w14:paraId="681B3A5D" w14:textId="00F15F6D" w:rsidR="009D3729" w:rsidRPr="009D3729" w:rsidRDefault="009D3729" w:rsidP="009D3729">
            <w:pPr>
              <w:jc w:val="center"/>
              <w:rPr>
                <w:rFonts w:ascii="Calibri" w:hAnsi="Calibri" w:cs="Arial"/>
                <w:b w:val="0"/>
                <w:bCs w:val="0"/>
                <w:sz w:val="20"/>
              </w:rPr>
            </w:pPr>
            <w:r w:rsidRPr="009D3729">
              <w:rPr>
                <w:rFonts w:ascii="Calibri" w:hAnsi="Calibri" w:cs="Calibri"/>
                <w:b w:val="0"/>
                <w:bCs w:val="0"/>
                <w:color w:val="000000"/>
                <w:sz w:val="20"/>
              </w:rPr>
              <w:t>7</w:t>
            </w:r>
            <w:r w:rsidR="000A3456">
              <w:rPr>
                <w:rFonts w:ascii="Calibri" w:hAnsi="Calibri" w:cs="Calibri"/>
                <w:b w:val="0"/>
                <w:bCs w:val="0"/>
                <w:color w:val="000000"/>
                <w:sz w:val="20"/>
              </w:rPr>
              <w:t>20</w:t>
            </w:r>
            <w:r w:rsidRPr="009D3729">
              <w:rPr>
                <w:rFonts w:ascii="Calibri" w:hAnsi="Calibri" w:cs="Calibri"/>
                <w:b w:val="0"/>
                <w:bCs w:val="0"/>
                <w:color w:val="000000"/>
                <w:sz w:val="20"/>
              </w:rPr>
              <w:t xml:space="preserve"> €</w:t>
            </w:r>
          </w:p>
        </w:tc>
        <w:tc>
          <w:tcPr>
            <w:tcW w:w="2445" w:type="dxa"/>
            <w:shd w:val="clear" w:color="auto" w:fill="DEEAF6" w:themeFill="accent1" w:themeFillTint="33"/>
            <w:vAlign w:val="center"/>
          </w:tcPr>
          <w:p w14:paraId="779AED87" w14:textId="1508CD0B" w:rsidR="009D3729" w:rsidRPr="009D3729" w:rsidRDefault="009D3729" w:rsidP="009D3729">
            <w:pPr>
              <w:jc w:val="center"/>
              <w:rPr>
                <w:rFonts w:ascii="Calibri" w:hAnsi="Calibri" w:cs="Arial"/>
                <w:b w:val="0"/>
                <w:bCs w:val="0"/>
                <w:sz w:val="20"/>
              </w:rPr>
            </w:pPr>
            <w:r w:rsidRPr="009D3729">
              <w:rPr>
                <w:rFonts w:ascii="Calibri" w:hAnsi="Calibri" w:cs="Calibri"/>
                <w:b w:val="0"/>
                <w:bCs w:val="0"/>
                <w:color w:val="000000"/>
                <w:sz w:val="20"/>
              </w:rPr>
              <w:t>9</w:t>
            </w:r>
            <w:r w:rsidR="000A3456">
              <w:rPr>
                <w:rFonts w:ascii="Calibri" w:hAnsi="Calibri" w:cs="Calibri"/>
                <w:b w:val="0"/>
                <w:bCs w:val="0"/>
                <w:color w:val="000000"/>
                <w:sz w:val="20"/>
              </w:rPr>
              <w:t>4</w:t>
            </w:r>
            <w:r>
              <w:rPr>
                <w:rFonts w:ascii="Calibri" w:hAnsi="Calibri" w:cs="Calibri"/>
                <w:b w:val="0"/>
                <w:bCs w:val="0"/>
                <w:color w:val="000000"/>
                <w:sz w:val="20"/>
              </w:rPr>
              <w:t>0</w:t>
            </w:r>
            <w:r w:rsidRPr="009D3729">
              <w:rPr>
                <w:rFonts w:ascii="Calibri" w:hAnsi="Calibri" w:cs="Calibri"/>
                <w:b w:val="0"/>
                <w:bCs w:val="0"/>
                <w:color w:val="000000"/>
                <w:sz w:val="20"/>
              </w:rPr>
              <w:t xml:space="preserve"> €</w:t>
            </w:r>
          </w:p>
        </w:tc>
      </w:tr>
      <w:tr w:rsidR="009D3729" w:rsidRPr="00F25710" w14:paraId="38F72F87" w14:textId="77777777" w:rsidTr="009D3729">
        <w:trPr>
          <w:trHeight w:val="340"/>
          <w:jc w:val="center"/>
        </w:trPr>
        <w:tc>
          <w:tcPr>
            <w:tcW w:w="2444" w:type="dxa"/>
            <w:shd w:val="clear" w:color="auto" w:fill="DEEAF6" w:themeFill="accent1" w:themeFillTint="33"/>
            <w:vAlign w:val="center"/>
          </w:tcPr>
          <w:p w14:paraId="02ACF972" w14:textId="77777777" w:rsidR="009D3729" w:rsidRPr="00F25710" w:rsidRDefault="009D3729" w:rsidP="009D3729">
            <w:pPr>
              <w:jc w:val="left"/>
              <w:rPr>
                <w:rFonts w:asciiTheme="minorHAnsi" w:eastAsia="Calibri" w:hAnsiTheme="minorHAnsi" w:cstheme="minorHAnsi"/>
                <w:sz w:val="20"/>
              </w:rPr>
            </w:pPr>
            <w:r w:rsidRPr="00F25710">
              <w:rPr>
                <w:rFonts w:asciiTheme="minorHAnsi" w:eastAsia="Calibri" w:hAnsiTheme="minorHAnsi" w:cstheme="minorHAnsi"/>
                <w:caps w:val="0"/>
                <w:sz w:val="20"/>
              </w:rPr>
              <w:t>Località montane</w:t>
            </w:r>
          </w:p>
        </w:tc>
        <w:tc>
          <w:tcPr>
            <w:tcW w:w="2444" w:type="dxa"/>
            <w:shd w:val="clear" w:color="auto" w:fill="DEEAF6" w:themeFill="accent1" w:themeFillTint="33"/>
            <w:vAlign w:val="center"/>
          </w:tcPr>
          <w:p w14:paraId="40EA460F" w14:textId="4642785D" w:rsidR="009D3729" w:rsidRPr="009D3729" w:rsidRDefault="009D3729" w:rsidP="009D3729">
            <w:pPr>
              <w:jc w:val="center"/>
              <w:rPr>
                <w:rFonts w:ascii="Calibri" w:hAnsi="Calibri" w:cs="Arial"/>
                <w:b w:val="0"/>
                <w:bCs w:val="0"/>
                <w:sz w:val="20"/>
              </w:rPr>
            </w:pPr>
            <w:r w:rsidRPr="009D3729">
              <w:rPr>
                <w:rFonts w:ascii="Calibri" w:hAnsi="Calibri" w:cs="Calibri"/>
                <w:b w:val="0"/>
                <w:bCs w:val="0"/>
                <w:color w:val="000000"/>
                <w:sz w:val="20"/>
              </w:rPr>
              <w:t>55</w:t>
            </w:r>
            <w:r>
              <w:rPr>
                <w:rFonts w:ascii="Calibri" w:hAnsi="Calibri" w:cs="Calibri"/>
                <w:b w:val="0"/>
                <w:bCs w:val="0"/>
                <w:color w:val="000000"/>
                <w:sz w:val="20"/>
              </w:rPr>
              <w:t>0</w:t>
            </w:r>
            <w:r w:rsidRPr="009D3729">
              <w:rPr>
                <w:rFonts w:ascii="Calibri" w:hAnsi="Calibri" w:cs="Calibri"/>
                <w:b w:val="0"/>
                <w:bCs w:val="0"/>
                <w:color w:val="000000"/>
                <w:sz w:val="20"/>
              </w:rPr>
              <w:t xml:space="preserve"> €</w:t>
            </w:r>
          </w:p>
        </w:tc>
        <w:tc>
          <w:tcPr>
            <w:tcW w:w="2445" w:type="dxa"/>
            <w:shd w:val="clear" w:color="auto" w:fill="DEEAF6" w:themeFill="accent1" w:themeFillTint="33"/>
            <w:vAlign w:val="center"/>
          </w:tcPr>
          <w:p w14:paraId="768E7767" w14:textId="5895111F" w:rsidR="009D3729" w:rsidRPr="009D3729" w:rsidRDefault="009D3729" w:rsidP="009D3729">
            <w:pPr>
              <w:jc w:val="center"/>
              <w:rPr>
                <w:rFonts w:ascii="Calibri" w:hAnsi="Calibri" w:cs="Arial"/>
                <w:b w:val="0"/>
                <w:bCs w:val="0"/>
                <w:sz w:val="20"/>
              </w:rPr>
            </w:pPr>
            <w:r w:rsidRPr="009D3729">
              <w:rPr>
                <w:rFonts w:ascii="Calibri" w:hAnsi="Calibri" w:cs="Calibri"/>
                <w:b w:val="0"/>
                <w:bCs w:val="0"/>
                <w:color w:val="000000"/>
                <w:sz w:val="20"/>
              </w:rPr>
              <w:t>77</w:t>
            </w:r>
            <w:r>
              <w:rPr>
                <w:rFonts w:ascii="Calibri" w:hAnsi="Calibri" w:cs="Calibri"/>
                <w:b w:val="0"/>
                <w:bCs w:val="0"/>
                <w:color w:val="000000"/>
                <w:sz w:val="20"/>
              </w:rPr>
              <w:t>5</w:t>
            </w:r>
            <w:r w:rsidRPr="009D3729">
              <w:rPr>
                <w:rFonts w:ascii="Calibri" w:hAnsi="Calibri" w:cs="Calibri"/>
                <w:b w:val="0"/>
                <w:bCs w:val="0"/>
                <w:color w:val="000000"/>
                <w:sz w:val="20"/>
              </w:rPr>
              <w:t xml:space="preserve"> €</w:t>
            </w:r>
          </w:p>
        </w:tc>
        <w:tc>
          <w:tcPr>
            <w:tcW w:w="2445" w:type="dxa"/>
            <w:shd w:val="clear" w:color="auto" w:fill="DEEAF6" w:themeFill="accent1" w:themeFillTint="33"/>
            <w:vAlign w:val="center"/>
          </w:tcPr>
          <w:p w14:paraId="5287A5F9" w14:textId="5B04F69B" w:rsidR="009D3729" w:rsidRPr="009D3729" w:rsidRDefault="009D3729" w:rsidP="009D3729">
            <w:pPr>
              <w:jc w:val="center"/>
              <w:rPr>
                <w:rFonts w:ascii="Calibri" w:hAnsi="Calibri" w:cs="Arial"/>
                <w:b w:val="0"/>
                <w:bCs w:val="0"/>
                <w:sz w:val="20"/>
              </w:rPr>
            </w:pPr>
            <w:r w:rsidRPr="009D3729">
              <w:rPr>
                <w:rFonts w:ascii="Calibri" w:hAnsi="Calibri" w:cs="Calibri"/>
                <w:b w:val="0"/>
                <w:bCs w:val="0"/>
                <w:color w:val="000000"/>
                <w:sz w:val="20"/>
              </w:rPr>
              <w:t>1.00</w:t>
            </w:r>
            <w:r>
              <w:rPr>
                <w:rFonts w:ascii="Calibri" w:hAnsi="Calibri" w:cs="Calibri"/>
                <w:b w:val="0"/>
                <w:bCs w:val="0"/>
                <w:color w:val="000000"/>
                <w:sz w:val="20"/>
              </w:rPr>
              <w:t>0</w:t>
            </w:r>
            <w:r w:rsidRPr="009D3729">
              <w:rPr>
                <w:rFonts w:ascii="Calibri" w:hAnsi="Calibri" w:cs="Calibri"/>
                <w:b w:val="0"/>
                <w:bCs w:val="0"/>
                <w:color w:val="000000"/>
                <w:sz w:val="20"/>
              </w:rPr>
              <w:t xml:space="preserve"> €</w:t>
            </w:r>
          </w:p>
        </w:tc>
      </w:tr>
    </w:tbl>
    <w:p w14:paraId="7DE7215C" w14:textId="77777777" w:rsidR="008D7331" w:rsidRPr="00020534" w:rsidRDefault="008D7331" w:rsidP="008D7331">
      <w:pPr>
        <w:spacing w:before="60"/>
        <w:rPr>
          <w:rFonts w:asciiTheme="minorHAnsi" w:eastAsia="Calibri" w:hAnsiTheme="minorHAnsi" w:cstheme="minorHAnsi"/>
          <w:sz w:val="18"/>
          <w:lang w:val="pt-PT"/>
        </w:rPr>
      </w:pPr>
      <w:r w:rsidRPr="00020534">
        <w:rPr>
          <w:rFonts w:asciiTheme="minorHAnsi" w:eastAsia="Calibri" w:hAnsiTheme="minorHAnsi" w:cstheme="minorHAnsi"/>
          <w:sz w:val="18"/>
          <w:lang w:val="pt-PT"/>
        </w:rPr>
        <w:t>Fonte: Nomisma e Fimaa</w:t>
      </w:r>
      <w:r w:rsidR="00AC5889" w:rsidRPr="00020534">
        <w:rPr>
          <w:rFonts w:asciiTheme="minorHAnsi" w:eastAsia="Calibri" w:hAnsiTheme="minorHAnsi" w:cstheme="minorHAnsi"/>
          <w:sz w:val="18"/>
          <w:lang w:val="pt-PT"/>
        </w:rPr>
        <w:t>-Confcommercio</w:t>
      </w:r>
    </w:p>
    <w:p w14:paraId="26F7C607" w14:textId="77777777" w:rsidR="00743303" w:rsidRPr="00020534" w:rsidRDefault="00743303" w:rsidP="00364602">
      <w:pPr>
        <w:rPr>
          <w:rFonts w:asciiTheme="minorHAnsi" w:eastAsia="Calibri" w:hAnsiTheme="minorHAnsi" w:cstheme="minorHAnsi"/>
          <w:sz w:val="22"/>
          <w:szCs w:val="24"/>
          <w:lang w:val="pt-PT"/>
        </w:rPr>
      </w:pPr>
    </w:p>
    <w:p w14:paraId="0A74BAE9" w14:textId="4AEC962D" w:rsidR="007C4B27" w:rsidRDefault="007C4B27" w:rsidP="00DC7E35">
      <w:pPr>
        <w:spacing w:after="120"/>
        <w:rPr>
          <w:rFonts w:asciiTheme="minorHAnsi" w:eastAsia="Calibri" w:hAnsiTheme="minorHAnsi" w:cstheme="minorHAnsi"/>
          <w:sz w:val="22"/>
          <w:szCs w:val="22"/>
        </w:rPr>
      </w:pPr>
      <w:r w:rsidRPr="00331AD1">
        <w:rPr>
          <w:rFonts w:asciiTheme="minorHAnsi" w:eastAsia="Calibri" w:hAnsiTheme="minorHAnsi" w:cstheme="minorHAnsi"/>
          <w:sz w:val="22"/>
          <w:szCs w:val="22"/>
        </w:rPr>
        <w:t>Secondo gli operatori del settore, anche quest’anno</w:t>
      </w:r>
      <w:r w:rsidR="00047010">
        <w:rPr>
          <w:rFonts w:asciiTheme="minorHAnsi" w:eastAsia="Calibri" w:hAnsiTheme="minorHAnsi" w:cstheme="minorHAnsi"/>
          <w:sz w:val="22"/>
          <w:szCs w:val="22"/>
        </w:rPr>
        <w:t>,</w:t>
      </w:r>
      <w:r w:rsidRPr="00331AD1">
        <w:rPr>
          <w:rFonts w:asciiTheme="minorHAnsi" w:eastAsia="Calibri" w:hAnsiTheme="minorHAnsi" w:cstheme="minorHAnsi"/>
          <w:sz w:val="22"/>
          <w:szCs w:val="22"/>
        </w:rPr>
        <w:t xml:space="preserve"> il mercato residenziale nelle località turistiche è alimentato principalmente dagli acquisti per utilizzo diretto (6</w:t>
      </w:r>
      <w:r w:rsidR="00D45EFA" w:rsidRPr="00331AD1">
        <w:rPr>
          <w:rFonts w:asciiTheme="minorHAnsi" w:eastAsia="Calibri" w:hAnsiTheme="minorHAnsi" w:cstheme="minorHAnsi"/>
          <w:sz w:val="22"/>
          <w:szCs w:val="22"/>
        </w:rPr>
        <w:t>4</w:t>
      </w:r>
      <w:r w:rsidRPr="00331AD1">
        <w:rPr>
          <w:rFonts w:asciiTheme="minorHAnsi" w:eastAsia="Calibri" w:hAnsiTheme="minorHAnsi" w:cstheme="minorHAnsi"/>
          <w:sz w:val="22"/>
          <w:szCs w:val="22"/>
        </w:rPr>
        <w:t>%), mentre le quote restanti sono riconducibil</w:t>
      </w:r>
      <w:r w:rsidR="00D45EFA" w:rsidRPr="00331AD1">
        <w:rPr>
          <w:rFonts w:asciiTheme="minorHAnsi" w:eastAsia="Calibri" w:hAnsiTheme="minorHAnsi" w:cstheme="minorHAnsi"/>
          <w:sz w:val="22"/>
          <w:szCs w:val="22"/>
        </w:rPr>
        <w:t>i a finalità di investimento (1</w:t>
      </w:r>
      <w:r w:rsidR="00331AD1" w:rsidRPr="00331AD1">
        <w:rPr>
          <w:rFonts w:asciiTheme="minorHAnsi" w:eastAsia="Calibri" w:hAnsiTheme="minorHAnsi" w:cstheme="minorHAnsi"/>
          <w:sz w:val="22"/>
          <w:szCs w:val="22"/>
        </w:rPr>
        <w:t>8</w:t>
      </w:r>
      <w:r w:rsidRPr="00331AD1">
        <w:rPr>
          <w:rFonts w:asciiTheme="minorHAnsi" w:eastAsia="Calibri" w:hAnsiTheme="minorHAnsi" w:cstheme="minorHAnsi"/>
          <w:sz w:val="22"/>
          <w:szCs w:val="22"/>
        </w:rPr>
        <w:t>%) o a</w:t>
      </w:r>
      <w:r w:rsidR="00885B52">
        <w:rPr>
          <w:rFonts w:asciiTheme="minorHAnsi" w:eastAsia="Calibri" w:hAnsiTheme="minorHAnsi" w:cstheme="minorHAnsi"/>
          <w:sz w:val="22"/>
          <w:szCs w:val="22"/>
        </w:rPr>
        <w:t xml:space="preserve"> soluzioni che prevedono </w:t>
      </w:r>
      <w:r w:rsidRPr="00331AD1">
        <w:rPr>
          <w:rFonts w:asciiTheme="minorHAnsi" w:eastAsia="Calibri" w:hAnsiTheme="minorHAnsi" w:cstheme="minorHAnsi"/>
          <w:sz w:val="22"/>
          <w:szCs w:val="22"/>
        </w:rPr>
        <w:t>un mi</w:t>
      </w:r>
      <w:r w:rsidR="00885B52">
        <w:rPr>
          <w:rFonts w:asciiTheme="minorHAnsi" w:eastAsia="Calibri" w:hAnsiTheme="minorHAnsi" w:cstheme="minorHAnsi"/>
          <w:sz w:val="22"/>
          <w:szCs w:val="22"/>
        </w:rPr>
        <w:t>x</w:t>
      </w:r>
      <w:r w:rsidRPr="00331AD1">
        <w:rPr>
          <w:rFonts w:asciiTheme="minorHAnsi" w:eastAsia="Calibri" w:hAnsiTheme="minorHAnsi" w:cstheme="minorHAnsi"/>
          <w:sz w:val="22"/>
          <w:szCs w:val="22"/>
        </w:rPr>
        <w:t xml:space="preserve"> delle due </w:t>
      </w:r>
      <w:r w:rsidR="00435E32">
        <w:rPr>
          <w:rFonts w:asciiTheme="minorHAnsi" w:eastAsia="Calibri" w:hAnsiTheme="minorHAnsi" w:cstheme="minorHAnsi"/>
          <w:sz w:val="22"/>
          <w:szCs w:val="22"/>
        </w:rPr>
        <w:t>motivazioni</w:t>
      </w:r>
      <w:r w:rsidR="00D45EFA" w:rsidRPr="00331AD1">
        <w:rPr>
          <w:rFonts w:asciiTheme="minorHAnsi" w:eastAsia="Calibri" w:hAnsiTheme="minorHAnsi" w:cstheme="minorHAnsi"/>
          <w:sz w:val="22"/>
          <w:szCs w:val="22"/>
        </w:rPr>
        <w:t xml:space="preserve"> precedentemente citate (</w:t>
      </w:r>
      <w:r w:rsidRPr="00331AD1">
        <w:rPr>
          <w:rFonts w:asciiTheme="minorHAnsi" w:eastAsia="Calibri" w:hAnsiTheme="minorHAnsi" w:cstheme="minorHAnsi"/>
          <w:sz w:val="22"/>
          <w:szCs w:val="22"/>
        </w:rPr>
        <w:t>1</w:t>
      </w:r>
      <w:r w:rsidR="00331AD1" w:rsidRPr="00331AD1">
        <w:rPr>
          <w:rFonts w:asciiTheme="minorHAnsi" w:eastAsia="Calibri" w:hAnsiTheme="minorHAnsi" w:cstheme="minorHAnsi"/>
          <w:sz w:val="22"/>
          <w:szCs w:val="22"/>
        </w:rPr>
        <w:t>8</w:t>
      </w:r>
      <w:r w:rsidRPr="00331AD1">
        <w:rPr>
          <w:rFonts w:asciiTheme="minorHAnsi" w:eastAsia="Calibri" w:hAnsiTheme="minorHAnsi" w:cstheme="minorHAnsi"/>
          <w:sz w:val="22"/>
          <w:szCs w:val="22"/>
        </w:rPr>
        <w:t xml:space="preserve">%). </w:t>
      </w:r>
    </w:p>
    <w:p w14:paraId="3B33313F" w14:textId="5445B575" w:rsidR="007C4B27" w:rsidRDefault="00803DE5" w:rsidP="00DC7E35">
      <w:pPr>
        <w:spacing w:after="120"/>
        <w:rPr>
          <w:rFonts w:asciiTheme="minorHAnsi" w:eastAsia="Calibri" w:hAnsiTheme="minorHAnsi" w:cstheme="minorHAnsi"/>
          <w:sz w:val="22"/>
          <w:szCs w:val="22"/>
        </w:rPr>
      </w:pPr>
      <w:r>
        <w:rPr>
          <w:rFonts w:asciiTheme="minorHAnsi" w:eastAsia="Calibri" w:hAnsiTheme="minorHAnsi" w:cstheme="minorHAnsi"/>
          <w:sz w:val="22"/>
          <w:szCs w:val="22"/>
        </w:rPr>
        <w:t>Per quanto riguarda la</w:t>
      </w:r>
      <w:r w:rsidR="007C4B27" w:rsidRPr="00331AD1">
        <w:rPr>
          <w:rFonts w:asciiTheme="minorHAnsi" w:eastAsia="Calibri" w:hAnsiTheme="minorHAnsi" w:cstheme="minorHAnsi"/>
          <w:sz w:val="22"/>
          <w:szCs w:val="22"/>
        </w:rPr>
        <w:t xml:space="preserve"> distribuzione delle intenzioni di acquisto tra italiani e stranieri,</w:t>
      </w:r>
      <w:r>
        <w:rPr>
          <w:rFonts w:asciiTheme="minorHAnsi" w:eastAsia="Calibri" w:hAnsiTheme="minorHAnsi" w:cstheme="minorHAnsi"/>
          <w:sz w:val="22"/>
          <w:szCs w:val="22"/>
        </w:rPr>
        <w:t xml:space="preserve"> </w:t>
      </w:r>
      <w:r w:rsidRPr="00430438">
        <w:rPr>
          <w:rFonts w:asciiTheme="minorHAnsi" w:eastAsia="Calibri" w:hAnsiTheme="minorHAnsi" w:cstheme="minorHAnsi"/>
          <w:sz w:val="22"/>
          <w:szCs w:val="22"/>
        </w:rPr>
        <w:t xml:space="preserve">la domanda di abitazioni per vacanza </w:t>
      </w:r>
      <w:r w:rsidR="007750D1">
        <w:rPr>
          <w:rFonts w:asciiTheme="minorHAnsi" w:eastAsia="Calibri" w:hAnsiTheme="minorHAnsi" w:cstheme="minorHAnsi"/>
          <w:sz w:val="22"/>
          <w:szCs w:val="22"/>
        </w:rPr>
        <w:t>continua ad essere</w:t>
      </w:r>
      <w:r w:rsidRPr="00430438">
        <w:rPr>
          <w:rFonts w:asciiTheme="minorHAnsi" w:eastAsia="Calibri" w:hAnsiTheme="minorHAnsi" w:cstheme="minorHAnsi"/>
          <w:sz w:val="22"/>
          <w:szCs w:val="22"/>
        </w:rPr>
        <w:t xml:space="preserve"> sostenuta prevalentemente dalla componente domestica</w:t>
      </w:r>
      <w:r w:rsidR="00435E32">
        <w:rPr>
          <w:rFonts w:asciiTheme="minorHAnsi" w:eastAsia="Calibri" w:hAnsiTheme="minorHAnsi" w:cstheme="minorHAnsi"/>
          <w:sz w:val="22"/>
          <w:szCs w:val="22"/>
        </w:rPr>
        <w:t xml:space="preserve">, con un peso che raggiunge </w:t>
      </w:r>
      <w:r w:rsidR="007C4B27" w:rsidRPr="00331AD1">
        <w:rPr>
          <w:rFonts w:asciiTheme="minorHAnsi" w:eastAsia="Calibri" w:hAnsiTheme="minorHAnsi" w:cstheme="minorHAnsi"/>
          <w:sz w:val="22"/>
          <w:szCs w:val="22"/>
        </w:rPr>
        <w:t>l’8</w:t>
      </w:r>
      <w:r w:rsidR="00331AD1" w:rsidRPr="00331AD1">
        <w:rPr>
          <w:rFonts w:asciiTheme="minorHAnsi" w:eastAsia="Calibri" w:hAnsiTheme="minorHAnsi" w:cstheme="minorHAnsi"/>
          <w:sz w:val="22"/>
          <w:szCs w:val="22"/>
        </w:rPr>
        <w:t>1</w:t>
      </w:r>
      <w:r w:rsidR="007C4B27" w:rsidRPr="00331AD1">
        <w:rPr>
          <w:rFonts w:asciiTheme="minorHAnsi" w:eastAsia="Calibri" w:hAnsiTheme="minorHAnsi" w:cstheme="minorHAnsi"/>
          <w:sz w:val="22"/>
          <w:szCs w:val="22"/>
        </w:rPr>
        <w:t>%, mentre il</w:t>
      </w:r>
      <w:r w:rsidR="00435E32">
        <w:rPr>
          <w:rFonts w:asciiTheme="minorHAnsi" w:eastAsia="Calibri" w:hAnsiTheme="minorHAnsi" w:cstheme="minorHAnsi"/>
          <w:sz w:val="22"/>
          <w:szCs w:val="22"/>
        </w:rPr>
        <w:t xml:space="preserve"> restante</w:t>
      </w:r>
      <w:r w:rsidR="007C4B27" w:rsidRPr="00331AD1">
        <w:rPr>
          <w:rFonts w:asciiTheme="minorHAnsi" w:eastAsia="Calibri" w:hAnsiTheme="minorHAnsi" w:cstheme="minorHAnsi"/>
          <w:sz w:val="22"/>
          <w:szCs w:val="22"/>
        </w:rPr>
        <w:t xml:space="preserve"> 1</w:t>
      </w:r>
      <w:r w:rsidR="00331AD1" w:rsidRPr="00331AD1">
        <w:rPr>
          <w:rFonts w:asciiTheme="minorHAnsi" w:eastAsia="Calibri" w:hAnsiTheme="minorHAnsi" w:cstheme="minorHAnsi"/>
          <w:sz w:val="22"/>
          <w:szCs w:val="22"/>
        </w:rPr>
        <w:t>9</w:t>
      </w:r>
      <w:r w:rsidR="007C4B27" w:rsidRPr="00331AD1">
        <w:rPr>
          <w:rFonts w:asciiTheme="minorHAnsi" w:eastAsia="Calibri" w:hAnsiTheme="minorHAnsi" w:cstheme="minorHAnsi"/>
          <w:sz w:val="22"/>
          <w:szCs w:val="22"/>
        </w:rPr>
        <w:t xml:space="preserve">% risulta </w:t>
      </w:r>
      <w:r w:rsidR="00435E32">
        <w:rPr>
          <w:rFonts w:asciiTheme="minorHAnsi" w:eastAsia="Calibri" w:hAnsiTheme="minorHAnsi" w:cstheme="minorHAnsi"/>
          <w:sz w:val="22"/>
          <w:szCs w:val="22"/>
        </w:rPr>
        <w:t>appannaggio di</w:t>
      </w:r>
      <w:r w:rsidR="007C4B27" w:rsidRPr="00331AD1">
        <w:rPr>
          <w:rFonts w:asciiTheme="minorHAnsi" w:eastAsia="Calibri" w:hAnsiTheme="minorHAnsi" w:cstheme="minorHAnsi"/>
          <w:sz w:val="22"/>
          <w:szCs w:val="22"/>
        </w:rPr>
        <w:t xml:space="preserve"> soggetti stranieri, </w:t>
      </w:r>
      <w:r w:rsidR="00435E32">
        <w:rPr>
          <w:rFonts w:asciiTheme="minorHAnsi" w:eastAsia="Calibri" w:hAnsiTheme="minorHAnsi" w:cstheme="minorHAnsi"/>
          <w:sz w:val="22"/>
          <w:szCs w:val="22"/>
        </w:rPr>
        <w:t>la cui incidenza è comunque risultata</w:t>
      </w:r>
      <w:r w:rsidR="00002F0C">
        <w:rPr>
          <w:rFonts w:asciiTheme="minorHAnsi" w:eastAsia="Calibri" w:hAnsiTheme="minorHAnsi" w:cstheme="minorHAnsi"/>
          <w:sz w:val="22"/>
          <w:szCs w:val="22"/>
        </w:rPr>
        <w:t xml:space="preserve"> in crescita</w:t>
      </w:r>
      <w:r w:rsidR="00D45EFA" w:rsidRPr="00331AD1">
        <w:rPr>
          <w:rFonts w:asciiTheme="minorHAnsi" w:eastAsia="Calibri" w:hAnsiTheme="minorHAnsi" w:cstheme="minorHAnsi"/>
          <w:sz w:val="22"/>
          <w:szCs w:val="22"/>
        </w:rPr>
        <w:t xml:space="preserve"> rispetto all</w:t>
      </w:r>
      <w:r w:rsidR="003D6770">
        <w:rPr>
          <w:rFonts w:asciiTheme="minorHAnsi" w:eastAsia="Calibri" w:hAnsiTheme="minorHAnsi" w:cstheme="minorHAnsi"/>
          <w:sz w:val="22"/>
          <w:szCs w:val="22"/>
        </w:rPr>
        <w:t>e precedenti</w:t>
      </w:r>
      <w:r w:rsidR="007C4B27" w:rsidRPr="00331AD1">
        <w:rPr>
          <w:rFonts w:asciiTheme="minorHAnsi" w:eastAsia="Calibri" w:hAnsiTheme="minorHAnsi" w:cstheme="minorHAnsi"/>
          <w:sz w:val="22"/>
          <w:szCs w:val="22"/>
        </w:rPr>
        <w:t xml:space="preserve"> rilevazion</w:t>
      </w:r>
      <w:r w:rsidR="00047010">
        <w:rPr>
          <w:rFonts w:asciiTheme="minorHAnsi" w:eastAsia="Calibri" w:hAnsiTheme="minorHAnsi" w:cstheme="minorHAnsi"/>
          <w:sz w:val="22"/>
          <w:szCs w:val="22"/>
        </w:rPr>
        <w:t>i</w:t>
      </w:r>
      <w:r w:rsidR="007C4B27" w:rsidRPr="00331AD1">
        <w:rPr>
          <w:rFonts w:asciiTheme="minorHAnsi" w:eastAsia="Calibri" w:hAnsiTheme="minorHAnsi" w:cstheme="minorHAnsi"/>
          <w:sz w:val="22"/>
          <w:szCs w:val="22"/>
        </w:rPr>
        <w:t xml:space="preserve">. </w:t>
      </w:r>
    </w:p>
    <w:p w14:paraId="35F504FF" w14:textId="5A0B5DFB" w:rsidR="007C4B27" w:rsidRDefault="007C4B27" w:rsidP="00DC7E35">
      <w:pPr>
        <w:spacing w:after="120"/>
        <w:rPr>
          <w:rFonts w:asciiTheme="minorHAnsi" w:eastAsia="Calibri" w:hAnsiTheme="minorHAnsi" w:cstheme="minorHAnsi"/>
          <w:sz w:val="22"/>
          <w:szCs w:val="22"/>
        </w:rPr>
      </w:pPr>
      <w:r w:rsidRPr="00F8509D">
        <w:rPr>
          <w:rFonts w:asciiTheme="minorHAnsi" w:eastAsia="Calibri" w:hAnsiTheme="minorHAnsi" w:cstheme="minorHAnsi"/>
          <w:sz w:val="22"/>
          <w:szCs w:val="22"/>
        </w:rPr>
        <w:t>Per quanta riguarda</w:t>
      </w:r>
      <w:r w:rsidR="003D6770">
        <w:rPr>
          <w:rFonts w:asciiTheme="minorHAnsi" w:eastAsia="Calibri" w:hAnsiTheme="minorHAnsi" w:cstheme="minorHAnsi"/>
          <w:sz w:val="22"/>
          <w:szCs w:val="22"/>
        </w:rPr>
        <w:t xml:space="preserve"> il segmento della</w:t>
      </w:r>
      <w:r w:rsidRPr="00F8509D">
        <w:rPr>
          <w:rFonts w:asciiTheme="minorHAnsi" w:eastAsia="Calibri" w:hAnsiTheme="minorHAnsi" w:cstheme="minorHAnsi"/>
          <w:sz w:val="22"/>
          <w:szCs w:val="22"/>
        </w:rPr>
        <w:t xml:space="preserve"> locazione, la domanda </w:t>
      </w:r>
      <w:r w:rsidR="003D6770">
        <w:rPr>
          <w:rFonts w:asciiTheme="minorHAnsi" w:eastAsia="Calibri" w:hAnsiTheme="minorHAnsi" w:cstheme="minorHAnsi"/>
          <w:sz w:val="22"/>
          <w:szCs w:val="22"/>
        </w:rPr>
        <w:t xml:space="preserve">alimentata dalla </w:t>
      </w:r>
      <w:r w:rsidRPr="00F8509D">
        <w:rPr>
          <w:rFonts w:asciiTheme="minorHAnsi" w:eastAsia="Calibri" w:hAnsiTheme="minorHAnsi" w:cstheme="minorHAnsi"/>
          <w:sz w:val="22"/>
          <w:szCs w:val="22"/>
        </w:rPr>
        <w:t xml:space="preserve">componente straniera risulta </w:t>
      </w:r>
      <w:r w:rsidR="00331AD1" w:rsidRPr="00F8509D">
        <w:rPr>
          <w:rFonts w:asciiTheme="minorHAnsi" w:eastAsia="Calibri" w:hAnsiTheme="minorHAnsi" w:cstheme="minorHAnsi"/>
          <w:sz w:val="22"/>
          <w:szCs w:val="22"/>
        </w:rPr>
        <w:t xml:space="preserve">leggermente </w:t>
      </w:r>
      <w:r w:rsidRPr="00F8509D">
        <w:rPr>
          <w:rFonts w:asciiTheme="minorHAnsi" w:eastAsia="Calibri" w:hAnsiTheme="minorHAnsi" w:cstheme="minorHAnsi"/>
          <w:sz w:val="22"/>
          <w:szCs w:val="22"/>
        </w:rPr>
        <w:t>più elevata</w:t>
      </w:r>
      <w:r w:rsidR="00F33FCD">
        <w:rPr>
          <w:rFonts w:asciiTheme="minorHAnsi" w:eastAsia="Calibri" w:hAnsiTheme="minorHAnsi" w:cstheme="minorHAnsi"/>
          <w:sz w:val="22"/>
          <w:szCs w:val="22"/>
        </w:rPr>
        <w:t xml:space="preserve">, </w:t>
      </w:r>
      <w:r w:rsidR="003D6770">
        <w:rPr>
          <w:rFonts w:asciiTheme="minorHAnsi" w:eastAsia="Calibri" w:hAnsiTheme="minorHAnsi" w:cstheme="minorHAnsi"/>
          <w:sz w:val="22"/>
          <w:szCs w:val="22"/>
        </w:rPr>
        <w:t>rappresentando una quota</w:t>
      </w:r>
      <w:r w:rsidR="00F33FCD">
        <w:rPr>
          <w:rFonts w:asciiTheme="minorHAnsi" w:eastAsia="Calibri" w:hAnsiTheme="minorHAnsi" w:cstheme="minorHAnsi"/>
          <w:sz w:val="22"/>
          <w:szCs w:val="22"/>
        </w:rPr>
        <w:t xml:space="preserve"> pari al</w:t>
      </w:r>
      <w:r w:rsidRPr="00F8509D">
        <w:rPr>
          <w:rFonts w:asciiTheme="minorHAnsi" w:eastAsia="Calibri" w:hAnsiTheme="minorHAnsi" w:cstheme="minorHAnsi"/>
          <w:sz w:val="22"/>
          <w:szCs w:val="22"/>
        </w:rPr>
        <w:t xml:space="preserve"> </w:t>
      </w:r>
      <w:r w:rsidR="00D45EFA" w:rsidRPr="00F8509D">
        <w:rPr>
          <w:rFonts w:asciiTheme="minorHAnsi" w:eastAsia="Calibri" w:hAnsiTheme="minorHAnsi" w:cstheme="minorHAnsi"/>
          <w:sz w:val="22"/>
          <w:szCs w:val="22"/>
        </w:rPr>
        <w:t>2</w:t>
      </w:r>
      <w:r w:rsidR="00331AD1" w:rsidRPr="00F8509D">
        <w:rPr>
          <w:rFonts w:asciiTheme="minorHAnsi" w:eastAsia="Calibri" w:hAnsiTheme="minorHAnsi" w:cstheme="minorHAnsi"/>
          <w:sz w:val="22"/>
          <w:szCs w:val="22"/>
        </w:rPr>
        <w:t>3</w:t>
      </w:r>
      <w:r w:rsidRPr="00F8509D">
        <w:rPr>
          <w:rFonts w:asciiTheme="minorHAnsi" w:eastAsia="Calibri" w:hAnsiTheme="minorHAnsi" w:cstheme="minorHAnsi"/>
          <w:sz w:val="22"/>
          <w:szCs w:val="22"/>
        </w:rPr>
        <w:t>%,</w:t>
      </w:r>
      <w:r w:rsidR="00047010">
        <w:rPr>
          <w:rFonts w:asciiTheme="minorHAnsi" w:eastAsia="Calibri" w:hAnsiTheme="minorHAnsi" w:cstheme="minorHAnsi"/>
          <w:sz w:val="22"/>
          <w:szCs w:val="22"/>
        </w:rPr>
        <w:t xml:space="preserve"> plausibilmente per effetto della crescita dei flussi turistici internazionali,</w:t>
      </w:r>
      <w:r w:rsidRPr="00F8509D">
        <w:rPr>
          <w:rFonts w:asciiTheme="minorHAnsi" w:eastAsia="Calibri" w:hAnsiTheme="minorHAnsi" w:cstheme="minorHAnsi"/>
          <w:sz w:val="22"/>
          <w:szCs w:val="22"/>
        </w:rPr>
        <w:t xml:space="preserve"> mentre la componente</w:t>
      </w:r>
      <w:r w:rsidR="003D6770">
        <w:rPr>
          <w:rFonts w:asciiTheme="minorHAnsi" w:eastAsia="Calibri" w:hAnsiTheme="minorHAnsi" w:cstheme="minorHAnsi"/>
          <w:sz w:val="22"/>
          <w:szCs w:val="22"/>
        </w:rPr>
        <w:t xml:space="preserve"> domestica</w:t>
      </w:r>
      <w:r w:rsidRPr="00F8509D">
        <w:rPr>
          <w:rFonts w:asciiTheme="minorHAnsi" w:eastAsia="Calibri" w:hAnsiTheme="minorHAnsi" w:cstheme="minorHAnsi"/>
          <w:sz w:val="22"/>
          <w:szCs w:val="22"/>
        </w:rPr>
        <w:t xml:space="preserve"> </w:t>
      </w:r>
      <w:r w:rsidR="00F33FCD">
        <w:rPr>
          <w:rFonts w:asciiTheme="minorHAnsi" w:eastAsia="Calibri" w:hAnsiTheme="minorHAnsi" w:cstheme="minorHAnsi"/>
          <w:sz w:val="22"/>
          <w:szCs w:val="22"/>
        </w:rPr>
        <w:t>rappresenta una quota pari al</w:t>
      </w:r>
      <w:r w:rsidRPr="00F8509D">
        <w:rPr>
          <w:rFonts w:asciiTheme="minorHAnsi" w:eastAsia="Calibri" w:hAnsiTheme="minorHAnsi" w:cstheme="minorHAnsi"/>
          <w:sz w:val="22"/>
          <w:szCs w:val="22"/>
        </w:rPr>
        <w:t xml:space="preserve"> 7</w:t>
      </w:r>
      <w:r w:rsidR="00331AD1" w:rsidRPr="00F8509D">
        <w:rPr>
          <w:rFonts w:asciiTheme="minorHAnsi" w:eastAsia="Calibri" w:hAnsiTheme="minorHAnsi" w:cstheme="minorHAnsi"/>
          <w:sz w:val="22"/>
          <w:szCs w:val="22"/>
        </w:rPr>
        <w:t>7</w:t>
      </w:r>
      <w:r w:rsidRPr="00F8509D">
        <w:rPr>
          <w:rFonts w:asciiTheme="minorHAnsi" w:eastAsia="Calibri" w:hAnsiTheme="minorHAnsi" w:cstheme="minorHAnsi"/>
          <w:sz w:val="22"/>
          <w:szCs w:val="22"/>
        </w:rPr>
        <w:t>%.</w:t>
      </w:r>
    </w:p>
    <w:p w14:paraId="20F74233" w14:textId="4CA81AB6" w:rsidR="00CD2D03" w:rsidRDefault="00CD2D03" w:rsidP="00DC7E35">
      <w:pPr>
        <w:spacing w:after="120"/>
        <w:rPr>
          <w:rFonts w:asciiTheme="minorHAnsi" w:eastAsia="Calibri" w:hAnsiTheme="minorHAnsi" w:cstheme="minorHAnsi"/>
          <w:sz w:val="22"/>
          <w:szCs w:val="22"/>
        </w:rPr>
      </w:pPr>
      <w:r>
        <w:rPr>
          <w:rFonts w:asciiTheme="minorHAnsi" w:eastAsia="Calibri" w:hAnsiTheme="minorHAnsi" w:cstheme="minorHAnsi"/>
          <w:sz w:val="22"/>
          <w:szCs w:val="22"/>
        </w:rPr>
        <w:t xml:space="preserve">Nel complesso, l’Osservatorio immobiliare turistico </w:t>
      </w:r>
      <w:r w:rsidR="007C4B27" w:rsidRPr="0056089D">
        <w:rPr>
          <w:rFonts w:asciiTheme="minorHAnsi" w:eastAsia="Calibri" w:hAnsiTheme="minorHAnsi" w:cstheme="minorHAnsi"/>
          <w:sz w:val="22"/>
          <w:szCs w:val="22"/>
        </w:rPr>
        <w:t>20</w:t>
      </w:r>
      <w:r w:rsidR="00331AD1" w:rsidRPr="0056089D">
        <w:rPr>
          <w:rFonts w:asciiTheme="minorHAnsi" w:eastAsia="Calibri" w:hAnsiTheme="minorHAnsi" w:cstheme="minorHAnsi"/>
          <w:sz w:val="22"/>
          <w:szCs w:val="22"/>
        </w:rPr>
        <w:t>22</w:t>
      </w:r>
      <w:r>
        <w:rPr>
          <w:rFonts w:asciiTheme="minorHAnsi" w:eastAsia="Calibri" w:hAnsiTheme="minorHAnsi" w:cstheme="minorHAnsi"/>
          <w:sz w:val="22"/>
          <w:szCs w:val="22"/>
        </w:rPr>
        <w:t xml:space="preserve"> conferma il</w:t>
      </w:r>
      <w:r w:rsidR="007C4B27" w:rsidRPr="0056089D">
        <w:rPr>
          <w:rFonts w:asciiTheme="minorHAnsi" w:eastAsia="Calibri" w:hAnsiTheme="minorHAnsi" w:cstheme="minorHAnsi"/>
          <w:sz w:val="22"/>
          <w:szCs w:val="22"/>
        </w:rPr>
        <w:t xml:space="preserve"> recupero del mercato immobiliare</w:t>
      </w:r>
      <w:r w:rsidR="00047010">
        <w:rPr>
          <w:rFonts w:asciiTheme="minorHAnsi" w:eastAsia="Calibri" w:hAnsiTheme="minorHAnsi" w:cstheme="minorHAnsi"/>
          <w:sz w:val="22"/>
          <w:szCs w:val="22"/>
        </w:rPr>
        <w:t>, sia in termini di volumi che di valori</w:t>
      </w:r>
      <w:r>
        <w:rPr>
          <w:rFonts w:asciiTheme="minorHAnsi" w:eastAsia="Calibri" w:hAnsiTheme="minorHAnsi" w:cstheme="minorHAnsi"/>
          <w:sz w:val="22"/>
          <w:szCs w:val="22"/>
        </w:rPr>
        <w:t xml:space="preserve">, </w:t>
      </w:r>
      <w:r w:rsidR="007C4B27" w:rsidRPr="0056089D">
        <w:rPr>
          <w:rFonts w:asciiTheme="minorHAnsi" w:eastAsia="Calibri" w:hAnsiTheme="minorHAnsi" w:cstheme="minorHAnsi"/>
          <w:sz w:val="22"/>
          <w:szCs w:val="22"/>
        </w:rPr>
        <w:t>seppur</w:t>
      </w:r>
      <w:r w:rsidR="00435E32">
        <w:rPr>
          <w:rFonts w:asciiTheme="minorHAnsi" w:eastAsia="Calibri" w:hAnsiTheme="minorHAnsi" w:cstheme="minorHAnsi"/>
          <w:sz w:val="22"/>
          <w:szCs w:val="22"/>
        </w:rPr>
        <w:t>e</w:t>
      </w:r>
      <w:r w:rsidR="007C4B27" w:rsidRPr="0056089D">
        <w:rPr>
          <w:rFonts w:asciiTheme="minorHAnsi" w:eastAsia="Calibri" w:hAnsiTheme="minorHAnsi" w:cstheme="minorHAnsi"/>
          <w:sz w:val="22"/>
          <w:szCs w:val="22"/>
        </w:rPr>
        <w:t xml:space="preserve"> in un contesto congiunturale </w:t>
      </w:r>
      <w:r>
        <w:rPr>
          <w:rFonts w:asciiTheme="minorHAnsi" w:eastAsia="Calibri" w:hAnsiTheme="minorHAnsi" w:cstheme="minorHAnsi"/>
          <w:sz w:val="22"/>
          <w:szCs w:val="22"/>
        </w:rPr>
        <w:t xml:space="preserve">di grande complessità, </w:t>
      </w:r>
      <w:r w:rsidR="00435E32">
        <w:rPr>
          <w:rFonts w:asciiTheme="minorHAnsi" w:eastAsia="Calibri" w:hAnsiTheme="minorHAnsi" w:cstheme="minorHAnsi"/>
          <w:sz w:val="22"/>
          <w:szCs w:val="22"/>
        </w:rPr>
        <w:t xml:space="preserve">sia </w:t>
      </w:r>
      <w:r>
        <w:rPr>
          <w:rFonts w:asciiTheme="minorHAnsi" w:eastAsia="Calibri" w:hAnsiTheme="minorHAnsi" w:cstheme="minorHAnsi"/>
          <w:sz w:val="22"/>
          <w:szCs w:val="22"/>
        </w:rPr>
        <w:t xml:space="preserve">da un punto di vista macroeconomico </w:t>
      </w:r>
      <w:r w:rsidR="00435E32">
        <w:rPr>
          <w:rFonts w:asciiTheme="minorHAnsi" w:eastAsia="Calibri" w:hAnsiTheme="minorHAnsi" w:cstheme="minorHAnsi"/>
          <w:sz w:val="22"/>
          <w:szCs w:val="22"/>
        </w:rPr>
        <w:t>ch</w:t>
      </w:r>
      <w:r>
        <w:rPr>
          <w:rFonts w:asciiTheme="minorHAnsi" w:eastAsia="Calibri" w:hAnsiTheme="minorHAnsi" w:cstheme="minorHAnsi"/>
          <w:sz w:val="22"/>
          <w:szCs w:val="22"/>
        </w:rPr>
        <w:t>e geopolitico,</w:t>
      </w:r>
      <w:r w:rsidR="00047010">
        <w:rPr>
          <w:rFonts w:asciiTheme="minorHAnsi" w:eastAsia="Calibri" w:hAnsiTheme="minorHAnsi" w:cstheme="minorHAnsi"/>
          <w:sz w:val="22"/>
          <w:szCs w:val="22"/>
        </w:rPr>
        <w:t xml:space="preserve"> la cui evoluzione</w:t>
      </w:r>
      <w:r>
        <w:rPr>
          <w:rFonts w:asciiTheme="minorHAnsi" w:eastAsia="Calibri" w:hAnsiTheme="minorHAnsi" w:cstheme="minorHAnsi"/>
          <w:sz w:val="22"/>
          <w:szCs w:val="22"/>
        </w:rPr>
        <w:t xml:space="preserve"> </w:t>
      </w:r>
      <w:r w:rsidR="00D52AA1">
        <w:rPr>
          <w:rFonts w:asciiTheme="minorHAnsi" w:eastAsia="Calibri" w:hAnsiTheme="minorHAnsi" w:cstheme="minorHAnsi"/>
          <w:sz w:val="22"/>
          <w:szCs w:val="22"/>
        </w:rPr>
        <w:t>rischia di</w:t>
      </w:r>
      <w:r w:rsidR="00435E32">
        <w:rPr>
          <w:rFonts w:asciiTheme="minorHAnsi" w:eastAsia="Calibri" w:hAnsiTheme="minorHAnsi" w:cstheme="minorHAnsi"/>
          <w:sz w:val="22"/>
          <w:szCs w:val="22"/>
        </w:rPr>
        <w:t xml:space="preserve"> indebolire, se non addirittura di</w:t>
      </w:r>
      <w:r w:rsidR="00D52AA1">
        <w:rPr>
          <w:rFonts w:asciiTheme="minorHAnsi" w:eastAsia="Calibri" w:hAnsiTheme="minorHAnsi" w:cstheme="minorHAnsi"/>
          <w:sz w:val="22"/>
          <w:szCs w:val="22"/>
        </w:rPr>
        <w:t xml:space="preserve"> compromettere</w:t>
      </w:r>
      <w:r w:rsidR="00435E32">
        <w:rPr>
          <w:rFonts w:asciiTheme="minorHAnsi" w:eastAsia="Calibri" w:hAnsiTheme="minorHAnsi" w:cstheme="minorHAnsi"/>
          <w:sz w:val="22"/>
          <w:szCs w:val="22"/>
        </w:rPr>
        <w:t>,</w:t>
      </w:r>
      <w:r w:rsidR="00D52AA1">
        <w:rPr>
          <w:rFonts w:asciiTheme="minorHAnsi" w:eastAsia="Calibri" w:hAnsiTheme="minorHAnsi" w:cstheme="minorHAnsi"/>
          <w:sz w:val="22"/>
          <w:szCs w:val="22"/>
        </w:rPr>
        <w:t xml:space="preserve"> </w:t>
      </w:r>
      <w:r w:rsidR="00047010">
        <w:rPr>
          <w:rFonts w:asciiTheme="minorHAnsi" w:eastAsia="Calibri" w:hAnsiTheme="minorHAnsi" w:cstheme="minorHAnsi"/>
          <w:sz w:val="22"/>
          <w:szCs w:val="22"/>
        </w:rPr>
        <w:t>le dinamiche espansive oggi evidenziate.</w:t>
      </w:r>
      <w:r>
        <w:rPr>
          <w:rFonts w:asciiTheme="minorHAnsi" w:eastAsia="Calibri" w:hAnsiTheme="minorHAnsi" w:cstheme="minorHAnsi"/>
          <w:sz w:val="22"/>
          <w:szCs w:val="22"/>
        </w:rPr>
        <w:t xml:space="preserve"> </w:t>
      </w:r>
    </w:p>
    <w:p w14:paraId="315510C8" w14:textId="77777777" w:rsidR="00504879" w:rsidRDefault="00504879" w:rsidP="00DC7E35">
      <w:pPr>
        <w:spacing w:after="120"/>
        <w:rPr>
          <w:rFonts w:asciiTheme="minorHAnsi" w:eastAsia="Calibri" w:hAnsiTheme="minorHAnsi" w:cstheme="minorHAnsi"/>
          <w:sz w:val="22"/>
          <w:szCs w:val="22"/>
        </w:rPr>
      </w:pPr>
    </w:p>
    <w:p w14:paraId="2B6332A7" w14:textId="77777777" w:rsidR="00C61791" w:rsidRDefault="00C61791" w:rsidP="00DC7E35">
      <w:pPr>
        <w:spacing w:after="120"/>
        <w:rPr>
          <w:rFonts w:asciiTheme="minorHAnsi" w:eastAsia="Calibri" w:hAnsiTheme="minorHAnsi" w:cstheme="minorHAnsi"/>
          <w:sz w:val="22"/>
          <w:szCs w:val="22"/>
        </w:rPr>
      </w:pPr>
    </w:p>
    <w:p w14:paraId="179B04E4" w14:textId="77777777" w:rsidR="00C61791" w:rsidRDefault="00C61791" w:rsidP="00DC7E35">
      <w:pPr>
        <w:spacing w:after="120"/>
        <w:rPr>
          <w:rFonts w:asciiTheme="minorHAnsi" w:eastAsia="Calibri" w:hAnsiTheme="minorHAnsi" w:cstheme="minorHAnsi"/>
          <w:sz w:val="22"/>
          <w:szCs w:val="22"/>
        </w:rPr>
      </w:pPr>
    </w:p>
    <w:p w14:paraId="31175899" w14:textId="77777777" w:rsidR="00C61791" w:rsidRDefault="00C61791" w:rsidP="00DC7E35">
      <w:pPr>
        <w:spacing w:after="120"/>
        <w:rPr>
          <w:rFonts w:asciiTheme="minorHAnsi" w:eastAsia="Calibri" w:hAnsiTheme="minorHAnsi" w:cstheme="minorHAnsi"/>
          <w:sz w:val="22"/>
          <w:szCs w:val="22"/>
        </w:rPr>
      </w:pPr>
    </w:p>
    <w:p w14:paraId="363480EF" w14:textId="77777777" w:rsidR="00C61791" w:rsidRDefault="00C61791" w:rsidP="00DC7E35">
      <w:pPr>
        <w:spacing w:after="120"/>
        <w:rPr>
          <w:rFonts w:asciiTheme="minorHAnsi" w:eastAsia="Calibri" w:hAnsiTheme="minorHAnsi" w:cstheme="minorHAnsi"/>
          <w:sz w:val="22"/>
          <w:szCs w:val="22"/>
        </w:rPr>
      </w:pPr>
    </w:p>
    <w:p w14:paraId="17431829" w14:textId="77777777" w:rsidR="00C61791" w:rsidRDefault="00C61791" w:rsidP="00DC7E35">
      <w:pPr>
        <w:spacing w:after="120"/>
        <w:rPr>
          <w:rFonts w:asciiTheme="minorHAnsi" w:eastAsia="Calibri" w:hAnsiTheme="minorHAnsi" w:cstheme="minorHAnsi"/>
          <w:sz w:val="22"/>
          <w:szCs w:val="22"/>
        </w:rPr>
      </w:pPr>
    </w:p>
    <w:p w14:paraId="04028D61" w14:textId="77777777" w:rsidR="00C61791" w:rsidRDefault="00C61791" w:rsidP="00DC7E35">
      <w:pPr>
        <w:spacing w:after="120"/>
        <w:rPr>
          <w:rFonts w:asciiTheme="minorHAnsi" w:eastAsia="Calibri" w:hAnsiTheme="minorHAnsi" w:cstheme="minorHAnsi"/>
          <w:sz w:val="22"/>
          <w:szCs w:val="22"/>
        </w:rPr>
      </w:pPr>
    </w:p>
    <w:p w14:paraId="70F6635B" w14:textId="77777777" w:rsidR="00C61791" w:rsidRDefault="00C61791" w:rsidP="00DC7E35">
      <w:pPr>
        <w:spacing w:after="120"/>
        <w:rPr>
          <w:rFonts w:asciiTheme="minorHAnsi" w:eastAsia="Calibri" w:hAnsiTheme="minorHAnsi" w:cstheme="minorHAnsi"/>
          <w:sz w:val="22"/>
          <w:szCs w:val="22"/>
        </w:rPr>
      </w:pPr>
    </w:p>
    <w:p w14:paraId="5964BD6B" w14:textId="3B217DDE" w:rsidR="00C61791" w:rsidRPr="00A30614" w:rsidRDefault="00C61791" w:rsidP="00C61791">
      <w:pPr>
        <w:tabs>
          <w:tab w:val="left" w:pos="357"/>
        </w:tabs>
        <w:suppressAutoHyphens/>
        <w:jc w:val="center"/>
        <w:rPr>
          <w:rFonts w:ascii="Calibri" w:hAnsi="Calibri" w:cs="Calibri"/>
          <w:b/>
          <w:color w:val="1F497D"/>
          <w:sz w:val="40"/>
          <w:szCs w:val="28"/>
        </w:rPr>
      </w:pPr>
      <w:bookmarkStart w:id="1" w:name="_GoBack"/>
      <w:bookmarkEnd w:id="1"/>
    </w:p>
    <w:p w14:paraId="374E7ED7" w14:textId="77777777" w:rsidR="00C61791" w:rsidRPr="000A0406" w:rsidRDefault="00C61791" w:rsidP="00DC7E35">
      <w:pPr>
        <w:spacing w:after="120"/>
        <w:rPr>
          <w:rFonts w:asciiTheme="minorHAnsi" w:eastAsia="Calibri" w:hAnsiTheme="minorHAnsi" w:cstheme="minorHAnsi"/>
          <w:sz w:val="22"/>
          <w:szCs w:val="22"/>
        </w:rPr>
      </w:pPr>
    </w:p>
    <w:sectPr w:rsidR="00C61791" w:rsidRPr="000A0406" w:rsidSect="005F787C">
      <w:headerReference w:type="default" r:id="rId16"/>
      <w:footerReference w:type="default" r:id="rId17"/>
      <w:headerReference w:type="first" r:id="rId18"/>
      <w:pgSz w:w="11906" w:h="16838" w:code="9"/>
      <w:pgMar w:top="2410" w:right="1134" w:bottom="170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3DE7E" w14:textId="77777777" w:rsidR="00503EDA" w:rsidRDefault="00503EDA" w:rsidP="00AE50F2">
      <w:r>
        <w:separator/>
      </w:r>
    </w:p>
  </w:endnote>
  <w:endnote w:type="continuationSeparator" w:id="0">
    <w:p w14:paraId="48157BC9" w14:textId="77777777" w:rsidR="00503EDA" w:rsidRDefault="00503EDA" w:rsidP="00AE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elleyAndante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654989620"/>
      <w:docPartObj>
        <w:docPartGallery w:val="Page Numbers (Bottom of Page)"/>
        <w:docPartUnique/>
      </w:docPartObj>
    </w:sdtPr>
    <w:sdtEndPr/>
    <w:sdtContent>
      <w:p w14:paraId="3B19F37A" w14:textId="38A39B68" w:rsidR="004B224E" w:rsidRPr="00E65333" w:rsidRDefault="009611F1" w:rsidP="00207589">
        <w:pPr>
          <w:pStyle w:val="Pidipagina"/>
          <w:pBdr>
            <w:top w:val="single" w:sz="4" w:space="1" w:color="auto"/>
          </w:pBdr>
          <w:rPr>
            <w:rFonts w:asciiTheme="minorHAnsi" w:hAnsiTheme="minorHAnsi"/>
            <w:sz w:val="20"/>
          </w:rPr>
        </w:pPr>
        <w:r w:rsidRPr="0004761A">
          <w:rPr>
            <w:rFonts w:ascii="ShelleyAndante BT" w:hAnsi="ShelleyAndante BT"/>
            <w:i/>
            <w:sz w:val="36"/>
            <w:szCs w:val="60"/>
          </w:rPr>
          <w:t>Nomisma</w:t>
        </w:r>
        <w:r w:rsidRPr="00CB214E">
          <w:rPr>
            <w:rFonts w:asciiTheme="minorHAnsi" w:hAnsiTheme="minorHAnsi"/>
            <w:sz w:val="20"/>
          </w:rPr>
          <w:t xml:space="preserve"> </w:t>
        </w:r>
        <w:r>
          <w:rPr>
            <w:rFonts w:asciiTheme="minorHAnsi" w:hAnsiTheme="minorHAnsi"/>
            <w:sz w:val="20"/>
          </w:rPr>
          <w:tab/>
        </w:r>
        <w:r w:rsidR="004B224E" w:rsidRPr="00CB214E">
          <w:rPr>
            <w:rFonts w:asciiTheme="minorHAnsi" w:hAnsiTheme="minorHAnsi"/>
            <w:sz w:val="20"/>
          </w:rPr>
          <w:t xml:space="preserve">Osservatorio Turistico, </w:t>
        </w:r>
        <w:r w:rsidR="00C61791">
          <w:rPr>
            <w:rFonts w:asciiTheme="minorHAnsi" w:hAnsiTheme="minorHAnsi"/>
            <w:sz w:val="20"/>
          </w:rPr>
          <w:t>3 agosto</w:t>
        </w:r>
        <w:r w:rsidR="004B224E">
          <w:rPr>
            <w:rFonts w:asciiTheme="minorHAnsi" w:hAnsiTheme="minorHAnsi"/>
            <w:sz w:val="20"/>
          </w:rPr>
          <w:t xml:space="preserve"> 20</w:t>
        </w:r>
        <w:r w:rsidR="00D24FAB">
          <w:rPr>
            <w:rFonts w:asciiTheme="minorHAnsi" w:hAnsiTheme="minorHAnsi"/>
            <w:sz w:val="20"/>
          </w:rPr>
          <w:t>22</w:t>
        </w:r>
        <w:r w:rsidR="004B224E" w:rsidRPr="00CB214E">
          <w:rPr>
            <w:rFonts w:asciiTheme="minorHAnsi" w:hAnsiTheme="minorHAnsi"/>
            <w:sz w:val="20"/>
          </w:rPr>
          <w:tab/>
        </w:r>
        <w:r w:rsidR="004B224E" w:rsidRPr="00CB214E">
          <w:rPr>
            <w:rFonts w:asciiTheme="minorHAnsi" w:hAnsiTheme="minorHAnsi"/>
            <w:sz w:val="20"/>
          </w:rPr>
          <w:fldChar w:fldCharType="begin"/>
        </w:r>
        <w:r w:rsidR="004B224E" w:rsidRPr="00CB214E">
          <w:rPr>
            <w:rFonts w:asciiTheme="minorHAnsi" w:hAnsiTheme="minorHAnsi"/>
            <w:sz w:val="20"/>
          </w:rPr>
          <w:instrText>PAGE   \* MERGEFORMAT</w:instrText>
        </w:r>
        <w:r w:rsidR="004B224E" w:rsidRPr="00CB214E">
          <w:rPr>
            <w:rFonts w:asciiTheme="minorHAnsi" w:hAnsiTheme="minorHAnsi"/>
            <w:sz w:val="20"/>
          </w:rPr>
          <w:fldChar w:fldCharType="separate"/>
        </w:r>
        <w:r w:rsidR="007672D9">
          <w:rPr>
            <w:rFonts w:asciiTheme="minorHAnsi" w:hAnsiTheme="minorHAnsi"/>
            <w:noProof/>
            <w:sz w:val="20"/>
          </w:rPr>
          <w:t>9</w:t>
        </w:r>
        <w:r w:rsidR="004B224E" w:rsidRPr="00CB214E">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0A5BE" w14:textId="77777777" w:rsidR="00503EDA" w:rsidRDefault="00503EDA" w:rsidP="00AE50F2">
      <w:r>
        <w:separator/>
      </w:r>
    </w:p>
  </w:footnote>
  <w:footnote w:type="continuationSeparator" w:id="0">
    <w:p w14:paraId="4EE6E98F" w14:textId="77777777" w:rsidR="00503EDA" w:rsidRDefault="00503EDA" w:rsidP="00AE50F2">
      <w:r>
        <w:continuationSeparator/>
      </w:r>
    </w:p>
  </w:footnote>
  <w:footnote w:id="1">
    <w:p w14:paraId="6DDB6DCB" w14:textId="77777777" w:rsidR="00622126" w:rsidRPr="00273307" w:rsidRDefault="00622126" w:rsidP="00622126">
      <w:pPr>
        <w:pStyle w:val="Testonotaapidipagina"/>
        <w:rPr>
          <w:rFonts w:asciiTheme="minorHAnsi" w:hAnsiTheme="minorHAnsi"/>
          <w:spacing w:val="-2"/>
          <w:szCs w:val="17"/>
        </w:rPr>
      </w:pPr>
      <w:r w:rsidRPr="00273307">
        <w:rPr>
          <w:rStyle w:val="Rimandonotaapidipagina"/>
          <w:rFonts w:asciiTheme="minorHAnsi" w:hAnsiTheme="minorHAnsi"/>
          <w:sz w:val="24"/>
        </w:rPr>
        <w:footnoteRef/>
      </w:r>
      <w:r w:rsidRPr="00273307">
        <w:rPr>
          <w:rFonts w:asciiTheme="minorHAnsi" w:hAnsiTheme="minorHAnsi"/>
          <w:sz w:val="24"/>
        </w:rPr>
        <w:t xml:space="preserve"> </w:t>
      </w:r>
      <w:r w:rsidRPr="00273307">
        <w:rPr>
          <w:rFonts w:asciiTheme="minorHAnsi" w:hAnsiTheme="minorHAnsi"/>
          <w:spacing w:val="-2"/>
          <w:szCs w:val="17"/>
        </w:rPr>
        <w:t>I valori prime sono da intendersi quali massimi medi</w:t>
      </w:r>
      <w:r>
        <w:rPr>
          <w:rFonts w:asciiTheme="minorHAnsi" w:hAnsiTheme="minorHAnsi"/>
          <w:spacing w:val="-2"/>
          <w:szCs w:val="17"/>
        </w:rPr>
        <w:t>,</w:t>
      </w:r>
      <w:r w:rsidRPr="00273307">
        <w:rPr>
          <w:rFonts w:asciiTheme="minorHAnsi" w:hAnsiTheme="minorHAnsi"/>
          <w:spacing w:val="-2"/>
          <w:szCs w:val="17"/>
        </w:rPr>
        <w:t xml:space="preserve"> non quali massimi assoluti.</w:t>
      </w:r>
    </w:p>
  </w:footnote>
  <w:footnote w:id="2">
    <w:p w14:paraId="11F2711A" w14:textId="77777777" w:rsidR="001615AD" w:rsidRDefault="001615AD" w:rsidP="001615AD">
      <w:pPr>
        <w:pStyle w:val="Testonotaapidipagina"/>
        <w:rPr>
          <w:rFonts w:asciiTheme="minorHAnsi" w:hAnsiTheme="minorHAnsi"/>
          <w:spacing w:val="-2"/>
          <w:szCs w:val="17"/>
        </w:rPr>
      </w:pPr>
      <w:r>
        <w:rPr>
          <w:rStyle w:val="Rimandonotaapidipagina"/>
          <w:rFonts w:asciiTheme="minorHAnsi" w:hAnsiTheme="minorHAnsi"/>
          <w:sz w:val="24"/>
        </w:rPr>
        <w:footnoteRef/>
      </w:r>
      <w:r>
        <w:rPr>
          <w:rFonts w:asciiTheme="minorHAnsi" w:hAnsiTheme="minorHAnsi"/>
          <w:sz w:val="24"/>
        </w:rPr>
        <w:t xml:space="preserve"> </w:t>
      </w:r>
      <w:r>
        <w:rPr>
          <w:rFonts w:asciiTheme="minorHAnsi" w:hAnsiTheme="minorHAnsi"/>
          <w:spacing w:val="-2"/>
          <w:szCs w:val="17"/>
        </w:rPr>
        <w:t>I valori prime sono da intendersi quali massimi medi, non quali massimi assoluti.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72537" w14:textId="5D158176" w:rsidR="004B224E" w:rsidRDefault="005F787C" w:rsidP="00851093">
    <w:pPr>
      <w:pStyle w:val="Intestazione"/>
      <w:pBdr>
        <w:bottom w:val="single" w:sz="2" w:space="1" w:color="auto"/>
      </w:pBdr>
      <w:tabs>
        <w:tab w:val="left" w:pos="2613"/>
        <w:tab w:val="left" w:pos="3200"/>
      </w:tabs>
      <w:jc w:val="left"/>
    </w:pPr>
    <w:r w:rsidRPr="005F787C">
      <w:rPr>
        <w:noProof/>
      </w:rPr>
      <w:drawing>
        <wp:anchor distT="0" distB="0" distL="114300" distR="114300" simplePos="0" relativeHeight="251660288" behindDoc="1" locked="0" layoutInCell="1" allowOverlap="1" wp14:anchorId="329E6736" wp14:editId="6601AAA5">
          <wp:simplePos x="0" y="0"/>
          <wp:positionH relativeFrom="column">
            <wp:posOffset>2314575</wp:posOffset>
          </wp:positionH>
          <wp:positionV relativeFrom="paragraph">
            <wp:posOffset>171450</wp:posOffset>
          </wp:positionV>
          <wp:extent cx="781050" cy="890905"/>
          <wp:effectExtent l="0" t="0" r="0" b="4445"/>
          <wp:wrapTight wrapText="bothSides">
            <wp:wrapPolygon edited="0">
              <wp:start x="0" y="0"/>
              <wp:lineTo x="0" y="21246"/>
              <wp:lineTo x="21073" y="21246"/>
              <wp:lineTo x="21073" y="0"/>
              <wp:lineTo x="0" y="0"/>
            </wp:wrapPolygon>
          </wp:wrapTight>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MAA_ITAL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890905"/>
                  </a:xfrm>
                  <a:prstGeom prst="rect">
                    <a:avLst/>
                  </a:prstGeom>
                </pic:spPr>
              </pic:pic>
            </a:graphicData>
          </a:graphic>
          <wp14:sizeRelH relativeFrom="margin">
            <wp14:pctWidth>0</wp14:pctWidth>
          </wp14:sizeRelH>
          <wp14:sizeRelV relativeFrom="margin">
            <wp14:pctHeight>0</wp14:pctHeight>
          </wp14:sizeRelV>
        </wp:anchor>
      </w:drawing>
    </w:r>
    <w:r w:rsidR="00207589">
      <w:tab/>
    </w:r>
    <w:r w:rsidR="00207589">
      <w:tab/>
    </w:r>
    <w:r w:rsidR="00207589">
      <w:tab/>
    </w:r>
    <w:r w:rsidR="00207589">
      <w:tab/>
    </w:r>
  </w:p>
  <w:p w14:paraId="47EB8646" w14:textId="7627F15E" w:rsidR="00851093" w:rsidRDefault="005F787C" w:rsidP="00851093">
    <w:pPr>
      <w:pStyle w:val="Intestazione"/>
      <w:pBdr>
        <w:bottom w:val="single" w:sz="2" w:space="1" w:color="auto"/>
      </w:pBdr>
      <w:tabs>
        <w:tab w:val="left" w:pos="2613"/>
        <w:tab w:val="left" w:pos="3200"/>
      </w:tabs>
      <w:jc w:val="left"/>
      <w:rPr>
        <w:sz w:val="16"/>
        <w:szCs w:val="16"/>
      </w:rPr>
    </w:pPr>
    <w:r w:rsidRPr="005F787C">
      <w:rPr>
        <w:noProof/>
      </w:rPr>
      <w:drawing>
        <wp:anchor distT="0" distB="0" distL="114300" distR="114300" simplePos="0" relativeHeight="251659264" behindDoc="1" locked="0" layoutInCell="1" allowOverlap="1" wp14:anchorId="35CE7F3F" wp14:editId="241C4FE5">
          <wp:simplePos x="0" y="0"/>
          <wp:positionH relativeFrom="column">
            <wp:posOffset>3248025</wp:posOffset>
          </wp:positionH>
          <wp:positionV relativeFrom="paragraph">
            <wp:posOffset>88900</wp:posOffset>
          </wp:positionV>
          <wp:extent cx="847090" cy="400050"/>
          <wp:effectExtent l="0" t="0" r="0" b="0"/>
          <wp:wrapTight wrapText="bothSides">
            <wp:wrapPolygon edited="0">
              <wp:start x="0" y="0"/>
              <wp:lineTo x="0" y="20571"/>
              <wp:lineTo x="20888" y="20571"/>
              <wp:lineTo x="20888" y="0"/>
              <wp:lineTo x="0" y="0"/>
            </wp:wrapPolygon>
          </wp:wrapTight>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FCOMMERCI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7090" cy="400050"/>
                  </a:xfrm>
                  <a:prstGeom prst="rect">
                    <a:avLst/>
                  </a:prstGeom>
                </pic:spPr>
              </pic:pic>
            </a:graphicData>
          </a:graphic>
          <wp14:sizeRelH relativeFrom="page">
            <wp14:pctWidth>0</wp14:pctWidth>
          </wp14:sizeRelH>
          <wp14:sizeRelV relativeFrom="page">
            <wp14:pctHeight>0</wp14:pctHeight>
          </wp14:sizeRelV>
        </wp:anchor>
      </w:drawing>
    </w:r>
  </w:p>
  <w:p w14:paraId="6CC5351B" w14:textId="1FBECF6B" w:rsidR="005F787C" w:rsidRDefault="005F787C" w:rsidP="00851093">
    <w:pPr>
      <w:pStyle w:val="Intestazione"/>
      <w:pBdr>
        <w:bottom w:val="single" w:sz="2" w:space="1" w:color="auto"/>
      </w:pBdr>
      <w:tabs>
        <w:tab w:val="left" w:pos="2613"/>
        <w:tab w:val="left" w:pos="3200"/>
      </w:tabs>
      <w:jc w:val="left"/>
      <w:rPr>
        <w:sz w:val="16"/>
        <w:szCs w:val="16"/>
      </w:rPr>
    </w:pPr>
  </w:p>
  <w:p w14:paraId="64934152" w14:textId="68763A31" w:rsidR="005F787C" w:rsidRDefault="005F787C" w:rsidP="00851093">
    <w:pPr>
      <w:pStyle w:val="Intestazione"/>
      <w:pBdr>
        <w:bottom w:val="single" w:sz="2" w:space="1" w:color="auto"/>
      </w:pBdr>
      <w:tabs>
        <w:tab w:val="left" w:pos="2613"/>
        <w:tab w:val="left" w:pos="3200"/>
      </w:tabs>
      <w:jc w:val="left"/>
      <w:rPr>
        <w:sz w:val="16"/>
        <w:szCs w:val="16"/>
      </w:rPr>
    </w:pPr>
  </w:p>
  <w:p w14:paraId="003DD204" w14:textId="77777777" w:rsidR="005F787C" w:rsidRDefault="005F787C" w:rsidP="00851093">
    <w:pPr>
      <w:pStyle w:val="Intestazione"/>
      <w:pBdr>
        <w:bottom w:val="single" w:sz="2" w:space="1" w:color="auto"/>
      </w:pBdr>
      <w:tabs>
        <w:tab w:val="left" w:pos="2613"/>
        <w:tab w:val="left" w:pos="3200"/>
      </w:tabs>
      <w:jc w:val="left"/>
      <w:rPr>
        <w:sz w:val="16"/>
        <w:szCs w:val="16"/>
      </w:rPr>
    </w:pPr>
  </w:p>
  <w:p w14:paraId="63BB842C" w14:textId="77777777" w:rsidR="005F787C" w:rsidRDefault="005F787C" w:rsidP="00851093">
    <w:pPr>
      <w:pStyle w:val="Intestazione"/>
      <w:pBdr>
        <w:bottom w:val="single" w:sz="2" w:space="1" w:color="auto"/>
      </w:pBdr>
      <w:tabs>
        <w:tab w:val="left" w:pos="2613"/>
        <w:tab w:val="left" w:pos="3200"/>
      </w:tabs>
      <w:jc w:val="left"/>
      <w:rPr>
        <w:sz w:val="16"/>
        <w:szCs w:val="16"/>
      </w:rPr>
    </w:pPr>
  </w:p>
  <w:p w14:paraId="0FE7935C" w14:textId="77777777" w:rsidR="005F787C" w:rsidRDefault="005F787C" w:rsidP="00851093">
    <w:pPr>
      <w:pStyle w:val="Intestazione"/>
      <w:pBdr>
        <w:bottom w:val="single" w:sz="2" w:space="1" w:color="auto"/>
      </w:pBdr>
      <w:tabs>
        <w:tab w:val="left" w:pos="2613"/>
        <w:tab w:val="left" w:pos="3200"/>
      </w:tabs>
      <w:jc w:val="left"/>
      <w:rPr>
        <w:sz w:val="16"/>
        <w:szCs w:val="16"/>
      </w:rPr>
    </w:pPr>
  </w:p>
  <w:p w14:paraId="291939DB" w14:textId="77777777" w:rsidR="005F787C" w:rsidRPr="00851093" w:rsidRDefault="005F787C" w:rsidP="00851093">
    <w:pPr>
      <w:pStyle w:val="Intestazione"/>
      <w:pBdr>
        <w:bottom w:val="single" w:sz="2" w:space="1" w:color="auto"/>
      </w:pBdr>
      <w:tabs>
        <w:tab w:val="left" w:pos="2613"/>
        <w:tab w:val="left" w:pos="3200"/>
      </w:tabs>
      <w:jc w:val="lef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EE598" w14:textId="77777777" w:rsidR="004B224E" w:rsidRDefault="004B224E">
    <w:pPr>
      <w:pStyle w:val="Intestazione"/>
    </w:pPr>
    <w:r w:rsidRPr="002D3762">
      <w:rPr>
        <w:snapToGrid w:val="0"/>
        <w:color w:val="000000"/>
        <w:w w:val="0"/>
        <w:sz w:val="0"/>
        <w:szCs w:val="0"/>
        <w:u w:color="000000"/>
        <w:bdr w:val="none" w:sz="0" w:space="0" w:color="000000"/>
        <w:shd w:val="clear" w:color="000000" w:fil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9192D"/>
    <w:multiLevelType w:val="hybridMultilevel"/>
    <w:tmpl w:val="9D648C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34830E9"/>
    <w:multiLevelType w:val="hybridMultilevel"/>
    <w:tmpl w:val="31B0781E"/>
    <w:lvl w:ilvl="0" w:tplc="B0ECE414">
      <w:start w:val="1"/>
      <w:numFmt w:val="bullet"/>
      <w:lvlText w:val=""/>
      <w:lvlJc w:val="left"/>
      <w:pPr>
        <w:ind w:left="720" w:hanging="360"/>
      </w:pPr>
      <w:rPr>
        <w:rFonts w:ascii="Symbol" w:hAnsi="Symbol" w:hint="default"/>
        <w:strike w:val="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B63258"/>
    <w:multiLevelType w:val="hybridMultilevel"/>
    <w:tmpl w:val="1E7A9F1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3E92459"/>
    <w:multiLevelType w:val="hybridMultilevel"/>
    <w:tmpl w:val="5F42B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DC5FC3"/>
    <w:multiLevelType w:val="hybridMultilevel"/>
    <w:tmpl w:val="2CAE8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trackedChange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02"/>
    <w:rsid w:val="0000195A"/>
    <w:rsid w:val="00002C12"/>
    <w:rsid w:val="00002E27"/>
    <w:rsid w:val="00002F0C"/>
    <w:rsid w:val="00003318"/>
    <w:rsid w:val="00007209"/>
    <w:rsid w:val="000149FE"/>
    <w:rsid w:val="00020534"/>
    <w:rsid w:val="00024C86"/>
    <w:rsid w:val="000251ED"/>
    <w:rsid w:val="000268C1"/>
    <w:rsid w:val="000313D0"/>
    <w:rsid w:val="00032A42"/>
    <w:rsid w:val="0003400F"/>
    <w:rsid w:val="000435ED"/>
    <w:rsid w:val="000458CF"/>
    <w:rsid w:val="00047010"/>
    <w:rsid w:val="00052395"/>
    <w:rsid w:val="00052516"/>
    <w:rsid w:val="00061089"/>
    <w:rsid w:val="00061E35"/>
    <w:rsid w:val="0006589D"/>
    <w:rsid w:val="00067970"/>
    <w:rsid w:val="00073B14"/>
    <w:rsid w:val="00077198"/>
    <w:rsid w:val="000828A6"/>
    <w:rsid w:val="000865DC"/>
    <w:rsid w:val="0009207A"/>
    <w:rsid w:val="0009610F"/>
    <w:rsid w:val="0009799C"/>
    <w:rsid w:val="00097E9A"/>
    <w:rsid w:val="000A0406"/>
    <w:rsid w:val="000A3456"/>
    <w:rsid w:val="000A553E"/>
    <w:rsid w:val="000A733A"/>
    <w:rsid w:val="000B0BCD"/>
    <w:rsid w:val="000B575C"/>
    <w:rsid w:val="000C003A"/>
    <w:rsid w:val="000C1555"/>
    <w:rsid w:val="000D203E"/>
    <w:rsid w:val="000D5256"/>
    <w:rsid w:val="000D69E5"/>
    <w:rsid w:val="000D7640"/>
    <w:rsid w:val="000E17D1"/>
    <w:rsid w:val="000E6955"/>
    <w:rsid w:val="000F3862"/>
    <w:rsid w:val="000F7CB6"/>
    <w:rsid w:val="0010768A"/>
    <w:rsid w:val="00107D4A"/>
    <w:rsid w:val="00115BE8"/>
    <w:rsid w:val="00115CDF"/>
    <w:rsid w:val="0012510D"/>
    <w:rsid w:val="00126AC8"/>
    <w:rsid w:val="001313C1"/>
    <w:rsid w:val="00131EC0"/>
    <w:rsid w:val="00140A3F"/>
    <w:rsid w:val="00146BCD"/>
    <w:rsid w:val="00147009"/>
    <w:rsid w:val="001534C0"/>
    <w:rsid w:val="0015563B"/>
    <w:rsid w:val="0015611C"/>
    <w:rsid w:val="001572CE"/>
    <w:rsid w:val="00160368"/>
    <w:rsid w:val="001615AD"/>
    <w:rsid w:val="00161EC2"/>
    <w:rsid w:val="00164485"/>
    <w:rsid w:val="00167778"/>
    <w:rsid w:val="00170F64"/>
    <w:rsid w:val="00176583"/>
    <w:rsid w:val="00182DA9"/>
    <w:rsid w:val="001845DF"/>
    <w:rsid w:val="00184DB4"/>
    <w:rsid w:val="0019429B"/>
    <w:rsid w:val="001A3468"/>
    <w:rsid w:val="001A35B3"/>
    <w:rsid w:val="001A5409"/>
    <w:rsid w:val="001A70DA"/>
    <w:rsid w:val="001A7245"/>
    <w:rsid w:val="001A7BA7"/>
    <w:rsid w:val="001B3F93"/>
    <w:rsid w:val="001C12EE"/>
    <w:rsid w:val="001C1DB8"/>
    <w:rsid w:val="001C4A04"/>
    <w:rsid w:val="001D4F5C"/>
    <w:rsid w:val="001E36A1"/>
    <w:rsid w:val="001E437C"/>
    <w:rsid w:val="001E789B"/>
    <w:rsid w:val="001F0AA4"/>
    <w:rsid w:val="001F1801"/>
    <w:rsid w:val="001F25F8"/>
    <w:rsid w:val="001F3EB3"/>
    <w:rsid w:val="00202F6E"/>
    <w:rsid w:val="00207589"/>
    <w:rsid w:val="0021460A"/>
    <w:rsid w:val="00216F93"/>
    <w:rsid w:val="002178FF"/>
    <w:rsid w:val="00224C40"/>
    <w:rsid w:val="00227B34"/>
    <w:rsid w:val="00233F7C"/>
    <w:rsid w:val="002351E9"/>
    <w:rsid w:val="00254BE2"/>
    <w:rsid w:val="00261881"/>
    <w:rsid w:val="00262584"/>
    <w:rsid w:val="00264809"/>
    <w:rsid w:val="0026543B"/>
    <w:rsid w:val="002701CE"/>
    <w:rsid w:val="00273307"/>
    <w:rsid w:val="00283E96"/>
    <w:rsid w:val="00284BD6"/>
    <w:rsid w:val="00286A17"/>
    <w:rsid w:val="0028773A"/>
    <w:rsid w:val="00295F1B"/>
    <w:rsid w:val="002979BE"/>
    <w:rsid w:val="002A6F49"/>
    <w:rsid w:val="002B5B2F"/>
    <w:rsid w:val="002C1088"/>
    <w:rsid w:val="002C1729"/>
    <w:rsid w:val="002C22FA"/>
    <w:rsid w:val="002D3762"/>
    <w:rsid w:val="002D3E8D"/>
    <w:rsid w:val="002D7597"/>
    <w:rsid w:val="002D78BD"/>
    <w:rsid w:val="002E37C5"/>
    <w:rsid w:val="002E4D47"/>
    <w:rsid w:val="002F0AF4"/>
    <w:rsid w:val="002F6528"/>
    <w:rsid w:val="002F6F6E"/>
    <w:rsid w:val="00302CB0"/>
    <w:rsid w:val="003175D9"/>
    <w:rsid w:val="00321D49"/>
    <w:rsid w:val="00325A69"/>
    <w:rsid w:val="00331AD1"/>
    <w:rsid w:val="00346450"/>
    <w:rsid w:val="00346ABC"/>
    <w:rsid w:val="003516B6"/>
    <w:rsid w:val="0035263B"/>
    <w:rsid w:val="0035696B"/>
    <w:rsid w:val="00356D1D"/>
    <w:rsid w:val="0036139B"/>
    <w:rsid w:val="00364602"/>
    <w:rsid w:val="003648AC"/>
    <w:rsid w:val="0036506C"/>
    <w:rsid w:val="003678A4"/>
    <w:rsid w:val="00375A39"/>
    <w:rsid w:val="003825B1"/>
    <w:rsid w:val="003A7274"/>
    <w:rsid w:val="003A7623"/>
    <w:rsid w:val="003A7A09"/>
    <w:rsid w:val="003B50D9"/>
    <w:rsid w:val="003B5CE0"/>
    <w:rsid w:val="003C060B"/>
    <w:rsid w:val="003C2AEC"/>
    <w:rsid w:val="003C68F1"/>
    <w:rsid w:val="003D3270"/>
    <w:rsid w:val="003D3670"/>
    <w:rsid w:val="003D6770"/>
    <w:rsid w:val="003E6C72"/>
    <w:rsid w:val="003F450A"/>
    <w:rsid w:val="00402187"/>
    <w:rsid w:val="0040695F"/>
    <w:rsid w:val="0041163B"/>
    <w:rsid w:val="004134AE"/>
    <w:rsid w:val="004134FF"/>
    <w:rsid w:val="0041716C"/>
    <w:rsid w:val="00420626"/>
    <w:rsid w:val="00421194"/>
    <w:rsid w:val="00421BD4"/>
    <w:rsid w:val="00424593"/>
    <w:rsid w:val="00430EC9"/>
    <w:rsid w:val="004334B9"/>
    <w:rsid w:val="00433ED5"/>
    <w:rsid w:val="0043545C"/>
    <w:rsid w:val="00435E32"/>
    <w:rsid w:val="0043730C"/>
    <w:rsid w:val="00447C1C"/>
    <w:rsid w:val="00452138"/>
    <w:rsid w:val="004527F2"/>
    <w:rsid w:val="004607D5"/>
    <w:rsid w:val="004626C7"/>
    <w:rsid w:val="00464424"/>
    <w:rsid w:val="004670CE"/>
    <w:rsid w:val="0047062A"/>
    <w:rsid w:val="004738DE"/>
    <w:rsid w:val="00474E67"/>
    <w:rsid w:val="004757A1"/>
    <w:rsid w:val="00480222"/>
    <w:rsid w:val="00484BC8"/>
    <w:rsid w:val="00485DF0"/>
    <w:rsid w:val="0048635A"/>
    <w:rsid w:val="00486B1F"/>
    <w:rsid w:val="00491036"/>
    <w:rsid w:val="00495B02"/>
    <w:rsid w:val="004A01CD"/>
    <w:rsid w:val="004A09C9"/>
    <w:rsid w:val="004A177A"/>
    <w:rsid w:val="004A29DB"/>
    <w:rsid w:val="004A4F2A"/>
    <w:rsid w:val="004B224E"/>
    <w:rsid w:val="004B452F"/>
    <w:rsid w:val="004B5739"/>
    <w:rsid w:val="004B6802"/>
    <w:rsid w:val="004B735C"/>
    <w:rsid w:val="004C4F40"/>
    <w:rsid w:val="004D2B7B"/>
    <w:rsid w:val="004D6035"/>
    <w:rsid w:val="004E2076"/>
    <w:rsid w:val="004E3938"/>
    <w:rsid w:val="004E7027"/>
    <w:rsid w:val="004F2E63"/>
    <w:rsid w:val="004F63F3"/>
    <w:rsid w:val="0050113E"/>
    <w:rsid w:val="005013C2"/>
    <w:rsid w:val="005014C9"/>
    <w:rsid w:val="005025ED"/>
    <w:rsid w:val="00503EDA"/>
    <w:rsid w:val="00504513"/>
    <w:rsid w:val="0050454B"/>
    <w:rsid w:val="00504879"/>
    <w:rsid w:val="00507476"/>
    <w:rsid w:val="0051067D"/>
    <w:rsid w:val="00514FB7"/>
    <w:rsid w:val="0052757E"/>
    <w:rsid w:val="00527B68"/>
    <w:rsid w:val="00536C7A"/>
    <w:rsid w:val="0054605D"/>
    <w:rsid w:val="0056089D"/>
    <w:rsid w:val="005623E0"/>
    <w:rsid w:val="00562B16"/>
    <w:rsid w:val="00562F3E"/>
    <w:rsid w:val="0056531D"/>
    <w:rsid w:val="005658BD"/>
    <w:rsid w:val="00571016"/>
    <w:rsid w:val="00572035"/>
    <w:rsid w:val="005721DD"/>
    <w:rsid w:val="005750E9"/>
    <w:rsid w:val="005751CB"/>
    <w:rsid w:val="00575691"/>
    <w:rsid w:val="00582B11"/>
    <w:rsid w:val="00583877"/>
    <w:rsid w:val="00584EB0"/>
    <w:rsid w:val="005873E3"/>
    <w:rsid w:val="005904AF"/>
    <w:rsid w:val="00592D6A"/>
    <w:rsid w:val="005933D1"/>
    <w:rsid w:val="00593572"/>
    <w:rsid w:val="005942A3"/>
    <w:rsid w:val="005A03FC"/>
    <w:rsid w:val="005A0D42"/>
    <w:rsid w:val="005A1207"/>
    <w:rsid w:val="005A6382"/>
    <w:rsid w:val="005B3ACD"/>
    <w:rsid w:val="005C0E20"/>
    <w:rsid w:val="005C11B2"/>
    <w:rsid w:val="005C3593"/>
    <w:rsid w:val="005C5C50"/>
    <w:rsid w:val="005C668F"/>
    <w:rsid w:val="005D0767"/>
    <w:rsid w:val="005D35E9"/>
    <w:rsid w:val="005D4569"/>
    <w:rsid w:val="005D5EEF"/>
    <w:rsid w:val="005E066B"/>
    <w:rsid w:val="005E16C0"/>
    <w:rsid w:val="005E3971"/>
    <w:rsid w:val="005F14C8"/>
    <w:rsid w:val="005F49BD"/>
    <w:rsid w:val="005F6C7F"/>
    <w:rsid w:val="005F787C"/>
    <w:rsid w:val="00612ABB"/>
    <w:rsid w:val="0061393C"/>
    <w:rsid w:val="00622126"/>
    <w:rsid w:val="00623961"/>
    <w:rsid w:val="00624298"/>
    <w:rsid w:val="00625A1A"/>
    <w:rsid w:val="00625A85"/>
    <w:rsid w:val="00633F06"/>
    <w:rsid w:val="006344E1"/>
    <w:rsid w:val="0064021F"/>
    <w:rsid w:val="006432F2"/>
    <w:rsid w:val="006561E7"/>
    <w:rsid w:val="00664973"/>
    <w:rsid w:val="0066700F"/>
    <w:rsid w:val="00670B5F"/>
    <w:rsid w:val="00671323"/>
    <w:rsid w:val="0068237F"/>
    <w:rsid w:val="00684FCF"/>
    <w:rsid w:val="006905D6"/>
    <w:rsid w:val="00691109"/>
    <w:rsid w:val="00693364"/>
    <w:rsid w:val="00694790"/>
    <w:rsid w:val="00695100"/>
    <w:rsid w:val="00695C61"/>
    <w:rsid w:val="00697AAF"/>
    <w:rsid w:val="006A0BF2"/>
    <w:rsid w:val="006A10E4"/>
    <w:rsid w:val="006A383C"/>
    <w:rsid w:val="006A427A"/>
    <w:rsid w:val="006B27BA"/>
    <w:rsid w:val="006B29DD"/>
    <w:rsid w:val="006C0255"/>
    <w:rsid w:val="006C0271"/>
    <w:rsid w:val="006C1A7C"/>
    <w:rsid w:val="006C2FBE"/>
    <w:rsid w:val="006C36D3"/>
    <w:rsid w:val="006C3B5C"/>
    <w:rsid w:val="006C4DF4"/>
    <w:rsid w:val="006C6DE9"/>
    <w:rsid w:val="006C6E61"/>
    <w:rsid w:val="006D298F"/>
    <w:rsid w:val="006D3C3D"/>
    <w:rsid w:val="006D6509"/>
    <w:rsid w:val="006E2E9E"/>
    <w:rsid w:val="006E4643"/>
    <w:rsid w:val="006E4A48"/>
    <w:rsid w:val="006F6E3E"/>
    <w:rsid w:val="00703E28"/>
    <w:rsid w:val="00707A17"/>
    <w:rsid w:val="00717024"/>
    <w:rsid w:val="007237D6"/>
    <w:rsid w:val="00724440"/>
    <w:rsid w:val="00730030"/>
    <w:rsid w:val="00732720"/>
    <w:rsid w:val="00733D27"/>
    <w:rsid w:val="007351F6"/>
    <w:rsid w:val="00740A87"/>
    <w:rsid w:val="00741D79"/>
    <w:rsid w:val="00743303"/>
    <w:rsid w:val="007443E9"/>
    <w:rsid w:val="007469F5"/>
    <w:rsid w:val="0074748F"/>
    <w:rsid w:val="00747F06"/>
    <w:rsid w:val="00750AAA"/>
    <w:rsid w:val="00753C86"/>
    <w:rsid w:val="00757CC6"/>
    <w:rsid w:val="00760BF0"/>
    <w:rsid w:val="00763EF7"/>
    <w:rsid w:val="007672D9"/>
    <w:rsid w:val="00771EF7"/>
    <w:rsid w:val="00773D15"/>
    <w:rsid w:val="00774E62"/>
    <w:rsid w:val="007750D1"/>
    <w:rsid w:val="00775E1B"/>
    <w:rsid w:val="00776064"/>
    <w:rsid w:val="007804CC"/>
    <w:rsid w:val="00780519"/>
    <w:rsid w:val="007816E7"/>
    <w:rsid w:val="00792C4C"/>
    <w:rsid w:val="007A3992"/>
    <w:rsid w:val="007A4858"/>
    <w:rsid w:val="007A63F1"/>
    <w:rsid w:val="007A64EE"/>
    <w:rsid w:val="007B1694"/>
    <w:rsid w:val="007B44FF"/>
    <w:rsid w:val="007B6950"/>
    <w:rsid w:val="007C0B66"/>
    <w:rsid w:val="007C20FE"/>
    <w:rsid w:val="007C3223"/>
    <w:rsid w:val="007C35F2"/>
    <w:rsid w:val="007C3764"/>
    <w:rsid w:val="007C4B27"/>
    <w:rsid w:val="007D1EDF"/>
    <w:rsid w:val="007D32E8"/>
    <w:rsid w:val="007D5AA4"/>
    <w:rsid w:val="007E13FF"/>
    <w:rsid w:val="007F37E0"/>
    <w:rsid w:val="007F63FF"/>
    <w:rsid w:val="007F6848"/>
    <w:rsid w:val="00802A5B"/>
    <w:rsid w:val="00803DE5"/>
    <w:rsid w:val="0081339A"/>
    <w:rsid w:val="00813DE3"/>
    <w:rsid w:val="00823B23"/>
    <w:rsid w:val="00831C9D"/>
    <w:rsid w:val="0083793A"/>
    <w:rsid w:val="00851093"/>
    <w:rsid w:val="00853E99"/>
    <w:rsid w:val="0085601D"/>
    <w:rsid w:val="00856627"/>
    <w:rsid w:val="00864A95"/>
    <w:rsid w:val="00870C19"/>
    <w:rsid w:val="00875043"/>
    <w:rsid w:val="00875FD4"/>
    <w:rsid w:val="008858C8"/>
    <w:rsid w:val="00885B52"/>
    <w:rsid w:val="00887A97"/>
    <w:rsid w:val="00893C10"/>
    <w:rsid w:val="0089484C"/>
    <w:rsid w:val="00896EB3"/>
    <w:rsid w:val="008972E6"/>
    <w:rsid w:val="00897A38"/>
    <w:rsid w:val="008A1AEB"/>
    <w:rsid w:val="008A2057"/>
    <w:rsid w:val="008A4E21"/>
    <w:rsid w:val="008A6E01"/>
    <w:rsid w:val="008B7E41"/>
    <w:rsid w:val="008D062F"/>
    <w:rsid w:val="008D2645"/>
    <w:rsid w:val="008D29AA"/>
    <w:rsid w:val="008D2F7D"/>
    <w:rsid w:val="008D3071"/>
    <w:rsid w:val="008D7331"/>
    <w:rsid w:val="008E050B"/>
    <w:rsid w:val="008E6306"/>
    <w:rsid w:val="008F1BC7"/>
    <w:rsid w:val="008F1C2E"/>
    <w:rsid w:val="008F3A38"/>
    <w:rsid w:val="0090056D"/>
    <w:rsid w:val="00900FA7"/>
    <w:rsid w:val="00915F00"/>
    <w:rsid w:val="009219DA"/>
    <w:rsid w:val="00922C6E"/>
    <w:rsid w:val="00930457"/>
    <w:rsid w:val="009315CD"/>
    <w:rsid w:val="009334E3"/>
    <w:rsid w:val="009526CE"/>
    <w:rsid w:val="009611F1"/>
    <w:rsid w:val="00973C53"/>
    <w:rsid w:val="00991B0A"/>
    <w:rsid w:val="0099794E"/>
    <w:rsid w:val="009A20CC"/>
    <w:rsid w:val="009A328E"/>
    <w:rsid w:val="009A3ED5"/>
    <w:rsid w:val="009A7172"/>
    <w:rsid w:val="009B610A"/>
    <w:rsid w:val="009B6F34"/>
    <w:rsid w:val="009C42A8"/>
    <w:rsid w:val="009C5CE1"/>
    <w:rsid w:val="009C72B2"/>
    <w:rsid w:val="009C78FC"/>
    <w:rsid w:val="009D1C10"/>
    <w:rsid w:val="009D3729"/>
    <w:rsid w:val="009D59AA"/>
    <w:rsid w:val="009D67DC"/>
    <w:rsid w:val="009D7668"/>
    <w:rsid w:val="009E0F23"/>
    <w:rsid w:val="009E20FD"/>
    <w:rsid w:val="009E4DD3"/>
    <w:rsid w:val="009E7B3C"/>
    <w:rsid w:val="009F3C49"/>
    <w:rsid w:val="00A02EB4"/>
    <w:rsid w:val="00A13210"/>
    <w:rsid w:val="00A20A33"/>
    <w:rsid w:val="00A21056"/>
    <w:rsid w:val="00A22364"/>
    <w:rsid w:val="00A23258"/>
    <w:rsid w:val="00A24A6B"/>
    <w:rsid w:val="00A301AA"/>
    <w:rsid w:val="00A30614"/>
    <w:rsid w:val="00A337CE"/>
    <w:rsid w:val="00A4033F"/>
    <w:rsid w:val="00A43CB5"/>
    <w:rsid w:val="00A52092"/>
    <w:rsid w:val="00A5318F"/>
    <w:rsid w:val="00A56617"/>
    <w:rsid w:val="00A611E3"/>
    <w:rsid w:val="00A6177A"/>
    <w:rsid w:val="00A63275"/>
    <w:rsid w:val="00A725D0"/>
    <w:rsid w:val="00A730BA"/>
    <w:rsid w:val="00A76782"/>
    <w:rsid w:val="00A848E5"/>
    <w:rsid w:val="00A9014F"/>
    <w:rsid w:val="00AC3A07"/>
    <w:rsid w:val="00AC5889"/>
    <w:rsid w:val="00AC59FD"/>
    <w:rsid w:val="00AD1FA3"/>
    <w:rsid w:val="00AD3815"/>
    <w:rsid w:val="00AD38CF"/>
    <w:rsid w:val="00AE50F2"/>
    <w:rsid w:val="00AE7C44"/>
    <w:rsid w:val="00AF06EB"/>
    <w:rsid w:val="00AF3CF5"/>
    <w:rsid w:val="00B029B6"/>
    <w:rsid w:val="00B04350"/>
    <w:rsid w:val="00B057C6"/>
    <w:rsid w:val="00B133B9"/>
    <w:rsid w:val="00B152BE"/>
    <w:rsid w:val="00B176F1"/>
    <w:rsid w:val="00B21983"/>
    <w:rsid w:val="00B23B9D"/>
    <w:rsid w:val="00B245A3"/>
    <w:rsid w:val="00B246EF"/>
    <w:rsid w:val="00B25BF8"/>
    <w:rsid w:val="00B34199"/>
    <w:rsid w:val="00B341AE"/>
    <w:rsid w:val="00B3675A"/>
    <w:rsid w:val="00B37398"/>
    <w:rsid w:val="00B41D26"/>
    <w:rsid w:val="00B53EB9"/>
    <w:rsid w:val="00B605A0"/>
    <w:rsid w:val="00B6069F"/>
    <w:rsid w:val="00B63058"/>
    <w:rsid w:val="00B66678"/>
    <w:rsid w:val="00B74650"/>
    <w:rsid w:val="00B76E47"/>
    <w:rsid w:val="00B852C4"/>
    <w:rsid w:val="00B93A50"/>
    <w:rsid w:val="00B9680F"/>
    <w:rsid w:val="00BA12B8"/>
    <w:rsid w:val="00BA2F74"/>
    <w:rsid w:val="00BA4CCC"/>
    <w:rsid w:val="00BA5D78"/>
    <w:rsid w:val="00BA6A81"/>
    <w:rsid w:val="00BA738C"/>
    <w:rsid w:val="00BB1615"/>
    <w:rsid w:val="00BB583E"/>
    <w:rsid w:val="00BC0139"/>
    <w:rsid w:val="00BC3303"/>
    <w:rsid w:val="00BC4B97"/>
    <w:rsid w:val="00BC5846"/>
    <w:rsid w:val="00BD452D"/>
    <w:rsid w:val="00BE5970"/>
    <w:rsid w:val="00BF39B4"/>
    <w:rsid w:val="00BF3C11"/>
    <w:rsid w:val="00C04B49"/>
    <w:rsid w:val="00C07801"/>
    <w:rsid w:val="00C16F93"/>
    <w:rsid w:val="00C226E9"/>
    <w:rsid w:val="00C25B34"/>
    <w:rsid w:val="00C347B9"/>
    <w:rsid w:val="00C35CC4"/>
    <w:rsid w:val="00C420B9"/>
    <w:rsid w:val="00C43522"/>
    <w:rsid w:val="00C50228"/>
    <w:rsid w:val="00C51F61"/>
    <w:rsid w:val="00C52CB7"/>
    <w:rsid w:val="00C55E35"/>
    <w:rsid w:val="00C61791"/>
    <w:rsid w:val="00C61B0B"/>
    <w:rsid w:val="00C71A77"/>
    <w:rsid w:val="00C720C6"/>
    <w:rsid w:val="00C72373"/>
    <w:rsid w:val="00C73A6B"/>
    <w:rsid w:val="00C765C8"/>
    <w:rsid w:val="00C77547"/>
    <w:rsid w:val="00C77B57"/>
    <w:rsid w:val="00C80C91"/>
    <w:rsid w:val="00C82DCF"/>
    <w:rsid w:val="00C83ACE"/>
    <w:rsid w:val="00C86D36"/>
    <w:rsid w:val="00C912C0"/>
    <w:rsid w:val="00CA1B28"/>
    <w:rsid w:val="00CA2679"/>
    <w:rsid w:val="00CA2C0B"/>
    <w:rsid w:val="00CB214E"/>
    <w:rsid w:val="00CB4779"/>
    <w:rsid w:val="00CB57EC"/>
    <w:rsid w:val="00CC3C69"/>
    <w:rsid w:val="00CC41FA"/>
    <w:rsid w:val="00CC76A7"/>
    <w:rsid w:val="00CD2D03"/>
    <w:rsid w:val="00CD4EBB"/>
    <w:rsid w:val="00CE2041"/>
    <w:rsid w:val="00CF182C"/>
    <w:rsid w:val="00CF1C82"/>
    <w:rsid w:val="00CF2ECA"/>
    <w:rsid w:val="00CF4B56"/>
    <w:rsid w:val="00D06810"/>
    <w:rsid w:val="00D1515D"/>
    <w:rsid w:val="00D15552"/>
    <w:rsid w:val="00D24FAB"/>
    <w:rsid w:val="00D274A0"/>
    <w:rsid w:val="00D3198C"/>
    <w:rsid w:val="00D335AF"/>
    <w:rsid w:val="00D346D7"/>
    <w:rsid w:val="00D3726F"/>
    <w:rsid w:val="00D44743"/>
    <w:rsid w:val="00D45EFA"/>
    <w:rsid w:val="00D5008E"/>
    <w:rsid w:val="00D50CA5"/>
    <w:rsid w:val="00D52AA1"/>
    <w:rsid w:val="00D5490D"/>
    <w:rsid w:val="00D61316"/>
    <w:rsid w:val="00D67331"/>
    <w:rsid w:val="00D67779"/>
    <w:rsid w:val="00D71AB4"/>
    <w:rsid w:val="00D756F5"/>
    <w:rsid w:val="00D859D7"/>
    <w:rsid w:val="00D8778F"/>
    <w:rsid w:val="00D972E6"/>
    <w:rsid w:val="00DA215B"/>
    <w:rsid w:val="00DA3DB3"/>
    <w:rsid w:val="00DB0182"/>
    <w:rsid w:val="00DB5FBA"/>
    <w:rsid w:val="00DB782A"/>
    <w:rsid w:val="00DC0FC2"/>
    <w:rsid w:val="00DC3931"/>
    <w:rsid w:val="00DC7E35"/>
    <w:rsid w:val="00DD51EF"/>
    <w:rsid w:val="00DE0DFB"/>
    <w:rsid w:val="00DE2264"/>
    <w:rsid w:val="00DE3B5B"/>
    <w:rsid w:val="00DE53A9"/>
    <w:rsid w:val="00DF00F7"/>
    <w:rsid w:val="00DF1E84"/>
    <w:rsid w:val="00DF2294"/>
    <w:rsid w:val="00DF36A5"/>
    <w:rsid w:val="00DF52F5"/>
    <w:rsid w:val="00DF5534"/>
    <w:rsid w:val="00DF5BB0"/>
    <w:rsid w:val="00DF6093"/>
    <w:rsid w:val="00DF7D06"/>
    <w:rsid w:val="00E01267"/>
    <w:rsid w:val="00E029FB"/>
    <w:rsid w:val="00E04C12"/>
    <w:rsid w:val="00E07925"/>
    <w:rsid w:val="00E116C8"/>
    <w:rsid w:val="00E13F8E"/>
    <w:rsid w:val="00E22790"/>
    <w:rsid w:val="00E27478"/>
    <w:rsid w:val="00E30CB5"/>
    <w:rsid w:val="00E349C4"/>
    <w:rsid w:val="00E35FBB"/>
    <w:rsid w:val="00E44897"/>
    <w:rsid w:val="00E44FF8"/>
    <w:rsid w:val="00E550E3"/>
    <w:rsid w:val="00E6358B"/>
    <w:rsid w:val="00E65333"/>
    <w:rsid w:val="00E65DE8"/>
    <w:rsid w:val="00E7663C"/>
    <w:rsid w:val="00E80022"/>
    <w:rsid w:val="00E8117B"/>
    <w:rsid w:val="00E814EA"/>
    <w:rsid w:val="00E82747"/>
    <w:rsid w:val="00E839AF"/>
    <w:rsid w:val="00E9116D"/>
    <w:rsid w:val="00E9333A"/>
    <w:rsid w:val="00E93DED"/>
    <w:rsid w:val="00E94B3B"/>
    <w:rsid w:val="00EA36C5"/>
    <w:rsid w:val="00EA4E01"/>
    <w:rsid w:val="00EA588D"/>
    <w:rsid w:val="00EA664A"/>
    <w:rsid w:val="00EB055B"/>
    <w:rsid w:val="00EB20F7"/>
    <w:rsid w:val="00EB3AE3"/>
    <w:rsid w:val="00EB4499"/>
    <w:rsid w:val="00EB6BCD"/>
    <w:rsid w:val="00EB6E74"/>
    <w:rsid w:val="00EC43DB"/>
    <w:rsid w:val="00EC45EC"/>
    <w:rsid w:val="00EC469A"/>
    <w:rsid w:val="00ED0C7F"/>
    <w:rsid w:val="00ED20AC"/>
    <w:rsid w:val="00ED334A"/>
    <w:rsid w:val="00ED4CD8"/>
    <w:rsid w:val="00EE325E"/>
    <w:rsid w:val="00EE4042"/>
    <w:rsid w:val="00EE766C"/>
    <w:rsid w:val="00EE7E50"/>
    <w:rsid w:val="00EF12C4"/>
    <w:rsid w:val="00EF2F69"/>
    <w:rsid w:val="00EF314B"/>
    <w:rsid w:val="00EF4800"/>
    <w:rsid w:val="00EF74F0"/>
    <w:rsid w:val="00F00E15"/>
    <w:rsid w:val="00F02CF0"/>
    <w:rsid w:val="00F0365C"/>
    <w:rsid w:val="00F04F63"/>
    <w:rsid w:val="00F07FAE"/>
    <w:rsid w:val="00F1088B"/>
    <w:rsid w:val="00F13CF1"/>
    <w:rsid w:val="00F171FB"/>
    <w:rsid w:val="00F21E09"/>
    <w:rsid w:val="00F23EA6"/>
    <w:rsid w:val="00F25710"/>
    <w:rsid w:val="00F27DE3"/>
    <w:rsid w:val="00F27FA9"/>
    <w:rsid w:val="00F335F2"/>
    <w:rsid w:val="00F33FCD"/>
    <w:rsid w:val="00F34283"/>
    <w:rsid w:val="00F3610B"/>
    <w:rsid w:val="00F36BB9"/>
    <w:rsid w:val="00F465CE"/>
    <w:rsid w:val="00F4759C"/>
    <w:rsid w:val="00F5371D"/>
    <w:rsid w:val="00F537B5"/>
    <w:rsid w:val="00F546BD"/>
    <w:rsid w:val="00F56574"/>
    <w:rsid w:val="00F57138"/>
    <w:rsid w:val="00F617BC"/>
    <w:rsid w:val="00F63B06"/>
    <w:rsid w:val="00F72B38"/>
    <w:rsid w:val="00F74930"/>
    <w:rsid w:val="00F8509D"/>
    <w:rsid w:val="00F86725"/>
    <w:rsid w:val="00F9000B"/>
    <w:rsid w:val="00F90D56"/>
    <w:rsid w:val="00F910D0"/>
    <w:rsid w:val="00FA4D09"/>
    <w:rsid w:val="00FA77A6"/>
    <w:rsid w:val="00FB1AED"/>
    <w:rsid w:val="00FB75B8"/>
    <w:rsid w:val="00FC30BB"/>
    <w:rsid w:val="00FC3557"/>
    <w:rsid w:val="00FC4118"/>
    <w:rsid w:val="00FC4DF6"/>
    <w:rsid w:val="00FC569A"/>
    <w:rsid w:val="00FC7BBB"/>
    <w:rsid w:val="00FD183D"/>
    <w:rsid w:val="00FD19E5"/>
    <w:rsid w:val="00FD5589"/>
    <w:rsid w:val="00FD65F8"/>
    <w:rsid w:val="00FE0AD1"/>
    <w:rsid w:val="00FF3370"/>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F753"/>
  <w15:docId w15:val="{5C294B56-4AA6-4BD2-9550-9B783BF9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1791"/>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6D3C3D"/>
    <w:pPr>
      <w:spacing w:after="0" w:line="240" w:lineRule="auto"/>
    </w:pPr>
    <w:rPr>
      <w:rFonts w:ascii="Calibri" w:hAnsi="Calibri" w:cs="Times New Roman"/>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D3C3D"/>
    <w:pPr>
      <w:ind w:left="720"/>
      <w:contextualSpacing/>
    </w:pPr>
  </w:style>
  <w:style w:type="paragraph" w:customStyle="1" w:styleId="Paragrafoelenco1">
    <w:name w:val="Paragrafo elenco1"/>
    <w:basedOn w:val="Normale"/>
    <w:uiPriority w:val="99"/>
    <w:rsid w:val="006D3C3D"/>
    <w:pPr>
      <w:ind w:left="720"/>
    </w:pPr>
    <w:rPr>
      <w:rFonts w:eastAsia="Calibri"/>
    </w:rPr>
  </w:style>
  <w:style w:type="paragraph" w:customStyle="1" w:styleId="testo2">
    <w:name w:val="testo2"/>
    <w:basedOn w:val="Normale"/>
    <w:uiPriority w:val="99"/>
    <w:rsid w:val="006D3C3D"/>
    <w:pPr>
      <w:widowControl w:val="0"/>
      <w:spacing w:before="120" w:line="360" w:lineRule="auto"/>
    </w:pPr>
  </w:style>
  <w:style w:type="paragraph" w:styleId="Intestazione">
    <w:name w:val="header"/>
    <w:basedOn w:val="Normale"/>
    <w:link w:val="IntestazioneCarattere"/>
    <w:uiPriority w:val="99"/>
    <w:unhideWhenUsed/>
    <w:rsid w:val="00AE50F2"/>
    <w:pPr>
      <w:tabs>
        <w:tab w:val="center" w:pos="4819"/>
        <w:tab w:val="right" w:pos="9638"/>
      </w:tabs>
    </w:pPr>
  </w:style>
  <w:style w:type="character" w:customStyle="1" w:styleId="IntestazioneCarattere">
    <w:name w:val="Intestazione Carattere"/>
    <w:basedOn w:val="Carpredefinitoparagrafo"/>
    <w:link w:val="Intestazione"/>
    <w:uiPriority w:val="99"/>
    <w:rsid w:val="00AE50F2"/>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AE50F2"/>
    <w:pPr>
      <w:tabs>
        <w:tab w:val="center" w:pos="4819"/>
        <w:tab w:val="right" w:pos="9638"/>
      </w:tabs>
    </w:pPr>
  </w:style>
  <w:style w:type="character" w:customStyle="1" w:styleId="PidipaginaCarattere">
    <w:name w:val="Piè di pagina Carattere"/>
    <w:basedOn w:val="Carpredefinitoparagrafo"/>
    <w:link w:val="Pidipagina"/>
    <w:uiPriority w:val="99"/>
    <w:rsid w:val="00AE50F2"/>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63B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3B06"/>
    <w:rPr>
      <w:rFonts w:ascii="Tahoma" w:eastAsia="Times New Roman" w:hAnsi="Tahoma" w:cs="Tahoma"/>
      <w:sz w:val="16"/>
      <w:szCs w:val="16"/>
      <w:lang w:eastAsia="it-IT"/>
    </w:rPr>
  </w:style>
  <w:style w:type="paragraph" w:customStyle="1" w:styleId="Default">
    <w:name w:val="Default"/>
    <w:uiPriority w:val="99"/>
    <w:rsid w:val="00575691"/>
    <w:pPr>
      <w:autoSpaceDE w:val="0"/>
      <w:autoSpaceDN w:val="0"/>
      <w:adjustRightInd w:val="0"/>
      <w:spacing w:after="0" w:line="240" w:lineRule="auto"/>
    </w:pPr>
    <w:rPr>
      <w:rFonts w:ascii="Calibri" w:hAnsi="Calibri" w:cs="Calibri"/>
      <w:color w:val="000000"/>
      <w:sz w:val="24"/>
      <w:szCs w:val="24"/>
    </w:rPr>
  </w:style>
  <w:style w:type="paragraph" w:styleId="Revisione">
    <w:name w:val="Revision"/>
    <w:hidden/>
    <w:uiPriority w:val="99"/>
    <w:semiHidden/>
    <w:rsid w:val="00FC4DF6"/>
    <w:pPr>
      <w:spacing w:after="0" w:line="240" w:lineRule="auto"/>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uiPriority w:val="99"/>
    <w:semiHidden/>
    <w:unhideWhenUsed/>
    <w:rsid w:val="0068237F"/>
    <w:rPr>
      <w:sz w:val="20"/>
    </w:rPr>
  </w:style>
  <w:style w:type="character" w:customStyle="1" w:styleId="TestonotaapidipaginaCarattere">
    <w:name w:val="Testo nota a piè di pagina Carattere"/>
    <w:basedOn w:val="Carpredefinitoparagrafo"/>
    <w:link w:val="Testonotaapidipagina"/>
    <w:uiPriority w:val="99"/>
    <w:semiHidden/>
    <w:rsid w:val="0068237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8237F"/>
    <w:rPr>
      <w:vertAlign w:val="superscript"/>
    </w:rPr>
  </w:style>
  <w:style w:type="paragraph" w:styleId="NormaleWeb">
    <w:name w:val="Normal (Web)"/>
    <w:basedOn w:val="Normale"/>
    <w:uiPriority w:val="99"/>
    <w:unhideWhenUsed/>
    <w:rsid w:val="00775E1B"/>
    <w:pPr>
      <w:spacing w:before="100" w:beforeAutospacing="1" w:after="100" w:afterAutospacing="1"/>
      <w:jc w:val="left"/>
    </w:pPr>
    <w:rPr>
      <w:szCs w:val="24"/>
    </w:rPr>
  </w:style>
  <w:style w:type="paragraph" w:customStyle="1" w:styleId="xmsonormal">
    <w:name w:val="x_msonormal"/>
    <w:basedOn w:val="Normale"/>
    <w:rsid w:val="00B152BE"/>
    <w:pPr>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6425">
      <w:bodyDiv w:val="1"/>
      <w:marLeft w:val="0"/>
      <w:marRight w:val="0"/>
      <w:marTop w:val="0"/>
      <w:marBottom w:val="0"/>
      <w:divBdr>
        <w:top w:val="none" w:sz="0" w:space="0" w:color="auto"/>
        <w:left w:val="none" w:sz="0" w:space="0" w:color="auto"/>
        <w:bottom w:val="none" w:sz="0" w:space="0" w:color="auto"/>
        <w:right w:val="none" w:sz="0" w:space="0" w:color="auto"/>
      </w:divBdr>
    </w:div>
    <w:div w:id="192962910">
      <w:bodyDiv w:val="1"/>
      <w:marLeft w:val="0"/>
      <w:marRight w:val="0"/>
      <w:marTop w:val="0"/>
      <w:marBottom w:val="0"/>
      <w:divBdr>
        <w:top w:val="none" w:sz="0" w:space="0" w:color="auto"/>
        <w:left w:val="none" w:sz="0" w:space="0" w:color="auto"/>
        <w:bottom w:val="none" w:sz="0" w:space="0" w:color="auto"/>
        <w:right w:val="none" w:sz="0" w:space="0" w:color="auto"/>
      </w:divBdr>
    </w:div>
    <w:div w:id="209458393">
      <w:bodyDiv w:val="1"/>
      <w:marLeft w:val="0"/>
      <w:marRight w:val="0"/>
      <w:marTop w:val="0"/>
      <w:marBottom w:val="0"/>
      <w:divBdr>
        <w:top w:val="none" w:sz="0" w:space="0" w:color="auto"/>
        <w:left w:val="none" w:sz="0" w:space="0" w:color="auto"/>
        <w:bottom w:val="none" w:sz="0" w:space="0" w:color="auto"/>
        <w:right w:val="none" w:sz="0" w:space="0" w:color="auto"/>
      </w:divBdr>
    </w:div>
    <w:div w:id="375668221">
      <w:bodyDiv w:val="1"/>
      <w:marLeft w:val="0"/>
      <w:marRight w:val="0"/>
      <w:marTop w:val="0"/>
      <w:marBottom w:val="0"/>
      <w:divBdr>
        <w:top w:val="none" w:sz="0" w:space="0" w:color="auto"/>
        <w:left w:val="none" w:sz="0" w:space="0" w:color="auto"/>
        <w:bottom w:val="none" w:sz="0" w:space="0" w:color="auto"/>
        <w:right w:val="none" w:sz="0" w:space="0" w:color="auto"/>
      </w:divBdr>
    </w:div>
    <w:div w:id="379549862">
      <w:bodyDiv w:val="1"/>
      <w:marLeft w:val="0"/>
      <w:marRight w:val="0"/>
      <w:marTop w:val="0"/>
      <w:marBottom w:val="0"/>
      <w:divBdr>
        <w:top w:val="none" w:sz="0" w:space="0" w:color="auto"/>
        <w:left w:val="none" w:sz="0" w:space="0" w:color="auto"/>
        <w:bottom w:val="none" w:sz="0" w:space="0" w:color="auto"/>
        <w:right w:val="none" w:sz="0" w:space="0" w:color="auto"/>
      </w:divBdr>
    </w:div>
    <w:div w:id="491220476">
      <w:bodyDiv w:val="1"/>
      <w:marLeft w:val="0"/>
      <w:marRight w:val="0"/>
      <w:marTop w:val="0"/>
      <w:marBottom w:val="0"/>
      <w:divBdr>
        <w:top w:val="none" w:sz="0" w:space="0" w:color="auto"/>
        <w:left w:val="none" w:sz="0" w:space="0" w:color="auto"/>
        <w:bottom w:val="none" w:sz="0" w:space="0" w:color="auto"/>
        <w:right w:val="none" w:sz="0" w:space="0" w:color="auto"/>
      </w:divBdr>
    </w:div>
    <w:div w:id="541863287">
      <w:bodyDiv w:val="1"/>
      <w:marLeft w:val="0"/>
      <w:marRight w:val="0"/>
      <w:marTop w:val="0"/>
      <w:marBottom w:val="0"/>
      <w:divBdr>
        <w:top w:val="none" w:sz="0" w:space="0" w:color="auto"/>
        <w:left w:val="none" w:sz="0" w:space="0" w:color="auto"/>
        <w:bottom w:val="none" w:sz="0" w:space="0" w:color="auto"/>
        <w:right w:val="none" w:sz="0" w:space="0" w:color="auto"/>
      </w:divBdr>
    </w:div>
    <w:div w:id="585966754">
      <w:bodyDiv w:val="1"/>
      <w:marLeft w:val="0"/>
      <w:marRight w:val="0"/>
      <w:marTop w:val="0"/>
      <w:marBottom w:val="0"/>
      <w:divBdr>
        <w:top w:val="none" w:sz="0" w:space="0" w:color="auto"/>
        <w:left w:val="none" w:sz="0" w:space="0" w:color="auto"/>
        <w:bottom w:val="none" w:sz="0" w:space="0" w:color="auto"/>
        <w:right w:val="none" w:sz="0" w:space="0" w:color="auto"/>
      </w:divBdr>
    </w:div>
    <w:div w:id="757212766">
      <w:bodyDiv w:val="1"/>
      <w:marLeft w:val="0"/>
      <w:marRight w:val="0"/>
      <w:marTop w:val="0"/>
      <w:marBottom w:val="0"/>
      <w:divBdr>
        <w:top w:val="none" w:sz="0" w:space="0" w:color="auto"/>
        <w:left w:val="none" w:sz="0" w:space="0" w:color="auto"/>
        <w:bottom w:val="none" w:sz="0" w:space="0" w:color="auto"/>
        <w:right w:val="none" w:sz="0" w:space="0" w:color="auto"/>
      </w:divBdr>
    </w:div>
    <w:div w:id="771055119">
      <w:bodyDiv w:val="1"/>
      <w:marLeft w:val="0"/>
      <w:marRight w:val="0"/>
      <w:marTop w:val="0"/>
      <w:marBottom w:val="0"/>
      <w:divBdr>
        <w:top w:val="none" w:sz="0" w:space="0" w:color="auto"/>
        <w:left w:val="none" w:sz="0" w:space="0" w:color="auto"/>
        <w:bottom w:val="none" w:sz="0" w:space="0" w:color="auto"/>
        <w:right w:val="none" w:sz="0" w:space="0" w:color="auto"/>
      </w:divBdr>
    </w:div>
    <w:div w:id="859782031">
      <w:bodyDiv w:val="1"/>
      <w:marLeft w:val="0"/>
      <w:marRight w:val="0"/>
      <w:marTop w:val="0"/>
      <w:marBottom w:val="0"/>
      <w:divBdr>
        <w:top w:val="none" w:sz="0" w:space="0" w:color="auto"/>
        <w:left w:val="none" w:sz="0" w:space="0" w:color="auto"/>
        <w:bottom w:val="none" w:sz="0" w:space="0" w:color="auto"/>
        <w:right w:val="none" w:sz="0" w:space="0" w:color="auto"/>
      </w:divBdr>
    </w:div>
    <w:div w:id="893201504">
      <w:bodyDiv w:val="1"/>
      <w:marLeft w:val="0"/>
      <w:marRight w:val="0"/>
      <w:marTop w:val="0"/>
      <w:marBottom w:val="0"/>
      <w:divBdr>
        <w:top w:val="none" w:sz="0" w:space="0" w:color="auto"/>
        <w:left w:val="none" w:sz="0" w:space="0" w:color="auto"/>
        <w:bottom w:val="none" w:sz="0" w:space="0" w:color="auto"/>
        <w:right w:val="none" w:sz="0" w:space="0" w:color="auto"/>
      </w:divBdr>
    </w:div>
    <w:div w:id="935551748">
      <w:bodyDiv w:val="1"/>
      <w:marLeft w:val="0"/>
      <w:marRight w:val="0"/>
      <w:marTop w:val="0"/>
      <w:marBottom w:val="0"/>
      <w:divBdr>
        <w:top w:val="none" w:sz="0" w:space="0" w:color="auto"/>
        <w:left w:val="none" w:sz="0" w:space="0" w:color="auto"/>
        <w:bottom w:val="none" w:sz="0" w:space="0" w:color="auto"/>
        <w:right w:val="none" w:sz="0" w:space="0" w:color="auto"/>
      </w:divBdr>
    </w:div>
    <w:div w:id="1016998825">
      <w:bodyDiv w:val="1"/>
      <w:marLeft w:val="0"/>
      <w:marRight w:val="0"/>
      <w:marTop w:val="0"/>
      <w:marBottom w:val="0"/>
      <w:divBdr>
        <w:top w:val="none" w:sz="0" w:space="0" w:color="auto"/>
        <w:left w:val="none" w:sz="0" w:space="0" w:color="auto"/>
        <w:bottom w:val="none" w:sz="0" w:space="0" w:color="auto"/>
        <w:right w:val="none" w:sz="0" w:space="0" w:color="auto"/>
      </w:divBdr>
    </w:div>
    <w:div w:id="1028481296">
      <w:bodyDiv w:val="1"/>
      <w:marLeft w:val="0"/>
      <w:marRight w:val="0"/>
      <w:marTop w:val="0"/>
      <w:marBottom w:val="0"/>
      <w:divBdr>
        <w:top w:val="none" w:sz="0" w:space="0" w:color="auto"/>
        <w:left w:val="none" w:sz="0" w:space="0" w:color="auto"/>
        <w:bottom w:val="none" w:sz="0" w:space="0" w:color="auto"/>
        <w:right w:val="none" w:sz="0" w:space="0" w:color="auto"/>
      </w:divBdr>
    </w:div>
    <w:div w:id="1070546005">
      <w:bodyDiv w:val="1"/>
      <w:marLeft w:val="0"/>
      <w:marRight w:val="0"/>
      <w:marTop w:val="0"/>
      <w:marBottom w:val="0"/>
      <w:divBdr>
        <w:top w:val="none" w:sz="0" w:space="0" w:color="auto"/>
        <w:left w:val="none" w:sz="0" w:space="0" w:color="auto"/>
        <w:bottom w:val="none" w:sz="0" w:space="0" w:color="auto"/>
        <w:right w:val="none" w:sz="0" w:space="0" w:color="auto"/>
      </w:divBdr>
    </w:div>
    <w:div w:id="1117024108">
      <w:bodyDiv w:val="1"/>
      <w:marLeft w:val="0"/>
      <w:marRight w:val="0"/>
      <w:marTop w:val="0"/>
      <w:marBottom w:val="0"/>
      <w:divBdr>
        <w:top w:val="none" w:sz="0" w:space="0" w:color="auto"/>
        <w:left w:val="none" w:sz="0" w:space="0" w:color="auto"/>
        <w:bottom w:val="none" w:sz="0" w:space="0" w:color="auto"/>
        <w:right w:val="none" w:sz="0" w:space="0" w:color="auto"/>
      </w:divBdr>
    </w:div>
    <w:div w:id="1139766463">
      <w:bodyDiv w:val="1"/>
      <w:marLeft w:val="0"/>
      <w:marRight w:val="0"/>
      <w:marTop w:val="0"/>
      <w:marBottom w:val="0"/>
      <w:divBdr>
        <w:top w:val="none" w:sz="0" w:space="0" w:color="auto"/>
        <w:left w:val="none" w:sz="0" w:space="0" w:color="auto"/>
        <w:bottom w:val="none" w:sz="0" w:space="0" w:color="auto"/>
        <w:right w:val="none" w:sz="0" w:space="0" w:color="auto"/>
      </w:divBdr>
    </w:div>
    <w:div w:id="1182402209">
      <w:bodyDiv w:val="1"/>
      <w:marLeft w:val="0"/>
      <w:marRight w:val="0"/>
      <w:marTop w:val="0"/>
      <w:marBottom w:val="0"/>
      <w:divBdr>
        <w:top w:val="none" w:sz="0" w:space="0" w:color="auto"/>
        <w:left w:val="none" w:sz="0" w:space="0" w:color="auto"/>
        <w:bottom w:val="none" w:sz="0" w:space="0" w:color="auto"/>
        <w:right w:val="none" w:sz="0" w:space="0" w:color="auto"/>
      </w:divBdr>
    </w:div>
    <w:div w:id="1367562018">
      <w:bodyDiv w:val="1"/>
      <w:marLeft w:val="0"/>
      <w:marRight w:val="0"/>
      <w:marTop w:val="0"/>
      <w:marBottom w:val="0"/>
      <w:divBdr>
        <w:top w:val="none" w:sz="0" w:space="0" w:color="auto"/>
        <w:left w:val="none" w:sz="0" w:space="0" w:color="auto"/>
        <w:bottom w:val="none" w:sz="0" w:space="0" w:color="auto"/>
        <w:right w:val="none" w:sz="0" w:space="0" w:color="auto"/>
      </w:divBdr>
    </w:div>
    <w:div w:id="1651707510">
      <w:bodyDiv w:val="1"/>
      <w:marLeft w:val="0"/>
      <w:marRight w:val="0"/>
      <w:marTop w:val="0"/>
      <w:marBottom w:val="0"/>
      <w:divBdr>
        <w:top w:val="none" w:sz="0" w:space="0" w:color="auto"/>
        <w:left w:val="none" w:sz="0" w:space="0" w:color="auto"/>
        <w:bottom w:val="none" w:sz="0" w:space="0" w:color="auto"/>
        <w:right w:val="none" w:sz="0" w:space="0" w:color="auto"/>
      </w:divBdr>
    </w:div>
    <w:div w:id="1712068703">
      <w:bodyDiv w:val="1"/>
      <w:marLeft w:val="0"/>
      <w:marRight w:val="0"/>
      <w:marTop w:val="0"/>
      <w:marBottom w:val="0"/>
      <w:divBdr>
        <w:top w:val="none" w:sz="0" w:space="0" w:color="auto"/>
        <w:left w:val="none" w:sz="0" w:space="0" w:color="auto"/>
        <w:bottom w:val="none" w:sz="0" w:space="0" w:color="auto"/>
        <w:right w:val="none" w:sz="0" w:space="0" w:color="auto"/>
      </w:divBdr>
    </w:div>
    <w:div w:id="1718823149">
      <w:bodyDiv w:val="1"/>
      <w:marLeft w:val="0"/>
      <w:marRight w:val="0"/>
      <w:marTop w:val="0"/>
      <w:marBottom w:val="0"/>
      <w:divBdr>
        <w:top w:val="none" w:sz="0" w:space="0" w:color="auto"/>
        <w:left w:val="none" w:sz="0" w:space="0" w:color="auto"/>
        <w:bottom w:val="none" w:sz="0" w:space="0" w:color="auto"/>
        <w:right w:val="none" w:sz="0" w:space="0" w:color="auto"/>
      </w:divBdr>
    </w:div>
    <w:div w:id="1768427576">
      <w:bodyDiv w:val="1"/>
      <w:marLeft w:val="0"/>
      <w:marRight w:val="0"/>
      <w:marTop w:val="0"/>
      <w:marBottom w:val="0"/>
      <w:divBdr>
        <w:top w:val="none" w:sz="0" w:space="0" w:color="auto"/>
        <w:left w:val="none" w:sz="0" w:space="0" w:color="auto"/>
        <w:bottom w:val="none" w:sz="0" w:space="0" w:color="auto"/>
        <w:right w:val="none" w:sz="0" w:space="0" w:color="auto"/>
      </w:divBdr>
    </w:div>
    <w:div w:id="1902592278">
      <w:bodyDiv w:val="1"/>
      <w:marLeft w:val="0"/>
      <w:marRight w:val="0"/>
      <w:marTop w:val="0"/>
      <w:marBottom w:val="0"/>
      <w:divBdr>
        <w:top w:val="none" w:sz="0" w:space="0" w:color="auto"/>
        <w:left w:val="none" w:sz="0" w:space="0" w:color="auto"/>
        <w:bottom w:val="none" w:sz="0" w:space="0" w:color="auto"/>
        <w:right w:val="none" w:sz="0" w:space="0" w:color="auto"/>
      </w:divBdr>
    </w:div>
    <w:div w:id="1919291746">
      <w:bodyDiv w:val="1"/>
      <w:marLeft w:val="0"/>
      <w:marRight w:val="0"/>
      <w:marTop w:val="0"/>
      <w:marBottom w:val="0"/>
      <w:divBdr>
        <w:top w:val="none" w:sz="0" w:space="0" w:color="auto"/>
        <w:left w:val="none" w:sz="0" w:space="0" w:color="auto"/>
        <w:bottom w:val="none" w:sz="0" w:space="0" w:color="auto"/>
        <w:right w:val="none" w:sz="0" w:space="0" w:color="auto"/>
      </w:divBdr>
    </w:div>
    <w:div w:id="2013877891">
      <w:bodyDiv w:val="1"/>
      <w:marLeft w:val="0"/>
      <w:marRight w:val="0"/>
      <w:marTop w:val="0"/>
      <w:marBottom w:val="0"/>
      <w:divBdr>
        <w:top w:val="none" w:sz="0" w:space="0" w:color="auto"/>
        <w:left w:val="none" w:sz="0" w:space="0" w:color="auto"/>
        <w:bottom w:val="none" w:sz="0" w:space="0" w:color="auto"/>
        <w:right w:val="none" w:sz="0" w:space="0" w:color="auto"/>
      </w:divBdr>
    </w:div>
    <w:div w:id="2093771933">
      <w:bodyDiv w:val="1"/>
      <w:marLeft w:val="0"/>
      <w:marRight w:val="0"/>
      <w:marTop w:val="0"/>
      <w:marBottom w:val="0"/>
      <w:divBdr>
        <w:top w:val="none" w:sz="0" w:space="0" w:color="auto"/>
        <w:left w:val="none" w:sz="0" w:space="0" w:color="auto"/>
        <w:bottom w:val="none" w:sz="0" w:space="0" w:color="auto"/>
        <w:right w:val="none" w:sz="0" w:space="0" w:color="auto"/>
      </w:divBdr>
    </w:div>
    <w:div w:id="2095079366">
      <w:bodyDiv w:val="1"/>
      <w:marLeft w:val="0"/>
      <w:marRight w:val="0"/>
      <w:marTop w:val="0"/>
      <w:marBottom w:val="0"/>
      <w:divBdr>
        <w:top w:val="none" w:sz="0" w:space="0" w:color="auto"/>
        <w:left w:val="none" w:sz="0" w:space="0" w:color="auto"/>
        <w:bottom w:val="none" w:sz="0" w:space="0" w:color="auto"/>
        <w:right w:val="none" w:sz="0" w:space="0" w:color="auto"/>
      </w:divBdr>
    </w:div>
    <w:div w:id="2131706145">
      <w:bodyDiv w:val="1"/>
      <w:marLeft w:val="0"/>
      <w:marRight w:val="0"/>
      <w:marTop w:val="0"/>
      <w:marBottom w:val="0"/>
      <w:divBdr>
        <w:top w:val="none" w:sz="0" w:space="0" w:color="auto"/>
        <w:left w:val="none" w:sz="0" w:space="0" w:color="auto"/>
        <w:bottom w:val="none" w:sz="0" w:space="0" w:color="auto"/>
        <w:right w:val="none" w:sz="0" w:space="0" w:color="auto"/>
      </w:divBdr>
    </w:div>
    <w:div w:id="2137406574">
      <w:bodyDiv w:val="1"/>
      <w:marLeft w:val="0"/>
      <w:marRight w:val="0"/>
      <w:marTop w:val="0"/>
      <w:marBottom w:val="0"/>
      <w:divBdr>
        <w:top w:val="none" w:sz="0" w:space="0" w:color="auto"/>
        <w:left w:val="none" w:sz="0" w:space="0" w:color="auto"/>
        <w:bottom w:val="none" w:sz="0" w:space="0" w:color="auto"/>
        <w:right w:val="none" w:sz="0" w:space="0" w:color="auto"/>
      </w:divBdr>
    </w:div>
    <w:div w:id="21468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B33D2-184D-4385-A88D-26E2CAD2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3053</Words>
  <Characters>17403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Molignoni</dc:creator>
  <cp:lastModifiedBy>Fimaa Italia</cp:lastModifiedBy>
  <cp:revision>33</cp:revision>
  <cp:lastPrinted>2022-07-28T14:41:00Z</cp:lastPrinted>
  <dcterms:created xsi:type="dcterms:W3CDTF">2022-07-28T06:03:00Z</dcterms:created>
  <dcterms:modified xsi:type="dcterms:W3CDTF">2022-08-01T07:40:00Z</dcterms:modified>
</cp:coreProperties>
</file>