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C1BA7" w14:textId="7165BDC0" w:rsidR="00C11E03" w:rsidRDefault="00C11E03" w:rsidP="00C11E03">
      <w:pPr>
        <w:spacing w:after="0" w:line="240" w:lineRule="auto"/>
        <w:jc w:val="center"/>
        <w:rPr>
          <w:b/>
          <w:bCs/>
          <w:color w:val="C00000"/>
          <w:sz w:val="32"/>
          <w:szCs w:val="32"/>
        </w:rPr>
      </w:pPr>
      <w:r w:rsidRPr="00941235">
        <w:rPr>
          <w:b/>
          <w:bCs/>
          <w:color w:val="C00000"/>
          <w:sz w:val="32"/>
          <w:szCs w:val="32"/>
        </w:rPr>
        <w:t>IL MERCATO DEGLI IMMOBILI AD USO COMMERCIALE E INDUSTRIALE</w:t>
      </w:r>
    </w:p>
    <w:p w14:paraId="672D6A9B" w14:textId="589E5223" w:rsidR="00C11E03" w:rsidRDefault="00C11E03" w:rsidP="00C11E03">
      <w:pPr>
        <w:spacing w:after="0" w:line="240" w:lineRule="auto"/>
        <w:jc w:val="center"/>
        <w:rPr>
          <w:b/>
          <w:bCs/>
          <w:color w:val="C00000"/>
          <w:sz w:val="32"/>
          <w:szCs w:val="32"/>
        </w:rPr>
      </w:pPr>
      <w:r>
        <w:rPr>
          <w:b/>
          <w:bCs/>
          <w:color w:val="C00000"/>
          <w:sz w:val="32"/>
          <w:szCs w:val="32"/>
        </w:rPr>
        <w:t>Indagine ITALIA</w:t>
      </w:r>
    </w:p>
    <w:p w14:paraId="4CC2003A" w14:textId="77777777" w:rsidR="00C11E03" w:rsidRPr="00941235" w:rsidRDefault="00C11E03" w:rsidP="00C11E03">
      <w:pPr>
        <w:spacing w:after="0" w:line="240" w:lineRule="auto"/>
        <w:jc w:val="center"/>
        <w:rPr>
          <w:b/>
          <w:bCs/>
          <w:color w:val="C00000"/>
          <w:sz w:val="32"/>
          <w:szCs w:val="32"/>
        </w:rPr>
      </w:pPr>
    </w:p>
    <w:p w14:paraId="23D5D92C" w14:textId="46B9299C" w:rsidR="0029350F" w:rsidRPr="00C11E03" w:rsidRDefault="00C11E03" w:rsidP="0029350F">
      <w:pPr>
        <w:jc w:val="both"/>
        <w:rPr>
          <w:sz w:val="24"/>
          <w:szCs w:val="24"/>
        </w:rPr>
      </w:pPr>
      <w:r w:rsidRPr="00C11E03">
        <w:rPr>
          <w:sz w:val="24"/>
          <w:szCs w:val="24"/>
        </w:rPr>
        <w:t>“</w:t>
      </w:r>
      <w:r w:rsidR="00F077F1" w:rsidRPr="00C11E03">
        <w:rPr>
          <w:sz w:val="24"/>
          <w:szCs w:val="24"/>
        </w:rPr>
        <w:t>Nella</w:t>
      </w:r>
      <w:r w:rsidR="00560FEC" w:rsidRPr="00C11E03">
        <w:rPr>
          <w:sz w:val="24"/>
          <w:szCs w:val="24"/>
        </w:rPr>
        <w:t xml:space="preserve"> prima parte del 2022, lo scoppio della guerra in Ucraina, ha</w:t>
      </w:r>
      <w:r w:rsidR="00F077F1" w:rsidRPr="00C11E03">
        <w:rPr>
          <w:sz w:val="24"/>
          <w:szCs w:val="24"/>
        </w:rPr>
        <w:t xml:space="preserve"> determinato una maggiore </w:t>
      </w:r>
      <w:r w:rsidR="00560FEC" w:rsidRPr="00C11E03">
        <w:rPr>
          <w:sz w:val="24"/>
          <w:szCs w:val="24"/>
        </w:rPr>
        <w:t xml:space="preserve">fragilità del quadro economico </w:t>
      </w:r>
      <w:r w:rsidR="00F077F1" w:rsidRPr="00C11E03">
        <w:rPr>
          <w:sz w:val="24"/>
          <w:szCs w:val="24"/>
        </w:rPr>
        <w:t>mondiale</w:t>
      </w:r>
      <w:r w:rsidR="00560FEC" w:rsidRPr="00C11E03">
        <w:rPr>
          <w:sz w:val="24"/>
          <w:szCs w:val="24"/>
        </w:rPr>
        <w:t xml:space="preserve"> </w:t>
      </w:r>
      <w:r w:rsidR="00F077F1" w:rsidRPr="00C11E03">
        <w:rPr>
          <w:sz w:val="24"/>
          <w:szCs w:val="24"/>
        </w:rPr>
        <w:t xml:space="preserve">che risente dell’inflazione elevata, delle peggiorate condizioni finanziarie, della </w:t>
      </w:r>
      <w:r w:rsidR="00560FEC" w:rsidRPr="00C11E03">
        <w:rPr>
          <w:sz w:val="24"/>
          <w:szCs w:val="24"/>
        </w:rPr>
        <w:t xml:space="preserve">rottura delle catene del valore, dell’aumento dei costi energetici. </w:t>
      </w:r>
      <w:r w:rsidR="00CF0A5E" w:rsidRPr="00C11E03">
        <w:rPr>
          <w:sz w:val="24"/>
          <w:szCs w:val="24"/>
        </w:rPr>
        <w:t>La situazione</w:t>
      </w:r>
      <w:r w:rsidRPr="00C11E03">
        <w:rPr>
          <w:sz w:val="24"/>
          <w:szCs w:val="24"/>
        </w:rPr>
        <w:t xml:space="preserve"> - afferma </w:t>
      </w:r>
      <w:r w:rsidRPr="00C11E03">
        <w:rPr>
          <w:b/>
          <w:bCs/>
          <w:i/>
          <w:iCs/>
          <w:sz w:val="24"/>
          <w:szCs w:val="24"/>
        </w:rPr>
        <w:t>Fabiana Megliola, Responsabile Ufficio Studi Gruppo Tecnocasa</w:t>
      </w:r>
      <w:r w:rsidRPr="00C11E03">
        <w:rPr>
          <w:sz w:val="24"/>
          <w:szCs w:val="24"/>
        </w:rPr>
        <w:t xml:space="preserve"> -</w:t>
      </w:r>
      <w:r w:rsidR="00CF0A5E" w:rsidRPr="00C11E03">
        <w:rPr>
          <w:sz w:val="24"/>
          <w:szCs w:val="24"/>
        </w:rPr>
        <w:t xml:space="preserve"> è simile anche in Italia in cui</w:t>
      </w:r>
      <w:r w:rsidR="00F077F1" w:rsidRPr="00C11E03">
        <w:rPr>
          <w:sz w:val="24"/>
          <w:szCs w:val="24"/>
        </w:rPr>
        <w:t>,</w:t>
      </w:r>
      <w:r w:rsidR="00CF0A5E" w:rsidRPr="00C11E03">
        <w:rPr>
          <w:sz w:val="24"/>
          <w:szCs w:val="24"/>
        </w:rPr>
        <w:t xml:space="preserve"> le stesse motivazioni</w:t>
      </w:r>
      <w:r w:rsidR="00F077F1" w:rsidRPr="00C11E03">
        <w:rPr>
          <w:sz w:val="24"/>
          <w:szCs w:val="24"/>
        </w:rPr>
        <w:t>,</w:t>
      </w:r>
      <w:r w:rsidR="00CF0A5E" w:rsidRPr="00C11E03">
        <w:rPr>
          <w:sz w:val="24"/>
          <w:szCs w:val="24"/>
        </w:rPr>
        <w:t xml:space="preserve"> hanno portato a un rallentamento del</w:t>
      </w:r>
      <w:r w:rsidR="00FF38C8" w:rsidRPr="00C11E03">
        <w:rPr>
          <w:sz w:val="24"/>
          <w:szCs w:val="24"/>
        </w:rPr>
        <w:t>la crescita del Pil che, s</w:t>
      </w:r>
      <w:r w:rsidR="00CF0A5E" w:rsidRPr="00C11E03">
        <w:rPr>
          <w:sz w:val="24"/>
          <w:szCs w:val="24"/>
        </w:rPr>
        <w:t>econdo le previsioni</w:t>
      </w:r>
      <w:r w:rsidR="00583955" w:rsidRPr="00C11E03">
        <w:rPr>
          <w:sz w:val="24"/>
          <w:szCs w:val="24"/>
        </w:rPr>
        <w:t xml:space="preserve"> dell’Istat</w:t>
      </w:r>
      <w:r w:rsidR="00887A02" w:rsidRPr="00C11E03">
        <w:rPr>
          <w:sz w:val="24"/>
          <w:szCs w:val="24"/>
        </w:rPr>
        <w:t>,</w:t>
      </w:r>
      <w:r w:rsidR="00CF0A5E" w:rsidRPr="00C11E03">
        <w:rPr>
          <w:sz w:val="24"/>
          <w:szCs w:val="24"/>
        </w:rPr>
        <w:t xml:space="preserve"> nel 2022</w:t>
      </w:r>
      <w:r w:rsidR="00FF38C8" w:rsidRPr="00C11E03">
        <w:rPr>
          <w:sz w:val="24"/>
          <w:szCs w:val="24"/>
        </w:rPr>
        <w:t xml:space="preserve"> </w:t>
      </w:r>
      <w:r w:rsidR="00CF0A5E" w:rsidRPr="00C11E03">
        <w:rPr>
          <w:sz w:val="24"/>
          <w:szCs w:val="24"/>
        </w:rPr>
        <w:t xml:space="preserve">dovrebbe </w:t>
      </w:r>
      <w:r w:rsidR="00FF38C8" w:rsidRPr="00C11E03">
        <w:rPr>
          <w:sz w:val="24"/>
          <w:szCs w:val="24"/>
        </w:rPr>
        <w:t>registrare un +</w:t>
      </w:r>
      <w:r w:rsidR="00583955" w:rsidRPr="00C11E03">
        <w:rPr>
          <w:sz w:val="24"/>
          <w:szCs w:val="24"/>
        </w:rPr>
        <w:t xml:space="preserve"> </w:t>
      </w:r>
      <w:r w:rsidR="00CF0A5E" w:rsidRPr="00C11E03">
        <w:rPr>
          <w:sz w:val="24"/>
          <w:szCs w:val="24"/>
        </w:rPr>
        <w:t>3</w:t>
      </w:r>
      <w:r w:rsidR="00583955" w:rsidRPr="00C11E03">
        <w:rPr>
          <w:sz w:val="24"/>
          <w:szCs w:val="24"/>
        </w:rPr>
        <w:t>,9%</w:t>
      </w:r>
      <w:r w:rsidR="00CF0A5E" w:rsidRPr="00C11E03">
        <w:rPr>
          <w:sz w:val="24"/>
          <w:szCs w:val="24"/>
        </w:rPr>
        <w:t xml:space="preserve">. </w:t>
      </w:r>
      <w:r w:rsidR="00CF3E7A" w:rsidRPr="00C11E03">
        <w:rPr>
          <w:sz w:val="24"/>
          <w:szCs w:val="24"/>
        </w:rPr>
        <w:t>I dati sull’occupazione</w:t>
      </w:r>
      <w:r w:rsidR="00FF38C8" w:rsidRPr="00C11E03">
        <w:rPr>
          <w:sz w:val="24"/>
          <w:szCs w:val="24"/>
        </w:rPr>
        <w:t xml:space="preserve"> sempre s</w:t>
      </w:r>
      <w:r w:rsidR="005E30C1" w:rsidRPr="00C11E03">
        <w:rPr>
          <w:sz w:val="24"/>
          <w:szCs w:val="24"/>
        </w:rPr>
        <w:t>econdo l’Istat sale al 60,2% (+0,2 punti)</w:t>
      </w:r>
      <w:r w:rsidR="00583955" w:rsidRPr="00C11E03">
        <w:rPr>
          <w:sz w:val="24"/>
          <w:szCs w:val="24"/>
        </w:rPr>
        <w:t xml:space="preserve"> mentre</w:t>
      </w:r>
      <w:r w:rsidR="00646493" w:rsidRPr="00C11E03">
        <w:rPr>
          <w:sz w:val="24"/>
          <w:szCs w:val="24"/>
        </w:rPr>
        <w:t xml:space="preserve"> </w:t>
      </w:r>
      <w:r w:rsidR="00583955" w:rsidRPr="00C11E03">
        <w:rPr>
          <w:sz w:val="24"/>
          <w:szCs w:val="24"/>
        </w:rPr>
        <w:t>g</w:t>
      </w:r>
      <w:r w:rsidR="00646493" w:rsidRPr="00C11E03">
        <w:rPr>
          <w:sz w:val="24"/>
          <w:szCs w:val="24"/>
        </w:rPr>
        <w:t>li indici di fiducia di imprese e consumatori sono in</w:t>
      </w:r>
      <w:r w:rsidR="00F077F1" w:rsidRPr="00C11E03">
        <w:rPr>
          <w:sz w:val="24"/>
          <w:szCs w:val="24"/>
        </w:rPr>
        <w:t xml:space="preserve"> diminuzione</w:t>
      </w:r>
      <w:r w:rsidR="00646493" w:rsidRPr="00C11E03">
        <w:rPr>
          <w:sz w:val="24"/>
          <w:szCs w:val="24"/>
        </w:rPr>
        <w:t xml:space="preserve"> nel mese di ottobre</w:t>
      </w:r>
      <w:r w:rsidR="0029350F" w:rsidRPr="00C11E03">
        <w:rPr>
          <w:sz w:val="24"/>
          <w:szCs w:val="24"/>
        </w:rPr>
        <w:t xml:space="preserve">: </w:t>
      </w:r>
      <w:r w:rsidR="00FF38C8" w:rsidRPr="00C11E03">
        <w:rPr>
          <w:sz w:val="24"/>
          <w:szCs w:val="24"/>
        </w:rPr>
        <w:t>il</w:t>
      </w:r>
      <w:r w:rsidR="00646493" w:rsidRPr="00C11E03">
        <w:rPr>
          <w:sz w:val="24"/>
          <w:szCs w:val="24"/>
        </w:rPr>
        <w:t xml:space="preserve"> clima di fiducia dei consumatori </w:t>
      </w:r>
      <w:r w:rsidR="00FF38C8" w:rsidRPr="00C11E03">
        <w:rPr>
          <w:sz w:val="24"/>
          <w:szCs w:val="24"/>
        </w:rPr>
        <w:t xml:space="preserve">passa </w:t>
      </w:r>
      <w:r w:rsidR="00646493" w:rsidRPr="00C11E03">
        <w:rPr>
          <w:sz w:val="24"/>
          <w:szCs w:val="24"/>
        </w:rPr>
        <w:t xml:space="preserve">da 94,8 a 90,1, con una dinamica negativa per il secondo mese consecutivo, toccando il livello più basso da maggio 2013. </w:t>
      </w:r>
      <w:r w:rsidR="00583955" w:rsidRPr="00C11E03">
        <w:rPr>
          <w:sz w:val="24"/>
          <w:szCs w:val="24"/>
        </w:rPr>
        <w:t>A</w:t>
      </w:r>
      <w:r w:rsidR="00646493" w:rsidRPr="00C11E03">
        <w:rPr>
          <w:sz w:val="24"/>
          <w:szCs w:val="24"/>
        </w:rPr>
        <w:t>nche l’indice del clima di fiducia delle imprese diminuisce per il quarto mese consecutivo, passando da 105,1 a 104,5</w:t>
      </w:r>
      <w:r w:rsidR="00A00074" w:rsidRPr="00C11E03">
        <w:rPr>
          <w:sz w:val="24"/>
          <w:szCs w:val="24"/>
        </w:rPr>
        <w:t xml:space="preserve">. </w:t>
      </w:r>
      <w:r w:rsidR="0029350F" w:rsidRPr="00C11E03">
        <w:rPr>
          <w:sz w:val="24"/>
          <w:szCs w:val="24"/>
        </w:rPr>
        <w:t>L’inflazione</w:t>
      </w:r>
      <w:r w:rsidR="00691421" w:rsidRPr="00C11E03">
        <w:rPr>
          <w:sz w:val="24"/>
          <w:szCs w:val="24"/>
        </w:rPr>
        <w:t xml:space="preserve">, al contrario, </w:t>
      </w:r>
      <w:r w:rsidR="0029350F" w:rsidRPr="00C11E03">
        <w:rPr>
          <w:sz w:val="24"/>
          <w:szCs w:val="24"/>
        </w:rPr>
        <w:t>continua a salire e a ottobre tocca + 11,9%.</w:t>
      </w:r>
    </w:p>
    <w:p w14:paraId="2DD18FF2" w14:textId="796DE2A5" w:rsidR="00E1077C" w:rsidRPr="00C11E03" w:rsidRDefault="0029350F" w:rsidP="0029350F">
      <w:pPr>
        <w:jc w:val="both"/>
        <w:rPr>
          <w:sz w:val="24"/>
          <w:szCs w:val="24"/>
        </w:rPr>
      </w:pPr>
      <w:r w:rsidRPr="00C11E03">
        <w:rPr>
          <w:sz w:val="24"/>
          <w:szCs w:val="24"/>
        </w:rPr>
        <w:t>In questo quadro economico incerto le compravendite degli immobili per l’impresa</w:t>
      </w:r>
      <w:r w:rsidR="00E1077C" w:rsidRPr="00C11E03">
        <w:rPr>
          <w:sz w:val="24"/>
          <w:szCs w:val="24"/>
        </w:rPr>
        <w:t xml:space="preserve"> nel primo semestre del 2022</w:t>
      </w:r>
      <w:r w:rsidRPr="00C11E03">
        <w:rPr>
          <w:sz w:val="24"/>
          <w:szCs w:val="24"/>
        </w:rPr>
        <w:t xml:space="preserve"> </w:t>
      </w:r>
      <w:r w:rsidR="00E1077C" w:rsidRPr="00C11E03">
        <w:rPr>
          <w:sz w:val="24"/>
          <w:szCs w:val="24"/>
        </w:rPr>
        <w:t>ved</w:t>
      </w:r>
      <w:r w:rsidR="00082074" w:rsidRPr="00C11E03">
        <w:rPr>
          <w:sz w:val="24"/>
          <w:szCs w:val="24"/>
        </w:rPr>
        <w:t>ono</w:t>
      </w:r>
      <w:r w:rsidR="00E1077C" w:rsidRPr="00C11E03">
        <w:rPr>
          <w:sz w:val="24"/>
          <w:szCs w:val="24"/>
        </w:rPr>
        <w:t xml:space="preserve"> un aumento del 12,5% per il settore produttivo, del 9,2% per i depositi, dell’8,5% per il settore commerciale e del 6% per il settore terziario rispetto allo stesso periodo del 2021. </w:t>
      </w:r>
    </w:p>
    <w:p w14:paraId="7750EEEE" w14:textId="694DA285" w:rsidR="003800B3" w:rsidRPr="00C11E03" w:rsidRDefault="003800B3" w:rsidP="003800B3">
      <w:pPr>
        <w:jc w:val="both"/>
        <w:rPr>
          <w:b/>
          <w:bCs/>
          <w:color w:val="C00000"/>
          <w:sz w:val="28"/>
          <w:szCs w:val="28"/>
        </w:rPr>
      </w:pPr>
      <w:r w:rsidRPr="00C11E03">
        <w:rPr>
          <w:b/>
          <w:bCs/>
          <w:color w:val="C00000"/>
          <w:sz w:val="28"/>
          <w:szCs w:val="28"/>
        </w:rPr>
        <w:t>CAPANNONI</w:t>
      </w:r>
      <w:r w:rsidR="00F23B36" w:rsidRPr="00C11E03">
        <w:rPr>
          <w:b/>
          <w:bCs/>
          <w:color w:val="C00000"/>
          <w:sz w:val="28"/>
          <w:szCs w:val="28"/>
        </w:rPr>
        <w:t xml:space="preserve"> </w:t>
      </w:r>
    </w:p>
    <w:tbl>
      <w:tblPr>
        <w:tblW w:w="9796" w:type="dxa"/>
        <w:tblInd w:w="55" w:type="dxa"/>
        <w:tblCellMar>
          <w:left w:w="70" w:type="dxa"/>
          <w:right w:w="70" w:type="dxa"/>
        </w:tblCellMar>
        <w:tblLook w:val="04A0" w:firstRow="1" w:lastRow="0" w:firstColumn="1" w:lastColumn="0" w:noHBand="0" w:noVBand="1"/>
      </w:tblPr>
      <w:tblGrid>
        <w:gridCol w:w="1940"/>
        <w:gridCol w:w="2020"/>
        <w:gridCol w:w="2200"/>
        <w:gridCol w:w="1940"/>
        <w:gridCol w:w="1696"/>
      </w:tblGrid>
      <w:tr w:rsidR="00887A02" w:rsidRPr="001358CA" w14:paraId="4D738AB2" w14:textId="77777777" w:rsidTr="001A343F">
        <w:trPr>
          <w:gridBefore w:val="1"/>
          <w:wBefore w:w="1940" w:type="dxa"/>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C8F9" w14:textId="77777777" w:rsidR="00887A02" w:rsidRPr="00F6412C" w:rsidRDefault="00887A02" w:rsidP="00307FD2">
            <w:pPr>
              <w:spacing w:after="0" w:line="240" w:lineRule="auto"/>
              <w:rPr>
                <w:rFonts w:ascii="Calibri" w:eastAsia="Times New Roman" w:hAnsi="Calibri" w:cs="Times New Roman"/>
                <w:b/>
                <w:bCs/>
                <w:lang w:eastAsia="it-IT"/>
              </w:rPr>
            </w:pPr>
          </w:p>
          <w:p w14:paraId="6685E82C" w14:textId="770D56B7" w:rsidR="00887A02" w:rsidRPr="00F6412C" w:rsidRDefault="00887A02" w:rsidP="00307FD2">
            <w:pPr>
              <w:spacing w:after="0" w:line="240" w:lineRule="auto"/>
              <w:rPr>
                <w:rFonts w:ascii="Calibri" w:eastAsia="Times New Roman" w:hAnsi="Calibri" w:cs="Times New Roman"/>
                <w:b/>
                <w:bCs/>
                <w:lang w:eastAsia="it-IT"/>
              </w:rPr>
            </w:pPr>
            <w:r w:rsidRPr="00F6412C">
              <w:rPr>
                <w:rFonts w:ascii="Calibri" w:eastAsia="Times New Roman" w:hAnsi="Calibri" w:cs="Times New Roman"/>
                <w:b/>
                <w:bCs/>
                <w:lang w:eastAsia="it-IT"/>
              </w:rPr>
              <w:t>Nuovo vicino alle arterie</w:t>
            </w:r>
            <w:r>
              <w:rPr>
                <w:rFonts w:ascii="Calibri" w:eastAsia="Times New Roman" w:hAnsi="Calibri" w:cs="Times New Roman"/>
                <w:b/>
                <w:bCs/>
                <w:lang w:eastAsia="it-IT"/>
              </w:rPr>
              <w:t xml:space="preserve"> </w:t>
            </w:r>
            <w:r w:rsidRPr="00F6412C">
              <w:rPr>
                <w:rFonts w:ascii="Calibri" w:eastAsia="Times New Roman" w:hAnsi="Calibri" w:cs="Times New Roman"/>
                <w:b/>
                <w:bCs/>
                <w:lang w:eastAsia="it-IT"/>
              </w:rPr>
              <w:t>di comunicazione</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3A28D998" w14:textId="77777777" w:rsidR="00887A02" w:rsidRPr="00F6412C" w:rsidRDefault="00887A02" w:rsidP="00307FD2">
            <w:pPr>
              <w:spacing w:after="0" w:line="240" w:lineRule="auto"/>
              <w:rPr>
                <w:rFonts w:ascii="Calibri" w:eastAsia="Times New Roman" w:hAnsi="Calibri" w:cs="Times New Roman"/>
                <w:b/>
                <w:bCs/>
                <w:lang w:eastAsia="it-IT"/>
              </w:rPr>
            </w:pPr>
            <w:r w:rsidRPr="00F6412C">
              <w:rPr>
                <w:rFonts w:ascii="Calibri" w:eastAsia="Times New Roman" w:hAnsi="Calibri" w:cs="Times New Roman"/>
                <w:b/>
                <w:bCs/>
                <w:lang w:eastAsia="it-IT"/>
              </w:rPr>
              <w:t>Nuovo lontano dalle arterie di comunicazione</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4C306E7D" w14:textId="77777777" w:rsidR="00887A02" w:rsidRPr="00F6412C" w:rsidRDefault="00887A02" w:rsidP="00307FD2">
            <w:pPr>
              <w:spacing w:after="0" w:line="240" w:lineRule="auto"/>
              <w:rPr>
                <w:rFonts w:ascii="Calibri" w:eastAsia="Times New Roman" w:hAnsi="Calibri" w:cs="Times New Roman"/>
                <w:b/>
                <w:bCs/>
                <w:lang w:eastAsia="it-IT"/>
              </w:rPr>
            </w:pPr>
            <w:r w:rsidRPr="00F6412C">
              <w:rPr>
                <w:rFonts w:ascii="Calibri" w:eastAsia="Times New Roman" w:hAnsi="Calibri" w:cs="Times New Roman"/>
                <w:b/>
                <w:bCs/>
                <w:lang w:eastAsia="it-IT"/>
              </w:rPr>
              <w:t xml:space="preserve">Usato vicino alle arterie di comunicazione </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790B9C2E" w14:textId="3CC1EF7D" w:rsidR="00887A02" w:rsidRPr="00F6412C" w:rsidRDefault="00887A02" w:rsidP="00307FD2">
            <w:pPr>
              <w:spacing w:after="0" w:line="240" w:lineRule="auto"/>
              <w:rPr>
                <w:rFonts w:ascii="Calibri" w:eastAsia="Times New Roman" w:hAnsi="Calibri" w:cs="Times New Roman"/>
                <w:b/>
                <w:bCs/>
                <w:lang w:eastAsia="it-IT"/>
              </w:rPr>
            </w:pPr>
            <w:r w:rsidRPr="00F6412C">
              <w:rPr>
                <w:rFonts w:ascii="Calibri" w:eastAsia="Times New Roman" w:hAnsi="Calibri" w:cs="Times New Roman"/>
                <w:b/>
                <w:bCs/>
                <w:lang w:eastAsia="it-IT"/>
              </w:rPr>
              <w:t>Usato lontano dalle arterie di comunicazione</w:t>
            </w:r>
          </w:p>
        </w:tc>
      </w:tr>
      <w:tr w:rsidR="00887A02" w:rsidRPr="001358CA" w14:paraId="7BB20246" w14:textId="77777777" w:rsidTr="001A343F">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C9D69" w14:textId="77777777" w:rsidR="00887A02" w:rsidRPr="001358CA" w:rsidRDefault="00887A02" w:rsidP="001A343F">
            <w:pPr>
              <w:spacing w:after="0" w:line="240" w:lineRule="auto"/>
              <w:jc w:val="both"/>
              <w:rPr>
                <w:rFonts w:ascii="Calibri" w:eastAsia="Times New Roman" w:hAnsi="Calibri" w:cs="Times New Roman"/>
                <w:b/>
                <w:bCs/>
                <w:color w:val="FF0000"/>
                <w:highlight w:val="yellow"/>
                <w:lang w:eastAsia="it-IT"/>
              </w:rPr>
            </w:pPr>
            <w:r w:rsidRPr="00F6412C">
              <w:rPr>
                <w:rFonts w:ascii="Calibri" w:eastAsia="Times New Roman" w:hAnsi="Calibri" w:cs="Times New Roman"/>
                <w:b/>
                <w:bCs/>
                <w:lang w:eastAsia="it-IT"/>
              </w:rPr>
              <w:t xml:space="preserve">Prezzi </w:t>
            </w:r>
          </w:p>
        </w:tc>
        <w:tc>
          <w:tcPr>
            <w:tcW w:w="2020" w:type="dxa"/>
            <w:tcBorders>
              <w:top w:val="single" w:sz="4" w:space="0" w:color="auto"/>
              <w:left w:val="nil"/>
              <w:bottom w:val="single" w:sz="4" w:space="0" w:color="auto"/>
              <w:right w:val="single" w:sz="4" w:space="0" w:color="auto"/>
            </w:tcBorders>
            <w:shd w:val="clear" w:color="auto" w:fill="auto"/>
            <w:noWrap/>
            <w:vAlign w:val="bottom"/>
          </w:tcPr>
          <w:p w14:paraId="674FC1AC" w14:textId="74142B12"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+1,3%</w:t>
            </w:r>
          </w:p>
        </w:tc>
        <w:tc>
          <w:tcPr>
            <w:tcW w:w="2200" w:type="dxa"/>
            <w:tcBorders>
              <w:top w:val="single" w:sz="4" w:space="0" w:color="auto"/>
              <w:left w:val="nil"/>
              <w:bottom w:val="single" w:sz="4" w:space="0" w:color="auto"/>
              <w:right w:val="single" w:sz="4" w:space="0" w:color="auto"/>
            </w:tcBorders>
            <w:shd w:val="clear" w:color="auto" w:fill="auto"/>
            <w:noWrap/>
            <w:vAlign w:val="bottom"/>
          </w:tcPr>
          <w:p w14:paraId="79C5DF56" w14:textId="13B68282"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+1,0%</w:t>
            </w:r>
          </w:p>
        </w:tc>
        <w:tc>
          <w:tcPr>
            <w:tcW w:w="1940" w:type="dxa"/>
            <w:tcBorders>
              <w:top w:val="single" w:sz="4" w:space="0" w:color="auto"/>
              <w:left w:val="nil"/>
              <w:bottom w:val="single" w:sz="4" w:space="0" w:color="auto"/>
              <w:right w:val="single" w:sz="4" w:space="0" w:color="auto"/>
            </w:tcBorders>
            <w:shd w:val="clear" w:color="auto" w:fill="auto"/>
            <w:noWrap/>
            <w:vAlign w:val="bottom"/>
          </w:tcPr>
          <w:p w14:paraId="3715F01C" w14:textId="6D876293"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+1,3%</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5FA94467" w14:textId="34A26987"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+1,8%</w:t>
            </w:r>
          </w:p>
        </w:tc>
      </w:tr>
      <w:tr w:rsidR="00887A02" w:rsidRPr="001358CA" w14:paraId="37E64AF7" w14:textId="77777777" w:rsidTr="001A343F">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E35FB" w14:textId="77777777" w:rsidR="00887A02" w:rsidRPr="00F6412C" w:rsidRDefault="00887A02" w:rsidP="001A343F">
            <w:pPr>
              <w:spacing w:after="0" w:line="240" w:lineRule="auto"/>
              <w:jc w:val="both"/>
              <w:rPr>
                <w:rFonts w:ascii="Calibri" w:eastAsia="Times New Roman" w:hAnsi="Calibri" w:cs="Times New Roman"/>
                <w:b/>
                <w:bCs/>
                <w:lang w:eastAsia="it-IT"/>
              </w:rPr>
            </w:pPr>
            <w:r w:rsidRPr="00F6412C">
              <w:rPr>
                <w:rFonts w:ascii="Calibri" w:eastAsia="Times New Roman" w:hAnsi="Calibri" w:cs="Times New Roman"/>
                <w:b/>
                <w:bCs/>
                <w:lang w:eastAsia="it-IT"/>
              </w:rPr>
              <w:t>Canoni di locazione</w:t>
            </w:r>
          </w:p>
        </w:tc>
        <w:tc>
          <w:tcPr>
            <w:tcW w:w="2020" w:type="dxa"/>
            <w:tcBorders>
              <w:top w:val="single" w:sz="4" w:space="0" w:color="auto"/>
              <w:left w:val="nil"/>
              <w:bottom w:val="single" w:sz="4" w:space="0" w:color="auto"/>
              <w:right w:val="single" w:sz="4" w:space="0" w:color="auto"/>
            </w:tcBorders>
            <w:shd w:val="clear" w:color="auto" w:fill="auto"/>
            <w:noWrap/>
            <w:vAlign w:val="bottom"/>
          </w:tcPr>
          <w:p w14:paraId="7739D671" w14:textId="52CA001C"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+1,9%</w:t>
            </w:r>
          </w:p>
        </w:tc>
        <w:tc>
          <w:tcPr>
            <w:tcW w:w="2200" w:type="dxa"/>
            <w:tcBorders>
              <w:top w:val="single" w:sz="4" w:space="0" w:color="auto"/>
              <w:left w:val="nil"/>
              <w:bottom w:val="single" w:sz="4" w:space="0" w:color="auto"/>
              <w:right w:val="single" w:sz="4" w:space="0" w:color="auto"/>
            </w:tcBorders>
            <w:shd w:val="clear" w:color="auto" w:fill="auto"/>
            <w:noWrap/>
            <w:vAlign w:val="bottom"/>
          </w:tcPr>
          <w:p w14:paraId="00E49B6D" w14:textId="4382F8A9"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+2,3%</w:t>
            </w:r>
          </w:p>
        </w:tc>
        <w:tc>
          <w:tcPr>
            <w:tcW w:w="1940" w:type="dxa"/>
            <w:tcBorders>
              <w:top w:val="single" w:sz="4" w:space="0" w:color="auto"/>
              <w:left w:val="nil"/>
              <w:bottom w:val="single" w:sz="4" w:space="0" w:color="auto"/>
              <w:right w:val="single" w:sz="4" w:space="0" w:color="auto"/>
            </w:tcBorders>
            <w:shd w:val="clear" w:color="auto" w:fill="auto"/>
            <w:noWrap/>
            <w:vAlign w:val="bottom"/>
          </w:tcPr>
          <w:p w14:paraId="5D2B4723" w14:textId="300E9B35"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+2,5%</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6054FFCD" w14:textId="07E29113" w:rsidR="00887A02" w:rsidRPr="00F6412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+2,7%</w:t>
            </w:r>
          </w:p>
        </w:tc>
      </w:tr>
    </w:tbl>
    <w:p w14:paraId="21DA8A6C" w14:textId="57FD1771" w:rsidR="00887A02" w:rsidRPr="00C11E03" w:rsidRDefault="00887A02" w:rsidP="003800B3">
      <w:pPr>
        <w:jc w:val="both"/>
        <w:rPr>
          <w:b/>
          <w:bCs/>
          <w:sz w:val="16"/>
          <w:szCs w:val="16"/>
        </w:rPr>
      </w:pPr>
    </w:p>
    <w:p w14:paraId="33268963" w14:textId="10D1358F" w:rsidR="00972E23" w:rsidRPr="00C11E03" w:rsidRDefault="00633BBF" w:rsidP="003800B3">
      <w:pPr>
        <w:jc w:val="both"/>
        <w:rPr>
          <w:sz w:val="24"/>
          <w:szCs w:val="24"/>
        </w:rPr>
      </w:pPr>
      <w:r w:rsidRPr="00C11E03">
        <w:rPr>
          <w:sz w:val="24"/>
          <w:szCs w:val="24"/>
        </w:rPr>
        <w:t>Il mercato dei capannoni è quello più dinamico a livello di volumi</w:t>
      </w:r>
      <w:r w:rsidR="00955B04" w:rsidRPr="00C11E03">
        <w:rPr>
          <w:sz w:val="24"/>
          <w:szCs w:val="24"/>
        </w:rPr>
        <w:t xml:space="preserve"> </w:t>
      </w:r>
      <w:r w:rsidR="00A00074" w:rsidRPr="00C11E03">
        <w:rPr>
          <w:sz w:val="24"/>
          <w:szCs w:val="24"/>
        </w:rPr>
        <w:t xml:space="preserve">e, soprattutto, </w:t>
      </w:r>
      <w:r w:rsidR="00955B04" w:rsidRPr="00C11E03">
        <w:rPr>
          <w:sz w:val="24"/>
          <w:szCs w:val="24"/>
        </w:rPr>
        <w:t>non ha avuto flessioni in questi anni post pandemia</w:t>
      </w:r>
      <w:r w:rsidR="00F077F1" w:rsidRPr="00C11E03">
        <w:rPr>
          <w:sz w:val="24"/>
          <w:szCs w:val="24"/>
        </w:rPr>
        <w:t>,</w:t>
      </w:r>
      <w:r w:rsidR="00955B04" w:rsidRPr="00C11E03">
        <w:rPr>
          <w:sz w:val="24"/>
          <w:szCs w:val="24"/>
        </w:rPr>
        <w:t xml:space="preserve"> grazie alla spinta</w:t>
      </w:r>
      <w:r w:rsidR="00F077F1" w:rsidRPr="00C11E03">
        <w:rPr>
          <w:sz w:val="24"/>
          <w:szCs w:val="24"/>
        </w:rPr>
        <w:t xml:space="preserve"> della logistica trascinata dall’e–commerce e </w:t>
      </w:r>
      <w:r w:rsidR="00972E23" w:rsidRPr="00C11E03">
        <w:rPr>
          <w:sz w:val="24"/>
          <w:szCs w:val="24"/>
        </w:rPr>
        <w:t xml:space="preserve">a quella </w:t>
      </w:r>
      <w:r w:rsidR="00F077F1" w:rsidRPr="00C11E03">
        <w:rPr>
          <w:sz w:val="24"/>
          <w:szCs w:val="24"/>
        </w:rPr>
        <w:t>del comparto produttivo</w:t>
      </w:r>
      <w:r w:rsidR="001702F6" w:rsidRPr="00C11E03">
        <w:rPr>
          <w:sz w:val="24"/>
          <w:szCs w:val="24"/>
        </w:rPr>
        <w:t xml:space="preserve"> che ha avuto un buon impulso dal </w:t>
      </w:r>
      <w:r w:rsidR="00F7540D" w:rsidRPr="00C11E03">
        <w:rPr>
          <w:sz w:val="24"/>
          <w:szCs w:val="24"/>
        </w:rPr>
        <w:t>settore</w:t>
      </w:r>
      <w:r w:rsidR="001702F6" w:rsidRPr="00C11E03">
        <w:rPr>
          <w:sz w:val="24"/>
          <w:szCs w:val="24"/>
        </w:rPr>
        <w:t xml:space="preserve"> manifatturiero</w:t>
      </w:r>
      <w:r w:rsidR="00972E23" w:rsidRPr="00C11E03">
        <w:rPr>
          <w:sz w:val="24"/>
          <w:szCs w:val="24"/>
        </w:rPr>
        <w:t>, soprattutto nei primi mesi del 2022.</w:t>
      </w:r>
      <w:r w:rsidR="001702F6" w:rsidRPr="00C11E03">
        <w:rPr>
          <w:sz w:val="24"/>
          <w:szCs w:val="24"/>
        </w:rPr>
        <w:t xml:space="preserve"> </w:t>
      </w:r>
      <w:r w:rsidR="00A00074" w:rsidRPr="00C11E03">
        <w:rPr>
          <w:sz w:val="24"/>
          <w:szCs w:val="24"/>
        </w:rPr>
        <w:t>I dati relativi alle operazioni effettuate dalle agenzie del Gruppo Tecnocasa, rispetto a un anno fa, evidenziano un aumento delle compravendite di capannoni e depositi</w:t>
      </w:r>
      <w:r w:rsidR="003E6324" w:rsidRPr="00C11E03">
        <w:rPr>
          <w:sz w:val="24"/>
          <w:szCs w:val="24"/>
        </w:rPr>
        <w:t xml:space="preserve">: da 26,5% a 35%. </w:t>
      </w:r>
      <w:r w:rsidR="005B525B" w:rsidRPr="00C11E03">
        <w:rPr>
          <w:sz w:val="24"/>
          <w:szCs w:val="24"/>
        </w:rPr>
        <w:t>Ad acquistare sono prevalentemente aziende solide</w:t>
      </w:r>
      <w:r w:rsidR="001702F6" w:rsidRPr="00C11E03">
        <w:rPr>
          <w:sz w:val="24"/>
          <w:szCs w:val="24"/>
        </w:rPr>
        <w:t xml:space="preserve">, </w:t>
      </w:r>
      <w:r w:rsidR="005B525B" w:rsidRPr="00C11E03">
        <w:rPr>
          <w:sz w:val="24"/>
          <w:szCs w:val="24"/>
        </w:rPr>
        <w:t>da tempo presenti sul mercato e che colgono le opportunità di prezzi ancora bassi. Si contano anche investitori</w:t>
      </w:r>
      <w:r w:rsidR="001702F6" w:rsidRPr="00C11E03">
        <w:rPr>
          <w:sz w:val="24"/>
          <w:szCs w:val="24"/>
        </w:rPr>
        <w:t xml:space="preserve"> che per arginare l’inflazione stanno tornando a puntare sul mattone.</w:t>
      </w:r>
      <w:r w:rsidR="005B525B" w:rsidRPr="00C11E03">
        <w:rPr>
          <w:sz w:val="24"/>
          <w:szCs w:val="24"/>
        </w:rPr>
        <w:t xml:space="preserve"> </w:t>
      </w:r>
      <w:r w:rsidR="00972E23" w:rsidRPr="00C11E03">
        <w:rPr>
          <w:sz w:val="24"/>
          <w:szCs w:val="24"/>
        </w:rPr>
        <w:t xml:space="preserve">Sono attualmente 33,3 milioni gli italiani attivi come acquirenti on line (9,6 milioni in più che nel 2019), come evidenzia un’analisi dell’Osservatorio eCommerce B2C </w:t>
      </w:r>
      <w:proofErr w:type="spellStart"/>
      <w:r w:rsidR="00972E23" w:rsidRPr="00C11E03">
        <w:rPr>
          <w:sz w:val="24"/>
          <w:szCs w:val="24"/>
        </w:rPr>
        <w:t>Netcomm</w:t>
      </w:r>
      <w:proofErr w:type="spellEnd"/>
      <w:r w:rsidR="002262DE">
        <w:rPr>
          <w:sz w:val="24"/>
          <w:szCs w:val="24"/>
        </w:rPr>
        <w:t xml:space="preserve"> </w:t>
      </w:r>
      <w:r w:rsidR="00972E23" w:rsidRPr="00C11E03">
        <w:rPr>
          <w:sz w:val="24"/>
          <w:szCs w:val="24"/>
        </w:rPr>
        <w:t xml:space="preserve">del Politecnico di Milano. Il report stima una crescita consistente per il mercato italiano nel 2022, restituendo un’idea dell’impatto che questo potrebbe avere sulla logistica nei prossimi anni e sulla ricerca di spazi in cui stoccare la merce. Quest’ultima è stata influenzata anche dalla domanda di imprese che continuano a cercare spazi per stoccare le materie prime a seguito della riorganizzazione delle filiere per ridurre la distanza tra approvvigionamento, produzione e consumo, processi diventati necessari in seguito al conflitto bellico. </w:t>
      </w:r>
      <w:r w:rsidR="005B525B" w:rsidRPr="00C11E03">
        <w:rPr>
          <w:sz w:val="24"/>
          <w:szCs w:val="24"/>
        </w:rPr>
        <w:t>La motivazione prevalente</w:t>
      </w:r>
      <w:r w:rsidR="00972E23" w:rsidRPr="00C11E03">
        <w:rPr>
          <w:sz w:val="24"/>
          <w:szCs w:val="24"/>
        </w:rPr>
        <w:t xml:space="preserve"> tra chi ha acquistato o locato con la nostra rete</w:t>
      </w:r>
      <w:r w:rsidR="005B525B" w:rsidRPr="00C11E03">
        <w:rPr>
          <w:sz w:val="24"/>
          <w:szCs w:val="24"/>
        </w:rPr>
        <w:t xml:space="preserve"> è</w:t>
      </w:r>
      <w:r w:rsidR="00972E23" w:rsidRPr="00C11E03">
        <w:rPr>
          <w:sz w:val="24"/>
          <w:szCs w:val="24"/>
        </w:rPr>
        <w:t xml:space="preserve"> stata</w:t>
      </w:r>
      <w:r w:rsidR="005B525B" w:rsidRPr="00C11E03">
        <w:rPr>
          <w:sz w:val="24"/>
          <w:szCs w:val="24"/>
        </w:rPr>
        <w:t xml:space="preserve"> </w:t>
      </w:r>
      <w:r w:rsidR="001702F6" w:rsidRPr="00C11E03">
        <w:rPr>
          <w:sz w:val="24"/>
          <w:szCs w:val="24"/>
        </w:rPr>
        <w:t>assicurarsi</w:t>
      </w:r>
      <w:r w:rsidR="005B525B" w:rsidRPr="00C11E03">
        <w:rPr>
          <w:sz w:val="24"/>
          <w:szCs w:val="24"/>
        </w:rPr>
        <w:t xml:space="preserve"> uno spazio per depositare la merce</w:t>
      </w:r>
      <w:r w:rsidR="005710CE" w:rsidRPr="00C11E03">
        <w:rPr>
          <w:sz w:val="24"/>
          <w:szCs w:val="24"/>
        </w:rPr>
        <w:t xml:space="preserve">. </w:t>
      </w:r>
      <w:r w:rsidR="00972E23" w:rsidRPr="00C11E03">
        <w:rPr>
          <w:sz w:val="24"/>
          <w:szCs w:val="24"/>
        </w:rPr>
        <w:t>L</w:t>
      </w:r>
      <w:r w:rsidR="005710CE" w:rsidRPr="00C11E03">
        <w:rPr>
          <w:sz w:val="24"/>
          <w:szCs w:val="24"/>
        </w:rPr>
        <w:t xml:space="preserve">a logistica prevale tra le motivazioni: il 50% dei casi per i </w:t>
      </w:r>
      <w:r w:rsidR="005710CE" w:rsidRPr="00C11E03">
        <w:rPr>
          <w:sz w:val="24"/>
          <w:szCs w:val="24"/>
        </w:rPr>
        <w:lastRenderedPageBreak/>
        <w:t>capannoni compravenduti e il 54 %</w:t>
      </w:r>
      <w:r w:rsidR="00A00074" w:rsidRPr="00C11E03">
        <w:rPr>
          <w:sz w:val="24"/>
          <w:szCs w:val="24"/>
        </w:rPr>
        <w:t xml:space="preserve"> </w:t>
      </w:r>
      <w:r w:rsidR="005710CE" w:rsidRPr="00C11E03">
        <w:rPr>
          <w:sz w:val="24"/>
          <w:szCs w:val="24"/>
        </w:rPr>
        <w:t>dei casi per quelli locati.</w:t>
      </w:r>
      <w:r w:rsidR="00082074" w:rsidRPr="00C11E03">
        <w:rPr>
          <w:sz w:val="24"/>
          <w:szCs w:val="24"/>
        </w:rPr>
        <w:t xml:space="preserve"> </w:t>
      </w:r>
      <w:r w:rsidR="005710CE" w:rsidRPr="00C11E03">
        <w:rPr>
          <w:sz w:val="24"/>
          <w:szCs w:val="24"/>
        </w:rPr>
        <w:t xml:space="preserve">Negli ultimi anni, nel nostro Paese, è cresciuto l’interesse degli operatori del </w:t>
      </w:r>
      <w:proofErr w:type="spellStart"/>
      <w:r w:rsidR="005710CE" w:rsidRPr="00C11E03">
        <w:rPr>
          <w:sz w:val="24"/>
          <w:szCs w:val="24"/>
        </w:rPr>
        <w:t>real</w:t>
      </w:r>
      <w:proofErr w:type="spellEnd"/>
      <w:r w:rsidR="002262DE">
        <w:rPr>
          <w:sz w:val="24"/>
          <w:szCs w:val="24"/>
        </w:rPr>
        <w:t xml:space="preserve"> </w:t>
      </w:r>
      <w:r w:rsidR="005710CE" w:rsidRPr="00C11E03">
        <w:rPr>
          <w:sz w:val="24"/>
          <w:szCs w:val="24"/>
        </w:rPr>
        <w:t>estate verso la logistica</w:t>
      </w:r>
      <w:r w:rsidR="00972E23" w:rsidRPr="00C11E03">
        <w:rPr>
          <w:sz w:val="24"/>
          <w:szCs w:val="24"/>
        </w:rPr>
        <w:t xml:space="preserve"> così come è in aumento la domanda di richieste </w:t>
      </w:r>
      <w:r w:rsidR="00220C10" w:rsidRPr="00C11E03">
        <w:rPr>
          <w:sz w:val="24"/>
          <w:szCs w:val="24"/>
        </w:rPr>
        <w:t>di spazi</w:t>
      </w:r>
      <w:r w:rsidR="00972E23" w:rsidRPr="00C11E03">
        <w:rPr>
          <w:sz w:val="24"/>
          <w:szCs w:val="24"/>
        </w:rPr>
        <w:t xml:space="preserve"> logistici anche </w:t>
      </w:r>
      <w:r w:rsidR="00220C10" w:rsidRPr="00C11E03">
        <w:rPr>
          <w:sz w:val="24"/>
          <w:szCs w:val="24"/>
        </w:rPr>
        <w:t>dalla GDO e</w:t>
      </w:r>
      <w:r w:rsidR="0090542D" w:rsidRPr="00C11E03">
        <w:rPr>
          <w:sz w:val="24"/>
          <w:szCs w:val="24"/>
        </w:rPr>
        <w:t xml:space="preserve"> del</w:t>
      </w:r>
      <w:r w:rsidR="00220C10" w:rsidRPr="00C11E03">
        <w:rPr>
          <w:sz w:val="24"/>
          <w:szCs w:val="24"/>
        </w:rPr>
        <w:t xml:space="preserve"> retail.</w:t>
      </w:r>
      <w:r w:rsidR="005710CE" w:rsidRPr="00C11E03">
        <w:rPr>
          <w:sz w:val="24"/>
          <w:szCs w:val="24"/>
        </w:rPr>
        <w:t xml:space="preserve"> La rete specializzata del Gruppo evidenzia un interesse</w:t>
      </w:r>
      <w:r w:rsidR="001702F6" w:rsidRPr="00C11E03">
        <w:rPr>
          <w:sz w:val="24"/>
          <w:szCs w:val="24"/>
        </w:rPr>
        <w:t xml:space="preserve"> per </w:t>
      </w:r>
      <w:r w:rsidR="005710CE" w:rsidRPr="00C11E03">
        <w:rPr>
          <w:sz w:val="24"/>
          <w:szCs w:val="24"/>
        </w:rPr>
        <w:t>spazi</w:t>
      </w:r>
      <w:r w:rsidR="001702F6" w:rsidRPr="00C11E03">
        <w:rPr>
          <w:sz w:val="24"/>
          <w:szCs w:val="24"/>
        </w:rPr>
        <w:t xml:space="preserve"> a destinazione logistica, </w:t>
      </w:r>
      <w:r w:rsidR="005710CE" w:rsidRPr="00C11E03">
        <w:rPr>
          <w:sz w:val="24"/>
          <w:szCs w:val="24"/>
        </w:rPr>
        <w:t>soprattutto in Lombardia, Emilia-Romagna e</w:t>
      </w:r>
      <w:r w:rsidR="001702F6" w:rsidRPr="00C11E03">
        <w:rPr>
          <w:sz w:val="24"/>
          <w:szCs w:val="24"/>
        </w:rPr>
        <w:t xml:space="preserve"> </w:t>
      </w:r>
      <w:r w:rsidR="005710CE" w:rsidRPr="00C11E03">
        <w:rPr>
          <w:sz w:val="24"/>
          <w:szCs w:val="24"/>
        </w:rPr>
        <w:t>Veneto;</w:t>
      </w:r>
      <w:r w:rsidR="001702F6" w:rsidRPr="00C11E03">
        <w:rPr>
          <w:sz w:val="24"/>
          <w:szCs w:val="24"/>
        </w:rPr>
        <w:t xml:space="preserve"> </w:t>
      </w:r>
      <w:r w:rsidR="005710CE" w:rsidRPr="00C11E03">
        <w:rPr>
          <w:sz w:val="24"/>
          <w:szCs w:val="24"/>
        </w:rPr>
        <w:t xml:space="preserve">presente un’importante ricerca anche in Lazio, Puglia e Campania. </w:t>
      </w:r>
      <w:r w:rsidR="003800B3" w:rsidRPr="00C11E03">
        <w:rPr>
          <w:sz w:val="24"/>
          <w:szCs w:val="24"/>
        </w:rPr>
        <w:t>Uno dei nodi cruciali che coinvolge il settore, infatti, è la carenza di offerta e</w:t>
      </w:r>
      <w:r w:rsidR="001702F6" w:rsidRPr="00C11E03">
        <w:rPr>
          <w:sz w:val="24"/>
          <w:szCs w:val="24"/>
        </w:rPr>
        <w:t>,</w:t>
      </w:r>
      <w:r w:rsidR="003800B3" w:rsidRPr="00C11E03">
        <w:rPr>
          <w:sz w:val="24"/>
          <w:szCs w:val="24"/>
        </w:rPr>
        <w:t xml:space="preserve"> spesso</w:t>
      </w:r>
      <w:r w:rsidR="001702F6" w:rsidRPr="00C11E03">
        <w:rPr>
          <w:sz w:val="24"/>
          <w:szCs w:val="24"/>
        </w:rPr>
        <w:t>,</w:t>
      </w:r>
      <w:r w:rsidR="003800B3" w:rsidRPr="00C11E03">
        <w:rPr>
          <w:sz w:val="24"/>
          <w:szCs w:val="24"/>
        </w:rPr>
        <w:t xml:space="preserve"> sono le stesse aziende utilizzatrici a commissionare la costruzione di spazi logistici. Oltre a costruire ex novo si procede anche a riqualificare l’esistente laddove le condizioni lo rend</w:t>
      </w:r>
      <w:r w:rsidR="00A00074" w:rsidRPr="00C11E03">
        <w:rPr>
          <w:sz w:val="24"/>
          <w:szCs w:val="24"/>
        </w:rPr>
        <w:t>a</w:t>
      </w:r>
      <w:r w:rsidR="003800B3" w:rsidRPr="00C11E03">
        <w:rPr>
          <w:sz w:val="24"/>
          <w:szCs w:val="24"/>
        </w:rPr>
        <w:t>no possibile.</w:t>
      </w:r>
      <w:r w:rsidR="00BF4355" w:rsidRPr="00C11E03">
        <w:rPr>
          <w:sz w:val="24"/>
          <w:szCs w:val="24"/>
        </w:rPr>
        <w:t xml:space="preserve"> </w:t>
      </w:r>
      <w:r w:rsidR="00972E23" w:rsidRPr="00C11E03">
        <w:rPr>
          <w:sz w:val="24"/>
          <w:szCs w:val="24"/>
        </w:rPr>
        <w:t>Quasi sempre si cercano posizioni in aree ad elevata presenza di infrastrutture ma la saturazione delle stesse sta portando a considerare anche le aree di seconda fascia dove sono maggiormente disponibili terreni edificabili compatibilmente con i vincoli urbanistici presenti in diverse aree comunali per limitare gli insediamenti logistici.  Sono preferite le aree dove saranno potenziate le infrastrutture, sia via terra sia via mare. In questo senso sta andando anche il PNNR che punta a investire sulle infrastrutture, sulla mobilità e sulla logistica sostenibile.</w:t>
      </w:r>
      <w:r w:rsidR="007C60A7" w:rsidRPr="00C11E03">
        <w:rPr>
          <w:sz w:val="24"/>
          <w:szCs w:val="24"/>
        </w:rPr>
        <w:t xml:space="preserve">  </w:t>
      </w:r>
      <w:r w:rsidR="003800B3" w:rsidRPr="00C11E03">
        <w:rPr>
          <w:sz w:val="24"/>
          <w:szCs w:val="24"/>
        </w:rPr>
        <w:t>Negli ultimi temp</w:t>
      </w:r>
      <w:r w:rsidR="007C60A7" w:rsidRPr="00C11E03">
        <w:rPr>
          <w:sz w:val="24"/>
          <w:szCs w:val="24"/>
        </w:rPr>
        <w:t xml:space="preserve">i </w:t>
      </w:r>
      <w:r w:rsidR="003800B3" w:rsidRPr="00C11E03">
        <w:rPr>
          <w:sz w:val="24"/>
          <w:szCs w:val="24"/>
        </w:rPr>
        <w:t>le società che sviluppano poli logistici sono più prudenti nel mettere in cantiere nuove operazioni alla luce degli aumentati costi di costruzione che ne abbattono la marginalità</w:t>
      </w:r>
      <w:r w:rsidR="002702D8" w:rsidRPr="00C11E03">
        <w:rPr>
          <w:sz w:val="24"/>
          <w:szCs w:val="24"/>
        </w:rPr>
        <w:t xml:space="preserve"> e</w:t>
      </w:r>
      <w:r w:rsidR="00E17092" w:rsidRPr="00C11E03">
        <w:rPr>
          <w:sz w:val="24"/>
          <w:szCs w:val="24"/>
        </w:rPr>
        <w:t>,</w:t>
      </w:r>
      <w:r w:rsidR="002702D8" w:rsidRPr="00C11E03">
        <w:rPr>
          <w:sz w:val="24"/>
          <w:szCs w:val="24"/>
        </w:rPr>
        <w:t xml:space="preserve"> </w:t>
      </w:r>
      <w:r w:rsidR="003800B3" w:rsidRPr="00C11E03">
        <w:rPr>
          <w:sz w:val="24"/>
          <w:szCs w:val="24"/>
        </w:rPr>
        <w:t>per questo</w:t>
      </w:r>
      <w:r w:rsidR="00E17092" w:rsidRPr="00C11E03">
        <w:rPr>
          <w:sz w:val="24"/>
          <w:szCs w:val="24"/>
        </w:rPr>
        <w:t xml:space="preserve"> motivo, </w:t>
      </w:r>
      <w:r w:rsidR="003800B3" w:rsidRPr="00C11E03">
        <w:rPr>
          <w:sz w:val="24"/>
          <w:szCs w:val="24"/>
        </w:rPr>
        <w:t xml:space="preserve">optano per scelte mirate in termini di </w:t>
      </w:r>
      <w:proofErr w:type="gramStart"/>
      <w:r w:rsidR="003800B3" w:rsidRPr="00C11E03">
        <w:rPr>
          <w:sz w:val="24"/>
          <w:szCs w:val="24"/>
        </w:rPr>
        <w:t>location</w:t>
      </w:r>
      <w:proofErr w:type="gramEnd"/>
      <w:r w:rsidR="003800B3" w:rsidRPr="00C11E03">
        <w:rPr>
          <w:sz w:val="24"/>
          <w:szCs w:val="24"/>
        </w:rPr>
        <w:t xml:space="preserve"> e caratteristiche qualitative dell’immobile, queste ultime sempre più orientate alla sostenibilità ambientale così come </w:t>
      </w:r>
      <w:r w:rsidR="002702D8" w:rsidRPr="00C11E03">
        <w:rPr>
          <w:sz w:val="24"/>
          <w:szCs w:val="24"/>
        </w:rPr>
        <w:t>richiesto</w:t>
      </w:r>
      <w:r w:rsidR="003800B3" w:rsidRPr="00C11E03">
        <w:rPr>
          <w:sz w:val="24"/>
          <w:szCs w:val="24"/>
        </w:rPr>
        <w:t xml:space="preserve"> anche da molti </w:t>
      </w:r>
      <w:proofErr w:type="spellStart"/>
      <w:r w:rsidR="003800B3" w:rsidRPr="00C11E03">
        <w:rPr>
          <w:sz w:val="24"/>
          <w:szCs w:val="24"/>
        </w:rPr>
        <w:t>tenant</w:t>
      </w:r>
      <w:proofErr w:type="spellEnd"/>
      <w:r w:rsidR="003800B3" w:rsidRPr="00C11E03">
        <w:rPr>
          <w:sz w:val="24"/>
          <w:szCs w:val="24"/>
        </w:rPr>
        <w:t>.</w:t>
      </w:r>
      <w:r w:rsidR="002702D8" w:rsidRPr="00C11E03">
        <w:rPr>
          <w:sz w:val="24"/>
          <w:szCs w:val="24"/>
        </w:rPr>
        <w:t xml:space="preserve"> </w:t>
      </w:r>
      <w:r w:rsidR="003800B3" w:rsidRPr="00C11E03">
        <w:rPr>
          <w:sz w:val="24"/>
          <w:szCs w:val="24"/>
        </w:rPr>
        <w:t>Questi</w:t>
      </w:r>
      <w:r w:rsidR="002702D8" w:rsidRPr="00C11E03">
        <w:rPr>
          <w:sz w:val="24"/>
          <w:szCs w:val="24"/>
        </w:rPr>
        <w:t>,</w:t>
      </w:r>
      <w:r w:rsidR="003800B3" w:rsidRPr="00C11E03">
        <w:rPr>
          <w:sz w:val="24"/>
          <w:szCs w:val="24"/>
        </w:rPr>
        <w:t xml:space="preserve"> infatti</w:t>
      </w:r>
      <w:r w:rsidR="002702D8" w:rsidRPr="00C11E03">
        <w:rPr>
          <w:sz w:val="24"/>
          <w:szCs w:val="24"/>
        </w:rPr>
        <w:t>,</w:t>
      </w:r>
      <w:r w:rsidR="003800B3" w:rsidRPr="00C11E03">
        <w:rPr>
          <w:sz w:val="24"/>
          <w:szCs w:val="24"/>
        </w:rPr>
        <w:t xml:space="preserve"> apprezzano sempre più gli immobili con certificazione </w:t>
      </w:r>
      <w:proofErr w:type="spellStart"/>
      <w:r w:rsidR="003800B3" w:rsidRPr="00C11E03">
        <w:rPr>
          <w:sz w:val="24"/>
          <w:szCs w:val="24"/>
        </w:rPr>
        <w:t>Leed</w:t>
      </w:r>
      <w:proofErr w:type="spellEnd"/>
      <w:r w:rsidR="003800B3" w:rsidRPr="00C11E03">
        <w:rPr>
          <w:sz w:val="24"/>
          <w:szCs w:val="24"/>
        </w:rPr>
        <w:t xml:space="preserve"> e </w:t>
      </w:r>
      <w:proofErr w:type="spellStart"/>
      <w:r w:rsidR="003800B3" w:rsidRPr="00C11E03">
        <w:rPr>
          <w:sz w:val="24"/>
          <w:szCs w:val="24"/>
        </w:rPr>
        <w:t>Breeam</w:t>
      </w:r>
      <w:proofErr w:type="spellEnd"/>
      <w:r w:rsidR="003800B3" w:rsidRPr="00C11E03">
        <w:rPr>
          <w:sz w:val="24"/>
          <w:szCs w:val="24"/>
        </w:rPr>
        <w:t>, integrati con spazi verdi, utilizzabili sia dagli operatori sia da chi abita l’ambiente circostante</w:t>
      </w:r>
      <w:r w:rsidR="00BF4355" w:rsidRPr="00C11E03">
        <w:rPr>
          <w:sz w:val="24"/>
          <w:szCs w:val="24"/>
        </w:rPr>
        <w:t>.</w:t>
      </w:r>
      <w:r w:rsidR="003800B3" w:rsidRPr="00C11E03">
        <w:rPr>
          <w:sz w:val="24"/>
          <w:szCs w:val="24"/>
        </w:rPr>
        <w:t xml:space="preserve"> </w:t>
      </w:r>
      <w:r w:rsidR="00BF4355" w:rsidRPr="00C11E03">
        <w:rPr>
          <w:sz w:val="24"/>
          <w:szCs w:val="24"/>
        </w:rPr>
        <w:t>Infatti</w:t>
      </w:r>
      <w:r w:rsidR="002262DE">
        <w:rPr>
          <w:sz w:val="24"/>
          <w:szCs w:val="24"/>
        </w:rPr>
        <w:t>,</w:t>
      </w:r>
      <w:r w:rsidR="003800B3" w:rsidRPr="00C11E03">
        <w:rPr>
          <w:sz w:val="24"/>
          <w:szCs w:val="24"/>
        </w:rPr>
        <w:t xml:space="preserve"> gli spazi logistici impattano in modo importante sul territorio e sulla sua popolazione. Si studiano </w:t>
      </w:r>
      <w:r w:rsidR="002702D8" w:rsidRPr="00C11E03">
        <w:rPr>
          <w:sz w:val="24"/>
          <w:szCs w:val="24"/>
        </w:rPr>
        <w:t>tipologie</w:t>
      </w:r>
      <w:r w:rsidR="003800B3" w:rsidRPr="00C11E03">
        <w:rPr>
          <w:sz w:val="24"/>
          <w:szCs w:val="24"/>
        </w:rPr>
        <w:t xml:space="preserve"> con pannelli fotovoltaici, impianti di illuminazione a basso consumo, possibilità di ricaricare mezzi elettrici. Le regioni attualmente più attive sono il Veneto e l’Emilia-Romagna che, con circa 1 milione di metri quadrati di iniziative ciascuna, si qualificano tra le principali regioni italiane interessate da sviluppi e progetti a vocazione logistica.</w:t>
      </w:r>
      <w:r w:rsidR="00972E23" w:rsidRPr="00C11E03">
        <w:rPr>
          <w:sz w:val="24"/>
          <w:szCs w:val="24"/>
        </w:rPr>
        <w:t xml:space="preserve"> </w:t>
      </w:r>
    </w:p>
    <w:p w14:paraId="68F56CC4" w14:textId="4CA6F592" w:rsidR="003800B3" w:rsidRPr="00C11E03" w:rsidRDefault="008F65EC" w:rsidP="003800B3">
      <w:pPr>
        <w:jc w:val="both"/>
        <w:rPr>
          <w:sz w:val="24"/>
          <w:szCs w:val="24"/>
        </w:rPr>
      </w:pPr>
      <w:r w:rsidRPr="00C11E03">
        <w:rPr>
          <w:sz w:val="24"/>
          <w:szCs w:val="24"/>
        </w:rPr>
        <w:t xml:space="preserve">Si segnalano anche una crescita degli spazi in prossimità delle città per la logistica dell’ultimo miglio e in regioni quali </w:t>
      </w:r>
      <w:r w:rsidR="00EE28D4" w:rsidRPr="00C11E03">
        <w:rPr>
          <w:sz w:val="24"/>
          <w:szCs w:val="24"/>
        </w:rPr>
        <w:t xml:space="preserve">Piemonte e in Lombardia </w:t>
      </w:r>
      <w:r w:rsidR="00BF4355" w:rsidRPr="00C11E03">
        <w:rPr>
          <w:sz w:val="24"/>
          <w:szCs w:val="24"/>
        </w:rPr>
        <w:t>le</w:t>
      </w:r>
      <w:r w:rsidR="00E17092" w:rsidRPr="00C11E03">
        <w:rPr>
          <w:sz w:val="24"/>
          <w:szCs w:val="24"/>
        </w:rPr>
        <w:t xml:space="preserve"> agenzie del Gruppo Tecnocasa</w:t>
      </w:r>
      <w:r w:rsidR="00BF4355" w:rsidRPr="00C11E03">
        <w:rPr>
          <w:sz w:val="24"/>
          <w:szCs w:val="24"/>
        </w:rPr>
        <w:t xml:space="preserve"> </w:t>
      </w:r>
      <w:r w:rsidR="00EE28D4" w:rsidRPr="00C11E03">
        <w:rPr>
          <w:sz w:val="24"/>
          <w:szCs w:val="24"/>
        </w:rPr>
        <w:t>segnala</w:t>
      </w:r>
      <w:r w:rsidR="00E17092" w:rsidRPr="00C11E03">
        <w:rPr>
          <w:sz w:val="24"/>
          <w:szCs w:val="24"/>
        </w:rPr>
        <w:t>no</w:t>
      </w:r>
      <w:r w:rsidR="00EE28D4" w:rsidRPr="00C11E03">
        <w:rPr>
          <w:sz w:val="24"/>
          <w:szCs w:val="24"/>
        </w:rPr>
        <w:t xml:space="preserve"> la ricerca di spazi da destinare a data center. Una domanda che cresce alla luce della necessità di accelerare la digitalizzazione del nostro Paese. </w:t>
      </w:r>
      <w:r w:rsidR="003800B3" w:rsidRPr="00C11E03">
        <w:rPr>
          <w:sz w:val="24"/>
          <w:szCs w:val="24"/>
        </w:rPr>
        <w:t>Negli ultimi dieci anni i prezzi dei capannoni</w:t>
      </w:r>
      <w:r w:rsidR="00C74C9C" w:rsidRPr="00C11E03">
        <w:rPr>
          <w:sz w:val="24"/>
          <w:szCs w:val="24"/>
        </w:rPr>
        <w:t xml:space="preserve"> in Italia</w:t>
      </w:r>
      <w:r w:rsidR="003800B3" w:rsidRPr="00C11E03">
        <w:rPr>
          <w:sz w:val="24"/>
          <w:szCs w:val="24"/>
        </w:rPr>
        <w:t xml:space="preserve"> sono diminuiti del</w:t>
      </w:r>
      <w:r w:rsidR="002702D8" w:rsidRPr="00C11E03">
        <w:rPr>
          <w:sz w:val="24"/>
          <w:szCs w:val="24"/>
        </w:rPr>
        <w:t xml:space="preserve"> 29,</w:t>
      </w:r>
      <w:r w:rsidR="009E700C" w:rsidRPr="00C11E03">
        <w:rPr>
          <w:sz w:val="24"/>
          <w:szCs w:val="24"/>
        </w:rPr>
        <w:t>8</w:t>
      </w:r>
      <w:r w:rsidR="002702D8" w:rsidRPr="00C11E03">
        <w:rPr>
          <w:sz w:val="24"/>
          <w:szCs w:val="24"/>
        </w:rPr>
        <w:t xml:space="preserve">% per quelli usati, del 27,3 % per quelli nuovi mentre i </w:t>
      </w:r>
      <w:r w:rsidR="003800B3" w:rsidRPr="00C11E03">
        <w:rPr>
          <w:sz w:val="24"/>
          <w:szCs w:val="24"/>
        </w:rPr>
        <w:t xml:space="preserve">canoni di locazione </w:t>
      </w:r>
      <w:r w:rsidR="002702D8" w:rsidRPr="00C11E03">
        <w:rPr>
          <w:sz w:val="24"/>
          <w:szCs w:val="24"/>
        </w:rPr>
        <w:t>hanno messo a segno un ribasso del 15,</w:t>
      </w:r>
      <w:r w:rsidR="00C74C9C" w:rsidRPr="00C11E03">
        <w:rPr>
          <w:sz w:val="24"/>
          <w:szCs w:val="24"/>
        </w:rPr>
        <w:t>5</w:t>
      </w:r>
      <w:r w:rsidR="002702D8" w:rsidRPr="00C11E03">
        <w:rPr>
          <w:sz w:val="24"/>
          <w:szCs w:val="24"/>
        </w:rPr>
        <w:t>% per l’usato e del 22,</w:t>
      </w:r>
      <w:r w:rsidR="00C74C9C" w:rsidRPr="00C11E03">
        <w:rPr>
          <w:sz w:val="24"/>
          <w:szCs w:val="24"/>
        </w:rPr>
        <w:t>6</w:t>
      </w:r>
      <w:r w:rsidR="002702D8" w:rsidRPr="00C11E03">
        <w:rPr>
          <w:sz w:val="24"/>
          <w:szCs w:val="24"/>
        </w:rPr>
        <w:t xml:space="preserve">% per quelli nuovi. </w:t>
      </w:r>
    </w:p>
    <w:p w14:paraId="3C27CB64" w14:textId="32B6798D" w:rsidR="006D404F" w:rsidRPr="00C11E03" w:rsidRDefault="006D404F" w:rsidP="003800B3">
      <w:pPr>
        <w:jc w:val="both"/>
        <w:rPr>
          <w:sz w:val="24"/>
          <w:szCs w:val="24"/>
        </w:rPr>
      </w:pPr>
      <w:r w:rsidRPr="00C11E03">
        <w:rPr>
          <w:sz w:val="24"/>
          <w:szCs w:val="24"/>
        </w:rPr>
        <w:t xml:space="preserve">I tagli più locati e compravenduti sono inferiori a 500 mq ma c’è una discreta percentuale che cerca tagli superiori a 1500 mq. </w:t>
      </w:r>
    </w:p>
    <w:p w14:paraId="3629937B" w14:textId="019C26E7" w:rsidR="00405431" w:rsidRDefault="00405431" w:rsidP="003800B3">
      <w:pPr>
        <w:jc w:val="both"/>
        <w:rPr>
          <w:sz w:val="28"/>
          <w:szCs w:val="28"/>
        </w:rPr>
      </w:pPr>
    </w:p>
    <w:p w14:paraId="5E8D12B1" w14:textId="6512FD49" w:rsidR="00C11E03" w:rsidRDefault="00C11E03" w:rsidP="003800B3">
      <w:pPr>
        <w:jc w:val="both"/>
        <w:rPr>
          <w:sz w:val="28"/>
          <w:szCs w:val="28"/>
        </w:rPr>
      </w:pPr>
    </w:p>
    <w:p w14:paraId="248BB336" w14:textId="1E66E25B" w:rsidR="00C11E03" w:rsidRDefault="00C11E03" w:rsidP="003800B3">
      <w:pPr>
        <w:jc w:val="both"/>
        <w:rPr>
          <w:sz w:val="28"/>
          <w:szCs w:val="28"/>
        </w:rPr>
      </w:pPr>
    </w:p>
    <w:p w14:paraId="6C067853" w14:textId="4F42FBFE" w:rsidR="00C11E03" w:rsidRDefault="00C11E03" w:rsidP="003800B3">
      <w:pPr>
        <w:jc w:val="both"/>
        <w:rPr>
          <w:sz w:val="28"/>
          <w:szCs w:val="28"/>
        </w:rPr>
      </w:pPr>
    </w:p>
    <w:p w14:paraId="57CA1238" w14:textId="7E29CB1A" w:rsidR="00C11E03" w:rsidRDefault="00C11E03" w:rsidP="003800B3">
      <w:pPr>
        <w:jc w:val="both"/>
        <w:rPr>
          <w:sz w:val="28"/>
          <w:szCs w:val="28"/>
        </w:rPr>
      </w:pPr>
    </w:p>
    <w:p w14:paraId="24619FB4" w14:textId="77777777" w:rsidR="00C11E03" w:rsidRDefault="00C11E03" w:rsidP="003800B3">
      <w:pPr>
        <w:jc w:val="both"/>
        <w:rPr>
          <w:sz w:val="28"/>
          <w:szCs w:val="28"/>
        </w:rPr>
      </w:pPr>
    </w:p>
    <w:p w14:paraId="037FCE7E" w14:textId="19E4406D" w:rsidR="00405431" w:rsidRPr="00C11E03" w:rsidRDefault="00405431" w:rsidP="003800B3">
      <w:pPr>
        <w:jc w:val="both"/>
        <w:rPr>
          <w:b/>
          <w:bCs/>
          <w:color w:val="C00000"/>
          <w:sz w:val="28"/>
          <w:szCs w:val="28"/>
        </w:rPr>
      </w:pPr>
      <w:r w:rsidRPr="00C11E03">
        <w:rPr>
          <w:b/>
          <w:bCs/>
          <w:color w:val="C00000"/>
          <w:sz w:val="28"/>
          <w:szCs w:val="28"/>
        </w:rPr>
        <w:lastRenderedPageBreak/>
        <w:t>N</w:t>
      </w:r>
      <w:r w:rsidR="002129A9" w:rsidRPr="00C11E03">
        <w:rPr>
          <w:b/>
          <w:bCs/>
          <w:color w:val="C00000"/>
          <w:sz w:val="28"/>
          <w:szCs w:val="28"/>
        </w:rPr>
        <w:t>EGOZI</w:t>
      </w:r>
    </w:p>
    <w:tbl>
      <w:tblPr>
        <w:tblW w:w="6160" w:type="dxa"/>
        <w:tblInd w:w="55" w:type="dxa"/>
        <w:tblCellMar>
          <w:left w:w="70" w:type="dxa"/>
          <w:right w:w="70" w:type="dxa"/>
        </w:tblCellMar>
        <w:tblLook w:val="04A0" w:firstRow="1" w:lastRow="0" w:firstColumn="1" w:lastColumn="0" w:noHBand="0" w:noVBand="1"/>
      </w:tblPr>
      <w:tblGrid>
        <w:gridCol w:w="1940"/>
        <w:gridCol w:w="2020"/>
        <w:gridCol w:w="2200"/>
      </w:tblGrid>
      <w:tr w:rsidR="00887A02" w:rsidRPr="003C6D55" w14:paraId="52588B6E" w14:textId="77777777" w:rsidTr="001A343F">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3530" w14:textId="77777777" w:rsidR="00887A02" w:rsidRPr="003C6D55" w:rsidRDefault="00887A02" w:rsidP="001A343F">
            <w:pPr>
              <w:spacing w:after="0" w:line="240" w:lineRule="auto"/>
              <w:jc w:val="both"/>
              <w:rPr>
                <w:rFonts w:ascii="Calibri" w:eastAsia="Times New Roman" w:hAnsi="Calibri" w:cs="Times New Roman"/>
                <w:b/>
                <w:bCs/>
                <w:lang w:eastAsia="it-IT"/>
              </w:rPr>
            </w:pPr>
            <w:r w:rsidRPr="003C6D55">
              <w:rPr>
                <w:rFonts w:ascii="Calibri" w:eastAsia="Times New Roman" w:hAnsi="Calibri" w:cs="Times New Roman"/>
                <w:b/>
                <w:bCs/>
                <w:lang w:eastAsia="it-IT"/>
              </w:rPr>
              <w:t>Negozi</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124E2CE2" w14:textId="77777777" w:rsidR="00887A02" w:rsidRPr="003C6D55" w:rsidRDefault="00887A02" w:rsidP="001A343F">
            <w:pPr>
              <w:spacing w:after="0" w:line="240" w:lineRule="auto"/>
              <w:jc w:val="both"/>
              <w:rPr>
                <w:rFonts w:ascii="Calibri" w:eastAsia="Times New Roman" w:hAnsi="Calibri" w:cs="Times New Roman"/>
                <w:b/>
                <w:bCs/>
                <w:lang w:eastAsia="it-IT"/>
              </w:rPr>
            </w:pPr>
            <w:r w:rsidRPr="003C6D55">
              <w:rPr>
                <w:rFonts w:ascii="Calibri" w:eastAsia="Times New Roman" w:hAnsi="Calibri" w:cs="Times New Roman"/>
                <w:b/>
                <w:bCs/>
                <w:lang w:eastAsia="it-IT"/>
              </w:rPr>
              <w:t>Vie di passaggio</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5C1CA7A7" w14:textId="77777777" w:rsidR="00887A02" w:rsidRPr="003C6D55" w:rsidRDefault="00887A02" w:rsidP="001A343F">
            <w:pPr>
              <w:spacing w:after="0" w:line="240" w:lineRule="auto"/>
              <w:jc w:val="both"/>
              <w:rPr>
                <w:rFonts w:ascii="Calibri" w:eastAsia="Times New Roman" w:hAnsi="Calibri" w:cs="Times New Roman"/>
                <w:b/>
                <w:bCs/>
                <w:lang w:eastAsia="it-IT"/>
              </w:rPr>
            </w:pPr>
            <w:r w:rsidRPr="003C6D55">
              <w:rPr>
                <w:rFonts w:ascii="Calibri" w:eastAsia="Times New Roman" w:hAnsi="Calibri" w:cs="Times New Roman"/>
                <w:b/>
                <w:bCs/>
                <w:lang w:eastAsia="it-IT"/>
              </w:rPr>
              <w:t>Vie non di passaggio</w:t>
            </w:r>
          </w:p>
        </w:tc>
      </w:tr>
      <w:tr w:rsidR="00887A02" w:rsidRPr="003C6D55" w14:paraId="555EAA76" w14:textId="77777777" w:rsidTr="001A343F">
        <w:trPr>
          <w:trHeight w:val="315"/>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29E9EC08" w14:textId="77777777" w:rsidR="00887A02" w:rsidRPr="003C6D55" w:rsidRDefault="00887A02" w:rsidP="001A343F">
            <w:pPr>
              <w:spacing w:after="0" w:line="240" w:lineRule="auto"/>
              <w:jc w:val="both"/>
              <w:rPr>
                <w:rFonts w:ascii="Calibri" w:eastAsia="Times New Roman" w:hAnsi="Calibri" w:cs="Times New Roman"/>
                <w:b/>
                <w:bCs/>
                <w:lang w:eastAsia="it-IT"/>
              </w:rPr>
            </w:pPr>
            <w:r w:rsidRPr="003C6D55">
              <w:rPr>
                <w:rFonts w:ascii="Calibri" w:eastAsia="Times New Roman" w:hAnsi="Calibri" w:cs="Times New Roman"/>
                <w:b/>
                <w:bCs/>
                <w:lang w:eastAsia="it-IT"/>
              </w:rPr>
              <w:t>Prezzi</w:t>
            </w:r>
          </w:p>
        </w:tc>
        <w:tc>
          <w:tcPr>
            <w:tcW w:w="2020" w:type="dxa"/>
            <w:tcBorders>
              <w:top w:val="nil"/>
              <w:left w:val="nil"/>
              <w:bottom w:val="single" w:sz="4" w:space="0" w:color="auto"/>
              <w:right w:val="single" w:sz="4" w:space="0" w:color="auto"/>
            </w:tcBorders>
            <w:shd w:val="clear" w:color="auto" w:fill="auto"/>
            <w:noWrap/>
            <w:vAlign w:val="bottom"/>
          </w:tcPr>
          <w:p w14:paraId="0E10A60F" w14:textId="48ECB93A" w:rsidR="00887A02" w:rsidRPr="00887A02" w:rsidRDefault="00887A02" w:rsidP="001A343F">
            <w:pPr>
              <w:spacing w:after="0" w:line="240" w:lineRule="auto"/>
              <w:jc w:val="center"/>
              <w:rPr>
                <w:rFonts w:ascii="Calibri" w:eastAsia="Times New Roman" w:hAnsi="Calibri" w:cs="Times New Roman"/>
                <w:lang w:eastAsia="it-IT"/>
              </w:rPr>
            </w:pPr>
            <w:r w:rsidRPr="00887A02">
              <w:rPr>
                <w:rFonts w:ascii="Calibri" w:eastAsia="Times New Roman" w:hAnsi="Calibri" w:cs="Times New Roman"/>
                <w:lang w:eastAsia="it-IT"/>
              </w:rPr>
              <w:t>-0,2%</w:t>
            </w:r>
          </w:p>
        </w:tc>
        <w:tc>
          <w:tcPr>
            <w:tcW w:w="2200" w:type="dxa"/>
            <w:tcBorders>
              <w:top w:val="nil"/>
              <w:left w:val="nil"/>
              <w:bottom w:val="single" w:sz="4" w:space="0" w:color="auto"/>
              <w:right w:val="single" w:sz="4" w:space="0" w:color="auto"/>
            </w:tcBorders>
            <w:shd w:val="clear" w:color="auto" w:fill="auto"/>
            <w:noWrap/>
            <w:vAlign w:val="bottom"/>
          </w:tcPr>
          <w:p w14:paraId="2FBF34F0" w14:textId="6C9A9911" w:rsidR="00887A02" w:rsidRPr="00887A02" w:rsidRDefault="00887A02" w:rsidP="001A343F">
            <w:pPr>
              <w:spacing w:after="0" w:line="240" w:lineRule="auto"/>
              <w:jc w:val="center"/>
              <w:rPr>
                <w:rFonts w:ascii="Calibri" w:eastAsia="Times New Roman" w:hAnsi="Calibri" w:cs="Times New Roman"/>
                <w:lang w:eastAsia="it-IT"/>
              </w:rPr>
            </w:pPr>
            <w:r w:rsidRPr="00887A02">
              <w:rPr>
                <w:rFonts w:ascii="Calibri" w:eastAsia="Times New Roman" w:hAnsi="Calibri" w:cs="Times New Roman"/>
                <w:lang w:eastAsia="it-IT"/>
              </w:rPr>
              <w:t>0,0%</w:t>
            </w:r>
          </w:p>
        </w:tc>
      </w:tr>
      <w:tr w:rsidR="00887A02" w:rsidRPr="00841B7C" w14:paraId="13454B63" w14:textId="77777777" w:rsidTr="001A343F">
        <w:trPr>
          <w:trHeight w:val="315"/>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2BBE5174" w14:textId="77777777" w:rsidR="00887A02" w:rsidRPr="003C6D55" w:rsidRDefault="00887A02" w:rsidP="001A343F">
            <w:pPr>
              <w:spacing w:after="0" w:line="240" w:lineRule="auto"/>
              <w:jc w:val="both"/>
              <w:rPr>
                <w:rFonts w:ascii="Calibri" w:eastAsia="Times New Roman" w:hAnsi="Calibri" w:cs="Times New Roman"/>
                <w:b/>
                <w:bCs/>
                <w:lang w:eastAsia="it-IT"/>
              </w:rPr>
            </w:pPr>
            <w:r w:rsidRPr="003C6D55">
              <w:rPr>
                <w:rFonts w:ascii="Calibri" w:eastAsia="Times New Roman" w:hAnsi="Calibri" w:cs="Times New Roman"/>
                <w:b/>
                <w:bCs/>
                <w:lang w:eastAsia="it-IT"/>
              </w:rPr>
              <w:t>Canoni di locazione</w:t>
            </w:r>
          </w:p>
        </w:tc>
        <w:tc>
          <w:tcPr>
            <w:tcW w:w="2020" w:type="dxa"/>
            <w:tcBorders>
              <w:top w:val="nil"/>
              <w:left w:val="nil"/>
              <w:bottom w:val="single" w:sz="4" w:space="0" w:color="auto"/>
              <w:right w:val="single" w:sz="4" w:space="0" w:color="auto"/>
            </w:tcBorders>
            <w:shd w:val="clear" w:color="auto" w:fill="auto"/>
            <w:noWrap/>
            <w:vAlign w:val="center"/>
          </w:tcPr>
          <w:p w14:paraId="3F4787C9" w14:textId="582202DB" w:rsidR="00887A02" w:rsidRPr="00841B7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-0,1%</w:t>
            </w:r>
          </w:p>
        </w:tc>
        <w:tc>
          <w:tcPr>
            <w:tcW w:w="2200" w:type="dxa"/>
            <w:tcBorders>
              <w:top w:val="nil"/>
              <w:left w:val="nil"/>
              <w:bottom w:val="single" w:sz="4" w:space="0" w:color="auto"/>
              <w:right w:val="single" w:sz="4" w:space="0" w:color="auto"/>
            </w:tcBorders>
            <w:shd w:val="clear" w:color="auto" w:fill="auto"/>
            <w:noWrap/>
            <w:vAlign w:val="center"/>
          </w:tcPr>
          <w:p w14:paraId="36311026" w14:textId="39D56644" w:rsidR="00887A02" w:rsidRPr="00841B7C" w:rsidRDefault="00887A02" w:rsidP="001A343F">
            <w:pPr>
              <w:spacing w:after="0" w:line="240" w:lineRule="auto"/>
              <w:jc w:val="center"/>
              <w:rPr>
                <w:rFonts w:ascii="Calibri" w:eastAsia="Times New Roman" w:hAnsi="Calibri" w:cs="Times New Roman"/>
                <w:bCs/>
                <w:lang w:eastAsia="it-IT"/>
              </w:rPr>
            </w:pPr>
            <w:r>
              <w:rPr>
                <w:rFonts w:ascii="Calibri" w:eastAsia="Times New Roman" w:hAnsi="Calibri" w:cs="Times New Roman"/>
                <w:bCs/>
                <w:lang w:eastAsia="it-IT"/>
              </w:rPr>
              <w:t>+0,3%</w:t>
            </w:r>
          </w:p>
        </w:tc>
      </w:tr>
    </w:tbl>
    <w:p w14:paraId="59B14477" w14:textId="77777777" w:rsidR="00C11E03" w:rsidRPr="00C11E03" w:rsidRDefault="00C11E03" w:rsidP="00015212">
      <w:pPr>
        <w:jc w:val="both"/>
        <w:rPr>
          <w:sz w:val="16"/>
          <w:szCs w:val="16"/>
        </w:rPr>
      </w:pPr>
    </w:p>
    <w:p w14:paraId="34DD6505" w14:textId="587CEDE2" w:rsidR="00FF38C8" w:rsidRPr="00C11E03" w:rsidRDefault="0053370D" w:rsidP="00015212">
      <w:pPr>
        <w:jc w:val="both"/>
        <w:rPr>
          <w:sz w:val="24"/>
          <w:szCs w:val="24"/>
        </w:rPr>
      </w:pPr>
      <w:r w:rsidRPr="00C11E03">
        <w:rPr>
          <w:sz w:val="24"/>
          <w:szCs w:val="24"/>
        </w:rPr>
        <w:t>Gli ultimi dati sui consumi elaborati di Confimprese</w:t>
      </w:r>
      <w:r w:rsidR="002129A9" w:rsidRPr="00C11E03">
        <w:rPr>
          <w:sz w:val="24"/>
          <w:szCs w:val="24"/>
        </w:rPr>
        <w:t>-EY</w:t>
      </w:r>
      <w:r w:rsidRPr="00C11E03">
        <w:rPr>
          <w:sz w:val="24"/>
          <w:szCs w:val="24"/>
        </w:rPr>
        <w:t xml:space="preserve"> </w:t>
      </w:r>
      <w:r w:rsidR="00015212" w:rsidRPr="00C11E03">
        <w:rPr>
          <w:sz w:val="24"/>
          <w:szCs w:val="24"/>
        </w:rPr>
        <w:t>restituiscono</w:t>
      </w:r>
      <w:r w:rsidRPr="00C11E03">
        <w:rPr>
          <w:sz w:val="24"/>
          <w:szCs w:val="24"/>
        </w:rPr>
        <w:t xml:space="preserve"> segnali positivi </w:t>
      </w:r>
      <w:r w:rsidR="00015212" w:rsidRPr="00C11E03">
        <w:rPr>
          <w:sz w:val="24"/>
          <w:szCs w:val="24"/>
        </w:rPr>
        <w:t>per quanto riguarda i</w:t>
      </w:r>
      <w:r w:rsidRPr="00C11E03">
        <w:rPr>
          <w:sz w:val="24"/>
          <w:szCs w:val="24"/>
        </w:rPr>
        <w:t xml:space="preserve"> ricavi per </w:t>
      </w:r>
      <w:r w:rsidR="002702D8" w:rsidRPr="00C11E03">
        <w:rPr>
          <w:sz w:val="24"/>
          <w:szCs w:val="24"/>
        </w:rPr>
        <w:t>la</w:t>
      </w:r>
      <w:r w:rsidRPr="00C11E03">
        <w:rPr>
          <w:sz w:val="24"/>
          <w:szCs w:val="24"/>
        </w:rPr>
        <w:t xml:space="preserve"> ristorazione (+18%), l’abbigliamento-accessori (+7,6%) e retail non food (+2,2%)</w:t>
      </w:r>
      <w:r w:rsidR="002262DE">
        <w:rPr>
          <w:sz w:val="24"/>
          <w:szCs w:val="24"/>
        </w:rPr>
        <w:t xml:space="preserve"> </w:t>
      </w:r>
      <w:r w:rsidRPr="00C11E03">
        <w:rPr>
          <w:sz w:val="24"/>
          <w:szCs w:val="24"/>
        </w:rPr>
        <w:t>(ottobre 2022 su ottobre 2021). In ripresa anche il travel che registra +34%.</w:t>
      </w:r>
      <w:r w:rsidR="0090542D" w:rsidRPr="00C11E03">
        <w:rPr>
          <w:sz w:val="24"/>
          <w:szCs w:val="24"/>
        </w:rPr>
        <w:t xml:space="preserve"> </w:t>
      </w:r>
      <w:r w:rsidRPr="00C11E03">
        <w:rPr>
          <w:sz w:val="24"/>
          <w:szCs w:val="24"/>
        </w:rPr>
        <w:t xml:space="preserve">Alla data delle analisi l’aumento dei costi delle materie prime, gas ed elettricità, </w:t>
      </w:r>
      <w:r w:rsidR="00E03D37" w:rsidRPr="00C11E03">
        <w:rPr>
          <w:sz w:val="24"/>
          <w:szCs w:val="24"/>
        </w:rPr>
        <w:t xml:space="preserve">non si </w:t>
      </w:r>
      <w:r w:rsidR="005604B3" w:rsidRPr="00C11E03">
        <w:rPr>
          <w:sz w:val="24"/>
          <w:szCs w:val="24"/>
        </w:rPr>
        <w:t>è ancora trasferito</w:t>
      </w:r>
      <w:r w:rsidR="00E03D37" w:rsidRPr="00C11E03">
        <w:rPr>
          <w:sz w:val="24"/>
          <w:szCs w:val="24"/>
        </w:rPr>
        <w:t xml:space="preserve"> sul consumatore finale ma</w:t>
      </w:r>
      <w:r w:rsidR="002702D8" w:rsidRPr="00C11E03">
        <w:rPr>
          <w:sz w:val="24"/>
          <w:szCs w:val="24"/>
        </w:rPr>
        <w:t>,</w:t>
      </w:r>
      <w:r w:rsidR="00E03D37" w:rsidRPr="00C11E03">
        <w:rPr>
          <w:sz w:val="24"/>
          <w:szCs w:val="24"/>
        </w:rPr>
        <w:t xml:space="preserve"> molto probabilmente</w:t>
      </w:r>
      <w:r w:rsidR="002702D8" w:rsidRPr="00C11E03">
        <w:rPr>
          <w:sz w:val="24"/>
          <w:szCs w:val="24"/>
        </w:rPr>
        <w:t>,</w:t>
      </w:r>
      <w:r w:rsidR="00E03D37" w:rsidRPr="00C11E03">
        <w:rPr>
          <w:sz w:val="24"/>
          <w:szCs w:val="24"/>
        </w:rPr>
        <w:t xml:space="preserve"> potrebbe accadere nei mesi a venire.</w:t>
      </w:r>
      <w:r w:rsidR="001F0BE2" w:rsidRPr="00C11E03">
        <w:rPr>
          <w:sz w:val="24"/>
          <w:szCs w:val="24"/>
        </w:rPr>
        <w:t xml:space="preserve"> </w:t>
      </w:r>
      <w:r w:rsidR="002702D8" w:rsidRPr="00C11E03">
        <w:rPr>
          <w:sz w:val="24"/>
          <w:szCs w:val="24"/>
        </w:rPr>
        <w:t>La caduta</w:t>
      </w:r>
      <w:r w:rsidR="001F0BE2" w:rsidRPr="00C11E03">
        <w:rPr>
          <w:sz w:val="24"/>
          <w:szCs w:val="24"/>
        </w:rPr>
        <w:t xml:space="preserve"> delle restrizioni per la pandemia</w:t>
      </w:r>
      <w:r w:rsidR="00965207" w:rsidRPr="00C11E03">
        <w:rPr>
          <w:sz w:val="24"/>
          <w:szCs w:val="24"/>
        </w:rPr>
        <w:t>, il rientro seppur parziale dei lavoratori in presenza</w:t>
      </w:r>
      <w:r w:rsidR="001F0BE2" w:rsidRPr="00C11E03">
        <w:rPr>
          <w:sz w:val="24"/>
          <w:szCs w:val="24"/>
        </w:rPr>
        <w:t xml:space="preserve"> e la ripresa dei flussi turistici ha</w:t>
      </w:r>
      <w:r w:rsidR="00E17092" w:rsidRPr="00C11E03">
        <w:rPr>
          <w:sz w:val="24"/>
          <w:szCs w:val="24"/>
        </w:rPr>
        <w:t>nno</w:t>
      </w:r>
      <w:r w:rsidR="00375341" w:rsidRPr="00C11E03">
        <w:rPr>
          <w:sz w:val="24"/>
          <w:szCs w:val="24"/>
        </w:rPr>
        <w:t xml:space="preserve"> </w:t>
      </w:r>
      <w:r w:rsidR="001F0BE2" w:rsidRPr="00C11E03">
        <w:rPr>
          <w:sz w:val="24"/>
          <w:szCs w:val="24"/>
        </w:rPr>
        <w:t xml:space="preserve">determinato il rilancio </w:t>
      </w:r>
      <w:r w:rsidR="003F2DAB" w:rsidRPr="00C11E03">
        <w:rPr>
          <w:sz w:val="24"/>
          <w:szCs w:val="24"/>
        </w:rPr>
        <w:t>della ristorazione</w:t>
      </w:r>
      <w:r w:rsidR="002702D8" w:rsidRPr="00C11E03">
        <w:rPr>
          <w:sz w:val="24"/>
          <w:szCs w:val="24"/>
        </w:rPr>
        <w:t>,</w:t>
      </w:r>
      <w:r w:rsidR="003F2DAB" w:rsidRPr="00C11E03">
        <w:rPr>
          <w:sz w:val="24"/>
          <w:szCs w:val="24"/>
        </w:rPr>
        <w:t xml:space="preserve"> pur confermandosi</w:t>
      </w:r>
      <w:r w:rsidR="00E17092" w:rsidRPr="00C11E03">
        <w:rPr>
          <w:sz w:val="24"/>
          <w:szCs w:val="24"/>
        </w:rPr>
        <w:t xml:space="preserve"> </w:t>
      </w:r>
      <w:r w:rsidR="003F2DAB" w:rsidRPr="00C11E03">
        <w:rPr>
          <w:sz w:val="24"/>
          <w:szCs w:val="24"/>
        </w:rPr>
        <w:t>formule</w:t>
      </w:r>
      <w:r w:rsidR="00E17092" w:rsidRPr="00C11E03">
        <w:rPr>
          <w:sz w:val="24"/>
          <w:szCs w:val="24"/>
        </w:rPr>
        <w:t xml:space="preserve"> come </w:t>
      </w:r>
      <w:proofErr w:type="gramStart"/>
      <w:r w:rsidR="00E17092" w:rsidRPr="00C11E03">
        <w:rPr>
          <w:sz w:val="24"/>
          <w:szCs w:val="24"/>
        </w:rPr>
        <w:t>il</w:t>
      </w:r>
      <w:r w:rsidR="0090542D" w:rsidRPr="00C11E03">
        <w:rPr>
          <w:sz w:val="24"/>
          <w:szCs w:val="24"/>
        </w:rPr>
        <w:t xml:space="preserve"> </w:t>
      </w:r>
      <w:r w:rsidR="00E17092" w:rsidRPr="00C11E03">
        <w:rPr>
          <w:sz w:val="24"/>
          <w:szCs w:val="24"/>
        </w:rPr>
        <w:t>delivery</w:t>
      </w:r>
      <w:proofErr w:type="gramEnd"/>
      <w:r w:rsidR="00E17092" w:rsidRPr="00C11E03">
        <w:rPr>
          <w:sz w:val="24"/>
          <w:szCs w:val="24"/>
        </w:rPr>
        <w:t xml:space="preserve"> emerse durante il lockdown</w:t>
      </w:r>
      <w:r w:rsidR="00375341" w:rsidRPr="00C11E03">
        <w:rPr>
          <w:sz w:val="24"/>
          <w:szCs w:val="24"/>
        </w:rPr>
        <w:t xml:space="preserve"> e che sono ormai entrate tra le modalità di fruizione del cibo</w:t>
      </w:r>
      <w:r w:rsidR="003F2DAB" w:rsidRPr="00C11E03">
        <w:rPr>
          <w:sz w:val="24"/>
          <w:szCs w:val="24"/>
        </w:rPr>
        <w:t xml:space="preserve">. Il motivo principale è legato all’abbattimento dei costi </w:t>
      </w:r>
      <w:r w:rsidR="00375341" w:rsidRPr="00C11E03">
        <w:rPr>
          <w:sz w:val="24"/>
          <w:szCs w:val="24"/>
        </w:rPr>
        <w:t>e infatti succede anche che i ristoratori decidano</w:t>
      </w:r>
      <w:r w:rsidR="007C60A7" w:rsidRPr="00C11E03">
        <w:rPr>
          <w:sz w:val="24"/>
          <w:szCs w:val="24"/>
        </w:rPr>
        <w:t xml:space="preserve"> talvolta</w:t>
      </w:r>
      <w:r w:rsidR="00375341" w:rsidRPr="00C11E03">
        <w:rPr>
          <w:sz w:val="24"/>
          <w:szCs w:val="24"/>
        </w:rPr>
        <w:t xml:space="preserve"> di spostarsi in periferia per abbattere i costi</w:t>
      </w:r>
      <w:r w:rsidR="007C60A7" w:rsidRPr="00C11E03">
        <w:rPr>
          <w:sz w:val="24"/>
          <w:szCs w:val="24"/>
        </w:rPr>
        <w:t>,</w:t>
      </w:r>
      <w:r w:rsidR="00375341" w:rsidRPr="00C11E03">
        <w:rPr>
          <w:sz w:val="24"/>
          <w:szCs w:val="24"/>
        </w:rPr>
        <w:t xml:space="preserve"> puntando proprio </w:t>
      </w:r>
      <w:proofErr w:type="gramStart"/>
      <w:r w:rsidR="00375341" w:rsidRPr="00C11E03">
        <w:rPr>
          <w:sz w:val="24"/>
          <w:szCs w:val="24"/>
        </w:rPr>
        <w:t>sul</w:t>
      </w:r>
      <w:r w:rsidR="00887A02" w:rsidRPr="00C11E03">
        <w:rPr>
          <w:sz w:val="24"/>
          <w:szCs w:val="24"/>
        </w:rPr>
        <w:t xml:space="preserve"> </w:t>
      </w:r>
      <w:r w:rsidR="00375341" w:rsidRPr="00C11E03">
        <w:rPr>
          <w:sz w:val="24"/>
          <w:szCs w:val="24"/>
        </w:rPr>
        <w:t>delivery</w:t>
      </w:r>
      <w:proofErr w:type="gramEnd"/>
      <w:r w:rsidR="00375341" w:rsidRPr="00C11E03">
        <w:rPr>
          <w:sz w:val="24"/>
          <w:szCs w:val="24"/>
        </w:rPr>
        <w:t>.</w:t>
      </w:r>
      <w:r w:rsidR="00C27447" w:rsidRPr="00C11E03">
        <w:rPr>
          <w:sz w:val="24"/>
          <w:szCs w:val="24"/>
        </w:rPr>
        <w:t xml:space="preserve"> </w:t>
      </w:r>
      <w:r w:rsidR="009A7E17" w:rsidRPr="00C11E03">
        <w:rPr>
          <w:sz w:val="24"/>
          <w:szCs w:val="24"/>
        </w:rPr>
        <w:t>Sulle metrature più ampie si stanno posizionando</w:t>
      </w:r>
      <w:r w:rsidR="00015212" w:rsidRPr="00C11E03">
        <w:rPr>
          <w:sz w:val="24"/>
          <w:szCs w:val="24"/>
        </w:rPr>
        <w:t xml:space="preserve"> </w:t>
      </w:r>
      <w:r w:rsidR="009A7E17" w:rsidRPr="00C11E03">
        <w:rPr>
          <w:sz w:val="24"/>
          <w:szCs w:val="24"/>
        </w:rPr>
        <w:t>marchi importanti della ristorazione con una presenza consolidata nel tempo. Queste ultime si affidano comunque alle piattaforme di delivery. Nelle grandi città i marchi e le imprese consolidate stanno mettendo in atto piani di sviluppo.</w:t>
      </w:r>
      <w:r w:rsidR="00015212" w:rsidRPr="00C11E03">
        <w:rPr>
          <w:sz w:val="24"/>
          <w:szCs w:val="24"/>
        </w:rPr>
        <w:t xml:space="preserve"> Vanno le aperture di ristorazione etnica, si cercano sempre immobili con la canna fumaria ma, dal momento che non sempre lo stabile ne consente l’installazione, aumenta la richiesta di cappe a carboni attivi.</w:t>
      </w:r>
      <w:r w:rsidR="0090542D" w:rsidRPr="00C11E03">
        <w:rPr>
          <w:sz w:val="24"/>
          <w:szCs w:val="24"/>
        </w:rPr>
        <w:t xml:space="preserve"> Nonostante cresca in generale il ricorso all’e</w:t>
      </w:r>
      <w:r w:rsidR="002262DE">
        <w:rPr>
          <w:sz w:val="24"/>
          <w:szCs w:val="24"/>
        </w:rPr>
        <w:t>-</w:t>
      </w:r>
      <w:r w:rsidR="0090542D" w:rsidRPr="00C11E03">
        <w:rPr>
          <w:sz w:val="24"/>
          <w:szCs w:val="24"/>
        </w:rPr>
        <w:t xml:space="preserve">commerce c’è ancora desiderio di acquistare nel negozio fisico, ragione per cui nel retail sempre più si sperimentano formule che combinano shopping fisico e shopping on line. </w:t>
      </w:r>
      <w:r w:rsidR="007C60A7" w:rsidRPr="00C11E03">
        <w:rPr>
          <w:sz w:val="24"/>
          <w:szCs w:val="24"/>
        </w:rPr>
        <w:t>Tengono le High street</w:t>
      </w:r>
      <w:r w:rsidR="00E06CFA" w:rsidRPr="00C11E03">
        <w:rPr>
          <w:sz w:val="24"/>
          <w:szCs w:val="24"/>
        </w:rPr>
        <w:t xml:space="preserve"> su cui si assiste ancora a riposizionamenti da parte di </w:t>
      </w:r>
      <w:proofErr w:type="gramStart"/>
      <w:r w:rsidR="00E06CFA" w:rsidRPr="00C11E03">
        <w:rPr>
          <w:sz w:val="24"/>
          <w:szCs w:val="24"/>
        </w:rPr>
        <w:t>brand</w:t>
      </w:r>
      <w:proofErr w:type="gramEnd"/>
      <w:r w:rsidR="00E06CFA" w:rsidRPr="00C11E03">
        <w:rPr>
          <w:sz w:val="24"/>
          <w:szCs w:val="24"/>
        </w:rPr>
        <w:t xml:space="preserve"> del lusso</w:t>
      </w:r>
      <w:r w:rsidR="00E67B4E" w:rsidRPr="00C11E03">
        <w:rPr>
          <w:sz w:val="24"/>
          <w:szCs w:val="24"/>
        </w:rPr>
        <w:t xml:space="preserve"> e dove</w:t>
      </w:r>
      <w:r w:rsidR="00E06CFA" w:rsidRPr="00C11E03">
        <w:rPr>
          <w:sz w:val="24"/>
          <w:szCs w:val="24"/>
        </w:rPr>
        <w:t xml:space="preserve"> </w:t>
      </w:r>
      <w:r w:rsidR="007C60A7" w:rsidRPr="00C11E03">
        <w:rPr>
          <w:sz w:val="24"/>
          <w:szCs w:val="24"/>
        </w:rPr>
        <w:t>si torna a parlare di key money</w:t>
      </w:r>
      <w:r w:rsidR="00E06CFA" w:rsidRPr="00C11E03">
        <w:rPr>
          <w:sz w:val="24"/>
          <w:szCs w:val="24"/>
        </w:rPr>
        <w:t xml:space="preserve">. </w:t>
      </w:r>
      <w:r w:rsidR="00E67B4E" w:rsidRPr="00C11E03">
        <w:rPr>
          <w:sz w:val="24"/>
          <w:szCs w:val="24"/>
        </w:rPr>
        <w:t xml:space="preserve">La nostra rete segnala richieste perle top location a Milano, Verona, Venezia e Firenze. </w:t>
      </w:r>
      <w:r w:rsidR="00FF38C8" w:rsidRPr="00C11E03">
        <w:rPr>
          <w:sz w:val="24"/>
          <w:szCs w:val="24"/>
        </w:rPr>
        <w:t>Cresce la domanda</w:t>
      </w:r>
      <w:r w:rsidR="00E67B4E" w:rsidRPr="00C11E03">
        <w:rPr>
          <w:sz w:val="24"/>
          <w:szCs w:val="24"/>
        </w:rPr>
        <w:t xml:space="preserve"> </w:t>
      </w:r>
      <w:r w:rsidR="00FF38C8" w:rsidRPr="00C11E03">
        <w:rPr>
          <w:sz w:val="24"/>
          <w:szCs w:val="24"/>
        </w:rPr>
        <w:t>per aprire</w:t>
      </w:r>
      <w:r w:rsidR="00E06CFA" w:rsidRPr="00C11E03">
        <w:rPr>
          <w:sz w:val="24"/>
          <w:szCs w:val="24"/>
        </w:rPr>
        <w:t xml:space="preserve"> negozi</w:t>
      </w:r>
      <w:r w:rsidR="00E67B4E" w:rsidRPr="00C11E03">
        <w:rPr>
          <w:sz w:val="24"/>
          <w:szCs w:val="24"/>
        </w:rPr>
        <w:t xml:space="preserve"> di </w:t>
      </w:r>
      <w:r w:rsidR="00E06CFA" w:rsidRPr="00C11E03">
        <w:rPr>
          <w:sz w:val="24"/>
          <w:szCs w:val="24"/>
        </w:rPr>
        <w:t>abbigliamento sportivo</w:t>
      </w:r>
      <w:r w:rsidR="00FF38C8" w:rsidRPr="00C11E03">
        <w:rPr>
          <w:sz w:val="24"/>
          <w:szCs w:val="24"/>
        </w:rPr>
        <w:t>.</w:t>
      </w:r>
      <w:r w:rsidR="00887A02" w:rsidRPr="00C11E03">
        <w:rPr>
          <w:sz w:val="24"/>
          <w:szCs w:val="24"/>
        </w:rPr>
        <w:t xml:space="preserve"> </w:t>
      </w:r>
      <w:r w:rsidR="00535019" w:rsidRPr="00C11E03">
        <w:rPr>
          <w:sz w:val="24"/>
          <w:szCs w:val="24"/>
        </w:rPr>
        <w:t xml:space="preserve">Uno </w:t>
      </w:r>
      <w:proofErr w:type="gramStart"/>
      <w:r w:rsidR="00535019" w:rsidRPr="00C11E03">
        <w:rPr>
          <w:sz w:val="24"/>
          <w:szCs w:val="24"/>
        </w:rPr>
        <w:t>dei trend messo</w:t>
      </w:r>
      <w:proofErr w:type="gramEnd"/>
      <w:r w:rsidR="00535019" w:rsidRPr="00C11E03">
        <w:rPr>
          <w:sz w:val="24"/>
          <w:szCs w:val="24"/>
        </w:rPr>
        <w:t xml:space="preserve"> in luce durante la pandemia</w:t>
      </w:r>
      <w:r w:rsidR="00015212" w:rsidRPr="00C11E03">
        <w:rPr>
          <w:sz w:val="24"/>
          <w:szCs w:val="24"/>
        </w:rPr>
        <w:t xml:space="preserve"> e confermatosi ancora nell’anno in corso è</w:t>
      </w:r>
      <w:r w:rsidR="00535019" w:rsidRPr="00C11E03">
        <w:rPr>
          <w:sz w:val="24"/>
          <w:szCs w:val="24"/>
        </w:rPr>
        <w:t xml:space="preserve"> la riscoperta dei negozi di vicinato. Secondo un’indagine Nielsen il 30% degli intervistati ha segnalato un aumento della frequentazione dei negozi di quartiere legato alla comodità, ma anche a una percezione della qualità dei prodotti offerti e dei nuovi punti vendita scoperti. Il 79% dei consumatori ritiene che lo shopping vicino casa sia più piacevole rispetto a quello al di fuori della zona locale e il 77% che possa aiutare l’economia locale. </w:t>
      </w:r>
      <w:r w:rsidR="00015212" w:rsidRPr="00C11E03">
        <w:rPr>
          <w:sz w:val="24"/>
          <w:szCs w:val="24"/>
        </w:rPr>
        <w:t>In quest’ottica si conferma l’apertura di</w:t>
      </w:r>
      <w:r w:rsidR="00E00DBF" w:rsidRPr="00C11E03">
        <w:rPr>
          <w:sz w:val="24"/>
          <w:szCs w:val="24"/>
        </w:rPr>
        <w:t xml:space="preserve"> punti vendita di vicinato da parte delle più importanti catene della GDO</w:t>
      </w:r>
      <w:r w:rsidR="00CB48D0" w:rsidRPr="00C11E03">
        <w:rPr>
          <w:sz w:val="24"/>
          <w:szCs w:val="24"/>
        </w:rPr>
        <w:t xml:space="preserve"> e la tenuta </w:t>
      </w:r>
      <w:r w:rsidR="0090542D" w:rsidRPr="00C11E03">
        <w:rPr>
          <w:sz w:val="24"/>
          <w:szCs w:val="24"/>
        </w:rPr>
        <w:t>di quest</w:t>
      </w:r>
      <w:r w:rsidR="00FF38C8" w:rsidRPr="00C11E03">
        <w:rPr>
          <w:sz w:val="24"/>
          <w:szCs w:val="24"/>
        </w:rPr>
        <w:t>e</w:t>
      </w:r>
      <w:r w:rsidR="0090542D" w:rsidRPr="00C11E03">
        <w:rPr>
          <w:sz w:val="24"/>
          <w:szCs w:val="24"/>
        </w:rPr>
        <w:t xml:space="preserve"> tipologie di commercio</w:t>
      </w:r>
      <w:r w:rsidR="00CB48D0" w:rsidRPr="00C11E03">
        <w:rPr>
          <w:sz w:val="24"/>
          <w:szCs w:val="24"/>
        </w:rPr>
        <w:t xml:space="preserve"> nelle zone periferiche</w:t>
      </w:r>
      <w:r w:rsidR="0090542D" w:rsidRPr="00C11E03">
        <w:rPr>
          <w:sz w:val="24"/>
          <w:szCs w:val="24"/>
        </w:rPr>
        <w:t>,</w:t>
      </w:r>
      <w:r w:rsidR="00CB48D0" w:rsidRPr="00C11E03">
        <w:rPr>
          <w:sz w:val="24"/>
          <w:szCs w:val="24"/>
        </w:rPr>
        <w:t xml:space="preserve"> spesso gestit</w:t>
      </w:r>
      <w:r w:rsidR="00FF38C8" w:rsidRPr="00C11E03">
        <w:rPr>
          <w:sz w:val="24"/>
          <w:szCs w:val="24"/>
        </w:rPr>
        <w:t>e</w:t>
      </w:r>
      <w:r w:rsidR="00CB48D0" w:rsidRPr="00C11E03">
        <w:rPr>
          <w:sz w:val="24"/>
          <w:szCs w:val="24"/>
        </w:rPr>
        <w:t xml:space="preserve"> da immigrati</w:t>
      </w:r>
      <w:r w:rsidR="00E00DBF" w:rsidRPr="00C11E03">
        <w:rPr>
          <w:sz w:val="24"/>
          <w:szCs w:val="24"/>
        </w:rPr>
        <w:t>.</w:t>
      </w:r>
      <w:r w:rsidR="0090542D" w:rsidRPr="00C11E03">
        <w:rPr>
          <w:sz w:val="24"/>
          <w:szCs w:val="24"/>
        </w:rPr>
        <w:t xml:space="preserve"> </w:t>
      </w:r>
      <w:r w:rsidR="00E00DBF" w:rsidRPr="00C11E03">
        <w:rPr>
          <w:sz w:val="24"/>
          <w:szCs w:val="24"/>
        </w:rPr>
        <w:t xml:space="preserve"> </w:t>
      </w:r>
      <w:r w:rsidR="00535019" w:rsidRPr="00C11E03">
        <w:rPr>
          <w:sz w:val="24"/>
          <w:szCs w:val="24"/>
        </w:rPr>
        <w:t>Le vie di passaggio sono sempre quelle più richieste, meglio se</w:t>
      </w:r>
      <w:r w:rsidR="00CB48D0" w:rsidRPr="00C11E03">
        <w:rPr>
          <w:sz w:val="24"/>
          <w:szCs w:val="24"/>
        </w:rPr>
        <w:t xml:space="preserve"> interessate</w:t>
      </w:r>
      <w:r w:rsidR="00535019" w:rsidRPr="00C11E03">
        <w:rPr>
          <w:sz w:val="24"/>
          <w:szCs w:val="24"/>
        </w:rPr>
        <w:t xml:space="preserve"> </w:t>
      </w:r>
      <w:r w:rsidR="00FF38C8" w:rsidRPr="00C11E03">
        <w:rPr>
          <w:sz w:val="24"/>
          <w:szCs w:val="24"/>
        </w:rPr>
        <w:t>d</w:t>
      </w:r>
      <w:r w:rsidR="00535019" w:rsidRPr="00C11E03">
        <w:rPr>
          <w:sz w:val="24"/>
          <w:szCs w:val="24"/>
        </w:rPr>
        <w:t xml:space="preserve">a fermate di metropolitane. </w:t>
      </w:r>
      <w:r w:rsidR="009C382B" w:rsidRPr="00C11E03">
        <w:rPr>
          <w:sz w:val="24"/>
          <w:szCs w:val="24"/>
        </w:rPr>
        <w:t xml:space="preserve">Continua la ricerca di spazi esterni per la creazione di dehors. </w:t>
      </w:r>
      <w:r w:rsidR="00015212" w:rsidRPr="00C11E03">
        <w:rPr>
          <w:sz w:val="24"/>
          <w:szCs w:val="24"/>
        </w:rPr>
        <w:t>Milano</w:t>
      </w:r>
      <w:r w:rsidR="00F61779" w:rsidRPr="00C11E03">
        <w:rPr>
          <w:sz w:val="24"/>
          <w:szCs w:val="24"/>
        </w:rPr>
        <w:t xml:space="preserve"> resta la città dove si sperimentano sempre nuovi format e che suscita </w:t>
      </w:r>
      <w:r w:rsidR="00E00DBF" w:rsidRPr="00C11E03">
        <w:rPr>
          <w:sz w:val="24"/>
          <w:szCs w:val="24"/>
        </w:rPr>
        <w:t xml:space="preserve">una forte attrattività a livello di </w:t>
      </w:r>
      <w:proofErr w:type="gramStart"/>
      <w:r w:rsidR="00E00DBF" w:rsidRPr="00C11E03">
        <w:rPr>
          <w:sz w:val="24"/>
          <w:szCs w:val="24"/>
        </w:rPr>
        <w:t>brand</w:t>
      </w:r>
      <w:proofErr w:type="gramEnd"/>
      <w:r w:rsidR="00FF38C8" w:rsidRPr="00C11E03">
        <w:rPr>
          <w:sz w:val="24"/>
          <w:szCs w:val="24"/>
        </w:rPr>
        <w:t>,</w:t>
      </w:r>
      <w:r w:rsidR="00E06CFA" w:rsidRPr="00C11E03">
        <w:rPr>
          <w:sz w:val="24"/>
          <w:szCs w:val="24"/>
        </w:rPr>
        <w:t xml:space="preserve"> ancora di più adesso che i flussi turistici sono quasi tornati a livelli </w:t>
      </w:r>
      <w:proofErr w:type="spellStart"/>
      <w:r w:rsidR="00E06CFA" w:rsidRPr="00C11E03">
        <w:rPr>
          <w:sz w:val="24"/>
          <w:szCs w:val="24"/>
        </w:rPr>
        <w:t>pre</w:t>
      </w:r>
      <w:proofErr w:type="spellEnd"/>
      <w:r w:rsidR="00FF38C8" w:rsidRPr="00C11E03">
        <w:rPr>
          <w:sz w:val="24"/>
          <w:szCs w:val="24"/>
        </w:rPr>
        <w:t>-</w:t>
      </w:r>
      <w:r w:rsidR="00E06CFA" w:rsidRPr="00C11E03">
        <w:rPr>
          <w:sz w:val="24"/>
          <w:szCs w:val="24"/>
        </w:rPr>
        <w:t xml:space="preserve">pandemia. </w:t>
      </w:r>
      <w:r w:rsidR="00F61779" w:rsidRPr="00C11E03">
        <w:rPr>
          <w:sz w:val="24"/>
          <w:szCs w:val="24"/>
        </w:rPr>
        <w:t xml:space="preserve">Negli ultimi tempi si segnala </w:t>
      </w:r>
      <w:r w:rsidR="00E00DBF" w:rsidRPr="00C11E03">
        <w:rPr>
          <w:sz w:val="24"/>
          <w:szCs w:val="24"/>
        </w:rPr>
        <w:t>una riscoperta di alcune delle principali</w:t>
      </w:r>
      <w:r w:rsidR="00CB48D0" w:rsidRPr="00C11E03">
        <w:rPr>
          <w:sz w:val="24"/>
          <w:szCs w:val="24"/>
        </w:rPr>
        <w:t xml:space="preserve"> strade</w:t>
      </w:r>
      <w:r w:rsidR="00F61779" w:rsidRPr="00C11E03">
        <w:rPr>
          <w:sz w:val="24"/>
          <w:szCs w:val="24"/>
        </w:rPr>
        <w:t xml:space="preserve"> di Bari</w:t>
      </w:r>
      <w:r w:rsidR="00E17092" w:rsidRPr="00C11E03">
        <w:rPr>
          <w:sz w:val="24"/>
          <w:szCs w:val="24"/>
        </w:rPr>
        <w:t>, città che</w:t>
      </w:r>
      <w:r w:rsidR="00382AE7" w:rsidRPr="00C11E03">
        <w:rPr>
          <w:sz w:val="24"/>
          <w:szCs w:val="24"/>
        </w:rPr>
        <w:t xml:space="preserve"> si sta rilanciando attraverso il turismo</w:t>
      </w:r>
      <w:r w:rsidR="00E00DBF" w:rsidRPr="00C11E03">
        <w:rPr>
          <w:sz w:val="24"/>
          <w:szCs w:val="24"/>
        </w:rPr>
        <w:t xml:space="preserve">. La nostra rete conferma la stipula di contratti scalettati </w:t>
      </w:r>
      <w:r w:rsidR="00CB48D0" w:rsidRPr="00C11E03">
        <w:rPr>
          <w:sz w:val="24"/>
          <w:szCs w:val="24"/>
        </w:rPr>
        <w:t>anche se</w:t>
      </w:r>
      <w:r w:rsidR="00E00DBF" w:rsidRPr="00C11E03">
        <w:rPr>
          <w:sz w:val="24"/>
          <w:szCs w:val="24"/>
        </w:rPr>
        <w:t xml:space="preserve"> sulle imprese</w:t>
      </w:r>
      <w:r w:rsidR="00CB48D0" w:rsidRPr="00C11E03">
        <w:rPr>
          <w:sz w:val="24"/>
          <w:szCs w:val="24"/>
        </w:rPr>
        <w:t>,</w:t>
      </w:r>
      <w:r w:rsidR="00E00DBF" w:rsidRPr="00C11E03">
        <w:rPr>
          <w:sz w:val="24"/>
          <w:szCs w:val="24"/>
        </w:rPr>
        <w:t xml:space="preserve"> oltre allo spettro dell’inflazione che potrebbe ridurre le spese delle famiglie</w:t>
      </w:r>
      <w:r w:rsidR="00CB48D0" w:rsidRPr="00C11E03">
        <w:rPr>
          <w:sz w:val="24"/>
          <w:szCs w:val="24"/>
        </w:rPr>
        <w:t>,</w:t>
      </w:r>
      <w:r w:rsidR="00E00DBF" w:rsidRPr="00C11E03">
        <w:rPr>
          <w:sz w:val="24"/>
          <w:szCs w:val="24"/>
        </w:rPr>
        <w:t xml:space="preserve"> incombe l’aumento dei canoni di locazione agganciati all’Istat.</w:t>
      </w:r>
      <w:r w:rsidR="00F61779" w:rsidRPr="00C11E03">
        <w:rPr>
          <w:sz w:val="24"/>
          <w:szCs w:val="24"/>
        </w:rPr>
        <w:t xml:space="preserve"> </w:t>
      </w:r>
      <w:r w:rsidR="00FF38C8" w:rsidRPr="00C11E03">
        <w:rPr>
          <w:sz w:val="24"/>
          <w:szCs w:val="24"/>
        </w:rPr>
        <w:t xml:space="preserve"> I dati relativi alle operazioni realizzate dalle agenzie del Gruppo Tecnocasa hanno rilevato come il 77,7% di queste siano indirizzate alla locazione e il 22,3% alle operazioni di acquisto. Rispetto a un anno fa si segnala una sostanziale stabilità. La maggioranza di chi acquista lo fa con finalità di investimento e la percentuale è in leggero aumento rispetto all’anno </w:t>
      </w:r>
      <w:r w:rsidR="00FF38C8" w:rsidRPr="00C11E03">
        <w:rPr>
          <w:sz w:val="24"/>
          <w:szCs w:val="24"/>
        </w:rPr>
        <w:lastRenderedPageBreak/>
        <w:t>scorso (passa da 48,9% a 53,3%). I rendimenti lordi da locazione (intorno al 9% annuo lordo) hanno sempre attratto gli investitori, ancora di più adesso con l’inflazione che spinge verso il mattone.</w:t>
      </w:r>
    </w:p>
    <w:p w14:paraId="6F98F0A3" w14:textId="30BFECD1" w:rsidR="00D67C26" w:rsidRPr="00C11E03" w:rsidRDefault="002A2B89" w:rsidP="00015212">
      <w:pPr>
        <w:jc w:val="both"/>
        <w:rPr>
          <w:sz w:val="24"/>
          <w:szCs w:val="24"/>
        </w:rPr>
      </w:pPr>
      <w:r w:rsidRPr="00C11E03">
        <w:rPr>
          <w:sz w:val="24"/>
          <w:szCs w:val="24"/>
        </w:rPr>
        <w:t>Sulle vie non di passaggio i locali commerciali sono ricercati da chi svolge attività che non necessitano di visibilità</w:t>
      </w:r>
      <w:r w:rsidR="00CB48D0" w:rsidRPr="00C11E03">
        <w:rPr>
          <w:sz w:val="24"/>
          <w:szCs w:val="24"/>
        </w:rPr>
        <w:t xml:space="preserve"> o che la </w:t>
      </w:r>
      <w:r w:rsidR="007C7CF5" w:rsidRPr="00C11E03">
        <w:rPr>
          <w:sz w:val="24"/>
          <w:szCs w:val="24"/>
        </w:rPr>
        <w:t>ottengono</w:t>
      </w:r>
      <w:r w:rsidR="00CB48D0" w:rsidRPr="00C11E03">
        <w:rPr>
          <w:sz w:val="24"/>
          <w:szCs w:val="24"/>
        </w:rPr>
        <w:t xml:space="preserve"> attraverso i social</w:t>
      </w:r>
      <w:r w:rsidR="00F61779" w:rsidRPr="00C11E03">
        <w:rPr>
          <w:sz w:val="24"/>
          <w:szCs w:val="24"/>
        </w:rPr>
        <w:t xml:space="preserve"> </w:t>
      </w:r>
      <w:r w:rsidR="00CB48D0" w:rsidRPr="00C11E03">
        <w:rPr>
          <w:sz w:val="24"/>
          <w:szCs w:val="24"/>
        </w:rPr>
        <w:t>oppure che</w:t>
      </w:r>
      <w:r w:rsidR="00D67C26" w:rsidRPr="00C11E03">
        <w:rPr>
          <w:sz w:val="24"/>
          <w:szCs w:val="24"/>
        </w:rPr>
        <w:t xml:space="preserve"> eroga</w:t>
      </w:r>
      <w:r w:rsidR="00CB48D0" w:rsidRPr="00C11E03">
        <w:rPr>
          <w:sz w:val="24"/>
          <w:szCs w:val="24"/>
        </w:rPr>
        <w:t>no</w:t>
      </w:r>
      <w:r w:rsidR="00D67C26" w:rsidRPr="00C11E03">
        <w:rPr>
          <w:sz w:val="24"/>
          <w:szCs w:val="24"/>
        </w:rPr>
        <w:t xml:space="preserve"> servizi. </w:t>
      </w:r>
      <w:r w:rsidR="00CB48D0" w:rsidRPr="00C11E03">
        <w:rPr>
          <w:sz w:val="24"/>
          <w:szCs w:val="24"/>
        </w:rPr>
        <w:t>S</w:t>
      </w:r>
      <w:r w:rsidRPr="00C11E03">
        <w:rPr>
          <w:sz w:val="24"/>
          <w:szCs w:val="24"/>
        </w:rPr>
        <w:t xml:space="preserve">empre più </w:t>
      </w:r>
      <w:r w:rsidR="00D67C26" w:rsidRPr="00C11E03">
        <w:rPr>
          <w:sz w:val="24"/>
          <w:szCs w:val="24"/>
        </w:rPr>
        <w:t>si realizzano</w:t>
      </w:r>
      <w:r w:rsidRPr="00C11E03">
        <w:rPr>
          <w:sz w:val="24"/>
          <w:szCs w:val="24"/>
        </w:rPr>
        <w:t xml:space="preserve"> cambi d’uso in residenziale</w:t>
      </w:r>
      <w:r w:rsidR="00D67C26" w:rsidRPr="00C11E03">
        <w:rPr>
          <w:sz w:val="24"/>
          <w:szCs w:val="24"/>
        </w:rPr>
        <w:t>,</w:t>
      </w:r>
      <w:r w:rsidRPr="00C11E03">
        <w:rPr>
          <w:sz w:val="24"/>
          <w:szCs w:val="24"/>
        </w:rPr>
        <w:t xml:space="preserve"> in particolare in quei quartieri dove c’è un’elevata domanda di immobili</w:t>
      </w:r>
      <w:r w:rsidR="00D67C26" w:rsidRPr="00C11E03">
        <w:rPr>
          <w:sz w:val="24"/>
          <w:szCs w:val="24"/>
        </w:rPr>
        <w:t xml:space="preserve"> residenziali</w:t>
      </w:r>
      <w:r w:rsidR="00CB48D0" w:rsidRPr="00C11E03">
        <w:rPr>
          <w:sz w:val="24"/>
          <w:szCs w:val="24"/>
        </w:rPr>
        <w:t xml:space="preserve">, </w:t>
      </w:r>
      <w:r w:rsidRPr="00C11E03">
        <w:rPr>
          <w:sz w:val="24"/>
          <w:szCs w:val="24"/>
        </w:rPr>
        <w:t>in affitto</w:t>
      </w:r>
      <w:r w:rsidR="00D67C26" w:rsidRPr="00C11E03">
        <w:rPr>
          <w:sz w:val="24"/>
          <w:szCs w:val="24"/>
        </w:rPr>
        <w:t xml:space="preserve"> e in acquisto</w:t>
      </w:r>
      <w:r w:rsidRPr="00C11E03">
        <w:rPr>
          <w:sz w:val="24"/>
          <w:szCs w:val="24"/>
        </w:rPr>
        <w:t xml:space="preserve">. </w:t>
      </w:r>
      <w:r w:rsidR="008358E9" w:rsidRPr="00C11E03">
        <w:rPr>
          <w:sz w:val="24"/>
          <w:szCs w:val="24"/>
        </w:rPr>
        <w:t>Sul segmento dei negozi, negli ultimi dieci anni</w:t>
      </w:r>
      <w:r w:rsidR="00CB48D0" w:rsidRPr="00C11E03">
        <w:rPr>
          <w:sz w:val="24"/>
          <w:szCs w:val="24"/>
        </w:rPr>
        <w:t xml:space="preserve">, </w:t>
      </w:r>
      <w:r w:rsidR="008358E9" w:rsidRPr="00C11E03">
        <w:rPr>
          <w:sz w:val="24"/>
          <w:szCs w:val="24"/>
        </w:rPr>
        <w:t xml:space="preserve">si segnala una diminuzione dei prezzi del </w:t>
      </w:r>
      <w:r w:rsidR="007D20E9" w:rsidRPr="00C11E03">
        <w:rPr>
          <w:sz w:val="24"/>
          <w:szCs w:val="24"/>
        </w:rPr>
        <w:t xml:space="preserve">36,7% per le soluzioni </w:t>
      </w:r>
      <w:r w:rsidR="00375341" w:rsidRPr="00C11E03">
        <w:rPr>
          <w:sz w:val="24"/>
          <w:szCs w:val="24"/>
        </w:rPr>
        <w:t>ne</w:t>
      </w:r>
      <w:r w:rsidR="007D20E9" w:rsidRPr="00C11E03">
        <w:rPr>
          <w:sz w:val="24"/>
          <w:szCs w:val="24"/>
        </w:rPr>
        <w:t>lle vie di passaggio e del 40,5% per quelle nelle vie non di passaggio. Sui canoni di locazione</w:t>
      </w:r>
      <w:r w:rsidR="00CB48D0" w:rsidRPr="00C11E03">
        <w:rPr>
          <w:sz w:val="24"/>
          <w:szCs w:val="24"/>
        </w:rPr>
        <w:t>,</w:t>
      </w:r>
      <w:r w:rsidR="007D20E9" w:rsidRPr="00C11E03">
        <w:rPr>
          <w:sz w:val="24"/>
          <w:szCs w:val="24"/>
        </w:rPr>
        <w:t xml:space="preserve"> invece</w:t>
      </w:r>
      <w:r w:rsidR="00CB48D0" w:rsidRPr="00C11E03">
        <w:rPr>
          <w:sz w:val="24"/>
          <w:szCs w:val="24"/>
        </w:rPr>
        <w:t>,</w:t>
      </w:r>
      <w:r w:rsidR="007D20E9" w:rsidRPr="00C11E03">
        <w:rPr>
          <w:sz w:val="24"/>
          <w:szCs w:val="24"/>
        </w:rPr>
        <w:t xml:space="preserve"> i</w:t>
      </w:r>
      <w:r w:rsidR="00CB48D0" w:rsidRPr="00C11E03">
        <w:rPr>
          <w:sz w:val="24"/>
          <w:szCs w:val="24"/>
        </w:rPr>
        <w:t>l</w:t>
      </w:r>
      <w:r w:rsidR="007D20E9" w:rsidRPr="00C11E03">
        <w:rPr>
          <w:sz w:val="24"/>
          <w:szCs w:val="24"/>
        </w:rPr>
        <w:t xml:space="preserve"> ribasso è rispettivamente del 34,2% per le vie di passaggio e del 33,7% per le vie non di passaggio. </w:t>
      </w:r>
      <w:r w:rsidR="006D404F" w:rsidRPr="00C11E03">
        <w:rPr>
          <w:sz w:val="24"/>
          <w:szCs w:val="24"/>
        </w:rPr>
        <w:t xml:space="preserve">La maggioranza dei negozi locati e compravenduti hanno una metratura inferiore a 50 mq. </w:t>
      </w:r>
    </w:p>
    <w:p w14:paraId="322414F7" w14:textId="05D0C090" w:rsidR="00887A02" w:rsidRPr="00C11E03" w:rsidRDefault="00D67C26" w:rsidP="00F23B36">
      <w:pPr>
        <w:jc w:val="both"/>
        <w:rPr>
          <w:b/>
          <w:bCs/>
          <w:color w:val="C00000"/>
          <w:sz w:val="28"/>
          <w:szCs w:val="28"/>
        </w:rPr>
      </w:pPr>
      <w:r w:rsidRPr="00C11E03">
        <w:rPr>
          <w:b/>
          <w:bCs/>
          <w:color w:val="C00000"/>
          <w:sz w:val="28"/>
          <w:szCs w:val="28"/>
        </w:rPr>
        <w:t>UFFICI</w:t>
      </w:r>
    </w:p>
    <w:tbl>
      <w:tblPr>
        <w:tblW w:w="9654" w:type="dxa"/>
        <w:tblInd w:w="55" w:type="dxa"/>
        <w:tblCellMar>
          <w:left w:w="70" w:type="dxa"/>
          <w:right w:w="70" w:type="dxa"/>
        </w:tblCellMar>
        <w:tblLook w:val="04A0" w:firstRow="1" w:lastRow="0" w:firstColumn="1" w:lastColumn="0" w:noHBand="0" w:noVBand="1"/>
      </w:tblPr>
      <w:tblGrid>
        <w:gridCol w:w="1940"/>
        <w:gridCol w:w="1903"/>
        <w:gridCol w:w="2126"/>
        <w:gridCol w:w="1843"/>
        <w:gridCol w:w="1842"/>
      </w:tblGrid>
      <w:tr w:rsidR="00887A02" w:rsidRPr="003C6D55" w14:paraId="69B589E6" w14:textId="77777777" w:rsidTr="001A343F">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731CB" w14:textId="7CB864E5" w:rsidR="00887A02" w:rsidRPr="003C6D55" w:rsidRDefault="00887A02" w:rsidP="001A343F">
            <w:pPr>
              <w:spacing w:after="0" w:line="240" w:lineRule="auto"/>
              <w:jc w:val="both"/>
              <w:rPr>
                <w:rFonts w:ascii="Calibri" w:eastAsia="Times New Roman" w:hAnsi="Calibri" w:cs="Times New Roman"/>
                <w:b/>
                <w:lang w:eastAsia="it-IT"/>
              </w:rPr>
            </w:pP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14:paraId="2EFDEA20" w14:textId="77777777" w:rsidR="00887A02" w:rsidRPr="003C6D55" w:rsidRDefault="00887A02" w:rsidP="001A343F">
            <w:pPr>
              <w:spacing w:after="0" w:line="240" w:lineRule="auto"/>
              <w:jc w:val="both"/>
              <w:rPr>
                <w:rFonts w:ascii="Calibri" w:eastAsia="Times New Roman" w:hAnsi="Calibri" w:cs="Times New Roman"/>
                <w:b/>
                <w:lang w:eastAsia="it-IT"/>
              </w:rPr>
            </w:pPr>
            <w:r w:rsidRPr="003C6D55">
              <w:rPr>
                <w:rFonts w:ascii="Calibri" w:eastAsia="Times New Roman" w:hAnsi="Calibri" w:cs="Times New Roman"/>
                <w:b/>
                <w:lang w:eastAsia="it-IT"/>
              </w:rPr>
              <w:t>Nuovo in centri direzionali</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E0B9C00" w14:textId="77777777" w:rsidR="00887A02" w:rsidRPr="003C6D55" w:rsidRDefault="00887A02" w:rsidP="001A343F">
            <w:pPr>
              <w:spacing w:after="0" w:line="240" w:lineRule="auto"/>
              <w:jc w:val="both"/>
              <w:rPr>
                <w:rFonts w:ascii="Calibri" w:eastAsia="Times New Roman" w:hAnsi="Calibri" w:cs="Times New Roman"/>
                <w:b/>
                <w:lang w:eastAsia="it-IT"/>
              </w:rPr>
            </w:pPr>
            <w:r w:rsidRPr="003C6D55">
              <w:rPr>
                <w:rFonts w:ascii="Calibri" w:eastAsia="Times New Roman" w:hAnsi="Calibri" w:cs="Times New Roman"/>
                <w:b/>
                <w:lang w:eastAsia="it-IT"/>
              </w:rPr>
              <w:t>Nuovo in palazzine residenziali</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E6C85B0" w14:textId="77777777" w:rsidR="00887A02" w:rsidRPr="003C6D55" w:rsidRDefault="00887A02" w:rsidP="001A343F">
            <w:pPr>
              <w:spacing w:after="0" w:line="240" w:lineRule="auto"/>
              <w:jc w:val="both"/>
              <w:rPr>
                <w:rFonts w:ascii="Calibri" w:eastAsia="Times New Roman" w:hAnsi="Calibri" w:cs="Times New Roman"/>
                <w:b/>
                <w:lang w:eastAsia="it-IT"/>
              </w:rPr>
            </w:pPr>
            <w:r w:rsidRPr="003C6D55">
              <w:rPr>
                <w:rFonts w:ascii="Calibri" w:eastAsia="Times New Roman" w:hAnsi="Calibri" w:cs="Times New Roman"/>
                <w:b/>
                <w:lang w:eastAsia="it-IT"/>
              </w:rPr>
              <w:t>Usato in centri direzionali</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519B0A" w14:textId="77777777" w:rsidR="00887A02" w:rsidRPr="003C6D55" w:rsidRDefault="00887A02" w:rsidP="001A343F">
            <w:pPr>
              <w:spacing w:after="0" w:line="240" w:lineRule="auto"/>
              <w:jc w:val="both"/>
              <w:rPr>
                <w:rFonts w:ascii="Calibri" w:eastAsia="Times New Roman" w:hAnsi="Calibri" w:cs="Times New Roman"/>
                <w:b/>
                <w:lang w:eastAsia="it-IT"/>
              </w:rPr>
            </w:pPr>
            <w:r w:rsidRPr="003C6D55">
              <w:rPr>
                <w:rFonts w:ascii="Calibri" w:eastAsia="Times New Roman" w:hAnsi="Calibri" w:cs="Times New Roman"/>
                <w:b/>
                <w:lang w:eastAsia="it-IT"/>
              </w:rPr>
              <w:t>Usato in palazzine residenziali</w:t>
            </w:r>
          </w:p>
        </w:tc>
      </w:tr>
      <w:tr w:rsidR="00887A02" w:rsidRPr="003C6D55" w14:paraId="6489DD3F" w14:textId="77777777" w:rsidTr="001A343F">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4783064" w14:textId="77777777" w:rsidR="00887A02" w:rsidRPr="003C6D55" w:rsidRDefault="00887A02" w:rsidP="001A343F">
            <w:pPr>
              <w:spacing w:after="0" w:line="240" w:lineRule="auto"/>
              <w:jc w:val="both"/>
              <w:rPr>
                <w:rFonts w:ascii="Calibri" w:eastAsia="Times New Roman" w:hAnsi="Calibri" w:cs="Times New Roman"/>
                <w:b/>
                <w:lang w:eastAsia="it-IT"/>
              </w:rPr>
            </w:pPr>
            <w:r w:rsidRPr="003C6D55">
              <w:rPr>
                <w:rFonts w:ascii="Calibri" w:eastAsia="Times New Roman" w:hAnsi="Calibri" w:cs="Times New Roman"/>
                <w:b/>
                <w:lang w:eastAsia="it-IT"/>
              </w:rPr>
              <w:t xml:space="preserve">Prezzi </w:t>
            </w:r>
          </w:p>
        </w:tc>
        <w:tc>
          <w:tcPr>
            <w:tcW w:w="1903" w:type="dxa"/>
            <w:tcBorders>
              <w:top w:val="nil"/>
              <w:left w:val="nil"/>
              <w:bottom w:val="single" w:sz="4" w:space="0" w:color="auto"/>
              <w:right w:val="single" w:sz="4" w:space="0" w:color="auto"/>
            </w:tcBorders>
            <w:shd w:val="clear" w:color="auto" w:fill="auto"/>
            <w:noWrap/>
            <w:vAlign w:val="bottom"/>
          </w:tcPr>
          <w:p w14:paraId="41E5657D" w14:textId="570B9565" w:rsidR="00887A02" w:rsidRPr="003C6D55" w:rsidRDefault="00887A02"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-0,1%</w:t>
            </w:r>
          </w:p>
        </w:tc>
        <w:tc>
          <w:tcPr>
            <w:tcW w:w="2126" w:type="dxa"/>
            <w:tcBorders>
              <w:top w:val="nil"/>
              <w:left w:val="nil"/>
              <w:bottom w:val="single" w:sz="4" w:space="0" w:color="auto"/>
              <w:right w:val="single" w:sz="4" w:space="0" w:color="auto"/>
            </w:tcBorders>
            <w:shd w:val="clear" w:color="auto" w:fill="auto"/>
            <w:noWrap/>
            <w:vAlign w:val="bottom"/>
          </w:tcPr>
          <w:p w14:paraId="18733B50" w14:textId="16EC2E1E" w:rsidR="00887A02" w:rsidRPr="003C6D55" w:rsidRDefault="00887A02"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0,0%</w:t>
            </w:r>
          </w:p>
        </w:tc>
        <w:tc>
          <w:tcPr>
            <w:tcW w:w="1843" w:type="dxa"/>
            <w:tcBorders>
              <w:top w:val="nil"/>
              <w:left w:val="nil"/>
              <w:bottom w:val="single" w:sz="4" w:space="0" w:color="auto"/>
              <w:right w:val="single" w:sz="4" w:space="0" w:color="auto"/>
            </w:tcBorders>
            <w:shd w:val="clear" w:color="auto" w:fill="auto"/>
            <w:noWrap/>
            <w:vAlign w:val="bottom"/>
          </w:tcPr>
          <w:p w14:paraId="17B729CE" w14:textId="747C0176" w:rsidR="00887A02" w:rsidRPr="003C6D55" w:rsidRDefault="00887A02"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w:t>
            </w:r>
            <w:r w:rsidR="00F23B36">
              <w:rPr>
                <w:rFonts w:ascii="Calibri" w:eastAsia="Times New Roman" w:hAnsi="Calibri" w:cs="Times New Roman"/>
                <w:lang w:eastAsia="it-IT"/>
              </w:rPr>
              <w:t>2</w:t>
            </w:r>
            <w:r>
              <w:rPr>
                <w:rFonts w:ascii="Calibri" w:eastAsia="Times New Roman" w:hAnsi="Calibri" w:cs="Times New Roman"/>
                <w:lang w:eastAsia="it-IT"/>
              </w:rPr>
              <w:t>%</w:t>
            </w:r>
          </w:p>
        </w:tc>
        <w:tc>
          <w:tcPr>
            <w:tcW w:w="1842" w:type="dxa"/>
            <w:tcBorders>
              <w:top w:val="nil"/>
              <w:left w:val="nil"/>
              <w:bottom w:val="single" w:sz="4" w:space="0" w:color="auto"/>
              <w:right w:val="single" w:sz="4" w:space="0" w:color="auto"/>
            </w:tcBorders>
            <w:shd w:val="clear" w:color="auto" w:fill="auto"/>
            <w:noWrap/>
            <w:vAlign w:val="bottom"/>
          </w:tcPr>
          <w:p w14:paraId="68CB9116" w14:textId="7CCBCBDC" w:rsidR="00887A02" w:rsidRPr="003C6D55" w:rsidRDefault="00F23B36"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+0,1%</w:t>
            </w:r>
          </w:p>
        </w:tc>
      </w:tr>
      <w:tr w:rsidR="00887A02" w:rsidRPr="003C6D55" w14:paraId="11830498" w14:textId="77777777" w:rsidTr="001A343F">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7F99514" w14:textId="77777777" w:rsidR="00887A02" w:rsidRPr="003C6D55" w:rsidRDefault="00887A02" w:rsidP="001A343F">
            <w:pPr>
              <w:spacing w:after="0" w:line="240" w:lineRule="auto"/>
              <w:jc w:val="both"/>
              <w:rPr>
                <w:rFonts w:ascii="Calibri" w:eastAsia="Times New Roman" w:hAnsi="Calibri" w:cs="Times New Roman"/>
                <w:b/>
                <w:lang w:eastAsia="it-IT"/>
              </w:rPr>
            </w:pPr>
            <w:r>
              <w:rPr>
                <w:rFonts w:ascii="Calibri" w:eastAsia="Times New Roman" w:hAnsi="Calibri" w:cs="Times New Roman"/>
                <w:b/>
                <w:lang w:eastAsia="it-IT"/>
              </w:rPr>
              <w:t>Canoni di l</w:t>
            </w:r>
            <w:r w:rsidRPr="003C6D55">
              <w:rPr>
                <w:rFonts w:ascii="Calibri" w:eastAsia="Times New Roman" w:hAnsi="Calibri" w:cs="Times New Roman"/>
                <w:b/>
                <w:lang w:eastAsia="it-IT"/>
              </w:rPr>
              <w:t>ocazione</w:t>
            </w:r>
          </w:p>
        </w:tc>
        <w:tc>
          <w:tcPr>
            <w:tcW w:w="1903" w:type="dxa"/>
            <w:tcBorders>
              <w:top w:val="nil"/>
              <w:left w:val="nil"/>
              <w:bottom w:val="single" w:sz="4" w:space="0" w:color="auto"/>
              <w:right w:val="single" w:sz="4" w:space="0" w:color="auto"/>
            </w:tcBorders>
            <w:shd w:val="clear" w:color="auto" w:fill="auto"/>
            <w:noWrap/>
            <w:vAlign w:val="bottom"/>
          </w:tcPr>
          <w:p w14:paraId="5CD8D5EA" w14:textId="73C91FAA" w:rsidR="00887A02" w:rsidRPr="003C6D55" w:rsidRDefault="00F23B36"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+0,4%</w:t>
            </w:r>
          </w:p>
        </w:tc>
        <w:tc>
          <w:tcPr>
            <w:tcW w:w="2126" w:type="dxa"/>
            <w:tcBorders>
              <w:top w:val="nil"/>
              <w:left w:val="nil"/>
              <w:bottom w:val="single" w:sz="4" w:space="0" w:color="auto"/>
              <w:right w:val="single" w:sz="4" w:space="0" w:color="auto"/>
            </w:tcBorders>
            <w:shd w:val="clear" w:color="auto" w:fill="auto"/>
            <w:noWrap/>
            <w:vAlign w:val="bottom"/>
          </w:tcPr>
          <w:p w14:paraId="05934DF3" w14:textId="7948AAB0" w:rsidR="00887A02" w:rsidRPr="003C6D55" w:rsidRDefault="00F23B36"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+0,2%</w:t>
            </w:r>
          </w:p>
        </w:tc>
        <w:tc>
          <w:tcPr>
            <w:tcW w:w="1843" w:type="dxa"/>
            <w:tcBorders>
              <w:top w:val="nil"/>
              <w:left w:val="nil"/>
              <w:bottom w:val="single" w:sz="4" w:space="0" w:color="auto"/>
              <w:right w:val="single" w:sz="4" w:space="0" w:color="auto"/>
            </w:tcBorders>
            <w:shd w:val="clear" w:color="auto" w:fill="auto"/>
            <w:noWrap/>
            <w:vAlign w:val="bottom"/>
          </w:tcPr>
          <w:p w14:paraId="7F2211E1" w14:textId="00989995" w:rsidR="00887A02" w:rsidRPr="003C6D55" w:rsidRDefault="00F23B36"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+0,1%</w:t>
            </w:r>
          </w:p>
        </w:tc>
        <w:tc>
          <w:tcPr>
            <w:tcW w:w="1842" w:type="dxa"/>
            <w:tcBorders>
              <w:top w:val="nil"/>
              <w:left w:val="nil"/>
              <w:bottom w:val="single" w:sz="4" w:space="0" w:color="auto"/>
              <w:right w:val="single" w:sz="4" w:space="0" w:color="auto"/>
            </w:tcBorders>
            <w:shd w:val="clear" w:color="auto" w:fill="auto"/>
            <w:noWrap/>
            <w:vAlign w:val="bottom"/>
          </w:tcPr>
          <w:p w14:paraId="5914E431" w14:textId="6B0A2E21" w:rsidR="00887A02" w:rsidRPr="003C6D55" w:rsidRDefault="00F23B36" w:rsidP="001A343F">
            <w:pPr>
              <w:spacing w:after="0" w:line="240" w:lineRule="auto"/>
              <w:jc w:val="center"/>
              <w:rPr>
                <w:rFonts w:ascii="Calibri" w:eastAsia="Times New Roman" w:hAnsi="Calibri" w:cs="Times New Roman"/>
                <w:lang w:eastAsia="it-IT"/>
              </w:rPr>
            </w:pPr>
            <w:r>
              <w:rPr>
                <w:rFonts w:ascii="Calibri" w:eastAsia="Times New Roman" w:hAnsi="Calibri" w:cs="Times New Roman"/>
                <w:lang w:eastAsia="it-IT"/>
              </w:rPr>
              <w:t>+0,2%</w:t>
            </w:r>
          </w:p>
        </w:tc>
      </w:tr>
    </w:tbl>
    <w:p w14:paraId="0A97F888" w14:textId="03263581" w:rsidR="00887A02" w:rsidRPr="00C11E03" w:rsidRDefault="00887A02" w:rsidP="00D67C26">
      <w:pPr>
        <w:jc w:val="both"/>
        <w:rPr>
          <w:b/>
          <w:bCs/>
          <w:sz w:val="16"/>
          <w:szCs w:val="16"/>
        </w:rPr>
      </w:pPr>
    </w:p>
    <w:p w14:paraId="24EAE03B" w14:textId="23D94E5C" w:rsidR="00405431" w:rsidRPr="00C11E03" w:rsidRDefault="008358E9" w:rsidP="003800B3">
      <w:pPr>
        <w:jc w:val="both"/>
        <w:rPr>
          <w:sz w:val="24"/>
          <w:szCs w:val="24"/>
        </w:rPr>
      </w:pPr>
      <w:r w:rsidRPr="00C11E03">
        <w:rPr>
          <w:sz w:val="24"/>
          <w:szCs w:val="24"/>
        </w:rPr>
        <w:t>Gli uffici, dapprima svuotati dal Covid e poi ripopolati con nuove regole di riorganizzazione del lavoro</w:t>
      </w:r>
      <w:r w:rsidR="007D20E9" w:rsidRPr="00C11E03">
        <w:rPr>
          <w:sz w:val="24"/>
          <w:szCs w:val="24"/>
        </w:rPr>
        <w:t>,</w:t>
      </w:r>
      <w:r w:rsidRPr="00C11E03">
        <w:rPr>
          <w:sz w:val="24"/>
          <w:szCs w:val="24"/>
        </w:rPr>
        <w:t xml:space="preserve"> rappresentano il segmento che segnala miglioramenti rispetto all’anno scorso</w:t>
      </w:r>
      <w:r w:rsidR="007D20E9" w:rsidRPr="00C11E03">
        <w:rPr>
          <w:sz w:val="24"/>
          <w:szCs w:val="24"/>
        </w:rPr>
        <w:t>,</w:t>
      </w:r>
      <w:r w:rsidRPr="00C11E03">
        <w:rPr>
          <w:sz w:val="24"/>
          <w:szCs w:val="24"/>
        </w:rPr>
        <w:t xml:space="preserve"> evidenziando una ricerca più mirata. </w:t>
      </w:r>
      <w:r w:rsidR="00D67C26" w:rsidRPr="00C11E03">
        <w:rPr>
          <w:sz w:val="24"/>
          <w:szCs w:val="24"/>
        </w:rPr>
        <w:t>Numerose aziende hanno rivisto le modalità di fruizione degli spazi con conseguente riconfigurazione del layout di questi immobili che punta sempre più al benessere dei lavoratori e al miglioramento delle relazioni tra gli stessi. Si pensano strutture in comunicazione con il quartiere circostante e</w:t>
      </w:r>
      <w:r w:rsidRPr="00C11E03">
        <w:rPr>
          <w:sz w:val="24"/>
          <w:szCs w:val="24"/>
        </w:rPr>
        <w:t>,</w:t>
      </w:r>
      <w:r w:rsidR="00D67C26" w:rsidRPr="00C11E03">
        <w:rPr>
          <w:sz w:val="24"/>
          <w:szCs w:val="24"/>
        </w:rPr>
        <w:t xml:space="preserve"> soprattutto, efficienti dal punto di vista energetico. Gli interventi di ultima generazione</w:t>
      </w:r>
      <w:r w:rsidR="007D20E9" w:rsidRPr="00C11E03">
        <w:rPr>
          <w:sz w:val="24"/>
          <w:szCs w:val="24"/>
        </w:rPr>
        <w:t>,</w:t>
      </w:r>
      <w:r w:rsidR="00D67C26" w:rsidRPr="00C11E03">
        <w:rPr>
          <w:sz w:val="24"/>
          <w:szCs w:val="24"/>
        </w:rPr>
        <w:t xml:space="preserve"> e Milano ancora una volta è capofila in questo, sono progettati per avere certificazioni Green. </w:t>
      </w:r>
      <w:r w:rsidR="005517EA" w:rsidRPr="00C11E03">
        <w:rPr>
          <w:sz w:val="24"/>
          <w:szCs w:val="24"/>
        </w:rPr>
        <w:t xml:space="preserve">In generale gli immobili di grado “A” continuano a registrare un aumento della domanda che mostra sensibilità </w:t>
      </w:r>
      <w:r w:rsidR="00D67C26" w:rsidRPr="00C11E03">
        <w:rPr>
          <w:sz w:val="24"/>
          <w:szCs w:val="24"/>
        </w:rPr>
        <w:t>al contenimento dei costi, ragione per cui i centri direzional</w:t>
      </w:r>
      <w:r w:rsidR="002F745F" w:rsidRPr="00C11E03">
        <w:rPr>
          <w:sz w:val="24"/>
          <w:szCs w:val="24"/>
        </w:rPr>
        <w:t>i</w:t>
      </w:r>
      <w:r w:rsidR="00D67C26" w:rsidRPr="00C11E03">
        <w:rPr>
          <w:sz w:val="24"/>
          <w:szCs w:val="24"/>
        </w:rPr>
        <w:t xml:space="preserve"> di vecchia generazione sono appetibili solo a canoni e prezzi particolarmente convenienti. Le nostre agenzie sul territorio ci dicono che </w:t>
      </w:r>
      <w:proofErr w:type="gramStart"/>
      <w:r w:rsidR="00D67C26" w:rsidRPr="00C11E03">
        <w:rPr>
          <w:sz w:val="24"/>
          <w:szCs w:val="24"/>
        </w:rPr>
        <w:t>le location centrali</w:t>
      </w:r>
      <w:proofErr w:type="gramEnd"/>
      <w:r w:rsidR="00D67C26" w:rsidRPr="00C11E03">
        <w:rPr>
          <w:sz w:val="24"/>
          <w:szCs w:val="24"/>
        </w:rPr>
        <w:t xml:space="preserve"> e top sono scelte per insediare uffici di rappresentanza così come resistono</w:t>
      </w:r>
      <w:r w:rsidR="007D20E9" w:rsidRPr="00C11E03">
        <w:rPr>
          <w:sz w:val="24"/>
          <w:szCs w:val="24"/>
        </w:rPr>
        <w:t xml:space="preserve"> le posizioni all’esterno dei centri urbani ma </w:t>
      </w:r>
      <w:r w:rsidR="00D67C26" w:rsidRPr="00C11E03">
        <w:rPr>
          <w:sz w:val="24"/>
          <w:szCs w:val="24"/>
        </w:rPr>
        <w:t>servite dalla metropolitana e vicine ad arterie di collegamento</w:t>
      </w:r>
      <w:r w:rsidR="007D20E9" w:rsidRPr="00C11E03">
        <w:rPr>
          <w:sz w:val="24"/>
          <w:szCs w:val="24"/>
        </w:rPr>
        <w:t>,</w:t>
      </w:r>
      <w:r w:rsidR="00D67C26" w:rsidRPr="00C11E03">
        <w:rPr>
          <w:sz w:val="24"/>
          <w:szCs w:val="24"/>
        </w:rPr>
        <w:t xml:space="preserve"> siano esse in zone periferiche o nell’hinterland. Apprezzata la presenza di: parcheggio, assenza di barriere architettoniche, luminosità e buono stato d’uso. Il ribasso dei prezzi</w:t>
      </w:r>
      <w:r w:rsidR="007D20E9" w:rsidRPr="00C11E03">
        <w:rPr>
          <w:sz w:val="24"/>
          <w:szCs w:val="24"/>
        </w:rPr>
        <w:t>,</w:t>
      </w:r>
      <w:r w:rsidR="00D67C26" w:rsidRPr="00C11E03">
        <w:rPr>
          <w:sz w:val="24"/>
          <w:szCs w:val="24"/>
        </w:rPr>
        <w:t xml:space="preserve"> avvenuto negli anni scorsi</w:t>
      </w:r>
      <w:r w:rsidR="007D20E9" w:rsidRPr="00C11E03">
        <w:rPr>
          <w:sz w:val="24"/>
          <w:szCs w:val="24"/>
        </w:rPr>
        <w:t>,</w:t>
      </w:r>
      <w:r w:rsidR="00D67C26" w:rsidRPr="00C11E03">
        <w:rPr>
          <w:sz w:val="24"/>
          <w:szCs w:val="24"/>
        </w:rPr>
        <w:t xml:space="preserve"> sta portando i professionisti a </w:t>
      </w:r>
      <w:r w:rsidR="007D20E9" w:rsidRPr="00C11E03">
        <w:rPr>
          <w:sz w:val="24"/>
          <w:szCs w:val="24"/>
        </w:rPr>
        <w:t xml:space="preserve">valutare </w:t>
      </w:r>
      <w:r w:rsidR="00D67C26" w:rsidRPr="00C11E03">
        <w:rPr>
          <w:sz w:val="24"/>
          <w:szCs w:val="24"/>
        </w:rPr>
        <w:t>l’acquisto dell’immobile. In generale</w:t>
      </w:r>
      <w:r w:rsidR="007D20E9" w:rsidRPr="00C11E03">
        <w:rPr>
          <w:sz w:val="24"/>
          <w:szCs w:val="24"/>
        </w:rPr>
        <w:t>,</w:t>
      </w:r>
      <w:r w:rsidR="00D67C26" w:rsidRPr="00C11E03">
        <w:rPr>
          <w:sz w:val="24"/>
          <w:szCs w:val="24"/>
        </w:rPr>
        <w:t xml:space="preserve"> la necessità di contenere i costi porta ad associarsi o a spostarsi in negozi su strada soprattutto se non si necessita di visibilità. Il</w:t>
      </w:r>
      <w:r w:rsidR="007D20E9" w:rsidRPr="00C11E03">
        <w:rPr>
          <w:sz w:val="24"/>
          <w:szCs w:val="24"/>
        </w:rPr>
        <w:t xml:space="preserve"> 40% </w:t>
      </w:r>
      <w:r w:rsidR="00D67C26" w:rsidRPr="00C11E03">
        <w:rPr>
          <w:sz w:val="24"/>
          <w:szCs w:val="24"/>
        </w:rPr>
        <w:t>di chi ha acquistato un ufficio con la nostra rete lo ha fatto per realizzare uno studio professionale e i</w:t>
      </w:r>
      <w:r w:rsidR="007D20E9" w:rsidRPr="00C11E03">
        <w:rPr>
          <w:sz w:val="24"/>
          <w:szCs w:val="24"/>
        </w:rPr>
        <w:t xml:space="preserve">l 36,7% </w:t>
      </w:r>
      <w:r w:rsidR="00D67C26" w:rsidRPr="00C11E03">
        <w:rPr>
          <w:sz w:val="24"/>
          <w:szCs w:val="24"/>
        </w:rPr>
        <w:t>per investimento. Si conferma</w:t>
      </w:r>
      <w:r w:rsidR="007D20E9" w:rsidRPr="00C11E03">
        <w:rPr>
          <w:sz w:val="24"/>
          <w:szCs w:val="24"/>
        </w:rPr>
        <w:t>,</w:t>
      </w:r>
      <w:r w:rsidR="00D67C26" w:rsidRPr="00C11E03">
        <w:rPr>
          <w:sz w:val="24"/>
          <w:szCs w:val="24"/>
        </w:rPr>
        <w:t xml:space="preserve"> infatti</w:t>
      </w:r>
      <w:r w:rsidR="007D20E9" w:rsidRPr="00C11E03">
        <w:rPr>
          <w:sz w:val="24"/>
          <w:szCs w:val="24"/>
        </w:rPr>
        <w:t>,</w:t>
      </w:r>
      <w:r w:rsidR="00D67C26" w:rsidRPr="00C11E03">
        <w:rPr>
          <w:sz w:val="24"/>
          <w:szCs w:val="24"/>
        </w:rPr>
        <w:t xml:space="preserve"> il fenomeno consolidato da tempo</w:t>
      </w:r>
      <w:r w:rsidR="00CB48D0" w:rsidRPr="00C11E03">
        <w:rPr>
          <w:sz w:val="24"/>
          <w:szCs w:val="24"/>
        </w:rPr>
        <w:t xml:space="preserve"> </w:t>
      </w:r>
      <w:r w:rsidR="00D67C26" w:rsidRPr="00C11E03">
        <w:rPr>
          <w:sz w:val="24"/>
          <w:szCs w:val="24"/>
        </w:rPr>
        <w:t>che vede gli investitori interessati a uffici obsoleti e inseriti in contesti residenziali</w:t>
      </w:r>
      <w:r w:rsidR="007D20E9" w:rsidRPr="00C11E03">
        <w:rPr>
          <w:sz w:val="24"/>
          <w:szCs w:val="24"/>
        </w:rPr>
        <w:t>,</w:t>
      </w:r>
      <w:r w:rsidR="00D67C26" w:rsidRPr="00C11E03">
        <w:rPr>
          <w:sz w:val="24"/>
          <w:szCs w:val="24"/>
        </w:rPr>
        <w:t xml:space="preserve"> al fine di sottoporli a cambio di destinazione d’uso in abitativo.</w:t>
      </w:r>
      <w:r w:rsidR="007D20E9" w:rsidRPr="00C11E03">
        <w:rPr>
          <w:sz w:val="24"/>
          <w:szCs w:val="24"/>
        </w:rPr>
        <w:t xml:space="preserve"> </w:t>
      </w:r>
      <w:r w:rsidR="00D67C26" w:rsidRPr="00C11E03">
        <w:rPr>
          <w:sz w:val="24"/>
          <w:szCs w:val="24"/>
        </w:rPr>
        <w:t xml:space="preserve">Sono interessate soprattutto le grandi metropoli dove il mercato residenziale è in decisa ripresa anche se deve fare i conti con regolamenti urbanistici sempre più stringenti. </w:t>
      </w:r>
      <w:r w:rsidR="000D50AA" w:rsidRPr="00C11E03">
        <w:rPr>
          <w:sz w:val="24"/>
          <w:szCs w:val="24"/>
        </w:rPr>
        <w:t>In Italia l</w:t>
      </w:r>
      <w:r w:rsidR="00EE28D4" w:rsidRPr="00C11E03">
        <w:rPr>
          <w:sz w:val="24"/>
          <w:szCs w:val="24"/>
        </w:rPr>
        <w:t>a diminuzione dei prezzi delle soluzioni usate si aggira intorno a 35,9%, quelli delle tipologie nuove intorno a 36,7%.</w:t>
      </w:r>
      <w:r w:rsidR="002F745F" w:rsidRPr="00C11E03">
        <w:rPr>
          <w:sz w:val="24"/>
          <w:szCs w:val="24"/>
        </w:rPr>
        <w:t xml:space="preserve"> </w:t>
      </w:r>
      <w:r w:rsidR="00EE28D4" w:rsidRPr="00C11E03">
        <w:rPr>
          <w:sz w:val="24"/>
          <w:szCs w:val="24"/>
        </w:rPr>
        <w:t>I canoni di locazione diminuiscono rispettivamente del 25,6% e del 28,9%.</w:t>
      </w:r>
      <w:r w:rsidR="006D404F" w:rsidRPr="00C11E03">
        <w:rPr>
          <w:sz w:val="24"/>
          <w:szCs w:val="24"/>
        </w:rPr>
        <w:t xml:space="preserve"> La maggiore concentrazione degli uffici locati e compravenduti si </w:t>
      </w:r>
      <w:r w:rsidR="00A52A08" w:rsidRPr="00C11E03">
        <w:rPr>
          <w:sz w:val="24"/>
          <w:szCs w:val="24"/>
        </w:rPr>
        <w:t>segnala</w:t>
      </w:r>
      <w:r w:rsidR="006D404F" w:rsidRPr="00C11E03">
        <w:rPr>
          <w:sz w:val="24"/>
          <w:szCs w:val="24"/>
        </w:rPr>
        <w:t xml:space="preserve"> su tagli inferiori a 100 mq. </w:t>
      </w:r>
      <w:r w:rsidR="00EE28D4" w:rsidRPr="00C11E03">
        <w:rPr>
          <w:sz w:val="24"/>
          <w:szCs w:val="24"/>
        </w:rPr>
        <w:t xml:space="preserve"> </w:t>
      </w:r>
    </w:p>
    <w:p w14:paraId="408E6DF5" w14:textId="77777777" w:rsidR="00560FEC" w:rsidRPr="00C11E03" w:rsidRDefault="00560FEC">
      <w:pPr>
        <w:rPr>
          <w:sz w:val="24"/>
          <w:szCs w:val="24"/>
        </w:rPr>
      </w:pPr>
    </w:p>
    <w:sectPr w:rsidR="00560FEC" w:rsidRPr="00C11E03">
      <w:headerReference w:type="default" r:id="rId6"/>
      <w:foot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3E3B" w14:textId="77777777" w:rsidR="00C11E03" w:rsidRDefault="00C11E03" w:rsidP="00C11E03">
      <w:pPr>
        <w:spacing w:after="0" w:line="240" w:lineRule="auto"/>
      </w:pPr>
      <w:r>
        <w:separator/>
      </w:r>
    </w:p>
  </w:endnote>
  <w:endnote w:type="continuationSeparator" w:id="0">
    <w:p w14:paraId="5994C4D0" w14:textId="77777777" w:rsidR="00C11E03" w:rsidRDefault="00C11E03" w:rsidP="00C1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F8A1" w14:textId="1E24175E" w:rsidR="00C11E03" w:rsidRDefault="00C11E03">
    <w:pPr>
      <w:pStyle w:val="Pidipagina"/>
    </w:pPr>
    <w:r w:rsidRPr="00941235">
      <w:rPr>
        <w:noProof/>
      </w:rPr>
      <w:drawing>
        <wp:inline distT="0" distB="0" distL="0" distR="0" wp14:anchorId="69A1393A" wp14:editId="28BC0659">
          <wp:extent cx="6120130" cy="293370"/>
          <wp:effectExtent l="0" t="0" r="0" b="0"/>
          <wp:docPr id="3" name="Immagine 2">
            <a:extLst xmlns:a="http://schemas.openxmlformats.org/drawingml/2006/main">
              <a:ext uri="{FF2B5EF4-FFF2-40B4-BE49-F238E27FC236}">
                <a16:creationId xmlns:a16="http://schemas.microsoft.com/office/drawing/2014/main" id="{D46C1D62-5797-6F47-533B-B1701DBD8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D46C1D62-5797-6F47-533B-B1701DBD85B9}"/>
                      </a:ext>
                    </a:extLst>
                  </pic:cNvPr>
                  <pic:cNvPicPr>
                    <a:picLocks noChangeAspect="1"/>
                  </pic:cNvPicPr>
                </pic:nvPicPr>
                <pic:blipFill rotWithShape="1">
                  <a:blip r:embed="rId1"/>
                  <a:srcRect t="12115" b="14151"/>
                  <a:stretch/>
                </pic:blipFill>
                <pic:spPr>
                  <a:xfrm>
                    <a:off x="0" y="0"/>
                    <a:ext cx="6120130" cy="2933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EDDF" w14:textId="77777777" w:rsidR="00C11E03" w:rsidRDefault="00C11E03" w:rsidP="00C11E03">
      <w:pPr>
        <w:spacing w:after="0" w:line="240" w:lineRule="auto"/>
      </w:pPr>
      <w:r>
        <w:separator/>
      </w:r>
    </w:p>
  </w:footnote>
  <w:footnote w:type="continuationSeparator" w:id="0">
    <w:p w14:paraId="2543056A" w14:textId="77777777" w:rsidR="00C11E03" w:rsidRDefault="00C11E03" w:rsidP="00C11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2988" w14:textId="4B6E61D4" w:rsidR="00C11E03" w:rsidRDefault="00C11E03">
    <w:pPr>
      <w:pStyle w:val="Intestazione"/>
    </w:pPr>
    <w:r w:rsidRPr="00941235">
      <w:rPr>
        <w:noProof/>
      </w:rPr>
      <w:drawing>
        <wp:inline distT="0" distB="0" distL="0" distR="0" wp14:anchorId="64ABD8DB" wp14:editId="24C66A75">
          <wp:extent cx="6120130" cy="400685"/>
          <wp:effectExtent l="0" t="0" r="0" b="0"/>
          <wp:docPr id="1" name="Immagine 4">
            <a:extLst xmlns:a="http://schemas.openxmlformats.org/drawingml/2006/main">
              <a:ext uri="{FF2B5EF4-FFF2-40B4-BE49-F238E27FC236}">
                <a16:creationId xmlns:a16="http://schemas.microsoft.com/office/drawing/2014/main" id="{A9CDE7BB-78E3-F16B-D80F-4B681298D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A9CDE7BB-78E3-F16B-D80F-4B681298D769}"/>
                      </a:ext>
                    </a:extLst>
                  </pic:cNvPr>
                  <pic:cNvPicPr>
                    <a:picLocks noChangeAspect="1"/>
                  </pic:cNvPicPr>
                </pic:nvPicPr>
                <pic:blipFill>
                  <a:blip r:embed="rId1"/>
                  <a:stretch>
                    <a:fillRect/>
                  </a:stretch>
                </pic:blipFill>
                <pic:spPr>
                  <a:xfrm>
                    <a:off x="0" y="0"/>
                    <a:ext cx="6120130" cy="4006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E4F"/>
    <w:rsid w:val="00015212"/>
    <w:rsid w:val="00082074"/>
    <w:rsid w:val="000B6354"/>
    <w:rsid w:val="000D50AA"/>
    <w:rsid w:val="00121185"/>
    <w:rsid w:val="001702F6"/>
    <w:rsid w:val="001F0BE2"/>
    <w:rsid w:val="002129A9"/>
    <w:rsid w:val="00220C10"/>
    <w:rsid w:val="002262DE"/>
    <w:rsid w:val="00254B0C"/>
    <w:rsid w:val="00261AC3"/>
    <w:rsid w:val="002702D8"/>
    <w:rsid w:val="0029350F"/>
    <w:rsid w:val="002A2B89"/>
    <w:rsid w:val="002F745F"/>
    <w:rsid w:val="00307FD2"/>
    <w:rsid w:val="00375341"/>
    <w:rsid w:val="003800B3"/>
    <w:rsid w:val="00382AE7"/>
    <w:rsid w:val="003E6324"/>
    <w:rsid w:val="003F2DAB"/>
    <w:rsid w:val="00405431"/>
    <w:rsid w:val="0043378B"/>
    <w:rsid w:val="004F1E4F"/>
    <w:rsid w:val="0053370D"/>
    <w:rsid w:val="00535019"/>
    <w:rsid w:val="005517EA"/>
    <w:rsid w:val="005604B3"/>
    <w:rsid w:val="00560FEC"/>
    <w:rsid w:val="005710CE"/>
    <w:rsid w:val="00583955"/>
    <w:rsid w:val="005B525B"/>
    <w:rsid w:val="005E30C1"/>
    <w:rsid w:val="00633BBF"/>
    <w:rsid w:val="00646493"/>
    <w:rsid w:val="00691421"/>
    <w:rsid w:val="006D404F"/>
    <w:rsid w:val="006F1028"/>
    <w:rsid w:val="00770956"/>
    <w:rsid w:val="007C60A7"/>
    <w:rsid w:val="007C7CF5"/>
    <w:rsid w:val="007D20E9"/>
    <w:rsid w:val="008358E9"/>
    <w:rsid w:val="00853A10"/>
    <w:rsid w:val="00887A02"/>
    <w:rsid w:val="008E4252"/>
    <w:rsid w:val="008F0D42"/>
    <w:rsid w:val="008F65EC"/>
    <w:rsid w:val="0090542D"/>
    <w:rsid w:val="00955B04"/>
    <w:rsid w:val="00965207"/>
    <w:rsid w:val="00972E23"/>
    <w:rsid w:val="009A7E17"/>
    <w:rsid w:val="009B4927"/>
    <w:rsid w:val="009C382B"/>
    <w:rsid w:val="009E700C"/>
    <w:rsid w:val="00A00074"/>
    <w:rsid w:val="00A52A08"/>
    <w:rsid w:val="00B966FE"/>
    <w:rsid w:val="00BF4355"/>
    <w:rsid w:val="00C11E03"/>
    <w:rsid w:val="00C203A4"/>
    <w:rsid w:val="00C27447"/>
    <w:rsid w:val="00C74C9C"/>
    <w:rsid w:val="00CA4FA5"/>
    <w:rsid w:val="00CB48D0"/>
    <w:rsid w:val="00CC36FB"/>
    <w:rsid w:val="00CF0A5E"/>
    <w:rsid w:val="00CF3E7A"/>
    <w:rsid w:val="00D67C26"/>
    <w:rsid w:val="00E00DBF"/>
    <w:rsid w:val="00E03D37"/>
    <w:rsid w:val="00E06CFA"/>
    <w:rsid w:val="00E1077C"/>
    <w:rsid w:val="00E17092"/>
    <w:rsid w:val="00E67B4E"/>
    <w:rsid w:val="00E85DA2"/>
    <w:rsid w:val="00EE28D4"/>
    <w:rsid w:val="00EF06AA"/>
    <w:rsid w:val="00F077F1"/>
    <w:rsid w:val="00F119D6"/>
    <w:rsid w:val="00F23B36"/>
    <w:rsid w:val="00F264F2"/>
    <w:rsid w:val="00F5229D"/>
    <w:rsid w:val="00F61779"/>
    <w:rsid w:val="00F7540D"/>
    <w:rsid w:val="00FB6E01"/>
    <w:rsid w:val="00FF38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751CA"/>
  <w15:chartTrackingRefBased/>
  <w15:docId w15:val="{E34B6D24-48C1-4048-BF24-4278A20A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23B3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60FEC"/>
    <w:rPr>
      <w:color w:val="0563C1" w:themeColor="hyperlink"/>
      <w:u w:val="single"/>
    </w:rPr>
  </w:style>
  <w:style w:type="character" w:styleId="Menzionenonrisolta">
    <w:name w:val="Unresolved Mention"/>
    <w:basedOn w:val="Carpredefinitoparagrafo"/>
    <w:uiPriority w:val="99"/>
    <w:semiHidden/>
    <w:unhideWhenUsed/>
    <w:rsid w:val="00560FEC"/>
    <w:rPr>
      <w:color w:val="605E5C"/>
      <w:shd w:val="clear" w:color="auto" w:fill="E1DFDD"/>
    </w:rPr>
  </w:style>
  <w:style w:type="paragraph" w:styleId="NormaleWeb">
    <w:name w:val="Normal (Web)"/>
    <w:basedOn w:val="Normale"/>
    <w:uiPriority w:val="99"/>
    <w:semiHidden/>
    <w:unhideWhenUsed/>
    <w:rsid w:val="005E30C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text">
    <w:name w:val="atext"/>
    <w:basedOn w:val="Normale"/>
    <w:rsid w:val="0064649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015212"/>
    <w:rPr>
      <w:b/>
      <w:bCs/>
    </w:rPr>
  </w:style>
  <w:style w:type="paragraph" w:styleId="Intestazione">
    <w:name w:val="header"/>
    <w:basedOn w:val="Normale"/>
    <w:link w:val="IntestazioneCarattere"/>
    <w:uiPriority w:val="99"/>
    <w:unhideWhenUsed/>
    <w:rsid w:val="00C11E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1E03"/>
  </w:style>
  <w:style w:type="paragraph" w:styleId="Pidipagina">
    <w:name w:val="footer"/>
    <w:basedOn w:val="Normale"/>
    <w:link w:val="PidipaginaCarattere"/>
    <w:uiPriority w:val="99"/>
    <w:unhideWhenUsed/>
    <w:rsid w:val="00C11E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1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74183">
      <w:bodyDiv w:val="1"/>
      <w:marLeft w:val="0"/>
      <w:marRight w:val="0"/>
      <w:marTop w:val="0"/>
      <w:marBottom w:val="0"/>
      <w:divBdr>
        <w:top w:val="none" w:sz="0" w:space="0" w:color="auto"/>
        <w:left w:val="none" w:sz="0" w:space="0" w:color="auto"/>
        <w:bottom w:val="none" w:sz="0" w:space="0" w:color="auto"/>
        <w:right w:val="none" w:sz="0" w:space="0" w:color="auto"/>
      </w:divBdr>
    </w:div>
    <w:div w:id="1880243810">
      <w:bodyDiv w:val="1"/>
      <w:marLeft w:val="0"/>
      <w:marRight w:val="0"/>
      <w:marTop w:val="0"/>
      <w:marBottom w:val="0"/>
      <w:divBdr>
        <w:top w:val="none" w:sz="0" w:space="0" w:color="auto"/>
        <w:left w:val="none" w:sz="0" w:space="0" w:color="auto"/>
        <w:bottom w:val="none" w:sz="0" w:space="0" w:color="auto"/>
        <w:right w:val="none" w:sz="0" w:space="0" w:color="auto"/>
      </w:divBdr>
    </w:div>
    <w:div w:id="2032951157">
      <w:bodyDiv w:val="1"/>
      <w:marLeft w:val="0"/>
      <w:marRight w:val="0"/>
      <w:marTop w:val="0"/>
      <w:marBottom w:val="0"/>
      <w:divBdr>
        <w:top w:val="none" w:sz="0" w:space="0" w:color="auto"/>
        <w:left w:val="none" w:sz="0" w:space="0" w:color="auto"/>
        <w:bottom w:val="none" w:sz="0" w:space="0" w:color="auto"/>
        <w:right w:val="none" w:sz="0" w:space="0" w:color="auto"/>
      </w:divBdr>
    </w:div>
    <w:div w:id="211204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2118</Words>
  <Characters>12076</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Fabiana Megliola</dc:creator>
  <cp:keywords/>
  <dc:description/>
  <cp:lastModifiedBy>Vittoriana Signorini</cp:lastModifiedBy>
  <cp:revision>5</cp:revision>
  <cp:lastPrinted>2022-11-25T13:23:00Z</cp:lastPrinted>
  <dcterms:created xsi:type="dcterms:W3CDTF">2022-12-05T09:20:00Z</dcterms:created>
  <dcterms:modified xsi:type="dcterms:W3CDTF">2022-12-05T12:05:00Z</dcterms:modified>
</cp:coreProperties>
</file>