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7E85" w14:textId="408093C5" w:rsidR="00CF53C3" w:rsidRPr="00205366" w:rsidRDefault="002423FC" w:rsidP="00A54AAB">
      <w:pPr>
        <w:spacing w:after="0"/>
        <w:rPr>
          <w:rStyle w:val="Titolo1Carattere"/>
          <w:rFonts w:ascii="Georgia" w:hAnsi="Georgia"/>
          <w:bCs/>
          <w:sz w:val="48"/>
          <w:szCs w:val="48"/>
          <w:lang w:val="it-IT"/>
        </w:rPr>
      </w:pPr>
      <w:r w:rsidRPr="00205366">
        <w:rPr>
          <w:rStyle w:val="Titolo1Carattere"/>
          <w:rFonts w:ascii="Georgia" w:hAnsi="Georgia"/>
          <w:bCs/>
          <w:sz w:val="48"/>
          <w:szCs w:val="48"/>
          <w:lang w:val="it-IT"/>
        </w:rPr>
        <w:t xml:space="preserve">Real Estate </w:t>
      </w:r>
      <w:r w:rsidR="000052D8" w:rsidRPr="00205366">
        <w:rPr>
          <w:rStyle w:val="Titolo1Carattere"/>
          <w:rFonts w:ascii="Georgia" w:hAnsi="Georgia"/>
          <w:bCs/>
          <w:sz w:val="48"/>
          <w:szCs w:val="48"/>
          <w:lang w:val="it-IT"/>
        </w:rPr>
        <w:t>Outlook</w:t>
      </w:r>
      <w:r w:rsidR="00CF53C3" w:rsidRPr="00205366">
        <w:rPr>
          <w:rStyle w:val="Titolo1Carattere"/>
          <w:rFonts w:ascii="Georgia" w:hAnsi="Georgia"/>
          <w:bCs/>
          <w:sz w:val="48"/>
          <w:szCs w:val="48"/>
          <w:lang w:val="it-IT"/>
        </w:rPr>
        <w:t xml:space="preserve"> </w:t>
      </w:r>
    </w:p>
    <w:p w14:paraId="4D76A6CD" w14:textId="42704582" w:rsidR="000052D8" w:rsidRPr="00824256" w:rsidRDefault="000052D8" w:rsidP="000052D8">
      <w:pPr>
        <w:rPr>
          <w:rFonts w:ascii="Georgia" w:hAnsi="Georgia"/>
          <w:lang w:val="it-IT"/>
        </w:rPr>
      </w:pPr>
    </w:p>
    <w:p w14:paraId="3D7246B4" w14:textId="77777777" w:rsidR="004B7184" w:rsidRPr="00824256" w:rsidRDefault="004B7184">
      <w:pPr>
        <w:rPr>
          <w:rFonts w:ascii="Georgia" w:eastAsia="Calibri" w:hAnsi="Georgia" w:cs="Calibri"/>
          <w:b/>
          <w:bCs/>
          <w:lang w:val="it-IT"/>
        </w:rPr>
      </w:pPr>
    </w:p>
    <w:p w14:paraId="10FF1C9D" w14:textId="1CDC0176" w:rsidR="004B7184" w:rsidRPr="00A54AAB" w:rsidRDefault="002423FC" w:rsidP="004B7184">
      <w:pPr>
        <w:rPr>
          <w:rFonts w:ascii="Georgia" w:eastAsia="Calibri" w:hAnsi="Georgia" w:cs="Calibri"/>
          <w:b/>
          <w:bCs/>
          <w:color w:val="2F5496" w:themeColor="accent1" w:themeShade="BF"/>
          <w:sz w:val="36"/>
          <w:szCs w:val="36"/>
          <w:lang w:val="it-IT"/>
        </w:rPr>
      </w:pPr>
      <w:r w:rsidRPr="00A54AAB">
        <w:rPr>
          <w:rFonts w:ascii="Georgia" w:eastAsia="Calibri" w:hAnsi="Georgia" w:cs="Calibri"/>
          <w:b/>
          <w:bCs/>
          <w:color w:val="2F5496" w:themeColor="accent1" w:themeShade="BF"/>
          <w:sz w:val="36"/>
          <w:szCs w:val="36"/>
          <w:lang w:val="it-IT"/>
        </w:rPr>
        <w:t xml:space="preserve">Cinque temi per il </w:t>
      </w:r>
      <w:r w:rsidR="004B7184" w:rsidRPr="00A54AAB">
        <w:rPr>
          <w:rFonts w:ascii="Georgia" w:eastAsia="Calibri" w:hAnsi="Georgia" w:cs="Calibri"/>
          <w:b/>
          <w:bCs/>
          <w:color w:val="2F5496" w:themeColor="accent1" w:themeShade="BF"/>
          <w:sz w:val="36"/>
          <w:szCs w:val="36"/>
          <w:lang w:val="it-IT"/>
        </w:rPr>
        <w:t>202</w:t>
      </w:r>
      <w:r w:rsidR="002163E6" w:rsidRPr="00A54AAB">
        <w:rPr>
          <w:rFonts w:ascii="Georgia" w:eastAsia="Calibri" w:hAnsi="Georgia" w:cs="Calibri"/>
          <w:b/>
          <w:bCs/>
          <w:color w:val="2F5496" w:themeColor="accent1" w:themeShade="BF"/>
          <w:sz w:val="36"/>
          <w:szCs w:val="36"/>
          <w:lang w:val="it-IT"/>
        </w:rPr>
        <w:t>3</w:t>
      </w:r>
    </w:p>
    <w:p w14:paraId="25977749" w14:textId="506CF3AF" w:rsidR="004B7184" w:rsidRPr="00A54AAB" w:rsidRDefault="0007767F" w:rsidP="004B7184">
      <w:pPr>
        <w:pStyle w:val="Paragrafoelenco"/>
        <w:numPr>
          <w:ilvl w:val="0"/>
          <w:numId w:val="5"/>
        </w:numPr>
        <w:spacing w:before="240" w:after="0" w:line="240" w:lineRule="auto"/>
        <w:rPr>
          <w:rFonts w:ascii="Georgia" w:hAnsi="Georgia" w:cstheme="minorHAnsi"/>
          <w:sz w:val="36"/>
          <w:szCs w:val="36"/>
        </w:rPr>
      </w:pPr>
      <w:proofErr w:type="spellStart"/>
      <w:r w:rsidRPr="00A54AAB">
        <w:rPr>
          <w:rFonts w:ascii="Georgia" w:hAnsi="Georgia" w:cstheme="minorHAnsi"/>
          <w:sz w:val="36"/>
          <w:szCs w:val="36"/>
        </w:rPr>
        <w:t>Recession</w:t>
      </w:r>
      <w:r w:rsidR="002423FC" w:rsidRPr="00A54AAB">
        <w:rPr>
          <w:rFonts w:ascii="Georgia" w:hAnsi="Georgia" w:cstheme="minorHAnsi"/>
          <w:sz w:val="36"/>
          <w:szCs w:val="36"/>
        </w:rPr>
        <w:t>e</w:t>
      </w:r>
      <w:proofErr w:type="spellEnd"/>
      <w:r w:rsidRPr="00A54AAB">
        <w:rPr>
          <w:rFonts w:ascii="Georgia" w:hAnsi="Georgia" w:cstheme="minorHAnsi"/>
          <w:sz w:val="36"/>
          <w:szCs w:val="36"/>
        </w:rPr>
        <w:t xml:space="preserve"> o </w:t>
      </w:r>
      <w:proofErr w:type="spellStart"/>
      <w:r w:rsidRPr="00A54AAB">
        <w:rPr>
          <w:rFonts w:ascii="Georgia" w:hAnsi="Georgia" w:cstheme="minorHAnsi"/>
          <w:sz w:val="36"/>
          <w:szCs w:val="36"/>
        </w:rPr>
        <w:t>r</w:t>
      </w:r>
      <w:r w:rsidR="002423FC" w:rsidRPr="00A54AAB">
        <w:rPr>
          <w:rFonts w:ascii="Georgia" w:hAnsi="Georgia" w:cstheme="minorHAnsi"/>
          <w:sz w:val="36"/>
          <w:szCs w:val="36"/>
        </w:rPr>
        <w:t>ipresa</w:t>
      </w:r>
      <w:proofErr w:type="spellEnd"/>
      <w:r w:rsidRPr="00A54AAB">
        <w:rPr>
          <w:rFonts w:ascii="Georgia" w:hAnsi="Georgia" w:cstheme="minorHAnsi"/>
          <w:sz w:val="36"/>
          <w:szCs w:val="36"/>
        </w:rPr>
        <w:t xml:space="preserve">? </w:t>
      </w:r>
    </w:p>
    <w:p w14:paraId="37A7316C" w14:textId="209A1612" w:rsidR="004B7184" w:rsidRPr="00A54AAB" w:rsidRDefault="002423FC" w:rsidP="004B7184">
      <w:pPr>
        <w:pStyle w:val="Paragrafoelenco"/>
        <w:numPr>
          <w:ilvl w:val="0"/>
          <w:numId w:val="5"/>
        </w:numPr>
        <w:spacing w:before="240" w:after="0" w:line="240" w:lineRule="auto"/>
        <w:rPr>
          <w:rFonts w:ascii="Georgia" w:hAnsi="Georgia" w:cstheme="minorHAnsi"/>
          <w:sz w:val="36"/>
          <w:szCs w:val="36"/>
          <w:lang w:val="it-IT"/>
        </w:rPr>
      </w:pPr>
      <w:r w:rsidRPr="00A54AAB">
        <w:rPr>
          <w:rFonts w:ascii="Georgia" w:hAnsi="Georgia" w:cstheme="minorHAnsi"/>
          <w:sz w:val="36"/>
          <w:szCs w:val="36"/>
          <w:lang w:val="it-IT"/>
        </w:rPr>
        <w:t>È un buon momento per investire</w:t>
      </w:r>
      <w:r w:rsidR="004B7184" w:rsidRPr="00A54AAB">
        <w:rPr>
          <w:rFonts w:ascii="Georgia" w:hAnsi="Georgia" w:cstheme="minorHAnsi"/>
          <w:sz w:val="36"/>
          <w:szCs w:val="36"/>
          <w:lang w:val="it-IT"/>
        </w:rPr>
        <w:t xml:space="preserve"> in Asia </w:t>
      </w:r>
      <w:r w:rsidRPr="00A54AAB">
        <w:rPr>
          <w:rFonts w:ascii="Georgia" w:hAnsi="Georgia" w:cstheme="minorHAnsi"/>
          <w:sz w:val="36"/>
          <w:szCs w:val="36"/>
          <w:lang w:val="it-IT"/>
        </w:rPr>
        <w:t>e i</w:t>
      </w:r>
      <w:r w:rsidR="004B7184" w:rsidRPr="00A54AAB">
        <w:rPr>
          <w:rFonts w:ascii="Georgia" w:hAnsi="Georgia" w:cstheme="minorHAnsi"/>
          <w:sz w:val="36"/>
          <w:szCs w:val="36"/>
          <w:lang w:val="it-IT"/>
        </w:rPr>
        <w:t>n Europ</w:t>
      </w:r>
      <w:r w:rsidRPr="00A54AAB">
        <w:rPr>
          <w:rFonts w:ascii="Georgia" w:hAnsi="Georgia" w:cstheme="minorHAnsi"/>
          <w:sz w:val="36"/>
          <w:szCs w:val="36"/>
          <w:lang w:val="it-IT"/>
        </w:rPr>
        <w:t>a</w:t>
      </w:r>
      <w:r w:rsidR="004B7184" w:rsidRPr="00A54AAB">
        <w:rPr>
          <w:rFonts w:ascii="Georgia" w:hAnsi="Georgia" w:cstheme="minorHAnsi"/>
          <w:sz w:val="36"/>
          <w:szCs w:val="36"/>
          <w:lang w:val="it-IT"/>
        </w:rPr>
        <w:t>?</w:t>
      </w:r>
    </w:p>
    <w:p w14:paraId="15119EE6" w14:textId="1C51612D" w:rsidR="004B7184" w:rsidRPr="00A54AAB" w:rsidRDefault="00851437" w:rsidP="009D74CF">
      <w:pPr>
        <w:pStyle w:val="Paragrafoelenco"/>
        <w:numPr>
          <w:ilvl w:val="0"/>
          <w:numId w:val="5"/>
        </w:numPr>
        <w:spacing w:before="240" w:after="0" w:line="240" w:lineRule="auto"/>
        <w:rPr>
          <w:rFonts w:ascii="Georgia" w:hAnsi="Georgia" w:cstheme="minorHAnsi"/>
          <w:sz w:val="36"/>
          <w:szCs w:val="36"/>
          <w:lang w:val="en-GB"/>
        </w:rPr>
      </w:pPr>
      <w:r w:rsidRPr="00A54AAB">
        <w:rPr>
          <w:rFonts w:ascii="Georgia" w:hAnsi="Georgia" w:cstheme="minorHAnsi"/>
          <w:sz w:val="36"/>
          <w:szCs w:val="36"/>
          <w:lang w:val="en-GB"/>
        </w:rPr>
        <w:t xml:space="preserve">Maggiore peso </w:t>
      </w:r>
      <w:proofErr w:type="spellStart"/>
      <w:r w:rsidRPr="00A54AAB">
        <w:rPr>
          <w:rFonts w:ascii="Georgia" w:hAnsi="Georgia" w:cstheme="minorHAnsi"/>
          <w:sz w:val="36"/>
          <w:szCs w:val="36"/>
          <w:lang w:val="en-GB"/>
        </w:rPr>
        <w:t>a</w:t>
      </w:r>
      <w:r w:rsidR="005F71DC" w:rsidRPr="00A54AAB">
        <w:rPr>
          <w:rFonts w:ascii="Georgia" w:hAnsi="Georgia" w:cstheme="minorHAnsi"/>
          <w:sz w:val="36"/>
          <w:szCs w:val="36"/>
          <w:lang w:val="en-GB"/>
        </w:rPr>
        <w:t>gl</w:t>
      </w:r>
      <w:r w:rsidRPr="00A54AAB">
        <w:rPr>
          <w:rFonts w:ascii="Georgia" w:hAnsi="Georgia" w:cstheme="minorHAnsi"/>
          <w:sz w:val="36"/>
          <w:szCs w:val="36"/>
          <w:lang w:val="en-GB"/>
        </w:rPr>
        <w:t>i</w:t>
      </w:r>
      <w:proofErr w:type="spellEnd"/>
      <w:r w:rsidRPr="00A54AAB">
        <w:rPr>
          <w:rFonts w:ascii="Georgia" w:hAnsi="Georgia" w:cstheme="minorHAnsi"/>
          <w:sz w:val="36"/>
          <w:szCs w:val="36"/>
          <w:lang w:val="en-GB"/>
        </w:rPr>
        <w:t xml:space="preserve"> </w:t>
      </w:r>
      <w:proofErr w:type="spellStart"/>
      <w:r w:rsidR="005F71DC" w:rsidRPr="00A54AAB">
        <w:rPr>
          <w:rFonts w:ascii="Georgia" w:hAnsi="Georgia" w:cstheme="minorHAnsi"/>
          <w:sz w:val="36"/>
          <w:szCs w:val="36"/>
          <w:lang w:val="en-GB"/>
        </w:rPr>
        <w:t>investimen</w:t>
      </w:r>
      <w:r w:rsidRPr="00A54AAB">
        <w:rPr>
          <w:rFonts w:ascii="Georgia" w:hAnsi="Georgia" w:cstheme="minorHAnsi"/>
          <w:sz w:val="36"/>
          <w:szCs w:val="36"/>
          <w:lang w:val="en-GB"/>
        </w:rPr>
        <w:t>ti</w:t>
      </w:r>
      <w:proofErr w:type="spellEnd"/>
      <w:r w:rsidRPr="00A54AAB">
        <w:rPr>
          <w:rFonts w:ascii="Georgia" w:hAnsi="Georgia" w:cstheme="minorHAnsi"/>
          <w:sz w:val="36"/>
          <w:szCs w:val="36"/>
          <w:lang w:val="en-GB"/>
        </w:rPr>
        <w:t xml:space="preserve"> </w:t>
      </w:r>
      <w:proofErr w:type="spellStart"/>
      <w:r w:rsidRPr="00A54AAB">
        <w:rPr>
          <w:rFonts w:ascii="Georgia" w:hAnsi="Georgia" w:cstheme="minorHAnsi"/>
          <w:sz w:val="36"/>
          <w:szCs w:val="36"/>
          <w:lang w:val="en-GB"/>
        </w:rPr>
        <w:t>alternativi</w:t>
      </w:r>
      <w:proofErr w:type="spellEnd"/>
    </w:p>
    <w:p w14:paraId="460CD6D0" w14:textId="4D745091" w:rsidR="004B7184" w:rsidRPr="00A54AAB" w:rsidRDefault="00EF7AE0" w:rsidP="004B7184">
      <w:pPr>
        <w:pStyle w:val="Paragrafoelenco"/>
        <w:numPr>
          <w:ilvl w:val="0"/>
          <w:numId w:val="5"/>
        </w:numPr>
        <w:rPr>
          <w:rFonts w:ascii="Georgia" w:eastAsia="Calibri" w:hAnsi="Georgia" w:cstheme="minorHAnsi"/>
          <w:sz w:val="36"/>
          <w:szCs w:val="36"/>
          <w:lang w:val="it-IT"/>
        </w:rPr>
      </w:pPr>
      <w:r w:rsidRPr="00A54AAB">
        <w:rPr>
          <w:rFonts w:ascii="Georgia" w:eastAsia="Calibri" w:hAnsi="Georgia" w:cstheme="minorHAnsi"/>
          <w:sz w:val="36"/>
          <w:szCs w:val="36"/>
          <w:lang w:val="it-IT"/>
        </w:rPr>
        <w:t xml:space="preserve">I fattori ESG </w:t>
      </w:r>
      <w:r w:rsidR="00875467" w:rsidRPr="00A54AAB">
        <w:rPr>
          <w:rFonts w:ascii="Georgia" w:eastAsia="Calibri" w:hAnsi="Georgia" w:cstheme="minorHAnsi"/>
          <w:sz w:val="36"/>
          <w:szCs w:val="36"/>
          <w:lang w:val="it-IT"/>
        </w:rPr>
        <w:t>continueranno a</w:t>
      </w:r>
      <w:r w:rsidR="009D0536" w:rsidRPr="00A54AAB">
        <w:rPr>
          <w:rFonts w:ascii="Georgia" w:eastAsia="Calibri" w:hAnsi="Georgia" w:cstheme="minorHAnsi"/>
          <w:sz w:val="36"/>
          <w:szCs w:val="36"/>
          <w:lang w:val="it-IT"/>
        </w:rPr>
        <w:t xml:space="preserve">d </w:t>
      </w:r>
      <w:r w:rsidR="00234CEB" w:rsidRPr="00A54AAB">
        <w:rPr>
          <w:rFonts w:ascii="Georgia" w:eastAsia="Calibri" w:hAnsi="Georgia" w:cstheme="minorHAnsi"/>
          <w:sz w:val="36"/>
          <w:szCs w:val="36"/>
          <w:lang w:val="it-IT"/>
        </w:rPr>
        <w:t>essere determinanti</w:t>
      </w:r>
    </w:p>
    <w:p w14:paraId="6D261A38" w14:textId="7364DE21" w:rsidR="004B7184" w:rsidRPr="00A54AAB" w:rsidRDefault="00EF7AE0" w:rsidP="004B7184">
      <w:pPr>
        <w:pStyle w:val="Paragrafoelenco"/>
        <w:numPr>
          <w:ilvl w:val="0"/>
          <w:numId w:val="5"/>
        </w:numPr>
        <w:spacing w:after="0" w:line="240" w:lineRule="auto"/>
        <w:rPr>
          <w:rFonts w:ascii="Georgia" w:eastAsia="Times New Roman" w:hAnsi="Georgia" w:cstheme="minorHAnsi"/>
          <w:sz w:val="36"/>
          <w:szCs w:val="36"/>
          <w:lang w:val="it-IT"/>
        </w:rPr>
      </w:pPr>
      <w:r w:rsidRPr="00A54AAB">
        <w:rPr>
          <w:rStyle w:val="Titolo1Carattere"/>
          <w:rFonts w:ascii="Georgia" w:hAnsi="Georgia" w:cstheme="minorHAnsi"/>
          <w:b w:val="0"/>
          <w:color w:val="auto"/>
          <w:sz w:val="36"/>
          <w:szCs w:val="36"/>
          <w:lang w:val="it-IT"/>
        </w:rPr>
        <w:t>I vincitori, i perdenti e le sorpre</w:t>
      </w:r>
      <w:r w:rsidR="004B7184" w:rsidRPr="00A54AAB">
        <w:rPr>
          <w:rStyle w:val="Titolo1Carattere"/>
          <w:rFonts w:ascii="Georgia" w:hAnsi="Georgia" w:cstheme="minorHAnsi"/>
          <w:b w:val="0"/>
          <w:color w:val="auto"/>
          <w:sz w:val="36"/>
          <w:szCs w:val="36"/>
          <w:lang w:val="it-IT"/>
        </w:rPr>
        <w:t>se</w:t>
      </w:r>
      <w:r w:rsidRPr="00A54AAB">
        <w:rPr>
          <w:rStyle w:val="Titolo1Carattere"/>
          <w:rFonts w:ascii="Georgia" w:hAnsi="Georgia" w:cstheme="minorHAnsi"/>
          <w:b w:val="0"/>
          <w:color w:val="auto"/>
          <w:sz w:val="36"/>
          <w:szCs w:val="36"/>
          <w:lang w:val="it-IT"/>
        </w:rPr>
        <w:t xml:space="preserve"> del settore per il</w:t>
      </w:r>
      <w:r w:rsidR="004B7184" w:rsidRPr="00A54AAB">
        <w:rPr>
          <w:rStyle w:val="Titolo1Carattere"/>
          <w:rFonts w:ascii="Georgia" w:hAnsi="Georgia" w:cstheme="minorHAnsi"/>
          <w:b w:val="0"/>
          <w:color w:val="auto"/>
          <w:sz w:val="36"/>
          <w:szCs w:val="36"/>
          <w:lang w:val="it-IT"/>
        </w:rPr>
        <w:t xml:space="preserve"> 2023</w:t>
      </w:r>
      <w:r w:rsidR="004B7184" w:rsidRPr="00A54AAB">
        <w:rPr>
          <w:rFonts w:ascii="Georgia" w:eastAsia="Times New Roman" w:hAnsi="Georgia" w:cstheme="minorHAnsi"/>
          <w:sz w:val="36"/>
          <w:szCs w:val="36"/>
          <w:lang w:val="it-IT"/>
        </w:rPr>
        <w:t xml:space="preserve"> </w:t>
      </w:r>
    </w:p>
    <w:p w14:paraId="2591279C" w14:textId="0FF77B7A" w:rsidR="004B7184" w:rsidRPr="00EF7AE0" w:rsidRDefault="004B7184" w:rsidP="009D74CF">
      <w:pPr>
        <w:pStyle w:val="Paragrafoelenco"/>
        <w:rPr>
          <w:rFonts w:ascii="Georgia" w:eastAsia="Calibri" w:hAnsi="Georgia" w:cs="Calibri"/>
          <w:b/>
          <w:bCs/>
          <w:sz w:val="32"/>
          <w:szCs w:val="32"/>
          <w:lang w:val="it-IT"/>
        </w:rPr>
      </w:pPr>
    </w:p>
    <w:p w14:paraId="4CA96104" w14:textId="1A1810E2" w:rsidR="004B7184" w:rsidRPr="00EF7AE0" w:rsidRDefault="004B7184" w:rsidP="009D74CF">
      <w:pPr>
        <w:pStyle w:val="Paragrafoelenco"/>
        <w:ind w:left="1080"/>
        <w:rPr>
          <w:rFonts w:ascii="Georgia" w:eastAsia="Calibri" w:hAnsi="Georgia" w:cs="Calibri"/>
          <w:b/>
          <w:bCs/>
          <w:sz w:val="32"/>
          <w:szCs w:val="32"/>
          <w:lang w:val="it-IT"/>
        </w:rPr>
      </w:pPr>
    </w:p>
    <w:p w14:paraId="6AB268B3" w14:textId="743730DA" w:rsidR="004B7184" w:rsidRPr="00EF7AE0" w:rsidRDefault="004B7184">
      <w:pPr>
        <w:rPr>
          <w:rFonts w:ascii="Georgia" w:eastAsia="Calibri" w:hAnsi="Georgia" w:cs="Calibri"/>
          <w:b/>
          <w:bCs/>
          <w:lang w:val="it-IT"/>
        </w:rPr>
      </w:pPr>
      <w:r w:rsidRPr="00EF7AE0">
        <w:rPr>
          <w:rFonts w:ascii="Georgia" w:eastAsia="Calibri" w:hAnsi="Georgia" w:cs="Calibri"/>
          <w:b/>
          <w:bCs/>
          <w:lang w:val="it-IT"/>
        </w:rPr>
        <w:br w:type="page"/>
      </w:r>
    </w:p>
    <w:p w14:paraId="247EEC55" w14:textId="1DCC816E" w:rsidR="00F27C80" w:rsidRPr="00824256" w:rsidRDefault="00EF7AE0" w:rsidP="00F27C80">
      <w:pPr>
        <w:spacing w:after="0"/>
        <w:rPr>
          <w:rFonts w:ascii="Georgia" w:hAnsi="Georgia"/>
          <w:b/>
          <w:bCs/>
          <w:lang w:val="it-IT"/>
        </w:rPr>
      </w:pPr>
      <w:r w:rsidRPr="00824256">
        <w:rPr>
          <w:rStyle w:val="Titolo1Carattere"/>
          <w:rFonts w:ascii="Georgia" w:hAnsi="Georgia"/>
          <w:lang w:val="it-IT"/>
        </w:rPr>
        <w:lastRenderedPageBreak/>
        <w:t>Introduz</w:t>
      </w:r>
      <w:r w:rsidR="00F27C80" w:rsidRPr="00824256">
        <w:rPr>
          <w:rStyle w:val="Titolo1Carattere"/>
          <w:rFonts w:ascii="Georgia" w:hAnsi="Georgia"/>
          <w:lang w:val="it-IT"/>
        </w:rPr>
        <w:t>ion</w:t>
      </w:r>
      <w:r w:rsidRPr="00824256">
        <w:rPr>
          <w:rStyle w:val="Titolo1Carattere"/>
          <w:rFonts w:ascii="Georgia" w:hAnsi="Georgia"/>
          <w:lang w:val="it-IT"/>
        </w:rPr>
        <w:t>e</w:t>
      </w:r>
      <w:r w:rsidR="00F27C80" w:rsidRPr="00824256">
        <w:rPr>
          <w:rFonts w:ascii="Georgia" w:hAnsi="Georgia"/>
          <w:b/>
          <w:bCs/>
          <w:lang w:val="it-IT"/>
        </w:rPr>
        <w:t xml:space="preserve"> </w:t>
      </w:r>
    </w:p>
    <w:p w14:paraId="7E0826CD" w14:textId="77777777" w:rsidR="004B7184" w:rsidRPr="00824256" w:rsidRDefault="004B7184" w:rsidP="00F27C80">
      <w:pPr>
        <w:spacing w:after="0"/>
        <w:rPr>
          <w:rFonts w:ascii="Georgia" w:hAnsi="Georgia"/>
          <w:b/>
          <w:bCs/>
          <w:lang w:val="it-IT"/>
        </w:rPr>
      </w:pPr>
    </w:p>
    <w:p w14:paraId="0DBD82B9" w14:textId="024397A2" w:rsidR="0041292C" w:rsidRPr="00F9572C" w:rsidRDefault="00765EF9" w:rsidP="00CC2BB7">
      <w:pPr>
        <w:spacing w:after="0" w:line="240" w:lineRule="auto"/>
        <w:rPr>
          <w:rFonts w:ascii="Georgia" w:eastAsia="Times New Roman" w:hAnsi="Georgia"/>
          <w:lang w:val="it-IT"/>
        </w:rPr>
      </w:pPr>
      <w:r w:rsidRPr="008943C9">
        <w:rPr>
          <w:rFonts w:ascii="Georgia" w:eastAsia="Times New Roman" w:hAnsi="Georgia"/>
          <w:lang w:val="it-IT"/>
        </w:rPr>
        <w:t>Nel 2022 il</w:t>
      </w:r>
      <w:r w:rsidR="00CF00E7" w:rsidRPr="008943C9">
        <w:rPr>
          <w:rFonts w:ascii="Georgia" w:eastAsia="Times New Roman" w:hAnsi="Georgia"/>
          <w:lang w:val="it-IT"/>
        </w:rPr>
        <w:t xml:space="preserve"> </w:t>
      </w:r>
      <w:proofErr w:type="spellStart"/>
      <w:r w:rsidR="00CF00E7" w:rsidRPr="008943C9">
        <w:rPr>
          <w:rFonts w:ascii="Georgia" w:eastAsia="Times New Roman" w:hAnsi="Georgia"/>
          <w:lang w:val="it-IT"/>
        </w:rPr>
        <w:t>real</w:t>
      </w:r>
      <w:proofErr w:type="spellEnd"/>
      <w:r w:rsidR="00CF00E7" w:rsidRPr="008943C9">
        <w:rPr>
          <w:rFonts w:ascii="Georgia" w:eastAsia="Times New Roman" w:hAnsi="Georgia"/>
          <w:lang w:val="it-IT"/>
        </w:rPr>
        <w:t xml:space="preserve"> estate</w:t>
      </w:r>
      <w:r w:rsidRPr="008943C9">
        <w:rPr>
          <w:rFonts w:ascii="Georgia" w:eastAsia="Times New Roman" w:hAnsi="Georgia"/>
          <w:lang w:val="it-IT"/>
        </w:rPr>
        <w:t xml:space="preserve"> ha registrato performance superiori rispetto alla maggior parte de</w:t>
      </w:r>
      <w:r w:rsidR="005F71DC">
        <w:rPr>
          <w:rFonts w:ascii="Georgia" w:eastAsia="Times New Roman" w:hAnsi="Georgia"/>
          <w:lang w:val="it-IT"/>
        </w:rPr>
        <w:t>gl</w:t>
      </w:r>
      <w:r w:rsidRPr="008943C9">
        <w:rPr>
          <w:rFonts w:ascii="Georgia" w:eastAsia="Times New Roman" w:hAnsi="Georgia"/>
          <w:lang w:val="it-IT"/>
        </w:rPr>
        <w:t xml:space="preserve">i </w:t>
      </w:r>
      <w:r w:rsidR="005F71DC">
        <w:rPr>
          <w:rFonts w:ascii="Georgia" w:eastAsia="Times New Roman" w:hAnsi="Georgia"/>
          <w:lang w:val="it-IT"/>
        </w:rPr>
        <w:t xml:space="preserve">altri </w:t>
      </w:r>
      <w:r w:rsidRPr="008943C9">
        <w:rPr>
          <w:rFonts w:ascii="Georgia" w:eastAsia="Times New Roman" w:hAnsi="Georgia"/>
          <w:lang w:val="it-IT"/>
        </w:rPr>
        <w:t>settori a livello</w:t>
      </w:r>
      <w:r w:rsidR="00AA40CF" w:rsidRPr="008943C9">
        <w:rPr>
          <w:rFonts w:ascii="Georgia" w:eastAsia="Times New Roman" w:hAnsi="Georgia"/>
          <w:lang w:val="it-IT"/>
        </w:rPr>
        <w:t xml:space="preserve"> global</w:t>
      </w:r>
      <w:r w:rsidRPr="008943C9">
        <w:rPr>
          <w:rFonts w:ascii="Georgia" w:eastAsia="Times New Roman" w:hAnsi="Georgia"/>
          <w:lang w:val="it-IT"/>
        </w:rPr>
        <w:t>e</w:t>
      </w:r>
      <w:r w:rsidR="00596A4C" w:rsidRPr="008943C9">
        <w:rPr>
          <w:rFonts w:ascii="Georgia" w:eastAsia="Times New Roman" w:hAnsi="Georgia"/>
          <w:lang w:val="it-IT"/>
        </w:rPr>
        <w:t xml:space="preserve">, </w:t>
      </w:r>
      <w:r w:rsidR="008943C9" w:rsidRPr="008943C9">
        <w:rPr>
          <w:rFonts w:ascii="Georgia" w:eastAsia="Times New Roman" w:hAnsi="Georgia"/>
          <w:lang w:val="it-IT"/>
        </w:rPr>
        <w:t xml:space="preserve">premiando gli investitori che </w:t>
      </w:r>
      <w:r w:rsidR="008F58DC" w:rsidRPr="008943C9">
        <w:rPr>
          <w:rFonts w:ascii="Georgia" w:eastAsia="Times New Roman" w:hAnsi="Georgia"/>
          <w:lang w:val="it-IT"/>
        </w:rPr>
        <w:t xml:space="preserve">nell'ultimo decennio </w:t>
      </w:r>
      <w:r w:rsidR="008943C9" w:rsidRPr="008943C9">
        <w:rPr>
          <w:rFonts w:ascii="Georgia" w:eastAsia="Times New Roman" w:hAnsi="Georgia"/>
          <w:lang w:val="it-IT"/>
        </w:rPr>
        <w:t>han</w:t>
      </w:r>
      <w:r w:rsidR="005F71DC">
        <w:rPr>
          <w:rFonts w:ascii="Georgia" w:eastAsia="Times New Roman" w:hAnsi="Georgia"/>
          <w:lang w:val="it-IT"/>
        </w:rPr>
        <w:t>no continuato ad incrementare la</w:t>
      </w:r>
      <w:r w:rsidR="008943C9" w:rsidRPr="008943C9">
        <w:rPr>
          <w:rFonts w:ascii="Georgia" w:eastAsia="Times New Roman" w:hAnsi="Georgia"/>
          <w:lang w:val="it-IT"/>
        </w:rPr>
        <w:t xml:space="preserve"> loro </w:t>
      </w:r>
      <w:r w:rsidR="005F71DC">
        <w:rPr>
          <w:rFonts w:ascii="Georgia" w:eastAsia="Times New Roman" w:hAnsi="Georgia"/>
          <w:lang w:val="it-IT"/>
        </w:rPr>
        <w:t>esposizione</w:t>
      </w:r>
      <w:r w:rsidR="008943C9" w:rsidRPr="008943C9">
        <w:rPr>
          <w:rFonts w:ascii="Georgia" w:eastAsia="Times New Roman" w:hAnsi="Georgia"/>
          <w:lang w:val="it-IT"/>
        </w:rPr>
        <w:t xml:space="preserve"> </w:t>
      </w:r>
      <w:r w:rsidR="005F71DC">
        <w:rPr>
          <w:rFonts w:ascii="Georgia" w:eastAsia="Times New Roman" w:hAnsi="Georgia"/>
          <w:lang w:val="it-IT"/>
        </w:rPr>
        <w:t>su questo</w:t>
      </w:r>
      <w:r w:rsidR="008943C9" w:rsidRPr="008943C9">
        <w:rPr>
          <w:rFonts w:ascii="Georgia" w:eastAsia="Times New Roman" w:hAnsi="Georgia"/>
          <w:lang w:val="it-IT"/>
        </w:rPr>
        <w:t xml:space="preserve"> settore</w:t>
      </w:r>
      <w:r w:rsidR="00596A4C" w:rsidRPr="008943C9">
        <w:rPr>
          <w:rFonts w:ascii="Georgia" w:eastAsia="Times New Roman" w:hAnsi="Georgia"/>
          <w:lang w:val="it-IT"/>
        </w:rPr>
        <w:t xml:space="preserve">. </w:t>
      </w:r>
      <w:r w:rsidR="008943C9">
        <w:rPr>
          <w:rFonts w:ascii="Georgia" w:eastAsia="Times New Roman" w:hAnsi="Georgia"/>
          <w:lang w:val="it-IT"/>
        </w:rPr>
        <w:t>Preved</w:t>
      </w:r>
      <w:r w:rsidR="008943C9" w:rsidRPr="008943C9">
        <w:rPr>
          <w:rFonts w:ascii="Georgia" w:eastAsia="Times New Roman" w:hAnsi="Georgia"/>
          <w:lang w:val="it-IT"/>
        </w:rPr>
        <w:t>iamo</w:t>
      </w:r>
      <w:r w:rsidR="008943C9">
        <w:rPr>
          <w:rFonts w:ascii="Georgia" w:eastAsia="Times New Roman" w:hAnsi="Georgia"/>
          <w:lang w:val="it-IT"/>
        </w:rPr>
        <w:t xml:space="preserve"> tuttavia</w:t>
      </w:r>
      <w:r w:rsidR="008943C9" w:rsidRPr="008943C9">
        <w:rPr>
          <w:rFonts w:ascii="Georgia" w:eastAsia="Times New Roman" w:hAnsi="Georgia"/>
          <w:lang w:val="it-IT"/>
        </w:rPr>
        <w:t xml:space="preserve"> </w:t>
      </w:r>
      <w:r w:rsidR="002969CA" w:rsidRPr="002969CA">
        <w:rPr>
          <w:rFonts w:ascii="Georgia" w:eastAsia="Times New Roman" w:hAnsi="Georgia"/>
          <w:lang w:val="it-IT"/>
        </w:rPr>
        <w:t>delle</w:t>
      </w:r>
      <w:r w:rsidR="008943C9" w:rsidRPr="008943C9">
        <w:rPr>
          <w:rFonts w:ascii="Georgia" w:eastAsia="Times New Roman" w:hAnsi="Georgia"/>
          <w:lang w:val="it-IT"/>
        </w:rPr>
        <w:t xml:space="preserve"> fasi di flessione nel 2023, con perdite di valore </w:t>
      </w:r>
      <w:r w:rsidR="002969CA">
        <w:rPr>
          <w:rFonts w:ascii="Georgia" w:eastAsia="Times New Roman" w:hAnsi="Georgia"/>
          <w:lang w:val="it-IT"/>
        </w:rPr>
        <w:t>su</w:t>
      </w:r>
      <w:r w:rsidR="008943C9" w:rsidRPr="008943C9">
        <w:rPr>
          <w:rFonts w:ascii="Georgia" w:eastAsia="Times New Roman" w:hAnsi="Georgia"/>
          <w:lang w:val="it-IT"/>
        </w:rPr>
        <w:t xml:space="preserve"> alcuni mercati e se</w:t>
      </w:r>
      <w:r w:rsidR="005F71DC">
        <w:rPr>
          <w:rFonts w:ascii="Georgia" w:eastAsia="Times New Roman" w:hAnsi="Georgia"/>
          <w:lang w:val="it-IT"/>
        </w:rPr>
        <w:t>gment</w:t>
      </w:r>
      <w:r w:rsidR="008943C9" w:rsidRPr="008943C9">
        <w:rPr>
          <w:rFonts w:ascii="Georgia" w:eastAsia="Times New Roman" w:hAnsi="Georgia"/>
          <w:lang w:val="it-IT"/>
        </w:rPr>
        <w:t>i</w:t>
      </w:r>
      <w:r w:rsidR="00342683" w:rsidRPr="008943C9">
        <w:rPr>
          <w:rFonts w:ascii="Georgia" w:eastAsia="Times New Roman" w:hAnsi="Georgia"/>
          <w:lang w:val="it-IT"/>
        </w:rPr>
        <w:t>.</w:t>
      </w:r>
      <w:r w:rsidR="0041292C" w:rsidRPr="008943C9">
        <w:rPr>
          <w:rFonts w:ascii="Georgia" w:eastAsia="Times New Roman" w:hAnsi="Georgia"/>
          <w:lang w:val="it-IT"/>
        </w:rPr>
        <w:t xml:space="preserve"> </w:t>
      </w:r>
      <w:r w:rsidR="00F9572C" w:rsidRPr="00F9572C">
        <w:rPr>
          <w:rFonts w:ascii="Georgia" w:eastAsia="Times New Roman" w:hAnsi="Georgia"/>
          <w:lang w:val="it-IT"/>
        </w:rPr>
        <w:t>Ma anche in caso di rallentamento del mercato</w:t>
      </w:r>
      <w:r w:rsidR="0041292C" w:rsidRPr="00F9572C">
        <w:rPr>
          <w:rFonts w:ascii="Georgia" w:eastAsia="Times New Roman" w:hAnsi="Georgia"/>
          <w:lang w:val="it-IT"/>
        </w:rPr>
        <w:t xml:space="preserve">, </w:t>
      </w:r>
      <w:r w:rsidR="005F71DC">
        <w:rPr>
          <w:rFonts w:ascii="Georgia" w:eastAsia="Times New Roman" w:hAnsi="Georgia"/>
          <w:lang w:val="it-IT"/>
        </w:rPr>
        <w:t>continueranno a presentarsi</w:t>
      </w:r>
      <w:r w:rsidR="00F9572C">
        <w:rPr>
          <w:rFonts w:ascii="Georgia" w:eastAsia="Times New Roman" w:hAnsi="Georgia"/>
          <w:lang w:val="it-IT"/>
        </w:rPr>
        <w:t xml:space="preserve"> </w:t>
      </w:r>
      <w:r w:rsidR="0041292C" w:rsidRPr="00F9572C">
        <w:rPr>
          <w:rFonts w:ascii="Georgia" w:eastAsia="Times New Roman" w:hAnsi="Georgia"/>
          <w:lang w:val="it-IT"/>
        </w:rPr>
        <w:t>opportunit</w:t>
      </w:r>
      <w:r w:rsidR="005F71DC">
        <w:rPr>
          <w:rFonts w:ascii="Georgia" w:eastAsia="Times New Roman" w:hAnsi="Georgia"/>
          <w:lang w:val="it-IT"/>
        </w:rPr>
        <w:t>à ne</w:t>
      </w:r>
      <w:r w:rsidR="00F9572C">
        <w:rPr>
          <w:rFonts w:ascii="Georgia" w:eastAsia="Times New Roman" w:hAnsi="Georgia"/>
          <w:lang w:val="it-IT"/>
        </w:rPr>
        <w:t>l</w:t>
      </w:r>
      <w:r w:rsidR="0041292C" w:rsidRPr="00F9572C">
        <w:rPr>
          <w:rFonts w:ascii="Georgia" w:eastAsia="Times New Roman" w:hAnsi="Georgia"/>
          <w:lang w:val="it-IT"/>
        </w:rPr>
        <w:t xml:space="preserve"> </w:t>
      </w:r>
      <w:proofErr w:type="spellStart"/>
      <w:r w:rsidR="0041292C" w:rsidRPr="00F9572C">
        <w:rPr>
          <w:rFonts w:ascii="Georgia" w:eastAsia="Times New Roman" w:hAnsi="Georgia"/>
          <w:lang w:val="it-IT"/>
        </w:rPr>
        <w:t>real</w:t>
      </w:r>
      <w:proofErr w:type="spellEnd"/>
      <w:r w:rsidR="0041292C" w:rsidRPr="00F9572C">
        <w:rPr>
          <w:rFonts w:ascii="Georgia" w:eastAsia="Times New Roman" w:hAnsi="Georgia"/>
          <w:lang w:val="it-IT"/>
        </w:rPr>
        <w:t xml:space="preserve"> estate</w:t>
      </w:r>
      <w:r w:rsidR="00F9572C" w:rsidRPr="00F9572C">
        <w:rPr>
          <w:rFonts w:ascii="Georgia" w:eastAsia="Times New Roman" w:hAnsi="Georgia"/>
          <w:lang w:val="it-IT"/>
        </w:rPr>
        <w:t xml:space="preserve"> commercial</w:t>
      </w:r>
      <w:r w:rsidR="00F9572C">
        <w:rPr>
          <w:rFonts w:ascii="Georgia" w:eastAsia="Times New Roman" w:hAnsi="Georgia"/>
          <w:lang w:val="it-IT"/>
        </w:rPr>
        <w:t>e</w:t>
      </w:r>
      <w:r w:rsidR="0041292C" w:rsidRPr="00F9572C">
        <w:rPr>
          <w:rFonts w:ascii="Georgia" w:eastAsia="Times New Roman" w:hAnsi="Georgia"/>
          <w:lang w:val="it-IT"/>
        </w:rPr>
        <w:t>.</w:t>
      </w:r>
      <w:r w:rsidR="008F58DC">
        <w:rPr>
          <w:rFonts w:ascii="Georgia" w:eastAsia="Times New Roman" w:hAnsi="Georgia"/>
          <w:lang w:val="it-IT"/>
        </w:rPr>
        <w:t xml:space="preserve"> </w:t>
      </w:r>
    </w:p>
    <w:p w14:paraId="6D4FAEFA" w14:textId="77777777" w:rsidR="0041292C" w:rsidRPr="00F9572C" w:rsidRDefault="0041292C" w:rsidP="00CC2BB7">
      <w:pPr>
        <w:spacing w:after="0" w:line="240" w:lineRule="auto"/>
        <w:rPr>
          <w:rFonts w:ascii="Georgia" w:eastAsia="Times New Roman" w:hAnsi="Georgia"/>
          <w:lang w:val="it-IT"/>
        </w:rPr>
      </w:pPr>
    </w:p>
    <w:p w14:paraId="277692AE" w14:textId="384CB3BE" w:rsidR="000030C5" w:rsidRPr="00561F03" w:rsidRDefault="00F9572C" w:rsidP="00A54AAB">
      <w:pPr>
        <w:spacing w:before="240"/>
        <w:rPr>
          <w:rFonts w:ascii="Georgia" w:eastAsia="Times New Roman" w:hAnsi="Georgia"/>
          <w:lang w:val="it-IT"/>
        </w:rPr>
      </w:pPr>
      <w:r w:rsidRPr="00234CEB">
        <w:rPr>
          <w:rFonts w:ascii="Georgia" w:eastAsia="Times New Roman" w:hAnsi="Georgia"/>
          <w:b/>
          <w:bCs/>
          <w:lang w:val="it-IT"/>
        </w:rPr>
        <w:t>Rallentamento della crescita</w:t>
      </w:r>
      <w:r w:rsidR="000030C5" w:rsidRPr="00F9572C">
        <w:rPr>
          <w:rFonts w:ascii="Georgia" w:eastAsia="Times New Roman" w:hAnsi="Georgia"/>
          <w:lang w:val="it-IT"/>
        </w:rPr>
        <w:t xml:space="preserve">: </w:t>
      </w:r>
      <w:r w:rsidR="00234CEB">
        <w:rPr>
          <w:rFonts w:ascii="Georgia" w:eastAsia="Times New Roman" w:hAnsi="Georgia"/>
          <w:lang w:val="it-IT"/>
        </w:rPr>
        <w:t>l</w:t>
      </w:r>
      <w:r w:rsidRPr="00F9572C">
        <w:rPr>
          <w:rFonts w:ascii="Georgia" w:eastAsia="Times New Roman" w:hAnsi="Georgia"/>
          <w:lang w:val="it-IT"/>
        </w:rPr>
        <w:t xml:space="preserve">'aumento dei tassi di interesse ha esercitato una pressione al rialzo sui </w:t>
      </w:r>
      <w:proofErr w:type="spellStart"/>
      <w:r w:rsidRPr="005F71DC">
        <w:rPr>
          <w:rFonts w:ascii="Georgia" w:eastAsia="Times New Roman" w:hAnsi="Georgia"/>
          <w:i/>
          <w:lang w:val="it-IT"/>
        </w:rPr>
        <w:t>cap</w:t>
      </w:r>
      <w:proofErr w:type="spellEnd"/>
      <w:r w:rsidR="005F71DC" w:rsidRPr="005F71DC">
        <w:rPr>
          <w:rFonts w:ascii="Georgia" w:eastAsia="Times New Roman" w:hAnsi="Georgia"/>
          <w:i/>
          <w:lang w:val="it-IT"/>
        </w:rPr>
        <w:t xml:space="preserve"> rate</w:t>
      </w:r>
      <w:r w:rsidRPr="00F9572C">
        <w:rPr>
          <w:rFonts w:ascii="Georgia" w:eastAsia="Times New Roman" w:hAnsi="Georgia"/>
          <w:lang w:val="it-IT"/>
        </w:rPr>
        <w:t xml:space="preserve"> e</w:t>
      </w:r>
      <w:r>
        <w:rPr>
          <w:rFonts w:ascii="Georgia" w:eastAsia="Times New Roman" w:hAnsi="Georgia"/>
          <w:lang w:val="it-IT"/>
        </w:rPr>
        <w:t>, in</w:t>
      </w:r>
      <w:r w:rsidRPr="00F9572C">
        <w:rPr>
          <w:rFonts w:ascii="Georgia" w:eastAsia="Times New Roman" w:hAnsi="Georgia"/>
          <w:lang w:val="it-IT"/>
        </w:rPr>
        <w:t xml:space="preserve"> corrisponden</w:t>
      </w:r>
      <w:r>
        <w:rPr>
          <w:rFonts w:ascii="Georgia" w:eastAsia="Times New Roman" w:hAnsi="Georgia"/>
          <w:lang w:val="it-IT"/>
        </w:rPr>
        <w:t>za, una</w:t>
      </w:r>
      <w:r w:rsidRPr="00F9572C">
        <w:rPr>
          <w:rFonts w:ascii="Georgia" w:eastAsia="Times New Roman" w:hAnsi="Georgia"/>
          <w:lang w:val="it-IT"/>
        </w:rPr>
        <w:t xml:space="preserve"> pressione al ribasso sui valori.</w:t>
      </w:r>
      <w:r>
        <w:rPr>
          <w:rFonts w:ascii="Georgia" w:eastAsia="Times New Roman" w:hAnsi="Georgia"/>
          <w:lang w:val="it-IT"/>
        </w:rPr>
        <w:t xml:space="preserve"> </w:t>
      </w:r>
      <w:r w:rsidR="00102AAF" w:rsidRPr="00102AAF">
        <w:rPr>
          <w:rFonts w:ascii="Georgia" w:eastAsia="Times New Roman" w:hAnsi="Georgia"/>
          <w:lang w:val="it-IT"/>
        </w:rPr>
        <w:t xml:space="preserve">Per quanto </w:t>
      </w:r>
      <w:r w:rsidR="00561F03">
        <w:rPr>
          <w:rFonts w:ascii="Georgia" w:eastAsia="Times New Roman" w:hAnsi="Georgia"/>
          <w:lang w:val="it-IT"/>
        </w:rPr>
        <w:t xml:space="preserve">questa </w:t>
      </w:r>
      <w:r w:rsidR="00102AAF" w:rsidRPr="00102AAF">
        <w:rPr>
          <w:rFonts w:ascii="Georgia" w:eastAsia="Times New Roman" w:hAnsi="Georgia"/>
          <w:lang w:val="it-IT"/>
        </w:rPr>
        <w:t xml:space="preserve">non sia la dinamica ideale, ci sono ragioni per </w:t>
      </w:r>
      <w:r w:rsidR="00234CEB">
        <w:rPr>
          <w:rFonts w:ascii="Georgia" w:eastAsia="Times New Roman" w:hAnsi="Georgia"/>
          <w:lang w:val="it-IT"/>
        </w:rPr>
        <w:t xml:space="preserve">nutrire </w:t>
      </w:r>
      <w:r w:rsidR="00102AAF" w:rsidRPr="00102AAF">
        <w:rPr>
          <w:rFonts w:ascii="Georgia" w:eastAsia="Times New Roman" w:hAnsi="Georgia"/>
          <w:lang w:val="it-IT"/>
        </w:rPr>
        <w:t>un moderato ottimismo</w:t>
      </w:r>
      <w:r w:rsidR="00902212" w:rsidRPr="00102AAF">
        <w:rPr>
          <w:rFonts w:ascii="Georgia" w:eastAsia="Times New Roman" w:hAnsi="Georgia"/>
          <w:lang w:val="it-IT"/>
        </w:rPr>
        <w:t xml:space="preserve">. </w:t>
      </w:r>
      <w:r w:rsidR="00561F03" w:rsidRPr="00561F03">
        <w:rPr>
          <w:rFonts w:ascii="Georgia" w:eastAsia="Times New Roman" w:hAnsi="Georgia"/>
          <w:lang w:val="it-IT"/>
        </w:rPr>
        <w:t>L'apprezzamento significativo del capitale ha contribuito a generare rendimenti superiori negli ultimi anni,</w:t>
      </w:r>
      <w:r w:rsidR="00561F03">
        <w:rPr>
          <w:rFonts w:ascii="Georgia" w:eastAsia="Times New Roman" w:hAnsi="Georgia"/>
          <w:lang w:val="it-IT"/>
        </w:rPr>
        <w:t xml:space="preserve"> ma molti investitori puntano sul </w:t>
      </w:r>
      <w:proofErr w:type="spellStart"/>
      <w:r w:rsidR="00561F03">
        <w:rPr>
          <w:rFonts w:ascii="Georgia" w:eastAsia="Times New Roman" w:hAnsi="Georgia"/>
          <w:lang w:val="it-IT"/>
        </w:rPr>
        <w:t>real</w:t>
      </w:r>
      <w:proofErr w:type="spellEnd"/>
      <w:r w:rsidR="00561F03">
        <w:rPr>
          <w:rFonts w:ascii="Georgia" w:eastAsia="Times New Roman" w:hAnsi="Georgia"/>
          <w:lang w:val="it-IT"/>
        </w:rPr>
        <w:t xml:space="preserve"> estate privato per i rendimenti costanti, spesso attingendo ai loro</w:t>
      </w:r>
      <w:r w:rsidR="008F58DC">
        <w:rPr>
          <w:rFonts w:ascii="Georgia" w:eastAsia="Times New Roman" w:hAnsi="Georgia"/>
          <w:lang w:val="it-IT"/>
        </w:rPr>
        <w:t xml:space="preserve"> portafogli </w:t>
      </w:r>
      <w:r w:rsidR="00234CEB">
        <w:rPr>
          <w:rFonts w:ascii="Georgia" w:eastAsia="Times New Roman" w:hAnsi="Georgia"/>
          <w:lang w:val="it-IT"/>
        </w:rPr>
        <w:t>investiti in</w:t>
      </w:r>
      <w:r w:rsidR="00561F03" w:rsidRPr="00561F03">
        <w:rPr>
          <w:rFonts w:ascii="Georgia" w:eastAsia="Times New Roman" w:hAnsi="Georgia"/>
          <w:lang w:val="it-IT"/>
        </w:rPr>
        <w:t xml:space="preserve"> reddito fis</w:t>
      </w:r>
      <w:r w:rsidR="00561F03">
        <w:rPr>
          <w:rFonts w:ascii="Georgia" w:eastAsia="Times New Roman" w:hAnsi="Georgia"/>
          <w:lang w:val="it-IT"/>
        </w:rPr>
        <w:t>so per aumentare l'esposizione su</w:t>
      </w:r>
      <w:r w:rsidR="00561F03" w:rsidRPr="00561F03">
        <w:rPr>
          <w:rFonts w:ascii="Georgia" w:eastAsia="Times New Roman" w:hAnsi="Georgia"/>
          <w:lang w:val="it-IT"/>
        </w:rPr>
        <w:t>l settore immobiliare.</w:t>
      </w:r>
      <w:r w:rsidR="00561F03">
        <w:rPr>
          <w:rFonts w:ascii="Georgia" w:eastAsia="Times New Roman" w:hAnsi="Georgia"/>
          <w:lang w:val="it-IT"/>
        </w:rPr>
        <w:t xml:space="preserve"> Da q</w:t>
      </w:r>
      <w:r w:rsidR="008F58DC">
        <w:rPr>
          <w:rFonts w:ascii="Georgia" w:eastAsia="Times New Roman" w:hAnsi="Georgia"/>
          <w:lang w:val="it-IT"/>
        </w:rPr>
        <w:t>uesto punto di vista, il</w:t>
      </w:r>
      <w:r w:rsidR="0005532F" w:rsidRPr="00561F03">
        <w:rPr>
          <w:rFonts w:ascii="Georgia" w:eastAsia="Times New Roman" w:hAnsi="Georgia"/>
          <w:lang w:val="it-IT"/>
        </w:rPr>
        <w:t xml:space="preserve"> </w:t>
      </w:r>
      <w:proofErr w:type="spellStart"/>
      <w:r w:rsidR="0005532F" w:rsidRPr="00561F03">
        <w:rPr>
          <w:rFonts w:ascii="Georgia" w:eastAsia="Times New Roman" w:hAnsi="Georgia"/>
          <w:lang w:val="it-IT"/>
        </w:rPr>
        <w:t>real</w:t>
      </w:r>
      <w:proofErr w:type="spellEnd"/>
      <w:r w:rsidR="0005532F" w:rsidRPr="00561F03">
        <w:rPr>
          <w:rFonts w:ascii="Georgia" w:eastAsia="Times New Roman" w:hAnsi="Georgia"/>
          <w:lang w:val="it-IT"/>
        </w:rPr>
        <w:t xml:space="preserve"> </w:t>
      </w:r>
      <w:r w:rsidR="0005532F" w:rsidRPr="00205366">
        <w:rPr>
          <w:rFonts w:ascii="Georgia" w:eastAsiaTheme="majorEastAsia" w:hAnsi="Georgia" w:cstheme="majorBidi"/>
          <w:bCs/>
          <w:lang w:val="it-IT"/>
        </w:rPr>
        <w:t>estate</w:t>
      </w:r>
      <w:r w:rsidR="0005532F" w:rsidRPr="00561F03">
        <w:rPr>
          <w:rFonts w:ascii="Georgia" w:eastAsia="Times New Roman" w:hAnsi="Georgia"/>
          <w:lang w:val="it-IT"/>
        </w:rPr>
        <w:t xml:space="preserve"> </w:t>
      </w:r>
      <w:proofErr w:type="gramStart"/>
      <w:r w:rsidR="00561F03">
        <w:rPr>
          <w:rFonts w:ascii="Georgia" w:eastAsia="Times New Roman" w:hAnsi="Georgia"/>
          <w:lang w:val="it-IT"/>
        </w:rPr>
        <w:t>è ben</w:t>
      </w:r>
      <w:r w:rsidR="00481ED1" w:rsidRPr="00561F03">
        <w:rPr>
          <w:rFonts w:ascii="Georgia" w:eastAsia="Times New Roman" w:hAnsi="Georgia"/>
          <w:lang w:val="it-IT"/>
        </w:rPr>
        <w:t xml:space="preserve"> posi</w:t>
      </w:r>
      <w:r w:rsidR="00561F03">
        <w:rPr>
          <w:rFonts w:ascii="Georgia" w:eastAsia="Times New Roman" w:hAnsi="Georgia"/>
          <w:lang w:val="it-IT"/>
        </w:rPr>
        <w:t>z</w:t>
      </w:r>
      <w:r w:rsidR="00481ED1" w:rsidRPr="00561F03">
        <w:rPr>
          <w:rFonts w:ascii="Georgia" w:eastAsia="Times New Roman" w:hAnsi="Georgia"/>
          <w:lang w:val="it-IT"/>
        </w:rPr>
        <w:t>ion</w:t>
      </w:r>
      <w:r w:rsidR="00561F03">
        <w:rPr>
          <w:rFonts w:ascii="Georgia" w:eastAsia="Times New Roman" w:hAnsi="Georgia"/>
          <w:lang w:val="it-IT"/>
        </w:rPr>
        <w:t>ato</w:t>
      </w:r>
      <w:proofErr w:type="gramEnd"/>
      <w:r w:rsidR="00C87E25" w:rsidRPr="00561F03">
        <w:rPr>
          <w:rFonts w:ascii="Georgia" w:eastAsia="Times New Roman" w:hAnsi="Georgia"/>
          <w:lang w:val="it-IT"/>
        </w:rPr>
        <w:t xml:space="preserve">, </w:t>
      </w:r>
      <w:r w:rsidR="00561F03">
        <w:rPr>
          <w:rFonts w:ascii="Georgia" w:eastAsia="Times New Roman" w:hAnsi="Georgia"/>
          <w:lang w:val="it-IT"/>
        </w:rPr>
        <w:t>con solidi</w:t>
      </w:r>
      <w:r w:rsidR="00C87E25" w:rsidRPr="00561F03">
        <w:rPr>
          <w:rFonts w:ascii="Georgia" w:eastAsia="Times New Roman" w:hAnsi="Georgia"/>
          <w:lang w:val="it-IT"/>
        </w:rPr>
        <w:t xml:space="preserve"> f</w:t>
      </w:r>
      <w:r w:rsidR="00561F03">
        <w:rPr>
          <w:rFonts w:ascii="Georgia" w:eastAsia="Times New Roman" w:hAnsi="Georgia"/>
          <w:lang w:val="it-IT"/>
        </w:rPr>
        <w:t>o</w:t>
      </w:r>
      <w:r w:rsidR="00C87E25" w:rsidRPr="00561F03">
        <w:rPr>
          <w:rFonts w:ascii="Georgia" w:eastAsia="Times New Roman" w:hAnsi="Georgia"/>
          <w:lang w:val="it-IT"/>
        </w:rPr>
        <w:t>ndamental</w:t>
      </w:r>
      <w:r w:rsidR="00561F03">
        <w:rPr>
          <w:rFonts w:ascii="Georgia" w:eastAsia="Times New Roman" w:hAnsi="Georgia"/>
          <w:lang w:val="it-IT"/>
        </w:rPr>
        <w:t xml:space="preserve">i </w:t>
      </w:r>
      <w:r w:rsidR="005F28B8">
        <w:rPr>
          <w:rFonts w:ascii="Georgia" w:eastAsia="Times New Roman" w:hAnsi="Georgia"/>
          <w:lang w:val="it-IT"/>
        </w:rPr>
        <w:t>che</w:t>
      </w:r>
      <w:r w:rsidR="00C87E25" w:rsidRPr="00561F03">
        <w:rPr>
          <w:rFonts w:ascii="Georgia" w:eastAsia="Times New Roman" w:hAnsi="Georgia"/>
          <w:lang w:val="it-IT"/>
        </w:rPr>
        <w:t xml:space="preserve"> support</w:t>
      </w:r>
      <w:r w:rsidR="005F28B8">
        <w:rPr>
          <w:rFonts w:ascii="Georgia" w:eastAsia="Times New Roman" w:hAnsi="Georgia"/>
          <w:lang w:val="it-IT"/>
        </w:rPr>
        <w:t>erann</w:t>
      </w:r>
      <w:r w:rsidR="005F71DC">
        <w:rPr>
          <w:rFonts w:ascii="Georgia" w:eastAsia="Times New Roman" w:hAnsi="Georgia"/>
          <w:lang w:val="it-IT"/>
        </w:rPr>
        <w:t>o</w:t>
      </w:r>
      <w:r w:rsidR="00561F03">
        <w:rPr>
          <w:rFonts w:ascii="Georgia" w:eastAsia="Times New Roman" w:hAnsi="Georgia"/>
          <w:lang w:val="it-IT"/>
        </w:rPr>
        <w:t xml:space="preserve"> rendimenti</w:t>
      </w:r>
      <w:r w:rsidR="00C87E25" w:rsidRPr="00561F03">
        <w:rPr>
          <w:rFonts w:ascii="Georgia" w:eastAsia="Times New Roman" w:hAnsi="Georgia"/>
          <w:lang w:val="it-IT"/>
        </w:rPr>
        <w:t xml:space="preserve"> </w:t>
      </w:r>
      <w:r w:rsidR="00884BE3" w:rsidRPr="00561F03">
        <w:rPr>
          <w:rFonts w:ascii="Georgia" w:eastAsia="Times New Roman" w:hAnsi="Georgia"/>
          <w:lang w:val="it-IT"/>
        </w:rPr>
        <w:t>stab</w:t>
      </w:r>
      <w:r w:rsidR="00561F03">
        <w:rPr>
          <w:rFonts w:ascii="Georgia" w:eastAsia="Times New Roman" w:hAnsi="Georgia"/>
          <w:lang w:val="it-IT"/>
        </w:rPr>
        <w:t>i</w:t>
      </w:r>
      <w:r w:rsidR="00884BE3" w:rsidRPr="00561F03">
        <w:rPr>
          <w:rFonts w:ascii="Georgia" w:eastAsia="Times New Roman" w:hAnsi="Georgia"/>
          <w:lang w:val="it-IT"/>
        </w:rPr>
        <w:t>l</w:t>
      </w:r>
      <w:r w:rsidR="00561F03">
        <w:rPr>
          <w:rFonts w:ascii="Georgia" w:eastAsia="Times New Roman" w:hAnsi="Georgia"/>
          <w:lang w:val="it-IT"/>
        </w:rPr>
        <w:t xml:space="preserve">i </w:t>
      </w:r>
      <w:r w:rsidR="00B76F79">
        <w:rPr>
          <w:rFonts w:ascii="Georgia" w:eastAsia="Times New Roman" w:hAnsi="Georgia"/>
          <w:lang w:val="it-IT"/>
        </w:rPr>
        <w:t>ne</w:t>
      </w:r>
      <w:r w:rsidR="00561F03">
        <w:rPr>
          <w:rFonts w:ascii="Georgia" w:eastAsia="Times New Roman" w:hAnsi="Georgia"/>
          <w:lang w:val="it-IT"/>
        </w:rPr>
        <w:t>l</w:t>
      </w:r>
      <w:r w:rsidR="00884BE3" w:rsidRPr="00561F03">
        <w:rPr>
          <w:rFonts w:ascii="Georgia" w:eastAsia="Times New Roman" w:hAnsi="Georgia"/>
          <w:lang w:val="it-IT"/>
        </w:rPr>
        <w:t xml:space="preserve"> 2023. </w:t>
      </w:r>
    </w:p>
    <w:p w14:paraId="02334C41" w14:textId="77777777" w:rsidR="000030C5" w:rsidRPr="00561F03" w:rsidRDefault="000030C5" w:rsidP="00CC2BB7">
      <w:pPr>
        <w:spacing w:after="0" w:line="240" w:lineRule="auto"/>
        <w:rPr>
          <w:rFonts w:ascii="Georgia" w:eastAsia="Times New Roman" w:hAnsi="Georgia"/>
          <w:lang w:val="it-IT"/>
        </w:rPr>
      </w:pPr>
    </w:p>
    <w:p w14:paraId="4938FA2A" w14:textId="6F21E59C" w:rsidR="00656068" w:rsidRDefault="0091437C" w:rsidP="00CC2BB7">
      <w:pPr>
        <w:spacing w:after="0" w:line="240" w:lineRule="auto"/>
        <w:rPr>
          <w:rFonts w:ascii="Georgia" w:eastAsia="Times New Roman" w:hAnsi="Georgia"/>
          <w:lang w:val="it-IT"/>
        </w:rPr>
      </w:pPr>
      <w:r w:rsidRPr="00234CEB">
        <w:rPr>
          <w:rFonts w:ascii="Georgia" w:eastAsia="Times New Roman" w:hAnsi="Georgia"/>
          <w:b/>
          <w:bCs/>
          <w:lang w:val="it-IT"/>
        </w:rPr>
        <w:t>Forte</w:t>
      </w:r>
      <w:r w:rsidR="000030C5" w:rsidRPr="00234CEB">
        <w:rPr>
          <w:rFonts w:ascii="Georgia" w:eastAsia="Times New Roman" w:hAnsi="Georgia"/>
          <w:b/>
          <w:bCs/>
          <w:lang w:val="it-IT"/>
        </w:rPr>
        <w:t xml:space="preserve"> d</w:t>
      </w:r>
      <w:r w:rsidRPr="00234CEB">
        <w:rPr>
          <w:rFonts w:ascii="Georgia" w:eastAsia="Times New Roman" w:hAnsi="Georgia"/>
          <w:b/>
          <w:bCs/>
          <w:lang w:val="it-IT"/>
        </w:rPr>
        <w:t>o</w:t>
      </w:r>
      <w:r w:rsidR="000030C5" w:rsidRPr="00234CEB">
        <w:rPr>
          <w:rFonts w:ascii="Georgia" w:eastAsia="Times New Roman" w:hAnsi="Georgia"/>
          <w:b/>
          <w:bCs/>
          <w:lang w:val="it-IT"/>
        </w:rPr>
        <w:t>mand</w:t>
      </w:r>
      <w:r w:rsidRPr="00234CEB">
        <w:rPr>
          <w:rFonts w:ascii="Georgia" w:eastAsia="Times New Roman" w:hAnsi="Georgia"/>
          <w:b/>
          <w:bCs/>
          <w:lang w:val="it-IT"/>
        </w:rPr>
        <w:t>a</w:t>
      </w:r>
      <w:r w:rsidR="000030C5" w:rsidRPr="0091437C">
        <w:rPr>
          <w:rFonts w:ascii="Georgia" w:eastAsia="Times New Roman" w:hAnsi="Georgia"/>
          <w:lang w:val="it-IT"/>
        </w:rPr>
        <w:t xml:space="preserve">: </w:t>
      </w:r>
      <w:r w:rsidRPr="0091437C">
        <w:rPr>
          <w:rFonts w:ascii="Georgia" w:eastAsia="Times New Roman" w:hAnsi="Georgia"/>
          <w:lang w:val="it-IT"/>
        </w:rPr>
        <w:t>I problemi dell</w:t>
      </w:r>
      <w:r>
        <w:rPr>
          <w:rFonts w:ascii="Georgia" w:eastAsia="Times New Roman" w:hAnsi="Georgia"/>
          <w:lang w:val="it-IT"/>
        </w:rPr>
        <w:t>e</w:t>
      </w:r>
      <w:r w:rsidRPr="0091437C">
        <w:rPr>
          <w:rFonts w:ascii="Georgia" w:eastAsia="Times New Roman" w:hAnsi="Georgia"/>
          <w:lang w:val="it-IT"/>
        </w:rPr>
        <w:t xml:space="preserve"> caten</w:t>
      </w:r>
      <w:r>
        <w:rPr>
          <w:rFonts w:ascii="Georgia" w:eastAsia="Times New Roman" w:hAnsi="Georgia"/>
          <w:lang w:val="it-IT"/>
        </w:rPr>
        <w:t>e</w:t>
      </w:r>
      <w:r w:rsidRPr="0091437C">
        <w:rPr>
          <w:rFonts w:ascii="Georgia" w:eastAsia="Times New Roman" w:hAnsi="Georgia"/>
          <w:lang w:val="it-IT"/>
        </w:rPr>
        <w:t xml:space="preserve"> di fornitura</w:t>
      </w:r>
      <w:r>
        <w:rPr>
          <w:rFonts w:ascii="Georgia" w:eastAsia="Times New Roman" w:hAnsi="Georgia"/>
          <w:lang w:val="it-IT"/>
        </w:rPr>
        <w:t>,</w:t>
      </w:r>
      <w:r w:rsidR="005F71DC">
        <w:rPr>
          <w:rFonts w:ascii="Georgia" w:eastAsia="Times New Roman" w:hAnsi="Georgia"/>
          <w:lang w:val="it-IT"/>
        </w:rPr>
        <w:t xml:space="preserve"> che continuano a spinge</w:t>
      </w:r>
      <w:r w:rsidRPr="0091437C">
        <w:rPr>
          <w:rFonts w:ascii="Georgia" w:eastAsia="Times New Roman" w:hAnsi="Georgia"/>
          <w:lang w:val="it-IT"/>
        </w:rPr>
        <w:t>re l'inflazione</w:t>
      </w:r>
      <w:r>
        <w:rPr>
          <w:rFonts w:ascii="Georgia" w:eastAsia="Times New Roman" w:hAnsi="Georgia"/>
          <w:lang w:val="it-IT"/>
        </w:rPr>
        <w:t>,</w:t>
      </w:r>
      <w:r w:rsidRPr="0091437C">
        <w:rPr>
          <w:rFonts w:ascii="Georgia" w:eastAsia="Times New Roman" w:hAnsi="Georgia"/>
          <w:lang w:val="it-IT"/>
        </w:rPr>
        <w:t xml:space="preserve"> hanno anche un </w:t>
      </w:r>
      <w:r w:rsidR="00234CEB">
        <w:rPr>
          <w:rFonts w:ascii="Georgia" w:eastAsia="Times New Roman" w:hAnsi="Georgia"/>
          <w:lang w:val="it-IT"/>
        </w:rPr>
        <w:t>risvolto</w:t>
      </w:r>
      <w:r w:rsidRPr="0091437C">
        <w:rPr>
          <w:rFonts w:ascii="Georgia" w:eastAsia="Times New Roman" w:hAnsi="Georgia"/>
          <w:lang w:val="it-IT"/>
        </w:rPr>
        <w:t xml:space="preserve"> positivo per i proprietari d</w:t>
      </w:r>
      <w:r w:rsidR="00B76F79">
        <w:rPr>
          <w:rFonts w:ascii="Georgia" w:eastAsia="Times New Roman" w:hAnsi="Georgia"/>
          <w:lang w:val="it-IT"/>
        </w:rPr>
        <w:t>egl</w:t>
      </w:r>
      <w:r w:rsidRPr="0091437C">
        <w:rPr>
          <w:rFonts w:ascii="Georgia" w:eastAsia="Times New Roman" w:hAnsi="Georgia"/>
          <w:lang w:val="it-IT"/>
        </w:rPr>
        <w:t>i immobili esistenti</w:t>
      </w:r>
      <w:r w:rsidR="009053D0" w:rsidRPr="0091437C">
        <w:rPr>
          <w:rFonts w:ascii="Georgia" w:eastAsia="Times New Roman" w:hAnsi="Georgia"/>
          <w:lang w:val="it-IT"/>
        </w:rPr>
        <w:t>.</w:t>
      </w:r>
      <w:r w:rsidR="001E6B62" w:rsidRPr="0091437C">
        <w:rPr>
          <w:rFonts w:ascii="Georgia" w:eastAsia="Times New Roman" w:hAnsi="Georgia"/>
          <w:lang w:val="it-IT"/>
        </w:rPr>
        <w:t xml:space="preserve"> </w:t>
      </w:r>
      <w:r w:rsidRPr="0091437C">
        <w:rPr>
          <w:rFonts w:ascii="Georgia" w:eastAsia="Times New Roman" w:hAnsi="Georgia"/>
          <w:lang w:val="it-IT"/>
        </w:rPr>
        <w:t xml:space="preserve">Costruire nuovi edifici è stato </w:t>
      </w:r>
      <w:r w:rsidR="00234CEB">
        <w:rPr>
          <w:rFonts w:ascii="Georgia" w:eastAsia="Times New Roman" w:hAnsi="Georgia"/>
          <w:lang w:val="it-IT"/>
        </w:rPr>
        <w:t>complesso</w:t>
      </w:r>
      <w:r w:rsidR="009C2D5B" w:rsidRPr="0091437C">
        <w:rPr>
          <w:rFonts w:ascii="Georgia" w:eastAsia="Times New Roman" w:hAnsi="Georgia"/>
          <w:lang w:val="it-IT"/>
        </w:rPr>
        <w:t xml:space="preserve">, </w:t>
      </w:r>
      <w:r w:rsidRPr="0091437C">
        <w:rPr>
          <w:rFonts w:ascii="Georgia" w:eastAsia="Times New Roman" w:hAnsi="Georgia"/>
          <w:lang w:val="it-IT"/>
        </w:rPr>
        <w:t>e questa situazione ha comportato una minore attività di sviluppo</w:t>
      </w:r>
      <w:r>
        <w:rPr>
          <w:rFonts w:ascii="Georgia" w:eastAsia="Times New Roman" w:hAnsi="Georgia"/>
          <w:lang w:val="it-IT"/>
        </w:rPr>
        <w:t xml:space="preserve"> e </w:t>
      </w:r>
      <w:r w:rsidR="005F71DC">
        <w:rPr>
          <w:rFonts w:ascii="Georgia" w:eastAsia="Times New Roman" w:hAnsi="Georgia"/>
          <w:lang w:val="it-IT"/>
        </w:rPr>
        <w:t xml:space="preserve">un rallentamento dei ritmi di </w:t>
      </w:r>
      <w:r>
        <w:rPr>
          <w:rFonts w:ascii="Georgia" w:eastAsia="Times New Roman" w:hAnsi="Georgia"/>
          <w:lang w:val="it-IT"/>
        </w:rPr>
        <w:t>consegna</w:t>
      </w:r>
      <w:r w:rsidR="002546E5" w:rsidRPr="0091437C">
        <w:rPr>
          <w:rFonts w:ascii="Georgia" w:eastAsia="Times New Roman" w:hAnsi="Georgia"/>
          <w:lang w:val="it-IT"/>
        </w:rPr>
        <w:t>.</w:t>
      </w:r>
      <w:r w:rsidR="000052B4" w:rsidRPr="0091437C">
        <w:rPr>
          <w:rFonts w:ascii="Georgia" w:eastAsia="Times New Roman" w:hAnsi="Georgia"/>
          <w:lang w:val="it-IT"/>
        </w:rPr>
        <w:t xml:space="preserve"> </w:t>
      </w:r>
      <w:r w:rsidR="00656068" w:rsidRPr="00B76F79">
        <w:rPr>
          <w:rFonts w:ascii="Georgia" w:eastAsia="Times New Roman" w:hAnsi="Georgia"/>
          <w:lang w:val="it-IT"/>
        </w:rPr>
        <w:t xml:space="preserve">Di conseguenza, in molti mercati </w:t>
      </w:r>
      <w:r w:rsidR="005F71DC" w:rsidRPr="00B76F79">
        <w:rPr>
          <w:rFonts w:ascii="Georgia" w:eastAsia="Times New Roman" w:hAnsi="Georgia"/>
          <w:lang w:val="it-IT"/>
        </w:rPr>
        <w:t>il numero d</w:t>
      </w:r>
      <w:r w:rsidR="00B76F79">
        <w:rPr>
          <w:rFonts w:ascii="Georgia" w:eastAsia="Times New Roman" w:hAnsi="Georgia"/>
          <w:lang w:val="it-IT"/>
        </w:rPr>
        <w:t>i posti sfit</w:t>
      </w:r>
      <w:r w:rsidR="00656068" w:rsidRPr="00B76F79">
        <w:rPr>
          <w:rFonts w:ascii="Georgia" w:eastAsia="Times New Roman" w:hAnsi="Georgia"/>
          <w:lang w:val="it-IT"/>
        </w:rPr>
        <w:t xml:space="preserve">ti </w:t>
      </w:r>
      <w:r w:rsidR="005F71DC" w:rsidRPr="00B76F79">
        <w:rPr>
          <w:rFonts w:ascii="Georgia" w:eastAsia="Times New Roman" w:hAnsi="Georgia"/>
          <w:lang w:val="it-IT"/>
        </w:rPr>
        <w:t>è</w:t>
      </w:r>
      <w:r w:rsidR="00656068" w:rsidRPr="00B76F79">
        <w:rPr>
          <w:rFonts w:ascii="Georgia" w:eastAsia="Times New Roman" w:hAnsi="Georgia"/>
          <w:lang w:val="it-IT"/>
        </w:rPr>
        <w:t xml:space="preserve"> al di sotto dei livelli medi di lungo periodo, il che suggerisce un contesto </w:t>
      </w:r>
      <w:r w:rsidR="005F71DC" w:rsidRPr="00B76F79">
        <w:rPr>
          <w:rFonts w:ascii="Georgia" w:eastAsia="Times New Roman" w:hAnsi="Georgia"/>
          <w:lang w:val="it-IT"/>
        </w:rPr>
        <w:t>in grado di</w:t>
      </w:r>
      <w:r w:rsidR="00656068" w:rsidRPr="00B76F79">
        <w:rPr>
          <w:rFonts w:ascii="Georgia" w:eastAsia="Times New Roman" w:hAnsi="Georgia"/>
          <w:lang w:val="it-IT"/>
        </w:rPr>
        <w:t xml:space="preserve"> continua</w:t>
      </w:r>
      <w:r w:rsidR="005F71DC" w:rsidRPr="00B76F79">
        <w:rPr>
          <w:rFonts w:ascii="Georgia" w:eastAsia="Times New Roman" w:hAnsi="Georgia"/>
          <w:lang w:val="it-IT"/>
        </w:rPr>
        <w:t>re</w:t>
      </w:r>
      <w:r w:rsidR="00656068" w:rsidRPr="00B76F79">
        <w:rPr>
          <w:rFonts w:ascii="Georgia" w:eastAsia="Times New Roman" w:hAnsi="Georgia"/>
          <w:lang w:val="it-IT"/>
        </w:rPr>
        <w:t xml:space="preserve"> a sostenere la crescita degli affitti e la resilienza dei livelli di occupazione.</w:t>
      </w:r>
      <w:r w:rsidR="00656068">
        <w:rPr>
          <w:rFonts w:ascii="Georgia" w:eastAsia="Times New Roman" w:hAnsi="Georgia"/>
          <w:lang w:val="it-IT"/>
        </w:rPr>
        <w:t xml:space="preserve"> I fondamentali del mercato industriale e residenziale a livello globale sono particolarmente positivi.</w:t>
      </w:r>
      <w:r w:rsidR="00656068" w:rsidRPr="00656068">
        <w:rPr>
          <w:lang w:val="it-IT"/>
        </w:rPr>
        <w:t xml:space="preserve"> </w:t>
      </w:r>
      <w:r w:rsidR="00656068" w:rsidRPr="00656068">
        <w:rPr>
          <w:rFonts w:ascii="Georgia" w:eastAsia="Times New Roman" w:hAnsi="Georgia"/>
          <w:lang w:val="it-IT"/>
        </w:rPr>
        <w:t xml:space="preserve">Lo stato di salute del mercato retail statunitense (esclusi i centri commerciali al chiuso) è un altro </w:t>
      </w:r>
      <w:r w:rsidR="005F71DC">
        <w:rPr>
          <w:rFonts w:ascii="Georgia" w:eastAsia="Times New Roman" w:hAnsi="Georgia"/>
          <w:lang w:val="it-IT"/>
        </w:rPr>
        <w:t>eleme</w:t>
      </w:r>
      <w:r w:rsidR="00B76F79">
        <w:rPr>
          <w:rFonts w:ascii="Georgia" w:eastAsia="Times New Roman" w:hAnsi="Georgia"/>
          <w:lang w:val="it-IT"/>
        </w:rPr>
        <w:t>nto positivo.</w:t>
      </w:r>
      <w:r w:rsidR="00656068" w:rsidRPr="00656068">
        <w:rPr>
          <w:rFonts w:ascii="Georgia" w:eastAsia="Times New Roman" w:hAnsi="Georgia"/>
          <w:lang w:val="it-IT"/>
        </w:rPr>
        <w:t xml:space="preserve"> </w:t>
      </w:r>
      <w:r w:rsidR="00B76F79">
        <w:rPr>
          <w:rFonts w:ascii="Georgia" w:eastAsia="Times New Roman" w:hAnsi="Georgia"/>
          <w:lang w:val="it-IT"/>
        </w:rPr>
        <w:t>I</w:t>
      </w:r>
      <w:r w:rsidR="00656068">
        <w:rPr>
          <w:rFonts w:ascii="Georgia" w:eastAsia="Times New Roman" w:hAnsi="Georgia"/>
          <w:lang w:val="it-IT"/>
        </w:rPr>
        <w:t>l segmento de</w:t>
      </w:r>
      <w:r w:rsidR="00656068" w:rsidRPr="00656068">
        <w:rPr>
          <w:rFonts w:ascii="Georgia" w:eastAsia="Times New Roman" w:hAnsi="Georgia"/>
          <w:lang w:val="it-IT"/>
        </w:rPr>
        <w:t xml:space="preserve">gli uffici </w:t>
      </w:r>
      <w:r w:rsidR="00B76F79">
        <w:rPr>
          <w:rFonts w:ascii="Georgia" w:eastAsia="Times New Roman" w:hAnsi="Georgia"/>
          <w:lang w:val="it-IT"/>
        </w:rPr>
        <w:t xml:space="preserve">sta </w:t>
      </w:r>
      <w:r w:rsidR="00656068" w:rsidRPr="00656068">
        <w:rPr>
          <w:rFonts w:ascii="Georgia" w:eastAsia="Times New Roman" w:hAnsi="Georgia"/>
          <w:lang w:val="it-IT"/>
        </w:rPr>
        <w:t xml:space="preserve">resistendo </w:t>
      </w:r>
      <w:r w:rsidR="00B76F79">
        <w:rPr>
          <w:rFonts w:ascii="Georgia" w:eastAsia="Times New Roman" w:hAnsi="Georgia"/>
          <w:lang w:val="it-IT"/>
        </w:rPr>
        <w:t>meglio</w:t>
      </w:r>
      <w:r w:rsidR="005F71DC">
        <w:rPr>
          <w:rFonts w:ascii="Georgia" w:eastAsia="Times New Roman" w:hAnsi="Georgia"/>
          <w:lang w:val="it-IT"/>
        </w:rPr>
        <w:t xml:space="preserve"> in Europa</w:t>
      </w:r>
      <w:r w:rsidR="00656068">
        <w:rPr>
          <w:rFonts w:ascii="Georgia" w:eastAsia="Times New Roman" w:hAnsi="Georgia"/>
          <w:lang w:val="it-IT"/>
        </w:rPr>
        <w:t>,</w:t>
      </w:r>
      <w:r w:rsidR="00656068" w:rsidRPr="00656068">
        <w:rPr>
          <w:rFonts w:ascii="Georgia" w:eastAsia="Times New Roman" w:hAnsi="Georgia"/>
          <w:lang w:val="it-IT"/>
        </w:rPr>
        <w:t xml:space="preserve"> rispetto agli Stati Uniti e </w:t>
      </w:r>
      <w:r w:rsidR="00656068">
        <w:rPr>
          <w:rFonts w:ascii="Georgia" w:eastAsia="Times New Roman" w:hAnsi="Georgia"/>
          <w:lang w:val="it-IT"/>
        </w:rPr>
        <w:t>a</w:t>
      </w:r>
      <w:r w:rsidR="00656068" w:rsidRPr="00656068">
        <w:rPr>
          <w:rFonts w:ascii="Georgia" w:eastAsia="Times New Roman" w:hAnsi="Georgia"/>
          <w:lang w:val="it-IT"/>
        </w:rPr>
        <w:t>ll'Asia</w:t>
      </w:r>
      <w:r w:rsidR="00B76F79">
        <w:rPr>
          <w:rFonts w:ascii="Georgia" w:eastAsia="Times New Roman" w:hAnsi="Georgia"/>
          <w:lang w:val="it-IT"/>
        </w:rPr>
        <w:t>,</w:t>
      </w:r>
      <w:r w:rsidR="00656068" w:rsidRPr="00656068">
        <w:rPr>
          <w:rFonts w:ascii="Georgia" w:eastAsia="Times New Roman" w:hAnsi="Georgia"/>
          <w:lang w:val="it-IT"/>
        </w:rPr>
        <w:t xml:space="preserve"> </w:t>
      </w:r>
      <w:r w:rsidR="00656068">
        <w:rPr>
          <w:rFonts w:ascii="Georgia" w:eastAsia="Times New Roman" w:hAnsi="Georgia"/>
          <w:lang w:val="it-IT"/>
        </w:rPr>
        <w:t xml:space="preserve">dove </w:t>
      </w:r>
      <w:r w:rsidR="005F71DC">
        <w:rPr>
          <w:rFonts w:ascii="Georgia" w:eastAsia="Times New Roman" w:hAnsi="Georgia"/>
          <w:lang w:val="it-IT"/>
        </w:rPr>
        <w:t xml:space="preserve">sta </w:t>
      </w:r>
      <w:r w:rsidR="00656068">
        <w:rPr>
          <w:rFonts w:ascii="Georgia" w:eastAsia="Times New Roman" w:hAnsi="Georgia"/>
          <w:lang w:val="it-IT"/>
        </w:rPr>
        <w:t>incontra</w:t>
      </w:r>
      <w:r w:rsidR="005F71DC">
        <w:rPr>
          <w:rFonts w:ascii="Georgia" w:eastAsia="Times New Roman" w:hAnsi="Georgia"/>
          <w:lang w:val="it-IT"/>
        </w:rPr>
        <w:t>ndo</w:t>
      </w:r>
      <w:r w:rsidR="00656068">
        <w:rPr>
          <w:rFonts w:ascii="Georgia" w:eastAsia="Times New Roman" w:hAnsi="Georgia"/>
          <w:lang w:val="it-IT"/>
        </w:rPr>
        <w:t xml:space="preserve"> </w:t>
      </w:r>
      <w:r w:rsidR="00656068" w:rsidRPr="00656068">
        <w:rPr>
          <w:rFonts w:ascii="Georgia" w:eastAsia="Times New Roman" w:hAnsi="Georgia"/>
          <w:lang w:val="it-IT"/>
        </w:rPr>
        <w:t>maggiori difficoltà</w:t>
      </w:r>
      <w:r w:rsidR="00656068">
        <w:rPr>
          <w:rFonts w:ascii="Georgia" w:eastAsia="Times New Roman" w:hAnsi="Georgia"/>
          <w:lang w:val="it-IT"/>
        </w:rPr>
        <w:t>.</w:t>
      </w:r>
    </w:p>
    <w:p w14:paraId="44D2C65B" w14:textId="77777777" w:rsidR="004B7184" w:rsidRPr="00824256" w:rsidRDefault="004B7184" w:rsidP="00F27C80">
      <w:pPr>
        <w:spacing w:after="0" w:line="240" w:lineRule="auto"/>
        <w:rPr>
          <w:rFonts w:ascii="Georgia" w:eastAsia="Times New Roman" w:hAnsi="Georgia"/>
          <w:u w:val="single"/>
          <w:lang w:val="it-IT"/>
        </w:rPr>
      </w:pPr>
    </w:p>
    <w:p w14:paraId="3481EF0D" w14:textId="0272897C" w:rsidR="00920EDB" w:rsidRPr="005F71DC" w:rsidRDefault="00155938" w:rsidP="00F27C80">
      <w:pPr>
        <w:spacing w:after="0" w:line="240" w:lineRule="auto"/>
        <w:rPr>
          <w:rFonts w:ascii="Georgia" w:eastAsia="Times New Roman" w:hAnsi="Georgia"/>
          <w:u w:val="single"/>
          <w:lang w:val="it-IT"/>
        </w:rPr>
      </w:pPr>
      <w:r w:rsidRPr="005F71DC">
        <w:rPr>
          <w:rFonts w:ascii="Georgia" w:eastAsia="Times New Roman" w:hAnsi="Georgia"/>
          <w:u w:val="single"/>
          <w:lang w:val="it-IT"/>
        </w:rPr>
        <w:t>1</w:t>
      </w:r>
      <w:r w:rsidR="005C58EE" w:rsidRPr="005F71DC">
        <w:rPr>
          <w:rFonts w:ascii="Georgia" w:eastAsia="Times New Roman" w:hAnsi="Georgia"/>
          <w:u w:val="single"/>
          <w:lang w:val="it-IT"/>
        </w:rPr>
        <w:t>:</w:t>
      </w:r>
      <w:r w:rsidRPr="005F71DC">
        <w:rPr>
          <w:rFonts w:ascii="Georgia" w:eastAsia="Times New Roman" w:hAnsi="Georgia"/>
          <w:u w:val="single"/>
          <w:lang w:val="it-IT"/>
        </w:rPr>
        <w:t xml:space="preserve"> </w:t>
      </w:r>
      <w:r w:rsidR="005F71DC" w:rsidRPr="005F71DC">
        <w:rPr>
          <w:rFonts w:ascii="Georgia" w:eastAsia="Times New Roman" w:hAnsi="Georgia"/>
          <w:u w:val="single"/>
          <w:lang w:val="it-IT"/>
        </w:rPr>
        <w:t xml:space="preserve">Mercati con posti </w:t>
      </w:r>
      <w:r w:rsidR="00B76F79">
        <w:rPr>
          <w:rFonts w:ascii="Georgia" w:eastAsia="Times New Roman" w:hAnsi="Georgia"/>
          <w:u w:val="single"/>
          <w:lang w:val="it-IT"/>
        </w:rPr>
        <w:t>sfit</w:t>
      </w:r>
      <w:r w:rsidR="005F71DC" w:rsidRPr="005F71DC">
        <w:rPr>
          <w:rFonts w:ascii="Georgia" w:eastAsia="Times New Roman" w:hAnsi="Georgia"/>
          <w:u w:val="single"/>
          <w:lang w:val="it-IT"/>
        </w:rPr>
        <w:t>ti attual</w:t>
      </w:r>
      <w:r w:rsidR="001B7636">
        <w:rPr>
          <w:rFonts w:ascii="Georgia" w:eastAsia="Times New Roman" w:hAnsi="Georgia"/>
          <w:u w:val="single"/>
          <w:lang w:val="it-IT"/>
        </w:rPr>
        <w:t>mente</w:t>
      </w:r>
      <w:r w:rsidR="005F71DC" w:rsidRPr="005F71DC">
        <w:rPr>
          <w:rFonts w:ascii="Georgia" w:eastAsia="Times New Roman" w:hAnsi="Georgia"/>
          <w:u w:val="single"/>
          <w:lang w:val="it-IT"/>
        </w:rPr>
        <w:t xml:space="preserve"> inferiori alle medie di lungo periodo </w:t>
      </w:r>
      <w:r w:rsidR="005C58EE" w:rsidRPr="005F71DC">
        <w:rPr>
          <w:rFonts w:ascii="Georgia" w:eastAsia="Times New Roman" w:hAnsi="Georgia"/>
          <w:u w:val="single"/>
          <w:lang w:val="it-IT"/>
        </w:rPr>
        <w:t>(%)</w:t>
      </w:r>
    </w:p>
    <w:p w14:paraId="7B3DA02C" w14:textId="77777777" w:rsidR="004B7184" w:rsidRPr="005F71DC" w:rsidRDefault="004B7184" w:rsidP="00F27C80">
      <w:pPr>
        <w:spacing w:after="0" w:line="240" w:lineRule="auto"/>
        <w:rPr>
          <w:rFonts w:ascii="Georgia" w:eastAsia="Times New Roman" w:hAnsi="Georgia"/>
          <w:b/>
          <w:lang w:val="it-IT"/>
        </w:rPr>
      </w:pPr>
    </w:p>
    <w:p w14:paraId="5F07F001" w14:textId="454D079F" w:rsidR="00920EDB" w:rsidRPr="009D74CF" w:rsidRDefault="00920EDB" w:rsidP="00F27C80">
      <w:pPr>
        <w:spacing w:after="0" w:line="240" w:lineRule="auto"/>
        <w:rPr>
          <w:rFonts w:ascii="Georgia" w:eastAsia="Times New Roman" w:hAnsi="Georgia"/>
          <w:lang w:val="en-GB"/>
        </w:rPr>
      </w:pPr>
      <w:r w:rsidRPr="009D74CF">
        <w:rPr>
          <w:rFonts w:ascii="Georgia" w:eastAsia="Times New Roman" w:hAnsi="Georgia"/>
          <w:noProof/>
          <w:lang w:val="it-IT" w:eastAsia="it-IT"/>
        </w:rPr>
        <w:drawing>
          <wp:inline distT="0" distB="0" distL="0" distR="0" wp14:anchorId="372A4351" wp14:editId="0467B287">
            <wp:extent cx="4937760" cy="2170293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98A832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95" cy="217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EAD17" w14:textId="77777777" w:rsidR="00541CC2" w:rsidRPr="009D74CF" w:rsidRDefault="00541CC2" w:rsidP="00F27C80">
      <w:pPr>
        <w:spacing w:after="0" w:line="240" w:lineRule="auto"/>
        <w:rPr>
          <w:rFonts w:ascii="Georgia" w:hAnsi="Georgia"/>
        </w:rPr>
      </w:pPr>
    </w:p>
    <w:p w14:paraId="2BF0CB22" w14:textId="5A41F2FF" w:rsidR="00090D17" w:rsidRPr="00234CEB" w:rsidRDefault="00FB4B4B" w:rsidP="004B7184">
      <w:pPr>
        <w:spacing w:after="0" w:line="240" w:lineRule="auto"/>
        <w:jc w:val="both"/>
        <w:rPr>
          <w:rFonts w:ascii="Georgia" w:hAnsi="Georgia"/>
          <w:b/>
          <w:bCs/>
          <w:lang w:val="it-IT"/>
        </w:rPr>
      </w:pPr>
      <w:proofErr w:type="spellStart"/>
      <w:r w:rsidRPr="00234CEB">
        <w:rPr>
          <w:rFonts w:ascii="Georgia" w:hAnsi="Georgia"/>
          <w:b/>
          <w:bCs/>
          <w:lang w:val="it-IT"/>
        </w:rPr>
        <w:t>Nell’</w:t>
      </w:r>
      <w:r w:rsidR="00090D17" w:rsidRPr="00234CEB">
        <w:rPr>
          <w:rFonts w:ascii="Georgia" w:hAnsi="Georgia"/>
          <w:b/>
          <w:bCs/>
          <w:lang w:val="it-IT"/>
        </w:rPr>
        <w:t>out</w:t>
      </w:r>
      <w:r w:rsidR="00B76F79" w:rsidRPr="00234CEB">
        <w:rPr>
          <w:rFonts w:ascii="Georgia" w:hAnsi="Georgia"/>
          <w:b/>
          <w:bCs/>
          <w:lang w:val="it-IT"/>
        </w:rPr>
        <w:t>look</w:t>
      </w:r>
      <w:proofErr w:type="spellEnd"/>
      <w:r w:rsidR="00B76F79" w:rsidRPr="00234CEB">
        <w:rPr>
          <w:rFonts w:ascii="Georgia" w:hAnsi="Georgia"/>
          <w:b/>
          <w:bCs/>
          <w:lang w:val="it-IT"/>
        </w:rPr>
        <w:t xml:space="preserve"> per il 2023,</w:t>
      </w:r>
      <w:r w:rsidR="00B76F79">
        <w:rPr>
          <w:rFonts w:ascii="Georgia" w:hAnsi="Georgia"/>
          <w:lang w:val="it-IT"/>
        </w:rPr>
        <w:t xml:space="preserve"> analizziamo la nostra</w:t>
      </w:r>
      <w:r w:rsidR="00090D17" w:rsidRPr="00090D17">
        <w:rPr>
          <w:rFonts w:ascii="Georgia" w:hAnsi="Georgia"/>
          <w:lang w:val="it-IT"/>
        </w:rPr>
        <w:t xml:space="preserve"> prevision</w:t>
      </w:r>
      <w:r w:rsidR="00B76F79">
        <w:rPr>
          <w:rFonts w:ascii="Georgia" w:hAnsi="Georgia"/>
          <w:lang w:val="it-IT"/>
        </w:rPr>
        <w:t>e</w:t>
      </w:r>
      <w:r w:rsidR="00090D17" w:rsidRPr="00090D17">
        <w:rPr>
          <w:rFonts w:ascii="Georgia" w:hAnsi="Georgia"/>
          <w:lang w:val="it-IT"/>
        </w:rPr>
        <w:t xml:space="preserve"> di </w:t>
      </w:r>
      <w:r>
        <w:rPr>
          <w:rFonts w:ascii="Georgia" w:hAnsi="Georgia"/>
          <w:lang w:val="it-IT"/>
        </w:rPr>
        <w:t xml:space="preserve">una </w:t>
      </w:r>
      <w:r w:rsidR="00090D17" w:rsidRPr="00090D17">
        <w:rPr>
          <w:rFonts w:ascii="Georgia" w:hAnsi="Georgia"/>
          <w:lang w:val="it-IT"/>
        </w:rPr>
        <w:t>crescente differenziazione tra le economie mondiali</w:t>
      </w:r>
      <w:r w:rsidR="001B4F94" w:rsidRPr="00090D17">
        <w:rPr>
          <w:rFonts w:ascii="Georgia" w:hAnsi="Georgia"/>
          <w:lang w:val="it-IT"/>
        </w:rPr>
        <w:t xml:space="preserve">, </w:t>
      </w:r>
      <w:r w:rsidR="00090D17" w:rsidRPr="00090D17">
        <w:rPr>
          <w:rFonts w:ascii="Georgia" w:hAnsi="Georgia"/>
          <w:lang w:val="it-IT"/>
        </w:rPr>
        <w:t xml:space="preserve">le ragioni per cui gli investitori denominati in dollari dovrebbero guardare ai mercati immobiliari </w:t>
      </w:r>
      <w:r w:rsidR="00090D17">
        <w:rPr>
          <w:rFonts w:ascii="Georgia" w:hAnsi="Georgia"/>
          <w:lang w:val="it-IT"/>
        </w:rPr>
        <w:t>de</w:t>
      </w:r>
      <w:r w:rsidR="00090D17" w:rsidRPr="00090D17">
        <w:rPr>
          <w:rFonts w:ascii="Georgia" w:hAnsi="Georgia"/>
          <w:lang w:val="it-IT"/>
        </w:rPr>
        <w:t>ll'Europa e dell'Asia Pacific</w:t>
      </w:r>
      <w:r w:rsidR="00234CEB">
        <w:rPr>
          <w:rFonts w:ascii="Georgia" w:hAnsi="Georgia"/>
          <w:lang w:val="it-IT"/>
        </w:rPr>
        <w:t>o</w:t>
      </w:r>
      <w:r w:rsidR="001B4F94" w:rsidRPr="00090D17">
        <w:rPr>
          <w:rFonts w:ascii="Georgia" w:hAnsi="Georgia"/>
          <w:lang w:val="it-IT"/>
        </w:rPr>
        <w:t xml:space="preserve">, </w:t>
      </w:r>
      <w:r>
        <w:rPr>
          <w:rFonts w:ascii="Georgia" w:hAnsi="Georgia"/>
          <w:lang w:val="it-IT"/>
        </w:rPr>
        <w:t>le motivazioni per cui</w:t>
      </w:r>
      <w:r w:rsidR="00090D17" w:rsidRPr="00090D17">
        <w:rPr>
          <w:rFonts w:ascii="Georgia" w:hAnsi="Georgia"/>
          <w:lang w:val="it-IT"/>
        </w:rPr>
        <w:t xml:space="preserve"> riteniamo che le va</w:t>
      </w:r>
      <w:r>
        <w:rPr>
          <w:rFonts w:ascii="Georgia" w:hAnsi="Georgia"/>
          <w:lang w:val="it-IT"/>
        </w:rPr>
        <w:t xml:space="preserve">lutazioni ESG siano destinate a </w:t>
      </w:r>
      <w:r w:rsidRPr="00FB4B4B">
        <w:rPr>
          <w:rFonts w:ascii="Georgia" w:hAnsi="Georgia"/>
          <w:lang w:val="it-IT"/>
        </w:rPr>
        <w:t>conferma</w:t>
      </w:r>
      <w:r w:rsidR="00090D17" w:rsidRPr="00FB4B4B">
        <w:rPr>
          <w:rFonts w:ascii="Georgia" w:hAnsi="Georgia"/>
          <w:lang w:val="it-IT"/>
        </w:rPr>
        <w:t>re la loro importanza</w:t>
      </w:r>
      <w:r w:rsidR="006E6A0F" w:rsidRPr="00FB4B4B">
        <w:rPr>
          <w:rFonts w:ascii="Georgia" w:hAnsi="Georgia"/>
          <w:lang w:val="it-IT"/>
        </w:rPr>
        <w:t>.</w:t>
      </w:r>
      <w:r w:rsidR="006E6A0F" w:rsidRPr="00090D17">
        <w:rPr>
          <w:rFonts w:ascii="Georgia" w:hAnsi="Georgia"/>
          <w:lang w:val="it-IT"/>
        </w:rPr>
        <w:t xml:space="preserve"> </w:t>
      </w:r>
      <w:r>
        <w:rPr>
          <w:rFonts w:ascii="Georgia" w:hAnsi="Georgia"/>
          <w:lang w:val="it-IT"/>
        </w:rPr>
        <w:t>L’attenzione che poniamo</w:t>
      </w:r>
      <w:r w:rsidR="00090D17" w:rsidRPr="00090D17">
        <w:rPr>
          <w:rFonts w:ascii="Georgia" w:hAnsi="Georgia"/>
          <w:lang w:val="it-IT"/>
        </w:rPr>
        <w:t xml:space="preserve"> </w:t>
      </w:r>
      <w:r>
        <w:rPr>
          <w:rFonts w:ascii="Georgia" w:hAnsi="Georgia"/>
          <w:lang w:val="it-IT"/>
        </w:rPr>
        <w:lastRenderedPageBreak/>
        <w:t>a</w:t>
      </w:r>
      <w:r w:rsidR="00090D17" w:rsidRPr="00090D17">
        <w:rPr>
          <w:rFonts w:ascii="Georgia" w:hAnsi="Georgia"/>
          <w:lang w:val="it-IT"/>
        </w:rPr>
        <w:t>i cambiamenti strutturali, come l'inve</w:t>
      </w:r>
      <w:r>
        <w:rPr>
          <w:rFonts w:ascii="Georgia" w:hAnsi="Georgia"/>
          <w:lang w:val="it-IT"/>
        </w:rPr>
        <w:t>cchiamento della popolazione, l</w:t>
      </w:r>
      <w:r w:rsidR="00090D17" w:rsidRPr="00090D17">
        <w:rPr>
          <w:rFonts w:ascii="Georgia" w:hAnsi="Georgia"/>
          <w:lang w:val="it-IT"/>
        </w:rPr>
        <w:t>a</w:t>
      </w:r>
      <w:r>
        <w:rPr>
          <w:rFonts w:ascii="Georgia" w:hAnsi="Georgia"/>
          <w:lang w:val="it-IT"/>
        </w:rPr>
        <w:t xml:space="preserve"> maggiore penetrazione </w:t>
      </w:r>
      <w:r w:rsidR="00090D17" w:rsidRPr="00090D17">
        <w:rPr>
          <w:rFonts w:ascii="Georgia" w:hAnsi="Georgia"/>
          <w:lang w:val="it-IT"/>
        </w:rPr>
        <w:t>del</w:t>
      </w:r>
      <w:r w:rsidR="00090D17">
        <w:rPr>
          <w:rFonts w:ascii="Georgia" w:hAnsi="Georgia"/>
          <w:lang w:val="it-IT"/>
        </w:rPr>
        <w:t>l’e-</w:t>
      </w:r>
      <w:r w:rsidR="00090D17" w:rsidRPr="00090D17">
        <w:rPr>
          <w:rFonts w:ascii="Georgia" w:hAnsi="Georgia"/>
          <w:lang w:val="it-IT"/>
        </w:rPr>
        <w:t>commerc</w:t>
      </w:r>
      <w:r w:rsidR="00090D17">
        <w:rPr>
          <w:rFonts w:ascii="Georgia" w:hAnsi="Georgia"/>
          <w:lang w:val="it-IT"/>
        </w:rPr>
        <w:t>e</w:t>
      </w:r>
      <w:r w:rsidR="00090D17" w:rsidRPr="00090D17">
        <w:rPr>
          <w:rFonts w:ascii="Georgia" w:hAnsi="Georgia"/>
          <w:lang w:val="it-IT"/>
        </w:rPr>
        <w:t xml:space="preserve"> e i modelli di migrazione, è alla base delle nostre previsioni</w:t>
      </w:r>
      <w:r w:rsidR="00B76F79">
        <w:rPr>
          <w:rFonts w:ascii="Georgia" w:hAnsi="Georgia"/>
          <w:lang w:val="it-IT"/>
        </w:rPr>
        <w:t>,</w:t>
      </w:r>
      <w:r w:rsidR="00090D17" w:rsidRPr="00090D17">
        <w:rPr>
          <w:rFonts w:ascii="Georgia" w:hAnsi="Georgia"/>
          <w:lang w:val="it-IT"/>
        </w:rPr>
        <w:t xml:space="preserve"> </w:t>
      </w:r>
      <w:r w:rsidR="00234CEB">
        <w:rPr>
          <w:rFonts w:ascii="Georgia" w:hAnsi="Georgia"/>
          <w:lang w:val="it-IT"/>
        </w:rPr>
        <w:t>in base alle quali</w:t>
      </w:r>
      <w:r w:rsidR="00B76F79">
        <w:rPr>
          <w:rFonts w:ascii="Georgia" w:hAnsi="Georgia"/>
          <w:lang w:val="it-IT"/>
        </w:rPr>
        <w:t xml:space="preserve"> assisteremo</w:t>
      </w:r>
      <w:r w:rsidR="00090D17" w:rsidRPr="00090D17">
        <w:rPr>
          <w:rFonts w:ascii="Georgia" w:hAnsi="Georgia"/>
          <w:lang w:val="it-IT"/>
        </w:rPr>
        <w:t xml:space="preserve"> </w:t>
      </w:r>
      <w:r w:rsidR="00234CEB">
        <w:rPr>
          <w:rFonts w:ascii="Georgia" w:hAnsi="Georgia"/>
          <w:lang w:val="it-IT"/>
        </w:rPr>
        <w:t xml:space="preserve">a </w:t>
      </w:r>
      <w:r w:rsidR="00090D17">
        <w:rPr>
          <w:rFonts w:ascii="Georgia" w:hAnsi="Georgia"/>
          <w:lang w:val="it-IT"/>
        </w:rPr>
        <w:t xml:space="preserve">una </w:t>
      </w:r>
      <w:r w:rsidR="00090D17" w:rsidRPr="00090D17">
        <w:rPr>
          <w:rFonts w:ascii="Georgia" w:hAnsi="Georgia"/>
          <w:lang w:val="it-IT"/>
        </w:rPr>
        <w:t>crescita continua</w:t>
      </w:r>
      <w:r>
        <w:rPr>
          <w:rFonts w:ascii="Georgia" w:hAnsi="Georgia"/>
          <w:lang w:val="it-IT"/>
        </w:rPr>
        <w:t>tiva</w:t>
      </w:r>
      <w:r w:rsidR="00B76F79">
        <w:rPr>
          <w:rFonts w:ascii="Georgia" w:hAnsi="Georgia"/>
          <w:lang w:val="it-IT"/>
        </w:rPr>
        <w:t xml:space="preserve"> de</w:t>
      </w:r>
      <w:r w:rsidR="00090D17">
        <w:rPr>
          <w:rFonts w:ascii="Georgia" w:hAnsi="Georgia"/>
          <w:lang w:val="it-IT"/>
        </w:rPr>
        <w:t xml:space="preserve">gli investimenti </w:t>
      </w:r>
      <w:r>
        <w:rPr>
          <w:rFonts w:ascii="Georgia" w:hAnsi="Georgia"/>
          <w:lang w:val="it-IT"/>
        </w:rPr>
        <w:t>in</w:t>
      </w:r>
      <w:r w:rsidR="00090D17">
        <w:rPr>
          <w:rFonts w:ascii="Georgia" w:hAnsi="Georgia"/>
          <w:lang w:val="it-IT"/>
        </w:rPr>
        <w:t xml:space="preserve"> tipologie immobiliari non tradizionali</w:t>
      </w:r>
      <w:r w:rsidR="00B76F79">
        <w:rPr>
          <w:rFonts w:ascii="Georgia" w:hAnsi="Georgia"/>
          <w:lang w:val="it-IT"/>
        </w:rPr>
        <w:t>,</w:t>
      </w:r>
      <w:r>
        <w:rPr>
          <w:rFonts w:ascii="Georgia" w:hAnsi="Georgia"/>
          <w:lang w:val="it-IT"/>
        </w:rPr>
        <w:t xml:space="preserve"> e </w:t>
      </w:r>
      <w:r w:rsidR="00B76F79">
        <w:rPr>
          <w:rFonts w:ascii="Georgia" w:hAnsi="Georgia"/>
          <w:lang w:val="it-IT"/>
        </w:rPr>
        <w:t>delle</w:t>
      </w:r>
      <w:r>
        <w:rPr>
          <w:rFonts w:ascii="Georgia" w:hAnsi="Georgia"/>
          <w:lang w:val="it-IT"/>
        </w:rPr>
        <w:t xml:space="preserve"> </w:t>
      </w:r>
      <w:r w:rsidRPr="00234CEB">
        <w:rPr>
          <w:rFonts w:ascii="Georgia" w:hAnsi="Georgia"/>
          <w:b/>
          <w:bCs/>
          <w:lang w:val="it-IT"/>
        </w:rPr>
        <w:t>opportunità strategiche n</w:t>
      </w:r>
      <w:r w:rsidR="00090D17" w:rsidRPr="00234CEB">
        <w:rPr>
          <w:rFonts w:ascii="Georgia" w:hAnsi="Georgia"/>
          <w:b/>
          <w:bCs/>
          <w:lang w:val="it-IT"/>
        </w:rPr>
        <w:t>el settore per il 2023.</w:t>
      </w:r>
    </w:p>
    <w:p w14:paraId="5D39CDF1" w14:textId="5168798D" w:rsidR="000030C5" w:rsidRPr="00234CEB" w:rsidRDefault="000030C5" w:rsidP="00234CEB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b/>
          <w:bCs/>
          <w:sz w:val="18"/>
          <w:szCs w:val="18"/>
          <w:lang w:val="it-IT"/>
        </w:rPr>
      </w:pPr>
      <w:r w:rsidRPr="00234CEB">
        <w:rPr>
          <w:rStyle w:val="eop"/>
          <w:rFonts w:ascii="Georgia" w:hAnsi="Georgia" w:cs="Calibri"/>
          <w:b/>
          <w:bCs/>
          <w:sz w:val="22"/>
          <w:szCs w:val="22"/>
          <w:lang w:val="it-IT"/>
        </w:rPr>
        <w:t> </w:t>
      </w:r>
    </w:p>
    <w:p w14:paraId="4FF154B9" w14:textId="77777777" w:rsidR="00C613AE" w:rsidRPr="00824256" w:rsidRDefault="00C613AE" w:rsidP="00F27C80">
      <w:pPr>
        <w:spacing w:after="0" w:line="240" w:lineRule="auto"/>
        <w:rPr>
          <w:rFonts w:ascii="Georgia" w:eastAsia="Times New Roman" w:hAnsi="Georgia"/>
          <w:lang w:val="it-IT"/>
        </w:rPr>
      </w:pPr>
    </w:p>
    <w:p w14:paraId="7B98A4B6" w14:textId="2DE0093A" w:rsidR="00F27C80" w:rsidRPr="00824256" w:rsidRDefault="00C05229" w:rsidP="009D74CF">
      <w:pPr>
        <w:spacing w:after="0" w:line="240" w:lineRule="auto"/>
        <w:rPr>
          <w:rStyle w:val="Titolo1Carattere"/>
          <w:rFonts w:ascii="Georgia" w:hAnsi="Georgia"/>
          <w:lang w:val="it-IT"/>
        </w:rPr>
      </w:pPr>
      <w:r w:rsidRPr="00824256">
        <w:rPr>
          <w:rStyle w:val="Titolo1Carattere"/>
          <w:rFonts w:ascii="Georgia" w:hAnsi="Georgia"/>
          <w:lang w:val="it-IT"/>
        </w:rPr>
        <w:t>Tema</w:t>
      </w:r>
      <w:r w:rsidR="000030C5" w:rsidRPr="00824256">
        <w:rPr>
          <w:rStyle w:val="Titolo1Carattere"/>
          <w:rFonts w:ascii="Georgia" w:hAnsi="Georgia"/>
          <w:lang w:val="it-IT"/>
        </w:rPr>
        <w:t xml:space="preserve"> 1: </w:t>
      </w:r>
      <w:r w:rsidR="0007767F" w:rsidRPr="00824256">
        <w:rPr>
          <w:rStyle w:val="Titolo1Carattere"/>
          <w:rFonts w:ascii="Georgia" w:hAnsi="Georgia"/>
          <w:lang w:val="it-IT"/>
        </w:rPr>
        <w:t>Recession</w:t>
      </w:r>
      <w:r w:rsidRPr="00824256">
        <w:rPr>
          <w:rStyle w:val="Titolo1Carattere"/>
          <w:rFonts w:ascii="Georgia" w:hAnsi="Georgia"/>
          <w:lang w:val="it-IT"/>
        </w:rPr>
        <w:t xml:space="preserve">e </w:t>
      </w:r>
      <w:r w:rsidR="0007767F" w:rsidRPr="00824256">
        <w:rPr>
          <w:rStyle w:val="Titolo1Carattere"/>
          <w:rFonts w:ascii="Georgia" w:hAnsi="Georgia"/>
          <w:lang w:val="it-IT"/>
        </w:rPr>
        <w:t>o r</w:t>
      </w:r>
      <w:r w:rsidRPr="00824256">
        <w:rPr>
          <w:rStyle w:val="Titolo1Carattere"/>
          <w:rFonts w:ascii="Georgia" w:hAnsi="Georgia"/>
          <w:lang w:val="it-IT"/>
        </w:rPr>
        <w:t>ipresa</w:t>
      </w:r>
      <w:r w:rsidR="0007767F" w:rsidRPr="00824256">
        <w:rPr>
          <w:rStyle w:val="Titolo1Carattere"/>
          <w:rFonts w:ascii="Georgia" w:hAnsi="Georgia"/>
          <w:lang w:val="it-IT"/>
        </w:rPr>
        <w:t xml:space="preserve">? </w:t>
      </w:r>
    </w:p>
    <w:p w14:paraId="46E491F7" w14:textId="373A3C52" w:rsidR="00824256" w:rsidRPr="00824256" w:rsidRDefault="00824256" w:rsidP="007C3B66">
      <w:pPr>
        <w:spacing w:before="240" w:after="0" w:line="240" w:lineRule="auto"/>
        <w:rPr>
          <w:rFonts w:ascii="Georgia" w:eastAsia="Times New Roman" w:hAnsi="Georgia"/>
          <w:lang w:val="it-IT"/>
        </w:rPr>
      </w:pPr>
      <w:r w:rsidRPr="00824256">
        <w:rPr>
          <w:rFonts w:ascii="Georgia" w:eastAsia="Times New Roman" w:hAnsi="Georgia"/>
          <w:lang w:val="it-IT"/>
        </w:rPr>
        <w:t xml:space="preserve">In apparenza, le tre regioni </w:t>
      </w:r>
      <w:r w:rsidR="00234CEB">
        <w:rPr>
          <w:rFonts w:ascii="Georgia" w:eastAsia="Times New Roman" w:hAnsi="Georgia"/>
          <w:lang w:val="it-IT"/>
        </w:rPr>
        <w:t>di destinazione degli</w:t>
      </w:r>
      <w:r w:rsidRPr="00824256">
        <w:rPr>
          <w:rFonts w:ascii="Georgia" w:eastAsia="Times New Roman" w:hAnsi="Georgia"/>
          <w:lang w:val="it-IT"/>
        </w:rPr>
        <w:t xml:space="preserve"> investiment</w:t>
      </w:r>
      <w:r>
        <w:rPr>
          <w:rFonts w:ascii="Georgia" w:eastAsia="Times New Roman" w:hAnsi="Georgia"/>
          <w:lang w:val="it-IT"/>
        </w:rPr>
        <w:t xml:space="preserve">i </w:t>
      </w:r>
      <w:proofErr w:type="spellStart"/>
      <w:r>
        <w:rPr>
          <w:rFonts w:ascii="Georgia" w:eastAsia="Times New Roman" w:hAnsi="Georgia"/>
          <w:lang w:val="it-IT"/>
        </w:rPr>
        <w:t>real</w:t>
      </w:r>
      <w:proofErr w:type="spellEnd"/>
      <w:r>
        <w:rPr>
          <w:rFonts w:ascii="Georgia" w:eastAsia="Times New Roman" w:hAnsi="Georgia"/>
          <w:lang w:val="it-IT"/>
        </w:rPr>
        <w:t xml:space="preserve"> estate</w:t>
      </w:r>
      <w:r w:rsidR="00FB4B4B" w:rsidRPr="00FB4B4B">
        <w:rPr>
          <w:rFonts w:ascii="Georgia" w:eastAsia="Times New Roman" w:hAnsi="Georgia"/>
          <w:lang w:val="it-IT"/>
        </w:rPr>
        <w:t xml:space="preserve"> </w:t>
      </w:r>
      <w:r w:rsidR="00FB4B4B">
        <w:rPr>
          <w:rFonts w:ascii="Georgia" w:eastAsia="Times New Roman" w:hAnsi="Georgia"/>
          <w:lang w:val="it-IT"/>
        </w:rPr>
        <w:t>globali,</w:t>
      </w:r>
      <w:r w:rsidRPr="00824256">
        <w:rPr>
          <w:rFonts w:ascii="Georgia" w:eastAsia="Times New Roman" w:hAnsi="Georgia"/>
          <w:lang w:val="it-IT"/>
        </w:rPr>
        <w:t xml:space="preserve"> </w:t>
      </w:r>
      <w:r>
        <w:rPr>
          <w:rFonts w:ascii="Georgia" w:eastAsia="Times New Roman" w:hAnsi="Georgia"/>
          <w:lang w:val="it-IT"/>
        </w:rPr>
        <w:t>Nord America, Europa e Asia Pacific</w:t>
      </w:r>
      <w:r w:rsidR="00234CEB">
        <w:rPr>
          <w:rFonts w:ascii="Georgia" w:eastAsia="Times New Roman" w:hAnsi="Georgia"/>
          <w:lang w:val="it-IT"/>
        </w:rPr>
        <w:t>o,</w:t>
      </w:r>
      <w:r>
        <w:rPr>
          <w:rFonts w:ascii="Georgia" w:eastAsia="Times New Roman" w:hAnsi="Georgia"/>
          <w:lang w:val="it-IT"/>
        </w:rPr>
        <w:t xml:space="preserve"> s</w:t>
      </w:r>
      <w:r w:rsidR="00FB4B4B">
        <w:rPr>
          <w:rFonts w:ascii="Georgia" w:eastAsia="Times New Roman" w:hAnsi="Georgia"/>
          <w:lang w:val="it-IT"/>
        </w:rPr>
        <w:t xml:space="preserve">ono alle prese con </w:t>
      </w:r>
      <w:r>
        <w:rPr>
          <w:rFonts w:ascii="Georgia" w:eastAsia="Times New Roman" w:hAnsi="Georgia"/>
          <w:lang w:val="it-IT"/>
        </w:rPr>
        <w:t xml:space="preserve">le </w:t>
      </w:r>
      <w:r w:rsidRPr="00824256">
        <w:rPr>
          <w:rFonts w:ascii="Georgia" w:eastAsia="Times New Roman" w:hAnsi="Georgia"/>
          <w:lang w:val="it-IT"/>
        </w:rPr>
        <w:t>stesse problematiche</w:t>
      </w:r>
      <w:r>
        <w:rPr>
          <w:rFonts w:ascii="Georgia" w:eastAsia="Times New Roman" w:hAnsi="Georgia"/>
          <w:lang w:val="it-IT"/>
        </w:rPr>
        <w:t>.</w:t>
      </w:r>
      <w:r w:rsidRPr="00824256">
        <w:rPr>
          <w:lang w:val="it-IT"/>
        </w:rPr>
        <w:t xml:space="preserve"> </w:t>
      </w:r>
      <w:r w:rsidRPr="00824256">
        <w:rPr>
          <w:rFonts w:ascii="Georgia" w:eastAsia="Times New Roman" w:hAnsi="Georgia"/>
          <w:lang w:val="it-IT"/>
        </w:rPr>
        <w:t>Le conseguenze della pandemia hanno stravolto le catene di approvvigionamento e disallineato i me</w:t>
      </w:r>
      <w:r>
        <w:rPr>
          <w:rFonts w:ascii="Georgia" w:eastAsia="Times New Roman" w:hAnsi="Georgia"/>
          <w:lang w:val="it-IT"/>
        </w:rPr>
        <w:t>rcati del lavoro, provocando un’impennata dell’</w:t>
      </w:r>
      <w:r w:rsidRPr="00824256">
        <w:rPr>
          <w:rFonts w:ascii="Georgia" w:eastAsia="Times New Roman" w:hAnsi="Georgia"/>
          <w:lang w:val="it-IT"/>
        </w:rPr>
        <w:t>inflazione e costringendo le banche centrali a intervenire</w:t>
      </w:r>
      <w:r>
        <w:rPr>
          <w:rFonts w:ascii="Georgia" w:eastAsia="Times New Roman" w:hAnsi="Georgia"/>
          <w:lang w:val="it-IT"/>
        </w:rPr>
        <w:t>.</w:t>
      </w:r>
      <w:r w:rsidRPr="00824256">
        <w:rPr>
          <w:lang w:val="it-IT"/>
        </w:rPr>
        <w:t xml:space="preserve"> </w:t>
      </w:r>
      <w:r w:rsidRPr="00824256">
        <w:rPr>
          <w:rFonts w:ascii="Georgia" w:eastAsia="Times New Roman" w:hAnsi="Georgia"/>
          <w:lang w:val="it-IT"/>
        </w:rPr>
        <w:t>L'aumento dei tas</w:t>
      </w:r>
      <w:r>
        <w:rPr>
          <w:rFonts w:ascii="Georgia" w:eastAsia="Times New Roman" w:hAnsi="Georgia"/>
          <w:lang w:val="it-IT"/>
        </w:rPr>
        <w:t xml:space="preserve">si d'interesse si è imposto come </w:t>
      </w:r>
      <w:r w:rsidR="00FB4B4B">
        <w:rPr>
          <w:rFonts w:ascii="Georgia" w:eastAsia="Times New Roman" w:hAnsi="Georgia"/>
          <w:lang w:val="it-IT"/>
        </w:rPr>
        <w:t xml:space="preserve">fattore </w:t>
      </w:r>
      <w:r w:rsidR="00B76F79">
        <w:rPr>
          <w:rFonts w:ascii="Georgia" w:eastAsia="Times New Roman" w:hAnsi="Georgia"/>
          <w:lang w:val="it-IT"/>
        </w:rPr>
        <w:t>determinante</w:t>
      </w:r>
      <w:r w:rsidR="00FB4B4B">
        <w:rPr>
          <w:rFonts w:ascii="Georgia" w:eastAsia="Times New Roman" w:hAnsi="Georgia"/>
          <w:lang w:val="it-IT"/>
        </w:rPr>
        <w:t xml:space="preserve"> per </w:t>
      </w:r>
      <w:r w:rsidRPr="00824256">
        <w:rPr>
          <w:rFonts w:ascii="Georgia" w:eastAsia="Times New Roman" w:hAnsi="Georgia"/>
          <w:lang w:val="it-IT"/>
        </w:rPr>
        <w:t>la ripresa del mercato immobiliare</w:t>
      </w:r>
      <w:r w:rsidR="00FB4B4B">
        <w:rPr>
          <w:rFonts w:ascii="Georgia" w:eastAsia="Times New Roman" w:hAnsi="Georgia"/>
          <w:lang w:val="it-IT"/>
        </w:rPr>
        <w:t>,</w:t>
      </w:r>
      <w:r w:rsidRPr="00824256">
        <w:rPr>
          <w:rFonts w:ascii="Georgia" w:eastAsia="Times New Roman" w:hAnsi="Georgia"/>
          <w:lang w:val="it-IT"/>
        </w:rPr>
        <w:t xml:space="preserve"> dopo un lungo periodo di politica monetaria ultra-allentata</w:t>
      </w:r>
      <w:r w:rsidR="00F51E60">
        <w:rPr>
          <w:rFonts w:ascii="Georgia" w:eastAsia="Times New Roman" w:hAnsi="Georgia"/>
          <w:lang w:val="it-IT"/>
        </w:rPr>
        <w:t>.</w:t>
      </w:r>
      <w:r w:rsidR="00F51E60" w:rsidRPr="00F51E60">
        <w:rPr>
          <w:lang w:val="it-IT"/>
        </w:rPr>
        <w:t xml:space="preserve"> </w:t>
      </w:r>
      <w:r w:rsidR="00F51E60" w:rsidRPr="00FB4B4B">
        <w:rPr>
          <w:rFonts w:ascii="Georgia" w:eastAsia="Times New Roman" w:hAnsi="Georgia"/>
          <w:lang w:val="it-IT"/>
        </w:rPr>
        <w:t>Finanziamenti più costosi</w:t>
      </w:r>
      <w:r w:rsidR="00F51E60" w:rsidRPr="00F51E60">
        <w:rPr>
          <w:rFonts w:ascii="Georgia" w:eastAsia="Times New Roman" w:hAnsi="Georgia"/>
          <w:lang w:val="it-IT"/>
        </w:rPr>
        <w:t xml:space="preserve"> porteranno a una pressione al rialzo sui tassi di interesse </w:t>
      </w:r>
      <w:r w:rsidR="00FB4B4B">
        <w:rPr>
          <w:rFonts w:ascii="Georgia" w:eastAsia="Times New Roman" w:hAnsi="Georgia"/>
          <w:lang w:val="it-IT"/>
        </w:rPr>
        <w:t>(</w:t>
      </w:r>
      <w:proofErr w:type="spellStart"/>
      <w:r w:rsidR="00FB4B4B">
        <w:rPr>
          <w:rFonts w:ascii="Georgia" w:eastAsia="Times New Roman" w:hAnsi="Georgia"/>
          <w:lang w:val="it-IT"/>
        </w:rPr>
        <w:t>cap</w:t>
      </w:r>
      <w:proofErr w:type="spellEnd"/>
      <w:r w:rsidR="00FB4B4B">
        <w:rPr>
          <w:rFonts w:ascii="Georgia" w:eastAsia="Times New Roman" w:hAnsi="Georgia"/>
          <w:lang w:val="it-IT"/>
        </w:rPr>
        <w:t xml:space="preserve"> rate) in tutto il mondo, mentre la</w:t>
      </w:r>
      <w:r w:rsidR="00F51E60" w:rsidRPr="00F51E60">
        <w:rPr>
          <w:rFonts w:ascii="Georgia" w:eastAsia="Times New Roman" w:hAnsi="Georgia"/>
          <w:lang w:val="it-IT"/>
        </w:rPr>
        <w:t xml:space="preserve"> correzione di valore </w:t>
      </w:r>
      <w:r w:rsidR="00F51E60">
        <w:rPr>
          <w:rFonts w:ascii="Georgia" w:eastAsia="Times New Roman" w:hAnsi="Georgia"/>
          <w:lang w:val="it-IT"/>
        </w:rPr>
        <w:t>su</w:t>
      </w:r>
      <w:r w:rsidR="00F51E60" w:rsidRPr="00F51E60">
        <w:rPr>
          <w:rFonts w:ascii="Georgia" w:eastAsia="Times New Roman" w:hAnsi="Georgia"/>
          <w:lang w:val="it-IT"/>
        </w:rPr>
        <w:t>i mercati azionari</w:t>
      </w:r>
      <w:r w:rsidR="00FB4B4B">
        <w:rPr>
          <w:rFonts w:ascii="Georgia" w:eastAsia="Times New Roman" w:hAnsi="Georgia"/>
          <w:lang w:val="it-IT"/>
        </w:rPr>
        <w:t>,</w:t>
      </w:r>
      <w:r w:rsidR="00F51E60" w:rsidRPr="00F51E60">
        <w:rPr>
          <w:rFonts w:ascii="Georgia" w:eastAsia="Times New Roman" w:hAnsi="Georgia"/>
          <w:lang w:val="it-IT"/>
        </w:rPr>
        <w:t xml:space="preserve"> e soprattutto obbligazionari</w:t>
      </w:r>
      <w:r w:rsidR="00FB4B4B">
        <w:rPr>
          <w:rFonts w:ascii="Georgia" w:eastAsia="Times New Roman" w:hAnsi="Georgia"/>
          <w:lang w:val="it-IT"/>
        </w:rPr>
        <w:t>,</w:t>
      </w:r>
      <w:r w:rsidR="00F51E60" w:rsidRPr="00F51E60">
        <w:rPr>
          <w:rFonts w:ascii="Georgia" w:eastAsia="Times New Roman" w:hAnsi="Georgia"/>
          <w:lang w:val="it-IT"/>
        </w:rPr>
        <w:t xml:space="preserve"> ridurrà il flusso di capitali verso il </w:t>
      </w:r>
      <w:proofErr w:type="spellStart"/>
      <w:r w:rsidR="00F51E60">
        <w:rPr>
          <w:rFonts w:ascii="Georgia" w:eastAsia="Times New Roman" w:hAnsi="Georgia"/>
          <w:lang w:val="it-IT"/>
        </w:rPr>
        <w:t>real</w:t>
      </w:r>
      <w:proofErr w:type="spellEnd"/>
      <w:r w:rsidR="00F51E60">
        <w:rPr>
          <w:rFonts w:ascii="Georgia" w:eastAsia="Times New Roman" w:hAnsi="Georgia"/>
          <w:lang w:val="it-IT"/>
        </w:rPr>
        <w:t xml:space="preserve"> estate</w:t>
      </w:r>
      <w:r w:rsidR="00F51E60" w:rsidRPr="00F51E60">
        <w:rPr>
          <w:rFonts w:ascii="Georgia" w:eastAsia="Times New Roman" w:hAnsi="Georgia"/>
          <w:lang w:val="it-IT"/>
        </w:rPr>
        <w:t>.</w:t>
      </w:r>
      <w:r w:rsidR="00F51E60" w:rsidRPr="00F51E60">
        <w:rPr>
          <w:lang w:val="it-IT"/>
        </w:rPr>
        <w:t xml:space="preserve"> </w:t>
      </w:r>
      <w:r w:rsidR="00F51E60" w:rsidRPr="00F51E60">
        <w:rPr>
          <w:rFonts w:ascii="Georgia" w:eastAsia="Times New Roman" w:hAnsi="Georgia"/>
          <w:lang w:val="it-IT"/>
        </w:rPr>
        <w:t xml:space="preserve">Al </w:t>
      </w:r>
      <w:r w:rsidR="00F51E60">
        <w:rPr>
          <w:rFonts w:ascii="Georgia" w:eastAsia="Times New Roman" w:hAnsi="Georgia"/>
          <w:lang w:val="it-IT"/>
        </w:rPr>
        <w:t>c</w:t>
      </w:r>
      <w:r w:rsidR="00F51E60" w:rsidRPr="00F51E60">
        <w:rPr>
          <w:rFonts w:ascii="Georgia" w:eastAsia="Times New Roman" w:hAnsi="Georgia"/>
          <w:lang w:val="it-IT"/>
        </w:rPr>
        <w:t>o</w:t>
      </w:r>
      <w:r w:rsidR="00F51E60">
        <w:rPr>
          <w:rFonts w:ascii="Georgia" w:eastAsia="Times New Roman" w:hAnsi="Georgia"/>
          <w:lang w:val="it-IT"/>
        </w:rPr>
        <w:t>n</w:t>
      </w:r>
      <w:r w:rsidR="00F51E60" w:rsidRPr="00F51E60">
        <w:rPr>
          <w:rFonts w:ascii="Georgia" w:eastAsia="Times New Roman" w:hAnsi="Georgia"/>
          <w:lang w:val="it-IT"/>
        </w:rPr>
        <w:t>tempo, i mercati de</w:t>
      </w:r>
      <w:r w:rsidR="00FB4B4B">
        <w:rPr>
          <w:rFonts w:ascii="Georgia" w:eastAsia="Times New Roman" w:hAnsi="Georgia"/>
          <w:lang w:val="it-IT"/>
        </w:rPr>
        <w:t>g</w:t>
      </w:r>
      <w:r w:rsidR="00F51E60" w:rsidRPr="00F51E60">
        <w:rPr>
          <w:rFonts w:ascii="Georgia" w:eastAsia="Times New Roman" w:hAnsi="Georgia"/>
          <w:lang w:val="it-IT"/>
        </w:rPr>
        <w:t>l</w:t>
      </w:r>
      <w:r w:rsidR="00FB4B4B">
        <w:rPr>
          <w:rFonts w:ascii="Georgia" w:eastAsia="Times New Roman" w:hAnsi="Georgia"/>
          <w:lang w:val="it-IT"/>
        </w:rPr>
        <w:t>i affitti</w:t>
      </w:r>
      <w:r w:rsidR="00FD5A2A">
        <w:rPr>
          <w:rFonts w:ascii="Georgia" w:eastAsia="Times New Roman" w:hAnsi="Georgia"/>
          <w:lang w:val="it-IT"/>
        </w:rPr>
        <w:t xml:space="preserve"> </w:t>
      </w:r>
      <w:r w:rsidR="00F51E60" w:rsidRPr="00F51E60">
        <w:rPr>
          <w:rFonts w:ascii="Georgia" w:eastAsia="Times New Roman" w:hAnsi="Georgia"/>
          <w:lang w:val="it-IT"/>
        </w:rPr>
        <w:t>si trovano in una posizione</w:t>
      </w:r>
      <w:r w:rsidR="00FB4B4B">
        <w:rPr>
          <w:rFonts w:ascii="Georgia" w:eastAsia="Times New Roman" w:hAnsi="Georgia"/>
          <w:lang w:val="it-IT"/>
        </w:rPr>
        <w:t xml:space="preserve"> relativamente forte, poiché la dinamica </w:t>
      </w:r>
      <w:r w:rsidR="00F51E60" w:rsidRPr="00F51E60">
        <w:rPr>
          <w:rFonts w:ascii="Georgia" w:eastAsia="Times New Roman" w:hAnsi="Georgia"/>
          <w:lang w:val="it-IT"/>
        </w:rPr>
        <w:t xml:space="preserve">dell'offerta </w:t>
      </w:r>
      <w:r w:rsidR="00FB4B4B">
        <w:rPr>
          <w:rFonts w:ascii="Georgia" w:eastAsia="Times New Roman" w:hAnsi="Georgia"/>
          <w:lang w:val="it-IT"/>
        </w:rPr>
        <w:t>ha tenuto</w:t>
      </w:r>
      <w:r w:rsidR="00F51E60" w:rsidRPr="00F51E60">
        <w:rPr>
          <w:rFonts w:ascii="Georgia" w:eastAsia="Times New Roman" w:hAnsi="Georgia"/>
          <w:lang w:val="it-IT"/>
        </w:rPr>
        <w:t xml:space="preserve"> meglio che nei cicli precedenti.</w:t>
      </w:r>
    </w:p>
    <w:p w14:paraId="076E9F94" w14:textId="7B1F93FB" w:rsidR="00DE7ED1" w:rsidRPr="00FB4B4B" w:rsidRDefault="00CC2BB7" w:rsidP="007C3B66">
      <w:pPr>
        <w:spacing w:before="240" w:after="0" w:line="240" w:lineRule="auto"/>
        <w:rPr>
          <w:rFonts w:ascii="Georgia" w:eastAsia="Times New Roman" w:hAnsi="Georgia"/>
          <w:u w:val="single"/>
          <w:lang w:val="it-IT"/>
        </w:rPr>
      </w:pPr>
      <w:r w:rsidRPr="00FB4B4B">
        <w:rPr>
          <w:rFonts w:ascii="Georgia" w:eastAsia="Times New Roman" w:hAnsi="Georgia"/>
          <w:u w:val="single"/>
          <w:lang w:val="it-IT"/>
        </w:rPr>
        <w:t>2</w:t>
      </w:r>
      <w:r w:rsidR="00DE7ED1" w:rsidRPr="00FB4B4B">
        <w:rPr>
          <w:rFonts w:ascii="Georgia" w:eastAsia="Times New Roman" w:hAnsi="Georgia"/>
          <w:u w:val="single"/>
          <w:lang w:val="it-IT"/>
        </w:rPr>
        <w:t xml:space="preserve">: </w:t>
      </w:r>
      <w:r w:rsidR="00FB4B4B" w:rsidRPr="00FB4B4B">
        <w:rPr>
          <w:rFonts w:ascii="Georgia" w:eastAsia="Times New Roman" w:hAnsi="Georgia"/>
          <w:u w:val="single"/>
          <w:lang w:val="it-IT"/>
        </w:rPr>
        <w:t>Previsione di crescita del PIL per il 2023</w:t>
      </w:r>
    </w:p>
    <w:p w14:paraId="1F11CB71" w14:textId="08B67144" w:rsidR="00834E12" w:rsidRPr="009D74CF" w:rsidRDefault="00834E12" w:rsidP="007C3B66">
      <w:pPr>
        <w:spacing w:before="240" w:after="0" w:line="240" w:lineRule="auto"/>
        <w:rPr>
          <w:rFonts w:ascii="Georgia" w:eastAsia="Times New Roman" w:hAnsi="Georgia"/>
          <w:lang w:val="en-GB"/>
        </w:rPr>
      </w:pPr>
      <w:r w:rsidRPr="009D74CF">
        <w:rPr>
          <w:rFonts w:ascii="Georgia" w:hAnsi="Georgia"/>
          <w:noProof/>
          <w:lang w:val="it-IT" w:eastAsia="it-IT"/>
        </w:rPr>
        <w:drawing>
          <wp:inline distT="0" distB="0" distL="0" distR="0" wp14:anchorId="5A23EE8E" wp14:editId="55564ACF">
            <wp:extent cx="6038850" cy="4112895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52EFCC86-BA3A-465F-9C58-F788B2B78B4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097F91" w14:textId="7094871A" w:rsidR="00BB7076" w:rsidRPr="005872E2" w:rsidRDefault="00BB7076" w:rsidP="007C3B66">
      <w:pPr>
        <w:spacing w:before="240" w:after="0" w:line="240" w:lineRule="auto"/>
        <w:rPr>
          <w:rFonts w:ascii="Georgia" w:eastAsia="Times New Roman" w:hAnsi="Georgia"/>
          <w:i/>
          <w:iCs/>
          <w:lang w:val="it-IT"/>
        </w:rPr>
      </w:pPr>
      <w:r w:rsidRPr="005872E2">
        <w:rPr>
          <w:rFonts w:ascii="Georgia" w:eastAsia="Times New Roman" w:hAnsi="Georgia"/>
          <w:i/>
          <w:iCs/>
          <w:lang w:val="it-IT"/>
        </w:rPr>
        <w:t>Source: IMF, Q3 2022</w:t>
      </w:r>
    </w:p>
    <w:p w14:paraId="4FB05ABC" w14:textId="4BE2E466" w:rsidR="009270C5" w:rsidRPr="00082244" w:rsidRDefault="00082244" w:rsidP="00CC2BB7">
      <w:pPr>
        <w:spacing w:before="240" w:after="0" w:line="240" w:lineRule="auto"/>
        <w:rPr>
          <w:rFonts w:ascii="Georgia" w:eastAsia="Times New Roman" w:hAnsi="Georgia"/>
          <w:lang w:val="it-IT"/>
        </w:rPr>
      </w:pPr>
      <w:r w:rsidRPr="00082244">
        <w:rPr>
          <w:rFonts w:ascii="Georgia" w:eastAsia="Times New Roman" w:hAnsi="Georgia"/>
          <w:lang w:val="it-IT"/>
        </w:rPr>
        <w:lastRenderedPageBreak/>
        <w:t>L</w:t>
      </w:r>
      <w:r w:rsidR="00841B34">
        <w:rPr>
          <w:rFonts w:ascii="Georgia" w:eastAsia="Times New Roman" w:hAnsi="Georgia"/>
          <w:lang w:val="it-IT"/>
        </w:rPr>
        <w:t xml:space="preserve">e opinioni </w:t>
      </w:r>
      <w:r w:rsidRPr="00082244">
        <w:rPr>
          <w:rFonts w:ascii="Georgia" w:eastAsia="Times New Roman" w:hAnsi="Georgia"/>
          <w:lang w:val="it-IT"/>
        </w:rPr>
        <w:t>comune</w:t>
      </w:r>
      <w:r>
        <w:rPr>
          <w:rFonts w:ascii="Georgia" w:eastAsia="Times New Roman" w:hAnsi="Georgia"/>
          <w:lang w:val="it-IT"/>
        </w:rPr>
        <w:t>mente diffus</w:t>
      </w:r>
      <w:r w:rsidR="00841B34">
        <w:rPr>
          <w:rFonts w:ascii="Georgia" w:eastAsia="Times New Roman" w:hAnsi="Georgia"/>
          <w:lang w:val="it-IT"/>
        </w:rPr>
        <w:t>e</w:t>
      </w:r>
      <w:r w:rsidRPr="00082244">
        <w:rPr>
          <w:rFonts w:ascii="Georgia" w:eastAsia="Times New Roman" w:hAnsi="Georgia"/>
          <w:lang w:val="it-IT"/>
        </w:rPr>
        <w:t xml:space="preserve"> </w:t>
      </w:r>
      <w:r w:rsidR="00BD7333">
        <w:rPr>
          <w:rFonts w:ascii="Georgia" w:eastAsia="Times New Roman" w:hAnsi="Georgia"/>
          <w:lang w:val="it-IT"/>
        </w:rPr>
        <w:t>si limitano a quanto detto sopra</w:t>
      </w:r>
      <w:r w:rsidR="009270C5" w:rsidRPr="00082244">
        <w:rPr>
          <w:rFonts w:ascii="Georgia" w:eastAsia="Times New Roman" w:hAnsi="Georgia"/>
          <w:lang w:val="it-IT"/>
        </w:rPr>
        <w:t>.</w:t>
      </w:r>
      <w:r w:rsidR="0007767F" w:rsidRPr="00082244">
        <w:rPr>
          <w:rFonts w:ascii="Georgia" w:eastAsia="Times New Roman" w:hAnsi="Georgia"/>
          <w:lang w:val="it-IT"/>
        </w:rPr>
        <w:t xml:space="preserve"> </w:t>
      </w:r>
      <w:r w:rsidRPr="00082244">
        <w:rPr>
          <w:rFonts w:ascii="Georgia" w:eastAsia="Times New Roman" w:hAnsi="Georgia"/>
          <w:lang w:val="it-IT"/>
        </w:rPr>
        <w:t>S</w:t>
      </w:r>
      <w:r>
        <w:rPr>
          <w:rFonts w:ascii="Georgia" w:eastAsia="Times New Roman" w:hAnsi="Georgia"/>
          <w:lang w:val="it-IT"/>
        </w:rPr>
        <w:t xml:space="preserve">e scaviamo più a fondo, </w:t>
      </w:r>
      <w:r w:rsidR="00841B34">
        <w:rPr>
          <w:rFonts w:ascii="Georgia" w:eastAsia="Times New Roman" w:hAnsi="Georgia"/>
          <w:lang w:val="it-IT"/>
        </w:rPr>
        <w:t>scopri</w:t>
      </w:r>
      <w:r>
        <w:rPr>
          <w:rFonts w:ascii="Georgia" w:eastAsia="Times New Roman" w:hAnsi="Georgia"/>
          <w:lang w:val="it-IT"/>
        </w:rPr>
        <w:t>amo</w:t>
      </w:r>
      <w:r w:rsidRPr="00082244">
        <w:rPr>
          <w:rFonts w:ascii="Georgia" w:eastAsia="Times New Roman" w:hAnsi="Georgia"/>
          <w:lang w:val="it-IT"/>
        </w:rPr>
        <w:t xml:space="preserve"> che i mercati europei dovranno affrontare una significativa correzione del mercato immobiliare a causa dello shock dei prezzi dell'energia, della carenza di manodopera e di materiali, dell'aumento dei tassi d'interesse, della debolezza valutaria e dell</w:t>
      </w:r>
      <w:r>
        <w:rPr>
          <w:rFonts w:ascii="Georgia" w:eastAsia="Times New Roman" w:hAnsi="Georgia"/>
          <w:lang w:val="it-IT"/>
        </w:rPr>
        <w:t>a</w:t>
      </w:r>
      <w:r w:rsidRPr="00082244">
        <w:rPr>
          <w:rFonts w:ascii="Georgia" w:eastAsia="Times New Roman" w:hAnsi="Georgia"/>
          <w:lang w:val="it-IT"/>
        </w:rPr>
        <w:t xml:space="preserve"> recessione</w:t>
      </w:r>
      <w:r w:rsidR="00D33318">
        <w:rPr>
          <w:rFonts w:ascii="Georgia" w:eastAsia="Times New Roman" w:hAnsi="Georgia"/>
          <w:lang w:val="it-IT"/>
        </w:rPr>
        <w:t>,</w:t>
      </w:r>
      <w:r>
        <w:rPr>
          <w:rFonts w:ascii="Georgia" w:eastAsia="Times New Roman" w:hAnsi="Georgia"/>
          <w:lang w:val="it-IT"/>
        </w:rPr>
        <w:t xml:space="preserve"> che sembra incombente</w:t>
      </w:r>
      <w:r w:rsidR="009270C5" w:rsidRPr="00082244">
        <w:rPr>
          <w:rFonts w:ascii="Georgia" w:eastAsia="Times New Roman" w:hAnsi="Georgia"/>
          <w:lang w:val="it-IT"/>
        </w:rPr>
        <w:t xml:space="preserve">. </w:t>
      </w:r>
      <w:r w:rsidRPr="00082244">
        <w:rPr>
          <w:rFonts w:ascii="Georgia" w:eastAsia="Times New Roman" w:hAnsi="Georgia"/>
          <w:lang w:val="it-IT"/>
        </w:rPr>
        <w:t xml:space="preserve">L'economia statunitense, invece, è </w:t>
      </w:r>
      <w:r>
        <w:rPr>
          <w:rFonts w:ascii="Georgia" w:eastAsia="Times New Roman" w:hAnsi="Georgia"/>
          <w:lang w:val="it-IT"/>
        </w:rPr>
        <w:t>alle prese con</w:t>
      </w:r>
      <w:r w:rsidR="00BD7333">
        <w:rPr>
          <w:rFonts w:ascii="Georgia" w:eastAsia="Times New Roman" w:hAnsi="Georgia"/>
          <w:lang w:val="it-IT"/>
        </w:rPr>
        <w:t xml:space="preserve"> l</w:t>
      </w:r>
      <w:r w:rsidRPr="00082244">
        <w:rPr>
          <w:rFonts w:ascii="Georgia" w:eastAsia="Times New Roman" w:hAnsi="Georgia"/>
          <w:lang w:val="it-IT"/>
        </w:rPr>
        <w:t xml:space="preserve">'inflazione </w:t>
      </w:r>
      <w:r>
        <w:rPr>
          <w:rFonts w:ascii="Georgia" w:eastAsia="Times New Roman" w:hAnsi="Georgia"/>
          <w:lang w:val="it-IT"/>
        </w:rPr>
        <w:t>sul fronte</w:t>
      </w:r>
      <w:r w:rsidRPr="00082244">
        <w:rPr>
          <w:rFonts w:ascii="Georgia" w:eastAsia="Times New Roman" w:hAnsi="Georgia"/>
          <w:lang w:val="it-IT"/>
        </w:rPr>
        <w:t xml:space="preserve"> della domanda, dovuta a un surriscaldamento dell'economia</w:t>
      </w:r>
      <w:r w:rsidR="00D33318">
        <w:rPr>
          <w:rFonts w:ascii="Georgia" w:eastAsia="Times New Roman" w:hAnsi="Georgia"/>
          <w:lang w:val="it-IT"/>
        </w:rPr>
        <w:t>,</w:t>
      </w:r>
      <w:r w:rsidRPr="00082244">
        <w:rPr>
          <w:rFonts w:ascii="Georgia" w:eastAsia="Times New Roman" w:hAnsi="Georgia"/>
          <w:lang w:val="it-IT"/>
        </w:rPr>
        <w:t xml:space="preserve"> alimentato dagli stimoli governativi e dall'indipendenza energetica.</w:t>
      </w:r>
      <w:r w:rsidR="009270C5" w:rsidRPr="00082244">
        <w:rPr>
          <w:rFonts w:ascii="Georgia" w:eastAsia="Times New Roman" w:hAnsi="Georgia"/>
          <w:lang w:val="it-IT"/>
        </w:rPr>
        <w:t xml:space="preserve"> </w:t>
      </w:r>
      <w:r w:rsidR="00D33318">
        <w:rPr>
          <w:rFonts w:ascii="Georgia" w:eastAsia="Times New Roman" w:hAnsi="Georgia"/>
          <w:lang w:val="it-IT"/>
        </w:rPr>
        <w:t>Negli Stati Uniti i</w:t>
      </w:r>
      <w:r w:rsidRPr="00082244">
        <w:rPr>
          <w:rFonts w:ascii="Georgia" w:eastAsia="Times New Roman" w:hAnsi="Georgia"/>
          <w:lang w:val="it-IT"/>
        </w:rPr>
        <w:t xml:space="preserve">l rallentamento dell'economia sarà probabilmente </w:t>
      </w:r>
      <w:r w:rsidR="00D33318">
        <w:rPr>
          <w:rFonts w:ascii="Georgia" w:eastAsia="Times New Roman" w:hAnsi="Georgia"/>
          <w:lang w:val="it-IT"/>
        </w:rPr>
        <w:t xml:space="preserve">da </w:t>
      </w:r>
      <w:r w:rsidRPr="00082244">
        <w:rPr>
          <w:rFonts w:ascii="Georgia" w:eastAsia="Times New Roman" w:hAnsi="Georgia"/>
          <w:lang w:val="it-IT"/>
        </w:rPr>
        <w:t>imputa</w:t>
      </w:r>
      <w:r w:rsidR="00D33318">
        <w:rPr>
          <w:rFonts w:ascii="Georgia" w:eastAsia="Times New Roman" w:hAnsi="Georgia"/>
          <w:lang w:val="it-IT"/>
        </w:rPr>
        <w:t>r</w:t>
      </w:r>
      <w:r w:rsidRPr="00082244">
        <w:rPr>
          <w:rFonts w:ascii="Georgia" w:eastAsia="Times New Roman" w:hAnsi="Georgia"/>
          <w:lang w:val="it-IT"/>
        </w:rPr>
        <w:t>e a una politica monetaria più restrittiva</w:t>
      </w:r>
      <w:r w:rsidR="00BD7333">
        <w:rPr>
          <w:rFonts w:ascii="Georgia" w:eastAsia="Times New Roman" w:hAnsi="Georgia"/>
          <w:lang w:val="it-IT"/>
        </w:rPr>
        <w:t>,</w:t>
      </w:r>
      <w:r w:rsidRPr="00082244">
        <w:rPr>
          <w:rFonts w:ascii="Georgia" w:eastAsia="Times New Roman" w:hAnsi="Georgia"/>
          <w:lang w:val="it-IT"/>
        </w:rPr>
        <w:t xml:space="preserve"> </w:t>
      </w:r>
      <w:r w:rsidR="00D33318">
        <w:rPr>
          <w:rFonts w:ascii="Georgia" w:eastAsia="Times New Roman" w:hAnsi="Georgia"/>
          <w:lang w:val="it-IT"/>
        </w:rPr>
        <w:t>e</w:t>
      </w:r>
      <w:r w:rsidR="00BD7333">
        <w:rPr>
          <w:rFonts w:ascii="Georgia" w:eastAsia="Times New Roman" w:hAnsi="Georgia"/>
          <w:lang w:val="it-IT"/>
        </w:rPr>
        <w:t xml:space="preserve"> non</w:t>
      </w:r>
      <w:r w:rsidRPr="00082244">
        <w:rPr>
          <w:rFonts w:ascii="Georgia" w:eastAsia="Times New Roman" w:hAnsi="Georgia"/>
          <w:lang w:val="it-IT"/>
        </w:rPr>
        <w:t xml:space="preserve"> a una serie di problemi</w:t>
      </w:r>
      <w:r w:rsidR="00BD7333">
        <w:rPr>
          <w:rFonts w:ascii="Georgia" w:eastAsia="Times New Roman" w:hAnsi="Georgia"/>
          <w:lang w:val="it-IT"/>
        </w:rPr>
        <w:t>,</w:t>
      </w:r>
      <w:r>
        <w:rPr>
          <w:rFonts w:ascii="Georgia" w:eastAsia="Times New Roman" w:hAnsi="Georgia"/>
          <w:lang w:val="it-IT"/>
        </w:rPr>
        <w:t xml:space="preserve"> come</w:t>
      </w:r>
      <w:r w:rsidRPr="00082244">
        <w:rPr>
          <w:rFonts w:ascii="Georgia" w:eastAsia="Times New Roman" w:hAnsi="Georgia"/>
          <w:lang w:val="it-IT"/>
        </w:rPr>
        <w:t xml:space="preserve"> in Europa</w:t>
      </w:r>
      <w:r w:rsidR="009270C5" w:rsidRPr="00082244">
        <w:rPr>
          <w:rFonts w:ascii="Georgia" w:eastAsia="Times New Roman" w:hAnsi="Georgia"/>
          <w:lang w:val="it-IT"/>
        </w:rPr>
        <w:t xml:space="preserve">. </w:t>
      </w:r>
      <w:r w:rsidRPr="00082244">
        <w:rPr>
          <w:rFonts w:ascii="Georgia" w:eastAsia="Times New Roman" w:hAnsi="Georgia"/>
          <w:lang w:val="it-IT"/>
        </w:rPr>
        <w:t xml:space="preserve">Le economie della regione APAC si trovano in una posizione </w:t>
      </w:r>
      <w:r w:rsidR="00D33318">
        <w:rPr>
          <w:rFonts w:ascii="Georgia" w:eastAsia="Times New Roman" w:hAnsi="Georgia"/>
          <w:lang w:val="it-IT"/>
        </w:rPr>
        <w:t>più favorevole</w:t>
      </w:r>
      <w:r w:rsidRPr="00082244">
        <w:rPr>
          <w:rFonts w:ascii="Georgia" w:eastAsia="Times New Roman" w:hAnsi="Georgia"/>
          <w:lang w:val="it-IT"/>
        </w:rPr>
        <w:t xml:space="preserve"> rispetto agli Stati Uniti e all'Europa, in quan</w:t>
      </w:r>
      <w:r w:rsidR="00D33318">
        <w:rPr>
          <w:rFonts w:ascii="Georgia" w:eastAsia="Times New Roman" w:hAnsi="Georgia"/>
          <w:lang w:val="it-IT"/>
        </w:rPr>
        <w:t>to l'inflazione più moderata e un</w:t>
      </w:r>
      <w:r>
        <w:rPr>
          <w:rFonts w:ascii="Georgia" w:eastAsia="Times New Roman" w:hAnsi="Georgia"/>
          <w:lang w:val="it-IT"/>
        </w:rPr>
        <w:t xml:space="preserve">a </w:t>
      </w:r>
      <w:r w:rsidRPr="00082244">
        <w:rPr>
          <w:rFonts w:ascii="Georgia" w:eastAsia="Times New Roman" w:hAnsi="Georgia"/>
          <w:lang w:val="it-IT"/>
        </w:rPr>
        <w:t>crescita del PIL più solida sosterranno i mercati</w:t>
      </w:r>
      <w:r>
        <w:rPr>
          <w:rFonts w:ascii="Georgia" w:eastAsia="Times New Roman" w:hAnsi="Georgia"/>
          <w:lang w:val="it-IT"/>
        </w:rPr>
        <w:t xml:space="preserve"> </w:t>
      </w:r>
      <w:r w:rsidR="00D33318">
        <w:rPr>
          <w:rFonts w:ascii="Georgia" w:eastAsia="Times New Roman" w:hAnsi="Georgia"/>
          <w:lang w:val="it-IT"/>
        </w:rPr>
        <w:t xml:space="preserve">del </w:t>
      </w:r>
      <w:proofErr w:type="spellStart"/>
      <w:r w:rsidR="009270C5" w:rsidRPr="00082244">
        <w:rPr>
          <w:rFonts w:ascii="Georgia" w:eastAsia="Times New Roman" w:hAnsi="Georgia"/>
          <w:lang w:val="it-IT"/>
        </w:rPr>
        <w:t>real</w:t>
      </w:r>
      <w:proofErr w:type="spellEnd"/>
      <w:r w:rsidR="009270C5" w:rsidRPr="00082244">
        <w:rPr>
          <w:rFonts w:ascii="Georgia" w:eastAsia="Times New Roman" w:hAnsi="Georgia"/>
          <w:lang w:val="it-IT"/>
        </w:rPr>
        <w:t xml:space="preserve"> estate. </w:t>
      </w:r>
    </w:p>
    <w:p w14:paraId="33F256D5" w14:textId="6A24093C" w:rsidR="00A67906" w:rsidRDefault="009C5240" w:rsidP="007C3B66">
      <w:pPr>
        <w:spacing w:before="240" w:after="0" w:line="240" w:lineRule="auto"/>
        <w:rPr>
          <w:rFonts w:ascii="Georgia" w:eastAsia="Times New Roman" w:hAnsi="Georgia"/>
          <w:lang w:val="it-IT"/>
        </w:rPr>
      </w:pPr>
      <w:r w:rsidRPr="009C5240">
        <w:rPr>
          <w:rFonts w:ascii="Georgia" w:eastAsia="Times New Roman" w:hAnsi="Georgia"/>
          <w:lang w:val="it-IT"/>
        </w:rPr>
        <w:t xml:space="preserve">Nel 2023 il costo del capitale sarà nettamente superiore alla media degli </w:t>
      </w:r>
      <w:r>
        <w:rPr>
          <w:rFonts w:ascii="Georgia" w:eastAsia="Times New Roman" w:hAnsi="Georgia"/>
          <w:lang w:val="it-IT"/>
        </w:rPr>
        <w:t>ultimi anni in tutte le regioni</w:t>
      </w:r>
      <w:r w:rsidR="007C3B66" w:rsidRPr="009C5240">
        <w:rPr>
          <w:rFonts w:ascii="Georgia" w:eastAsia="Times New Roman" w:hAnsi="Georgia"/>
          <w:lang w:val="it-IT"/>
        </w:rPr>
        <w:t xml:space="preserve">. </w:t>
      </w:r>
      <w:r w:rsidR="00A67906">
        <w:rPr>
          <w:rFonts w:ascii="Georgia" w:eastAsia="Times New Roman" w:hAnsi="Georgia"/>
          <w:lang w:val="it-IT"/>
        </w:rPr>
        <w:t>La portata di questo</w:t>
      </w:r>
      <w:r w:rsidR="00A67906" w:rsidRPr="00A67906">
        <w:rPr>
          <w:rFonts w:ascii="Georgia" w:eastAsia="Times New Roman" w:hAnsi="Georgia"/>
          <w:lang w:val="it-IT"/>
        </w:rPr>
        <w:t xml:space="preserve"> cambiamento </w:t>
      </w:r>
      <w:r w:rsidR="00A67906" w:rsidRPr="001B2781">
        <w:rPr>
          <w:rFonts w:ascii="Georgia" w:eastAsia="Times New Roman" w:hAnsi="Georgia"/>
          <w:lang w:val="it-IT"/>
        </w:rPr>
        <w:t>rispetto</w:t>
      </w:r>
      <w:r w:rsidR="00A67906" w:rsidRPr="00A67906">
        <w:rPr>
          <w:rFonts w:ascii="Georgia" w:eastAsia="Times New Roman" w:hAnsi="Georgia"/>
          <w:lang w:val="it-IT"/>
        </w:rPr>
        <w:t xml:space="preserve"> ai livelli precedenti è l'aspetto più importante per i mercati </w:t>
      </w:r>
      <w:r w:rsidR="00D33318">
        <w:rPr>
          <w:rFonts w:ascii="Georgia" w:eastAsia="Times New Roman" w:hAnsi="Georgia"/>
          <w:lang w:val="it-IT"/>
        </w:rPr>
        <w:t>immobiliari</w:t>
      </w:r>
      <w:r w:rsidR="007C3B66" w:rsidRPr="00A67906">
        <w:rPr>
          <w:rFonts w:ascii="Georgia" w:eastAsia="Times New Roman" w:hAnsi="Georgia"/>
          <w:lang w:val="it-IT"/>
        </w:rPr>
        <w:t xml:space="preserve">. </w:t>
      </w:r>
      <w:r w:rsidR="00A67906" w:rsidRPr="00A67906">
        <w:rPr>
          <w:rFonts w:ascii="Georgia" w:eastAsia="Times New Roman" w:hAnsi="Georgia"/>
          <w:lang w:val="it-IT"/>
        </w:rPr>
        <w:t xml:space="preserve">Su questo punto il Regno Unito </w:t>
      </w:r>
      <w:r w:rsidR="00A67906">
        <w:rPr>
          <w:rFonts w:ascii="Georgia" w:eastAsia="Times New Roman" w:hAnsi="Georgia"/>
          <w:lang w:val="it-IT"/>
        </w:rPr>
        <w:t>sembra esse</w:t>
      </w:r>
      <w:r w:rsidR="00A67906" w:rsidRPr="00A67906">
        <w:rPr>
          <w:rFonts w:ascii="Georgia" w:eastAsia="Times New Roman" w:hAnsi="Georgia"/>
          <w:lang w:val="it-IT"/>
        </w:rPr>
        <w:t xml:space="preserve">re il </w:t>
      </w:r>
      <w:r w:rsidR="00D33318">
        <w:rPr>
          <w:rFonts w:ascii="Georgia" w:eastAsia="Times New Roman" w:hAnsi="Georgia"/>
          <w:lang w:val="it-IT"/>
        </w:rPr>
        <w:t xml:space="preserve">paese </w:t>
      </w:r>
      <w:r w:rsidR="00A67906" w:rsidRPr="00A67906">
        <w:rPr>
          <w:rFonts w:ascii="Georgia" w:eastAsia="Times New Roman" w:hAnsi="Georgia"/>
          <w:lang w:val="it-IT"/>
        </w:rPr>
        <w:t xml:space="preserve">più </w:t>
      </w:r>
      <w:r w:rsidR="00A67906">
        <w:rPr>
          <w:rFonts w:ascii="Georgia" w:eastAsia="Times New Roman" w:hAnsi="Georgia"/>
          <w:lang w:val="it-IT"/>
        </w:rPr>
        <w:t xml:space="preserve">esposto, seguito dall'area </w:t>
      </w:r>
      <w:r w:rsidR="00A67906" w:rsidRPr="00A67906">
        <w:rPr>
          <w:rFonts w:ascii="Georgia" w:eastAsia="Times New Roman" w:hAnsi="Georgia"/>
          <w:lang w:val="it-IT"/>
        </w:rPr>
        <w:t>euro.</w:t>
      </w:r>
      <w:r w:rsidR="00A67906" w:rsidRPr="00A67906">
        <w:rPr>
          <w:lang w:val="it-IT"/>
        </w:rPr>
        <w:t xml:space="preserve"> </w:t>
      </w:r>
      <w:r w:rsidR="00A67906" w:rsidRPr="00A67906">
        <w:rPr>
          <w:rFonts w:ascii="Georgia" w:eastAsia="Times New Roman" w:hAnsi="Georgia"/>
          <w:lang w:val="it-IT"/>
        </w:rPr>
        <w:t>I m</w:t>
      </w:r>
      <w:r w:rsidR="00D33318">
        <w:rPr>
          <w:rFonts w:ascii="Georgia" w:eastAsia="Times New Roman" w:hAnsi="Georgia"/>
          <w:lang w:val="it-IT"/>
        </w:rPr>
        <w:t xml:space="preserve">ercati degli Stati Uniti e della regione </w:t>
      </w:r>
      <w:r w:rsidR="00A67906" w:rsidRPr="00A67906">
        <w:rPr>
          <w:rFonts w:ascii="Georgia" w:eastAsia="Times New Roman" w:hAnsi="Georgia"/>
          <w:lang w:val="it-IT"/>
        </w:rPr>
        <w:t>APAC dovrebbero registrare un aumento un po' più contenuto, mentre il Giappone non subirà praticamente alcuna variazione</w:t>
      </w:r>
      <w:r w:rsidR="00D33318">
        <w:rPr>
          <w:rFonts w:ascii="Georgia" w:eastAsia="Times New Roman" w:hAnsi="Georgia"/>
          <w:lang w:val="it-IT"/>
        </w:rPr>
        <w:t>.</w:t>
      </w:r>
    </w:p>
    <w:p w14:paraId="45D59860" w14:textId="1E844A7F" w:rsidR="00DE7ED1" w:rsidRPr="00D33318" w:rsidRDefault="00FC53A7" w:rsidP="00DE7ED1">
      <w:pPr>
        <w:spacing w:before="240" w:after="0" w:line="240" w:lineRule="auto"/>
        <w:rPr>
          <w:rFonts w:ascii="Georgia" w:eastAsia="Times New Roman" w:hAnsi="Georgia"/>
          <w:u w:val="single"/>
          <w:lang w:val="it-IT"/>
        </w:rPr>
      </w:pPr>
      <w:r w:rsidRPr="00D33318">
        <w:rPr>
          <w:rFonts w:ascii="Georgia" w:eastAsia="Times New Roman" w:hAnsi="Georgia"/>
          <w:u w:val="single"/>
          <w:lang w:val="it-IT"/>
        </w:rPr>
        <w:t>3</w:t>
      </w:r>
      <w:r w:rsidR="00DE7ED1" w:rsidRPr="00D33318">
        <w:rPr>
          <w:rFonts w:ascii="Georgia" w:eastAsia="Times New Roman" w:hAnsi="Georgia"/>
          <w:u w:val="single"/>
          <w:lang w:val="it-IT"/>
        </w:rPr>
        <w:t xml:space="preserve">: </w:t>
      </w:r>
      <w:r w:rsidR="00D33318" w:rsidRPr="00D33318">
        <w:rPr>
          <w:rFonts w:ascii="Georgia" w:eastAsia="Times New Roman" w:hAnsi="Georgia"/>
          <w:u w:val="single"/>
          <w:lang w:val="it-IT"/>
        </w:rPr>
        <w:t>Costo del capitale previsto per il 2023</w:t>
      </w:r>
      <w:r w:rsidR="00DE7ED1" w:rsidRPr="00D33318">
        <w:rPr>
          <w:rFonts w:ascii="Georgia" w:eastAsia="Times New Roman" w:hAnsi="Georgia"/>
          <w:u w:val="single"/>
          <w:lang w:val="it-IT"/>
        </w:rPr>
        <w:t>*</w:t>
      </w:r>
    </w:p>
    <w:p w14:paraId="740164E8" w14:textId="5A06130B" w:rsidR="002D652B" w:rsidRPr="009D74CF" w:rsidRDefault="00BB7076" w:rsidP="007C3B66">
      <w:pPr>
        <w:spacing w:before="240" w:after="0" w:line="240" w:lineRule="auto"/>
        <w:rPr>
          <w:rFonts w:ascii="Georgia" w:eastAsia="Times New Roman" w:hAnsi="Georgia"/>
          <w:lang w:val="en-GB"/>
        </w:rPr>
      </w:pPr>
      <w:r w:rsidRPr="009D74CF">
        <w:rPr>
          <w:rFonts w:ascii="Georgia" w:hAnsi="Georgia"/>
          <w:noProof/>
          <w:lang w:val="it-IT" w:eastAsia="it-IT"/>
        </w:rPr>
        <w:drawing>
          <wp:inline distT="0" distB="0" distL="0" distR="0" wp14:anchorId="36156F61" wp14:editId="618EE179">
            <wp:extent cx="4401820" cy="32004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7F4632B5-88FE-4B8B-83A2-5C538A24B1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9E0455" w14:textId="11D6DDAE" w:rsidR="000A5737" w:rsidRPr="009D74CF" w:rsidRDefault="000A5737" w:rsidP="007C3B66">
      <w:pPr>
        <w:spacing w:before="240" w:after="0" w:line="240" w:lineRule="auto"/>
        <w:rPr>
          <w:rFonts w:ascii="Georgia" w:eastAsia="Times New Roman" w:hAnsi="Georgia"/>
          <w:i/>
          <w:iCs/>
          <w:lang w:val="en-GB"/>
        </w:rPr>
      </w:pPr>
      <w:r w:rsidRPr="009D74CF">
        <w:rPr>
          <w:rFonts w:ascii="Georgia" w:eastAsia="Times New Roman" w:hAnsi="Georgia"/>
          <w:i/>
          <w:iCs/>
          <w:lang w:val="en-GB"/>
        </w:rPr>
        <w:t>Source: Ox</w:t>
      </w:r>
      <w:r w:rsidR="00507A7B" w:rsidRPr="009D74CF">
        <w:rPr>
          <w:rFonts w:ascii="Georgia" w:eastAsia="Times New Roman" w:hAnsi="Georgia"/>
          <w:i/>
          <w:iCs/>
          <w:lang w:val="en-GB"/>
        </w:rPr>
        <w:t>ford Economics, Q3 2</w:t>
      </w:r>
      <w:r w:rsidR="006B06F1" w:rsidRPr="009D74CF">
        <w:rPr>
          <w:rFonts w:ascii="Georgia" w:eastAsia="Times New Roman" w:hAnsi="Georgia"/>
          <w:i/>
          <w:iCs/>
          <w:lang w:val="en-GB"/>
        </w:rPr>
        <w:t>022</w:t>
      </w:r>
      <w:r w:rsidR="001A5A72" w:rsidRPr="009D74CF">
        <w:rPr>
          <w:rFonts w:ascii="Georgia" w:eastAsia="Times New Roman" w:hAnsi="Georgia"/>
          <w:i/>
          <w:iCs/>
          <w:lang w:val="en-GB"/>
        </w:rPr>
        <w:t xml:space="preserve"> *</w:t>
      </w:r>
      <w:proofErr w:type="gramStart"/>
      <w:r w:rsidR="001A5A72" w:rsidRPr="009D74CF">
        <w:rPr>
          <w:rFonts w:ascii="Georgia" w:eastAsia="Times New Roman" w:hAnsi="Georgia"/>
          <w:i/>
          <w:iCs/>
          <w:lang w:val="en-GB"/>
        </w:rPr>
        <w:t>10 year</w:t>
      </w:r>
      <w:proofErr w:type="gramEnd"/>
      <w:r w:rsidR="001A5A72" w:rsidRPr="009D74CF">
        <w:rPr>
          <w:rFonts w:ascii="Georgia" w:eastAsia="Times New Roman" w:hAnsi="Georgia"/>
          <w:i/>
          <w:iCs/>
          <w:lang w:val="en-GB"/>
        </w:rPr>
        <w:t xml:space="preserve"> government bond yield</w:t>
      </w:r>
    </w:p>
    <w:p w14:paraId="16ED62DB" w14:textId="77777777" w:rsidR="009D0536" w:rsidRPr="00234CEB" w:rsidRDefault="009D0536" w:rsidP="0068283F">
      <w:pPr>
        <w:spacing w:before="240" w:after="0" w:line="240" w:lineRule="auto"/>
        <w:jc w:val="both"/>
        <w:rPr>
          <w:rFonts w:ascii="Georgia" w:eastAsia="Times New Roman" w:hAnsi="Georgia"/>
        </w:rPr>
      </w:pPr>
    </w:p>
    <w:p w14:paraId="61C80EAE" w14:textId="594B1657" w:rsidR="0068283F" w:rsidRPr="00A67906" w:rsidRDefault="00A67906" w:rsidP="0068283F">
      <w:pPr>
        <w:spacing w:before="240" w:after="0" w:line="240" w:lineRule="auto"/>
        <w:jc w:val="both"/>
        <w:rPr>
          <w:rFonts w:ascii="Georgia" w:eastAsia="Times New Roman" w:hAnsi="Georgia"/>
          <w:lang w:val="it-IT"/>
        </w:rPr>
      </w:pPr>
      <w:r w:rsidRPr="00A67906">
        <w:rPr>
          <w:rFonts w:ascii="Georgia" w:eastAsia="Times New Roman" w:hAnsi="Georgia"/>
          <w:lang w:val="it-IT"/>
        </w:rPr>
        <w:t xml:space="preserve">Combinando i dati </w:t>
      </w:r>
      <w:r>
        <w:rPr>
          <w:rFonts w:ascii="Georgia" w:eastAsia="Times New Roman" w:hAnsi="Georgia"/>
          <w:lang w:val="it-IT"/>
        </w:rPr>
        <w:t>finanziari</w:t>
      </w:r>
      <w:r w:rsidRPr="00A67906">
        <w:rPr>
          <w:rFonts w:ascii="Georgia" w:eastAsia="Times New Roman" w:hAnsi="Georgia"/>
          <w:lang w:val="it-IT"/>
        </w:rPr>
        <w:t xml:space="preserve"> e dell'economia reale, prevediamo che la correzione di </w:t>
      </w:r>
      <w:r>
        <w:rPr>
          <w:rFonts w:ascii="Georgia" w:eastAsia="Times New Roman" w:hAnsi="Georgia"/>
          <w:lang w:val="it-IT"/>
        </w:rPr>
        <w:t>mercato più marcata si verificherà</w:t>
      </w:r>
      <w:r w:rsidRPr="00A67906">
        <w:rPr>
          <w:rFonts w:ascii="Georgia" w:eastAsia="Times New Roman" w:hAnsi="Georgia"/>
          <w:lang w:val="it-IT"/>
        </w:rPr>
        <w:t xml:space="preserve"> in Europa,</w:t>
      </w:r>
      <w:r>
        <w:rPr>
          <w:rFonts w:ascii="Georgia" w:eastAsia="Times New Roman" w:hAnsi="Georgia"/>
          <w:lang w:val="it-IT"/>
        </w:rPr>
        <w:t xml:space="preserve"> in particolare nel Regno Unito</w:t>
      </w:r>
      <w:r w:rsidR="007C3B66" w:rsidRPr="00A67906">
        <w:rPr>
          <w:rFonts w:ascii="Georgia" w:eastAsia="Times New Roman" w:hAnsi="Georgia"/>
          <w:lang w:val="it-IT"/>
        </w:rPr>
        <w:t xml:space="preserve">. </w:t>
      </w:r>
    </w:p>
    <w:p w14:paraId="6F928C21" w14:textId="6D35102C" w:rsidR="00634803" w:rsidRPr="00A67906" w:rsidRDefault="00A67906" w:rsidP="009D74CF">
      <w:pPr>
        <w:spacing w:before="240" w:after="0" w:line="240" w:lineRule="auto"/>
        <w:jc w:val="both"/>
        <w:rPr>
          <w:rFonts w:ascii="Georgia" w:eastAsia="Times New Roman" w:hAnsi="Georgia"/>
          <w:lang w:val="it-IT"/>
        </w:rPr>
      </w:pPr>
      <w:r w:rsidRPr="00A67906">
        <w:rPr>
          <w:rFonts w:ascii="Georgia" w:eastAsia="Times New Roman" w:hAnsi="Georgia"/>
          <w:lang w:val="it-IT"/>
        </w:rPr>
        <w:t xml:space="preserve">Gli Stati Uniti dovrebbero collocarsi </w:t>
      </w:r>
      <w:r>
        <w:rPr>
          <w:rFonts w:ascii="Georgia" w:eastAsia="Times New Roman" w:hAnsi="Georgia"/>
          <w:lang w:val="it-IT"/>
        </w:rPr>
        <w:t>in posizione mediana</w:t>
      </w:r>
      <w:r w:rsidRPr="00A67906">
        <w:rPr>
          <w:rFonts w:ascii="Georgia" w:eastAsia="Times New Roman" w:hAnsi="Georgia"/>
          <w:lang w:val="it-IT"/>
        </w:rPr>
        <w:t xml:space="preserve">, con una pressione minore sui mercati rispetto </w:t>
      </w:r>
      <w:r>
        <w:rPr>
          <w:rFonts w:ascii="Georgia" w:eastAsia="Times New Roman" w:hAnsi="Georgia"/>
          <w:lang w:val="it-IT"/>
        </w:rPr>
        <w:t xml:space="preserve">all'Europa, ma non </w:t>
      </w:r>
      <w:r w:rsidRPr="00A67906">
        <w:rPr>
          <w:rFonts w:ascii="Georgia" w:eastAsia="Times New Roman" w:hAnsi="Georgia"/>
          <w:lang w:val="it-IT"/>
        </w:rPr>
        <w:t xml:space="preserve">stabile </w:t>
      </w:r>
      <w:r w:rsidR="001B2781">
        <w:rPr>
          <w:rFonts w:ascii="Georgia" w:eastAsia="Times New Roman" w:hAnsi="Georgia"/>
          <w:lang w:val="it-IT"/>
        </w:rPr>
        <w:t>come ne</w:t>
      </w:r>
      <w:r>
        <w:rPr>
          <w:rFonts w:ascii="Georgia" w:eastAsia="Times New Roman" w:hAnsi="Georgia"/>
          <w:lang w:val="it-IT"/>
        </w:rPr>
        <w:t>i mercati chiave dell'area APAC</w:t>
      </w:r>
      <w:r w:rsidR="007C3B66" w:rsidRPr="00A67906">
        <w:rPr>
          <w:rFonts w:ascii="Georgia" w:eastAsia="Times New Roman" w:hAnsi="Georgia"/>
          <w:lang w:val="it-IT"/>
        </w:rPr>
        <w:t>.</w:t>
      </w:r>
    </w:p>
    <w:p w14:paraId="32183BBB" w14:textId="2BF62914" w:rsidR="008331A1" w:rsidRDefault="008331A1" w:rsidP="009D0536">
      <w:pPr>
        <w:rPr>
          <w:rFonts w:ascii="Georgia" w:eastAsiaTheme="majorEastAsia" w:hAnsi="Georgia" w:cstheme="majorBidi"/>
          <w:b/>
          <w:color w:val="2F5496" w:themeColor="accent1" w:themeShade="BF"/>
          <w:sz w:val="32"/>
          <w:szCs w:val="32"/>
          <w:lang w:val="it-IT"/>
        </w:rPr>
      </w:pPr>
      <w:r w:rsidRPr="00A67906">
        <w:rPr>
          <w:rFonts w:ascii="Georgia" w:hAnsi="Georgia"/>
          <w:lang w:val="it-IT"/>
        </w:rPr>
        <w:br w:type="page"/>
      </w:r>
      <w:r w:rsidR="00A67906" w:rsidRPr="00A67906">
        <w:rPr>
          <w:rFonts w:ascii="Georgia" w:eastAsiaTheme="majorEastAsia" w:hAnsi="Georgia" w:cstheme="majorBidi"/>
          <w:b/>
          <w:color w:val="2F5496" w:themeColor="accent1" w:themeShade="BF"/>
          <w:sz w:val="32"/>
          <w:szCs w:val="32"/>
          <w:lang w:val="it-IT"/>
        </w:rPr>
        <w:lastRenderedPageBreak/>
        <w:t>Tema 2: È un buon momento per investire in Asia e in Europa?</w:t>
      </w:r>
    </w:p>
    <w:p w14:paraId="009F4931" w14:textId="77777777" w:rsidR="00A67906" w:rsidRPr="00A67906" w:rsidRDefault="00A67906" w:rsidP="00F27C80">
      <w:pPr>
        <w:spacing w:after="0" w:line="240" w:lineRule="auto"/>
        <w:rPr>
          <w:rFonts w:ascii="Georgia" w:eastAsia="Times New Roman" w:hAnsi="Georgia"/>
          <w:lang w:val="it-IT"/>
        </w:rPr>
      </w:pPr>
    </w:p>
    <w:p w14:paraId="1D139C3E" w14:textId="65AB0351" w:rsidR="22689FF8" w:rsidRPr="00A67906" w:rsidRDefault="00A67906" w:rsidP="00CC2BB7">
      <w:pPr>
        <w:rPr>
          <w:rFonts w:ascii="Georgia" w:hAnsi="Georgia"/>
          <w:lang w:val="it-IT"/>
        </w:rPr>
      </w:pPr>
      <w:r w:rsidRPr="00A67906">
        <w:rPr>
          <w:rFonts w:ascii="Georgia" w:eastAsia="Calibri" w:hAnsi="Georgia" w:cs="Calibri"/>
          <w:lang w:val="it-IT"/>
        </w:rPr>
        <w:t>Di solito gli investitori indicano la diversificazione come il principale vantaggio degli investimenti all'estero, ma ci sono momenti in cui altri fattori</w:t>
      </w:r>
      <w:r w:rsidR="009D0536" w:rsidRPr="009D0536">
        <w:rPr>
          <w:rFonts w:ascii="Georgia" w:eastAsia="Calibri" w:hAnsi="Georgia" w:cs="Calibri"/>
          <w:lang w:val="it-IT"/>
        </w:rPr>
        <w:t xml:space="preserve"> </w:t>
      </w:r>
      <w:r w:rsidR="009D0536">
        <w:rPr>
          <w:rFonts w:ascii="Georgia" w:eastAsia="Calibri" w:hAnsi="Georgia" w:cs="Calibri"/>
          <w:lang w:val="it-IT"/>
        </w:rPr>
        <w:t>sembrano avere un peso maggiore</w:t>
      </w:r>
      <w:r w:rsidR="001B2781">
        <w:rPr>
          <w:rFonts w:ascii="Georgia" w:eastAsia="Calibri" w:hAnsi="Georgia" w:cs="Calibri"/>
          <w:lang w:val="it-IT"/>
        </w:rPr>
        <w:t xml:space="preserve">. </w:t>
      </w:r>
      <w:r w:rsidR="00234CEB">
        <w:rPr>
          <w:rFonts w:ascii="Georgia" w:eastAsia="Calibri" w:hAnsi="Georgia" w:cs="Calibri"/>
          <w:lang w:val="it-IT"/>
        </w:rPr>
        <w:t>Questo è</w:t>
      </w:r>
      <w:r w:rsidR="009D0536">
        <w:rPr>
          <w:rFonts w:ascii="Georgia" w:eastAsia="Calibri" w:hAnsi="Georgia" w:cs="Calibri"/>
          <w:lang w:val="it-IT"/>
        </w:rPr>
        <w:t xml:space="preserve"> </w:t>
      </w:r>
      <w:r w:rsidR="00234CEB">
        <w:rPr>
          <w:rFonts w:ascii="Georgia" w:eastAsia="Calibri" w:hAnsi="Georgia" w:cs="Calibri"/>
          <w:lang w:val="it-IT"/>
        </w:rPr>
        <w:t xml:space="preserve">un </w:t>
      </w:r>
      <w:r w:rsidR="009D0536">
        <w:rPr>
          <w:rFonts w:ascii="Georgia" w:eastAsia="Calibri" w:hAnsi="Georgia" w:cs="Calibri"/>
          <w:lang w:val="it-IT"/>
        </w:rPr>
        <w:t>esempio</w:t>
      </w:r>
      <w:r w:rsidRPr="00A67906">
        <w:rPr>
          <w:rFonts w:ascii="Georgia" w:eastAsia="Calibri" w:hAnsi="Georgia" w:cs="Calibri"/>
          <w:lang w:val="it-IT"/>
        </w:rPr>
        <w:t xml:space="preserve">.  </w:t>
      </w:r>
      <w:r w:rsidR="22689FF8" w:rsidRPr="00A67906">
        <w:rPr>
          <w:rFonts w:ascii="Georgia" w:eastAsia="Calibri" w:hAnsi="Georgia" w:cs="Calibri"/>
          <w:lang w:val="it-IT"/>
        </w:rPr>
        <w:t xml:space="preserve">  </w:t>
      </w:r>
    </w:p>
    <w:p w14:paraId="54964CDA" w14:textId="043DD949" w:rsidR="00725E47" w:rsidRDefault="00725E47" w:rsidP="00CC2BB7">
      <w:pPr>
        <w:rPr>
          <w:rFonts w:ascii="Georgia" w:eastAsia="Calibri" w:hAnsi="Georgia" w:cs="Calibri"/>
          <w:lang w:val="it-IT"/>
        </w:rPr>
      </w:pPr>
      <w:r w:rsidRPr="00725E47">
        <w:rPr>
          <w:rFonts w:ascii="Georgia" w:eastAsia="Calibri" w:hAnsi="Georgia" w:cs="Calibri"/>
          <w:lang w:val="it-IT"/>
        </w:rPr>
        <w:t>Dal 2021, il dollaro americano si è apprezzato rapidamente rispetto alle altre principali valute</w:t>
      </w:r>
      <w:r w:rsidR="00996193">
        <w:rPr>
          <w:rFonts w:ascii="Georgia" w:eastAsia="Calibri" w:hAnsi="Georgia" w:cs="Calibri"/>
          <w:lang w:val="it-IT"/>
        </w:rPr>
        <w:t>,</w:t>
      </w:r>
      <w:r w:rsidRPr="00725E47">
        <w:rPr>
          <w:rFonts w:ascii="Georgia" w:eastAsia="Calibri" w:hAnsi="Georgia" w:cs="Calibri"/>
          <w:lang w:val="it-IT"/>
        </w:rPr>
        <w:t xml:space="preserve"> grazie all</w:t>
      </w:r>
      <w:r w:rsidR="00996193">
        <w:rPr>
          <w:rFonts w:ascii="Georgia" w:eastAsia="Calibri" w:hAnsi="Georgia" w:cs="Calibri"/>
          <w:lang w:val="it-IT"/>
        </w:rPr>
        <w:t>’effetto</w:t>
      </w:r>
      <w:r w:rsidRPr="00725E47">
        <w:rPr>
          <w:rFonts w:ascii="Georgia" w:eastAsia="Calibri" w:hAnsi="Georgia" w:cs="Calibri"/>
          <w:lang w:val="it-IT"/>
        </w:rPr>
        <w:t xml:space="preserve"> combina</w:t>
      </w:r>
      <w:r w:rsidR="00996193">
        <w:rPr>
          <w:rFonts w:ascii="Georgia" w:eastAsia="Calibri" w:hAnsi="Georgia" w:cs="Calibri"/>
          <w:lang w:val="it-IT"/>
        </w:rPr>
        <w:t>t</w:t>
      </w:r>
      <w:r w:rsidRPr="00725E47">
        <w:rPr>
          <w:rFonts w:ascii="Georgia" w:eastAsia="Calibri" w:hAnsi="Georgia" w:cs="Calibri"/>
          <w:lang w:val="it-IT"/>
        </w:rPr>
        <w:t xml:space="preserve">o di tassi d'interesse </w:t>
      </w:r>
      <w:r w:rsidR="001B2781">
        <w:rPr>
          <w:rFonts w:ascii="Georgia" w:eastAsia="Calibri" w:hAnsi="Georgia" w:cs="Calibri"/>
          <w:lang w:val="it-IT"/>
        </w:rPr>
        <w:t>relativamente elevati e della</w:t>
      </w:r>
      <w:r>
        <w:rPr>
          <w:rFonts w:ascii="Georgia" w:eastAsia="Calibri" w:hAnsi="Georgia" w:cs="Calibri"/>
          <w:lang w:val="it-IT"/>
        </w:rPr>
        <w:t xml:space="preserve"> percezione d</w:t>
      </w:r>
      <w:r w:rsidR="001B2781">
        <w:rPr>
          <w:rFonts w:ascii="Georgia" w:eastAsia="Calibri" w:hAnsi="Georgia" w:cs="Calibri"/>
          <w:lang w:val="it-IT"/>
        </w:rPr>
        <w:t>ella</w:t>
      </w:r>
      <w:r>
        <w:rPr>
          <w:rFonts w:ascii="Georgia" w:eastAsia="Calibri" w:hAnsi="Georgia" w:cs="Calibri"/>
          <w:lang w:val="it-IT"/>
        </w:rPr>
        <w:t xml:space="preserve"> resili</w:t>
      </w:r>
      <w:r w:rsidRPr="00725E47">
        <w:rPr>
          <w:rFonts w:ascii="Georgia" w:eastAsia="Calibri" w:hAnsi="Georgia" w:cs="Calibri"/>
          <w:lang w:val="it-IT"/>
        </w:rPr>
        <w:t xml:space="preserve">enza dell'economia americana. </w:t>
      </w:r>
      <w:r w:rsidR="00996193">
        <w:rPr>
          <w:rFonts w:ascii="Georgia" w:eastAsia="Calibri" w:hAnsi="Georgia" w:cs="Calibri"/>
          <w:lang w:val="it-IT"/>
        </w:rPr>
        <w:t>Questa situazione</w:t>
      </w:r>
      <w:r w:rsidRPr="00725E47">
        <w:rPr>
          <w:rFonts w:ascii="Georgia" w:eastAsia="Calibri" w:hAnsi="Georgia" w:cs="Calibri"/>
          <w:lang w:val="it-IT"/>
        </w:rPr>
        <w:t xml:space="preserve"> ha </w:t>
      </w:r>
      <w:r w:rsidR="00996193">
        <w:rPr>
          <w:rFonts w:ascii="Georgia" w:eastAsia="Calibri" w:hAnsi="Georgia" w:cs="Calibri"/>
          <w:lang w:val="it-IT"/>
        </w:rPr>
        <w:t>spin</w:t>
      </w:r>
      <w:r w:rsidRPr="00725E47">
        <w:rPr>
          <w:rFonts w:ascii="Georgia" w:eastAsia="Calibri" w:hAnsi="Georgia" w:cs="Calibri"/>
          <w:lang w:val="it-IT"/>
        </w:rPr>
        <w:t xml:space="preserve">to il tasso di cambio del dollaro </w:t>
      </w:r>
      <w:r w:rsidR="00996193">
        <w:rPr>
          <w:rFonts w:ascii="Georgia" w:eastAsia="Calibri" w:hAnsi="Georgia" w:cs="Calibri"/>
          <w:lang w:val="it-IT"/>
        </w:rPr>
        <w:t>oltre</w:t>
      </w:r>
      <w:r w:rsidRPr="00725E47">
        <w:rPr>
          <w:rFonts w:ascii="Georgia" w:eastAsia="Calibri" w:hAnsi="Georgia" w:cs="Calibri"/>
          <w:lang w:val="it-IT"/>
        </w:rPr>
        <w:t xml:space="preserve"> le normali fasce di scambio</w:t>
      </w:r>
      <w:r w:rsidR="00996193">
        <w:rPr>
          <w:rFonts w:ascii="Georgia" w:eastAsia="Calibri" w:hAnsi="Georgia" w:cs="Calibri"/>
          <w:lang w:val="it-IT"/>
        </w:rPr>
        <w:t>,</w:t>
      </w:r>
      <w:r w:rsidRPr="00725E47">
        <w:rPr>
          <w:rFonts w:ascii="Georgia" w:eastAsia="Calibri" w:hAnsi="Georgia" w:cs="Calibri"/>
          <w:lang w:val="it-IT"/>
        </w:rPr>
        <w:t xml:space="preserve"> che </w:t>
      </w:r>
      <w:r>
        <w:rPr>
          <w:rFonts w:ascii="Georgia" w:eastAsia="Calibri" w:hAnsi="Georgia" w:cs="Calibri"/>
          <w:lang w:val="it-IT"/>
        </w:rPr>
        <w:t xml:space="preserve">si </w:t>
      </w:r>
      <w:r w:rsidRPr="00725E47">
        <w:rPr>
          <w:rFonts w:ascii="Georgia" w:eastAsia="Calibri" w:hAnsi="Georgia" w:cs="Calibri"/>
          <w:lang w:val="it-IT"/>
        </w:rPr>
        <w:t xml:space="preserve">erano </w:t>
      </w:r>
      <w:r>
        <w:rPr>
          <w:rFonts w:ascii="Georgia" w:eastAsia="Calibri" w:hAnsi="Georgia" w:cs="Calibri"/>
          <w:lang w:val="it-IT"/>
        </w:rPr>
        <w:t>mantenu</w:t>
      </w:r>
      <w:r w:rsidRPr="00725E47">
        <w:rPr>
          <w:rFonts w:ascii="Georgia" w:eastAsia="Calibri" w:hAnsi="Georgia" w:cs="Calibri"/>
          <w:lang w:val="it-IT"/>
        </w:rPr>
        <w:t xml:space="preserve">te </w:t>
      </w:r>
      <w:r>
        <w:rPr>
          <w:rFonts w:ascii="Georgia" w:eastAsia="Calibri" w:hAnsi="Georgia" w:cs="Calibri"/>
          <w:lang w:val="it-IT"/>
        </w:rPr>
        <w:t>sostanzialmente stabili dalla fine degli anni ‘</w:t>
      </w:r>
      <w:r w:rsidRPr="00725E47">
        <w:rPr>
          <w:rFonts w:ascii="Georgia" w:eastAsia="Calibri" w:hAnsi="Georgia" w:cs="Calibri"/>
          <w:lang w:val="it-IT"/>
        </w:rPr>
        <w:t>80, quando le principali economie avevano smesso di effettuare interventi valutari concertati.</w:t>
      </w:r>
      <w:r w:rsidRPr="00725E47">
        <w:rPr>
          <w:lang w:val="it-IT"/>
        </w:rPr>
        <w:t xml:space="preserve"> </w:t>
      </w:r>
      <w:r w:rsidRPr="00725E47">
        <w:rPr>
          <w:rFonts w:ascii="Georgia" w:eastAsia="Calibri" w:hAnsi="Georgia" w:cs="Calibri"/>
          <w:lang w:val="it-IT"/>
        </w:rPr>
        <w:t xml:space="preserve">Nell'ottobre 2022, per la prima volta dal 1989, l'euro è stato scambiato a un </w:t>
      </w:r>
      <w:r w:rsidR="00996193">
        <w:rPr>
          <w:rFonts w:ascii="Georgia" w:eastAsia="Calibri" w:hAnsi="Georgia" w:cs="Calibri"/>
          <w:lang w:val="it-IT"/>
        </w:rPr>
        <w:t>valore</w:t>
      </w:r>
      <w:r w:rsidRPr="00725E47">
        <w:rPr>
          <w:rFonts w:ascii="Georgia" w:eastAsia="Calibri" w:hAnsi="Georgia" w:cs="Calibri"/>
          <w:lang w:val="it-IT"/>
        </w:rPr>
        <w:t xml:space="preserve"> </w:t>
      </w:r>
      <w:r>
        <w:rPr>
          <w:rFonts w:ascii="Georgia" w:eastAsia="Calibri" w:hAnsi="Georgia" w:cs="Calibri"/>
          <w:lang w:val="it-IT"/>
        </w:rPr>
        <w:t>inferiore</w:t>
      </w:r>
      <w:r w:rsidRPr="00725E47">
        <w:rPr>
          <w:rFonts w:ascii="Georgia" w:eastAsia="Calibri" w:hAnsi="Georgia" w:cs="Calibri"/>
          <w:lang w:val="it-IT"/>
        </w:rPr>
        <w:t xml:space="preserve"> del 20% </w:t>
      </w:r>
      <w:r>
        <w:rPr>
          <w:rFonts w:ascii="Georgia" w:eastAsia="Calibri" w:hAnsi="Georgia" w:cs="Calibri"/>
          <w:lang w:val="it-IT"/>
        </w:rPr>
        <w:t>rispetto a</w:t>
      </w:r>
      <w:r w:rsidRPr="00725E47">
        <w:rPr>
          <w:rFonts w:ascii="Georgia" w:eastAsia="Calibri" w:hAnsi="Georgia" w:cs="Calibri"/>
          <w:lang w:val="it-IT"/>
        </w:rPr>
        <w:t>lla media di lungo corso.</w:t>
      </w:r>
      <w:r w:rsidR="00D47F53" w:rsidRPr="00D47F53">
        <w:rPr>
          <w:lang w:val="it-IT"/>
        </w:rPr>
        <w:t xml:space="preserve"> </w:t>
      </w:r>
      <w:r w:rsidR="00D47F53" w:rsidRPr="00D47F53">
        <w:rPr>
          <w:rFonts w:ascii="Georgia" w:eastAsia="Calibri" w:hAnsi="Georgia" w:cs="Calibri"/>
          <w:lang w:val="it-IT"/>
        </w:rPr>
        <w:t xml:space="preserve">Ma </w:t>
      </w:r>
      <w:r w:rsidR="00996193" w:rsidRPr="00D47F53">
        <w:rPr>
          <w:rFonts w:ascii="Georgia" w:eastAsia="Calibri" w:hAnsi="Georgia" w:cs="Calibri"/>
          <w:lang w:val="it-IT"/>
        </w:rPr>
        <w:t xml:space="preserve">in Giappone e nel Regno Unito </w:t>
      </w:r>
      <w:r w:rsidR="00D47F53" w:rsidRPr="00D47F53">
        <w:rPr>
          <w:rFonts w:ascii="Georgia" w:eastAsia="Calibri" w:hAnsi="Georgia" w:cs="Calibri"/>
          <w:lang w:val="it-IT"/>
        </w:rPr>
        <w:t>gli scostamenti sono stati persino maggiori. Lo yen si è attestato in media a</w:t>
      </w:r>
      <w:r w:rsidR="00996193">
        <w:rPr>
          <w:rFonts w:ascii="Georgia" w:eastAsia="Calibri" w:hAnsi="Georgia" w:cs="Calibri"/>
          <w:lang w:val="it-IT"/>
        </w:rPr>
        <w:t xml:space="preserve"> un valore di</w:t>
      </w:r>
      <w:r w:rsidR="00D47F53" w:rsidRPr="00D47F53">
        <w:rPr>
          <w:rFonts w:ascii="Georgia" w:eastAsia="Calibri" w:hAnsi="Georgia" w:cs="Calibri"/>
          <w:lang w:val="it-IT"/>
        </w:rPr>
        <w:t xml:space="preserve"> 142,4 yen per dollaro nel mese di ottobre 2022, con un calo del 27% rispetto alla sua media di lungo periodo. La sterlina è </w:t>
      </w:r>
      <w:r w:rsidR="00D47F53">
        <w:rPr>
          <w:rFonts w:ascii="Georgia" w:eastAsia="Calibri" w:hAnsi="Georgia" w:cs="Calibri"/>
          <w:lang w:val="it-IT"/>
        </w:rPr>
        <w:t>ri</w:t>
      </w:r>
      <w:r w:rsidR="00D47F53" w:rsidRPr="00D47F53">
        <w:rPr>
          <w:rFonts w:ascii="Georgia" w:eastAsia="Calibri" w:hAnsi="Georgia" w:cs="Calibri"/>
          <w:lang w:val="it-IT"/>
        </w:rPr>
        <w:t>s</w:t>
      </w:r>
      <w:r w:rsidR="00D47F53">
        <w:rPr>
          <w:rFonts w:ascii="Georgia" w:eastAsia="Calibri" w:hAnsi="Georgia" w:cs="Calibri"/>
          <w:lang w:val="it-IT"/>
        </w:rPr>
        <w:t>ul</w:t>
      </w:r>
      <w:r w:rsidR="00D47F53" w:rsidRPr="00D47F53">
        <w:rPr>
          <w:rFonts w:ascii="Georgia" w:eastAsia="Calibri" w:hAnsi="Georgia" w:cs="Calibri"/>
          <w:lang w:val="it-IT"/>
        </w:rPr>
        <w:t xml:space="preserve">tata ancora più debole, scambiata </w:t>
      </w:r>
      <w:r w:rsidR="00D47F53">
        <w:rPr>
          <w:rFonts w:ascii="Georgia" w:eastAsia="Calibri" w:hAnsi="Georgia" w:cs="Calibri"/>
          <w:lang w:val="it-IT"/>
        </w:rPr>
        <w:t>in</w:t>
      </w:r>
      <w:r w:rsidR="00D47F53" w:rsidRPr="00D47F53">
        <w:rPr>
          <w:rFonts w:ascii="Georgia" w:eastAsia="Calibri" w:hAnsi="Georgia" w:cs="Calibri"/>
          <w:lang w:val="it-IT"/>
        </w:rPr>
        <w:t xml:space="preserve"> media </w:t>
      </w:r>
      <w:r w:rsidR="00D47F53">
        <w:rPr>
          <w:rFonts w:ascii="Georgia" w:eastAsia="Calibri" w:hAnsi="Georgia" w:cs="Calibri"/>
          <w:lang w:val="it-IT"/>
        </w:rPr>
        <w:t>a</w:t>
      </w:r>
      <w:r w:rsidR="00D47F53" w:rsidRPr="00D47F53">
        <w:rPr>
          <w:rFonts w:ascii="Georgia" w:eastAsia="Calibri" w:hAnsi="Georgia" w:cs="Calibri"/>
          <w:lang w:val="it-IT"/>
        </w:rPr>
        <w:t xml:space="preserve"> 1,13 dollari, il 37% in meno </w:t>
      </w:r>
      <w:r w:rsidR="00D47F53">
        <w:rPr>
          <w:rFonts w:ascii="Georgia" w:eastAsia="Calibri" w:hAnsi="Georgia" w:cs="Calibri"/>
          <w:lang w:val="it-IT"/>
        </w:rPr>
        <w:t>rispetto a</w:t>
      </w:r>
      <w:r w:rsidR="00D47F53" w:rsidRPr="00D47F53">
        <w:rPr>
          <w:rFonts w:ascii="Georgia" w:eastAsia="Calibri" w:hAnsi="Georgia" w:cs="Calibri"/>
          <w:lang w:val="it-IT"/>
        </w:rPr>
        <w:t xml:space="preserve">lla media di lungo periodo.  </w:t>
      </w:r>
    </w:p>
    <w:p w14:paraId="64B24183" w14:textId="786BFBC9" w:rsidR="005877C7" w:rsidRDefault="00FC53A7" w:rsidP="009D74CF">
      <w:pPr>
        <w:spacing w:before="240" w:after="0" w:line="240" w:lineRule="auto"/>
        <w:rPr>
          <w:rFonts w:ascii="Georgia" w:eastAsia="Times New Roman" w:hAnsi="Georgia"/>
          <w:u w:val="single"/>
          <w:lang w:val="it-IT"/>
        </w:rPr>
      </w:pPr>
      <w:proofErr w:type="gramStart"/>
      <w:r w:rsidRPr="00996193">
        <w:rPr>
          <w:rFonts w:ascii="Georgia" w:eastAsia="Times New Roman" w:hAnsi="Georgia"/>
          <w:u w:val="single"/>
          <w:lang w:val="it-IT"/>
        </w:rPr>
        <w:t>4</w:t>
      </w:r>
      <w:r w:rsidR="00113950" w:rsidRPr="00996193">
        <w:rPr>
          <w:rFonts w:ascii="Georgia" w:eastAsia="Times New Roman" w:hAnsi="Georgia"/>
          <w:u w:val="single"/>
          <w:lang w:val="it-IT"/>
        </w:rPr>
        <w:t xml:space="preserve">: </w:t>
      </w:r>
      <w:r w:rsidR="22689FF8" w:rsidRPr="00996193">
        <w:rPr>
          <w:rFonts w:ascii="Georgia" w:eastAsia="Times New Roman" w:hAnsi="Georgia"/>
          <w:u w:val="single"/>
          <w:lang w:val="it-IT"/>
        </w:rPr>
        <w:t xml:space="preserve"> </w:t>
      </w:r>
      <w:r w:rsidR="00996193" w:rsidRPr="00996193">
        <w:rPr>
          <w:rFonts w:ascii="Georgia" w:eastAsia="Times New Roman" w:hAnsi="Georgia"/>
          <w:u w:val="single"/>
          <w:lang w:val="it-IT"/>
        </w:rPr>
        <w:t>La</w:t>
      </w:r>
      <w:proofErr w:type="gramEnd"/>
      <w:r w:rsidR="00996193" w:rsidRPr="00996193">
        <w:rPr>
          <w:rFonts w:ascii="Georgia" w:eastAsia="Times New Roman" w:hAnsi="Georgia"/>
          <w:u w:val="single"/>
          <w:lang w:val="it-IT"/>
        </w:rPr>
        <w:t xml:space="preserve"> sterlina, lo yen e l'euro sono tutti </w:t>
      </w:r>
      <w:r w:rsidR="00D00BC5">
        <w:rPr>
          <w:rFonts w:ascii="Georgia" w:eastAsia="Times New Roman" w:hAnsi="Georgia"/>
          <w:u w:val="single"/>
          <w:lang w:val="it-IT"/>
        </w:rPr>
        <w:t>netta</w:t>
      </w:r>
      <w:r w:rsidR="001B2781">
        <w:rPr>
          <w:rFonts w:ascii="Georgia" w:eastAsia="Times New Roman" w:hAnsi="Georgia"/>
          <w:u w:val="single"/>
          <w:lang w:val="it-IT"/>
        </w:rPr>
        <w:t>mente inferiori a</w:t>
      </w:r>
      <w:r w:rsidR="00996193" w:rsidRPr="00996193">
        <w:rPr>
          <w:rFonts w:ascii="Georgia" w:eastAsia="Times New Roman" w:hAnsi="Georgia"/>
          <w:u w:val="single"/>
          <w:lang w:val="it-IT"/>
        </w:rPr>
        <w:t>lla media rispetto al dollaro americano</w:t>
      </w:r>
    </w:p>
    <w:p w14:paraId="47E07E97" w14:textId="77777777" w:rsidR="00996193" w:rsidRPr="00996193" w:rsidRDefault="00996193" w:rsidP="009D74CF">
      <w:pPr>
        <w:spacing w:before="240" w:after="0" w:line="240" w:lineRule="auto"/>
        <w:rPr>
          <w:rFonts w:ascii="Georgia" w:eastAsia="Times New Roman" w:hAnsi="Georgia"/>
          <w:u w:val="single"/>
          <w:lang w:val="it-IT"/>
        </w:rPr>
      </w:pPr>
    </w:p>
    <w:p w14:paraId="365AF56E" w14:textId="48E3A339" w:rsidR="006A56E4" w:rsidRPr="009D74CF" w:rsidRDefault="006A56E4">
      <w:pPr>
        <w:rPr>
          <w:rFonts w:ascii="Georgia" w:hAnsi="Georgia"/>
        </w:rPr>
      </w:pPr>
      <w:r w:rsidRPr="009D74CF">
        <w:rPr>
          <w:rFonts w:ascii="Georgia" w:hAnsi="Georgia"/>
          <w:noProof/>
          <w:lang w:val="it-IT" w:eastAsia="it-IT"/>
        </w:rPr>
        <w:drawing>
          <wp:inline distT="0" distB="0" distL="0" distR="0" wp14:anchorId="5FF9945A" wp14:editId="174F9C70">
            <wp:extent cx="5943600" cy="3133725"/>
            <wp:effectExtent l="0" t="0" r="0" b="952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C792D27-361D-44CE-A0B6-F60581756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A929FC" w14:textId="7CBA33E8" w:rsidR="00A87B6C" w:rsidRPr="005872E2" w:rsidRDefault="00A87B6C">
      <w:pPr>
        <w:rPr>
          <w:rFonts w:ascii="Georgia" w:eastAsia="Calibri" w:hAnsi="Georgia" w:cs="Calibri"/>
          <w:sz w:val="16"/>
          <w:szCs w:val="16"/>
          <w:lang w:val="it-IT"/>
        </w:rPr>
      </w:pPr>
      <w:r w:rsidRPr="005872E2">
        <w:rPr>
          <w:rFonts w:ascii="Georgia" w:eastAsia="Calibri" w:hAnsi="Georgia" w:cs="Calibri"/>
          <w:sz w:val="16"/>
          <w:szCs w:val="16"/>
          <w:lang w:val="it-IT"/>
        </w:rPr>
        <w:t xml:space="preserve">Source: </w:t>
      </w:r>
      <w:r w:rsidR="00AC2649" w:rsidRPr="005872E2">
        <w:rPr>
          <w:rFonts w:ascii="Georgia" w:eastAsia="Calibri" w:hAnsi="Georgia" w:cs="Calibri"/>
          <w:sz w:val="16"/>
          <w:szCs w:val="16"/>
          <w:lang w:val="it-IT"/>
        </w:rPr>
        <w:t>OEF</w:t>
      </w:r>
    </w:p>
    <w:p w14:paraId="5727E0F3" w14:textId="41524BB0" w:rsidR="22689FF8" w:rsidRPr="009B40B6" w:rsidRDefault="009B40B6" w:rsidP="00CC2BB7">
      <w:pPr>
        <w:rPr>
          <w:rFonts w:ascii="Georgia" w:hAnsi="Georgia"/>
          <w:lang w:val="it-IT"/>
        </w:rPr>
      </w:pPr>
      <w:r w:rsidRPr="009B40B6">
        <w:rPr>
          <w:rFonts w:ascii="Georgia" w:eastAsia="Calibri" w:hAnsi="Georgia" w:cs="Calibri"/>
          <w:lang w:val="it-IT"/>
        </w:rPr>
        <w:t>Le sco</w:t>
      </w:r>
      <w:r w:rsidR="009A2D5E">
        <w:rPr>
          <w:rFonts w:ascii="Georgia" w:eastAsia="Calibri" w:hAnsi="Georgia" w:cs="Calibri"/>
          <w:lang w:val="it-IT"/>
        </w:rPr>
        <w:t>mmesse a senso unico sono decis</w:t>
      </w:r>
      <w:r w:rsidRPr="009B40B6">
        <w:rPr>
          <w:rFonts w:ascii="Georgia" w:eastAsia="Calibri" w:hAnsi="Georgia" w:cs="Calibri"/>
          <w:lang w:val="it-IT"/>
        </w:rPr>
        <w:t>amente rare sui mercati valutari, ma l'entità di questi scostamenti rende estremamente probabile un apprezzamento di queste valute rispetto</w:t>
      </w:r>
      <w:r>
        <w:rPr>
          <w:rFonts w:ascii="Georgia" w:eastAsia="Calibri" w:hAnsi="Georgia" w:cs="Calibri"/>
          <w:lang w:val="it-IT"/>
        </w:rPr>
        <w:t xml:space="preserve"> al dollaro nel medio termine</w:t>
      </w:r>
      <w:r w:rsidR="22689FF8" w:rsidRPr="009B40B6">
        <w:rPr>
          <w:rFonts w:ascii="Georgia" w:eastAsia="Calibri" w:hAnsi="Georgia" w:cs="Calibri"/>
          <w:lang w:val="it-IT"/>
        </w:rPr>
        <w:t xml:space="preserve">.  </w:t>
      </w:r>
    </w:p>
    <w:p w14:paraId="080B9A38" w14:textId="5267CA29" w:rsidR="0079430A" w:rsidRDefault="005466B6" w:rsidP="00CC2BB7">
      <w:pPr>
        <w:rPr>
          <w:rFonts w:ascii="Georgia" w:eastAsia="Calibri" w:hAnsi="Georgia" w:cs="Calibri"/>
          <w:lang w:val="it-IT"/>
        </w:rPr>
      </w:pPr>
      <w:r w:rsidRPr="005466B6">
        <w:rPr>
          <w:rFonts w:ascii="Georgia" w:eastAsia="Calibri" w:hAnsi="Georgia" w:cs="Calibri"/>
          <w:lang w:val="it-IT"/>
        </w:rPr>
        <w:lastRenderedPageBreak/>
        <w:t xml:space="preserve">Cosa significa </w:t>
      </w:r>
      <w:r w:rsidR="00840C38">
        <w:rPr>
          <w:rFonts w:ascii="Georgia" w:eastAsia="Calibri" w:hAnsi="Georgia" w:cs="Calibri"/>
          <w:lang w:val="it-IT"/>
        </w:rPr>
        <w:t>tutto ciò</w:t>
      </w:r>
      <w:r w:rsidRPr="005466B6">
        <w:rPr>
          <w:rFonts w:ascii="Georgia" w:eastAsia="Calibri" w:hAnsi="Georgia" w:cs="Calibri"/>
          <w:lang w:val="it-IT"/>
        </w:rPr>
        <w:t xml:space="preserve"> per gli inves</w:t>
      </w:r>
      <w:r>
        <w:rPr>
          <w:rFonts w:ascii="Georgia" w:eastAsia="Calibri" w:hAnsi="Georgia" w:cs="Calibri"/>
          <w:lang w:val="it-IT"/>
        </w:rPr>
        <w:t xml:space="preserve">timenti nel </w:t>
      </w:r>
      <w:proofErr w:type="spellStart"/>
      <w:r w:rsidRPr="005466B6">
        <w:rPr>
          <w:rFonts w:ascii="Georgia" w:eastAsia="Calibri" w:hAnsi="Georgia" w:cs="Calibri"/>
          <w:lang w:val="it-IT"/>
        </w:rPr>
        <w:t>real</w:t>
      </w:r>
      <w:proofErr w:type="spellEnd"/>
      <w:r w:rsidRPr="005466B6">
        <w:rPr>
          <w:rFonts w:ascii="Georgia" w:eastAsia="Calibri" w:hAnsi="Georgia" w:cs="Calibri"/>
          <w:lang w:val="it-IT"/>
        </w:rPr>
        <w:t xml:space="preserve"> estate </w:t>
      </w:r>
      <w:r>
        <w:rPr>
          <w:rFonts w:ascii="Georgia" w:eastAsia="Calibri" w:hAnsi="Georgia" w:cs="Calibri"/>
          <w:lang w:val="it-IT"/>
        </w:rPr>
        <w:t>commerciale</w:t>
      </w:r>
      <w:r w:rsidR="22689FF8" w:rsidRPr="005466B6">
        <w:rPr>
          <w:rFonts w:ascii="Georgia" w:eastAsia="Calibri" w:hAnsi="Georgia" w:cs="Calibri"/>
          <w:lang w:val="it-IT"/>
        </w:rPr>
        <w:t xml:space="preserve">? </w:t>
      </w:r>
      <w:r w:rsidR="0079430A" w:rsidRPr="0079430A">
        <w:rPr>
          <w:rFonts w:ascii="Georgia" w:eastAsia="Calibri" w:hAnsi="Georgia" w:cs="Calibri"/>
          <w:lang w:val="it-IT"/>
        </w:rPr>
        <w:t xml:space="preserve">Per gli investitori statunitensi, alcuni mercati globali, in particolare </w:t>
      </w:r>
      <w:r w:rsidR="00840C38">
        <w:rPr>
          <w:rFonts w:ascii="Georgia" w:eastAsia="Calibri" w:hAnsi="Georgia" w:cs="Calibri"/>
          <w:lang w:val="it-IT"/>
        </w:rPr>
        <w:t>l’</w:t>
      </w:r>
      <w:r w:rsidR="0079430A" w:rsidRPr="0079430A">
        <w:rPr>
          <w:rFonts w:ascii="Georgia" w:eastAsia="Calibri" w:hAnsi="Georgia" w:cs="Calibri"/>
          <w:lang w:val="it-IT"/>
        </w:rPr>
        <w:t xml:space="preserve">Europa, </w:t>
      </w:r>
      <w:r w:rsidR="00840C38">
        <w:rPr>
          <w:rFonts w:ascii="Georgia" w:eastAsia="Calibri" w:hAnsi="Georgia" w:cs="Calibri"/>
          <w:lang w:val="it-IT"/>
        </w:rPr>
        <w:t xml:space="preserve">il </w:t>
      </w:r>
      <w:r w:rsidR="0079430A" w:rsidRPr="0079430A">
        <w:rPr>
          <w:rFonts w:ascii="Georgia" w:eastAsia="Calibri" w:hAnsi="Georgia" w:cs="Calibri"/>
          <w:lang w:val="it-IT"/>
        </w:rPr>
        <w:t xml:space="preserve">Giappone e </w:t>
      </w:r>
      <w:r w:rsidR="00840C38">
        <w:rPr>
          <w:rFonts w:ascii="Georgia" w:eastAsia="Calibri" w:hAnsi="Georgia" w:cs="Calibri"/>
          <w:lang w:val="it-IT"/>
        </w:rPr>
        <w:t xml:space="preserve">il </w:t>
      </w:r>
      <w:r w:rsidR="0079430A" w:rsidRPr="0079430A">
        <w:rPr>
          <w:rFonts w:ascii="Georgia" w:eastAsia="Calibri" w:hAnsi="Georgia" w:cs="Calibri"/>
          <w:lang w:val="it-IT"/>
        </w:rPr>
        <w:t xml:space="preserve">Regno Unito, sono effettivamente </w:t>
      </w:r>
      <w:r w:rsidR="0079430A" w:rsidRPr="001B2781">
        <w:rPr>
          <w:rFonts w:ascii="Georgia" w:eastAsia="Calibri" w:hAnsi="Georgia" w:cs="Calibri"/>
          <w:lang w:val="it-IT"/>
        </w:rPr>
        <w:t>in s</w:t>
      </w:r>
      <w:r w:rsidR="00840C38" w:rsidRPr="001B2781">
        <w:rPr>
          <w:rFonts w:ascii="Georgia" w:eastAsia="Calibri" w:hAnsi="Georgia" w:cs="Calibri"/>
          <w:lang w:val="it-IT"/>
        </w:rPr>
        <w:t>aldo</w:t>
      </w:r>
      <w:r w:rsidR="22689FF8" w:rsidRPr="001B2781">
        <w:rPr>
          <w:rFonts w:ascii="Georgia" w:eastAsia="Calibri" w:hAnsi="Georgia" w:cs="Calibri"/>
          <w:lang w:val="it-IT"/>
        </w:rPr>
        <w:t>.</w:t>
      </w:r>
      <w:r w:rsidR="22689FF8" w:rsidRPr="0079430A">
        <w:rPr>
          <w:rFonts w:ascii="Georgia" w:eastAsia="Calibri" w:hAnsi="Georgia" w:cs="Calibri"/>
          <w:lang w:val="it-IT"/>
        </w:rPr>
        <w:t xml:space="preserve"> </w:t>
      </w:r>
      <w:r w:rsidR="0079430A" w:rsidRPr="0079430A">
        <w:rPr>
          <w:rFonts w:ascii="Georgia" w:eastAsia="Calibri" w:hAnsi="Georgia" w:cs="Calibri"/>
          <w:lang w:val="it-IT"/>
        </w:rPr>
        <w:t xml:space="preserve">I rendimenti in dollari saranno probabilmente superiori del 20-40% rispetto ai rendimenti in valuta locale </w:t>
      </w:r>
      <w:r w:rsidR="00172651">
        <w:rPr>
          <w:rFonts w:ascii="Georgia" w:eastAsia="Calibri" w:hAnsi="Georgia" w:cs="Calibri"/>
          <w:lang w:val="it-IT"/>
        </w:rPr>
        <w:t>nel</w:t>
      </w:r>
      <w:r w:rsidR="00840C38">
        <w:rPr>
          <w:rFonts w:ascii="Georgia" w:eastAsia="Calibri" w:hAnsi="Georgia" w:cs="Calibri"/>
          <w:lang w:val="it-IT"/>
        </w:rPr>
        <w:t xml:space="preserve"> caso d</w:t>
      </w:r>
      <w:r w:rsidR="00172651">
        <w:rPr>
          <w:rFonts w:ascii="Georgia" w:eastAsia="Calibri" w:hAnsi="Georgia" w:cs="Calibri"/>
          <w:lang w:val="it-IT"/>
        </w:rPr>
        <w:t>i investimenti</w:t>
      </w:r>
      <w:r w:rsidR="00840C38">
        <w:rPr>
          <w:rFonts w:ascii="Georgia" w:eastAsia="Calibri" w:hAnsi="Georgia" w:cs="Calibri"/>
          <w:lang w:val="it-IT"/>
        </w:rPr>
        <w:t xml:space="preserve"> a medio termine, ma</w:t>
      </w:r>
      <w:r w:rsidR="0079430A" w:rsidRPr="0079430A">
        <w:rPr>
          <w:rFonts w:ascii="Georgia" w:eastAsia="Calibri" w:hAnsi="Georgia" w:cs="Calibri"/>
          <w:lang w:val="it-IT"/>
        </w:rPr>
        <w:t xml:space="preserve"> potrebbero </w:t>
      </w:r>
      <w:r w:rsidR="00840C38">
        <w:rPr>
          <w:rFonts w:ascii="Georgia" w:eastAsia="Calibri" w:hAnsi="Georgia" w:cs="Calibri"/>
          <w:lang w:val="it-IT"/>
        </w:rPr>
        <w:t>risultare</w:t>
      </w:r>
      <w:r w:rsidR="0079430A" w:rsidRPr="0079430A">
        <w:rPr>
          <w:rFonts w:ascii="Georgia" w:eastAsia="Calibri" w:hAnsi="Georgia" w:cs="Calibri"/>
          <w:lang w:val="it-IT"/>
        </w:rPr>
        <w:t xml:space="preserve"> anc</w:t>
      </w:r>
      <w:r w:rsidR="00172651">
        <w:rPr>
          <w:rFonts w:ascii="Georgia" w:eastAsia="Calibri" w:hAnsi="Georgia" w:cs="Calibri"/>
          <w:lang w:val="it-IT"/>
        </w:rPr>
        <w:t>he</w:t>
      </w:r>
      <w:r w:rsidR="0079430A" w:rsidRPr="0079430A">
        <w:rPr>
          <w:rFonts w:ascii="Georgia" w:eastAsia="Calibri" w:hAnsi="Georgia" w:cs="Calibri"/>
          <w:lang w:val="it-IT"/>
        </w:rPr>
        <w:t xml:space="preserve"> più elevati</w:t>
      </w:r>
      <w:r w:rsidR="00840C38">
        <w:rPr>
          <w:rFonts w:ascii="Georgia" w:eastAsia="Calibri" w:hAnsi="Georgia" w:cs="Calibri"/>
          <w:lang w:val="it-IT"/>
        </w:rPr>
        <w:t>,</w:t>
      </w:r>
      <w:r w:rsidR="0079430A" w:rsidRPr="0079430A">
        <w:rPr>
          <w:rFonts w:ascii="Georgia" w:eastAsia="Calibri" w:hAnsi="Georgia" w:cs="Calibri"/>
          <w:lang w:val="it-IT"/>
        </w:rPr>
        <w:t xml:space="preserve"> perché i mercati valutari tendono a</w:t>
      </w:r>
      <w:r w:rsidR="00840C38">
        <w:rPr>
          <w:rFonts w:ascii="Georgia" w:eastAsia="Calibri" w:hAnsi="Georgia" w:cs="Calibri"/>
          <w:lang w:val="it-IT"/>
        </w:rPr>
        <w:t>d</w:t>
      </w:r>
      <w:r w:rsidR="0079430A" w:rsidRPr="0079430A">
        <w:rPr>
          <w:rFonts w:ascii="Georgia" w:eastAsia="Calibri" w:hAnsi="Georgia" w:cs="Calibri"/>
          <w:lang w:val="it-IT"/>
        </w:rPr>
        <w:t xml:space="preserve"> </w:t>
      </w:r>
      <w:r w:rsidR="00172651">
        <w:rPr>
          <w:rFonts w:ascii="Georgia" w:eastAsia="Calibri" w:hAnsi="Georgia" w:cs="Calibri"/>
          <w:lang w:val="it-IT"/>
        </w:rPr>
        <w:t>and</w:t>
      </w:r>
      <w:r w:rsidR="0079430A" w:rsidRPr="0079430A">
        <w:rPr>
          <w:rFonts w:ascii="Georgia" w:eastAsia="Calibri" w:hAnsi="Georgia" w:cs="Calibri"/>
          <w:lang w:val="it-IT"/>
        </w:rPr>
        <w:t>are</w:t>
      </w:r>
      <w:r w:rsidR="00172651">
        <w:rPr>
          <w:rFonts w:ascii="Georgia" w:eastAsia="Calibri" w:hAnsi="Georgia" w:cs="Calibri"/>
          <w:lang w:val="it-IT"/>
        </w:rPr>
        <w:t xml:space="preserve"> in </w:t>
      </w:r>
      <w:r w:rsidR="00172651" w:rsidRPr="00172651">
        <w:rPr>
          <w:rFonts w:ascii="Georgia" w:eastAsia="Calibri" w:hAnsi="Georgia" w:cs="Calibri"/>
          <w:i/>
          <w:lang w:val="it-IT"/>
        </w:rPr>
        <w:t>overshooting</w:t>
      </w:r>
      <w:r w:rsidR="00172651">
        <w:rPr>
          <w:rFonts w:ascii="Georgia" w:eastAsia="Calibri" w:hAnsi="Georgia" w:cs="Calibri"/>
          <w:lang w:val="it-IT"/>
        </w:rPr>
        <w:t xml:space="preserve"> nelle</w:t>
      </w:r>
      <w:r w:rsidR="0079430A" w:rsidRPr="0079430A">
        <w:rPr>
          <w:rFonts w:ascii="Georgia" w:eastAsia="Calibri" w:hAnsi="Georgia" w:cs="Calibri"/>
          <w:lang w:val="it-IT"/>
        </w:rPr>
        <w:t xml:space="preserve"> fas</w:t>
      </w:r>
      <w:r w:rsidR="00172651">
        <w:rPr>
          <w:rFonts w:ascii="Georgia" w:eastAsia="Calibri" w:hAnsi="Georgia" w:cs="Calibri"/>
          <w:lang w:val="it-IT"/>
        </w:rPr>
        <w:t>i</w:t>
      </w:r>
      <w:r w:rsidR="0079430A" w:rsidRPr="0079430A">
        <w:rPr>
          <w:rFonts w:ascii="Georgia" w:eastAsia="Calibri" w:hAnsi="Georgia" w:cs="Calibri"/>
          <w:lang w:val="it-IT"/>
        </w:rPr>
        <w:t xml:space="preserve"> di correzione</w:t>
      </w:r>
      <w:r w:rsidR="00172651">
        <w:rPr>
          <w:rFonts w:ascii="Georgia" w:eastAsia="Calibri" w:hAnsi="Georgia" w:cs="Calibri"/>
          <w:lang w:val="it-IT"/>
        </w:rPr>
        <w:t>.</w:t>
      </w:r>
      <w:r w:rsidR="00172651" w:rsidRPr="00172651">
        <w:rPr>
          <w:lang w:val="it-IT"/>
        </w:rPr>
        <w:t xml:space="preserve"> </w:t>
      </w:r>
      <w:r w:rsidR="00172651" w:rsidRPr="00172651">
        <w:rPr>
          <w:rFonts w:ascii="Georgia" w:eastAsia="Calibri" w:hAnsi="Georgia" w:cs="Calibri"/>
          <w:lang w:val="it-IT"/>
        </w:rPr>
        <w:t>Un</w:t>
      </w:r>
      <w:r w:rsidR="00172651">
        <w:rPr>
          <w:rFonts w:ascii="Georgia" w:eastAsia="Calibri" w:hAnsi="Georgia" w:cs="Calibri"/>
          <w:lang w:val="it-IT"/>
        </w:rPr>
        <w:t>a</w:t>
      </w:r>
      <w:r w:rsidR="00172651" w:rsidRPr="00172651">
        <w:rPr>
          <w:rFonts w:ascii="Georgia" w:eastAsia="Calibri" w:hAnsi="Georgia" w:cs="Calibri"/>
          <w:lang w:val="it-IT"/>
        </w:rPr>
        <w:t xml:space="preserve"> s</w:t>
      </w:r>
      <w:r w:rsidR="00172651">
        <w:rPr>
          <w:rFonts w:ascii="Georgia" w:eastAsia="Calibri" w:hAnsi="Georgia" w:cs="Calibri"/>
          <w:lang w:val="it-IT"/>
        </w:rPr>
        <w:t>ituazione di</w:t>
      </w:r>
      <w:r w:rsidR="00172651" w:rsidRPr="00172651">
        <w:rPr>
          <w:rFonts w:ascii="Georgia" w:eastAsia="Calibri" w:hAnsi="Georgia" w:cs="Calibri"/>
          <w:i/>
          <w:lang w:val="it-IT"/>
        </w:rPr>
        <w:t xml:space="preserve"> overshooting</w:t>
      </w:r>
      <w:r w:rsidR="00172651" w:rsidRPr="00172651">
        <w:rPr>
          <w:rFonts w:ascii="Georgia" w:eastAsia="Calibri" w:hAnsi="Georgia" w:cs="Calibri"/>
          <w:lang w:val="it-IT"/>
        </w:rPr>
        <w:t xml:space="preserve"> durante la fase di correzione portereb</w:t>
      </w:r>
      <w:r w:rsidR="00840C38">
        <w:rPr>
          <w:rFonts w:ascii="Georgia" w:eastAsia="Calibri" w:hAnsi="Georgia" w:cs="Calibri"/>
          <w:lang w:val="it-IT"/>
        </w:rPr>
        <w:t>be queste valute al di sopra del loro tasso</w:t>
      </w:r>
      <w:r w:rsidR="00172651" w:rsidRPr="00172651">
        <w:rPr>
          <w:rFonts w:ascii="Georgia" w:eastAsia="Calibri" w:hAnsi="Georgia" w:cs="Calibri"/>
          <w:lang w:val="it-IT"/>
        </w:rPr>
        <w:t xml:space="preserve"> di cambio medi</w:t>
      </w:r>
      <w:r w:rsidR="00840C38">
        <w:rPr>
          <w:rFonts w:ascii="Georgia" w:eastAsia="Calibri" w:hAnsi="Georgia" w:cs="Calibri"/>
          <w:lang w:val="it-IT"/>
        </w:rPr>
        <w:t>o</w:t>
      </w:r>
      <w:r w:rsidR="00172651" w:rsidRPr="00172651">
        <w:rPr>
          <w:rFonts w:ascii="Georgia" w:eastAsia="Calibri" w:hAnsi="Georgia" w:cs="Calibri"/>
          <w:lang w:val="it-IT"/>
        </w:rPr>
        <w:t xml:space="preserve"> di lungo periodo rispetto al dollaro.</w:t>
      </w:r>
      <w:r w:rsidR="00172651" w:rsidRPr="00172651">
        <w:rPr>
          <w:lang w:val="it-IT"/>
        </w:rPr>
        <w:t xml:space="preserve"> </w:t>
      </w:r>
      <w:r w:rsidR="00172651" w:rsidRPr="00172651">
        <w:rPr>
          <w:rFonts w:ascii="Georgia" w:eastAsia="Calibri" w:hAnsi="Georgia" w:cs="Calibri"/>
          <w:lang w:val="it-IT"/>
        </w:rPr>
        <w:t xml:space="preserve">L'impatto </w:t>
      </w:r>
      <w:r w:rsidR="001B2781" w:rsidRPr="00172651">
        <w:rPr>
          <w:rFonts w:ascii="Georgia" w:eastAsia="Calibri" w:hAnsi="Georgia" w:cs="Calibri"/>
          <w:lang w:val="it-IT"/>
        </w:rPr>
        <w:t xml:space="preserve">di </w:t>
      </w:r>
      <w:r w:rsidR="001B2781">
        <w:rPr>
          <w:rFonts w:ascii="Georgia" w:eastAsia="Calibri" w:hAnsi="Georgia" w:cs="Calibri"/>
          <w:lang w:val="it-IT"/>
        </w:rPr>
        <w:t xml:space="preserve">una </w:t>
      </w:r>
      <w:r w:rsidR="001B2781" w:rsidRPr="00172651">
        <w:rPr>
          <w:rFonts w:ascii="Georgia" w:eastAsia="Calibri" w:hAnsi="Georgia" w:cs="Calibri"/>
          <w:lang w:val="it-IT"/>
        </w:rPr>
        <w:t>correzion</w:t>
      </w:r>
      <w:r w:rsidR="001B2781">
        <w:rPr>
          <w:rFonts w:ascii="Georgia" w:eastAsia="Calibri" w:hAnsi="Georgia" w:cs="Calibri"/>
          <w:lang w:val="it-IT"/>
        </w:rPr>
        <w:t>e</w:t>
      </w:r>
      <w:r w:rsidR="001B2781" w:rsidRPr="00172651">
        <w:rPr>
          <w:rFonts w:ascii="Georgia" w:eastAsia="Calibri" w:hAnsi="Georgia" w:cs="Calibri"/>
          <w:lang w:val="it-IT"/>
        </w:rPr>
        <w:t xml:space="preserve"> di questo tipo </w:t>
      </w:r>
      <w:r w:rsidR="00172651" w:rsidRPr="00172651">
        <w:rPr>
          <w:rFonts w:ascii="Georgia" w:eastAsia="Calibri" w:hAnsi="Georgia" w:cs="Calibri"/>
          <w:lang w:val="it-IT"/>
        </w:rPr>
        <w:t>sui rendimenti</w:t>
      </w:r>
      <w:r w:rsidR="00840C38">
        <w:rPr>
          <w:rFonts w:ascii="Georgia" w:eastAsia="Calibri" w:hAnsi="Georgia" w:cs="Calibri"/>
          <w:lang w:val="it-IT"/>
        </w:rPr>
        <w:t>,</w:t>
      </w:r>
      <w:r w:rsidR="00172651" w:rsidRPr="00172651">
        <w:rPr>
          <w:rFonts w:ascii="Georgia" w:eastAsia="Calibri" w:hAnsi="Georgia" w:cs="Calibri"/>
          <w:lang w:val="it-IT"/>
        </w:rPr>
        <w:t xml:space="preserve"> in un periodo di cinque anni</w:t>
      </w:r>
      <w:r w:rsidR="00840C38">
        <w:rPr>
          <w:rFonts w:ascii="Georgia" w:eastAsia="Calibri" w:hAnsi="Georgia" w:cs="Calibri"/>
          <w:lang w:val="it-IT"/>
        </w:rPr>
        <w:t>,</w:t>
      </w:r>
      <w:r w:rsidR="00172651" w:rsidRPr="00172651">
        <w:rPr>
          <w:rFonts w:ascii="Georgia" w:eastAsia="Calibri" w:hAnsi="Georgia" w:cs="Calibri"/>
          <w:lang w:val="it-IT"/>
        </w:rPr>
        <w:t xml:space="preserve"> potrebbe essere </w:t>
      </w:r>
      <w:r w:rsidR="00172651">
        <w:rPr>
          <w:rFonts w:ascii="Georgia" w:eastAsia="Calibri" w:hAnsi="Georgia" w:cs="Calibri"/>
          <w:lang w:val="it-IT"/>
        </w:rPr>
        <w:t>de</w:t>
      </w:r>
      <w:r w:rsidR="00172651" w:rsidRPr="00172651">
        <w:rPr>
          <w:rFonts w:ascii="Georgia" w:eastAsia="Calibri" w:hAnsi="Georgia" w:cs="Calibri"/>
          <w:lang w:val="it-IT"/>
        </w:rPr>
        <w:t>l 4%-10%</w:t>
      </w:r>
      <w:r w:rsidR="00172651">
        <w:rPr>
          <w:rFonts w:ascii="Georgia" w:eastAsia="Calibri" w:hAnsi="Georgia" w:cs="Calibri"/>
          <w:lang w:val="it-IT"/>
        </w:rPr>
        <w:t xml:space="preserve"> e</w:t>
      </w:r>
      <w:r w:rsidR="00172651" w:rsidRPr="00172651">
        <w:rPr>
          <w:rFonts w:ascii="Georgia" w:eastAsia="Calibri" w:hAnsi="Georgia" w:cs="Calibri"/>
          <w:lang w:val="it-IT"/>
        </w:rPr>
        <w:t xml:space="preserve"> trasform</w:t>
      </w:r>
      <w:r w:rsidR="00172651">
        <w:rPr>
          <w:rFonts w:ascii="Georgia" w:eastAsia="Calibri" w:hAnsi="Georgia" w:cs="Calibri"/>
          <w:lang w:val="it-IT"/>
        </w:rPr>
        <w:t>erebbe</w:t>
      </w:r>
      <w:r w:rsidR="00172651" w:rsidRPr="00172651">
        <w:rPr>
          <w:rFonts w:ascii="Georgia" w:eastAsia="Calibri" w:hAnsi="Georgia" w:cs="Calibri"/>
          <w:lang w:val="it-IT"/>
        </w:rPr>
        <w:t xml:space="preserve"> anche investimenti poco brillanti nell'UE, nel Regno Unito e in Giappone in risultati eccellenti per gli investitori statunitensi.  </w:t>
      </w:r>
      <w:r w:rsidR="001B2781">
        <w:rPr>
          <w:rFonts w:ascii="Georgia" w:eastAsia="Calibri" w:hAnsi="Georgia" w:cs="Calibri"/>
          <w:lang w:val="it-IT"/>
        </w:rPr>
        <w:t xml:space="preserve"> </w:t>
      </w:r>
    </w:p>
    <w:p w14:paraId="688C8BA2" w14:textId="77777777" w:rsidR="00172651" w:rsidRPr="005872E2" w:rsidRDefault="00172651">
      <w:pPr>
        <w:rPr>
          <w:rFonts w:ascii="Georgia" w:eastAsia="Calibri" w:hAnsi="Georgia" w:cs="Calibri"/>
          <w:u w:val="single"/>
          <w:lang w:val="it-IT"/>
        </w:rPr>
      </w:pPr>
    </w:p>
    <w:p w14:paraId="3F8C9E6C" w14:textId="42CBBB14" w:rsidR="0035161D" w:rsidRPr="00840C38" w:rsidRDefault="00FC53A7">
      <w:pPr>
        <w:rPr>
          <w:rFonts w:ascii="Georgia" w:eastAsia="Calibri" w:hAnsi="Georgia" w:cs="Calibri"/>
          <w:u w:val="single"/>
          <w:lang w:val="it-IT"/>
        </w:rPr>
      </w:pPr>
      <w:r w:rsidRPr="00840C38">
        <w:rPr>
          <w:rFonts w:ascii="Georgia" w:eastAsia="Calibri" w:hAnsi="Georgia" w:cs="Calibri"/>
          <w:u w:val="single"/>
          <w:lang w:val="it-IT"/>
        </w:rPr>
        <w:t>5</w:t>
      </w:r>
      <w:r w:rsidR="0068283F" w:rsidRPr="00840C38">
        <w:rPr>
          <w:rFonts w:ascii="Georgia" w:eastAsia="Calibri" w:hAnsi="Georgia" w:cs="Calibri"/>
          <w:u w:val="single"/>
          <w:lang w:val="it-IT"/>
        </w:rPr>
        <w:t>:</w:t>
      </w:r>
      <w:r w:rsidR="00AC2649" w:rsidRPr="00840C38">
        <w:rPr>
          <w:rFonts w:ascii="Georgia" w:eastAsia="Calibri" w:hAnsi="Georgia" w:cstheme="minorHAnsi"/>
          <w:u w:val="single"/>
          <w:lang w:val="it-IT"/>
        </w:rPr>
        <w:t xml:space="preserve"> </w:t>
      </w:r>
      <w:r w:rsidR="00840C38" w:rsidRPr="00840C38">
        <w:rPr>
          <w:rFonts w:ascii="Georgia" w:eastAsiaTheme="majorEastAsia" w:hAnsi="Georgia" w:cstheme="minorHAnsi"/>
          <w:kern w:val="24"/>
          <w:u w:val="single"/>
          <w:lang w:val="it-IT"/>
        </w:rPr>
        <w:t>Il valore in doll</w:t>
      </w:r>
      <w:r w:rsidR="001B2781">
        <w:rPr>
          <w:rFonts w:ascii="Georgia" w:eastAsiaTheme="majorEastAsia" w:hAnsi="Georgia" w:cstheme="minorHAnsi"/>
          <w:kern w:val="24"/>
          <w:u w:val="single"/>
          <w:lang w:val="it-IT"/>
        </w:rPr>
        <w:t>ari degli immobili commerciali n</w:t>
      </w:r>
      <w:r w:rsidR="00840C38" w:rsidRPr="00840C38">
        <w:rPr>
          <w:rFonts w:ascii="Georgia" w:eastAsiaTheme="majorEastAsia" w:hAnsi="Georgia" w:cstheme="minorHAnsi"/>
          <w:kern w:val="24"/>
          <w:u w:val="single"/>
          <w:lang w:val="it-IT"/>
        </w:rPr>
        <w:t>el Regno Unito è sceso al livello più basso dalla fine della crisi finanziaria globale</w:t>
      </w:r>
    </w:p>
    <w:p w14:paraId="308F5F6A" w14:textId="17A833A2" w:rsidR="0035161D" w:rsidRPr="009D74CF" w:rsidRDefault="00CA764F">
      <w:pPr>
        <w:rPr>
          <w:rFonts w:ascii="Georgia" w:hAnsi="Georgia"/>
          <w:sz w:val="16"/>
          <w:szCs w:val="16"/>
        </w:rPr>
      </w:pPr>
      <w:r w:rsidRPr="009D74CF">
        <w:rPr>
          <w:rFonts w:ascii="Georgia" w:hAnsi="Georgia"/>
          <w:noProof/>
          <w:lang w:val="it-IT" w:eastAsia="it-IT"/>
        </w:rPr>
        <w:drawing>
          <wp:inline distT="0" distB="0" distL="0" distR="0" wp14:anchorId="2AD17A6F" wp14:editId="57C4B2BA">
            <wp:extent cx="5943600" cy="2668270"/>
            <wp:effectExtent l="0" t="0" r="0" b="1778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0C792D27-361D-44CE-A0B6-F605817560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B85092" w14:textId="0D635BDA" w:rsidR="5E9789BA" w:rsidRPr="005872E2" w:rsidRDefault="00AC2649" w:rsidP="5E9789BA">
      <w:pPr>
        <w:spacing w:before="240" w:after="0" w:line="240" w:lineRule="auto"/>
        <w:rPr>
          <w:rFonts w:ascii="Georgia" w:hAnsi="Georgia"/>
          <w:sz w:val="16"/>
          <w:szCs w:val="16"/>
          <w:lang w:val="it-IT"/>
        </w:rPr>
      </w:pPr>
      <w:r w:rsidRPr="005872E2">
        <w:rPr>
          <w:rFonts w:ascii="Georgia" w:hAnsi="Georgia"/>
          <w:sz w:val="16"/>
          <w:szCs w:val="16"/>
          <w:lang w:val="it-IT"/>
        </w:rPr>
        <w:t xml:space="preserve">Source: MSCI, </w:t>
      </w:r>
      <w:proofErr w:type="spellStart"/>
      <w:r w:rsidRPr="005872E2">
        <w:rPr>
          <w:rFonts w:ascii="Georgia" w:hAnsi="Georgia"/>
          <w:sz w:val="16"/>
          <w:szCs w:val="16"/>
          <w:lang w:val="it-IT"/>
        </w:rPr>
        <w:t>Nuveen</w:t>
      </w:r>
      <w:proofErr w:type="spellEnd"/>
      <w:r w:rsidR="001B55A4" w:rsidRPr="005872E2">
        <w:rPr>
          <w:rFonts w:ascii="Georgia" w:hAnsi="Georgia"/>
          <w:sz w:val="16"/>
          <w:szCs w:val="16"/>
          <w:lang w:val="it-IT"/>
        </w:rPr>
        <w:t xml:space="preserve"> 2022</w:t>
      </w:r>
    </w:p>
    <w:p w14:paraId="14CA3CB4" w14:textId="77777777" w:rsidR="00634803" w:rsidRPr="005872E2" w:rsidRDefault="00634803" w:rsidP="00F27C80">
      <w:pPr>
        <w:spacing w:before="240" w:after="0" w:line="240" w:lineRule="auto"/>
        <w:rPr>
          <w:rFonts w:ascii="Georgia" w:eastAsia="Times New Roman" w:hAnsi="Georgia"/>
          <w:lang w:val="it-IT"/>
        </w:rPr>
      </w:pPr>
    </w:p>
    <w:p w14:paraId="487EEA6B" w14:textId="77777777" w:rsidR="008331A1" w:rsidRPr="005872E2" w:rsidRDefault="008331A1">
      <w:pPr>
        <w:rPr>
          <w:rFonts w:ascii="Georgia" w:eastAsiaTheme="majorEastAsia" w:hAnsi="Georgia" w:cstheme="majorBidi"/>
          <w:b/>
          <w:color w:val="2F5496" w:themeColor="accent1" w:themeShade="BF"/>
          <w:sz w:val="32"/>
          <w:szCs w:val="32"/>
          <w:lang w:val="it-IT"/>
        </w:rPr>
      </w:pPr>
      <w:r w:rsidRPr="005872E2">
        <w:rPr>
          <w:rFonts w:ascii="Georgia" w:hAnsi="Georgia"/>
          <w:lang w:val="it-IT"/>
        </w:rPr>
        <w:br w:type="page"/>
      </w:r>
    </w:p>
    <w:p w14:paraId="0C7558A6" w14:textId="44AD66F7" w:rsidR="00F27C80" w:rsidRPr="00CA7102" w:rsidRDefault="00CA7102" w:rsidP="00185F49">
      <w:pPr>
        <w:pStyle w:val="Titolo1"/>
        <w:rPr>
          <w:rFonts w:ascii="Georgia" w:hAnsi="Georgia"/>
          <w:lang w:val="it-IT"/>
        </w:rPr>
      </w:pPr>
      <w:r w:rsidRPr="00CA7102">
        <w:rPr>
          <w:rFonts w:ascii="Georgia" w:hAnsi="Georgia"/>
          <w:lang w:val="it-IT"/>
        </w:rPr>
        <w:lastRenderedPageBreak/>
        <w:t>T</w:t>
      </w:r>
      <w:r w:rsidR="00185F49" w:rsidRPr="00CA7102">
        <w:rPr>
          <w:rFonts w:ascii="Georgia" w:hAnsi="Georgia"/>
          <w:lang w:val="it-IT"/>
        </w:rPr>
        <w:t>em</w:t>
      </w:r>
      <w:r w:rsidRPr="00CA7102">
        <w:rPr>
          <w:rFonts w:ascii="Georgia" w:hAnsi="Georgia"/>
          <w:lang w:val="it-IT"/>
        </w:rPr>
        <w:t>a</w:t>
      </w:r>
      <w:r w:rsidR="00185F49" w:rsidRPr="00CA7102">
        <w:rPr>
          <w:rFonts w:ascii="Georgia" w:hAnsi="Georgia"/>
          <w:lang w:val="it-IT"/>
        </w:rPr>
        <w:t xml:space="preserve"> 3: </w:t>
      </w:r>
      <w:r w:rsidR="008928F3" w:rsidRPr="001B2781">
        <w:rPr>
          <w:rFonts w:ascii="Georgia" w:hAnsi="Georgia"/>
          <w:lang w:val="it-IT"/>
        </w:rPr>
        <w:t>Maggiore peso agli investimenti alternativi</w:t>
      </w:r>
    </w:p>
    <w:p w14:paraId="4AB77D0E" w14:textId="3CF278D6" w:rsidR="0012124A" w:rsidRPr="0012124A" w:rsidRDefault="0001039E" w:rsidP="00CC2BB7">
      <w:pPr>
        <w:spacing w:before="240" w:after="0" w:line="240" w:lineRule="auto"/>
        <w:rPr>
          <w:rFonts w:ascii="Georgia" w:eastAsia="Times New Roman" w:hAnsi="Georgia"/>
          <w:lang w:val="it-IT"/>
        </w:rPr>
      </w:pPr>
      <w:r>
        <w:rPr>
          <w:rFonts w:ascii="Georgia" w:eastAsia="Times New Roman" w:hAnsi="Georgia"/>
          <w:lang w:val="it-IT"/>
        </w:rPr>
        <w:t>Nel 2022 lo</w:t>
      </w:r>
      <w:r w:rsidR="0012124A" w:rsidRPr="0012124A">
        <w:rPr>
          <w:rFonts w:ascii="Georgia" w:eastAsia="Times New Roman" w:hAnsi="Georgia"/>
          <w:lang w:val="it-IT"/>
        </w:rPr>
        <w:t xml:space="preserve"> spread dei mutui commerciali si </w:t>
      </w:r>
      <w:r>
        <w:rPr>
          <w:rFonts w:ascii="Georgia" w:eastAsia="Times New Roman" w:hAnsi="Georgia"/>
          <w:lang w:val="it-IT"/>
        </w:rPr>
        <w:t>è</w:t>
      </w:r>
      <w:r w:rsidR="0012124A" w:rsidRPr="0012124A">
        <w:rPr>
          <w:rFonts w:ascii="Georgia" w:eastAsia="Times New Roman" w:hAnsi="Georgia"/>
          <w:lang w:val="it-IT"/>
        </w:rPr>
        <w:t xml:space="preserve"> notevolmente am</w:t>
      </w:r>
      <w:r>
        <w:rPr>
          <w:rFonts w:ascii="Georgia" w:eastAsia="Times New Roman" w:hAnsi="Georgia"/>
          <w:lang w:val="it-IT"/>
        </w:rPr>
        <w:t>pliato per tutte le tipologie del</w:t>
      </w:r>
      <w:r w:rsidR="0012124A" w:rsidRPr="0012124A">
        <w:rPr>
          <w:rFonts w:ascii="Georgia" w:eastAsia="Times New Roman" w:hAnsi="Georgia"/>
          <w:lang w:val="it-IT"/>
        </w:rPr>
        <w:t xml:space="preserve"> credito immobiliare commerciale, per i prestiti core, per i prestiti ponte e per i prestiti </w:t>
      </w:r>
      <w:r w:rsidR="0012124A">
        <w:rPr>
          <w:rFonts w:ascii="Georgia" w:eastAsia="Times New Roman" w:hAnsi="Georgia"/>
          <w:lang w:val="it-IT"/>
        </w:rPr>
        <w:t>d</w:t>
      </w:r>
      <w:r w:rsidR="0012124A" w:rsidRPr="0012124A">
        <w:rPr>
          <w:rFonts w:ascii="Georgia" w:eastAsia="Times New Roman" w:hAnsi="Georgia"/>
          <w:lang w:val="it-IT"/>
        </w:rPr>
        <w:t>i</w:t>
      </w:r>
      <w:r w:rsidR="0012124A">
        <w:rPr>
          <w:rFonts w:ascii="Georgia" w:eastAsia="Times New Roman" w:hAnsi="Georgia"/>
          <w:lang w:val="it-IT"/>
        </w:rPr>
        <w:t xml:space="preserve"> costruzione</w:t>
      </w:r>
      <w:r w:rsidR="0012124A" w:rsidRPr="0012124A">
        <w:rPr>
          <w:rFonts w:ascii="Georgia" w:eastAsia="Times New Roman" w:hAnsi="Georgia"/>
          <w:lang w:val="it-IT"/>
        </w:rPr>
        <w:t>, a causa della volatilità dei tassi d'interesse e dei vincoli di liquidità, in quanto il merca</w:t>
      </w:r>
      <w:r w:rsidR="0012124A" w:rsidRPr="0001039E">
        <w:rPr>
          <w:rFonts w:ascii="Georgia" w:eastAsia="Times New Roman" w:hAnsi="Georgia"/>
          <w:lang w:val="it-IT"/>
        </w:rPr>
        <w:t xml:space="preserve">to </w:t>
      </w:r>
      <w:r>
        <w:rPr>
          <w:rFonts w:ascii="Georgia" w:eastAsia="Times New Roman" w:hAnsi="Georgia"/>
          <w:lang w:val="it-IT"/>
        </w:rPr>
        <w:t>ha</w:t>
      </w:r>
      <w:r w:rsidR="0012124A" w:rsidRPr="0001039E">
        <w:rPr>
          <w:rFonts w:ascii="Georgia" w:eastAsia="Times New Roman" w:hAnsi="Georgia"/>
          <w:lang w:val="it-IT"/>
        </w:rPr>
        <w:t xml:space="preserve"> </w:t>
      </w:r>
      <w:proofErr w:type="spellStart"/>
      <w:r w:rsidR="0012124A" w:rsidRPr="0001039E">
        <w:rPr>
          <w:rFonts w:ascii="Georgia" w:eastAsia="Times New Roman" w:hAnsi="Georgia"/>
          <w:lang w:val="it-IT"/>
        </w:rPr>
        <w:t>riprezzato</w:t>
      </w:r>
      <w:proofErr w:type="spellEnd"/>
      <w:r w:rsidR="0012124A" w:rsidRPr="0001039E">
        <w:rPr>
          <w:rFonts w:ascii="Georgia" w:eastAsia="Times New Roman" w:hAnsi="Georgia"/>
          <w:lang w:val="it-IT"/>
        </w:rPr>
        <w:t xml:space="preserve"> a</w:t>
      </w:r>
      <w:r w:rsidR="0012124A" w:rsidRPr="0012124A">
        <w:rPr>
          <w:rFonts w:ascii="Georgia" w:eastAsia="Times New Roman" w:hAnsi="Georgia"/>
          <w:lang w:val="it-IT"/>
        </w:rPr>
        <w:t xml:space="preserve"> un costo del capitale più elevato.</w:t>
      </w:r>
      <w:r w:rsidR="00FA4FD1">
        <w:rPr>
          <w:rFonts w:ascii="Georgia" w:eastAsia="Times New Roman" w:hAnsi="Georgia"/>
          <w:lang w:val="it-IT"/>
        </w:rPr>
        <w:t xml:space="preserve"> </w:t>
      </w:r>
      <w:r w:rsidR="00FA4FD1" w:rsidRPr="00FA4FD1">
        <w:rPr>
          <w:rFonts w:ascii="Georgia" w:eastAsia="Times New Roman" w:hAnsi="Georgia"/>
          <w:lang w:val="it-IT"/>
        </w:rPr>
        <w:t>Tuttavia, gli standard di sottoscrizione si s</w:t>
      </w:r>
      <w:r>
        <w:rPr>
          <w:rFonts w:ascii="Georgia" w:eastAsia="Times New Roman" w:hAnsi="Georgia"/>
          <w:lang w:val="it-IT"/>
        </w:rPr>
        <w:t>ono consolidati. L'aumento dello</w:t>
      </w:r>
      <w:r w:rsidR="00FA4FD1" w:rsidRPr="00FA4FD1">
        <w:rPr>
          <w:rFonts w:ascii="Georgia" w:eastAsia="Times New Roman" w:hAnsi="Georgia"/>
          <w:lang w:val="it-IT"/>
        </w:rPr>
        <w:t xml:space="preserve"> </w:t>
      </w:r>
      <w:r w:rsidR="00FA4FD1">
        <w:rPr>
          <w:rFonts w:ascii="Georgia" w:eastAsia="Times New Roman" w:hAnsi="Georgia"/>
          <w:lang w:val="it-IT"/>
        </w:rPr>
        <w:t>spread e dei tassi di credito v</w:t>
      </w:r>
      <w:r w:rsidR="00FA4FD1" w:rsidRPr="00FA4FD1">
        <w:rPr>
          <w:rFonts w:ascii="Georgia" w:eastAsia="Times New Roman" w:hAnsi="Georgia"/>
          <w:lang w:val="it-IT"/>
        </w:rPr>
        <w:t>a</w:t>
      </w:r>
      <w:r w:rsidR="00FA4FD1">
        <w:rPr>
          <w:rFonts w:ascii="Georgia" w:eastAsia="Times New Roman" w:hAnsi="Georgia"/>
          <w:lang w:val="it-IT"/>
        </w:rPr>
        <w:t xml:space="preserve"> a</w:t>
      </w:r>
      <w:r w:rsidR="00FA4FD1" w:rsidRPr="00FA4FD1">
        <w:rPr>
          <w:rFonts w:ascii="Georgia" w:eastAsia="Times New Roman" w:hAnsi="Georgia"/>
          <w:lang w:val="it-IT"/>
        </w:rPr>
        <w:t xml:space="preserve"> incide</w:t>
      </w:r>
      <w:r w:rsidR="00FA4FD1">
        <w:rPr>
          <w:rFonts w:ascii="Georgia" w:eastAsia="Times New Roman" w:hAnsi="Georgia"/>
          <w:lang w:val="it-IT"/>
        </w:rPr>
        <w:t>re</w:t>
      </w:r>
      <w:r w:rsidR="00FA4FD1" w:rsidRPr="00FA4FD1">
        <w:rPr>
          <w:rFonts w:ascii="Georgia" w:eastAsia="Times New Roman" w:hAnsi="Georgia"/>
          <w:lang w:val="it-IT"/>
        </w:rPr>
        <w:t xml:space="preserve"> su</w:t>
      </w:r>
      <w:r w:rsidR="007227C7">
        <w:rPr>
          <w:rFonts w:ascii="Georgia" w:eastAsia="Times New Roman" w:hAnsi="Georgia"/>
          <w:lang w:val="it-IT"/>
        </w:rPr>
        <w:t>gl</w:t>
      </w:r>
      <w:r w:rsidR="00FA4FD1" w:rsidRPr="00FA4FD1">
        <w:rPr>
          <w:rFonts w:ascii="Georgia" w:eastAsia="Times New Roman" w:hAnsi="Georgia"/>
          <w:lang w:val="it-IT"/>
        </w:rPr>
        <w:t xml:space="preserve">i </w:t>
      </w:r>
      <w:r w:rsidR="007227C7" w:rsidRPr="00DA116A">
        <w:rPr>
          <w:rFonts w:ascii="Georgia" w:eastAsia="Times New Roman" w:hAnsi="Georgia"/>
          <w:lang w:val="it-IT"/>
        </w:rPr>
        <w:t>indic</w:t>
      </w:r>
      <w:r w:rsidR="00FA4FD1" w:rsidRPr="00DA116A">
        <w:rPr>
          <w:rFonts w:ascii="Georgia" w:eastAsia="Times New Roman" w:hAnsi="Georgia"/>
          <w:lang w:val="it-IT"/>
        </w:rPr>
        <w:t>i</w:t>
      </w:r>
      <w:r w:rsidR="00FA4FD1" w:rsidRPr="00FA4FD1">
        <w:rPr>
          <w:rFonts w:ascii="Georgia" w:eastAsia="Times New Roman" w:hAnsi="Georgia"/>
          <w:lang w:val="it-IT"/>
        </w:rPr>
        <w:t xml:space="preserve"> di copertura dei prestiti a tasso fisso e variabile, esercitando un</w:t>
      </w:r>
      <w:r w:rsidR="007227C7">
        <w:rPr>
          <w:rFonts w:ascii="Georgia" w:eastAsia="Times New Roman" w:hAnsi="Georgia"/>
          <w:lang w:val="it-IT"/>
        </w:rPr>
        <w:t xml:space="preserve">a pressione al rialzo sui </w:t>
      </w:r>
      <w:proofErr w:type="spellStart"/>
      <w:r w:rsidR="00FA4FD1" w:rsidRPr="00FA4FD1">
        <w:rPr>
          <w:rFonts w:ascii="Georgia" w:eastAsia="Times New Roman" w:hAnsi="Georgia"/>
          <w:lang w:val="it-IT"/>
        </w:rPr>
        <w:t>cap</w:t>
      </w:r>
      <w:proofErr w:type="spellEnd"/>
      <w:r w:rsidR="007227C7">
        <w:rPr>
          <w:rFonts w:ascii="Georgia" w:eastAsia="Times New Roman" w:hAnsi="Georgia"/>
          <w:lang w:val="it-IT"/>
        </w:rPr>
        <w:t xml:space="preserve"> rate</w:t>
      </w:r>
      <w:r w:rsidR="00FA4FD1" w:rsidRPr="00FA4FD1">
        <w:rPr>
          <w:rFonts w:ascii="Georgia" w:eastAsia="Times New Roman" w:hAnsi="Georgia"/>
          <w:lang w:val="it-IT"/>
        </w:rPr>
        <w:t xml:space="preserve"> e costringendo </w:t>
      </w:r>
      <w:r w:rsidR="00FA4FD1">
        <w:rPr>
          <w:rFonts w:ascii="Georgia" w:eastAsia="Times New Roman" w:hAnsi="Georgia"/>
          <w:lang w:val="it-IT"/>
        </w:rPr>
        <w:t>gl</w:t>
      </w:r>
      <w:r w:rsidR="00FA4FD1" w:rsidRPr="00FA4FD1">
        <w:rPr>
          <w:rFonts w:ascii="Georgia" w:eastAsia="Times New Roman" w:hAnsi="Georgia"/>
          <w:lang w:val="it-IT"/>
        </w:rPr>
        <w:t xml:space="preserve">i </w:t>
      </w:r>
      <w:r w:rsidR="00FA4FD1">
        <w:rPr>
          <w:rFonts w:ascii="Georgia" w:eastAsia="Times New Roman" w:hAnsi="Georgia"/>
          <w:lang w:val="it-IT"/>
        </w:rPr>
        <w:t>erog</w:t>
      </w:r>
      <w:r w:rsidR="00FA4FD1" w:rsidRPr="00FA4FD1">
        <w:rPr>
          <w:rFonts w:ascii="Georgia" w:eastAsia="Times New Roman" w:hAnsi="Georgia"/>
          <w:lang w:val="it-IT"/>
        </w:rPr>
        <w:t>atori a utilizzare una leva inferiore.</w:t>
      </w:r>
    </w:p>
    <w:p w14:paraId="1A521443" w14:textId="0501E07C" w:rsidR="007227C7" w:rsidRPr="007227C7" w:rsidRDefault="007227C7" w:rsidP="00CC2BB7">
      <w:pPr>
        <w:spacing w:before="240" w:after="0" w:line="240" w:lineRule="auto"/>
        <w:rPr>
          <w:rFonts w:ascii="Georgia" w:eastAsia="Times New Roman" w:hAnsi="Georgia"/>
          <w:lang w:val="it-IT"/>
        </w:rPr>
      </w:pPr>
      <w:r w:rsidRPr="007227C7">
        <w:rPr>
          <w:rFonts w:ascii="Georgia" w:eastAsia="Times New Roman" w:hAnsi="Georgia"/>
          <w:lang w:val="it-IT"/>
        </w:rPr>
        <w:t>P</w:t>
      </w:r>
      <w:r>
        <w:rPr>
          <w:rFonts w:ascii="Georgia" w:eastAsia="Times New Roman" w:hAnsi="Georgia"/>
          <w:lang w:val="it-IT"/>
        </w:rPr>
        <w:t xml:space="preserve">er questo motivo, abbiamo avuto una </w:t>
      </w:r>
      <w:r w:rsidRPr="007227C7">
        <w:rPr>
          <w:rFonts w:ascii="Georgia" w:eastAsia="Times New Roman" w:hAnsi="Georgia"/>
          <w:lang w:val="it-IT"/>
        </w:rPr>
        <w:t>maggiore</w:t>
      </w:r>
      <w:r>
        <w:rPr>
          <w:rFonts w:ascii="Georgia" w:eastAsia="Times New Roman" w:hAnsi="Georgia"/>
          <w:lang w:val="it-IT"/>
        </w:rPr>
        <w:t xml:space="preserve"> concentrazione di prestiti </w:t>
      </w:r>
      <w:r w:rsidRPr="007227C7">
        <w:rPr>
          <w:rFonts w:ascii="Georgia" w:eastAsia="Times New Roman" w:hAnsi="Georgia"/>
          <w:lang w:val="it-IT"/>
        </w:rPr>
        <w:t>su a</w:t>
      </w:r>
      <w:r>
        <w:rPr>
          <w:rFonts w:ascii="Georgia" w:eastAsia="Times New Roman" w:hAnsi="Georgia"/>
          <w:lang w:val="it-IT"/>
        </w:rPr>
        <w:t>sset con standard</w:t>
      </w:r>
      <w:r w:rsidRPr="007227C7">
        <w:rPr>
          <w:rFonts w:ascii="Georgia" w:eastAsia="Times New Roman" w:hAnsi="Georgia"/>
          <w:lang w:val="it-IT"/>
        </w:rPr>
        <w:t xml:space="preserve"> qualit</w:t>
      </w:r>
      <w:r>
        <w:rPr>
          <w:rFonts w:ascii="Georgia" w:eastAsia="Times New Roman" w:hAnsi="Georgia"/>
          <w:lang w:val="it-IT"/>
        </w:rPr>
        <w:t>ativi</w:t>
      </w:r>
      <w:r w:rsidRPr="007227C7">
        <w:rPr>
          <w:rFonts w:ascii="Georgia" w:eastAsia="Times New Roman" w:hAnsi="Georgia"/>
          <w:lang w:val="it-IT"/>
        </w:rPr>
        <w:t xml:space="preserve"> superior</w:t>
      </w:r>
      <w:r>
        <w:rPr>
          <w:rFonts w:ascii="Georgia" w:eastAsia="Times New Roman" w:hAnsi="Georgia"/>
          <w:lang w:val="it-IT"/>
        </w:rPr>
        <w:t xml:space="preserve">i, </w:t>
      </w:r>
      <w:r w:rsidR="00DA116A">
        <w:rPr>
          <w:rFonts w:ascii="Georgia" w:eastAsia="Times New Roman" w:hAnsi="Georgia"/>
          <w:lang w:val="it-IT"/>
        </w:rPr>
        <w:t>come ne</w:t>
      </w:r>
      <w:r w:rsidR="0001039E">
        <w:rPr>
          <w:rFonts w:ascii="Georgia" w:eastAsia="Times New Roman" w:hAnsi="Georgia"/>
          <w:lang w:val="it-IT"/>
        </w:rPr>
        <w:t>l caso de</w:t>
      </w:r>
      <w:r w:rsidRPr="007227C7">
        <w:rPr>
          <w:rFonts w:ascii="Georgia" w:eastAsia="Times New Roman" w:hAnsi="Georgia"/>
          <w:lang w:val="it-IT"/>
        </w:rPr>
        <w:t>i prestiti garantiti da immobili multifamiliari, industriali e del settore alternativo con solidi flussi di cassa</w:t>
      </w:r>
      <w:r w:rsidRPr="00DA116A">
        <w:rPr>
          <w:rFonts w:ascii="Georgia" w:eastAsia="Times New Roman" w:hAnsi="Georgia"/>
          <w:lang w:val="it-IT"/>
        </w:rPr>
        <w:t>.</w:t>
      </w:r>
      <w:r w:rsidR="0001039E" w:rsidRPr="00DA116A">
        <w:rPr>
          <w:rFonts w:ascii="Georgia" w:eastAsia="Times New Roman" w:hAnsi="Georgia"/>
          <w:lang w:val="it-IT"/>
        </w:rPr>
        <w:t xml:space="preserve"> A causa dell’indebolimento dei fondamentali del </w:t>
      </w:r>
      <w:proofErr w:type="spellStart"/>
      <w:r w:rsidR="0001039E" w:rsidRPr="00DA116A">
        <w:rPr>
          <w:rFonts w:ascii="Georgia" w:eastAsia="Times New Roman" w:hAnsi="Georgia"/>
          <w:lang w:val="it-IT"/>
        </w:rPr>
        <w:t>real</w:t>
      </w:r>
      <w:proofErr w:type="spellEnd"/>
      <w:r w:rsidR="0001039E" w:rsidRPr="00DA116A">
        <w:rPr>
          <w:rFonts w:ascii="Georgia" w:eastAsia="Times New Roman" w:hAnsi="Georgia"/>
          <w:lang w:val="it-IT"/>
        </w:rPr>
        <w:t xml:space="preserve"> estate,</w:t>
      </w:r>
      <w:r w:rsidRPr="00DA116A">
        <w:rPr>
          <w:rFonts w:ascii="Georgia" w:eastAsia="Times New Roman" w:hAnsi="Georgia"/>
          <w:lang w:val="it-IT"/>
        </w:rPr>
        <w:t xml:space="preserve"> </w:t>
      </w:r>
      <w:r w:rsidR="00DA116A" w:rsidRPr="00DA116A">
        <w:rPr>
          <w:rFonts w:ascii="Georgia" w:eastAsia="Times New Roman" w:hAnsi="Georgia"/>
          <w:lang w:val="it-IT"/>
        </w:rPr>
        <w:t>i</w:t>
      </w:r>
      <w:r w:rsidRPr="00DA116A">
        <w:rPr>
          <w:rFonts w:ascii="Georgia" w:eastAsia="Times New Roman" w:hAnsi="Georgia"/>
          <w:lang w:val="it-IT"/>
        </w:rPr>
        <w:t xml:space="preserve"> finanziatori sono ora</w:t>
      </w:r>
      <w:r w:rsidRPr="007227C7">
        <w:rPr>
          <w:rFonts w:ascii="Georgia" w:eastAsia="Times New Roman" w:hAnsi="Georgia"/>
          <w:lang w:val="it-IT"/>
        </w:rPr>
        <w:t xml:space="preserve"> meno propensi a sostenere piani </w:t>
      </w:r>
      <w:r w:rsidR="0001039E">
        <w:rPr>
          <w:rFonts w:ascii="Georgia" w:eastAsia="Times New Roman" w:hAnsi="Georgia"/>
          <w:lang w:val="it-IT"/>
        </w:rPr>
        <w:t>di investimento</w:t>
      </w:r>
      <w:r w:rsidRPr="007227C7">
        <w:rPr>
          <w:rFonts w:ascii="Georgia" w:eastAsia="Times New Roman" w:hAnsi="Georgia"/>
          <w:lang w:val="it-IT"/>
        </w:rPr>
        <w:t xml:space="preserve"> che </w:t>
      </w:r>
      <w:r>
        <w:rPr>
          <w:rFonts w:ascii="Georgia" w:eastAsia="Times New Roman" w:hAnsi="Georgia"/>
          <w:lang w:val="it-IT"/>
        </w:rPr>
        <w:t>puntano</w:t>
      </w:r>
      <w:r w:rsidRPr="007227C7">
        <w:rPr>
          <w:rFonts w:ascii="Georgia" w:eastAsia="Times New Roman" w:hAnsi="Georgia"/>
          <w:lang w:val="it-IT"/>
        </w:rPr>
        <w:t xml:space="preserve"> </w:t>
      </w:r>
      <w:r>
        <w:rPr>
          <w:rFonts w:ascii="Georgia" w:eastAsia="Times New Roman" w:hAnsi="Georgia"/>
          <w:lang w:val="it-IT"/>
        </w:rPr>
        <w:t xml:space="preserve">a </w:t>
      </w:r>
      <w:r w:rsidR="0001039E">
        <w:rPr>
          <w:rFonts w:ascii="Georgia" w:eastAsia="Times New Roman" w:hAnsi="Georgia"/>
          <w:lang w:val="it-IT"/>
        </w:rPr>
        <w:t>genera</w:t>
      </w:r>
      <w:r>
        <w:rPr>
          <w:rFonts w:ascii="Georgia" w:eastAsia="Times New Roman" w:hAnsi="Georgia"/>
          <w:lang w:val="it-IT"/>
        </w:rPr>
        <w:t>re</w:t>
      </w:r>
      <w:r w:rsidRPr="007227C7">
        <w:rPr>
          <w:rFonts w:ascii="Georgia" w:eastAsia="Times New Roman" w:hAnsi="Georgia"/>
          <w:lang w:val="it-IT"/>
        </w:rPr>
        <w:t xml:space="preserve"> un valore</w:t>
      </w:r>
      <w:r>
        <w:rPr>
          <w:rFonts w:ascii="Georgia" w:eastAsia="Times New Roman" w:hAnsi="Georgia"/>
          <w:lang w:val="it-IT"/>
        </w:rPr>
        <w:t xml:space="preserve"> aggiunto</w:t>
      </w:r>
      <w:r w:rsidRPr="007227C7">
        <w:rPr>
          <w:rFonts w:ascii="Georgia" w:eastAsia="Times New Roman" w:hAnsi="Georgia"/>
          <w:lang w:val="it-IT"/>
        </w:rPr>
        <w:t xml:space="preserve"> significativo </w:t>
      </w:r>
      <w:r>
        <w:rPr>
          <w:rFonts w:ascii="Georgia" w:eastAsia="Times New Roman" w:hAnsi="Georgia"/>
          <w:lang w:val="it-IT"/>
        </w:rPr>
        <w:t xml:space="preserve">per </w:t>
      </w:r>
      <w:r w:rsidRPr="007227C7">
        <w:rPr>
          <w:rFonts w:ascii="Georgia" w:eastAsia="Times New Roman" w:hAnsi="Georgia"/>
          <w:lang w:val="it-IT"/>
        </w:rPr>
        <w:t>gli asset esistenti</w:t>
      </w:r>
      <w:r w:rsidR="0048578E">
        <w:rPr>
          <w:rFonts w:ascii="Georgia" w:eastAsia="Times New Roman" w:hAnsi="Georgia"/>
          <w:lang w:val="it-IT"/>
        </w:rPr>
        <w:t>,</w:t>
      </w:r>
      <w:r w:rsidRPr="007227C7">
        <w:rPr>
          <w:rFonts w:ascii="Georgia" w:eastAsia="Times New Roman" w:hAnsi="Georgia"/>
          <w:lang w:val="it-IT"/>
        </w:rPr>
        <w:t xml:space="preserve"> attraverso </w:t>
      </w:r>
      <w:r w:rsidR="0048578E">
        <w:rPr>
          <w:rFonts w:ascii="Georgia" w:eastAsia="Times New Roman" w:hAnsi="Georgia"/>
          <w:lang w:val="it-IT"/>
        </w:rPr>
        <w:t xml:space="preserve">una </w:t>
      </w:r>
      <w:r w:rsidRPr="007227C7">
        <w:rPr>
          <w:rFonts w:ascii="Georgia" w:eastAsia="Times New Roman" w:hAnsi="Georgia"/>
          <w:lang w:val="it-IT"/>
        </w:rPr>
        <w:t>grand</w:t>
      </w:r>
      <w:r w:rsidR="0048578E">
        <w:rPr>
          <w:rFonts w:ascii="Georgia" w:eastAsia="Times New Roman" w:hAnsi="Georgia"/>
          <w:lang w:val="it-IT"/>
        </w:rPr>
        <w:t xml:space="preserve">e </w:t>
      </w:r>
      <w:r w:rsidRPr="007227C7">
        <w:rPr>
          <w:rFonts w:ascii="Georgia" w:eastAsia="Times New Roman" w:hAnsi="Georgia"/>
          <w:lang w:val="it-IT"/>
        </w:rPr>
        <w:t>i</w:t>
      </w:r>
      <w:r w:rsidR="0048578E">
        <w:rPr>
          <w:rFonts w:ascii="Georgia" w:eastAsia="Times New Roman" w:hAnsi="Georgia"/>
          <w:lang w:val="it-IT"/>
        </w:rPr>
        <w:t>mmissione</w:t>
      </w:r>
      <w:r w:rsidRPr="007227C7">
        <w:rPr>
          <w:rFonts w:ascii="Georgia" w:eastAsia="Times New Roman" w:hAnsi="Georgia"/>
          <w:lang w:val="it-IT"/>
        </w:rPr>
        <w:t xml:space="preserve"> di capitale.</w:t>
      </w:r>
    </w:p>
    <w:p w14:paraId="2A127CA2" w14:textId="4AB2A875" w:rsidR="00CA14A6" w:rsidRDefault="00CA14A6" w:rsidP="00CC2BB7">
      <w:pPr>
        <w:spacing w:before="240" w:after="0" w:line="240" w:lineRule="auto"/>
        <w:rPr>
          <w:rFonts w:ascii="Georgia" w:eastAsia="Times New Roman" w:hAnsi="Georgia"/>
          <w:lang w:val="it-IT"/>
        </w:rPr>
      </w:pPr>
      <w:r>
        <w:rPr>
          <w:rFonts w:ascii="Georgia" w:eastAsia="Times New Roman" w:hAnsi="Georgia"/>
          <w:lang w:val="it-IT"/>
        </w:rPr>
        <w:t>A fronte di</w:t>
      </w:r>
      <w:r w:rsidRPr="00CA14A6">
        <w:rPr>
          <w:rFonts w:ascii="Georgia" w:eastAsia="Times New Roman" w:hAnsi="Georgia"/>
          <w:lang w:val="it-IT"/>
        </w:rPr>
        <w:t xml:space="preserve"> limitate opportunità di finanziamento di piani d'i</w:t>
      </w:r>
      <w:r>
        <w:rPr>
          <w:rFonts w:ascii="Georgia" w:eastAsia="Times New Roman" w:hAnsi="Georgia"/>
          <w:lang w:val="it-IT"/>
        </w:rPr>
        <w:t>nvestimento</w:t>
      </w:r>
      <w:r w:rsidRPr="00CA14A6">
        <w:rPr>
          <w:rFonts w:ascii="Georgia" w:eastAsia="Times New Roman" w:hAnsi="Georgia"/>
          <w:lang w:val="it-IT"/>
        </w:rPr>
        <w:t xml:space="preserve"> a scarso valore aggiunto nei settori tradizionali del multifamiliare e dell'industriale, le strategie di aggregazione, in particolare nei settori </w:t>
      </w:r>
      <w:r>
        <w:rPr>
          <w:rFonts w:ascii="Georgia" w:eastAsia="Times New Roman" w:hAnsi="Georgia"/>
          <w:lang w:val="it-IT"/>
        </w:rPr>
        <w:t xml:space="preserve">del </w:t>
      </w:r>
      <w:proofErr w:type="spellStart"/>
      <w:r>
        <w:rPr>
          <w:rFonts w:ascii="Georgia" w:eastAsia="Times New Roman" w:hAnsi="Georgia"/>
          <w:lang w:val="it-IT"/>
        </w:rPr>
        <w:t>real</w:t>
      </w:r>
      <w:proofErr w:type="spellEnd"/>
      <w:r>
        <w:rPr>
          <w:rFonts w:ascii="Georgia" w:eastAsia="Times New Roman" w:hAnsi="Georgia"/>
          <w:lang w:val="it-IT"/>
        </w:rPr>
        <w:t xml:space="preserve"> estate</w:t>
      </w:r>
      <w:r w:rsidRPr="00CA14A6">
        <w:rPr>
          <w:rFonts w:ascii="Georgia" w:eastAsia="Times New Roman" w:hAnsi="Georgia"/>
          <w:lang w:val="it-IT"/>
        </w:rPr>
        <w:t xml:space="preserve"> alternativ</w:t>
      </w:r>
      <w:r>
        <w:rPr>
          <w:rFonts w:ascii="Georgia" w:eastAsia="Times New Roman" w:hAnsi="Georgia"/>
          <w:lang w:val="it-IT"/>
        </w:rPr>
        <w:t>o</w:t>
      </w:r>
      <w:r w:rsidRPr="00CA14A6">
        <w:rPr>
          <w:rFonts w:ascii="Georgia" w:eastAsia="Times New Roman" w:hAnsi="Georgia"/>
          <w:lang w:val="it-IT"/>
        </w:rPr>
        <w:t xml:space="preserve">, possono rappresentare un'opportunità interessante per i finanziatori. </w:t>
      </w:r>
      <w:r w:rsidR="006F51CB" w:rsidRPr="006F51CB">
        <w:rPr>
          <w:rFonts w:ascii="Georgia" w:eastAsia="Times New Roman" w:hAnsi="Georgia"/>
          <w:lang w:val="it-IT"/>
        </w:rPr>
        <w:t>Esempi tipici di quest</w:t>
      </w:r>
      <w:r w:rsidR="00DA116A">
        <w:rPr>
          <w:rFonts w:ascii="Georgia" w:eastAsia="Times New Roman" w:hAnsi="Georgia"/>
          <w:lang w:val="it-IT"/>
        </w:rPr>
        <w:t>e</w:t>
      </w:r>
      <w:r w:rsidR="006F51CB" w:rsidRPr="006F51CB">
        <w:rPr>
          <w:rFonts w:ascii="Georgia" w:eastAsia="Times New Roman" w:hAnsi="Georgia"/>
          <w:lang w:val="it-IT"/>
        </w:rPr>
        <w:t xml:space="preserve"> strategi</w:t>
      </w:r>
      <w:r w:rsidR="00DA116A">
        <w:rPr>
          <w:rFonts w:ascii="Georgia" w:eastAsia="Times New Roman" w:hAnsi="Georgia"/>
          <w:lang w:val="it-IT"/>
        </w:rPr>
        <w:t>e</w:t>
      </w:r>
      <w:r w:rsidR="006F51CB" w:rsidRPr="006F51CB">
        <w:rPr>
          <w:rFonts w:ascii="Georgia" w:eastAsia="Times New Roman" w:hAnsi="Georgia"/>
          <w:lang w:val="it-IT"/>
        </w:rPr>
        <w:t xml:space="preserve"> sono il finanziamento di un gestore immobiliare più piccolo</w:t>
      </w:r>
      <w:r w:rsidR="00DA116A">
        <w:rPr>
          <w:rFonts w:ascii="Georgia" w:eastAsia="Times New Roman" w:hAnsi="Georgia"/>
          <w:lang w:val="it-IT"/>
        </w:rPr>
        <w:t>,</w:t>
      </w:r>
      <w:r w:rsidR="006F51CB" w:rsidRPr="006F51CB">
        <w:rPr>
          <w:rFonts w:ascii="Georgia" w:eastAsia="Times New Roman" w:hAnsi="Georgia"/>
          <w:lang w:val="it-IT"/>
        </w:rPr>
        <w:t xml:space="preserve"> che intende espandere la propria piattaforma</w:t>
      </w:r>
      <w:r w:rsidR="00DA116A">
        <w:rPr>
          <w:rFonts w:ascii="Georgia" w:eastAsia="Times New Roman" w:hAnsi="Georgia"/>
          <w:lang w:val="it-IT"/>
        </w:rPr>
        <w:t>,</w:t>
      </w:r>
      <w:r w:rsidR="006F51CB" w:rsidRPr="006F51CB">
        <w:rPr>
          <w:rFonts w:ascii="Georgia" w:eastAsia="Times New Roman" w:hAnsi="Georgia"/>
          <w:lang w:val="it-IT"/>
        </w:rPr>
        <w:t xml:space="preserve"> o di un REIT pubblico</w:t>
      </w:r>
      <w:r w:rsidR="006F51CB">
        <w:rPr>
          <w:rFonts w:ascii="Georgia" w:eastAsia="Times New Roman" w:hAnsi="Georgia"/>
          <w:lang w:val="it-IT"/>
        </w:rPr>
        <w:t xml:space="preserve">. </w:t>
      </w:r>
      <w:r w:rsidR="00DA116A">
        <w:rPr>
          <w:rFonts w:ascii="Georgia" w:eastAsia="Times New Roman" w:hAnsi="Georgia"/>
          <w:lang w:val="it-IT"/>
        </w:rPr>
        <w:t>Alcuni e</w:t>
      </w:r>
      <w:r w:rsidR="006F51CB" w:rsidRPr="006F51CB">
        <w:rPr>
          <w:rFonts w:ascii="Georgia" w:eastAsia="Times New Roman" w:hAnsi="Georgia"/>
          <w:lang w:val="it-IT"/>
        </w:rPr>
        <w:t>sempi recenti di accordi di questo tipo so</w:t>
      </w:r>
      <w:r w:rsidR="006F51CB">
        <w:rPr>
          <w:rFonts w:ascii="Georgia" w:eastAsia="Times New Roman" w:hAnsi="Georgia"/>
          <w:lang w:val="it-IT"/>
        </w:rPr>
        <w:t>no l’</w:t>
      </w:r>
      <w:r w:rsidR="006F51CB" w:rsidRPr="006F51CB">
        <w:rPr>
          <w:rFonts w:ascii="Georgia" w:eastAsia="Times New Roman" w:hAnsi="Georgia"/>
          <w:lang w:val="it-IT"/>
        </w:rPr>
        <w:t xml:space="preserve">accordo di </w:t>
      </w:r>
      <w:proofErr w:type="spellStart"/>
      <w:r w:rsidR="006F51CB" w:rsidRPr="006F51CB">
        <w:rPr>
          <w:rFonts w:ascii="Georgia" w:eastAsia="Times New Roman" w:hAnsi="Georgia"/>
          <w:lang w:val="it-IT"/>
        </w:rPr>
        <w:t>land</w:t>
      </w:r>
      <w:proofErr w:type="spellEnd"/>
      <w:r w:rsidR="006F51CB" w:rsidRPr="006F51CB">
        <w:rPr>
          <w:rFonts w:ascii="Georgia" w:eastAsia="Times New Roman" w:hAnsi="Georgia"/>
          <w:lang w:val="it-IT"/>
        </w:rPr>
        <w:t xml:space="preserve"> banking da 500 milioni di dollari tra </w:t>
      </w:r>
      <w:proofErr w:type="spellStart"/>
      <w:r w:rsidR="006F51CB" w:rsidRPr="006F51CB">
        <w:rPr>
          <w:rFonts w:ascii="Georgia" w:eastAsia="Times New Roman" w:hAnsi="Georgia"/>
          <w:lang w:val="it-IT"/>
        </w:rPr>
        <w:t>Varde</w:t>
      </w:r>
      <w:proofErr w:type="spellEnd"/>
      <w:r w:rsidR="006F51CB" w:rsidRPr="006F51CB">
        <w:rPr>
          <w:rFonts w:ascii="Georgia" w:eastAsia="Times New Roman" w:hAnsi="Georgia"/>
          <w:lang w:val="it-IT"/>
        </w:rPr>
        <w:t xml:space="preserve"> Partners e American </w:t>
      </w:r>
      <w:proofErr w:type="spellStart"/>
      <w:r w:rsidR="006F51CB" w:rsidRPr="006F51CB">
        <w:rPr>
          <w:rFonts w:ascii="Georgia" w:eastAsia="Times New Roman" w:hAnsi="Georgia"/>
          <w:lang w:val="it-IT"/>
        </w:rPr>
        <w:t>Homes</w:t>
      </w:r>
      <w:proofErr w:type="spellEnd"/>
      <w:r w:rsidR="006F51CB" w:rsidRPr="006F51CB">
        <w:rPr>
          <w:rFonts w:ascii="Georgia" w:eastAsia="Times New Roman" w:hAnsi="Georgia"/>
          <w:lang w:val="it-IT"/>
        </w:rPr>
        <w:t xml:space="preserve"> 4 </w:t>
      </w:r>
      <w:proofErr w:type="spellStart"/>
      <w:r w:rsidR="006F51CB" w:rsidRPr="006F51CB">
        <w:rPr>
          <w:rFonts w:ascii="Georgia" w:eastAsia="Times New Roman" w:hAnsi="Georgia"/>
          <w:lang w:val="it-IT"/>
        </w:rPr>
        <w:t>Rent</w:t>
      </w:r>
      <w:proofErr w:type="spellEnd"/>
      <w:r w:rsidR="00DA116A">
        <w:rPr>
          <w:rFonts w:ascii="Georgia" w:eastAsia="Times New Roman" w:hAnsi="Georgia"/>
          <w:lang w:val="it-IT"/>
        </w:rPr>
        <w:t>,</w:t>
      </w:r>
      <w:r w:rsidR="006F51CB" w:rsidRPr="006F51CB">
        <w:rPr>
          <w:rFonts w:ascii="Georgia" w:eastAsia="Times New Roman" w:hAnsi="Georgia"/>
          <w:lang w:val="it-IT"/>
        </w:rPr>
        <w:t xml:space="preserve"> per la costruz</w:t>
      </w:r>
      <w:r w:rsidR="006F51CB">
        <w:rPr>
          <w:rFonts w:ascii="Georgia" w:eastAsia="Times New Roman" w:hAnsi="Georgia"/>
          <w:lang w:val="it-IT"/>
        </w:rPr>
        <w:t>i</w:t>
      </w:r>
      <w:r w:rsidR="00195542">
        <w:rPr>
          <w:rFonts w:ascii="Georgia" w:eastAsia="Times New Roman" w:hAnsi="Georgia"/>
          <w:lang w:val="it-IT"/>
        </w:rPr>
        <w:t>one di proprietà unifamiliari destinate all’</w:t>
      </w:r>
      <w:r w:rsidR="006F51CB">
        <w:rPr>
          <w:rFonts w:ascii="Georgia" w:eastAsia="Times New Roman" w:hAnsi="Georgia"/>
          <w:lang w:val="it-IT"/>
        </w:rPr>
        <w:t>affitt</w:t>
      </w:r>
      <w:r w:rsidR="00195542">
        <w:rPr>
          <w:rFonts w:ascii="Georgia" w:eastAsia="Times New Roman" w:hAnsi="Georgia"/>
          <w:lang w:val="it-IT"/>
        </w:rPr>
        <w:t>o</w:t>
      </w:r>
      <w:r w:rsidR="00DA116A">
        <w:rPr>
          <w:rFonts w:ascii="Georgia" w:eastAsia="Times New Roman" w:hAnsi="Georgia"/>
          <w:lang w:val="it-IT"/>
        </w:rPr>
        <w:t>,</w:t>
      </w:r>
      <w:r w:rsidR="006F51CB" w:rsidRPr="006F51CB">
        <w:rPr>
          <w:rFonts w:ascii="Georgia" w:eastAsia="Times New Roman" w:hAnsi="Georgia"/>
          <w:lang w:val="it-IT"/>
        </w:rPr>
        <w:t xml:space="preserve"> e diversi accordi di finanziamento,</w:t>
      </w:r>
      <w:r w:rsidR="00F02A53">
        <w:rPr>
          <w:rFonts w:ascii="Georgia" w:eastAsia="Times New Roman" w:hAnsi="Georgia"/>
          <w:lang w:val="it-IT"/>
        </w:rPr>
        <w:t xml:space="preserve"> come il recente </w:t>
      </w:r>
      <w:r w:rsidR="00F02A53" w:rsidRPr="00F02A53">
        <w:rPr>
          <w:rFonts w:ascii="Georgia" w:eastAsia="Times New Roman" w:hAnsi="Georgia"/>
          <w:lang w:val="it-IT"/>
        </w:rPr>
        <w:t>rifinanziamento</w:t>
      </w:r>
      <w:r w:rsidR="00F02A53">
        <w:rPr>
          <w:rFonts w:ascii="Georgia" w:eastAsia="Times New Roman" w:hAnsi="Georgia"/>
          <w:lang w:val="it-IT"/>
        </w:rPr>
        <w:t xml:space="preserve"> </w:t>
      </w:r>
      <w:r w:rsidR="00F02A53" w:rsidRPr="00F02A53">
        <w:rPr>
          <w:rFonts w:ascii="Georgia" w:eastAsia="Times New Roman" w:hAnsi="Georgia"/>
          <w:lang w:val="it-IT"/>
        </w:rPr>
        <w:t>d</w:t>
      </w:r>
      <w:r w:rsidR="00F02A53">
        <w:rPr>
          <w:rFonts w:ascii="Georgia" w:eastAsia="Times New Roman" w:hAnsi="Georgia"/>
          <w:lang w:val="it-IT"/>
        </w:rPr>
        <w:t>a</w:t>
      </w:r>
      <w:r w:rsidR="00F02A53" w:rsidRPr="00F02A53">
        <w:rPr>
          <w:rFonts w:ascii="Georgia" w:eastAsia="Times New Roman" w:hAnsi="Georgia"/>
          <w:lang w:val="it-IT"/>
        </w:rPr>
        <w:t xml:space="preserve"> 114 milioni di dollari </w:t>
      </w:r>
      <w:r w:rsidR="00F02A53">
        <w:rPr>
          <w:rFonts w:ascii="Georgia" w:eastAsia="Times New Roman" w:hAnsi="Georgia"/>
          <w:lang w:val="it-IT"/>
        </w:rPr>
        <w:t>da parte di</w:t>
      </w:r>
      <w:r w:rsidR="00F02A53" w:rsidRPr="00F02A53">
        <w:rPr>
          <w:rFonts w:ascii="Georgia" w:eastAsia="Times New Roman" w:hAnsi="Georgia"/>
          <w:lang w:val="it-IT"/>
        </w:rPr>
        <w:t xml:space="preserve"> Madison Realty Partners</w:t>
      </w:r>
      <w:r w:rsidR="00F02A53">
        <w:rPr>
          <w:rFonts w:ascii="Georgia" w:eastAsia="Times New Roman" w:hAnsi="Georgia"/>
          <w:lang w:val="it-IT"/>
        </w:rPr>
        <w:t xml:space="preserve"> </w:t>
      </w:r>
      <w:r w:rsidR="00F02A53" w:rsidRPr="00F02A53">
        <w:rPr>
          <w:rFonts w:ascii="Georgia" w:eastAsia="Times New Roman" w:hAnsi="Georgia"/>
          <w:lang w:val="it-IT"/>
        </w:rPr>
        <w:t>del portafoglio</w:t>
      </w:r>
      <w:r w:rsidR="00F02A53">
        <w:rPr>
          <w:rFonts w:ascii="Georgia" w:eastAsia="Times New Roman" w:hAnsi="Georgia"/>
          <w:lang w:val="it-IT"/>
        </w:rPr>
        <w:t xml:space="preserve"> della piattaforma di case prefabbricate di </w:t>
      </w:r>
      <w:proofErr w:type="spellStart"/>
      <w:r w:rsidR="00F02A53" w:rsidRPr="00F02A53">
        <w:rPr>
          <w:rFonts w:ascii="Georgia" w:eastAsia="Times New Roman" w:hAnsi="Georgia"/>
          <w:lang w:val="it-IT"/>
        </w:rPr>
        <w:t>Parakeet</w:t>
      </w:r>
      <w:proofErr w:type="spellEnd"/>
      <w:r w:rsidR="00F02A53" w:rsidRPr="00F02A53">
        <w:rPr>
          <w:rFonts w:ascii="Georgia" w:eastAsia="Times New Roman" w:hAnsi="Georgia"/>
          <w:lang w:val="it-IT"/>
        </w:rPr>
        <w:t xml:space="preserve"> Communities</w:t>
      </w:r>
      <w:r w:rsidR="00195542">
        <w:rPr>
          <w:rFonts w:ascii="Georgia" w:eastAsia="Times New Roman" w:hAnsi="Georgia"/>
          <w:lang w:val="it-IT"/>
        </w:rPr>
        <w:t>.</w:t>
      </w:r>
      <w:r w:rsidR="00F02A53">
        <w:rPr>
          <w:rFonts w:ascii="Georgia" w:eastAsia="Times New Roman" w:hAnsi="Georgia"/>
          <w:lang w:val="it-IT"/>
        </w:rPr>
        <w:t xml:space="preserve"> </w:t>
      </w:r>
    </w:p>
    <w:p w14:paraId="6C3C8F05" w14:textId="5367D748" w:rsidR="00F02A53" w:rsidRPr="00F02A53" w:rsidRDefault="00F02A53" w:rsidP="00CC2BB7">
      <w:pPr>
        <w:spacing w:before="240" w:after="0" w:line="240" w:lineRule="auto"/>
        <w:rPr>
          <w:rFonts w:ascii="Georgia" w:eastAsia="Times New Roman" w:hAnsi="Georgia"/>
          <w:lang w:val="it-IT"/>
        </w:rPr>
      </w:pPr>
      <w:r w:rsidRPr="00F02A53">
        <w:rPr>
          <w:rFonts w:ascii="Georgia" w:eastAsia="Times New Roman" w:hAnsi="Georgia"/>
          <w:lang w:val="it-IT"/>
        </w:rPr>
        <w:t>Questi accordi di finanziamento possono risultare particolarmente vantaggiosi per i finanziatori per diversi motivi</w:t>
      </w:r>
      <w:r>
        <w:rPr>
          <w:rFonts w:ascii="Georgia" w:eastAsia="Times New Roman" w:hAnsi="Georgia"/>
          <w:lang w:val="it-IT"/>
        </w:rPr>
        <w:t>.</w:t>
      </w:r>
      <w:r w:rsidR="00CF2C51" w:rsidRPr="00CF2C51">
        <w:rPr>
          <w:lang w:val="it-IT"/>
        </w:rPr>
        <w:t xml:space="preserve"> </w:t>
      </w:r>
      <w:r w:rsidR="00195542">
        <w:rPr>
          <w:rFonts w:ascii="Georgia" w:eastAsia="Times New Roman" w:hAnsi="Georgia"/>
          <w:lang w:val="it-IT"/>
        </w:rPr>
        <w:t>In primo luogo, han</w:t>
      </w:r>
      <w:r w:rsidR="00CF2C51" w:rsidRPr="00CF2C51">
        <w:rPr>
          <w:rFonts w:ascii="Georgia" w:eastAsia="Times New Roman" w:hAnsi="Georgia"/>
          <w:lang w:val="it-IT"/>
        </w:rPr>
        <w:t xml:space="preserve">no una dimensione di </w:t>
      </w:r>
      <w:r w:rsidR="00CF2C51" w:rsidRPr="00195542">
        <w:rPr>
          <w:rFonts w:ascii="Georgia" w:eastAsia="Times New Roman" w:hAnsi="Georgia"/>
          <w:lang w:val="it-IT"/>
        </w:rPr>
        <w:t>scalabilità,</w:t>
      </w:r>
      <w:r w:rsidR="00CF2C51" w:rsidRPr="00CF2C51">
        <w:rPr>
          <w:rFonts w:ascii="Georgia" w:eastAsia="Times New Roman" w:hAnsi="Georgia"/>
          <w:lang w:val="it-IT"/>
        </w:rPr>
        <w:t xml:space="preserve"> che è difficile</w:t>
      </w:r>
      <w:r w:rsidR="00195542">
        <w:rPr>
          <w:rFonts w:ascii="Georgia" w:eastAsia="Times New Roman" w:hAnsi="Georgia"/>
          <w:lang w:val="it-IT"/>
        </w:rPr>
        <w:t xml:space="preserve"> </w:t>
      </w:r>
      <w:r w:rsidR="00CF2C51" w:rsidRPr="00CF2C51">
        <w:rPr>
          <w:rFonts w:ascii="Georgia" w:eastAsia="Times New Roman" w:hAnsi="Georgia"/>
          <w:lang w:val="it-IT"/>
        </w:rPr>
        <w:t>a</w:t>
      </w:r>
      <w:r w:rsidR="00195542">
        <w:rPr>
          <w:rFonts w:ascii="Georgia" w:eastAsia="Times New Roman" w:hAnsi="Georgia"/>
          <w:lang w:val="it-IT"/>
        </w:rPr>
        <w:t>v</w:t>
      </w:r>
      <w:r w:rsidR="00CF2C51">
        <w:rPr>
          <w:rFonts w:ascii="Georgia" w:eastAsia="Times New Roman" w:hAnsi="Georgia"/>
          <w:lang w:val="it-IT"/>
        </w:rPr>
        <w:t xml:space="preserve">ere in molti settori </w:t>
      </w:r>
      <w:r w:rsidR="00195542">
        <w:rPr>
          <w:rFonts w:ascii="Georgia" w:eastAsia="Times New Roman" w:hAnsi="Georgia"/>
          <w:lang w:val="it-IT"/>
        </w:rPr>
        <w:t xml:space="preserve">del </w:t>
      </w:r>
      <w:proofErr w:type="spellStart"/>
      <w:r w:rsidR="00CF2C51">
        <w:rPr>
          <w:rFonts w:ascii="Georgia" w:eastAsia="Times New Roman" w:hAnsi="Georgia"/>
          <w:lang w:val="it-IT"/>
        </w:rPr>
        <w:t>real</w:t>
      </w:r>
      <w:proofErr w:type="spellEnd"/>
      <w:r w:rsidR="00CF2C51">
        <w:rPr>
          <w:rFonts w:ascii="Georgia" w:eastAsia="Times New Roman" w:hAnsi="Georgia"/>
          <w:lang w:val="it-IT"/>
        </w:rPr>
        <w:t xml:space="preserve"> estate alternativ</w:t>
      </w:r>
      <w:r w:rsidR="00195542">
        <w:rPr>
          <w:rFonts w:ascii="Georgia" w:eastAsia="Times New Roman" w:hAnsi="Georgia"/>
          <w:lang w:val="it-IT"/>
        </w:rPr>
        <w:t>o</w:t>
      </w:r>
      <w:r w:rsidR="00CF2C51">
        <w:rPr>
          <w:rFonts w:ascii="Georgia" w:eastAsia="Times New Roman" w:hAnsi="Georgia"/>
          <w:lang w:val="it-IT"/>
        </w:rPr>
        <w:t xml:space="preserve">, in quanto gli asset sono tendenzialmente di </w:t>
      </w:r>
      <w:r w:rsidR="00CF2C51" w:rsidRPr="00CF2C51">
        <w:rPr>
          <w:rFonts w:ascii="Georgia" w:eastAsia="Times New Roman" w:hAnsi="Georgia"/>
          <w:lang w:val="it-IT"/>
        </w:rPr>
        <w:t>piccol</w:t>
      </w:r>
      <w:r w:rsidR="00CF2C51">
        <w:rPr>
          <w:rFonts w:ascii="Georgia" w:eastAsia="Times New Roman" w:hAnsi="Georgia"/>
          <w:lang w:val="it-IT"/>
        </w:rPr>
        <w:t>e dimensioni</w:t>
      </w:r>
      <w:r w:rsidR="00195542">
        <w:rPr>
          <w:rFonts w:ascii="Georgia" w:eastAsia="Times New Roman" w:hAnsi="Georgia"/>
          <w:lang w:val="it-IT"/>
        </w:rPr>
        <w:t xml:space="preserve"> (come case unifamiliari e</w:t>
      </w:r>
      <w:r w:rsidR="00CF2C51" w:rsidRPr="00CF2C51">
        <w:rPr>
          <w:rFonts w:ascii="Georgia" w:eastAsia="Times New Roman" w:hAnsi="Georgia"/>
          <w:lang w:val="it-IT"/>
        </w:rPr>
        <w:t xml:space="preserve"> case </w:t>
      </w:r>
      <w:r w:rsidR="00CF2C51">
        <w:rPr>
          <w:rFonts w:ascii="Georgia" w:eastAsia="Times New Roman" w:hAnsi="Georgia"/>
          <w:lang w:val="it-IT"/>
        </w:rPr>
        <w:t>pre</w:t>
      </w:r>
      <w:r w:rsidR="00CF2C51" w:rsidRPr="00CF2C51">
        <w:rPr>
          <w:rFonts w:ascii="Georgia" w:eastAsia="Times New Roman" w:hAnsi="Georgia"/>
          <w:lang w:val="it-IT"/>
        </w:rPr>
        <w:t>fabbricate</w:t>
      </w:r>
      <w:r w:rsidR="00CF2C51">
        <w:rPr>
          <w:rFonts w:ascii="Georgia" w:eastAsia="Times New Roman" w:hAnsi="Georgia"/>
          <w:lang w:val="it-IT"/>
        </w:rPr>
        <w:t>) o scarsamente commercia</w:t>
      </w:r>
      <w:r w:rsidR="00195542">
        <w:rPr>
          <w:rFonts w:ascii="Georgia" w:eastAsia="Times New Roman" w:hAnsi="Georgia"/>
          <w:lang w:val="it-IT"/>
        </w:rPr>
        <w:t>lizzati (come data center o ripetitori cellulari</w:t>
      </w:r>
      <w:r w:rsidR="00CF2C51">
        <w:rPr>
          <w:rFonts w:ascii="Georgia" w:eastAsia="Times New Roman" w:hAnsi="Georgia"/>
          <w:lang w:val="it-IT"/>
        </w:rPr>
        <w:t>). Secondariamente</w:t>
      </w:r>
      <w:r w:rsidR="00CF2C51" w:rsidRPr="00CF2C51">
        <w:rPr>
          <w:rFonts w:ascii="Georgia" w:eastAsia="Times New Roman" w:hAnsi="Georgia"/>
          <w:lang w:val="it-IT"/>
        </w:rPr>
        <w:t>, molti settori alternativi s</w:t>
      </w:r>
      <w:r w:rsidR="00CF2C51">
        <w:rPr>
          <w:rFonts w:ascii="Georgia" w:eastAsia="Times New Roman" w:hAnsi="Georgia"/>
          <w:lang w:val="it-IT"/>
        </w:rPr>
        <w:t>i contraddistingu</w:t>
      </w:r>
      <w:r w:rsidR="00CF2C51" w:rsidRPr="00CF2C51">
        <w:rPr>
          <w:rFonts w:ascii="Georgia" w:eastAsia="Times New Roman" w:hAnsi="Georgia"/>
          <w:lang w:val="it-IT"/>
        </w:rPr>
        <w:t xml:space="preserve">ono </w:t>
      </w:r>
      <w:r w:rsidR="00CF2C51">
        <w:rPr>
          <w:rFonts w:ascii="Georgia" w:eastAsia="Times New Roman" w:hAnsi="Georgia"/>
          <w:lang w:val="it-IT"/>
        </w:rPr>
        <w:t>per</w:t>
      </w:r>
      <w:r w:rsidR="00CF2C51" w:rsidRPr="00CF2C51">
        <w:rPr>
          <w:rFonts w:ascii="Georgia" w:eastAsia="Times New Roman" w:hAnsi="Georgia"/>
          <w:lang w:val="it-IT"/>
        </w:rPr>
        <w:t xml:space="preserve"> </w:t>
      </w:r>
      <w:r w:rsidR="00195542">
        <w:rPr>
          <w:rFonts w:ascii="Georgia" w:eastAsia="Times New Roman" w:hAnsi="Georgia"/>
          <w:lang w:val="it-IT"/>
        </w:rPr>
        <w:t>condizioni</w:t>
      </w:r>
      <w:r w:rsidR="00875467">
        <w:rPr>
          <w:rFonts w:ascii="Georgia" w:eastAsia="Times New Roman" w:hAnsi="Georgia"/>
          <w:lang w:val="it-IT"/>
        </w:rPr>
        <w:t xml:space="preserve"> </w:t>
      </w:r>
      <w:r w:rsidR="00DA116A">
        <w:rPr>
          <w:rFonts w:ascii="Georgia" w:eastAsia="Times New Roman" w:hAnsi="Georgia"/>
          <w:lang w:val="it-IT"/>
        </w:rPr>
        <w:t xml:space="preserve">secolari </w:t>
      </w:r>
      <w:r w:rsidR="00875467">
        <w:rPr>
          <w:rFonts w:ascii="Georgia" w:eastAsia="Times New Roman" w:hAnsi="Georgia"/>
          <w:lang w:val="it-IT"/>
        </w:rPr>
        <w:t>favorevoli</w:t>
      </w:r>
      <w:r w:rsidR="00195542">
        <w:rPr>
          <w:rFonts w:ascii="Georgia" w:eastAsia="Times New Roman" w:hAnsi="Georgia"/>
          <w:lang w:val="it-IT"/>
        </w:rPr>
        <w:t xml:space="preserve"> </w:t>
      </w:r>
      <w:r w:rsidR="00CF2C51" w:rsidRPr="00CF2C51">
        <w:rPr>
          <w:rFonts w:ascii="Georgia" w:eastAsia="Times New Roman" w:hAnsi="Georgia"/>
          <w:lang w:val="it-IT"/>
        </w:rPr>
        <w:t xml:space="preserve">e </w:t>
      </w:r>
      <w:r w:rsidR="00195542">
        <w:rPr>
          <w:rFonts w:ascii="Georgia" w:eastAsia="Times New Roman" w:hAnsi="Georgia"/>
          <w:lang w:val="it-IT"/>
        </w:rPr>
        <w:t>driver</w:t>
      </w:r>
      <w:r w:rsidR="00CF2C51" w:rsidRPr="00CF2C51">
        <w:rPr>
          <w:rFonts w:ascii="Georgia" w:eastAsia="Times New Roman" w:hAnsi="Georgia"/>
          <w:lang w:val="it-IT"/>
        </w:rPr>
        <w:t xml:space="preserve"> non ciclici, che molti fin</w:t>
      </w:r>
      <w:r w:rsidR="00907430">
        <w:rPr>
          <w:rFonts w:ascii="Georgia" w:eastAsia="Times New Roman" w:hAnsi="Georgia"/>
          <w:lang w:val="it-IT"/>
        </w:rPr>
        <w:t xml:space="preserve">anziatori trovano interessanti </w:t>
      </w:r>
      <w:r w:rsidR="00CF2C51" w:rsidRPr="00CF2C51">
        <w:rPr>
          <w:rFonts w:ascii="Georgia" w:eastAsia="Times New Roman" w:hAnsi="Georgia"/>
          <w:lang w:val="it-IT"/>
        </w:rPr>
        <w:t>n</w:t>
      </w:r>
      <w:r w:rsidR="00907430">
        <w:rPr>
          <w:rFonts w:ascii="Georgia" w:eastAsia="Times New Roman" w:hAnsi="Georgia"/>
          <w:lang w:val="it-IT"/>
        </w:rPr>
        <w:t>elle</w:t>
      </w:r>
      <w:r w:rsidR="00CF2C51" w:rsidRPr="00CF2C51">
        <w:rPr>
          <w:rFonts w:ascii="Georgia" w:eastAsia="Times New Roman" w:hAnsi="Georgia"/>
          <w:lang w:val="it-IT"/>
        </w:rPr>
        <w:t xml:space="preserve"> </w:t>
      </w:r>
      <w:r w:rsidR="00875467">
        <w:rPr>
          <w:rFonts w:ascii="Georgia" w:eastAsia="Times New Roman" w:hAnsi="Georgia"/>
          <w:lang w:val="it-IT"/>
        </w:rPr>
        <w:t xml:space="preserve">fasi di </w:t>
      </w:r>
      <w:r w:rsidR="00875467" w:rsidRPr="00CF2C51">
        <w:rPr>
          <w:rFonts w:ascii="Georgia" w:eastAsia="Times New Roman" w:hAnsi="Georgia"/>
          <w:lang w:val="it-IT"/>
        </w:rPr>
        <w:t>volatil</w:t>
      </w:r>
      <w:r w:rsidR="00875467">
        <w:rPr>
          <w:rFonts w:ascii="Georgia" w:eastAsia="Times New Roman" w:hAnsi="Georgia"/>
          <w:lang w:val="it-IT"/>
        </w:rPr>
        <w:t>ità del</w:t>
      </w:r>
      <w:r w:rsidR="00CF2C51" w:rsidRPr="00CF2C51">
        <w:rPr>
          <w:rFonts w:ascii="Georgia" w:eastAsia="Times New Roman" w:hAnsi="Georgia"/>
          <w:lang w:val="it-IT"/>
        </w:rPr>
        <w:t xml:space="preserve"> mercato.</w:t>
      </w:r>
      <w:r w:rsidR="00875467" w:rsidRPr="00875467">
        <w:rPr>
          <w:lang w:val="it-IT"/>
        </w:rPr>
        <w:t xml:space="preserve"> </w:t>
      </w:r>
      <w:r w:rsidR="00875467" w:rsidRPr="00875467">
        <w:rPr>
          <w:rFonts w:ascii="Georgia" w:eastAsia="Times New Roman" w:hAnsi="Georgia"/>
          <w:lang w:val="it-IT"/>
        </w:rPr>
        <w:t>In</w:t>
      </w:r>
      <w:r w:rsidR="00875467">
        <w:rPr>
          <w:rFonts w:ascii="Georgia" w:eastAsia="Times New Roman" w:hAnsi="Georgia"/>
          <w:lang w:val="it-IT"/>
        </w:rPr>
        <w:t>fine</w:t>
      </w:r>
      <w:r w:rsidR="00875467" w:rsidRPr="00875467">
        <w:rPr>
          <w:rFonts w:ascii="Georgia" w:eastAsia="Times New Roman" w:hAnsi="Georgia"/>
          <w:lang w:val="it-IT"/>
        </w:rPr>
        <w:t>, in caso di inadempienza</w:t>
      </w:r>
      <w:r w:rsidR="00875467">
        <w:rPr>
          <w:rFonts w:ascii="Georgia" w:eastAsia="Times New Roman" w:hAnsi="Georgia"/>
          <w:lang w:val="it-IT"/>
        </w:rPr>
        <w:t>,</w:t>
      </w:r>
      <w:r w:rsidR="00875467" w:rsidRPr="00875467">
        <w:rPr>
          <w:rFonts w:ascii="Georgia" w:eastAsia="Times New Roman" w:hAnsi="Georgia"/>
          <w:lang w:val="it-IT"/>
        </w:rPr>
        <w:t xml:space="preserve"> i finanziatori possono spesso ricorrere alla piattaforma o al fondo dello sponsor, dato che il rischio associato al finanziamento di sponsor più piccoli è maggiore.</w:t>
      </w:r>
      <w:r w:rsidR="00875467" w:rsidRPr="00875467">
        <w:rPr>
          <w:lang w:val="it-IT"/>
        </w:rPr>
        <w:t xml:space="preserve"> </w:t>
      </w:r>
      <w:r w:rsidR="00875467" w:rsidRPr="00875467">
        <w:rPr>
          <w:rFonts w:ascii="Georgia" w:eastAsia="Times New Roman" w:hAnsi="Georgia"/>
          <w:lang w:val="it-IT"/>
        </w:rPr>
        <w:t xml:space="preserve">Per </w:t>
      </w:r>
      <w:r w:rsidR="00875467">
        <w:rPr>
          <w:rFonts w:ascii="Georgia" w:eastAsia="Times New Roman" w:hAnsi="Georgia"/>
          <w:lang w:val="it-IT"/>
        </w:rPr>
        <w:t>queste ragioni</w:t>
      </w:r>
      <w:r w:rsidR="00875467" w:rsidRPr="00875467">
        <w:rPr>
          <w:rFonts w:ascii="Georgia" w:eastAsia="Times New Roman" w:hAnsi="Georgia"/>
          <w:lang w:val="it-IT"/>
        </w:rPr>
        <w:t xml:space="preserve">, ci aspettiamo </w:t>
      </w:r>
      <w:r w:rsidR="00875467">
        <w:rPr>
          <w:rFonts w:ascii="Georgia" w:eastAsia="Times New Roman" w:hAnsi="Georgia"/>
          <w:lang w:val="it-IT"/>
        </w:rPr>
        <w:t>una crescita significativa per il mercato degli investi</w:t>
      </w:r>
      <w:r w:rsidR="00875467" w:rsidRPr="00875467">
        <w:rPr>
          <w:rFonts w:ascii="Georgia" w:eastAsia="Times New Roman" w:hAnsi="Georgia"/>
          <w:lang w:val="it-IT"/>
        </w:rPr>
        <w:t>menti alternativi nei prossimi anni.</w:t>
      </w:r>
    </w:p>
    <w:p w14:paraId="309BC14C" w14:textId="77777777" w:rsidR="008331A1" w:rsidRPr="005872E2" w:rsidRDefault="008331A1" w:rsidP="009D74CF">
      <w:pPr>
        <w:jc w:val="both"/>
        <w:rPr>
          <w:rFonts w:ascii="Georgia" w:eastAsiaTheme="majorEastAsia" w:hAnsi="Georgia" w:cstheme="majorBidi"/>
          <w:b/>
          <w:color w:val="2F5496" w:themeColor="accent1" w:themeShade="BF"/>
          <w:sz w:val="32"/>
          <w:szCs w:val="32"/>
          <w:lang w:val="it-IT"/>
        </w:rPr>
      </w:pPr>
      <w:r w:rsidRPr="005872E2">
        <w:rPr>
          <w:rFonts w:ascii="Georgia" w:hAnsi="Georgia"/>
          <w:lang w:val="it-IT"/>
        </w:rPr>
        <w:br w:type="page"/>
      </w:r>
    </w:p>
    <w:p w14:paraId="2F2A84B0" w14:textId="57799BC8" w:rsidR="2DD014CC" w:rsidRPr="00875467" w:rsidRDefault="00875467" w:rsidP="008B19C6">
      <w:pPr>
        <w:pStyle w:val="Titolo1"/>
        <w:spacing w:line="240" w:lineRule="auto"/>
        <w:rPr>
          <w:rFonts w:ascii="Georgia" w:hAnsi="Georgia"/>
          <w:lang w:val="it-IT"/>
        </w:rPr>
      </w:pPr>
      <w:r w:rsidRPr="00875467">
        <w:rPr>
          <w:rFonts w:ascii="Georgia" w:hAnsi="Georgia"/>
          <w:lang w:val="it-IT"/>
        </w:rPr>
        <w:lastRenderedPageBreak/>
        <w:t>Tema</w:t>
      </w:r>
      <w:r w:rsidR="008B19C6" w:rsidRPr="00875467">
        <w:rPr>
          <w:rFonts w:ascii="Georgia" w:hAnsi="Georgia"/>
          <w:lang w:val="it-IT"/>
        </w:rPr>
        <w:t xml:space="preserve"> 4: </w:t>
      </w:r>
      <w:r w:rsidR="009D0536" w:rsidRPr="009D0536">
        <w:rPr>
          <w:rFonts w:ascii="Georgia" w:hAnsi="Georgia"/>
          <w:lang w:val="it-IT"/>
        </w:rPr>
        <w:t xml:space="preserve">I fattori ESG continueranno ad </w:t>
      </w:r>
      <w:r w:rsidR="00A54AAB">
        <w:rPr>
          <w:rFonts w:ascii="Georgia" w:hAnsi="Georgia"/>
          <w:lang w:val="it-IT"/>
        </w:rPr>
        <w:t>essere determinanti</w:t>
      </w:r>
    </w:p>
    <w:p w14:paraId="202D968C" w14:textId="77777777" w:rsidR="008B19C6" w:rsidRPr="00875467" w:rsidRDefault="008B19C6" w:rsidP="009D74CF">
      <w:pPr>
        <w:rPr>
          <w:lang w:val="it-IT"/>
        </w:rPr>
      </w:pPr>
    </w:p>
    <w:p w14:paraId="4B656240" w14:textId="6F5A2072" w:rsidR="00CC7776" w:rsidRPr="00CC7776" w:rsidRDefault="00CC7684" w:rsidP="00CC2BB7">
      <w:pPr>
        <w:rPr>
          <w:rFonts w:ascii="Georgia" w:eastAsia="Georgia" w:hAnsi="Georgia" w:cs="Georgia"/>
          <w:color w:val="000000" w:themeColor="text1"/>
          <w:lang w:val="it-IT"/>
        </w:rPr>
      </w:pPr>
      <w:r>
        <w:rPr>
          <w:rFonts w:ascii="Georgia" w:eastAsia="Georgia" w:hAnsi="Georgia" w:cs="Georgia"/>
          <w:color w:val="000000" w:themeColor="text1"/>
          <w:lang w:val="it-IT"/>
        </w:rPr>
        <w:t>È opinione comune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 xml:space="preserve"> che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gli investimenti per la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 xml:space="preserve"> sostenibilità </w:t>
      </w:r>
      <w:r w:rsidR="00CC7776">
        <w:rPr>
          <w:rFonts w:ascii="Georgia" w:eastAsia="Georgia" w:hAnsi="Georgia" w:cs="Georgia"/>
          <w:color w:val="000000" w:themeColor="text1"/>
          <w:lang w:val="it-IT"/>
        </w:rPr>
        <w:t>siano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 xml:space="preserve"> destinat</w:t>
      </w:r>
      <w:r w:rsidR="00CC7776">
        <w:rPr>
          <w:rFonts w:ascii="Georgia" w:eastAsia="Georgia" w:hAnsi="Georgia" w:cs="Georgia"/>
          <w:color w:val="000000" w:themeColor="text1"/>
          <w:lang w:val="it-IT"/>
        </w:rPr>
        <w:t>i a essere tagliati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 xml:space="preserve"> quando le aziende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 xml:space="preserve">entrano in una fase di 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>ridu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zi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>on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e de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>i costi.</w:t>
      </w:r>
      <w:r w:rsidR="00CC7776" w:rsidRPr="00CC7776">
        <w:rPr>
          <w:lang w:val="it-IT"/>
        </w:rPr>
        <w:t xml:space="preserve"> 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>La crisi finanziaria globale del 2008 ha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 visto rallentare lo slancio verso un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 xml:space="preserve">'innovazione 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improntata ai fattori </w:t>
      </w:r>
      <w:r w:rsidR="00CC7776" w:rsidRPr="00CC7776">
        <w:rPr>
          <w:rFonts w:ascii="Georgia" w:eastAsia="Georgia" w:hAnsi="Georgia" w:cs="Georgia"/>
          <w:color w:val="000000" w:themeColor="text1"/>
          <w:lang w:val="it-IT"/>
        </w:rPr>
        <w:t xml:space="preserve">ESG nel settore immobiliare e ci sono segnali che indicano 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la possibilità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 xml:space="preserve">che 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>in</w:t>
      </w:r>
      <w:r w:rsidR="00907430" w:rsidRPr="00CC7776">
        <w:rPr>
          <w:rFonts w:ascii="Georgia" w:eastAsia="Georgia" w:hAnsi="Georgia" w:cs="Georgia"/>
          <w:color w:val="000000" w:themeColor="text1"/>
          <w:lang w:val="it-IT"/>
        </w:rPr>
        <w:t xml:space="preserve"> un 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>prossim</w:t>
      </w:r>
      <w:r w:rsidR="00907430" w:rsidRPr="00CC7776">
        <w:rPr>
          <w:rFonts w:ascii="Georgia" w:eastAsia="Georgia" w:hAnsi="Georgia" w:cs="Georgia"/>
          <w:color w:val="000000" w:themeColor="text1"/>
          <w:lang w:val="it-IT"/>
        </w:rPr>
        <w:t xml:space="preserve">o 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 xml:space="preserve">futuro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si ver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>i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fichi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 una situazione s</w:t>
      </w:r>
      <w:r w:rsidR="00A54AAB">
        <w:rPr>
          <w:rFonts w:ascii="Georgia" w:eastAsia="Georgia" w:hAnsi="Georgia" w:cs="Georgia"/>
          <w:color w:val="000000" w:themeColor="text1"/>
          <w:lang w:val="it-IT"/>
        </w:rPr>
        <w:t>i</w:t>
      </w:r>
      <w:r>
        <w:rPr>
          <w:rFonts w:ascii="Georgia" w:eastAsia="Georgia" w:hAnsi="Georgia" w:cs="Georgia"/>
          <w:color w:val="000000" w:themeColor="text1"/>
          <w:lang w:val="it-IT"/>
        </w:rPr>
        <w:t>mile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 xml:space="preserve">. </w:t>
      </w:r>
      <w:r w:rsidRPr="00CC7684">
        <w:rPr>
          <w:rFonts w:ascii="Georgia" w:eastAsia="Georgia" w:hAnsi="Georgia" w:cs="Georgia"/>
          <w:color w:val="000000" w:themeColor="text1"/>
          <w:lang w:val="it-IT"/>
        </w:rPr>
        <w:t>Un recente studio condotto da KPMG ha rilevato ch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e circa </w:t>
      </w:r>
      <w:r w:rsidRPr="00CC7684">
        <w:rPr>
          <w:rFonts w:ascii="Georgia" w:eastAsia="Georgia" w:hAnsi="Georgia" w:cs="Georgia"/>
          <w:color w:val="000000" w:themeColor="text1"/>
          <w:lang w:val="it-IT"/>
        </w:rPr>
        <w:t>metà degli ammini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stratori delegati intervistati “ha temporaneamente </w:t>
      </w:r>
      <w:r w:rsidRPr="00CC7684">
        <w:rPr>
          <w:rFonts w:ascii="Georgia" w:eastAsia="Georgia" w:hAnsi="Georgia" w:cs="Georgia"/>
          <w:color w:val="000000" w:themeColor="text1"/>
          <w:lang w:val="it-IT"/>
        </w:rPr>
        <w:t>sospe</w:t>
      </w:r>
      <w:r>
        <w:rPr>
          <w:rFonts w:ascii="Georgia" w:eastAsia="Georgia" w:hAnsi="Georgia" w:cs="Georgia"/>
          <w:color w:val="000000" w:themeColor="text1"/>
          <w:lang w:val="it-IT"/>
        </w:rPr>
        <w:t>s</w:t>
      </w:r>
      <w:r w:rsidRPr="00CC7684">
        <w:rPr>
          <w:rFonts w:ascii="Georgia" w:eastAsia="Georgia" w:hAnsi="Georgia" w:cs="Georgia"/>
          <w:color w:val="000000" w:themeColor="text1"/>
          <w:lang w:val="it-IT"/>
        </w:rPr>
        <w:t xml:space="preserve">o o 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sta </w:t>
      </w:r>
      <w:r w:rsidRPr="00CC7684">
        <w:rPr>
          <w:rFonts w:ascii="Georgia" w:eastAsia="Georgia" w:hAnsi="Georgia" w:cs="Georgia"/>
          <w:color w:val="000000" w:themeColor="text1"/>
          <w:lang w:val="it-IT"/>
        </w:rPr>
        <w:t xml:space="preserve">riconsiderando </w:t>
      </w:r>
      <w:r>
        <w:rPr>
          <w:rFonts w:ascii="Georgia" w:eastAsia="Georgia" w:hAnsi="Georgia" w:cs="Georgia"/>
          <w:color w:val="000000" w:themeColor="text1"/>
          <w:lang w:val="it-IT"/>
        </w:rPr>
        <w:t>le iniziative ESG in atto o pianificate per i prossimi sei mesi”</w:t>
      </w:r>
      <w:r w:rsidRPr="00CC7684">
        <w:rPr>
          <w:rFonts w:ascii="Georgia" w:eastAsia="Georgia" w:hAnsi="Georgia" w:cs="Georgia"/>
          <w:color w:val="000000" w:themeColor="text1"/>
          <w:lang w:val="it-IT"/>
        </w:rPr>
        <w:t>.</w:t>
      </w:r>
    </w:p>
    <w:p w14:paraId="535407A4" w14:textId="61990576" w:rsidR="007F17BD" w:rsidRPr="007F17BD" w:rsidRDefault="007F17BD" w:rsidP="00CC2BB7">
      <w:pPr>
        <w:rPr>
          <w:rFonts w:ascii="Georgia" w:eastAsia="Georgia" w:hAnsi="Georgia" w:cs="Georgia"/>
          <w:color w:val="000000" w:themeColor="text1"/>
          <w:lang w:val="it-IT"/>
        </w:rPr>
      </w:pPr>
      <w:r>
        <w:rPr>
          <w:rFonts w:ascii="Georgia" w:eastAsia="Georgia" w:hAnsi="Georgia" w:cs="Georgia"/>
          <w:color w:val="000000" w:themeColor="text1"/>
          <w:lang w:val="it-IT"/>
        </w:rPr>
        <w:t>Tutto c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 xml:space="preserve">iò in un momento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in cui sta emergendo un cert</w:t>
      </w:r>
      <w:r>
        <w:rPr>
          <w:rFonts w:ascii="Georgia" w:eastAsia="Georgia" w:hAnsi="Georgia" w:cs="Georgia"/>
          <w:color w:val="000000" w:themeColor="text1"/>
          <w:lang w:val="it-IT"/>
        </w:rPr>
        <w:t>o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 xml:space="preserve"> scetticismo nei confronti de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i fattori 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>ESG da parte di alcuni gruppi di invest</w:t>
      </w:r>
      <w:r>
        <w:rPr>
          <w:rFonts w:ascii="Georgia" w:eastAsia="Georgia" w:hAnsi="Georgia" w:cs="Georgia"/>
          <w:color w:val="000000" w:themeColor="text1"/>
          <w:lang w:val="it-IT"/>
        </w:rPr>
        <w:t>itori, in particolare n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>egli Stati Uniti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,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dove c’è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 xml:space="preserve"> una maggiore dipendenza dall'industria tradi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zionale del petrolio e del gas,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ch</w:t>
      </w:r>
      <w:r>
        <w:rPr>
          <w:rFonts w:ascii="Georgia" w:eastAsia="Georgia" w:hAnsi="Georgia" w:cs="Georgia"/>
          <w:color w:val="000000" w:themeColor="text1"/>
          <w:lang w:val="it-IT"/>
        </w:rPr>
        <w:t>e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 xml:space="preserve"> limita l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 xml:space="preserve">a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propensione del settore finanziario a pren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 xml:space="preserve">dere in considerazione i 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>crite</w:t>
      </w:r>
      <w:r w:rsidRPr="007F17BD">
        <w:rPr>
          <w:rFonts w:ascii="Georgia" w:eastAsia="Georgia" w:hAnsi="Georgia" w:cs="Georgia"/>
          <w:color w:val="000000" w:themeColor="text1"/>
          <w:lang w:val="it-IT"/>
        </w:rPr>
        <w:t>ri ESG.</w:t>
      </w:r>
    </w:p>
    <w:p w14:paraId="6BB7E18B" w14:textId="24A2E068" w:rsidR="007119B8" w:rsidRPr="005872E2" w:rsidRDefault="005872E2" w:rsidP="007119B8">
      <w:pP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</w:pPr>
      <w:r>
        <w:rPr>
          <w:rFonts w:ascii="Georgia" w:eastAsia="Georgia" w:hAnsi="Georgia" w:cs="Georgia"/>
          <w:color w:val="000000" w:themeColor="text1"/>
          <w:lang w:val="it-IT"/>
        </w:rPr>
        <w:t>Tuttavia, ci sono valide</w:t>
      </w:r>
      <w:r w:rsidRPr="005872E2">
        <w:rPr>
          <w:rFonts w:ascii="Georgia" w:eastAsia="Georgia" w:hAnsi="Georgia" w:cs="Georgia"/>
          <w:color w:val="000000" w:themeColor="text1"/>
          <w:lang w:val="it-IT"/>
        </w:rPr>
        <w:t xml:space="preserve"> motiv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azioni per cui 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>riteniamo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 probabile che i fattori </w:t>
      </w:r>
      <w:r w:rsidRPr="005872E2">
        <w:rPr>
          <w:rFonts w:ascii="Georgia" w:eastAsia="Georgia" w:hAnsi="Georgia" w:cs="Georgia"/>
          <w:color w:val="000000" w:themeColor="text1"/>
          <w:lang w:val="it-IT"/>
        </w:rPr>
        <w:t xml:space="preserve">ESG 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si confermino</w:t>
      </w:r>
      <w:r w:rsidRPr="005872E2">
        <w:rPr>
          <w:rFonts w:ascii="Georgia" w:eastAsia="Georgia" w:hAnsi="Georgia" w:cs="Georgia"/>
          <w:color w:val="000000" w:themeColor="text1"/>
          <w:lang w:val="it-IT"/>
        </w:rPr>
        <w:t xml:space="preserve"> priorit</w:t>
      </w:r>
      <w:r w:rsidR="00B31641">
        <w:rPr>
          <w:rFonts w:ascii="Georgia" w:eastAsia="Georgia" w:hAnsi="Georgia" w:cs="Georgia"/>
          <w:color w:val="000000" w:themeColor="text1"/>
          <w:lang w:val="it-IT"/>
        </w:rPr>
        <w:t>ari</w:t>
      </w:r>
      <w:r w:rsidRPr="005872E2">
        <w:rPr>
          <w:rFonts w:ascii="Georgia" w:eastAsia="Georgia" w:hAnsi="Georgia" w:cs="Georgia"/>
          <w:color w:val="000000" w:themeColor="text1"/>
          <w:lang w:val="it-IT"/>
        </w:rPr>
        <w:t>, soprattutto per gli investitori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 del </w:t>
      </w:r>
      <w:proofErr w:type="spellStart"/>
      <w:r>
        <w:rPr>
          <w:rFonts w:ascii="Georgia" w:eastAsia="Georgia" w:hAnsi="Georgia" w:cs="Georgia"/>
          <w:color w:val="000000" w:themeColor="text1"/>
          <w:lang w:val="it-IT"/>
        </w:rPr>
        <w:t>real</w:t>
      </w:r>
      <w:proofErr w:type="spellEnd"/>
      <w:r>
        <w:rPr>
          <w:rFonts w:ascii="Georgia" w:eastAsia="Georgia" w:hAnsi="Georgia" w:cs="Georgia"/>
          <w:color w:val="000000" w:themeColor="text1"/>
          <w:lang w:val="it-IT"/>
        </w:rPr>
        <w:t xml:space="preserve"> estate</w:t>
      </w:r>
      <w:r w:rsidR="2DD014CC" w:rsidRPr="005872E2">
        <w:rPr>
          <w:rFonts w:ascii="Georgia" w:eastAsia="Georgia" w:hAnsi="Georgia" w:cs="Georgia"/>
          <w:color w:val="000000" w:themeColor="text1"/>
          <w:lang w:val="it-IT"/>
        </w:rPr>
        <w:t>:</w:t>
      </w:r>
    </w:p>
    <w:p w14:paraId="4E8C0767" w14:textId="55C323CA" w:rsidR="008B19C6" w:rsidRPr="005872E2" w:rsidRDefault="008B19C6" w:rsidP="009D74CF">
      <w:pP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</w:pPr>
      <w:r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1: “</w:t>
      </w:r>
      <w:r w:rsidR="005872E2"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Il rischio c</w:t>
      </w:r>
      <w:r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limati</w:t>
      </w:r>
      <w:r w:rsidR="005872E2"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co è un rischi</w:t>
      </w:r>
      <w:r w:rsidR="00B80850"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o</w:t>
      </w:r>
      <w:r w:rsidR="005872E2"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 di</w:t>
      </w:r>
      <w:r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 </w:t>
      </w:r>
      <w:r w:rsidR="007119B8"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i</w:t>
      </w:r>
      <w:r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nvest</w:t>
      </w:r>
      <w:r w:rsidR="005872E2"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i</w:t>
      </w:r>
      <w:r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ment</w:t>
      </w:r>
      <w:r w:rsidR="005872E2"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o</w:t>
      </w:r>
      <w:r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”: </w:t>
      </w:r>
      <w:r w:rsidR="00EA2FF9"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l’integrazione dei fattori </w:t>
      </w:r>
      <w:r w:rsidRPr="00B31641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ESG </w:t>
      </w:r>
    </w:p>
    <w:p w14:paraId="1251B74E" w14:textId="0757727A" w:rsidR="00EA2FF9" w:rsidRDefault="00B31641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  <w:r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È difficile fare un confronto tra un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mondo </w:t>
      </w:r>
      <w:r w:rsid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guidato da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criteri ESG</w:t>
      </w:r>
      <w:r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,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</w:t>
      </w:r>
      <w:r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come quello di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oggi</w:t>
      </w:r>
      <w:r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,</w:t>
      </w:r>
      <w:r w:rsidR="00A3260C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e i</w:t>
      </w:r>
      <w:r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l mondo come era n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el 2008.</w:t>
      </w:r>
      <w:r w:rsid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I fattori</w:t>
      </w:r>
      <w:r w:rsidR="008B19C6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ESG 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sono stati integrati nelle strutture di </w:t>
      </w:r>
      <w:r w:rsidR="008B19C6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gover</w:t>
      </w:r>
      <w:r w:rsidR="008B19C6" w:rsidRPr="00A3260C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nance </w:t>
      </w:r>
      <w:r w:rsidR="00A3260C" w:rsidRPr="00A3260C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in </w:t>
      </w:r>
      <w:r w:rsidR="0090743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un </w:t>
      </w:r>
      <w:r w:rsidR="00EA2FF9" w:rsidRPr="00A3260C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modo </w:t>
      </w:r>
      <w:r w:rsidR="00A3260C" w:rsidRPr="00A3260C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che</w:t>
      </w:r>
      <w:r w:rsidR="00EA2FF9" w:rsidRPr="00A3260C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sembra </w:t>
      </w:r>
      <w:r w:rsidR="00A3260C" w:rsidRPr="00A3260C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ormai irreversibile</w:t>
      </w:r>
      <w:r w:rsid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e</w:t>
      </w:r>
      <w:r w:rsidR="00EA2FF9" w:rsidRPr="00EA2FF9">
        <w:rPr>
          <w:lang w:val="it-IT"/>
        </w:rPr>
        <w:t xml:space="preserve"> 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la co</w:t>
      </w:r>
      <w:r w:rsidR="002F3E1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nsapevolezza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del legame tra rischio climatico e rischio di investimento</w:t>
      </w:r>
      <w:r w:rsidR="002F3E1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ha fatto enormi</w:t>
      </w:r>
      <w:r w:rsid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pass</w:t>
      </w:r>
      <w:r w:rsidR="002F3E1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i</w:t>
      </w:r>
      <w:r w:rsid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avanti.</w:t>
      </w:r>
      <w:r w:rsidR="00EA2FF9" w:rsidRPr="00EA2FF9">
        <w:rPr>
          <w:lang w:val="it-IT"/>
        </w:rPr>
        <w:t xml:space="preserve"> 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Oggi i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costi </w:t>
      </w:r>
      <w:r w:rsid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necessari per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port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a</w:t>
      </w:r>
      <w:r w:rsid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r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e gli edifici 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allo standard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</w:t>
      </w:r>
      <w:r w:rsidR="00B80850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Net Zero Carbon 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inizian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o a essere incorporati </w:t>
      </w:r>
      <w:r w:rsidR="004F40B8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già in fase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di sottoscrizione e 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non possono </w:t>
      </w:r>
      <w:r w:rsidR="004F40B8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quindi</w:t>
      </w:r>
      <w:r w:rsidR="004F40B8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</w:t>
      </w:r>
      <w:r w:rsidR="00EA2FF9" w:rsidRPr="00EA2FF9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essere ignorati.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Abbiamo</w:t>
      </w:r>
      <w:r w:rsidR="00B80850" w:rsidRP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inoltre 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a disposizione </w:t>
      </w:r>
      <w:r w:rsidR="00B80850" w:rsidRP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un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a</w:t>
      </w:r>
      <w:r w:rsidR="00B80850" w:rsidRP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gran 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quantità</w:t>
      </w:r>
      <w:r w:rsidR="00B80850" w:rsidRP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di dati che dimostrano c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ome gli edifici “più verdi”</w:t>
      </w:r>
      <w:r w:rsidR="004F40B8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tenda</w:t>
      </w:r>
      <w:r w:rsidR="00B80850" w:rsidRP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no a re</w:t>
      </w:r>
      <w:r w:rsid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alizz</w:t>
      </w:r>
      <w:r w:rsidR="00B80850" w:rsidRPr="00B80850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are risultati migliori.</w:t>
      </w:r>
      <w:r w:rsidR="000575DE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</w:t>
      </w:r>
      <w:r w:rsidR="000575DE" w:rsidRPr="000575DE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I rendimenti a 10 anni dell'</w:t>
      </w:r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indice </w:t>
      </w:r>
      <w:r w:rsidR="000575DE" w:rsidRPr="000575DE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NCREIF per gli edifici </w:t>
      </w:r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ad uso</w:t>
      </w:r>
      <w:r w:rsidR="000575DE" w:rsidRPr="000575DE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uffici LEED Platinum sono dell'11,3% rispetto al 6,7% di quelli c</w:t>
      </w:r>
      <w:r w:rsidR="004F40B8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he hanno </w:t>
      </w:r>
      <w:r w:rsidR="000575DE" w:rsidRPr="004F40B8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semplice</w:t>
      </w:r>
      <w:r w:rsidR="004F40B8" w:rsidRPr="004F40B8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mente</w:t>
      </w:r>
      <w:r w:rsidR="004F40B8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una</w:t>
      </w:r>
      <w:r w:rsidR="000575DE" w:rsidRPr="000575DE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certificazione.</w:t>
      </w:r>
      <w:r w:rsidR="00456B82" w:rsidRPr="00456B82">
        <w:rPr>
          <w:lang w:val="it-IT"/>
        </w:rPr>
        <w:t xml:space="preserve"> 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JLL e Knight Frank hanno individuato</w:t>
      </w:r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un premio di locazione del 10%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-12% per gli edifici per u</w:t>
      </w:r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ffici classificati come “</w:t>
      </w:r>
      <w:proofErr w:type="spellStart"/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Outstanding</w:t>
      </w:r>
      <w:proofErr w:type="spellEnd"/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”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da BREEAM.</w:t>
      </w:r>
      <w:r w:rsidR="00456B82" w:rsidRPr="00456B82">
        <w:rPr>
          <w:lang w:val="it-IT"/>
        </w:rPr>
        <w:t xml:space="preserve"> 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Un sondaggio di JLL del 2021 ha rilevato che il 78% degli investitori </w:t>
      </w:r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si dice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concorde </w:t>
      </w:r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sul fatto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che il rischio climatico rappresenti un rischio finanziario.</w:t>
      </w:r>
      <w:r w:rsidR="00456B82" w:rsidRPr="00456B82">
        <w:rPr>
          <w:lang w:val="it-IT"/>
        </w:rPr>
        <w:t xml:space="preserve"> 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Anche la stragrande maggioranza dei </w:t>
      </w:r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l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ocat</w:t>
      </w:r>
      <w:r w:rsid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ar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i (83%) è d'accordo e il 79% </w:t>
      </w:r>
      <w:r w:rsidR="00104FEA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ritiene prioritario selezionare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edifici che </w:t>
      </w:r>
      <w:r w:rsidR="00104FEA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possano 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contribui</w:t>
      </w:r>
      <w:r w:rsidR="00104FEA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>re</w:t>
      </w:r>
      <w:r w:rsidR="00456B82" w:rsidRPr="00456B82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a ridurre le emissioni.</w:t>
      </w:r>
      <w:r w:rsidR="004F40B8"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  <w:t xml:space="preserve"> </w:t>
      </w:r>
    </w:p>
    <w:p w14:paraId="4FC17176" w14:textId="6F9B989E" w:rsidR="00EA2FF9" w:rsidRDefault="00EA2FF9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3F3AD21F" w14:textId="4E9BB851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46FAD916" w14:textId="2066FCC8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29FC4BB1" w14:textId="4EF08045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7B75AF07" w14:textId="6CC8A92F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690F63D6" w14:textId="0E75FB03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5F2B55A4" w14:textId="1C814D39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277C329D" w14:textId="62AE7FA2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5B635872" w14:textId="0D44EB27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27FDF390" w14:textId="54759E39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3F43D26A" w14:textId="27EC00F4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23ED5F51" w14:textId="646E75A0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7CA354BC" w14:textId="20F6B9CB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34426036" w14:textId="77777777" w:rsidR="00A54AAB" w:rsidRDefault="00A54AAB" w:rsidP="00CC2BB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Theme="majorEastAsia" w:hAnsi="Georgia"/>
          <w:color w:val="000000"/>
          <w:sz w:val="22"/>
          <w:szCs w:val="22"/>
          <w:lang w:val="it-IT"/>
        </w:rPr>
      </w:pPr>
    </w:p>
    <w:p w14:paraId="1B62591D" w14:textId="381EC4DE" w:rsidR="007119B8" w:rsidRPr="004F40B8" w:rsidRDefault="00FC53A7" w:rsidP="007119B8">
      <w:pPr>
        <w:rPr>
          <w:rFonts w:ascii="Georgia" w:eastAsia="Calibri" w:hAnsi="Georgia" w:cs="Calibri"/>
          <w:u w:val="single"/>
          <w:lang w:val="it-IT"/>
        </w:rPr>
      </w:pPr>
      <w:r w:rsidRPr="004F40B8">
        <w:rPr>
          <w:rFonts w:ascii="Georgia" w:eastAsia="Calibri" w:hAnsi="Georgia" w:cs="Calibri"/>
          <w:u w:val="single"/>
          <w:lang w:val="it-IT"/>
        </w:rPr>
        <w:t>6</w:t>
      </w:r>
      <w:r w:rsidR="007119B8" w:rsidRPr="004F40B8">
        <w:rPr>
          <w:rFonts w:ascii="Georgia" w:eastAsia="Calibri" w:hAnsi="Georgia" w:cs="Calibri"/>
          <w:u w:val="single"/>
          <w:lang w:val="it-IT"/>
        </w:rPr>
        <w:t>:</w:t>
      </w:r>
      <w:r w:rsidR="007119B8" w:rsidRPr="004F40B8">
        <w:rPr>
          <w:rFonts w:ascii="Georgia" w:eastAsia="Calibri" w:hAnsi="Georgia" w:cstheme="minorHAnsi"/>
          <w:u w:val="single"/>
          <w:lang w:val="it-IT"/>
        </w:rPr>
        <w:t xml:space="preserve"> </w:t>
      </w:r>
      <w:r w:rsidR="004F40B8" w:rsidRPr="004F40B8">
        <w:rPr>
          <w:rFonts w:ascii="Georgia" w:eastAsiaTheme="majorEastAsia" w:hAnsi="Georgia" w:cstheme="minorHAnsi"/>
          <w:kern w:val="24"/>
          <w:u w:val="single"/>
          <w:lang w:val="it-IT"/>
        </w:rPr>
        <w:t>NCREIF</w:t>
      </w:r>
      <w:r w:rsidR="004F40B8">
        <w:rPr>
          <w:rFonts w:ascii="Georgia" w:eastAsiaTheme="majorEastAsia" w:hAnsi="Georgia" w:cstheme="minorHAnsi"/>
          <w:kern w:val="24"/>
          <w:u w:val="single"/>
          <w:lang w:val="it-IT"/>
        </w:rPr>
        <w:t>,</w:t>
      </w:r>
      <w:r w:rsidR="004F40B8" w:rsidRPr="004F40B8">
        <w:rPr>
          <w:rFonts w:ascii="Georgia" w:eastAsiaTheme="majorEastAsia" w:hAnsi="Georgia" w:cstheme="minorHAnsi"/>
          <w:kern w:val="24"/>
          <w:u w:val="single"/>
          <w:lang w:val="it-IT"/>
        </w:rPr>
        <w:t xml:space="preserve"> </w:t>
      </w:r>
      <w:r w:rsidR="004F40B8">
        <w:rPr>
          <w:rFonts w:ascii="Georgia" w:eastAsiaTheme="majorEastAsia" w:hAnsi="Georgia" w:cstheme="minorHAnsi"/>
          <w:kern w:val="24"/>
          <w:u w:val="single"/>
          <w:lang w:val="it-IT"/>
        </w:rPr>
        <w:t>r</w:t>
      </w:r>
      <w:r w:rsidR="004F40B8" w:rsidRPr="004F40B8">
        <w:rPr>
          <w:rFonts w:ascii="Georgia" w:eastAsiaTheme="majorEastAsia" w:hAnsi="Georgia" w:cstheme="minorHAnsi"/>
          <w:kern w:val="24"/>
          <w:u w:val="single"/>
          <w:lang w:val="it-IT"/>
        </w:rPr>
        <w:t>endiment</w:t>
      </w:r>
      <w:r w:rsidR="004F40B8">
        <w:rPr>
          <w:rFonts w:ascii="Georgia" w:eastAsiaTheme="majorEastAsia" w:hAnsi="Georgia" w:cstheme="minorHAnsi"/>
          <w:kern w:val="24"/>
          <w:u w:val="single"/>
          <w:lang w:val="it-IT"/>
        </w:rPr>
        <w:t>i</w:t>
      </w:r>
      <w:r w:rsidR="004F40B8" w:rsidRPr="004F40B8">
        <w:rPr>
          <w:rFonts w:ascii="Georgia" w:eastAsiaTheme="majorEastAsia" w:hAnsi="Georgia" w:cstheme="minorHAnsi"/>
          <w:kern w:val="24"/>
          <w:u w:val="single"/>
          <w:lang w:val="it-IT"/>
        </w:rPr>
        <w:t xml:space="preserve"> (%)</w:t>
      </w:r>
      <w:r w:rsidR="004F40B8">
        <w:rPr>
          <w:rFonts w:ascii="Georgia" w:eastAsiaTheme="majorEastAsia" w:hAnsi="Georgia" w:cstheme="minorHAnsi"/>
          <w:kern w:val="24"/>
          <w:u w:val="single"/>
          <w:lang w:val="it-IT"/>
        </w:rPr>
        <w:t xml:space="preserve"> </w:t>
      </w:r>
      <w:r w:rsidR="004F40B8" w:rsidRPr="004F40B8">
        <w:rPr>
          <w:rFonts w:ascii="Georgia" w:eastAsiaTheme="majorEastAsia" w:hAnsi="Georgia" w:cstheme="minorHAnsi"/>
          <w:kern w:val="24"/>
          <w:u w:val="single"/>
          <w:lang w:val="it-IT"/>
        </w:rPr>
        <w:t xml:space="preserve">degli uffici </w:t>
      </w:r>
      <w:r w:rsidR="004F40B8">
        <w:rPr>
          <w:rFonts w:ascii="Georgia" w:eastAsiaTheme="majorEastAsia" w:hAnsi="Georgia" w:cstheme="minorHAnsi"/>
          <w:kern w:val="24"/>
          <w:u w:val="single"/>
          <w:lang w:val="it-IT"/>
        </w:rPr>
        <w:t>con</w:t>
      </w:r>
      <w:r w:rsidR="004F40B8" w:rsidRPr="004F40B8">
        <w:rPr>
          <w:rFonts w:ascii="Georgia" w:eastAsiaTheme="majorEastAsia" w:hAnsi="Georgia" w:cstheme="minorHAnsi"/>
          <w:kern w:val="24"/>
          <w:u w:val="single"/>
          <w:lang w:val="it-IT"/>
        </w:rPr>
        <w:t xml:space="preserve"> certificazione LEED</w:t>
      </w:r>
    </w:p>
    <w:p w14:paraId="398B841E" w14:textId="07F15454" w:rsidR="1C9B8B25" w:rsidRPr="009D74CF" w:rsidRDefault="00EA2D7F" w:rsidP="76A9E2B2">
      <w:pPr>
        <w:spacing w:line="257" w:lineRule="auto"/>
        <w:rPr>
          <w:rFonts w:ascii="Georgia" w:hAnsi="Georgia"/>
        </w:rPr>
      </w:pPr>
      <w:r>
        <w:rPr>
          <w:noProof/>
          <w:lang w:val="it-IT" w:eastAsia="it-IT"/>
        </w:rPr>
        <w:drawing>
          <wp:inline distT="0" distB="0" distL="0" distR="0" wp14:anchorId="503CBEC8" wp14:editId="25D8B3AB">
            <wp:extent cx="3947160" cy="2657475"/>
            <wp:effectExtent l="0" t="0" r="1524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931AB7E-A71E-4C54-A56A-9FD0F0969C1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45F977" w14:textId="43CDD1F2" w:rsidR="1C9B8B25" w:rsidRDefault="1C9B8B25" w:rsidP="76A9E2B2">
      <w:pPr>
        <w:spacing w:line="257" w:lineRule="auto"/>
        <w:rPr>
          <w:rFonts w:ascii="Georgia" w:eastAsiaTheme="minorEastAsia" w:hAnsi="Georgia"/>
          <w:sz w:val="16"/>
          <w:szCs w:val="16"/>
        </w:rPr>
      </w:pPr>
      <w:r w:rsidRPr="009D74CF">
        <w:rPr>
          <w:rFonts w:ascii="Georgia" w:eastAsiaTheme="minorEastAsia" w:hAnsi="Georgia"/>
          <w:sz w:val="16"/>
          <w:szCs w:val="16"/>
        </w:rPr>
        <w:t xml:space="preserve">Source: NCREIF, Q3 </w:t>
      </w:r>
      <w:proofErr w:type="gramStart"/>
      <w:r w:rsidRPr="009D74CF">
        <w:rPr>
          <w:rFonts w:ascii="Georgia" w:eastAsiaTheme="minorEastAsia" w:hAnsi="Georgia"/>
          <w:sz w:val="16"/>
          <w:szCs w:val="16"/>
        </w:rPr>
        <w:t>202</w:t>
      </w:r>
      <w:r w:rsidR="00EA2D7F">
        <w:rPr>
          <w:rFonts w:ascii="Georgia" w:eastAsiaTheme="minorEastAsia" w:hAnsi="Georgia"/>
          <w:sz w:val="16"/>
          <w:szCs w:val="16"/>
        </w:rPr>
        <w:t>2</w:t>
      </w:r>
      <w:r w:rsidRPr="009D74CF">
        <w:rPr>
          <w:rFonts w:ascii="Georgia" w:eastAsiaTheme="minorEastAsia" w:hAnsi="Georgia"/>
          <w:sz w:val="16"/>
          <w:szCs w:val="16"/>
        </w:rPr>
        <w:t>,  Knight</w:t>
      </w:r>
      <w:proofErr w:type="gramEnd"/>
      <w:r w:rsidRPr="009D74CF">
        <w:rPr>
          <w:rFonts w:ascii="Georgia" w:eastAsiaTheme="minorEastAsia" w:hAnsi="Georgia"/>
          <w:sz w:val="16"/>
          <w:szCs w:val="16"/>
        </w:rPr>
        <w:t xml:space="preserve"> Frank, 202</w:t>
      </w:r>
      <w:r w:rsidR="00EA2D7F">
        <w:rPr>
          <w:rFonts w:ascii="Georgia" w:eastAsiaTheme="minorEastAsia" w:hAnsi="Georgia"/>
          <w:sz w:val="16"/>
          <w:szCs w:val="16"/>
        </w:rPr>
        <w:t>2</w:t>
      </w:r>
    </w:p>
    <w:p w14:paraId="379F7D20" w14:textId="77777777" w:rsidR="007119B8" w:rsidRPr="009D74CF" w:rsidRDefault="007119B8" w:rsidP="76A9E2B2">
      <w:pPr>
        <w:spacing w:line="257" w:lineRule="auto"/>
        <w:rPr>
          <w:rFonts w:ascii="Georgia" w:eastAsiaTheme="minorEastAsia" w:hAnsi="Georgia"/>
          <w:sz w:val="16"/>
          <w:szCs w:val="16"/>
        </w:rPr>
      </w:pPr>
    </w:p>
    <w:p w14:paraId="5706A2A1" w14:textId="0F734CB9" w:rsidR="2DD014CC" w:rsidRPr="00104FEA" w:rsidRDefault="00104FEA">
      <w:pP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</w:pPr>
      <w:r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2: Il </w:t>
      </w:r>
      <w:proofErr w:type="spellStart"/>
      <w:r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r</w:t>
      </w:r>
      <w:r w:rsidR="2DD014CC"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epricing</w:t>
      </w:r>
      <w:proofErr w:type="spellEnd"/>
      <w:r w:rsidR="2DD014CC"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 </w:t>
      </w:r>
      <w:r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è un’</w:t>
      </w:r>
      <w:r w:rsidR="2DD014CC"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opportunit</w:t>
      </w:r>
      <w:r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à per</w:t>
      </w:r>
      <w: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 accelerare la</w:t>
      </w:r>
      <w:r w:rsidR="2DD014CC"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 tra</w:t>
      </w:r>
      <w: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nsiz</w:t>
      </w:r>
      <w:r w:rsidR="2DD014CC" w:rsidRPr="00104FEA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ion</w:t>
      </w:r>
      <w: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e verso </w:t>
      </w:r>
      <w:r w:rsidR="004F40B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lo </w:t>
      </w:r>
      <w: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standard Net Zero Carbon</w:t>
      </w:r>
    </w:p>
    <w:p w14:paraId="7E3EE47E" w14:textId="1CCD3359" w:rsidR="00104FEA" w:rsidRDefault="00104FEA" w:rsidP="00CC2BB7">
      <w:pPr>
        <w:rPr>
          <w:rFonts w:ascii="Georgia" w:eastAsia="Georgia" w:hAnsi="Georgia" w:cs="Georgia"/>
          <w:color w:val="000000" w:themeColor="text1"/>
          <w:lang w:val="it-IT"/>
        </w:rPr>
      </w:pPr>
      <w:r>
        <w:rPr>
          <w:rFonts w:ascii="Georgia" w:eastAsia="Georgia" w:hAnsi="Georgia" w:cs="Georgia"/>
          <w:color w:val="000000" w:themeColor="text1"/>
          <w:lang w:val="it-IT"/>
        </w:rPr>
        <w:t>Il prezzo deg</w:t>
      </w:r>
      <w:r w:rsidRPr="00104FEA">
        <w:rPr>
          <w:rFonts w:ascii="Georgia" w:eastAsia="Georgia" w:hAnsi="Georgia" w:cs="Georgia"/>
          <w:color w:val="000000" w:themeColor="text1"/>
          <w:lang w:val="it-IT"/>
        </w:rPr>
        <w:t>li asset che non soddisf</w:t>
      </w:r>
      <w:r w:rsidR="004F40B8">
        <w:rPr>
          <w:rFonts w:ascii="Georgia" w:eastAsia="Georgia" w:hAnsi="Georgia" w:cs="Georgia"/>
          <w:color w:val="000000" w:themeColor="text1"/>
          <w:lang w:val="it-IT"/>
        </w:rPr>
        <w:t>ano gli attuali standard ESG sa</w:t>
      </w:r>
      <w:r>
        <w:rPr>
          <w:rFonts w:ascii="Georgia" w:eastAsia="Georgia" w:hAnsi="Georgia" w:cs="Georgia"/>
          <w:color w:val="000000" w:themeColor="text1"/>
          <w:lang w:val="it-IT"/>
        </w:rPr>
        <w:t>rà</w:t>
      </w:r>
      <w:r w:rsidRPr="00104FEA">
        <w:rPr>
          <w:rFonts w:ascii="Georgia" w:eastAsia="Georgia" w:hAnsi="Georgia" w:cs="Georgia"/>
          <w:color w:val="000000" w:themeColor="text1"/>
          <w:lang w:val="it-IT"/>
        </w:rPr>
        <w:t xml:space="preserve"> probabilmente rivalutat</w:t>
      </w:r>
      <w:r>
        <w:rPr>
          <w:rFonts w:ascii="Georgia" w:eastAsia="Georgia" w:hAnsi="Georgia" w:cs="Georgia"/>
          <w:color w:val="000000" w:themeColor="text1"/>
          <w:lang w:val="it-IT"/>
        </w:rPr>
        <w:t>o</w:t>
      </w:r>
      <w:r w:rsidRPr="00104FEA">
        <w:rPr>
          <w:rFonts w:ascii="Georgia" w:eastAsia="Georgia" w:hAnsi="Georgia" w:cs="Georgia"/>
          <w:color w:val="000000" w:themeColor="text1"/>
          <w:lang w:val="it-IT"/>
        </w:rPr>
        <w:t>,</w:t>
      </w:r>
      <w:r w:rsidR="004F40B8">
        <w:rPr>
          <w:rFonts w:ascii="Georgia" w:eastAsia="Georgia" w:hAnsi="Georgia" w:cs="Georgia"/>
          <w:color w:val="000000" w:themeColor="text1"/>
          <w:lang w:val="it-IT"/>
        </w:rPr>
        <w:t xml:space="preserve"> vist</w:t>
      </w:r>
      <w:r>
        <w:rPr>
          <w:rFonts w:ascii="Georgia" w:eastAsia="Georgia" w:hAnsi="Georgia" w:cs="Georgia"/>
          <w:color w:val="000000" w:themeColor="text1"/>
          <w:lang w:val="it-IT"/>
        </w:rPr>
        <w:t>o il livello di investimenti necessari per un</w:t>
      </w:r>
      <w:r w:rsidRPr="00104FEA">
        <w:rPr>
          <w:rFonts w:ascii="Georgia" w:eastAsia="Georgia" w:hAnsi="Georgia" w:cs="Georgia"/>
          <w:color w:val="000000" w:themeColor="text1"/>
          <w:lang w:val="it-IT"/>
        </w:rPr>
        <w:t>a ristrutturazione secondo gli standard</w:t>
      </w:r>
      <w:r w:rsidRPr="00104FEA">
        <w:rPr>
          <w:lang w:val="it-IT"/>
        </w:rPr>
        <w:t xml:space="preserve"> </w:t>
      </w:r>
      <w:r w:rsidRPr="00104FEA">
        <w:rPr>
          <w:rFonts w:ascii="Georgia" w:eastAsia="Georgia" w:hAnsi="Georgia" w:cs="Georgia"/>
          <w:color w:val="000000" w:themeColor="text1"/>
          <w:lang w:val="it-IT"/>
        </w:rPr>
        <w:t>Net Zero Carbon</w:t>
      </w:r>
      <w:r>
        <w:rPr>
          <w:rFonts w:ascii="Georgia" w:eastAsia="Georgia" w:hAnsi="Georgia" w:cs="Georgia"/>
          <w:color w:val="000000" w:themeColor="text1"/>
          <w:lang w:val="it-IT"/>
        </w:rPr>
        <w:t>.</w:t>
      </w:r>
      <w:r w:rsidRPr="009614CB">
        <w:rPr>
          <w:rFonts w:ascii="Georgia" w:eastAsia="Georgia" w:hAnsi="Georgia" w:cs="Georgia"/>
          <w:color w:val="000000" w:themeColor="text1"/>
          <w:lang w:val="it-IT"/>
        </w:rPr>
        <w:t xml:space="preserve"> Con </w:t>
      </w:r>
      <w:r w:rsidRPr="00104FEA">
        <w:rPr>
          <w:rFonts w:ascii="Georgia" w:eastAsia="Georgia" w:hAnsi="Georgia" w:cs="Georgia"/>
          <w:color w:val="000000" w:themeColor="text1"/>
          <w:lang w:val="it-IT"/>
        </w:rPr>
        <w:t>la pr</w:t>
      </w:r>
      <w:r>
        <w:rPr>
          <w:rFonts w:ascii="Georgia" w:eastAsia="Georgia" w:hAnsi="Georgia" w:cs="Georgia"/>
          <w:color w:val="000000" w:themeColor="text1"/>
          <w:lang w:val="it-IT"/>
        </w:rPr>
        <w:t>ossima correzione dei pre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 xml:space="preserve">zzi </w:t>
      </w:r>
      <w:r w:rsidR="004F40B8">
        <w:rPr>
          <w:rFonts w:ascii="Georgia" w:eastAsia="Georgia" w:hAnsi="Georgia" w:cs="Georgia"/>
          <w:color w:val="000000" w:themeColor="text1"/>
          <w:lang w:val="it-IT"/>
        </w:rPr>
        <w:t>assiste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 xml:space="preserve">remo in tutta probabilità </w:t>
      </w:r>
      <w:r w:rsidR="004F40B8">
        <w:rPr>
          <w:rFonts w:ascii="Georgia" w:eastAsia="Georgia" w:hAnsi="Georgia" w:cs="Georgia"/>
          <w:color w:val="000000" w:themeColor="text1"/>
          <w:lang w:val="it-IT"/>
        </w:rPr>
        <w:t xml:space="preserve">a </w:t>
      </w:r>
      <w:r w:rsidRPr="00104FEA">
        <w:rPr>
          <w:rFonts w:ascii="Georgia" w:eastAsia="Georgia" w:hAnsi="Georgia" w:cs="Georgia"/>
          <w:color w:val="000000" w:themeColor="text1"/>
          <w:lang w:val="it-IT"/>
        </w:rPr>
        <w:t>una biforcazione</w:t>
      </w:r>
      <w:r w:rsidR="004F40B8">
        <w:rPr>
          <w:rFonts w:ascii="Georgia" w:eastAsia="Georgia" w:hAnsi="Georgia" w:cs="Georgia"/>
          <w:color w:val="000000" w:themeColor="text1"/>
          <w:lang w:val="it-IT"/>
        </w:rPr>
        <w:t xml:space="preserve"> per cui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>il valore de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gli edifici sostenibili e 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>con standard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 qualit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>ativi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 superior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>i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>sap</w:t>
      </w:r>
      <w:r w:rsidR="004F40B8">
        <w:rPr>
          <w:rFonts w:ascii="Georgia" w:eastAsia="Georgia" w:hAnsi="Georgia" w:cs="Georgia"/>
          <w:color w:val="000000" w:themeColor="text1"/>
          <w:lang w:val="it-IT"/>
        </w:rPr>
        <w:t>r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 xml:space="preserve">à 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>te</w:t>
      </w:r>
      <w:r w:rsidR="004F40B8">
        <w:rPr>
          <w:rFonts w:ascii="Georgia" w:eastAsia="Georgia" w:hAnsi="Georgia" w:cs="Georgia"/>
          <w:color w:val="000000" w:themeColor="text1"/>
          <w:lang w:val="it-IT"/>
        </w:rPr>
        <w:t>ne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>r</w:t>
      </w:r>
      <w:r w:rsidR="004F40B8">
        <w:rPr>
          <w:rFonts w:ascii="Georgia" w:eastAsia="Georgia" w:hAnsi="Georgia" w:cs="Georgia"/>
          <w:color w:val="000000" w:themeColor="text1"/>
          <w:lang w:val="it-IT"/>
        </w:rPr>
        <w:t>e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 meglio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>.</w:t>
      </w:r>
      <w:r w:rsidR="009614CB" w:rsidRPr="009614CB">
        <w:rPr>
          <w:lang w:val="it-IT"/>
        </w:rPr>
        <w:t xml:space="preserve"> 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La trasformazione 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>secondo gli standard NZC</w:t>
      </w:r>
      <w:r w:rsidR="008F0E43" w:rsidRPr="009614CB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di edifici accuratamente selezionati, in particolare 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>la lor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>o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 xml:space="preserve"> trasformazione 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in 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 xml:space="preserve">asset </w:t>
      </w:r>
      <w:r w:rsidR="008F0E43" w:rsidRPr="009614CB">
        <w:rPr>
          <w:rFonts w:ascii="Georgia" w:eastAsia="Georgia" w:hAnsi="Georgia" w:cs="Georgia"/>
          <w:color w:val="000000" w:themeColor="text1"/>
          <w:lang w:val="it-IT"/>
        </w:rPr>
        <w:t xml:space="preserve">la 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cui domanda 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 xml:space="preserve">è 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>super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 xml:space="preserve">iore 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>a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>l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l'offerta, rappresenta una 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>grand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e opportunità 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>per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 xml:space="preserve"> accrescer</w:t>
      </w:r>
      <w:r w:rsidR="009614CB">
        <w:rPr>
          <w:rFonts w:ascii="Georgia" w:eastAsia="Georgia" w:hAnsi="Georgia" w:cs="Georgia"/>
          <w:color w:val="000000" w:themeColor="text1"/>
          <w:lang w:val="it-IT"/>
        </w:rPr>
        <w:t>n</w:t>
      </w:r>
      <w:r w:rsidR="009614CB" w:rsidRPr="009614CB">
        <w:rPr>
          <w:rFonts w:ascii="Georgia" w:eastAsia="Georgia" w:hAnsi="Georgia" w:cs="Georgia"/>
          <w:color w:val="000000" w:themeColor="text1"/>
          <w:lang w:val="it-IT"/>
        </w:rPr>
        <w:t>e il valore.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</w:p>
    <w:p w14:paraId="4DE194AC" w14:textId="2757494A" w:rsidR="002C094C" w:rsidRPr="00104FEA" w:rsidRDefault="002C094C" w:rsidP="00CC2BB7">
      <w:pPr>
        <w:rPr>
          <w:rFonts w:ascii="Georgia" w:eastAsia="Georgia" w:hAnsi="Georgia" w:cs="Georgia"/>
          <w:color w:val="000000" w:themeColor="text1"/>
          <w:lang w:val="it-IT"/>
        </w:rPr>
      </w:pPr>
      <w:r w:rsidRPr="002C094C">
        <w:rPr>
          <w:rFonts w:ascii="Georgia" w:eastAsia="Georgia" w:hAnsi="Georgia" w:cs="Georgia"/>
          <w:color w:val="000000" w:themeColor="text1"/>
          <w:lang w:val="it-IT"/>
        </w:rPr>
        <w:t>Per quanto rigu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 xml:space="preserve">arda la componente sociale dei fattori </w:t>
      </w:r>
      <w:r w:rsidRPr="002C094C">
        <w:rPr>
          <w:rFonts w:ascii="Georgia" w:eastAsia="Georgia" w:hAnsi="Georgia" w:cs="Georgia"/>
          <w:color w:val="000000" w:themeColor="text1"/>
          <w:lang w:val="it-IT"/>
        </w:rPr>
        <w:t xml:space="preserve">ESG, la recessione favorisce anche le classi di attivi che si rivolgono 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nello specifico </w:t>
      </w:r>
      <w:r w:rsidRPr="002C094C">
        <w:rPr>
          <w:rFonts w:ascii="Georgia" w:eastAsia="Georgia" w:hAnsi="Georgia" w:cs="Georgia"/>
          <w:color w:val="000000" w:themeColor="text1"/>
          <w:lang w:val="it-IT"/>
        </w:rPr>
        <w:t>a c</w:t>
      </w:r>
      <w:r>
        <w:rPr>
          <w:rFonts w:ascii="Georgia" w:eastAsia="Georgia" w:hAnsi="Georgia" w:cs="Georgia"/>
          <w:color w:val="000000" w:themeColor="text1"/>
          <w:lang w:val="it-IT"/>
        </w:rPr>
        <w:t>oloro che hanno difficoltà finanziarie</w:t>
      </w:r>
      <w:r w:rsidRPr="002C094C">
        <w:rPr>
          <w:rFonts w:ascii="Georgia" w:eastAsia="Georgia" w:hAnsi="Georgia" w:cs="Georgia"/>
          <w:color w:val="000000" w:themeColor="text1"/>
          <w:lang w:val="it-IT"/>
        </w:rPr>
        <w:t>, come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 ad esempio</w:t>
      </w:r>
      <w:r w:rsidRPr="002C094C">
        <w:rPr>
          <w:rFonts w:ascii="Georgia" w:eastAsia="Georgia" w:hAnsi="Georgia" w:cs="Georgia"/>
          <w:color w:val="000000" w:themeColor="text1"/>
          <w:lang w:val="it-IT"/>
        </w:rPr>
        <w:t xml:space="preserve"> gli alloggi a prezzi accessibili, che sono 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 xml:space="preserve">in grado </w:t>
      </w:r>
      <w:r w:rsidRPr="002C094C">
        <w:rPr>
          <w:rFonts w:ascii="Georgia" w:eastAsia="Georgia" w:hAnsi="Georgia" w:cs="Georgia"/>
          <w:color w:val="000000" w:themeColor="text1"/>
          <w:lang w:val="it-IT"/>
        </w:rPr>
        <w:t>offrire rendimenti stabili.</w:t>
      </w:r>
    </w:p>
    <w:p w14:paraId="359FF123" w14:textId="77777777" w:rsidR="00A54AAB" w:rsidRDefault="00A54AAB">
      <w:pP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</w:pPr>
    </w:p>
    <w:p w14:paraId="0A481A43" w14:textId="7171CBAF" w:rsidR="2DD014CC" w:rsidRPr="00051E08" w:rsidRDefault="2DD014CC">
      <w:pPr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</w:pPr>
      <w:r w:rsidRPr="00051E0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3: </w:t>
      </w:r>
      <w:r w:rsidR="00051E08" w:rsidRPr="00051E0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La regolamentazione farà avanzare l</w:t>
      </w:r>
      <w:r w:rsidR="00051E0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a</w:t>
      </w:r>
      <w:r w:rsidR="00051E08" w:rsidRPr="00051E0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 p</w:t>
      </w:r>
      <w:r w:rsidR="00051E0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i</w:t>
      </w:r>
      <w:r w:rsidR="00051E08" w:rsidRPr="00051E0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a</w:t>
      </w:r>
      <w:r w:rsidR="00051E0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>nificazione</w:t>
      </w:r>
      <w:r w:rsidR="00051E08" w:rsidRPr="00051E08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 ESG</w:t>
      </w:r>
    </w:p>
    <w:p w14:paraId="7A161A15" w14:textId="1A877B25" w:rsidR="001E6CC4" w:rsidRDefault="00285ECC" w:rsidP="00CC2BB7">
      <w:pPr>
        <w:rPr>
          <w:rFonts w:ascii="Georgia" w:eastAsia="Georgia" w:hAnsi="Georgia" w:cs="Georgia"/>
          <w:color w:val="000000" w:themeColor="text1"/>
          <w:lang w:val="it-IT"/>
        </w:rPr>
      </w:pPr>
      <w:r>
        <w:rPr>
          <w:rFonts w:ascii="Georgia" w:eastAsia="Georgia" w:hAnsi="Georgia" w:cs="Georgia"/>
          <w:color w:val="000000" w:themeColor="text1"/>
          <w:lang w:val="it-IT"/>
        </w:rPr>
        <w:t>Le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normative </w:t>
      </w:r>
      <w:r>
        <w:rPr>
          <w:rFonts w:ascii="Georgia" w:eastAsia="Georgia" w:hAnsi="Georgia" w:cs="Georgia"/>
          <w:color w:val="000000" w:themeColor="text1"/>
          <w:lang w:val="it-IT"/>
        </w:rPr>
        <w:t>introdotte recentemente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e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 quelle che stanno per essere varate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rend</w:t>
      </w:r>
      <w:r>
        <w:rPr>
          <w:rFonts w:ascii="Georgia" w:eastAsia="Georgia" w:hAnsi="Georgia" w:cs="Georgia"/>
          <w:color w:val="000000" w:themeColor="text1"/>
          <w:lang w:val="it-IT"/>
        </w:rPr>
        <w:t>ono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praticamente impossibile 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 xml:space="preserve">per 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>le aziende abbandonare le loro agende ESG.</w:t>
      </w:r>
      <w:r w:rsidRPr="00285ECC">
        <w:rPr>
          <w:lang w:val="it-IT"/>
        </w:rPr>
        <w:t xml:space="preserve"> 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>Il Regolamento Europeo che disciplina l'informativa nel campo della finanza sostenibile</w:t>
      </w:r>
      <w:r w:rsidRPr="00285ECC">
        <w:rPr>
          <w:lang w:val="it-IT"/>
        </w:rPr>
        <w:t xml:space="preserve"> </w:t>
      </w:r>
      <w:r>
        <w:rPr>
          <w:lang w:val="it-IT"/>
        </w:rPr>
        <w:t>(</w:t>
      </w:r>
      <w:proofErr w:type="spellStart"/>
      <w:r w:rsidRPr="00285ECC">
        <w:rPr>
          <w:rFonts w:ascii="Georgia" w:eastAsia="Georgia" w:hAnsi="Georgia" w:cs="Georgia"/>
          <w:color w:val="000000" w:themeColor="text1"/>
          <w:lang w:val="it-IT"/>
        </w:rPr>
        <w:t>Sustainable</w:t>
      </w:r>
      <w:proofErr w:type="spellEnd"/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Finance Disclosure </w:t>
      </w:r>
      <w:proofErr w:type="spellStart"/>
      <w:r>
        <w:rPr>
          <w:rFonts w:ascii="Georgia" w:eastAsia="Georgia" w:hAnsi="Georgia" w:cs="Georgia"/>
          <w:color w:val="000000" w:themeColor="text1"/>
          <w:lang w:val="it-IT"/>
        </w:rPr>
        <w:t>Regulations</w:t>
      </w:r>
      <w:proofErr w:type="spellEnd"/>
      <w:r>
        <w:rPr>
          <w:rFonts w:ascii="Georgia" w:eastAsia="Georgia" w:hAnsi="Georgia" w:cs="Georgia"/>
          <w:color w:val="000000" w:themeColor="text1"/>
          <w:lang w:val="it-IT"/>
        </w:rPr>
        <w:t xml:space="preserve"> - 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>SFDR)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, 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le linee guida della </w:t>
      </w:r>
      <w:proofErr w:type="spellStart"/>
      <w:r w:rsidRPr="00285ECC">
        <w:rPr>
          <w:rFonts w:ascii="Georgia" w:eastAsia="Georgia" w:hAnsi="Georgia" w:cs="Georgia"/>
          <w:color w:val="000000" w:themeColor="text1"/>
          <w:lang w:val="it-IT"/>
        </w:rPr>
        <w:t>Monetary</w:t>
      </w:r>
      <w:proofErr w:type="spellEnd"/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Authority of Singapore (MAS) sulla gestione del rischio ambientale (</w:t>
      </w:r>
      <w:proofErr w:type="spellStart"/>
      <w:r w:rsidRPr="00285ECC">
        <w:rPr>
          <w:rFonts w:ascii="Georgia" w:eastAsia="Georgia" w:hAnsi="Georgia" w:cs="Georgia"/>
          <w:color w:val="000000" w:themeColor="text1"/>
          <w:lang w:val="it-IT"/>
        </w:rPr>
        <w:t>EnRM</w:t>
      </w:r>
      <w:proofErr w:type="spellEnd"/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) per </w:t>
      </w:r>
      <w:r>
        <w:rPr>
          <w:rFonts w:ascii="Georgia" w:eastAsia="Georgia" w:hAnsi="Georgia" w:cs="Georgia"/>
          <w:color w:val="000000" w:themeColor="text1"/>
          <w:lang w:val="it-IT"/>
        </w:rPr>
        <w:t>gli asset manager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>,</w:t>
      </w:r>
      <w:r w:rsidRPr="00285ECC">
        <w:rPr>
          <w:lang w:val="it-IT"/>
        </w:rPr>
        <w:t xml:space="preserve"> 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i requisiti </w:t>
      </w:r>
      <w:r>
        <w:rPr>
          <w:rFonts w:ascii="Georgia" w:eastAsia="Georgia" w:hAnsi="Georgia" w:cs="Georgia"/>
          <w:color w:val="000000" w:themeColor="text1"/>
          <w:lang w:val="it-IT"/>
        </w:rPr>
        <w:t>per l’informativa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sul clima proposti dalla Securities and Exchange C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>ommission negli Stati Uniti e le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proofErr w:type="spellStart"/>
      <w:r w:rsidRPr="00285ECC">
        <w:rPr>
          <w:rFonts w:ascii="Georgia" w:eastAsia="Georgia" w:hAnsi="Georgia" w:cs="Georgia"/>
          <w:color w:val="000000" w:themeColor="text1"/>
          <w:lang w:val="it-IT"/>
        </w:rPr>
        <w:t>Sustainable</w:t>
      </w:r>
      <w:proofErr w:type="spellEnd"/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Disclosure </w:t>
      </w:r>
      <w:proofErr w:type="spellStart"/>
      <w:r w:rsidRPr="00285ECC">
        <w:rPr>
          <w:rFonts w:ascii="Georgia" w:eastAsia="Georgia" w:hAnsi="Georgia" w:cs="Georgia"/>
          <w:color w:val="000000" w:themeColor="text1"/>
          <w:lang w:val="it-IT"/>
        </w:rPr>
        <w:t>Regulations</w:t>
      </w:r>
      <w:proofErr w:type="spellEnd"/>
      <w:r>
        <w:rPr>
          <w:rFonts w:ascii="Georgia" w:eastAsia="Georgia" w:hAnsi="Georgia" w:cs="Georgia"/>
          <w:color w:val="000000" w:themeColor="text1"/>
          <w:lang w:val="it-IT"/>
        </w:rPr>
        <w:t xml:space="preserve"> che sta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>nno per essere introdotte</w:t>
      </w:r>
      <w:r w:rsidRPr="00285ECC">
        <w:rPr>
          <w:rFonts w:ascii="Georgia" w:eastAsia="Georgia" w:hAnsi="Georgia" w:cs="Georgia"/>
          <w:color w:val="000000" w:themeColor="text1"/>
          <w:lang w:val="it-IT"/>
        </w:rPr>
        <w:t xml:space="preserve"> nel Regno Unito stabiliscono tutti requisiti di trasparenza rigorosi.</w:t>
      </w:r>
      <w:r w:rsidR="000D1D88" w:rsidRPr="000D1D88">
        <w:rPr>
          <w:lang w:val="it-IT"/>
        </w:rPr>
        <w:t xml:space="preserve"> </w:t>
      </w:r>
      <w:r w:rsidR="000D1D88" w:rsidRPr="000D1D88">
        <w:rPr>
          <w:rFonts w:ascii="Georgia" w:eastAsia="Georgia" w:hAnsi="Georgia" w:cs="Georgia"/>
          <w:color w:val="000000" w:themeColor="text1"/>
          <w:lang w:val="it-IT"/>
        </w:rPr>
        <w:t xml:space="preserve">A ciò </w:t>
      </w:r>
      <w:r w:rsidR="000D1D88">
        <w:rPr>
          <w:rFonts w:ascii="Georgia" w:eastAsia="Georgia" w:hAnsi="Georgia" w:cs="Georgia"/>
          <w:color w:val="000000" w:themeColor="text1"/>
          <w:lang w:val="it-IT"/>
        </w:rPr>
        <w:t>vanno ad</w:t>
      </w:r>
      <w:r w:rsidR="000D1D88" w:rsidRPr="000D1D88">
        <w:rPr>
          <w:rFonts w:ascii="Georgia" w:eastAsia="Georgia" w:hAnsi="Georgia" w:cs="Georgia"/>
          <w:color w:val="000000" w:themeColor="text1"/>
          <w:lang w:val="it-IT"/>
        </w:rPr>
        <w:t xml:space="preserve"> aggiunge</w:t>
      </w:r>
      <w:r w:rsidR="000D1D88">
        <w:rPr>
          <w:rFonts w:ascii="Georgia" w:eastAsia="Georgia" w:hAnsi="Georgia" w:cs="Georgia"/>
          <w:color w:val="000000" w:themeColor="text1"/>
          <w:lang w:val="it-IT"/>
        </w:rPr>
        <w:t>rsi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>,</w:t>
      </w:r>
      <w:r w:rsidR="000D1D88" w:rsidRPr="000D1D88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r w:rsidR="00907430" w:rsidRPr="000D1D88">
        <w:rPr>
          <w:rFonts w:ascii="Georgia" w:eastAsia="Georgia" w:hAnsi="Georgia" w:cs="Georgia"/>
          <w:color w:val="000000" w:themeColor="text1"/>
          <w:lang w:val="it-IT"/>
        </w:rPr>
        <w:t xml:space="preserve">negli Stati Uniti, in Europa e </w:t>
      </w:r>
      <w:r w:rsidR="00907430" w:rsidRPr="000D1D88">
        <w:rPr>
          <w:rFonts w:ascii="Georgia" w:eastAsia="Georgia" w:hAnsi="Georgia" w:cs="Georgia"/>
          <w:color w:val="000000" w:themeColor="text1"/>
          <w:lang w:val="it-IT"/>
        </w:rPr>
        <w:lastRenderedPageBreak/>
        <w:t>nell'Asia Pacific</w:t>
      </w:r>
      <w:r w:rsidR="00A54AAB">
        <w:rPr>
          <w:rFonts w:ascii="Georgia" w:eastAsia="Georgia" w:hAnsi="Georgia" w:cs="Georgia"/>
          <w:color w:val="000000" w:themeColor="text1"/>
          <w:lang w:val="it-IT"/>
        </w:rPr>
        <w:t>o</w:t>
      </w:r>
      <w:r w:rsidR="00907430">
        <w:rPr>
          <w:rFonts w:ascii="Georgia" w:eastAsia="Georgia" w:hAnsi="Georgia" w:cs="Georgia"/>
          <w:color w:val="000000" w:themeColor="text1"/>
          <w:lang w:val="it-IT"/>
        </w:rPr>
        <w:t>,</w:t>
      </w:r>
      <w:r w:rsidR="00907430" w:rsidRPr="000D1D88"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r w:rsidR="000D1D88" w:rsidRPr="000D1D88">
        <w:rPr>
          <w:rFonts w:ascii="Georgia" w:eastAsia="Georgia" w:hAnsi="Georgia" w:cs="Georgia"/>
          <w:color w:val="000000" w:themeColor="text1"/>
          <w:lang w:val="it-IT"/>
        </w:rPr>
        <w:t xml:space="preserve">una serie di normative edilizie che prevedono </w:t>
      </w:r>
      <w:r w:rsidR="000D1D88">
        <w:rPr>
          <w:rFonts w:ascii="Georgia" w:eastAsia="Georgia" w:hAnsi="Georgia" w:cs="Georgia"/>
          <w:color w:val="000000" w:themeColor="text1"/>
          <w:lang w:val="it-IT"/>
        </w:rPr>
        <w:t>maggiori</w:t>
      </w:r>
      <w:r w:rsidR="000D1D88" w:rsidRPr="000D1D88">
        <w:rPr>
          <w:rFonts w:ascii="Georgia" w:eastAsia="Georgia" w:hAnsi="Georgia" w:cs="Georgia"/>
          <w:color w:val="000000" w:themeColor="text1"/>
          <w:lang w:val="it-IT"/>
        </w:rPr>
        <w:t xml:space="preserve"> requisiti di efficienz</w:t>
      </w:r>
      <w:r w:rsidR="000D1D88">
        <w:rPr>
          <w:rFonts w:ascii="Georgia" w:eastAsia="Georgia" w:hAnsi="Georgia" w:cs="Georgia"/>
          <w:color w:val="000000" w:themeColor="text1"/>
          <w:lang w:val="it-IT"/>
        </w:rPr>
        <w:t xml:space="preserve">a energetica per gli edifici 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 xml:space="preserve">realizzati </w:t>
      </w:r>
      <w:r w:rsidR="000D1D88">
        <w:rPr>
          <w:rFonts w:ascii="Georgia" w:eastAsia="Georgia" w:hAnsi="Georgia" w:cs="Georgia"/>
          <w:color w:val="000000" w:themeColor="text1"/>
          <w:lang w:val="it-IT"/>
        </w:rPr>
        <w:t>nei</w:t>
      </w:r>
      <w:r w:rsidR="000D1D88" w:rsidRPr="000D1D88">
        <w:rPr>
          <w:rFonts w:ascii="Georgia" w:eastAsia="Georgia" w:hAnsi="Georgia" w:cs="Georgia"/>
          <w:color w:val="000000" w:themeColor="text1"/>
          <w:lang w:val="it-IT"/>
        </w:rPr>
        <w:t xml:space="preserve"> prossim</w:t>
      </w:r>
      <w:r w:rsidR="000D1D88">
        <w:rPr>
          <w:rFonts w:ascii="Georgia" w:eastAsia="Georgia" w:hAnsi="Georgia" w:cs="Georgia"/>
          <w:color w:val="000000" w:themeColor="text1"/>
          <w:lang w:val="it-IT"/>
        </w:rPr>
        <w:t>i anni</w:t>
      </w:r>
      <w:r w:rsidR="000D1D88" w:rsidRPr="000D1D88">
        <w:rPr>
          <w:rFonts w:ascii="Georgia" w:eastAsia="Georgia" w:hAnsi="Georgia" w:cs="Georgia"/>
          <w:color w:val="000000" w:themeColor="text1"/>
          <w:lang w:val="it-IT"/>
        </w:rPr>
        <w:t>.</w:t>
      </w:r>
    </w:p>
    <w:p w14:paraId="46850FCD" w14:textId="360453AD" w:rsidR="000D1D88" w:rsidRDefault="000D1D88" w:rsidP="001E6CC4">
      <w:pPr>
        <w:rPr>
          <w:rFonts w:ascii="Georgia" w:hAnsi="Georgia"/>
          <w:lang w:val="it-IT"/>
        </w:rPr>
      </w:pPr>
      <w:r w:rsidRPr="000D1D88">
        <w:rPr>
          <w:rFonts w:ascii="Georgia" w:eastAsia="Georgia" w:hAnsi="Georgia" w:cs="Georgia"/>
          <w:color w:val="000000" w:themeColor="text1"/>
          <w:lang w:val="it-IT"/>
        </w:rPr>
        <w:t>Questi fattori, unitamente al danno reputazionale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>,</w:t>
      </w:r>
      <w:r w:rsidRPr="000D1D88">
        <w:rPr>
          <w:rFonts w:ascii="Georgia" w:eastAsia="Georgia" w:hAnsi="Georgia" w:cs="Georgia"/>
          <w:color w:val="000000" w:themeColor="text1"/>
          <w:lang w:val="it-IT"/>
        </w:rPr>
        <w:t xml:space="preserve"> che indubbiamente accompagnerebbe un passo indietro rispetto agli impegni ESG, 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confermano i valori </w:t>
      </w:r>
      <w:r w:rsidRPr="000D1D88">
        <w:rPr>
          <w:rFonts w:ascii="Georgia" w:eastAsia="Georgia" w:hAnsi="Georgia" w:cs="Georgia"/>
          <w:color w:val="000000" w:themeColor="text1"/>
          <w:lang w:val="it-IT"/>
        </w:rPr>
        <w:t xml:space="preserve">ESG </w:t>
      </w:r>
      <w:r>
        <w:rPr>
          <w:rFonts w:ascii="Georgia" w:eastAsia="Georgia" w:hAnsi="Georgia" w:cs="Georgia"/>
          <w:color w:val="000000" w:themeColor="text1"/>
          <w:lang w:val="it-IT"/>
        </w:rPr>
        <w:t>come focus</w:t>
      </w:r>
      <w:r w:rsidRPr="000D1D88">
        <w:rPr>
          <w:rFonts w:ascii="Georgia" w:eastAsia="Georgia" w:hAnsi="Georgia" w:cs="Georgia"/>
          <w:color w:val="000000" w:themeColor="text1"/>
          <w:lang w:val="it-IT"/>
        </w:rPr>
        <w:t xml:space="preserve"> significativ</w:t>
      </w:r>
      <w:r>
        <w:rPr>
          <w:rFonts w:ascii="Georgia" w:eastAsia="Georgia" w:hAnsi="Georgia" w:cs="Georgia"/>
          <w:color w:val="000000" w:themeColor="text1"/>
          <w:lang w:val="it-IT"/>
        </w:rPr>
        <w:t>o</w:t>
      </w:r>
      <w:r w:rsidRPr="000D1D88">
        <w:rPr>
          <w:rFonts w:ascii="Georgia" w:eastAsia="Georgia" w:hAnsi="Georgia" w:cs="Georgia"/>
          <w:color w:val="000000" w:themeColor="text1"/>
          <w:lang w:val="it-IT"/>
        </w:rPr>
        <w:t xml:space="preserve"> per gli investimenti</w:t>
      </w:r>
      <w:r>
        <w:rPr>
          <w:rFonts w:ascii="Georgia" w:eastAsia="Georgia" w:hAnsi="Georgia" w:cs="Georgia"/>
          <w:color w:val="000000" w:themeColor="text1"/>
          <w:lang w:val="it-IT"/>
        </w:rPr>
        <w:t xml:space="preserve"> </w:t>
      </w:r>
      <w:r w:rsidR="008F0E43">
        <w:rPr>
          <w:rFonts w:ascii="Georgia" w:eastAsia="Georgia" w:hAnsi="Georgia" w:cs="Georgia"/>
          <w:color w:val="000000" w:themeColor="text1"/>
          <w:lang w:val="it-IT"/>
        </w:rPr>
        <w:t xml:space="preserve">nel </w:t>
      </w:r>
      <w:proofErr w:type="spellStart"/>
      <w:r>
        <w:rPr>
          <w:rFonts w:ascii="Georgia" w:eastAsia="Georgia" w:hAnsi="Georgia" w:cs="Georgia"/>
          <w:color w:val="000000" w:themeColor="text1"/>
          <w:lang w:val="it-IT"/>
        </w:rPr>
        <w:t>real</w:t>
      </w:r>
      <w:proofErr w:type="spellEnd"/>
      <w:r>
        <w:rPr>
          <w:rFonts w:ascii="Georgia" w:eastAsia="Georgia" w:hAnsi="Georgia" w:cs="Georgia"/>
          <w:color w:val="000000" w:themeColor="text1"/>
          <w:lang w:val="it-IT"/>
        </w:rPr>
        <w:t xml:space="preserve"> estate.</w:t>
      </w:r>
      <w:r w:rsidR="001E6CC4">
        <w:rPr>
          <w:rFonts w:ascii="Georgia" w:eastAsia="Georgia" w:hAnsi="Georgia" w:cs="Georgia"/>
          <w:color w:val="000000" w:themeColor="text1"/>
          <w:lang w:val="it-IT"/>
        </w:rPr>
        <w:br/>
      </w:r>
    </w:p>
    <w:p w14:paraId="6C1555BE" w14:textId="60B4B80A" w:rsidR="00F27C80" w:rsidRPr="0052766E" w:rsidRDefault="000D1D88" w:rsidP="002C094C">
      <w:pPr>
        <w:pStyle w:val="Titolo1"/>
        <w:spacing w:line="240" w:lineRule="auto"/>
        <w:rPr>
          <w:rFonts w:ascii="Georgia" w:hAnsi="Georgia"/>
          <w:lang w:val="it-IT"/>
        </w:rPr>
      </w:pPr>
      <w:r w:rsidRPr="0052766E">
        <w:rPr>
          <w:rFonts w:ascii="Georgia" w:hAnsi="Georgia"/>
          <w:lang w:val="it-IT"/>
        </w:rPr>
        <w:t>T</w:t>
      </w:r>
      <w:r w:rsidR="00257594" w:rsidRPr="0052766E">
        <w:rPr>
          <w:rFonts w:ascii="Georgia" w:hAnsi="Georgia"/>
          <w:lang w:val="it-IT"/>
        </w:rPr>
        <w:t>em</w:t>
      </w:r>
      <w:r w:rsidRPr="0052766E">
        <w:rPr>
          <w:rFonts w:ascii="Georgia" w:hAnsi="Georgia"/>
          <w:lang w:val="it-IT"/>
        </w:rPr>
        <w:t>a</w:t>
      </w:r>
      <w:r w:rsidR="00257594" w:rsidRPr="0052766E">
        <w:rPr>
          <w:rFonts w:ascii="Georgia" w:hAnsi="Georgia"/>
          <w:lang w:val="it-IT"/>
        </w:rPr>
        <w:t xml:space="preserve"> 5: </w:t>
      </w:r>
      <w:r w:rsidR="0052766E" w:rsidRPr="0052766E">
        <w:rPr>
          <w:rFonts w:ascii="Georgia" w:hAnsi="Georgia"/>
          <w:lang w:val="it-IT"/>
        </w:rPr>
        <w:t>I vincitori, i perdenti e le sorprese del settore per il 2023</w:t>
      </w:r>
    </w:p>
    <w:p w14:paraId="1E7CE89D" w14:textId="77777777" w:rsidR="008331A1" w:rsidRPr="0052766E" w:rsidRDefault="008331A1" w:rsidP="00F27C80">
      <w:pPr>
        <w:pStyle w:val="Titolo2"/>
        <w:rPr>
          <w:rFonts w:ascii="Georgia" w:hAnsi="Georgia"/>
          <w:lang w:val="it-IT"/>
        </w:rPr>
      </w:pPr>
    </w:p>
    <w:p w14:paraId="7D7C11F4" w14:textId="0FAE00CE" w:rsidR="176AC313" w:rsidRPr="00F36253" w:rsidRDefault="00F36253" w:rsidP="00CC2BB7">
      <w:pPr>
        <w:rPr>
          <w:rFonts w:ascii="Georgia" w:eastAsia="Calibri" w:hAnsi="Georgia" w:cs="Calibri"/>
          <w:lang w:val="it-IT"/>
        </w:rPr>
      </w:pPr>
      <w:r>
        <w:rPr>
          <w:rFonts w:ascii="Georgia" w:eastAsia="Times New Roman" w:hAnsi="Georgia"/>
          <w:lang w:val="it-IT"/>
        </w:rPr>
        <w:t>Dal momento che</w:t>
      </w:r>
      <w:r w:rsidRPr="00F36253">
        <w:rPr>
          <w:rFonts w:ascii="Georgia" w:eastAsia="Times New Roman" w:hAnsi="Georgia"/>
          <w:lang w:val="it-IT"/>
        </w:rPr>
        <w:t xml:space="preserve"> il mercato si trova ad affrontare un</w:t>
      </w:r>
      <w:r w:rsidR="008F0E43">
        <w:rPr>
          <w:rFonts w:ascii="Georgia" w:eastAsia="Times New Roman" w:hAnsi="Georgia"/>
          <w:lang w:val="it-IT"/>
        </w:rPr>
        <w:t>a fase di</w:t>
      </w:r>
      <w:r w:rsidRPr="00F36253">
        <w:rPr>
          <w:rFonts w:ascii="Georgia" w:eastAsia="Times New Roman" w:hAnsi="Georgia"/>
          <w:lang w:val="it-IT"/>
        </w:rPr>
        <w:t xml:space="preserve"> rallentamento prolungato</w:t>
      </w:r>
      <w:r>
        <w:rPr>
          <w:rFonts w:ascii="Georgia" w:eastAsia="Times New Roman" w:hAnsi="Georgia"/>
          <w:lang w:val="it-IT"/>
        </w:rPr>
        <w:t>, nel 2023</w:t>
      </w:r>
      <w:r w:rsidRPr="00F36253">
        <w:rPr>
          <w:rFonts w:ascii="Georgia" w:eastAsia="Times New Roman" w:hAnsi="Georgia"/>
          <w:lang w:val="it-IT"/>
        </w:rPr>
        <w:t xml:space="preserve"> un</w:t>
      </w:r>
      <w:r>
        <w:rPr>
          <w:rFonts w:ascii="Georgia" w:eastAsia="Times New Roman" w:hAnsi="Georgia"/>
          <w:lang w:val="it-IT"/>
        </w:rPr>
        <w:t>’</w:t>
      </w:r>
      <w:r w:rsidRPr="00F36253">
        <w:rPr>
          <w:rFonts w:ascii="Georgia" w:eastAsia="Times New Roman" w:hAnsi="Georgia"/>
          <w:lang w:val="it-IT"/>
        </w:rPr>
        <w:t xml:space="preserve">accurata selezione </w:t>
      </w:r>
      <w:r>
        <w:rPr>
          <w:rFonts w:ascii="Georgia" w:eastAsia="Times New Roman" w:hAnsi="Georgia"/>
          <w:lang w:val="it-IT"/>
        </w:rPr>
        <w:t>dei settori più resili</w:t>
      </w:r>
      <w:r w:rsidRPr="00F36253">
        <w:rPr>
          <w:rFonts w:ascii="Georgia" w:eastAsia="Times New Roman" w:hAnsi="Georgia"/>
          <w:lang w:val="it-IT"/>
        </w:rPr>
        <w:t xml:space="preserve">enti </w:t>
      </w:r>
      <w:r>
        <w:rPr>
          <w:rFonts w:ascii="Georgia" w:eastAsia="Times New Roman" w:hAnsi="Georgia"/>
          <w:lang w:val="it-IT"/>
        </w:rPr>
        <w:t>sarà</w:t>
      </w:r>
      <w:r w:rsidRPr="00F36253">
        <w:rPr>
          <w:rFonts w:ascii="Georgia" w:eastAsia="Times New Roman" w:hAnsi="Georgia"/>
          <w:lang w:val="it-IT"/>
        </w:rPr>
        <w:t xml:space="preserve"> fondamentale per la costruzione d</w:t>
      </w:r>
      <w:r w:rsidR="008F0E43">
        <w:rPr>
          <w:rFonts w:ascii="Georgia" w:eastAsia="Times New Roman" w:hAnsi="Georgia"/>
          <w:lang w:val="it-IT"/>
        </w:rPr>
        <w:t>el</w:t>
      </w:r>
      <w:r w:rsidRPr="00F36253">
        <w:rPr>
          <w:rFonts w:ascii="Georgia" w:eastAsia="Times New Roman" w:hAnsi="Georgia"/>
          <w:lang w:val="it-IT"/>
        </w:rPr>
        <w:t xml:space="preserve"> portafoglio.</w:t>
      </w:r>
      <w:r>
        <w:rPr>
          <w:rFonts w:ascii="Georgia" w:eastAsia="Times New Roman" w:hAnsi="Georgia"/>
          <w:lang w:val="it-IT"/>
        </w:rPr>
        <w:t xml:space="preserve"> Gli elementi </w:t>
      </w:r>
      <w:r w:rsidRPr="00F36253">
        <w:rPr>
          <w:rFonts w:ascii="Georgia" w:eastAsia="Times New Roman" w:hAnsi="Georgia"/>
          <w:lang w:val="it-IT"/>
        </w:rPr>
        <w:t xml:space="preserve">strutturali </w:t>
      </w:r>
      <w:r>
        <w:rPr>
          <w:rFonts w:ascii="Georgia" w:eastAsia="Times New Roman" w:hAnsi="Georgia"/>
          <w:lang w:val="it-IT"/>
        </w:rPr>
        <w:t xml:space="preserve">favorevoli </w:t>
      </w:r>
      <w:r w:rsidR="008F0E43">
        <w:rPr>
          <w:rFonts w:ascii="Georgia" w:eastAsia="Times New Roman" w:hAnsi="Georgia"/>
          <w:lang w:val="it-IT"/>
        </w:rPr>
        <w:t>sono importanti per stabili</w:t>
      </w:r>
      <w:r w:rsidRPr="00F36253">
        <w:rPr>
          <w:rFonts w:ascii="Georgia" w:eastAsia="Times New Roman" w:hAnsi="Georgia"/>
          <w:lang w:val="it-IT"/>
        </w:rPr>
        <w:t xml:space="preserve">re i vincitori e i perdenti </w:t>
      </w:r>
      <w:r>
        <w:rPr>
          <w:rFonts w:ascii="Georgia" w:eastAsia="Times New Roman" w:hAnsi="Georgia"/>
          <w:lang w:val="it-IT"/>
        </w:rPr>
        <w:t>sul</w:t>
      </w:r>
      <w:r w:rsidRPr="00F36253">
        <w:rPr>
          <w:rFonts w:ascii="Georgia" w:eastAsia="Times New Roman" w:hAnsi="Georgia"/>
          <w:lang w:val="it-IT"/>
        </w:rPr>
        <w:t xml:space="preserve"> lungo termine, ma anche i fondamentali sono </w:t>
      </w:r>
      <w:r>
        <w:rPr>
          <w:rFonts w:ascii="Georgia" w:eastAsia="Times New Roman" w:hAnsi="Georgia"/>
          <w:lang w:val="it-IT"/>
        </w:rPr>
        <w:t xml:space="preserve">determinanti </w:t>
      </w:r>
      <w:r w:rsidRPr="00F36253">
        <w:rPr>
          <w:rFonts w:ascii="Georgia" w:eastAsia="Times New Roman" w:hAnsi="Georgia"/>
          <w:lang w:val="it-IT"/>
        </w:rPr>
        <w:t xml:space="preserve">per </w:t>
      </w:r>
      <w:r>
        <w:rPr>
          <w:rFonts w:ascii="Georgia" w:eastAsia="Times New Roman" w:hAnsi="Georgia"/>
          <w:lang w:val="it-IT"/>
        </w:rPr>
        <w:t xml:space="preserve">il raggiungimento di </w:t>
      </w:r>
      <w:r w:rsidRPr="00F36253">
        <w:rPr>
          <w:rFonts w:ascii="Georgia" w:eastAsia="Times New Roman" w:hAnsi="Georgia"/>
          <w:lang w:val="it-IT"/>
        </w:rPr>
        <w:t xml:space="preserve">solidi risultati </w:t>
      </w:r>
      <w:r>
        <w:rPr>
          <w:rFonts w:ascii="Georgia" w:eastAsia="Times New Roman" w:hAnsi="Georgia"/>
          <w:lang w:val="it-IT"/>
        </w:rPr>
        <w:t>adeguati</w:t>
      </w:r>
      <w:r w:rsidRPr="00F36253">
        <w:rPr>
          <w:rFonts w:ascii="Georgia" w:eastAsia="Times New Roman" w:hAnsi="Georgia"/>
          <w:lang w:val="it-IT"/>
        </w:rPr>
        <w:t xml:space="preserve"> al rischio.</w:t>
      </w:r>
      <w:r w:rsidR="176AC313" w:rsidRPr="00F36253">
        <w:rPr>
          <w:rFonts w:ascii="Georgia" w:eastAsia="Calibri" w:hAnsi="Georgia" w:cs="Calibri"/>
          <w:lang w:val="it-IT"/>
        </w:rPr>
        <w:t xml:space="preserve"> </w:t>
      </w:r>
    </w:p>
    <w:p w14:paraId="1307D2B2" w14:textId="1F9DB6EF" w:rsidR="00F27C80" w:rsidRPr="00F36253" w:rsidRDefault="00257594" w:rsidP="009D74CF">
      <w:pPr>
        <w:pStyle w:val="Titolo2"/>
        <w:jc w:val="both"/>
        <w:rPr>
          <w:rFonts w:ascii="Georgia" w:hAnsi="Georgia"/>
          <w:lang w:val="it-IT"/>
        </w:rPr>
      </w:pPr>
      <w:r w:rsidRPr="00F36253">
        <w:rPr>
          <w:rFonts w:ascii="Georgia" w:eastAsia="Calibri" w:hAnsi="Georgia" w:cs="Calibri"/>
          <w:lang w:val="it-IT"/>
        </w:rPr>
        <w:t>I</w:t>
      </w:r>
      <w:r w:rsidR="004F021E" w:rsidRPr="00F36253">
        <w:rPr>
          <w:rFonts w:ascii="Georgia" w:hAnsi="Georgia"/>
          <w:lang w:val="it-IT"/>
        </w:rPr>
        <w:t>ndustrial</w:t>
      </w:r>
      <w:r w:rsidR="00F36253">
        <w:rPr>
          <w:rFonts w:ascii="Georgia" w:hAnsi="Georgia"/>
          <w:lang w:val="it-IT"/>
        </w:rPr>
        <w:t>e</w:t>
      </w:r>
      <w:r w:rsidR="004F021E" w:rsidRPr="00F36253">
        <w:rPr>
          <w:rFonts w:ascii="Georgia" w:hAnsi="Georgia"/>
          <w:lang w:val="it-IT"/>
        </w:rPr>
        <w:t xml:space="preserve">: </w:t>
      </w:r>
      <w:r w:rsidR="00F36253">
        <w:rPr>
          <w:rFonts w:ascii="Georgia" w:hAnsi="Georgia"/>
          <w:lang w:val="it-IT"/>
        </w:rPr>
        <w:t>prevalgono i fattori positivi</w:t>
      </w:r>
      <w:r w:rsidR="004F021E" w:rsidRPr="00F36253">
        <w:rPr>
          <w:rFonts w:ascii="Georgia" w:hAnsi="Georgia"/>
          <w:lang w:val="it-IT"/>
        </w:rPr>
        <w:t xml:space="preserve">? </w:t>
      </w:r>
    </w:p>
    <w:p w14:paraId="007FC179" w14:textId="474B40FB" w:rsidR="00F36253" w:rsidRDefault="00F36253" w:rsidP="00CC2BB7">
      <w:pPr>
        <w:spacing w:after="0" w:line="24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Mentre ci avviciniamo al 2023, i</w:t>
      </w:r>
      <w:r w:rsidRPr="00F36253">
        <w:rPr>
          <w:rFonts w:ascii="Georgia" w:hAnsi="Georgia"/>
          <w:lang w:val="it-IT"/>
        </w:rPr>
        <w:t xml:space="preserve"> fondamentali del settore industriale negli Stati Uniti s</w:t>
      </w:r>
      <w:r w:rsidR="00E02AA8">
        <w:rPr>
          <w:rFonts w:ascii="Georgia" w:hAnsi="Georgia"/>
          <w:lang w:val="it-IT"/>
        </w:rPr>
        <w:t>i confermano</w:t>
      </w:r>
      <w:r w:rsidRPr="00F36253">
        <w:rPr>
          <w:rFonts w:ascii="Georgia" w:hAnsi="Georgia"/>
          <w:lang w:val="it-IT"/>
        </w:rPr>
        <w:t xml:space="preserve"> s</w:t>
      </w:r>
      <w:r w:rsidR="00E02AA8">
        <w:rPr>
          <w:rFonts w:ascii="Georgia" w:hAnsi="Georgia"/>
          <w:lang w:val="it-IT"/>
        </w:rPr>
        <w:t>olidi</w:t>
      </w:r>
      <w:r w:rsidRPr="00F36253">
        <w:rPr>
          <w:rFonts w:ascii="Georgia" w:hAnsi="Georgia"/>
          <w:lang w:val="it-IT"/>
        </w:rPr>
        <w:t xml:space="preserve">, grazie a tassi di </w:t>
      </w:r>
      <w:proofErr w:type="gramStart"/>
      <w:r w:rsidRPr="00F36253">
        <w:rPr>
          <w:rFonts w:ascii="Georgia" w:hAnsi="Georgia"/>
          <w:lang w:val="it-IT"/>
        </w:rPr>
        <w:t xml:space="preserve">sfitto </w:t>
      </w:r>
      <w:r w:rsidR="00E02AA8">
        <w:rPr>
          <w:rFonts w:ascii="Georgia" w:hAnsi="Georgia"/>
          <w:lang w:val="it-IT"/>
        </w:rPr>
        <w:t>vicini</w:t>
      </w:r>
      <w:proofErr w:type="gramEnd"/>
      <w:r w:rsidRPr="00F36253">
        <w:rPr>
          <w:rFonts w:ascii="Georgia" w:hAnsi="Georgia"/>
          <w:lang w:val="it-IT"/>
        </w:rPr>
        <w:t xml:space="preserve"> a</w:t>
      </w:r>
      <w:r w:rsidR="00E02AA8">
        <w:rPr>
          <w:rFonts w:ascii="Georgia" w:hAnsi="Georgia"/>
          <w:lang w:val="it-IT"/>
        </w:rPr>
        <w:t xml:space="preserve"> valori</w:t>
      </w:r>
      <w:r w:rsidRPr="00F36253">
        <w:rPr>
          <w:rFonts w:ascii="Georgia" w:hAnsi="Georgia"/>
          <w:lang w:val="it-IT"/>
        </w:rPr>
        <w:t xml:space="preserve"> record, a una crescita degli affitti a due cifre e a una </w:t>
      </w:r>
      <w:r w:rsidR="00E02AA8">
        <w:rPr>
          <w:rFonts w:ascii="Georgia" w:hAnsi="Georgia"/>
          <w:lang w:val="it-IT"/>
        </w:rPr>
        <w:t>forte</w:t>
      </w:r>
      <w:r w:rsidRPr="00F36253">
        <w:rPr>
          <w:rFonts w:ascii="Georgia" w:hAnsi="Georgia"/>
          <w:lang w:val="it-IT"/>
        </w:rPr>
        <w:t xml:space="preserve"> domanda di spazi per magazzini.</w:t>
      </w:r>
      <w:r w:rsidR="00E02AA8" w:rsidRPr="00E02AA8">
        <w:rPr>
          <w:lang w:val="it-IT"/>
        </w:rPr>
        <w:t xml:space="preserve"> </w:t>
      </w:r>
      <w:r w:rsidR="00E02AA8">
        <w:rPr>
          <w:rFonts w:ascii="Georgia" w:hAnsi="Georgia"/>
          <w:lang w:val="it-IT"/>
        </w:rPr>
        <w:t>La situazione è simile</w:t>
      </w:r>
      <w:r w:rsidR="00E02AA8" w:rsidRPr="00E02AA8">
        <w:rPr>
          <w:rFonts w:ascii="Georgia" w:hAnsi="Georgia"/>
          <w:lang w:val="it-IT"/>
        </w:rPr>
        <w:t xml:space="preserve"> in tutti i mercati chiave dell'Asia e dell'Europa. Il settore dovrà affrontare alcune </w:t>
      </w:r>
      <w:r w:rsidR="00E02AA8">
        <w:rPr>
          <w:rFonts w:ascii="Georgia" w:hAnsi="Georgia"/>
          <w:lang w:val="it-IT"/>
        </w:rPr>
        <w:t>difficoltà</w:t>
      </w:r>
      <w:r w:rsidR="008F0E43">
        <w:rPr>
          <w:rFonts w:ascii="Georgia" w:hAnsi="Georgia"/>
          <w:lang w:val="it-IT"/>
        </w:rPr>
        <w:t>,</w:t>
      </w:r>
      <w:r w:rsidR="00E02AA8" w:rsidRPr="00E02AA8">
        <w:rPr>
          <w:rFonts w:ascii="Georgia" w:hAnsi="Georgia"/>
          <w:lang w:val="it-IT"/>
        </w:rPr>
        <w:t xml:space="preserve"> dovute </w:t>
      </w:r>
      <w:r w:rsidR="006C4CAF">
        <w:rPr>
          <w:rFonts w:ascii="Georgia" w:hAnsi="Georgia"/>
          <w:lang w:val="it-IT"/>
        </w:rPr>
        <w:t>a condizion</w:t>
      </w:r>
      <w:r w:rsidR="00E02AA8">
        <w:rPr>
          <w:rFonts w:ascii="Georgia" w:hAnsi="Georgia"/>
          <w:lang w:val="it-IT"/>
        </w:rPr>
        <w:t>i</w:t>
      </w:r>
      <w:r w:rsidR="00E02AA8" w:rsidRPr="00E02AA8">
        <w:rPr>
          <w:rFonts w:ascii="Georgia" w:hAnsi="Georgia"/>
          <w:lang w:val="it-IT"/>
        </w:rPr>
        <w:t xml:space="preserve"> macroeconomic</w:t>
      </w:r>
      <w:r w:rsidR="006C4CAF">
        <w:rPr>
          <w:rFonts w:ascii="Georgia" w:hAnsi="Georgia"/>
          <w:lang w:val="it-IT"/>
        </w:rPr>
        <w:t>he</w:t>
      </w:r>
      <w:r w:rsidR="00E02AA8" w:rsidRPr="00E02AA8">
        <w:rPr>
          <w:rFonts w:ascii="Georgia" w:hAnsi="Georgia"/>
          <w:lang w:val="it-IT"/>
        </w:rPr>
        <w:t xml:space="preserve"> </w:t>
      </w:r>
      <w:r w:rsidR="00E02AA8">
        <w:rPr>
          <w:rFonts w:ascii="Georgia" w:hAnsi="Georgia"/>
          <w:lang w:val="it-IT"/>
        </w:rPr>
        <w:t>contrari</w:t>
      </w:r>
      <w:r w:rsidR="006C4CAF">
        <w:rPr>
          <w:rFonts w:ascii="Georgia" w:hAnsi="Georgia"/>
          <w:lang w:val="it-IT"/>
        </w:rPr>
        <w:t>e</w:t>
      </w:r>
      <w:r w:rsidR="00E02AA8">
        <w:rPr>
          <w:rFonts w:ascii="Georgia" w:hAnsi="Georgia"/>
          <w:lang w:val="it-IT"/>
        </w:rPr>
        <w:t xml:space="preserve"> e a</w:t>
      </w:r>
      <w:r w:rsidR="00E02AA8" w:rsidRPr="00E02AA8">
        <w:rPr>
          <w:rFonts w:ascii="Georgia" w:hAnsi="Georgia"/>
          <w:lang w:val="it-IT"/>
        </w:rPr>
        <w:t xml:space="preserve"> nuov</w:t>
      </w:r>
      <w:r w:rsidR="008F0E43">
        <w:rPr>
          <w:rFonts w:ascii="Georgia" w:hAnsi="Georgia"/>
          <w:lang w:val="it-IT"/>
        </w:rPr>
        <w:t>a</w:t>
      </w:r>
      <w:r w:rsidR="00E02AA8" w:rsidRPr="00E02AA8">
        <w:rPr>
          <w:rFonts w:ascii="Georgia" w:hAnsi="Georgia"/>
          <w:lang w:val="it-IT"/>
        </w:rPr>
        <w:t xml:space="preserve"> offert</w:t>
      </w:r>
      <w:r w:rsidR="008F0E43">
        <w:rPr>
          <w:rFonts w:ascii="Georgia" w:hAnsi="Georgia"/>
          <w:lang w:val="it-IT"/>
        </w:rPr>
        <w:t>a</w:t>
      </w:r>
      <w:r w:rsidR="00E02AA8" w:rsidRPr="00E02AA8">
        <w:rPr>
          <w:rFonts w:ascii="Georgia" w:hAnsi="Georgia"/>
          <w:lang w:val="it-IT"/>
        </w:rPr>
        <w:t xml:space="preserve"> in arrivo.</w:t>
      </w:r>
      <w:r w:rsidR="00E02AA8" w:rsidRPr="00E02AA8">
        <w:rPr>
          <w:lang w:val="it-IT"/>
        </w:rPr>
        <w:t xml:space="preserve"> </w:t>
      </w:r>
      <w:r w:rsidR="00E02AA8" w:rsidRPr="00E02AA8">
        <w:rPr>
          <w:rFonts w:ascii="Georgia" w:hAnsi="Georgia"/>
          <w:lang w:val="it-IT"/>
        </w:rPr>
        <w:t>Tuttavia, le spinte derivanti dall'elevata penetrazione dell'e-commerce e dalla diversificazione dell</w:t>
      </w:r>
      <w:r w:rsidR="008F0E43">
        <w:rPr>
          <w:rFonts w:ascii="Georgia" w:hAnsi="Georgia"/>
          <w:lang w:val="it-IT"/>
        </w:rPr>
        <w:t>e</w:t>
      </w:r>
      <w:r w:rsidR="00E02AA8" w:rsidRPr="00E02AA8">
        <w:rPr>
          <w:rFonts w:ascii="Georgia" w:hAnsi="Georgia"/>
          <w:lang w:val="it-IT"/>
        </w:rPr>
        <w:t xml:space="preserve"> caten</w:t>
      </w:r>
      <w:r w:rsidR="008F0E43">
        <w:rPr>
          <w:rFonts w:ascii="Georgia" w:hAnsi="Georgia"/>
          <w:lang w:val="it-IT"/>
        </w:rPr>
        <w:t>e</w:t>
      </w:r>
      <w:r w:rsidR="00E02AA8" w:rsidRPr="00E02AA8">
        <w:rPr>
          <w:rFonts w:ascii="Georgia" w:hAnsi="Georgia"/>
          <w:lang w:val="it-IT"/>
        </w:rPr>
        <w:t xml:space="preserve"> di approvvigionamento sosterranno la domanda e garantiranno la tenuta del settore.</w:t>
      </w:r>
    </w:p>
    <w:p w14:paraId="36143218" w14:textId="77777777" w:rsidR="008331A1" w:rsidRPr="005F71DC" w:rsidRDefault="008331A1" w:rsidP="009D74CF">
      <w:pPr>
        <w:spacing w:after="0" w:line="240" w:lineRule="auto"/>
        <w:jc w:val="both"/>
        <w:rPr>
          <w:rFonts w:ascii="Georgia" w:hAnsi="Georgia"/>
          <w:lang w:val="it-IT"/>
        </w:rPr>
      </w:pPr>
    </w:p>
    <w:p w14:paraId="76DF02C5" w14:textId="6DDA0AFC" w:rsidR="001E6CC4" w:rsidRDefault="00384273" w:rsidP="3DF9F66C">
      <w:pPr>
        <w:rPr>
          <w:rFonts w:ascii="Georgia" w:hAnsi="Georgia"/>
          <w:lang w:val="it-IT"/>
        </w:rPr>
      </w:pPr>
      <w:r w:rsidRPr="00384273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t xml:space="preserve">Un posto per i luoghi di lavoro </w:t>
      </w:r>
      <w:r w:rsidRPr="00384273">
        <w:rPr>
          <w:rFonts w:ascii="Georgia" w:eastAsiaTheme="majorEastAsia" w:hAnsi="Georgia" w:cstheme="majorBidi"/>
          <w:b/>
          <w:i/>
          <w:color w:val="2F5496" w:themeColor="accent1" w:themeShade="BF"/>
          <w:sz w:val="26"/>
          <w:szCs w:val="26"/>
          <w:lang w:val="it-IT"/>
        </w:rPr>
        <w:br/>
      </w:r>
      <w:r w:rsidRPr="00384273">
        <w:rPr>
          <w:rFonts w:ascii="Georgia" w:hAnsi="Georgia"/>
          <w:lang w:val="it-IT"/>
        </w:rPr>
        <w:t>Il telelavoro e i crescenti rischi di recessione hanno ridimensionato la domanda di uffici tradizionali.</w:t>
      </w:r>
      <w:r w:rsidR="49566163" w:rsidRPr="00384273">
        <w:rPr>
          <w:rFonts w:ascii="Georgia" w:hAnsi="Georgia"/>
          <w:lang w:val="it-IT"/>
        </w:rPr>
        <w:t xml:space="preserve"> </w:t>
      </w:r>
      <w:r w:rsidR="007C559D">
        <w:rPr>
          <w:rFonts w:ascii="Georgia" w:hAnsi="Georgia"/>
          <w:lang w:val="it-IT"/>
        </w:rPr>
        <w:t>La “</w:t>
      </w:r>
      <w:r w:rsidR="007C559D" w:rsidRPr="007C559D">
        <w:rPr>
          <w:rFonts w:ascii="Georgia" w:hAnsi="Georgia"/>
          <w:lang w:val="it-IT"/>
        </w:rPr>
        <w:t>fuga</w:t>
      </w:r>
      <w:r w:rsidR="00D8007A">
        <w:rPr>
          <w:rFonts w:ascii="Georgia" w:hAnsi="Georgia"/>
          <w:lang w:val="it-IT"/>
        </w:rPr>
        <w:t>”</w:t>
      </w:r>
      <w:r w:rsidR="007C559D" w:rsidRPr="007C559D">
        <w:rPr>
          <w:rFonts w:ascii="Georgia" w:hAnsi="Georgia"/>
          <w:lang w:val="it-IT"/>
        </w:rPr>
        <w:t xml:space="preserve"> </w:t>
      </w:r>
      <w:r w:rsidR="00D8007A">
        <w:rPr>
          <w:rFonts w:ascii="Georgia" w:hAnsi="Georgia"/>
          <w:lang w:val="it-IT"/>
        </w:rPr>
        <w:t>dei locat</w:t>
      </w:r>
      <w:r w:rsidR="00D8007A" w:rsidRPr="007C559D">
        <w:rPr>
          <w:rFonts w:ascii="Georgia" w:hAnsi="Georgia"/>
          <w:lang w:val="it-IT"/>
        </w:rPr>
        <w:t xml:space="preserve">ari </w:t>
      </w:r>
      <w:r w:rsidR="007C559D" w:rsidRPr="007C559D">
        <w:rPr>
          <w:rFonts w:ascii="Georgia" w:hAnsi="Georgia"/>
          <w:lang w:val="it-IT"/>
        </w:rPr>
        <w:t>verso la qualità</w:t>
      </w:r>
      <w:r w:rsidR="001E6CC4">
        <w:rPr>
          <w:rFonts w:ascii="Georgia" w:hAnsi="Georgia"/>
          <w:lang w:val="it-IT"/>
        </w:rPr>
        <w:t xml:space="preserve"> </w:t>
      </w:r>
      <w:r w:rsidR="00D8007A">
        <w:rPr>
          <w:rFonts w:ascii="Georgia" w:hAnsi="Georgia"/>
          <w:lang w:val="it-IT"/>
        </w:rPr>
        <w:t>porterà</w:t>
      </w:r>
      <w:r w:rsidR="007C559D">
        <w:rPr>
          <w:rFonts w:ascii="Georgia" w:hAnsi="Georgia"/>
          <w:lang w:val="it-IT"/>
        </w:rPr>
        <w:t xml:space="preserve"> </w:t>
      </w:r>
      <w:r w:rsidR="00D8007A">
        <w:rPr>
          <w:rFonts w:ascii="Georgia" w:hAnsi="Georgia"/>
          <w:lang w:val="it-IT"/>
        </w:rPr>
        <w:t>i</w:t>
      </w:r>
      <w:r w:rsidR="00D8007A" w:rsidRPr="007C559D">
        <w:rPr>
          <w:rFonts w:ascii="Georgia" w:hAnsi="Georgia"/>
          <w:lang w:val="it-IT"/>
        </w:rPr>
        <w:t xml:space="preserve"> nuovi immobili sostenibili </w:t>
      </w:r>
      <w:r w:rsidR="00D8007A">
        <w:rPr>
          <w:rFonts w:ascii="Georgia" w:hAnsi="Georgia"/>
          <w:lang w:val="it-IT"/>
        </w:rPr>
        <w:t xml:space="preserve">a registrare </w:t>
      </w:r>
      <w:r w:rsidR="007C559D" w:rsidRPr="007C559D">
        <w:rPr>
          <w:rFonts w:ascii="Georgia" w:hAnsi="Georgia"/>
          <w:lang w:val="it-IT"/>
        </w:rPr>
        <w:t>performance superior</w:t>
      </w:r>
      <w:r w:rsidR="007C559D">
        <w:rPr>
          <w:rFonts w:ascii="Georgia" w:hAnsi="Georgia"/>
          <w:lang w:val="it-IT"/>
        </w:rPr>
        <w:t>i</w:t>
      </w:r>
      <w:r w:rsidR="007C559D" w:rsidRPr="007C559D">
        <w:rPr>
          <w:rFonts w:ascii="Georgia" w:hAnsi="Georgia"/>
          <w:lang w:val="it-IT"/>
        </w:rPr>
        <w:t>.</w:t>
      </w:r>
      <w:r w:rsidR="49566163" w:rsidRPr="007C559D">
        <w:rPr>
          <w:rFonts w:ascii="Georgia" w:hAnsi="Georgia"/>
          <w:lang w:val="it-IT"/>
        </w:rPr>
        <w:t xml:space="preserve"> </w:t>
      </w:r>
      <w:r w:rsidR="007C559D" w:rsidRPr="007C559D">
        <w:rPr>
          <w:rFonts w:ascii="Georgia" w:hAnsi="Georgia"/>
          <w:lang w:val="it-IT"/>
        </w:rPr>
        <w:t>I lu</w:t>
      </w:r>
      <w:r w:rsidR="00D8007A">
        <w:rPr>
          <w:rFonts w:ascii="Georgia" w:hAnsi="Georgia"/>
          <w:lang w:val="it-IT"/>
        </w:rPr>
        <w:t>oghi di lavoro alternativi han</w:t>
      </w:r>
      <w:r w:rsidR="007C559D" w:rsidRPr="007C559D">
        <w:rPr>
          <w:rFonts w:ascii="Georgia" w:hAnsi="Georgia"/>
          <w:lang w:val="it-IT"/>
        </w:rPr>
        <w:t xml:space="preserve">no un potenziale anche maggiore. </w:t>
      </w:r>
      <w:r w:rsidR="007C559D">
        <w:rPr>
          <w:rFonts w:ascii="Georgia" w:hAnsi="Georgia"/>
          <w:lang w:val="it-IT"/>
        </w:rPr>
        <w:t xml:space="preserve">Ad esempio, </w:t>
      </w:r>
      <w:r w:rsidR="007C559D" w:rsidRPr="007C559D">
        <w:rPr>
          <w:rFonts w:ascii="Georgia" w:hAnsi="Georgia"/>
          <w:lang w:val="it-IT"/>
        </w:rPr>
        <w:t>l</w:t>
      </w:r>
      <w:r w:rsidR="007C559D">
        <w:rPr>
          <w:rFonts w:ascii="Georgia" w:hAnsi="Georgia"/>
          <w:lang w:val="it-IT"/>
        </w:rPr>
        <w:t>a</w:t>
      </w:r>
      <w:r w:rsidR="007C559D" w:rsidRPr="007C559D">
        <w:rPr>
          <w:rFonts w:ascii="Georgia" w:hAnsi="Georgia"/>
          <w:lang w:val="it-IT"/>
        </w:rPr>
        <w:t xml:space="preserve"> rapid</w:t>
      </w:r>
      <w:r w:rsidR="007C559D">
        <w:rPr>
          <w:rFonts w:ascii="Georgia" w:hAnsi="Georgia"/>
          <w:lang w:val="it-IT"/>
        </w:rPr>
        <w:t>a</w:t>
      </w:r>
      <w:r w:rsidR="007C559D" w:rsidRPr="007C559D">
        <w:rPr>
          <w:rFonts w:ascii="Georgia" w:hAnsi="Georgia"/>
          <w:lang w:val="it-IT"/>
        </w:rPr>
        <w:t xml:space="preserve"> </w:t>
      </w:r>
      <w:r w:rsidR="007C559D">
        <w:rPr>
          <w:rFonts w:ascii="Georgia" w:hAnsi="Georgia"/>
          <w:lang w:val="it-IT"/>
        </w:rPr>
        <w:t>crescita</w:t>
      </w:r>
      <w:r w:rsidR="007C559D" w:rsidRPr="007C559D">
        <w:rPr>
          <w:rFonts w:ascii="Georgia" w:hAnsi="Georgia"/>
          <w:lang w:val="it-IT"/>
        </w:rPr>
        <w:t xml:space="preserve"> della popolazione anziana nei Paesi ad alto reddito re</w:t>
      </w:r>
      <w:r w:rsidR="007C559D">
        <w:rPr>
          <w:rFonts w:ascii="Georgia" w:hAnsi="Georgia"/>
          <w:lang w:val="it-IT"/>
        </w:rPr>
        <w:t>n</w:t>
      </w:r>
      <w:r w:rsidR="007C559D" w:rsidRPr="007C559D">
        <w:rPr>
          <w:rFonts w:ascii="Georgia" w:hAnsi="Georgia"/>
          <w:lang w:val="it-IT"/>
        </w:rPr>
        <w:t xml:space="preserve">derà </w:t>
      </w:r>
      <w:r w:rsidR="007C559D">
        <w:rPr>
          <w:rFonts w:ascii="Georgia" w:hAnsi="Georgia"/>
          <w:lang w:val="it-IT"/>
        </w:rPr>
        <w:t>necessari</w:t>
      </w:r>
      <w:r w:rsidR="00D8007A">
        <w:rPr>
          <w:rFonts w:ascii="Georgia" w:hAnsi="Georgia"/>
          <w:lang w:val="it-IT"/>
        </w:rPr>
        <w:t>o</w:t>
      </w:r>
      <w:r w:rsidR="007C559D">
        <w:rPr>
          <w:rFonts w:ascii="Georgia" w:hAnsi="Georgia"/>
          <w:lang w:val="it-IT"/>
        </w:rPr>
        <w:t xml:space="preserve"> </w:t>
      </w:r>
      <w:r w:rsidR="007C559D" w:rsidRPr="007C559D">
        <w:rPr>
          <w:rFonts w:ascii="Georgia" w:hAnsi="Georgia"/>
          <w:lang w:val="it-IT"/>
        </w:rPr>
        <w:t>un maggior numero di studi medici.</w:t>
      </w:r>
      <w:r w:rsidR="007C559D" w:rsidRPr="007C559D">
        <w:rPr>
          <w:lang w:val="it-IT"/>
        </w:rPr>
        <w:t xml:space="preserve"> </w:t>
      </w:r>
      <w:r w:rsidR="007C559D">
        <w:rPr>
          <w:rFonts w:ascii="Georgia" w:hAnsi="Georgia"/>
          <w:lang w:val="it-IT"/>
        </w:rPr>
        <w:t>In q</w:t>
      </w:r>
      <w:r w:rsidR="007C559D" w:rsidRPr="007C559D">
        <w:rPr>
          <w:rFonts w:ascii="Georgia" w:hAnsi="Georgia"/>
          <w:lang w:val="it-IT"/>
        </w:rPr>
        <w:t xml:space="preserve">uesti Paesi </w:t>
      </w:r>
      <w:r w:rsidR="007C559D">
        <w:rPr>
          <w:rFonts w:ascii="Georgia" w:hAnsi="Georgia"/>
          <w:lang w:val="it-IT"/>
        </w:rPr>
        <w:t xml:space="preserve">si </w:t>
      </w:r>
      <w:r w:rsidR="007C559D" w:rsidRPr="007C559D">
        <w:rPr>
          <w:rFonts w:ascii="Georgia" w:hAnsi="Georgia"/>
          <w:lang w:val="it-IT"/>
        </w:rPr>
        <w:t>preved</w:t>
      </w:r>
      <w:r w:rsidR="007C559D">
        <w:rPr>
          <w:rFonts w:ascii="Georgia" w:hAnsi="Georgia"/>
          <w:lang w:val="it-IT"/>
        </w:rPr>
        <w:t xml:space="preserve">e un aumento </w:t>
      </w:r>
      <w:r w:rsidR="006C4CAF">
        <w:rPr>
          <w:rFonts w:ascii="Georgia" w:hAnsi="Georgia"/>
          <w:lang w:val="it-IT"/>
        </w:rPr>
        <w:t>superior</w:t>
      </w:r>
      <w:r w:rsidR="007C559D">
        <w:rPr>
          <w:rFonts w:ascii="Georgia" w:hAnsi="Georgia"/>
          <w:lang w:val="it-IT"/>
        </w:rPr>
        <w:t xml:space="preserve">e </w:t>
      </w:r>
      <w:r w:rsidR="006C4CAF">
        <w:rPr>
          <w:rFonts w:ascii="Georgia" w:hAnsi="Georgia"/>
          <w:lang w:val="it-IT"/>
        </w:rPr>
        <w:t>a</w:t>
      </w:r>
      <w:r w:rsidR="007C559D">
        <w:rPr>
          <w:rFonts w:ascii="Georgia" w:hAnsi="Georgia"/>
          <w:lang w:val="it-IT"/>
        </w:rPr>
        <w:t xml:space="preserve">l 50% </w:t>
      </w:r>
      <w:r w:rsidR="00D8007A">
        <w:rPr>
          <w:rFonts w:ascii="Georgia" w:hAnsi="Georgia"/>
          <w:lang w:val="it-IT"/>
        </w:rPr>
        <w:t>nel</w:t>
      </w:r>
      <w:r w:rsidR="007C559D" w:rsidRPr="007C559D">
        <w:rPr>
          <w:rFonts w:ascii="Georgia" w:hAnsi="Georgia"/>
          <w:lang w:val="it-IT"/>
        </w:rPr>
        <w:t xml:space="preserve">la fascia </w:t>
      </w:r>
      <w:r w:rsidR="007C559D">
        <w:rPr>
          <w:rFonts w:ascii="Georgia" w:hAnsi="Georgia"/>
          <w:lang w:val="it-IT"/>
        </w:rPr>
        <w:t>di</w:t>
      </w:r>
      <w:r w:rsidR="006C4CAF">
        <w:rPr>
          <w:rFonts w:ascii="Georgia" w:hAnsi="Georgia"/>
          <w:lang w:val="it-IT"/>
        </w:rPr>
        <w:t xml:space="preserve"> età d</w:t>
      </w:r>
      <w:r w:rsidR="007C559D" w:rsidRPr="007C559D">
        <w:rPr>
          <w:rFonts w:ascii="Georgia" w:hAnsi="Georgia"/>
          <w:lang w:val="it-IT"/>
        </w:rPr>
        <w:t xml:space="preserve">ai 75 anni </w:t>
      </w:r>
      <w:r w:rsidR="006C4CAF">
        <w:rPr>
          <w:rFonts w:ascii="Georgia" w:hAnsi="Georgia"/>
          <w:lang w:val="it-IT"/>
        </w:rPr>
        <w:t xml:space="preserve">in su </w:t>
      </w:r>
      <w:r w:rsidR="007C559D" w:rsidRPr="007C559D">
        <w:rPr>
          <w:rFonts w:ascii="Georgia" w:hAnsi="Georgia"/>
          <w:lang w:val="it-IT"/>
        </w:rPr>
        <w:t>entro il 2040.</w:t>
      </w:r>
      <w:r w:rsidR="007C559D" w:rsidRPr="007C559D">
        <w:rPr>
          <w:lang w:val="it-IT"/>
        </w:rPr>
        <w:t xml:space="preserve"> </w:t>
      </w:r>
      <w:r w:rsidR="007C559D" w:rsidRPr="007C559D">
        <w:rPr>
          <w:rFonts w:ascii="Georgia" w:hAnsi="Georgia"/>
          <w:lang w:val="it-IT"/>
        </w:rPr>
        <w:t>La richiesta di nuove cure porterà a un aumento dei finanziamenti per la ricerca medic</w:t>
      </w:r>
      <w:r w:rsidR="007C559D">
        <w:rPr>
          <w:rFonts w:ascii="Georgia" w:hAnsi="Georgia"/>
          <w:lang w:val="it-IT"/>
        </w:rPr>
        <w:t xml:space="preserve">a, sostenendo la domanda di </w:t>
      </w:r>
      <w:r w:rsidR="007C559D" w:rsidRPr="007C559D">
        <w:rPr>
          <w:rFonts w:ascii="Georgia" w:hAnsi="Georgia"/>
          <w:lang w:val="it-IT"/>
        </w:rPr>
        <w:t>laboratori</w:t>
      </w:r>
      <w:r w:rsidR="007C559D">
        <w:rPr>
          <w:rFonts w:ascii="Georgia" w:hAnsi="Georgia"/>
          <w:lang w:val="it-IT"/>
        </w:rPr>
        <w:t xml:space="preserve"> di ricerca</w:t>
      </w:r>
      <w:r w:rsidR="007C559D" w:rsidRPr="007C559D">
        <w:rPr>
          <w:rFonts w:ascii="Georgia" w:hAnsi="Georgia"/>
          <w:lang w:val="it-IT"/>
        </w:rPr>
        <w:t>.</w:t>
      </w:r>
    </w:p>
    <w:p w14:paraId="0BF02BF6" w14:textId="7418B6D4" w:rsidR="19F94732" w:rsidRPr="008F0E43" w:rsidRDefault="00FC53A7" w:rsidP="3DF9F66C">
      <w:pPr>
        <w:rPr>
          <w:rFonts w:ascii="Georgia" w:hAnsi="Georgia"/>
          <w:lang w:val="it-IT"/>
        </w:rPr>
      </w:pPr>
      <w:r w:rsidRPr="008F0E43">
        <w:rPr>
          <w:rFonts w:ascii="Georgia" w:eastAsia="Calibri" w:hAnsi="Georgia" w:cs="Calibri"/>
          <w:u w:val="single"/>
          <w:lang w:val="it-IT"/>
        </w:rPr>
        <w:lastRenderedPageBreak/>
        <w:t>7</w:t>
      </w:r>
      <w:r w:rsidR="00074471" w:rsidRPr="008F0E43">
        <w:rPr>
          <w:rFonts w:ascii="Georgia" w:eastAsia="Calibri" w:hAnsi="Georgia" w:cs="Calibri"/>
          <w:u w:val="single"/>
          <w:lang w:val="it-IT"/>
        </w:rPr>
        <w:t>:</w:t>
      </w:r>
      <w:r w:rsidR="00074471" w:rsidRPr="008F0E43">
        <w:rPr>
          <w:rFonts w:ascii="Georgia" w:eastAsia="Calibri" w:hAnsi="Georgia" w:cstheme="minorHAnsi"/>
          <w:u w:val="single"/>
          <w:lang w:val="it-IT"/>
        </w:rPr>
        <w:t xml:space="preserve"> </w:t>
      </w:r>
      <w:r w:rsidR="008F0E43" w:rsidRPr="008F0E43">
        <w:rPr>
          <w:rFonts w:ascii="Georgia" w:eastAsiaTheme="majorEastAsia" w:hAnsi="Georgia" w:cstheme="minorHAnsi"/>
          <w:kern w:val="24"/>
          <w:u w:val="single"/>
          <w:lang w:val="it-IT"/>
        </w:rPr>
        <w:t>Popolazione con un</w:t>
      </w:r>
      <w:r w:rsidR="00A54AAB">
        <w:rPr>
          <w:rFonts w:ascii="Georgia" w:eastAsiaTheme="majorEastAsia" w:hAnsi="Georgia" w:cstheme="minorHAnsi"/>
          <w:kern w:val="24"/>
          <w:u w:val="single"/>
          <w:lang w:val="it-IT"/>
        </w:rPr>
        <w:t>’</w:t>
      </w:r>
      <w:r w:rsidR="008F0E43" w:rsidRPr="008F0E43">
        <w:rPr>
          <w:rFonts w:ascii="Georgia" w:eastAsiaTheme="majorEastAsia" w:hAnsi="Georgia" w:cstheme="minorHAnsi"/>
          <w:kern w:val="24"/>
          <w:u w:val="single"/>
          <w:lang w:val="it-IT"/>
        </w:rPr>
        <w:t>età pari o superiore a 75 anni</w:t>
      </w:r>
      <w:r w:rsidR="4EE3C574" w:rsidRPr="009D74CF">
        <w:rPr>
          <w:rFonts w:ascii="Georgia" w:hAnsi="Georgia"/>
          <w:noProof/>
          <w:lang w:val="it-IT" w:eastAsia="it-IT"/>
        </w:rPr>
        <w:drawing>
          <wp:inline distT="0" distB="0" distL="0" distR="0" wp14:anchorId="55CCA9E8" wp14:editId="311EBB05">
            <wp:extent cx="4572000" cy="2628900"/>
            <wp:effectExtent l="0" t="0" r="0" b="0"/>
            <wp:docPr id="1137450179" name="Picture 113745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8"/>
                    <a:stretch/>
                  </pic:blipFill>
                  <pic:spPr bwMode="auto"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6D53B" w14:textId="12DC1DAB" w:rsidR="00F27C80" w:rsidRPr="007C559D" w:rsidRDefault="008F0E43" w:rsidP="5E9789BA">
      <w:pPr>
        <w:pStyle w:val="Titolo2"/>
        <w:spacing w:before="120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So</w:t>
      </w:r>
      <w:r w:rsidR="004F021E" w:rsidRPr="007C559D">
        <w:rPr>
          <w:rFonts w:ascii="Georgia" w:hAnsi="Georgia"/>
          <w:lang w:val="it-IT"/>
        </w:rPr>
        <w:t>rpr</w:t>
      </w:r>
      <w:r w:rsidR="007C559D" w:rsidRPr="007C559D">
        <w:rPr>
          <w:rFonts w:ascii="Georgia" w:hAnsi="Georgia"/>
          <w:lang w:val="it-IT"/>
        </w:rPr>
        <w:t>e</w:t>
      </w:r>
      <w:r w:rsidR="004F021E" w:rsidRPr="007C559D">
        <w:rPr>
          <w:rFonts w:ascii="Georgia" w:hAnsi="Georgia"/>
          <w:lang w:val="it-IT"/>
        </w:rPr>
        <w:t>n</w:t>
      </w:r>
      <w:r w:rsidR="007C559D" w:rsidRPr="007C559D">
        <w:rPr>
          <w:rFonts w:ascii="Georgia" w:hAnsi="Georgia"/>
          <w:lang w:val="it-IT"/>
        </w:rPr>
        <w:t>dente</w:t>
      </w:r>
      <w:r w:rsidR="004F021E" w:rsidRPr="007C559D">
        <w:rPr>
          <w:rFonts w:ascii="Georgia" w:hAnsi="Georgia"/>
          <w:lang w:val="it-IT"/>
        </w:rPr>
        <w:t xml:space="preserve"> retail </w:t>
      </w:r>
    </w:p>
    <w:p w14:paraId="4DABC7A5" w14:textId="5E363DCE" w:rsidR="007C559D" w:rsidRDefault="007C559D" w:rsidP="00CC2BB7">
      <w:pPr>
        <w:spacing w:after="0" w:line="240" w:lineRule="auto"/>
        <w:rPr>
          <w:rFonts w:ascii="Georgia" w:hAnsi="Georgia"/>
          <w:lang w:val="it-IT"/>
        </w:rPr>
      </w:pPr>
      <w:r>
        <w:rPr>
          <w:rFonts w:ascii="Georgia" w:hAnsi="Georgia"/>
          <w:lang w:val="it-IT"/>
        </w:rPr>
        <w:t>In un contesto di</w:t>
      </w:r>
      <w:r w:rsidRPr="007C559D">
        <w:rPr>
          <w:rFonts w:ascii="Georgia" w:hAnsi="Georgia"/>
          <w:lang w:val="it-IT"/>
        </w:rPr>
        <w:t xml:space="preserve"> mercato fragile</w:t>
      </w:r>
      <w:r>
        <w:rPr>
          <w:rFonts w:ascii="Georgia" w:hAnsi="Georgia"/>
          <w:lang w:val="it-IT"/>
        </w:rPr>
        <w:t xml:space="preserve"> ci aspettiamo</w:t>
      </w:r>
      <w:r w:rsidR="00D8007A">
        <w:rPr>
          <w:rFonts w:ascii="Georgia" w:hAnsi="Georgia"/>
          <w:lang w:val="it-IT"/>
        </w:rPr>
        <w:t xml:space="preserve"> </w:t>
      </w:r>
      <w:r w:rsidR="00273E52">
        <w:rPr>
          <w:rFonts w:ascii="Georgia" w:hAnsi="Georgia"/>
          <w:lang w:val="it-IT"/>
        </w:rPr>
        <w:t>sorprese positive dal</w:t>
      </w:r>
      <w:r w:rsidRPr="007C559D">
        <w:rPr>
          <w:rFonts w:ascii="Georgia" w:hAnsi="Georgia"/>
          <w:lang w:val="it-IT"/>
        </w:rPr>
        <w:t>l</w:t>
      </w:r>
      <w:r w:rsidR="00D8007A">
        <w:rPr>
          <w:rFonts w:ascii="Georgia" w:hAnsi="Georgia"/>
          <w:lang w:val="it-IT"/>
        </w:rPr>
        <w:t>e strutture</w:t>
      </w:r>
      <w:r w:rsidRPr="007C559D">
        <w:rPr>
          <w:rFonts w:ascii="Georgia" w:hAnsi="Georgia"/>
          <w:lang w:val="it-IT"/>
        </w:rPr>
        <w:t xml:space="preserve"> retail </w:t>
      </w:r>
      <w:r w:rsidR="006C4CAF">
        <w:rPr>
          <w:rFonts w:ascii="Georgia" w:hAnsi="Georgia"/>
          <w:lang w:val="it-IT"/>
        </w:rPr>
        <w:t>legate a</w:t>
      </w:r>
      <w:r w:rsidR="00D8007A">
        <w:rPr>
          <w:rFonts w:ascii="Georgia" w:hAnsi="Georgia"/>
          <w:lang w:val="it-IT"/>
        </w:rPr>
        <w:t>i</w:t>
      </w:r>
      <w:r>
        <w:rPr>
          <w:rFonts w:ascii="Georgia" w:hAnsi="Georgia"/>
          <w:lang w:val="it-IT"/>
        </w:rPr>
        <w:t xml:space="preserve"> beni di prima</w:t>
      </w:r>
      <w:r w:rsidR="00273E52">
        <w:rPr>
          <w:rFonts w:ascii="Georgia" w:hAnsi="Georgia"/>
          <w:lang w:val="it-IT"/>
        </w:rPr>
        <w:t xml:space="preserve"> necessità e </w:t>
      </w:r>
      <w:r w:rsidR="006C4CAF">
        <w:rPr>
          <w:rFonts w:ascii="Georgia" w:hAnsi="Georgia"/>
          <w:lang w:val="it-IT"/>
        </w:rPr>
        <w:t>da</w:t>
      </w:r>
      <w:r w:rsidR="00273E52">
        <w:rPr>
          <w:rFonts w:ascii="Georgia" w:hAnsi="Georgia"/>
          <w:lang w:val="it-IT"/>
        </w:rPr>
        <w:t xml:space="preserve">i </w:t>
      </w:r>
      <w:r w:rsidR="00D8007A">
        <w:rPr>
          <w:rFonts w:ascii="Georgia" w:hAnsi="Georgia"/>
          <w:lang w:val="it-IT"/>
        </w:rPr>
        <w:t>di</w:t>
      </w:r>
      <w:r w:rsidRPr="007C559D">
        <w:rPr>
          <w:rFonts w:ascii="Georgia" w:hAnsi="Georgia"/>
          <w:lang w:val="it-IT"/>
        </w:rPr>
        <w:t>sco</w:t>
      </w:r>
      <w:r w:rsidR="00D8007A">
        <w:rPr>
          <w:rFonts w:ascii="Georgia" w:hAnsi="Georgia"/>
          <w:lang w:val="it-IT"/>
        </w:rPr>
        <w:t>u</w:t>
      </w:r>
      <w:r w:rsidRPr="007C559D">
        <w:rPr>
          <w:rFonts w:ascii="Georgia" w:hAnsi="Georgia"/>
          <w:lang w:val="it-IT"/>
        </w:rPr>
        <w:t>nt.</w:t>
      </w:r>
      <w:r>
        <w:rPr>
          <w:rFonts w:ascii="Georgia" w:hAnsi="Georgia"/>
          <w:lang w:val="it-IT"/>
        </w:rPr>
        <w:t xml:space="preserve"> Considerando che i consumatori </w:t>
      </w:r>
      <w:r w:rsidR="00273E52">
        <w:rPr>
          <w:rFonts w:ascii="Georgia" w:hAnsi="Georgia"/>
          <w:lang w:val="it-IT"/>
        </w:rPr>
        <w:t xml:space="preserve">stanno </w:t>
      </w:r>
      <w:r>
        <w:rPr>
          <w:rFonts w:ascii="Georgia" w:hAnsi="Georgia"/>
          <w:lang w:val="it-IT"/>
        </w:rPr>
        <w:t>cercan</w:t>
      </w:r>
      <w:r w:rsidR="00273E52">
        <w:rPr>
          <w:rFonts w:ascii="Georgia" w:hAnsi="Georgia"/>
          <w:lang w:val="it-IT"/>
        </w:rPr>
        <w:t>d</w:t>
      </w:r>
      <w:r>
        <w:rPr>
          <w:rFonts w:ascii="Georgia" w:hAnsi="Georgia"/>
          <w:lang w:val="it-IT"/>
        </w:rPr>
        <w:t xml:space="preserve">o di fare economia, acquistano </w:t>
      </w:r>
      <w:r w:rsidR="00157486">
        <w:rPr>
          <w:rFonts w:ascii="Georgia" w:hAnsi="Georgia"/>
          <w:lang w:val="it-IT"/>
        </w:rPr>
        <w:t xml:space="preserve">nei punti vendita </w:t>
      </w:r>
      <w:r w:rsidR="00D8007A">
        <w:rPr>
          <w:rFonts w:ascii="Georgia" w:hAnsi="Georgia"/>
          <w:lang w:val="it-IT"/>
        </w:rPr>
        <w:t>vicini</w:t>
      </w:r>
      <w:r w:rsidR="00157486">
        <w:rPr>
          <w:rFonts w:ascii="Georgia" w:hAnsi="Georgia"/>
          <w:lang w:val="it-IT"/>
        </w:rPr>
        <w:t xml:space="preserve"> e </w:t>
      </w:r>
      <w:r w:rsidR="00273E52">
        <w:rPr>
          <w:rFonts w:ascii="Georgia" w:hAnsi="Georgia"/>
          <w:lang w:val="it-IT"/>
        </w:rPr>
        <w:t xml:space="preserve">hanno </w:t>
      </w:r>
      <w:r w:rsidR="006C4CAF">
        <w:rPr>
          <w:rFonts w:ascii="Georgia" w:hAnsi="Georgia"/>
          <w:lang w:val="it-IT"/>
        </w:rPr>
        <w:t xml:space="preserve">un </w:t>
      </w:r>
      <w:r w:rsidR="00941CEE">
        <w:rPr>
          <w:rFonts w:ascii="Georgia" w:hAnsi="Georgia"/>
          <w:lang w:val="it-IT"/>
        </w:rPr>
        <w:t xml:space="preserve">regolare </w:t>
      </w:r>
      <w:r w:rsidR="00273E52">
        <w:rPr>
          <w:rFonts w:ascii="Georgia" w:hAnsi="Georgia"/>
          <w:lang w:val="it-IT"/>
        </w:rPr>
        <w:t>bisogno</w:t>
      </w:r>
      <w:r w:rsidR="00157486">
        <w:rPr>
          <w:rFonts w:ascii="Georgia" w:hAnsi="Georgia"/>
          <w:lang w:val="it-IT"/>
        </w:rPr>
        <w:t xml:space="preserve"> di beni essenziali, come gli alimentari, il focus rimarrà sui locatari e i format retail che beneficia</w:t>
      </w:r>
      <w:r w:rsidR="00D8007A">
        <w:rPr>
          <w:rFonts w:ascii="Georgia" w:hAnsi="Georgia"/>
          <w:lang w:val="it-IT"/>
        </w:rPr>
        <w:t>n</w:t>
      </w:r>
      <w:r w:rsidR="00157486">
        <w:rPr>
          <w:rFonts w:ascii="Georgia" w:hAnsi="Georgia"/>
          <w:lang w:val="it-IT"/>
        </w:rPr>
        <w:t xml:space="preserve">o di </w:t>
      </w:r>
      <w:proofErr w:type="gramStart"/>
      <w:r w:rsidR="00157486">
        <w:rPr>
          <w:rFonts w:ascii="Georgia" w:hAnsi="Georgia"/>
          <w:lang w:val="it-IT"/>
        </w:rPr>
        <w:t>questi trend</w:t>
      </w:r>
      <w:proofErr w:type="gramEnd"/>
      <w:r w:rsidR="00157486">
        <w:rPr>
          <w:rFonts w:ascii="Georgia" w:hAnsi="Georgia"/>
          <w:lang w:val="it-IT"/>
        </w:rPr>
        <w:t xml:space="preserve"> di spesa.</w:t>
      </w:r>
      <w:r w:rsidR="00157486" w:rsidRPr="00157486">
        <w:rPr>
          <w:lang w:val="it-IT"/>
        </w:rPr>
        <w:t xml:space="preserve"> </w:t>
      </w:r>
      <w:r w:rsidR="00157486" w:rsidRPr="00157486">
        <w:rPr>
          <w:rFonts w:ascii="Georgia" w:hAnsi="Georgia"/>
          <w:lang w:val="it-IT"/>
        </w:rPr>
        <w:t>Gli investitori possono sfruttare i rendimenti stabili che i negozi di alimentari di vicinato possono garantire anche in una fase di recessione economica</w:t>
      </w:r>
      <w:r w:rsidR="00157486">
        <w:rPr>
          <w:rFonts w:ascii="Georgia" w:hAnsi="Georgia"/>
          <w:lang w:val="it-IT"/>
        </w:rPr>
        <w:t xml:space="preserve">. </w:t>
      </w:r>
      <w:r w:rsidR="00157486" w:rsidRPr="00157486">
        <w:rPr>
          <w:rFonts w:ascii="Georgia" w:hAnsi="Georgia"/>
          <w:lang w:val="it-IT"/>
        </w:rPr>
        <w:t>I</w:t>
      </w:r>
      <w:r w:rsidR="00157486">
        <w:rPr>
          <w:rFonts w:ascii="Georgia" w:hAnsi="Georgia"/>
          <w:lang w:val="it-IT"/>
        </w:rPr>
        <w:t xml:space="preserve">l </w:t>
      </w:r>
      <w:r w:rsidR="00157486" w:rsidRPr="00157486">
        <w:rPr>
          <w:rFonts w:ascii="Georgia" w:hAnsi="Georgia"/>
          <w:lang w:val="it-IT"/>
        </w:rPr>
        <w:t>l</w:t>
      </w:r>
      <w:r w:rsidR="00157486">
        <w:rPr>
          <w:rFonts w:ascii="Georgia" w:hAnsi="Georgia"/>
          <w:lang w:val="it-IT"/>
        </w:rPr>
        <w:t>ivello di affluenza per</w:t>
      </w:r>
      <w:r w:rsidR="00157486" w:rsidRPr="00157486">
        <w:rPr>
          <w:rFonts w:ascii="Georgia" w:hAnsi="Georgia"/>
          <w:lang w:val="it-IT"/>
        </w:rPr>
        <w:t xml:space="preserve"> quest</w:t>
      </w:r>
      <w:r w:rsidR="00157486">
        <w:rPr>
          <w:rFonts w:ascii="Georgia" w:hAnsi="Georgia"/>
          <w:lang w:val="it-IT"/>
        </w:rPr>
        <w:t>e</w:t>
      </w:r>
      <w:r w:rsidR="00157486" w:rsidRPr="00157486">
        <w:rPr>
          <w:rFonts w:ascii="Georgia" w:hAnsi="Georgia"/>
          <w:lang w:val="it-IT"/>
        </w:rPr>
        <w:t xml:space="preserve"> tip</w:t>
      </w:r>
      <w:r w:rsidR="00157486">
        <w:rPr>
          <w:rFonts w:ascii="Georgia" w:hAnsi="Georgia"/>
          <w:lang w:val="it-IT"/>
        </w:rPr>
        <w:t>olog</w:t>
      </w:r>
      <w:r w:rsidR="00157486" w:rsidRPr="00157486">
        <w:rPr>
          <w:rFonts w:ascii="Georgia" w:hAnsi="Georgia"/>
          <w:lang w:val="it-IT"/>
        </w:rPr>
        <w:t>i</w:t>
      </w:r>
      <w:r w:rsidR="00157486">
        <w:rPr>
          <w:rFonts w:ascii="Georgia" w:hAnsi="Georgia"/>
          <w:lang w:val="it-IT"/>
        </w:rPr>
        <w:t>e</w:t>
      </w:r>
      <w:r w:rsidR="00157486" w:rsidRPr="00157486">
        <w:rPr>
          <w:rFonts w:ascii="Georgia" w:hAnsi="Georgia"/>
          <w:lang w:val="it-IT"/>
        </w:rPr>
        <w:t xml:space="preserve"> di attività </w:t>
      </w:r>
      <w:r w:rsidR="00157486">
        <w:rPr>
          <w:rFonts w:ascii="Georgia" w:hAnsi="Georgia"/>
          <w:lang w:val="it-IT"/>
        </w:rPr>
        <w:t>retail</w:t>
      </w:r>
      <w:r w:rsidR="00941CEE">
        <w:rPr>
          <w:rFonts w:ascii="Georgia" w:hAnsi="Georgia"/>
          <w:lang w:val="it-IT"/>
        </w:rPr>
        <w:t xml:space="preserve"> ha dimostrato </w:t>
      </w:r>
      <w:r w:rsidR="006C4CAF">
        <w:rPr>
          <w:rFonts w:ascii="Georgia" w:hAnsi="Georgia"/>
          <w:lang w:val="it-IT"/>
        </w:rPr>
        <w:t>di sap</w:t>
      </w:r>
      <w:r w:rsidR="00941CEE">
        <w:rPr>
          <w:rFonts w:ascii="Georgia" w:hAnsi="Georgia"/>
          <w:lang w:val="it-IT"/>
        </w:rPr>
        <w:t>er essere resi</w:t>
      </w:r>
      <w:r w:rsidR="00157486">
        <w:rPr>
          <w:rFonts w:ascii="Georgia" w:hAnsi="Georgia"/>
          <w:lang w:val="it-IT"/>
        </w:rPr>
        <w:t>li</w:t>
      </w:r>
      <w:r w:rsidR="00157486" w:rsidRPr="00157486">
        <w:rPr>
          <w:rFonts w:ascii="Georgia" w:hAnsi="Georgia"/>
          <w:lang w:val="it-IT"/>
        </w:rPr>
        <w:t xml:space="preserve">ente e difensivo </w:t>
      </w:r>
      <w:proofErr w:type="gramStart"/>
      <w:r w:rsidR="00157486">
        <w:rPr>
          <w:rFonts w:ascii="Georgia" w:hAnsi="Georgia"/>
          <w:lang w:val="it-IT"/>
        </w:rPr>
        <w:t>rispetto ai trend</w:t>
      </w:r>
      <w:proofErr w:type="gramEnd"/>
      <w:r w:rsidR="00157486" w:rsidRPr="00157486">
        <w:rPr>
          <w:rFonts w:ascii="Georgia" w:hAnsi="Georgia"/>
          <w:lang w:val="it-IT"/>
        </w:rPr>
        <w:t xml:space="preserve"> dell'e-commerce, rafforzando la nostra </w:t>
      </w:r>
      <w:r w:rsidR="00157486">
        <w:rPr>
          <w:rFonts w:ascii="Georgia" w:hAnsi="Georgia"/>
          <w:lang w:val="it-IT"/>
        </w:rPr>
        <w:t>convinz</w:t>
      </w:r>
      <w:r w:rsidR="00157486" w:rsidRPr="00157486">
        <w:rPr>
          <w:rFonts w:ascii="Georgia" w:hAnsi="Georgia"/>
          <w:lang w:val="it-IT"/>
        </w:rPr>
        <w:t xml:space="preserve">ione che le attività </w:t>
      </w:r>
      <w:r w:rsidR="00157486">
        <w:rPr>
          <w:rFonts w:ascii="Georgia" w:hAnsi="Georgia"/>
          <w:lang w:val="it-IT"/>
        </w:rPr>
        <w:t>retail</w:t>
      </w:r>
      <w:r w:rsidR="00157486" w:rsidRPr="00157486">
        <w:rPr>
          <w:rFonts w:ascii="Georgia" w:hAnsi="Georgia"/>
          <w:lang w:val="it-IT"/>
        </w:rPr>
        <w:t xml:space="preserve"> non sono tutte uguali.</w:t>
      </w:r>
    </w:p>
    <w:p w14:paraId="60B7F32E" w14:textId="77777777" w:rsidR="007C559D" w:rsidRDefault="007C559D" w:rsidP="00CC2BB7">
      <w:pPr>
        <w:spacing w:after="0" w:line="240" w:lineRule="auto"/>
        <w:rPr>
          <w:rFonts w:ascii="Georgia" w:hAnsi="Georgia"/>
          <w:lang w:val="it-IT"/>
        </w:rPr>
      </w:pPr>
    </w:p>
    <w:p w14:paraId="04F81673" w14:textId="5CCA69BA" w:rsidR="00F27C80" w:rsidRPr="00157486" w:rsidRDefault="004F021E" w:rsidP="5E9789BA">
      <w:pPr>
        <w:pStyle w:val="Titolo2"/>
        <w:spacing w:before="120"/>
        <w:rPr>
          <w:rFonts w:ascii="Georgia" w:hAnsi="Georgia"/>
          <w:lang w:val="it-IT"/>
        </w:rPr>
      </w:pPr>
      <w:r w:rsidRPr="00157486">
        <w:rPr>
          <w:rFonts w:ascii="Georgia" w:hAnsi="Georgia"/>
          <w:lang w:val="it-IT"/>
        </w:rPr>
        <w:t xml:space="preserve">A </w:t>
      </w:r>
      <w:r w:rsidR="00157486" w:rsidRPr="00157486">
        <w:rPr>
          <w:rFonts w:ascii="Georgia" w:hAnsi="Georgia"/>
          <w:lang w:val="it-IT"/>
        </w:rPr>
        <w:t>ciascuno la sua casa</w:t>
      </w:r>
      <w:r w:rsidRPr="00157486">
        <w:rPr>
          <w:rFonts w:ascii="Georgia" w:hAnsi="Georgia"/>
          <w:lang w:val="it-IT"/>
        </w:rPr>
        <w:t xml:space="preserve">: </w:t>
      </w:r>
      <w:r w:rsidR="00157486" w:rsidRPr="00157486">
        <w:rPr>
          <w:rFonts w:ascii="Georgia" w:hAnsi="Georgia"/>
          <w:lang w:val="it-IT"/>
        </w:rPr>
        <w:t>residenze per anziani</w:t>
      </w:r>
      <w:r w:rsidRPr="00157486">
        <w:rPr>
          <w:rFonts w:ascii="Georgia" w:hAnsi="Georgia"/>
          <w:lang w:val="it-IT"/>
        </w:rPr>
        <w:t xml:space="preserve">, </w:t>
      </w:r>
      <w:r w:rsidR="00157486" w:rsidRPr="00157486">
        <w:rPr>
          <w:rFonts w:ascii="Georgia" w:hAnsi="Georgia"/>
          <w:lang w:val="it-IT"/>
        </w:rPr>
        <w:t>unifamiliar</w:t>
      </w:r>
      <w:r w:rsidR="00157486">
        <w:rPr>
          <w:rFonts w:ascii="Georgia" w:hAnsi="Georgia"/>
          <w:lang w:val="it-IT"/>
        </w:rPr>
        <w:t>i in affitto</w:t>
      </w:r>
      <w:r w:rsidRPr="00157486">
        <w:rPr>
          <w:rFonts w:ascii="Georgia" w:hAnsi="Georgia"/>
          <w:lang w:val="it-IT"/>
        </w:rPr>
        <w:t xml:space="preserve">, </w:t>
      </w:r>
      <w:r w:rsidR="0000477E" w:rsidRPr="00157486">
        <w:rPr>
          <w:rFonts w:ascii="Georgia" w:hAnsi="Georgia"/>
          <w:lang w:val="it-IT"/>
        </w:rPr>
        <w:t>multifamil</w:t>
      </w:r>
      <w:r w:rsidR="00157486">
        <w:rPr>
          <w:rFonts w:ascii="Georgia" w:hAnsi="Georgia"/>
          <w:lang w:val="it-IT"/>
        </w:rPr>
        <w:t xml:space="preserve">iari e </w:t>
      </w:r>
      <w:r w:rsidR="00941CEE">
        <w:rPr>
          <w:rFonts w:ascii="Georgia" w:hAnsi="Georgia"/>
          <w:lang w:val="it-IT"/>
        </w:rPr>
        <w:t xml:space="preserve">alloggi </w:t>
      </w:r>
      <w:r w:rsidR="00157486">
        <w:rPr>
          <w:rFonts w:ascii="Georgia" w:hAnsi="Georgia"/>
          <w:lang w:val="it-IT"/>
        </w:rPr>
        <w:t xml:space="preserve">a prezzi </w:t>
      </w:r>
      <w:r w:rsidRPr="00157486">
        <w:rPr>
          <w:rFonts w:ascii="Georgia" w:hAnsi="Georgia"/>
          <w:lang w:val="it-IT"/>
        </w:rPr>
        <w:t>a</w:t>
      </w:r>
      <w:r w:rsidR="00157486">
        <w:rPr>
          <w:rFonts w:ascii="Georgia" w:hAnsi="Georgia"/>
          <w:lang w:val="it-IT"/>
        </w:rPr>
        <w:t>ccessibili</w:t>
      </w:r>
      <w:r w:rsidRPr="00157486">
        <w:rPr>
          <w:rFonts w:ascii="Georgia" w:hAnsi="Georgia"/>
          <w:lang w:val="it-IT"/>
        </w:rPr>
        <w:t xml:space="preserve"> </w:t>
      </w:r>
    </w:p>
    <w:p w14:paraId="633F4F7B" w14:textId="073FA62D" w:rsidR="00157486" w:rsidRDefault="00157486" w:rsidP="00CC2BB7">
      <w:pPr>
        <w:spacing w:line="257" w:lineRule="auto"/>
        <w:rPr>
          <w:rFonts w:ascii="Georgia" w:eastAsia="Calibri" w:hAnsi="Georgia" w:cs="Calibri"/>
          <w:lang w:val="it-IT"/>
        </w:rPr>
      </w:pPr>
      <w:r w:rsidRPr="00157486">
        <w:rPr>
          <w:rFonts w:ascii="Georgia" w:eastAsia="Calibri" w:hAnsi="Georgia" w:cs="Calibri"/>
          <w:lang w:val="it-IT"/>
        </w:rPr>
        <w:t xml:space="preserve">I fattori strutturali </w:t>
      </w:r>
      <w:r w:rsidR="00BA0E04">
        <w:rPr>
          <w:rFonts w:ascii="Georgia" w:eastAsia="Calibri" w:hAnsi="Georgia" w:cs="Calibri"/>
          <w:lang w:val="it-IT"/>
        </w:rPr>
        <w:t xml:space="preserve">che </w:t>
      </w:r>
      <w:r w:rsidR="00941CEE">
        <w:rPr>
          <w:rFonts w:ascii="Georgia" w:eastAsia="Calibri" w:hAnsi="Georgia" w:cs="Calibri"/>
          <w:lang w:val="it-IT"/>
        </w:rPr>
        <w:t>guid</w:t>
      </w:r>
      <w:r w:rsidR="00BA0E04">
        <w:rPr>
          <w:rFonts w:ascii="Georgia" w:eastAsia="Calibri" w:hAnsi="Georgia" w:cs="Calibri"/>
          <w:lang w:val="it-IT"/>
        </w:rPr>
        <w:t>a</w:t>
      </w:r>
      <w:r w:rsidR="00941CEE">
        <w:rPr>
          <w:rFonts w:ascii="Georgia" w:eastAsia="Calibri" w:hAnsi="Georgia" w:cs="Calibri"/>
          <w:lang w:val="it-IT"/>
        </w:rPr>
        <w:t>n</w:t>
      </w:r>
      <w:r w:rsidR="00BA0E04">
        <w:rPr>
          <w:rFonts w:ascii="Georgia" w:eastAsia="Calibri" w:hAnsi="Georgia" w:cs="Calibri"/>
          <w:lang w:val="it-IT"/>
        </w:rPr>
        <w:t>o la domanda</w:t>
      </w:r>
      <w:r w:rsidRPr="00157486">
        <w:rPr>
          <w:rFonts w:ascii="Georgia" w:eastAsia="Calibri" w:hAnsi="Georgia" w:cs="Calibri"/>
          <w:lang w:val="it-IT"/>
        </w:rPr>
        <w:t xml:space="preserve"> d</w:t>
      </w:r>
      <w:r w:rsidR="00BA0E04">
        <w:rPr>
          <w:rFonts w:ascii="Georgia" w:eastAsia="Calibri" w:hAnsi="Georgia" w:cs="Calibri"/>
          <w:lang w:val="it-IT"/>
        </w:rPr>
        <w:t xml:space="preserve">i </w:t>
      </w:r>
      <w:r w:rsidR="006C4CAF">
        <w:rPr>
          <w:rFonts w:ascii="Georgia" w:eastAsia="Calibri" w:hAnsi="Georgia" w:cs="Calibri"/>
          <w:lang w:val="it-IT"/>
        </w:rPr>
        <w:t>residenze unifamiliari</w:t>
      </w:r>
      <w:r w:rsidRPr="00157486">
        <w:rPr>
          <w:rFonts w:ascii="Georgia" w:eastAsia="Calibri" w:hAnsi="Georgia" w:cs="Calibri"/>
          <w:lang w:val="it-IT"/>
        </w:rPr>
        <w:t xml:space="preserve"> in Europa </w:t>
      </w:r>
      <w:r w:rsidR="00BA0E04">
        <w:rPr>
          <w:rFonts w:ascii="Georgia" w:eastAsia="Calibri" w:hAnsi="Georgia" w:cs="Calibri"/>
          <w:lang w:val="it-IT"/>
        </w:rPr>
        <w:t>si confermano solidi</w:t>
      </w:r>
      <w:r w:rsidRPr="00157486">
        <w:rPr>
          <w:rFonts w:ascii="Georgia" w:eastAsia="Calibri" w:hAnsi="Georgia" w:cs="Calibri"/>
          <w:lang w:val="it-IT"/>
        </w:rPr>
        <w:t>, sostenuti dalla mancanza di prodotti</w:t>
      </w:r>
      <w:r w:rsidR="006C4CAF">
        <w:rPr>
          <w:rFonts w:ascii="Georgia" w:eastAsia="Calibri" w:hAnsi="Georgia" w:cs="Calibri"/>
          <w:lang w:val="it-IT"/>
        </w:rPr>
        <w:t xml:space="preserve"> adeguati</w:t>
      </w:r>
      <w:r w:rsidR="00BA0E04">
        <w:rPr>
          <w:rFonts w:ascii="Georgia" w:eastAsia="Calibri" w:hAnsi="Georgia" w:cs="Calibri"/>
          <w:lang w:val="it-IT"/>
        </w:rPr>
        <w:t>, da dati demografici interessa</w:t>
      </w:r>
      <w:r w:rsidRPr="00157486">
        <w:rPr>
          <w:rFonts w:ascii="Georgia" w:eastAsia="Calibri" w:hAnsi="Georgia" w:cs="Calibri"/>
          <w:lang w:val="it-IT"/>
        </w:rPr>
        <w:t>nti e da</w:t>
      </w:r>
      <w:r w:rsidR="00BA0E04">
        <w:rPr>
          <w:rFonts w:ascii="Georgia" w:eastAsia="Calibri" w:hAnsi="Georgia" w:cs="Calibri"/>
          <w:lang w:val="it-IT"/>
        </w:rPr>
        <w:t xml:space="preserve"> un</w:t>
      </w:r>
      <w:r w:rsidRPr="00157486">
        <w:rPr>
          <w:rFonts w:ascii="Georgia" w:eastAsia="Calibri" w:hAnsi="Georgia" w:cs="Calibri"/>
          <w:lang w:val="it-IT"/>
        </w:rPr>
        <w:t xml:space="preserve"> cambiamento di mentalità </w:t>
      </w:r>
      <w:r w:rsidR="00BA0E04">
        <w:rPr>
          <w:rFonts w:ascii="Georgia" w:eastAsia="Calibri" w:hAnsi="Georgia" w:cs="Calibri"/>
          <w:lang w:val="it-IT"/>
        </w:rPr>
        <w:t>rispetto a</w:t>
      </w:r>
      <w:r w:rsidR="006C4CAF">
        <w:rPr>
          <w:rFonts w:ascii="Georgia" w:eastAsia="Calibri" w:hAnsi="Georgia" w:cs="Calibri"/>
          <w:lang w:val="it-IT"/>
        </w:rPr>
        <w:t xml:space="preserve">d </w:t>
      </w:r>
      <w:r w:rsidRPr="00157486">
        <w:rPr>
          <w:rFonts w:ascii="Georgia" w:eastAsia="Calibri" w:hAnsi="Georgia" w:cs="Calibri"/>
          <w:lang w:val="it-IT"/>
        </w:rPr>
        <w:t>affitt</w:t>
      </w:r>
      <w:r w:rsidR="00BA0E04">
        <w:rPr>
          <w:rFonts w:ascii="Georgia" w:eastAsia="Calibri" w:hAnsi="Georgia" w:cs="Calibri"/>
          <w:lang w:val="it-IT"/>
        </w:rPr>
        <w:t xml:space="preserve">are </w:t>
      </w:r>
      <w:r w:rsidRPr="00157486">
        <w:rPr>
          <w:rFonts w:ascii="Georgia" w:eastAsia="Calibri" w:hAnsi="Georgia" w:cs="Calibri"/>
          <w:lang w:val="it-IT"/>
        </w:rPr>
        <w:t>o</w:t>
      </w:r>
      <w:r w:rsidR="00BA0E04">
        <w:rPr>
          <w:rFonts w:ascii="Georgia" w:eastAsia="Calibri" w:hAnsi="Georgia" w:cs="Calibri"/>
          <w:lang w:val="it-IT"/>
        </w:rPr>
        <w:t xml:space="preserve"> </w:t>
      </w:r>
      <w:r w:rsidRPr="00157486">
        <w:rPr>
          <w:rFonts w:ascii="Georgia" w:eastAsia="Calibri" w:hAnsi="Georgia" w:cs="Calibri"/>
          <w:lang w:val="it-IT"/>
        </w:rPr>
        <w:t>a</w:t>
      </w:r>
      <w:r w:rsidR="00BA0E04">
        <w:rPr>
          <w:rFonts w:ascii="Georgia" w:eastAsia="Calibri" w:hAnsi="Georgia" w:cs="Calibri"/>
          <w:lang w:val="it-IT"/>
        </w:rPr>
        <w:t>cquistare una casa di</w:t>
      </w:r>
      <w:r w:rsidRPr="00157486">
        <w:rPr>
          <w:rFonts w:ascii="Georgia" w:eastAsia="Calibri" w:hAnsi="Georgia" w:cs="Calibri"/>
          <w:lang w:val="it-IT"/>
        </w:rPr>
        <w:t xml:space="preserve"> proprietà.</w:t>
      </w:r>
      <w:r w:rsidR="00BA0E04" w:rsidRPr="00BA0E04">
        <w:rPr>
          <w:lang w:val="it-IT"/>
        </w:rPr>
        <w:t xml:space="preserve"> </w:t>
      </w:r>
      <w:r w:rsidR="00BA0E04" w:rsidRPr="00BA0E04">
        <w:rPr>
          <w:rFonts w:ascii="Georgia" w:eastAsia="Calibri" w:hAnsi="Georgia" w:cs="Calibri"/>
          <w:lang w:val="it-IT"/>
        </w:rPr>
        <w:t xml:space="preserve">Con le crescenti difficoltà e l'inasprimento delle condizioni dei mutui, </w:t>
      </w:r>
      <w:r w:rsidR="00BA0E04">
        <w:rPr>
          <w:rFonts w:ascii="Georgia" w:eastAsia="Calibri" w:hAnsi="Georgia" w:cs="Calibri"/>
          <w:lang w:val="it-IT"/>
        </w:rPr>
        <w:t xml:space="preserve">avere abitazioni </w:t>
      </w:r>
      <w:r w:rsidR="00BA0E04" w:rsidRPr="00BA0E04">
        <w:rPr>
          <w:rFonts w:ascii="Georgia" w:eastAsia="Calibri" w:hAnsi="Georgia" w:cs="Calibri"/>
          <w:lang w:val="it-IT"/>
        </w:rPr>
        <w:t>accessibili</w:t>
      </w:r>
      <w:r w:rsidR="00BA0E04">
        <w:rPr>
          <w:rFonts w:ascii="Georgia" w:eastAsia="Calibri" w:hAnsi="Georgia" w:cs="Calibri"/>
          <w:lang w:val="it-IT"/>
        </w:rPr>
        <w:t xml:space="preserve"> da un punto di vista</w:t>
      </w:r>
      <w:r w:rsidR="00BA0E04" w:rsidRPr="00BA0E04">
        <w:rPr>
          <w:rFonts w:ascii="Georgia" w:eastAsia="Calibri" w:hAnsi="Georgia" w:cs="Calibri"/>
          <w:lang w:val="it-IT"/>
        </w:rPr>
        <w:t xml:space="preserve"> economic</w:t>
      </w:r>
      <w:r w:rsidR="00BA0E04">
        <w:rPr>
          <w:rFonts w:ascii="Georgia" w:eastAsia="Calibri" w:hAnsi="Georgia" w:cs="Calibri"/>
          <w:lang w:val="it-IT"/>
        </w:rPr>
        <w:t>o</w:t>
      </w:r>
      <w:r w:rsidR="00BA0E04" w:rsidRPr="00BA0E04">
        <w:rPr>
          <w:rFonts w:ascii="Georgia" w:eastAsia="Calibri" w:hAnsi="Georgia" w:cs="Calibri"/>
          <w:lang w:val="it-IT"/>
        </w:rPr>
        <w:t xml:space="preserve"> sarà</w:t>
      </w:r>
      <w:r w:rsidR="00BA0E04">
        <w:rPr>
          <w:rFonts w:ascii="Georgia" w:eastAsia="Calibri" w:hAnsi="Georgia" w:cs="Calibri"/>
          <w:lang w:val="it-IT"/>
        </w:rPr>
        <w:t xml:space="preserve"> ancora</w:t>
      </w:r>
      <w:r w:rsidR="00BA0E04" w:rsidRPr="00BA0E04">
        <w:rPr>
          <w:rFonts w:ascii="Georgia" w:eastAsia="Calibri" w:hAnsi="Georgia" w:cs="Calibri"/>
          <w:lang w:val="it-IT"/>
        </w:rPr>
        <w:t xml:space="preserve"> più difficile, </w:t>
      </w:r>
      <w:r w:rsidR="00BA0E04">
        <w:rPr>
          <w:rFonts w:ascii="Georgia" w:eastAsia="Calibri" w:hAnsi="Georgia" w:cs="Calibri"/>
          <w:lang w:val="it-IT"/>
        </w:rPr>
        <w:t>e questo farà</w:t>
      </w:r>
      <w:r w:rsidR="00BA0E04" w:rsidRPr="00BA0E04">
        <w:rPr>
          <w:rFonts w:ascii="Georgia" w:eastAsia="Calibri" w:hAnsi="Georgia" w:cs="Calibri"/>
          <w:lang w:val="it-IT"/>
        </w:rPr>
        <w:t xml:space="preserve"> aument</w:t>
      </w:r>
      <w:r w:rsidR="00BA0E04">
        <w:rPr>
          <w:rFonts w:ascii="Georgia" w:eastAsia="Calibri" w:hAnsi="Georgia" w:cs="Calibri"/>
          <w:lang w:val="it-IT"/>
        </w:rPr>
        <w:t>are ulteriormente la domanda n</w:t>
      </w:r>
      <w:r w:rsidR="00BA0E04" w:rsidRPr="00BA0E04">
        <w:rPr>
          <w:rFonts w:ascii="Georgia" w:eastAsia="Calibri" w:hAnsi="Georgia" w:cs="Calibri"/>
          <w:lang w:val="it-IT"/>
        </w:rPr>
        <w:t>el settore.</w:t>
      </w:r>
      <w:r w:rsidR="00BA0E04" w:rsidRPr="00BA0E04">
        <w:rPr>
          <w:lang w:val="it-IT"/>
        </w:rPr>
        <w:t xml:space="preserve"> </w:t>
      </w:r>
      <w:r w:rsidR="00BA0E04" w:rsidRPr="00BA0E04">
        <w:rPr>
          <w:rFonts w:ascii="Georgia" w:eastAsia="Calibri" w:hAnsi="Georgia" w:cs="Calibri"/>
          <w:lang w:val="it-IT"/>
        </w:rPr>
        <w:t>Negli Stati Uniti è più oneroso possedere un'abitazione piuttosto che affittarla</w:t>
      </w:r>
      <w:r w:rsidR="00BA0E04">
        <w:rPr>
          <w:rFonts w:ascii="Georgia" w:eastAsia="Calibri" w:hAnsi="Georgia" w:cs="Calibri"/>
          <w:lang w:val="it-IT"/>
        </w:rPr>
        <w:t xml:space="preserve"> e questa situazione spinge</w:t>
      </w:r>
      <w:r w:rsidR="00BA0E04" w:rsidRPr="00BA0E04">
        <w:rPr>
          <w:rFonts w:ascii="Georgia" w:eastAsia="Calibri" w:hAnsi="Georgia" w:cs="Calibri"/>
          <w:lang w:val="it-IT"/>
        </w:rPr>
        <w:t xml:space="preserve"> la futura domanda di alloggi in affitto.</w:t>
      </w:r>
    </w:p>
    <w:p w14:paraId="1F3CD912" w14:textId="77777777" w:rsidR="00A54AAB" w:rsidRDefault="00A54AAB" w:rsidP="00185F49">
      <w:pPr>
        <w:spacing w:before="240"/>
        <w:rPr>
          <w:rFonts w:ascii="Georgia" w:eastAsiaTheme="majorEastAsia" w:hAnsi="Georgia" w:cstheme="majorBidi"/>
          <w:b/>
          <w:color w:val="2F5496" w:themeColor="accent1" w:themeShade="BF"/>
          <w:sz w:val="32"/>
          <w:szCs w:val="32"/>
          <w:lang w:val="it-IT"/>
        </w:rPr>
      </w:pPr>
    </w:p>
    <w:p w14:paraId="62D731ED" w14:textId="2B20B3C6" w:rsidR="004D7595" w:rsidRPr="00A54AAB" w:rsidRDefault="00185F49" w:rsidP="00185F49">
      <w:pPr>
        <w:spacing w:before="240"/>
        <w:rPr>
          <w:rFonts w:ascii="Georgia" w:eastAsiaTheme="majorEastAsia" w:hAnsi="Georgia" w:cstheme="majorBidi"/>
          <w:b/>
          <w:color w:val="2F5496" w:themeColor="accent1" w:themeShade="BF"/>
          <w:sz w:val="32"/>
          <w:szCs w:val="32"/>
          <w:lang w:val="it-IT"/>
        </w:rPr>
      </w:pPr>
      <w:r w:rsidRPr="00A54AAB">
        <w:rPr>
          <w:rFonts w:ascii="Georgia" w:eastAsiaTheme="majorEastAsia" w:hAnsi="Georgia" w:cstheme="majorBidi"/>
          <w:b/>
          <w:color w:val="2F5496" w:themeColor="accent1" w:themeShade="BF"/>
          <w:sz w:val="32"/>
          <w:szCs w:val="32"/>
          <w:lang w:val="it-IT"/>
        </w:rPr>
        <w:t>Conclusion</w:t>
      </w:r>
      <w:r w:rsidR="00157486" w:rsidRPr="00A54AAB">
        <w:rPr>
          <w:rFonts w:ascii="Georgia" w:eastAsiaTheme="majorEastAsia" w:hAnsi="Georgia" w:cstheme="majorBidi"/>
          <w:b/>
          <w:color w:val="2F5496" w:themeColor="accent1" w:themeShade="BF"/>
          <w:sz w:val="32"/>
          <w:szCs w:val="32"/>
          <w:lang w:val="it-IT"/>
        </w:rPr>
        <w:t>i</w:t>
      </w:r>
    </w:p>
    <w:p w14:paraId="12EF02A2" w14:textId="209D7EAF" w:rsidR="00E732E6" w:rsidRPr="00986395" w:rsidRDefault="00BA0E04" w:rsidP="00986395">
      <w:pPr>
        <w:spacing w:before="240"/>
        <w:rPr>
          <w:rFonts w:ascii="Georgia" w:eastAsia="Calibri" w:hAnsi="Georgia" w:cs="Calibri"/>
          <w:lang w:val="it-IT"/>
        </w:rPr>
      </w:pPr>
      <w:r>
        <w:rPr>
          <w:rFonts w:ascii="Georgia" w:eastAsia="Calibri" w:hAnsi="Georgia" w:cs="Calibri"/>
          <w:lang w:val="it-IT"/>
        </w:rPr>
        <w:t>L</w:t>
      </w:r>
      <w:r w:rsidRPr="00BA0E04">
        <w:rPr>
          <w:rFonts w:ascii="Georgia" w:eastAsia="Calibri" w:hAnsi="Georgia" w:cs="Calibri"/>
          <w:lang w:val="it-IT"/>
        </w:rPr>
        <w:t xml:space="preserve">e turbolenze del mercato continueranno </w:t>
      </w:r>
      <w:r w:rsidR="0028451D">
        <w:rPr>
          <w:rFonts w:ascii="Georgia" w:eastAsia="Calibri" w:hAnsi="Georgia" w:cs="Calibri"/>
          <w:lang w:val="it-IT"/>
        </w:rPr>
        <w:t xml:space="preserve">a farsi sentire </w:t>
      </w:r>
      <w:r w:rsidRPr="00BA0E04">
        <w:rPr>
          <w:rFonts w:ascii="Georgia" w:eastAsia="Calibri" w:hAnsi="Georgia" w:cs="Calibri"/>
          <w:lang w:val="it-IT"/>
        </w:rPr>
        <w:t xml:space="preserve">anche nel </w:t>
      </w:r>
      <w:r w:rsidR="0028451D">
        <w:rPr>
          <w:rFonts w:ascii="Georgia" w:eastAsia="Calibri" w:hAnsi="Georgia" w:cs="Calibri"/>
          <w:lang w:val="it-IT"/>
        </w:rPr>
        <w:t xml:space="preserve">corso del </w:t>
      </w:r>
      <w:r w:rsidRPr="00BA0E04">
        <w:rPr>
          <w:rFonts w:ascii="Georgia" w:eastAsia="Calibri" w:hAnsi="Georgia" w:cs="Calibri"/>
          <w:lang w:val="it-IT"/>
        </w:rPr>
        <w:t xml:space="preserve">2023, </w:t>
      </w:r>
      <w:r w:rsidR="0028451D">
        <w:rPr>
          <w:rFonts w:ascii="Georgia" w:eastAsia="Calibri" w:hAnsi="Georgia" w:cs="Calibri"/>
          <w:lang w:val="it-IT"/>
        </w:rPr>
        <w:t>tuttavia s</w:t>
      </w:r>
      <w:r w:rsidRPr="00BA0E04">
        <w:rPr>
          <w:rFonts w:ascii="Georgia" w:eastAsia="Calibri" w:hAnsi="Georgia" w:cs="Calibri"/>
          <w:lang w:val="it-IT"/>
        </w:rPr>
        <w:t>iamo</w:t>
      </w:r>
      <w:r w:rsidR="0028451D">
        <w:rPr>
          <w:rFonts w:ascii="Georgia" w:eastAsia="Calibri" w:hAnsi="Georgia" w:cs="Calibri"/>
          <w:lang w:val="it-IT"/>
        </w:rPr>
        <w:t xml:space="preserve"> convinti</w:t>
      </w:r>
      <w:r w:rsidRPr="00BA0E04">
        <w:rPr>
          <w:rFonts w:ascii="Georgia" w:eastAsia="Calibri" w:hAnsi="Georgia" w:cs="Calibri"/>
          <w:lang w:val="it-IT"/>
        </w:rPr>
        <w:t xml:space="preserve"> che il settore immobiliare</w:t>
      </w:r>
      <w:r w:rsidR="006C4CAF">
        <w:rPr>
          <w:rFonts w:ascii="Georgia" w:eastAsia="Calibri" w:hAnsi="Georgia" w:cs="Calibri"/>
          <w:lang w:val="it-IT"/>
        </w:rPr>
        <w:t xml:space="preserve"> continuerà</w:t>
      </w:r>
      <w:r w:rsidR="0028451D">
        <w:rPr>
          <w:rFonts w:ascii="Georgia" w:eastAsia="Calibri" w:hAnsi="Georgia" w:cs="Calibri"/>
          <w:lang w:val="it-IT"/>
        </w:rPr>
        <w:t xml:space="preserve"> a</w:t>
      </w:r>
      <w:r w:rsidRPr="00BA0E04">
        <w:rPr>
          <w:rFonts w:ascii="Georgia" w:eastAsia="Calibri" w:hAnsi="Georgia" w:cs="Calibri"/>
          <w:lang w:val="it-IT"/>
        </w:rPr>
        <w:t xml:space="preserve"> </w:t>
      </w:r>
      <w:r w:rsidR="0028451D">
        <w:rPr>
          <w:rFonts w:ascii="Georgia" w:eastAsia="Calibri" w:hAnsi="Georgia" w:cs="Calibri"/>
          <w:lang w:val="it-IT"/>
        </w:rPr>
        <w:t xml:space="preserve">offrire opportunità agli investitori, grazie a </w:t>
      </w:r>
      <w:r w:rsidRPr="00BA0E04">
        <w:rPr>
          <w:rFonts w:ascii="Georgia" w:eastAsia="Calibri" w:hAnsi="Georgia" w:cs="Calibri"/>
          <w:lang w:val="it-IT"/>
        </w:rPr>
        <w:t xml:space="preserve">driver di valore </w:t>
      </w:r>
      <w:r w:rsidR="0028451D">
        <w:rPr>
          <w:rFonts w:ascii="Georgia" w:eastAsia="Calibri" w:hAnsi="Georgia" w:cs="Calibri"/>
          <w:lang w:val="it-IT"/>
        </w:rPr>
        <w:t>interessanti, quali</w:t>
      </w:r>
      <w:r w:rsidRPr="00BA0E04">
        <w:rPr>
          <w:rFonts w:ascii="Georgia" w:eastAsia="Calibri" w:hAnsi="Georgia" w:cs="Calibri"/>
          <w:lang w:val="it-IT"/>
        </w:rPr>
        <w:t xml:space="preserve"> la </w:t>
      </w:r>
      <w:r w:rsidRPr="00941CEE">
        <w:rPr>
          <w:rFonts w:ascii="Georgia" w:eastAsia="Calibri" w:hAnsi="Georgia" w:cs="Calibri"/>
          <w:lang w:val="it-IT"/>
        </w:rPr>
        <w:t>di</w:t>
      </w:r>
      <w:r w:rsidR="0028451D" w:rsidRPr="00941CEE">
        <w:rPr>
          <w:rFonts w:ascii="Georgia" w:eastAsia="Calibri" w:hAnsi="Georgia" w:cs="Calibri"/>
          <w:lang w:val="it-IT"/>
        </w:rPr>
        <w:t>fferenzi</w:t>
      </w:r>
      <w:r w:rsidRPr="00941CEE">
        <w:rPr>
          <w:rFonts w:ascii="Georgia" w:eastAsia="Calibri" w:hAnsi="Georgia" w:cs="Calibri"/>
          <w:lang w:val="it-IT"/>
        </w:rPr>
        <w:t>a</w:t>
      </w:r>
      <w:r w:rsidR="0028451D" w:rsidRPr="00941CEE">
        <w:rPr>
          <w:rFonts w:ascii="Georgia" w:eastAsia="Calibri" w:hAnsi="Georgia" w:cs="Calibri"/>
          <w:lang w:val="it-IT"/>
        </w:rPr>
        <w:t>zion</w:t>
      </w:r>
      <w:r w:rsidR="00941CEE" w:rsidRPr="00941CEE">
        <w:rPr>
          <w:rFonts w:ascii="Georgia" w:eastAsia="Calibri" w:hAnsi="Georgia" w:cs="Calibri"/>
          <w:lang w:val="it-IT"/>
        </w:rPr>
        <w:t>e</w:t>
      </w:r>
      <w:r w:rsidR="00941CEE">
        <w:rPr>
          <w:rFonts w:ascii="Georgia" w:eastAsia="Calibri" w:hAnsi="Georgia" w:cs="Calibri"/>
          <w:lang w:val="it-IT"/>
        </w:rPr>
        <w:t xml:space="preserve"> tra le diverse</w:t>
      </w:r>
      <w:r w:rsidRPr="00BA0E04">
        <w:rPr>
          <w:rFonts w:ascii="Georgia" w:eastAsia="Calibri" w:hAnsi="Georgia" w:cs="Calibri"/>
          <w:lang w:val="it-IT"/>
        </w:rPr>
        <w:t xml:space="preserve"> economi</w:t>
      </w:r>
      <w:r w:rsidR="0028451D">
        <w:rPr>
          <w:rFonts w:ascii="Georgia" w:eastAsia="Calibri" w:hAnsi="Georgia" w:cs="Calibri"/>
          <w:lang w:val="it-IT"/>
        </w:rPr>
        <w:t>e</w:t>
      </w:r>
      <w:r w:rsidRPr="00BA0E04">
        <w:rPr>
          <w:rFonts w:ascii="Georgia" w:eastAsia="Calibri" w:hAnsi="Georgia" w:cs="Calibri"/>
          <w:lang w:val="it-IT"/>
        </w:rPr>
        <w:t xml:space="preserve">, le </w:t>
      </w:r>
      <w:r w:rsidR="0028451D" w:rsidRPr="0028451D">
        <w:rPr>
          <w:rFonts w:ascii="Georgia" w:eastAsia="Calibri" w:hAnsi="Georgia" w:cs="Calibri"/>
          <w:lang w:val="it-IT"/>
        </w:rPr>
        <w:t>quotazioni valutarie</w:t>
      </w:r>
      <w:r w:rsidRPr="00BA0E04">
        <w:rPr>
          <w:rFonts w:ascii="Georgia" w:eastAsia="Calibri" w:hAnsi="Georgia" w:cs="Calibri"/>
          <w:lang w:val="it-IT"/>
        </w:rPr>
        <w:t xml:space="preserve">, gli investimenti ESG, i prestiti alternativi e </w:t>
      </w:r>
      <w:r w:rsidR="0028451D">
        <w:rPr>
          <w:rFonts w:ascii="Georgia" w:eastAsia="Calibri" w:hAnsi="Georgia" w:cs="Calibri"/>
          <w:lang w:val="it-IT"/>
        </w:rPr>
        <w:t>selezionate</w:t>
      </w:r>
      <w:r w:rsidRPr="00BA0E04">
        <w:rPr>
          <w:rFonts w:ascii="Georgia" w:eastAsia="Calibri" w:hAnsi="Georgia" w:cs="Calibri"/>
          <w:lang w:val="it-IT"/>
        </w:rPr>
        <w:t xml:space="preserve"> opportunità </w:t>
      </w:r>
      <w:r w:rsidR="00A54AAB">
        <w:rPr>
          <w:rFonts w:ascii="Georgia" w:eastAsia="Calibri" w:hAnsi="Georgia" w:cs="Calibri"/>
          <w:lang w:val="it-IT"/>
        </w:rPr>
        <w:t xml:space="preserve">in specifici </w:t>
      </w:r>
      <w:r w:rsidRPr="00BA0E04">
        <w:rPr>
          <w:rFonts w:ascii="Georgia" w:eastAsia="Calibri" w:hAnsi="Georgia" w:cs="Calibri"/>
          <w:lang w:val="it-IT"/>
        </w:rPr>
        <w:t>settori</w:t>
      </w:r>
      <w:r w:rsidR="00A54AAB">
        <w:rPr>
          <w:rFonts w:ascii="Georgia" w:eastAsia="Calibri" w:hAnsi="Georgia" w:cs="Calibri"/>
          <w:lang w:val="it-IT"/>
        </w:rPr>
        <w:t>.</w:t>
      </w:r>
    </w:p>
    <w:sectPr w:rsidR="00E732E6" w:rsidRPr="00986395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5AD1" w14:textId="77777777" w:rsidR="00251A87" w:rsidRDefault="00251A87" w:rsidP="00992764">
      <w:pPr>
        <w:spacing w:after="0" w:line="240" w:lineRule="auto"/>
      </w:pPr>
      <w:r>
        <w:separator/>
      </w:r>
    </w:p>
  </w:endnote>
  <w:endnote w:type="continuationSeparator" w:id="0">
    <w:p w14:paraId="2703C7A4" w14:textId="77777777" w:rsidR="00251A87" w:rsidRDefault="00251A87" w:rsidP="00992764">
      <w:pPr>
        <w:spacing w:after="0" w:line="240" w:lineRule="auto"/>
      </w:pPr>
      <w:r>
        <w:continuationSeparator/>
      </w:r>
    </w:p>
  </w:endnote>
  <w:endnote w:type="continuationNotice" w:id="1">
    <w:p w14:paraId="69DFBCE3" w14:textId="77777777" w:rsidR="00251A87" w:rsidRDefault="00251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3709" w14:textId="577EDF90" w:rsidR="00FA2B96" w:rsidRDefault="00FA2B96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538BE7" wp14:editId="4E90A3A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5" name="MSIPCM67534766b98482539ff93cfd" descr="{&quot;HashCode&quot;:126734632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2CDA76" w14:textId="7E09B638" w:rsidR="00FA2B96" w:rsidRPr="00EA27D8" w:rsidRDefault="00FA2B96" w:rsidP="00EA27D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A27D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 (C)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38BE7" id="_x0000_t202" coordsize="21600,21600" o:spt="202" path="m,l,21600r21600,l21600,xe">
              <v:stroke joinstyle="miter"/>
              <v:path gradientshapeok="t" o:connecttype="rect"/>
            </v:shapetype>
            <v:shape id="MSIPCM67534766b98482539ff93cfd" o:spid="_x0000_s1026" type="#_x0000_t202" alt="{&quot;HashCode&quot;:1267346320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" o:allowincell="f" filled="f" stroked="f" strokeweight=".5pt">
              <v:textbox inset=",0,,0">
                <w:txbxContent>
                  <w:p w14:paraId="6A2CDA76" w14:textId="7E09B638" w:rsidR="00FA2B96" w:rsidRPr="00EA27D8" w:rsidRDefault="00FA2B96" w:rsidP="00EA27D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A27D8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 (C)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C27B" w14:textId="77777777" w:rsidR="00251A87" w:rsidRDefault="00251A87" w:rsidP="00992764">
      <w:pPr>
        <w:spacing w:after="0" w:line="240" w:lineRule="auto"/>
      </w:pPr>
      <w:r>
        <w:separator/>
      </w:r>
    </w:p>
  </w:footnote>
  <w:footnote w:type="continuationSeparator" w:id="0">
    <w:p w14:paraId="6E90EC6F" w14:textId="77777777" w:rsidR="00251A87" w:rsidRDefault="00251A87" w:rsidP="00992764">
      <w:pPr>
        <w:spacing w:after="0" w:line="240" w:lineRule="auto"/>
      </w:pPr>
      <w:r>
        <w:continuationSeparator/>
      </w:r>
    </w:p>
  </w:footnote>
  <w:footnote w:type="continuationNotice" w:id="1">
    <w:p w14:paraId="3CE2139F" w14:textId="77777777" w:rsidR="00251A87" w:rsidRDefault="00251A8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5HhFoHn82wrJU" int2:id="eKhrvbiB">
      <int2:state int2:value="Rejected" int2:type="LegacyProofing"/>
    </int2:textHash>
    <int2:bookmark int2:bookmarkName="_Int_9yOQIWVN" int2:invalidationBookmarkName="" int2:hashCode="K7QOfBGKSYisBB" int2:id="BA3CmoRl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38E"/>
    <w:multiLevelType w:val="hybridMultilevel"/>
    <w:tmpl w:val="FA8E9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4F5"/>
    <w:multiLevelType w:val="hybridMultilevel"/>
    <w:tmpl w:val="5EE267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57D5F"/>
    <w:multiLevelType w:val="hybridMultilevel"/>
    <w:tmpl w:val="FFFFFFFF"/>
    <w:lvl w:ilvl="0" w:tplc="97484892">
      <w:start w:val="1"/>
      <w:numFmt w:val="lowerLetter"/>
      <w:lvlText w:val="%1."/>
      <w:lvlJc w:val="left"/>
      <w:pPr>
        <w:ind w:left="720" w:hanging="360"/>
      </w:pPr>
    </w:lvl>
    <w:lvl w:ilvl="1" w:tplc="97A06ACC">
      <w:start w:val="1"/>
      <w:numFmt w:val="lowerLetter"/>
      <w:lvlText w:val="%2."/>
      <w:lvlJc w:val="left"/>
      <w:pPr>
        <w:ind w:left="1440" w:hanging="360"/>
      </w:pPr>
    </w:lvl>
    <w:lvl w:ilvl="2" w:tplc="A76A09D6">
      <w:start w:val="1"/>
      <w:numFmt w:val="lowerRoman"/>
      <w:lvlText w:val="%3."/>
      <w:lvlJc w:val="right"/>
      <w:pPr>
        <w:ind w:left="2160" w:hanging="180"/>
      </w:pPr>
    </w:lvl>
    <w:lvl w:ilvl="3" w:tplc="DC287588">
      <w:start w:val="1"/>
      <w:numFmt w:val="decimal"/>
      <w:lvlText w:val="%4."/>
      <w:lvlJc w:val="left"/>
      <w:pPr>
        <w:ind w:left="2880" w:hanging="360"/>
      </w:pPr>
    </w:lvl>
    <w:lvl w:ilvl="4" w:tplc="7A34A192">
      <w:start w:val="1"/>
      <w:numFmt w:val="lowerLetter"/>
      <w:lvlText w:val="%5."/>
      <w:lvlJc w:val="left"/>
      <w:pPr>
        <w:ind w:left="3600" w:hanging="360"/>
      </w:pPr>
    </w:lvl>
    <w:lvl w:ilvl="5" w:tplc="CF7EB1CE">
      <w:start w:val="1"/>
      <w:numFmt w:val="lowerRoman"/>
      <w:lvlText w:val="%6."/>
      <w:lvlJc w:val="right"/>
      <w:pPr>
        <w:ind w:left="4320" w:hanging="180"/>
      </w:pPr>
    </w:lvl>
    <w:lvl w:ilvl="6" w:tplc="BAFE4B28">
      <w:start w:val="1"/>
      <w:numFmt w:val="decimal"/>
      <w:lvlText w:val="%7."/>
      <w:lvlJc w:val="left"/>
      <w:pPr>
        <w:ind w:left="5040" w:hanging="360"/>
      </w:pPr>
    </w:lvl>
    <w:lvl w:ilvl="7" w:tplc="93189268">
      <w:start w:val="1"/>
      <w:numFmt w:val="lowerLetter"/>
      <w:lvlText w:val="%8."/>
      <w:lvlJc w:val="left"/>
      <w:pPr>
        <w:ind w:left="5760" w:hanging="360"/>
      </w:pPr>
    </w:lvl>
    <w:lvl w:ilvl="8" w:tplc="0B58B2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963CA"/>
    <w:multiLevelType w:val="hybridMultilevel"/>
    <w:tmpl w:val="D3EC8818"/>
    <w:lvl w:ilvl="0" w:tplc="2A82283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2F8D82"/>
    <w:multiLevelType w:val="hybridMultilevel"/>
    <w:tmpl w:val="FFFFFFFF"/>
    <w:lvl w:ilvl="0" w:tplc="87BEE3B4">
      <w:start w:val="1"/>
      <w:numFmt w:val="decimal"/>
      <w:lvlText w:val="%1."/>
      <w:lvlJc w:val="left"/>
      <w:pPr>
        <w:ind w:left="720" w:hanging="360"/>
      </w:pPr>
    </w:lvl>
    <w:lvl w:ilvl="1" w:tplc="FCFAA5DE">
      <w:start w:val="1"/>
      <w:numFmt w:val="lowerLetter"/>
      <w:lvlText w:val="%2."/>
      <w:lvlJc w:val="left"/>
      <w:pPr>
        <w:ind w:left="1440" w:hanging="360"/>
      </w:pPr>
    </w:lvl>
    <w:lvl w:ilvl="2" w:tplc="E050DED2">
      <w:start w:val="1"/>
      <w:numFmt w:val="lowerRoman"/>
      <w:lvlText w:val="%3."/>
      <w:lvlJc w:val="right"/>
      <w:pPr>
        <w:ind w:left="2160" w:hanging="180"/>
      </w:pPr>
    </w:lvl>
    <w:lvl w:ilvl="3" w:tplc="CC1E4490">
      <w:start w:val="1"/>
      <w:numFmt w:val="decimal"/>
      <w:lvlText w:val="%4."/>
      <w:lvlJc w:val="left"/>
      <w:pPr>
        <w:ind w:left="2880" w:hanging="360"/>
      </w:pPr>
    </w:lvl>
    <w:lvl w:ilvl="4" w:tplc="D580240A">
      <w:start w:val="1"/>
      <w:numFmt w:val="lowerLetter"/>
      <w:lvlText w:val="%5."/>
      <w:lvlJc w:val="left"/>
      <w:pPr>
        <w:ind w:left="3600" w:hanging="360"/>
      </w:pPr>
    </w:lvl>
    <w:lvl w:ilvl="5" w:tplc="1220AAA4">
      <w:start w:val="1"/>
      <w:numFmt w:val="lowerRoman"/>
      <w:lvlText w:val="%6."/>
      <w:lvlJc w:val="right"/>
      <w:pPr>
        <w:ind w:left="4320" w:hanging="180"/>
      </w:pPr>
    </w:lvl>
    <w:lvl w:ilvl="6" w:tplc="C2E4563C">
      <w:start w:val="1"/>
      <w:numFmt w:val="decimal"/>
      <w:lvlText w:val="%7."/>
      <w:lvlJc w:val="left"/>
      <w:pPr>
        <w:ind w:left="5040" w:hanging="360"/>
      </w:pPr>
    </w:lvl>
    <w:lvl w:ilvl="7" w:tplc="B37E9230">
      <w:start w:val="1"/>
      <w:numFmt w:val="lowerLetter"/>
      <w:lvlText w:val="%8."/>
      <w:lvlJc w:val="left"/>
      <w:pPr>
        <w:ind w:left="5760" w:hanging="360"/>
      </w:pPr>
    </w:lvl>
    <w:lvl w:ilvl="8" w:tplc="B96E24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94C97"/>
    <w:multiLevelType w:val="hybridMultilevel"/>
    <w:tmpl w:val="EDB041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46793D"/>
    <w:rsid w:val="0000151C"/>
    <w:rsid w:val="000030C5"/>
    <w:rsid w:val="0000477E"/>
    <w:rsid w:val="000052B4"/>
    <w:rsid w:val="000052D8"/>
    <w:rsid w:val="0001039E"/>
    <w:rsid w:val="00023FA9"/>
    <w:rsid w:val="00042DE0"/>
    <w:rsid w:val="00047C7A"/>
    <w:rsid w:val="00051E08"/>
    <w:rsid w:val="0005532F"/>
    <w:rsid w:val="000575DE"/>
    <w:rsid w:val="000650AD"/>
    <w:rsid w:val="00066427"/>
    <w:rsid w:val="00074471"/>
    <w:rsid w:val="0007767F"/>
    <w:rsid w:val="00082244"/>
    <w:rsid w:val="00090D17"/>
    <w:rsid w:val="0009628D"/>
    <w:rsid w:val="000A5737"/>
    <w:rsid w:val="000B7B03"/>
    <w:rsid w:val="000D1D88"/>
    <w:rsid w:val="000D2018"/>
    <w:rsid w:val="000D2335"/>
    <w:rsid w:val="000D45AA"/>
    <w:rsid w:val="000E7512"/>
    <w:rsid w:val="00102AAF"/>
    <w:rsid w:val="00104FEA"/>
    <w:rsid w:val="00113950"/>
    <w:rsid w:val="00116D46"/>
    <w:rsid w:val="0012124A"/>
    <w:rsid w:val="00134CCF"/>
    <w:rsid w:val="00134D5D"/>
    <w:rsid w:val="001465C2"/>
    <w:rsid w:val="00152C07"/>
    <w:rsid w:val="00155938"/>
    <w:rsid w:val="00155994"/>
    <w:rsid w:val="00157486"/>
    <w:rsid w:val="00172651"/>
    <w:rsid w:val="00185F49"/>
    <w:rsid w:val="00190DEB"/>
    <w:rsid w:val="00195542"/>
    <w:rsid w:val="001A540D"/>
    <w:rsid w:val="001A5A72"/>
    <w:rsid w:val="001A7D2B"/>
    <w:rsid w:val="001B2781"/>
    <w:rsid w:val="001B4F94"/>
    <w:rsid w:val="001B55A4"/>
    <w:rsid w:val="001B728C"/>
    <w:rsid w:val="001B7636"/>
    <w:rsid w:val="001E6B62"/>
    <w:rsid w:val="001E6CC4"/>
    <w:rsid w:val="001F1000"/>
    <w:rsid w:val="00202D2D"/>
    <w:rsid w:val="0020533F"/>
    <w:rsid w:val="00205366"/>
    <w:rsid w:val="00215BC3"/>
    <w:rsid w:val="002163E6"/>
    <w:rsid w:val="00220A66"/>
    <w:rsid w:val="00234CEB"/>
    <w:rsid w:val="002366F6"/>
    <w:rsid w:val="002423FC"/>
    <w:rsid w:val="00251A87"/>
    <w:rsid w:val="002546E5"/>
    <w:rsid w:val="00257594"/>
    <w:rsid w:val="00273E52"/>
    <w:rsid w:val="0028451D"/>
    <w:rsid w:val="00285ECC"/>
    <w:rsid w:val="002969CA"/>
    <w:rsid w:val="002B257F"/>
    <w:rsid w:val="002C094C"/>
    <w:rsid w:val="002C73DB"/>
    <w:rsid w:val="002D652B"/>
    <w:rsid w:val="002E1CB6"/>
    <w:rsid w:val="002F3E12"/>
    <w:rsid w:val="002F6FCE"/>
    <w:rsid w:val="00300005"/>
    <w:rsid w:val="00307C46"/>
    <w:rsid w:val="00341E22"/>
    <w:rsid w:val="00342683"/>
    <w:rsid w:val="0035161D"/>
    <w:rsid w:val="00366C29"/>
    <w:rsid w:val="003721B6"/>
    <w:rsid w:val="00384273"/>
    <w:rsid w:val="003C0D7C"/>
    <w:rsid w:val="003F5F1D"/>
    <w:rsid w:val="003F5FE6"/>
    <w:rsid w:val="00401B52"/>
    <w:rsid w:val="0041292C"/>
    <w:rsid w:val="00415806"/>
    <w:rsid w:val="004259F5"/>
    <w:rsid w:val="004477B4"/>
    <w:rsid w:val="00452C5E"/>
    <w:rsid w:val="00456B82"/>
    <w:rsid w:val="004638E5"/>
    <w:rsid w:val="00481ED1"/>
    <w:rsid w:val="0048578E"/>
    <w:rsid w:val="004B67EB"/>
    <w:rsid w:val="004B7184"/>
    <w:rsid w:val="004D1025"/>
    <w:rsid w:val="004D22B0"/>
    <w:rsid w:val="004D7595"/>
    <w:rsid w:val="004E6E3E"/>
    <w:rsid w:val="004F021E"/>
    <w:rsid w:val="004F40B8"/>
    <w:rsid w:val="004F76D0"/>
    <w:rsid w:val="00507A7B"/>
    <w:rsid w:val="005102C6"/>
    <w:rsid w:val="0052075F"/>
    <w:rsid w:val="0052766E"/>
    <w:rsid w:val="00541CC2"/>
    <w:rsid w:val="005466B6"/>
    <w:rsid w:val="00556FC4"/>
    <w:rsid w:val="00561F03"/>
    <w:rsid w:val="005654A2"/>
    <w:rsid w:val="00574E68"/>
    <w:rsid w:val="00582A5B"/>
    <w:rsid w:val="005872E2"/>
    <w:rsid w:val="005877C7"/>
    <w:rsid w:val="00590188"/>
    <w:rsid w:val="0059441E"/>
    <w:rsid w:val="00596A4C"/>
    <w:rsid w:val="005C58EE"/>
    <w:rsid w:val="005F2544"/>
    <w:rsid w:val="005F28B8"/>
    <w:rsid w:val="005F6098"/>
    <w:rsid w:val="005F71DC"/>
    <w:rsid w:val="006000C4"/>
    <w:rsid w:val="00615019"/>
    <w:rsid w:val="00622AAA"/>
    <w:rsid w:val="00634803"/>
    <w:rsid w:val="006403A2"/>
    <w:rsid w:val="006418B1"/>
    <w:rsid w:val="00650457"/>
    <w:rsid w:val="00656068"/>
    <w:rsid w:val="006771D3"/>
    <w:rsid w:val="0068283F"/>
    <w:rsid w:val="00685C68"/>
    <w:rsid w:val="006A56E4"/>
    <w:rsid w:val="006B06F1"/>
    <w:rsid w:val="006C4CAF"/>
    <w:rsid w:val="006C6792"/>
    <w:rsid w:val="006D2758"/>
    <w:rsid w:val="006E4526"/>
    <w:rsid w:val="006E6A0F"/>
    <w:rsid w:val="006E6D81"/>
    <w:rsid w:val="006E7ED1"/>
    <w:rsid w:val="006F0C77"/>
    <w:rsid w:val="006F3C8E"/>
    <w:rsid w:val="006F51CB"/>
    <w:rsid w:val="007072C1"/>
    <w:rsid w:val="007119B8"/>
    <w:rsid w:val="007154FA"/>
    <w:rsid w:val="007227C7"/>
    <w:rsid w:val="007249E9"/>
    <w:rsid w:val="00725E47"/>
    <w:rsid w:val="00727994"/>
    <w:rsid w:val="007341F8"/>
    <w:rsid w:val="007413CB"/>
    <w:rsid w:val="00763C95"/>
    <w:rsid w:val="00765EF9"/>
    <w:rsid w:val="007710E0"/>
    <w:rsid w:val="007825C5"/>
    <w:rsid w:val="0079430A"/>
    <w:rsid w:val="007A24B8"/>
    <w:rsid w:val="007A3BFD"/>
    <w:rsid w:val="007B1764"/>
    <w:rsid w:val="007B7D09"/>
    <w:rsid w:val="007C35D8"/>
    <w:rsid w:val="007C3B66"/>
    <w:rsid w:val="007C559D"/>
    <w:rsid w:val="007D5CA0"/>
    <w:rsid w:val="007E519F"/>
    <w:rsid w:val="007F17BD"/>
    <w:rsid w:val="007F6FC0"/>
    <w:rsid w:val="00801D7D"/>
    <w:rsid w:val="00824256"/>
    <w:rsid w:val="008277CE"/>
    <w:rsid w:val="008331A1"/>
    <w:rsid w:val="00834E12"/>
    <w:rsid w:val="00840C38"/>
    <w:rsid w:val="00841B34"/>
    <w:rsid w:val="00847A7D"/>
    <w:rsid w:val="00851437"/>
    <w:rsid w:val="00871B15"/>
    <w:rsid w:val="00875467"/>
    <w:rsid w:val="00884BE3"/>
    <w:rsid w:val="008928F3"/>
    <w:rsid w:val="008943C9"/>
    <w:rsid w:val="008A1C5E"/>
    <w:rsid w:val="008B19C6"/>
    <w:rsid w:val="008B527D"/>
    <w:rsid w:val="008D0174"/>
    <w:rsid w:val="008D57EA"/>
    <w:rsid w:val="008E44BD"/>
    <w:rsid w:val="008F04F2"/>
    <w:rsid w:val="008F0E43"/>
    <w:rsid w:val="008F58DC"/>
    <w:rsid w:val="008F7513"/>
    <w:rsid w:val="00902212"/>
    <w:rsid w:val="009053D0"/>
    <w:rsid w:val="00907430"/>
    <w:rsid w:val="00912210"/>
    <w:rsid w:val="0091437C"/>
    <w:rsid w:val="00920EDB"/>
    <w:rsid w:val="009270C5"/>
    <w:rsid w:val="00941CEE"/>
    <w:rsid w:val="009614CB"/>
    <w:rsid w:val="00962B1E"/>
    <w:rsid w:val="00963B1B"/>
    <w:rsid w:val="009705B5"/>
    <w:rsid w:val="00973CA4"/>
    <w:rsid w:val="00984BE2"/>
    <w:rsid w:val="00986395"/>
    <w:rsid w:val="00992764"/>
    <w:rsid w:val="00996193"/>
    <w:rsid w:val="009962B4"/>
    <w:rsid w:val="00996E7E"/>
    <w:rsid w:val="009A2D5E"/>
    <w:rsid w:val="009A3A71"/>
    <w:rsid w:val="009AA548"/>
    <w:rsid w:val="009B40B6"/>
    <w:rsid w:val="009C2D5B"/>
    <w:rsid w:val="009C5240"/>
    <w:rsid w:val="009D0536"/>
    <w:rsid w:val="009D321C"/>
    <w:rsid w:val="009D67E2"/>
    <w:rsid w:val="009D74CF"/>
    <w:rsid w:val="009E246B"/>
    <w:rsid w:val="009F5947"/>
    <w:rsid w:val="00A21211"/>
    <w:rsid w:val="00A3233F"/>
    <w:rsid w:val="00A3260C"/>
    <w:rsid w:val="00A47563"/>
    <w:rsid w:val="00A54AAB"/>
    <w:rsid w:val="00A67906"/>
    <w:rsid w:val="00A700BC"/>
    <w:rsid w:val="00A71368"/>
    <w:rsid w:val="00A772C3"/>
    <w:rsid w:val="00A778DA"/>
    <w:rsid w:val="00A80760"/>
    <w:rsid w:val="00A85F3B"/>
    <w:rsid w:val="00A87B6C"/>
    <w:rsid w:val="00A91D83"/>
    <w:rsid w:val="00AA0A61"/>
    <w:rsid w:val="00AA40CF"/>
    <w:rsid w:val="00AB0CFB"/>
    <w:rsid w:val="00AC2649"/>
    <w:rsid w:val="00AD2EFB"/>
    <w:rsid w:val="00AD6EC8"/>
    <w:rsid w:val="00AF10D5"/>
    <w:rsid w:val="00B21F7C"/>
    <w:rsid w:val="00B31641"/>
    <w:rsid w:val="00B37307"/>
    <w:rsid w:val="00B40ACB"/>
    <w:rsid w:val="00B51CAE"/>
    <w:rsid w:val="00B533C2"/>
    <w:rsid w:val="00B76F79"/>
    <w:rsid w:val="00B80850"/>
    <w:rsid w:val="00B92E4D"/>
    <w:rsid w:val="00B9565D"/>
    <w:rsid w:val="00BA0E04"/>
    <w:rsid w:val="00BA1A84"/>
    <w:rsid w:val="00BB3D6E"/>
    <w:rsid w:val="00BB7076"/>
    <w:rsid w:val="00BC04D1"/>
    <w:rsid w:val="00BD7333"/>
    <w:rsid w:val="00BE0FBE"/>
    <w:rsid w:val="00BE4E82"/>
    <w:rsid w:val="00BF5EDE"/>
    <w:rsid w:val="00C05229"/>
    <w:rsid w:val="00C17705"/>
    <w:rsid w:val="00C221BD"/>
    <w:rsid w:val="00C2571A"/>
    <w:rsid w:val="00C464BF"/>
    <w:rsid w:val="00C5D9DD"/>
    <w:rsid w:val="00C613AE"/>
    <w:rsid w:val="00C7738A"/>
    <w:rsid w:val="00C87E25"/>
    <w:rsid w:val="00CA14A6"/>
    <w:rsid w:val="00CA7102"/>
    <w:rsid w:val="00CA764F"/>
    <w:rsid w:val="00CB4B04"/>
    <w:rsid w:val="00CB77C3"/>
    <w:rsid w:val="00CC27A6"/>
    <w:rsid w:val="00CC2BB7"/>
    <w:rsid w:val="00CC7684"/>
    <w:rsid w:val="00CC7776"/>
    <w:rsid w:val="00CE40C2"/>
    <w:rsid w:val="00CE6940"/>
    <w:rsid w:val="00CF00E7"/>
    <w:rsid w:val="00CF2C51"/>
    <w:rsid w:val="00CF53C3"/>
    <w:rsid w:val="00D00BC5"/>
    <w:rsid w:val="00D032C7"/>
    <w:rsid w:val="00D03F9B"/>
    <w:rsid w:val="00D14D7F"/>
    <w:rsid w:val="00D253DB"/>
    <w:rsid w:val="00D33318"/>
    <w:rsid w:val="00D33535"/>
    <w:rsid w:val="00D47396"/>
    <w:rsid w:val="00D47F53"/>
    <w:rsid w:val="00D5310C"/>
    <w:rsid w:val="00D61B2B"/>
    <w:rsid w:val="00D65718"/>
    <w:rsid w:val="00D65EF8"/>
    <w:rsid w:val="00D72A6B"/>
    <w:rsid w:val="00D74EA5"/>
    <w:rsid w:val="00D77268"/>
    <w:rsid w:val="00D8007A"/>
    <w:rsid w:val="00D8640A"/>
    <w:rsid w:val="00D94863"/>
    <w:rsid w:val="00DA116A"/>
    <w:rsid w:val="00DA66A4"/>
    <w:rsid w:val="00DB7775"/>
    <w:rsid w:val="00DC563A"/>
    <w:rsid w:val="00DE7ED1"/>
    <w:rsid w:val="00DF0C1A"/>
    <w:rsid w:val="00E02AA8"/>
    <w:rsid w:val="00E02EA7"/>
    <w:rsid w:val="00E16241"/>
    <w:rsid w:val="00E22E89"/>
    <w:rsid w:val="00E521A5"/>
    <w:rsid w:val="00E5549D"/>
    <w:rsid w:val="00E70272"/>
    <w:rsid w:val="00E732E6"/>
    <w:rsid w:val="00E84CD6"/>
    <w:rsid w:val="00E859DF"/>
    <w:rsid w:val="00E95670"/>
    <w:rsid w:val="00EA0C7A"/>
    <w:rsid w:val="00EA27D8"/>
    <w:rsid w:val="00EA2D7F"/>
    <w:rsid w:val="00EA2FF9"/>
    <w:rsid w:val="00EA3FD8"/>
    <w:rsid w:val="00EC0D30"/>
    <w:rsid w:val="00EC4BFA"/>
    <w:rsid w:val="00EF6120"/>
    <w:rsid w:val="00EF730B"/>
    <w:rsid w:val="00EF7AE0"/>
    <w:rsid w:val="00F02A53"/>
    <w:rsid w:val="00F06915"/>
    <w:rsid w:val="00F10928"/>
    <w:rsid w:val="00F10AE3"/>
    <w:rsid w:val="00F27C80"/>
    <w:rsid w:val="00F34357"/>
    <w:rsid w:val="00F36253"/>
    <w:rsid w:val="00F47F88"/>
    <w:rsid w:val="00F51E60"/>
    <w:rsid w:val="00F5272B"/>
    <w:rsid w:val="00F73105"/>
    <w:rsid w:val="00F9572C"/>
    <w:rsid w:val="00F96FFA"/>
    <w:rsid w:val="00FA004B"/>
    <w:rsid w:val="00FA2B96"/>
    <w:rsid w:val="00FA4FD1"/>
    <w:rsid w:val="00FB4B4B"/>
    <w:rsid w:val="00FC53A7"/>
    <w:rsid w:val="00FC60BD"/>
    <w:rsid w:val="00FD53E2"/>
    <w:rsid w:val="00FD5A2A"/>
    <w:rsid w:val="00FD637F"/>
    <w:rsid w:val="00FF2399"/>
    <w:rsid w:val="013918E9"/>
    <w:rsid w:val="01537ACE"/>
    <w:rsid w:val="0173DE1D"/>
    <w:rsid w:val="01742A14"/>
    <w:rsid w:val="0187744F"/>
    <w:rsid w:val="019D34CB"/>
    <w:rsid w:val="01A66F7B"/>
    <w:rsid w:val="01B92103"/>
    <w:rsid w:val="01F90979"/>
    <w:rsid w:val="0219C5AD"/>
    <w:rsid w:val="022A9427"/>
    <w:rsid w:val="023D7F3B"/>
    <w:rsid w:val="0313EBEC"/>
    <w:rsid w:val="0316863A"/>
    <w:rsid w:val="032E7FA7"/>
    <w:rsid w:val="03440644"/>
    <w:rsid w:val="036B6D65"/>
    <w:rsid w:val="036D3652"/>
    <w:rsid w:val="036F2078"/>
    <w:rsid w:val="0388FC74"/>
    <w:rsid w:val="03D11DEB"/>
    <w:rsid w:val="03E810E8"/>
    <w:rsid w:val="0400963A"/>
    <w:rsid w:val="041F0581"/>
    <w:rsid w:val="0445369A"/>
    <w:rsid w:val="047F7AF7"/>
    <w:rsid w:val="0496621A"/>
    <w:rsid w:val="04A7CFC2"/>
    <w:rsid w:val="04D09F6D"/>
    <w:rsid w:val="04EB7B1B"/>
    <w:rsid w:val="0562152F"/>
    <w:rsid w:val="05E75D6A"/>
    <w:rsid w:val="06209202"/>
    <w:rsid w:val="0625D9E7"/>
    <w:rsid w:val="062AF618"/>
    <w:rsid w:val="06401353"/>
    <w:rsid w:val="06952C54"/>
    <w:rsid w:val="06C3756C"/>
    <w:rsid w:val="070AF978"/>
    <w:rsid w:val="073748F5"/>
    <w:rsid w:val="07392B5D"/>
    <w:rsid w:val="074B6B0C"/>
    <w:rsid w:val="0775C2ED"/>
    <w:rsid w:val="07D2DE64"/>
    <w:rsid w:val="07F5BC39"/>
    <w:rsid w:val="0814820F"/>
    <w:rsid w:val="081B31D7"/>
    <w:rsid w:val="08249949"/>
    <w:rsid w:val="085E952F"/>
    <w:rsid w:val="08A0BAA0"/>
    <w:rsid w:val="08BC5DA7"/>
    <w:rsid w:val="08BE240F"/>
    <w:rsid w:val="08CFB992"/>
    <w:rsid w:val="08D49693"/>
    <w:rsid w:val="08E33F5E"/>
    <w:rsid w:val="08E5D9AC"/>
    <w:rsid w:val="08F810A2"/>
    <w:rsid w:val="090078FA"/>
    <w:rsid w:val="09111FD9"/>
    <w:rsid w:val="092A0DB7"/>
    <w:rsid w:val="0976226D"/>
    <w:rsid w:val="09873FAA"/>
    <w:rsid w:val="09AC07A5"/>
    <w:rsid w:val="09E6A991"/>
    <w:rsid w:val="0A04BEC9"/>
    <w:rsid w:val="0A3339B7"/>
    <w:rsid w:val="0A358FE1"/>
    <w:rsid w:val="0A52FC4E"/>
    <w:rsid w:val="0A601A93"/>
    <w:rsid w:val="0A9950F1"/>
    <w:rsid w:val="0A9F7B21"/>
    <w:rsid w:val="0ABFB090"/>
    <w:rsid w:val="0AC4F0BF"/>
    <w:rsid w:val="0AE6182A"/>
    <w:rsid w:val="0B43F0A0"/>
    <w:rsid w:val="0B50A78A"/>
    <w:rsid w:val="0BB0366A"/>
    <w:rsid w:val="0BD7EC07"/>
    <w:rsid w:val="0BDD011B"/>
    <w:rsid w:val="0C2E9C1F"/>
    <w:rsid w:val="0C815B36"/>
    <w:rsid w:val="0CA976B5"/>
    <w:rsid w:val="0CC65225"/>
    <w:rsid w:val="0CD8BBEC"/>
    <w:rsid w:val="0CE310EF"/>
    <w:rsid w:val="0CF08288"/>
    <w:rsid w:val="0D390FE4"/>
    <w:rsid w:val="0D9C3D89"/>
    <w:rsid w:val="0DAF289D"/>
    <w:rsid w:val="0DC1B327"/>
    <w:rsid w:val="0DCC6239"/>
    <w:rsid w:val="0DD9E0EF"/>
    <w:rsid w:val="0DDC261F"/>
    <w:rsid w:val="0DE93DA9"/>
    <w:rsid w:val="0DFE6551"/>
    <w:rsid w:val="0E18E10C"/>
    <w:rsid w:val="0E817106"/>
    <w:rsid w:val="0EB641ED"/>
    <w:rsid w:val="0EBA4232"/>
    <w:rsid w:val="0F3F1AFC"/>
    <w:rsid w:val="0F72EC44"/>
    <w:rsid w:val="0FBDAC65"/>
    <w:rsid w:val="0FBDD780"/>
    <w:rsid w:val="0FE4340D"/>
    <w:rsid w:val="102602D3"/>
    <w:rsid w:val="10941916"/>
    <w:rsid w:val="1099B354"/>
    <w:rsid w:val="10CC9FE0"/>
    <w:rsid w:val="11306905"/>
    <w:rsid w:val="114AD1A5"/>
    <w:rsid w:val="11718B23"/>
    <w:rsid w:val="1180532A"/>
    <w:rsid w:val="11A4A52B"/>
    <w:rsid w:val="11AADD1B"/>
    <w:rsid w:val="11C1DEC7"/>
    <w:rsid w:val="11FC26A4"/>
    <w:rsid w:val="1231F6A5"/>
    <w:rsid w:val="1246793D"/>
    <w:rsid w:val="125948D6"/>
    <w:rsid w:val="1295A597"/>
    <w:rsid w:val="12C9AC35"/>
    <w:rsid w:val="12CF1EE9"/>
    <w:rsid w:val="1321DE4C"/>
    <w:rsid w:val="13415F9D"/>
    <w:rsid w:val="134C0EAF"/>
    <w:rsid w:val="135203F7"/>
    <w:rsid w:val="1368EA1F"/>
    <w:rsid w:val="137B53E6"/>
    <w:rsid w:val="13B086EF"/>
    <w:rsid w:val="13DD8471"/>
    <w:rsid w:val="1451C097"/>
    <w:rsid w:val="14719C37"/>
    <w:rsid w:val="147A203A"/>
    <w:rsid w:val="149684B5"/>
    <w:rsid w:val="14E23A3A"/>
    <w:rsid w:val="14F162B2"/>
    <w:rsid w:val="14F4C5E2"/>
    <w:rsid w:val="14F96AA6"/>
    <w:rsid w:val="150015ED"/>
    <w:rsid w:val="15066442"/>
    <w:rsid w:val="1525E593"/>
    <w:rsid w:val="154566E4"/>
    <w:rsid w:val="15602D70"/>
    <w:rsid w:val="15755354"/>
    <w:rsid w:val="158CFFD7"/>
    <w:rsid w:val="1593DA18"/>
    <w:rsid w:val="15970E9F"/>
    <w:rsid w:val="159CFA48"/>
    <w:rsid w:val="15E56AB3"/>
    <w:rsid w:val="15F949DA"/>
    <w:rsid w:val="16369A21"/>
    <w:rsid w:val="1659D540"/>
    <w:rsid w:val="16B34029"/>
    <w:rsid w:val="16F45FC2"/>
    <w:rsid w:val="16F50D65"/>
    <w:rsid w:val="16FC26BB"/>
    <w:rsid w:val="16FFBC77"/>
    <w:rsid w:val="171EB7A3"/>
    <w:rsid w:val="1743D2F2"/>
    <w:rsid w:val="175D38B8"/>
    <w:rsid w:val="1765C463"/>
    <w:rsid w:val="176AC313"/>
    <w:rsid w:val="177692EB"/>
    <w:rsid w:val="17C4268D"/>
    <w:rsid w:val="17CF2D29"/>
    <w:rsid w:val="180D48DC"/>
    <w:rsid w:val="18473D25"/>
    <w:rsid w:val="186476C1"/>
    <w:rsid w:val="188F50EA"/>
    <w:rsid w:val="18A7AE78"/>
    <w:rsid w:val="18BEEB24"/>
    <w:rsid w:val="190FAE66"/>
    <w:rsid w:val="19162232"/>
    <w:rsid w:val="191AB579"/>
    <w:rsid w:val="192A7569"/>
    <w:rsid w:val="193AE372"/>
    <w:rsid w:val="19517E9E"/>
    <w:rsid w:val="195772EB"/>
    <w:rsid w:val="1957BEE2"/>
    <w:rsid w:val="1978DE62"/>
    <w:rsid w:val="19DB20FB"/>
    <w:rsid w:val="19F94732"/>
    <w:rsid w:val="1A13F227"/>
    <w:rsid w:val="1A15FF55"/>
    <w:rsid w:val="1A35F736"/>
    <w:rsid w:val="1A503242"/>
    <w:rsid w:val="1A816801"/>
    <w:rsid w:val="1ABD8C71"/>
    <w:rsid w:val="1ACB08A2"/>
    <w:rsid w:val="1AF53905"/>
    <w:rsid w:val="1B14BA56"/>
    <w:rsid w:val="1B613929"/>
    <w:rsid w:val="1B72F539"/>
    <w:rsid w:val="1BA308EA"/>
    <w:rsid w:val="1BB21B37"/>
    <w:rsid w:val="1C2246BB"/>
    <w:rsid w:val="1C5A7597"/>
    <w:rsid w:val="1C7974A0"/>
    <w:rsid w:val="1C8064E2"/>
    <w:rsid w:val="1C817012"/>
    <w:rsid w:val="1C9B8B25"/>
    <w:rsid w:val="1CC763D6"/>
    <w:rsid w:val="1CD3F1EC"/>
    <w:rsid w:val="1D0956CB"/>
    <w:rsid w:val="1D132664"/>
    <w:rsid w:val="1D64E8E6"/>
    <w:rsid w:val="1DA73674"/>
    <w:rsid w:val="1DDC9C4E"/>
    <w:rsid w:val="1DE20B71"/>
    <w:rsid w:val="1DFF7A23"/>
    <w:rsid w:val="1E0426D0"/>
    <w:rsid w:val="1E44C7A1"/>
    <w:rsid w:val="1E78C122"/>
    <w:rsid w:val="1E983F0B"/>
    <w:rsid w:val="1EB487B0"/>
    <w:rsid w:val="1EFD085A"/>
    <w:rsid w:val="1EFF8B2C"/>
    <w:rsid w:val="1F0A36E4"/>
    <w:rsid w:val="1F254BEC"/>
    <w:rsid w:val="1F595005"/>
    <w:rsid w:val="1F7A4EC2"/>
    <w:rsid w:val="1F8BBCAA"/>
    <w:rsid w:val="1F9BACA6"/>
    <w:rsid w:val="1FC041D0"/>
    <w:rsid w:val="1FD0B399"/>
    <w:rsid w:val="1FD95107"/>
    <w:rsid w:val="1FDD7C67"/>
    <w:rsid w:val="20120452"/>
    <w:rsid w:val="203F4DCB"/>
    <w:rsid w:val="204DDD41"/>
    <w:rsid w:val="20529806"/>
    <w:rsid w:val="205BB08E"/>
    <w:rsid w:val="205CBA38"/>
    <w:rsid w:val="205D8B3C"/>
    <w:rsid w:val="2072D175"/>
    <w:rsid w:val="209092F6"/>
    <w:rsid w:val="20B4C3B9"/>
    <w:rsid w:val="20F5B7DE"/>
    <w:rsid w:val="20FB8110"/>
    <w:rsid w:val="218F9C73"/>
    <w:rsid w:val="2191D21A"/>
    <w:rsid w:val="21991C95"/>
    <w:rsid w:val="21A51B5A"/>
    <w:rsid w:val="22689FF8"/>
    <w:rsid w:val="2269EF48"/>
    <w:rsid w:val="226E3DB0"/>
    <w:rsid w:val="23343C58"/>
    <w:rsid w:val="2342CDCE"/>
    <w:rsid w:val="236185D1"/>
    <w:rsid w:val="2393CB38"/>
    <w:rsid w:val="23A409F0"/>
    <w:rsid w:val="23A7464E"/>
    <w:rsid w:val="23D62023"/>
    <w:rsid w:val="24162FB1"/>
    <w:rsid w:val="2417EFE4"/>
    <w:rsid w:val="24229EF6"/>
    <w:rsid w:val="243CB7DF"/>
    <w:rsid w:val="243DE521"/>
    <w:rsid w:val="24463801"/>
    <w:rsid w:val="2498F6A2"/>
    <w:rsid w:val="24B13C06"/>
    <w:rsid w:val="24B1CF59"/>
    <w:rsid w:val="2535C1BC"/>
    <w:rsid w:val="25C87C59"/>
    <w:rsid w:val="2663BA3E"/>
    <w:rsid w:val="266601F3"/>
    <w:rsid w:val="267673BC"/>
    <w:rsid w:val="268095AE"/>
    <w:rsid w:val="26833B8F"/>
    <w:rsid w:val="26892FDC"/>
    <w:rsid w:val="268B12EA"/>
    <w:rsid w:val="269DD700"/>
    <w:rsid w:val="26BF4C59"/>
    <w:rsid w:val="2708420C"/>
    <w:rsid w:val="271F87A1"/>
    <w:rsid w:val="273A26EF"/>
    <w:rsid w:val="2752AC41"/>
    <w:rsid w:val="27548F8F"/>
    <w:rsid w:val="275E5772"/>
    <w:rsid w:val="275F9C8D"/>
    <w:rsid w:val="27711B88"/>
    <w:rsid w:val="27A16C4E"/>
    <w:rsid w:val="27A3353B"/>
    <w:rsid w:val="27C68C08"/>
    <w:rsid w:val="27C8F6D0"/>
    <w:rsid w:val="27D190FE"/>
    <w:rsid w:val="283BB48F"/>
    <w:rsid w:val="285DEE0F"/>
    <w:rsid w:val="2861C1A5"/>
    <w:rsid w:val="286306C0"/>
    <w:rsid w:val="2881A79D"/>
    <w:rsid w:val="28FA27D3"/>
    <w:rsid w:val="29508CAA"/>
    <w:rsid w:val="29615842"/>
    <w:rsid w:val="2972A809"/>
    <w:rsid w:val="2977EFEE"/>
    <w:rsid w:val="297D0C1F"/>
    <w:rsid w:val="29E7425B"/>
    <w:rsid w:val="29EB6A48"/>
    <w:rsid w:val="2A039C7E"/>
    <w:rsid w:val="2A366332"/>
    <w:rsid w:val="2A5B7E81"/>
    <w:rsid w:val="2A84F21B"/>
    <w:rsid w:val="2B4C7EED"/>
    <w:rsid w:val="2B76AF50"/>
    <w:rsid w:val="2B76FFBC"/>
    <w:rsid w:val="2B87BDFD"/>
    <w:rsid w:val="2BA5E0C2"/>
    <w:rsid w:val="2BBC5E7A"/>
    <w:rsid w:val="2BC1193F"/>
    <w:rsid w:val="2BDA58F4"/>
    <w:rsid w:val="2C2FB69A"/>
    <w:rsid w:val="2C37EFB3"/>
    <w:rsid w:val="2C3D04C7"/>
    <w:rsid w:val="2C6D558D"/>
    <w:rsid w:val="2C8CD6DE"/>
    <w:rsid w:val="2CB29661"/>
    <w:rsid w:val="2CDEEC12"/>
    <w:rsid w:val="2CE404C3"/>
    <w:rsid w:val="2CE997FD"/>
    <w:rsid w:val="2D25D484"/>
    <w:rsid w:val="2D2655D1"/>
    <w:rsid w:val="2D28758D"/>
    <w:rsid w:val="2D5A5C6F"/>
    <w:rsid w:val="2D7F02C4"/>
    <w:rsid w:val="2D87A5E8"/>
    <w:rsid w:val="2DB7CB93"/>
    <w:rsid w:val="2DCC9CD7"/>
    <w:rsid w:val="2DD014CC"/>
    <w:rsid w:val="2DD8EB13"/>
    <w:rsid w:val="2DFC403A"/>
    <w:rsid w:val="2E3E9148"/>
    <w:rsid w:val="2E4662CB"/>
    <w:rsid w:val="2E56BD86"/>
    <w:rsid w:val="2E6E34AB"/>
    <w:rsid w:val="2E6FA77F"/>
    <w:rsid w:val="2E76221D"/>
    <w:rsid w:val="2E83BB08"/>
    <w:rsid w:val="2EC002AB"/>
    <w:rsid w:val="2F0315BF"/>
    <w:rsid w:val="2F059EBA"/>
    <w:rsid w:val="2F7EE939"/>
    <w:rsid w:val="2F8C077E"/>
    <w:rsid w:val="2FB695CD"/>
    <w:rsid w:val="302360D0"/>
    <w:rsid w:val="30480B8F"/>
    <w:rsid w:val="3062D21B"/>
    <w:rsid w:val="30B78E97"/>
    <w:rsid w:val="30BB4B96"/>
    <w:rsid w:val="31160FE8"/>
    <w:rsid w:val="3136FD92"/>
    <w:rsid w:val="31604801"/>
    <w:rsid w:val="318E901E"/>
    <w:rsid w:val="3194CFEC"/>
    <w:rsid w:val="31ED0203"/>
    <w:rsid w:val="31F45ECC"/>
    <w:rsid w:val="31F99423"/>
    <w:rsid w:val="321F4B5C"/>
    <w:rsid w:val="32292AF8"/>
    <w:rsid w:val="3246779D"/>
    <w:rsid w:val="32788378"/>
    <w:rsid w:val="32847E20"/>
    <w:rsid w:val="32A8A828"/>
    <w:rsid w:val="331314B5"/>
    <w:rsid w:val="331CE44E"/>
    <w:rsid w:val="33401237"/>
    <w:rsid w:val="33506D95"/>
    <w:rsid w:val="335EE6E0"/>
    <w:rsid w:val="336EA6D0"/>
    <w:rsid w:val="33D0A479"/>
    <w:rsid w:val="33E62F1D"/>
    <w:rsid w:val="345E42B1"/>
    <w:rsid w:val="34A7F4AA"/>
    <w:rsid w:val="34DA23E6"/>
    <w:rsid w:val="34E67127"/>
    <w:rsid w:val="34FE6A94"/>
    <w:rsid w:val="35145DDE"/>
    <w:rsid w:val="3533D464"/>
    <w:rsid w:val="35423DE6"/>
    <w:rsid w:val="355EE00A"/>
    <w:rsid w:val="35840CAC"/>
    <w:rsid w:val="359ABB7E"/>
    <w:rsid w:val="35A4E46B"/>
    <w:rsid w:val="35A56A90"/>
    <w:rsid w:val="35AB5EDD"/>
    <w:rsid w:val="35E7BB9E"/>
    <w:rsid w:val="35F7E035"/>
    <w:rsid w:val="361BC23C"/>
    <w:rsid w:val="369E24B6"/>
    <w:rsid w:val="372896C9"/>
    <w:rsid w:val="372F9A78"/>
    <w:rsid w:val="3769E3F1"/>
    <w:rsid w:val="37C3B23E"/>
    <w:rsid w:val="37D1B719"/>
    <w:rsid w:val="37E49F39"/>
    <w:rsid w:val="37F59920"/>
    <w:rsid w:val="3877FB9A"/>
    <w:rsid w:val="3879D424"/>
    <w:rsid w:val="3894D70A"/>
    <w:rsid w:val="38DA00CA"/>
    <w:rsid w:val="3904B697"/>
    <w:rsid w:val="3909715C"/>
    <w:rsid w:val="3929CE49"/>
    <w:rsid w:val="39563AB8"/>
    <w:rsid w:val="397EB3BC"/>
    <w:rsid w:val="3988B028"/>
    <w:rsid w:val="39A0DB6B"/>
    <w:rsid w:val="39D1A2B9"/>
    <w:rsid w:val="39DFDE0D"/>
    <w:rsid w:val="39E47B6F"/>
    <w:rsid w:val="3A113ECA"/>
    <w:rsid w:val="3A2C5CE0"/>
    <w:rsid w:val="3A3B24A7"/>
    <w:rsid w:val="3A51D27E"/>
    <w:rsid w:val="3A61E8FD"/>
    <w:rsid w:val="3A6E2CA1"/>
    <w:rsid w:val="3AC3C974"/>
    <w:rsid w:val="3ACDE921"/>
    <w:rsid w:val="3AE34840"/>
    <w:rsid w:val="3AFA88B7"/>
    <w:rsid w:val="3B002F67"/>
    <w:rsid w:val="3B14F4F4"/>
    <w:rsid w:val="3B163C94"/>
    <w:rsid w:val="3B214330"/>
    <w:rsid w:val="3B39E945"/>
    <w:rsid w:val="3B4573B3"/>
    <w:rsid w:val="3B5F5EE3"/>
    <w:rsid w:val="3B62212D"/>
    <w:rsid w:val="3B75999E"/>
    <w:rsid w:val="3B7CC773"/>
    <w:rsid w:val="3B866818"/>
    <w:rsid w:val="3B8C314A"/>
    <w:rsid w:val="3BB76864"/>
    <w:rsid w:val="3BE166F1"/>
    <w:rsid w:val="3C204CAD"/>
    <w:rsid w:val="3C5CD4C9"/>
    <w:rsid w:val="3C6FBFDD"/>
    <w:rsid w:val="3CBC662E"/>
    <w:rsid w:val="3CCAF469"/>
    <w:rsid w:val="3D1460E8"/>
    <w:rsid w:val="3D1D370D"/>
    <w:rsid w:val="3D68155C"/>
    <w:rsid w:val="3D695A77"/>
    <w:rsid w:val="3D75C45E"/>
    <w:rsid w:val="3DDB4EE8"/>
    <w:rsid w:val="3DF2360B"/>
    <w:rsid w:val="3DF9F66C"/>
    <w:rsid w:val="3E2BFBA0"/>
    <w:rsid w:val="3E37F648"/>
    <w:rsid w:val="3E474F0C"/>
    <w:rsid w:val="3E4996C1"/>
    <w:rsid w:val="3E66D05D"/>
    <w:rsid w:val="3E67ABF9"/>
    <w:rsid w:val="3E6ED9CE"/>
    <w:rsid w:val="3E769443"/>
    <w:rsid w:val="3E792E91"/>
    <w:rsid w:val="3E7E43A5"/>
    <w:rsid w:val="3E8B6587"/>
    <w:rsid w:val="3EA4CB4D"/>
    <w:rsid w:val="3EB34F30"/>
    <w:rsid w:val="3EF4829A"/>
    <w:rsid w:val="3F0A7182"/>
    <w:rsid w:val="3F125F08"/>
    <w:rsid w:val="3F1BDF2A"/>
    <w:rsid w:val="3F36410F"/>
    <w:rsid w:val="3F43315B"/>
    <w:rsid w:val="3F91C512"/>
    <w:rsid w:val="3F9AC620"/>
    <w:rsid w:val="3F9BE744"/>
    <w:rsid w:val="3FD6BC01"/>
    <w:rsid w:val="3FF10045"/>
    <w:rsid w:val="400D5A68"/>
    <w:rsid w:val="4015C93B"/>
    <w:rsid w:val="403974A1"/>
    <w:rsid w:val="4040211C"/>
    <w:rsid w:val="407EA231"/>
    <w:rsid w:val="40A73EFD"/>
    <w:rsid w:val="40B8FC2F"/>
    <w:rsid w:val="40D8610D"/>
    <w:rsid w:val="4106F917"/>
    <w:rsid w:val="4114C765"/>
    <w:rsid w:val="4117571B"/>
    <w:rsid w:val="411BC324"/>
    <w:rsid w:val="4151902A"/>
    <w:rsid w:val="4175BE28"/>
    <w:rsid w:val="41806D3A"/>
    <w:rsid w:val="4246C2B1"/>
    <w:rsid w:val="425C4CEB"/>
    <w:rsid w:val="426CF3CA"/>
    <w:rsid w:val="429694C8"/>
    <w:rsid w:val="42C5648D"/>
    <w:rsid w:val="42CC64C9"/>
    <w:rsid w:val="42E3139B"/>
    <w:rsid w:val="4307DB96"/>
    <w:rsid w:val="432B670E"/>
    <w:rsid w:val="432BBD9D"/>
    <w:rsid w:val="432F926E"/>
    <w:rsid w:val="43403852"/>
    <w:rsid w:val="43427D82"/>
    <w:rsid w:val="434517D0"/>
    <w:rsid w:val="434A2CE4"/>
    <w:rsid w:val="43748862"/>
    <w:rsid w:val="439163D2"/>
    <w:rsid w:val="43E67CD3"/>
    <w:rsid w:val="4401435F"/>
    <w:rsid w:val="441B8481"/>
    <w:rsid w:val="44242134"/>
    <w:rsid w:val="444D9717"/>
    <w:rsid w:val="4486E2D5"/>
    <w:rsid w:val="44A63BAD"/>
    <w:rsid w:val="44AC7B7B"/>
    <w:rsid w:val="45294194"/>
    <w:rsid w:val="457CA85E"/>
    <w:rsid w:val="4595C568"/>
    <w:rsid w:val="45A30492"/>
    <w:rsid w:val="45DB1A43"/>
    <w:rsid w:val="46276DFB"/>
    <w:rsid w:val="4652A515"/>
    <w:rsid w:val="465A2CB9"/>
    <w:rsid w:val="466C9005"/>
    <w:rsid w:val="4694E3D5"/>
    <w:rsid w:val="46A4C94E"/>
    <w:rsid w:val="46E6AA8D"/>
    <w:rsid w:val="46F61FF7"/>
    <w:rsid w:val="46FAB283"/>
    <w:rsid w:val="470AFC8E"/>
    <w:rsid w:val="474FE82A"/>
    <w:rsid w:val="4774B4FD"/>
    <w:rsid w:val="478ECDE6"/>
    <w:rsid w:val="47B3E10C"/>
    <w:rsid w:val="47DD44F7"/>
    <w:rsid w:val="480B3E98"/>
    <w:rsid w:val="4811010F"/>
    <w:rsid w:val="48824162"/>
    <w:rsid w:val="48C7B00F"/>
    <w:rsid w:val="490F8BC4"/>
    <w:rsid w:val="4919AB71"/>
    <w:rsid w:val="494007FE"/>
    <w:rsid w:val="49566163"/>
    <w:rsid w:val="4968A4CA"/>
    <w:rsid w:val="497E23B1"/>
    <w:rsid w:val="497F771D"/>
    <w:rsid w:val="4981D6C4"/>
    <w:rsid w:val="49BAB248"/>
    <w:rsid w:val="49D55196"/>
    <w:rsid w:val="49DB45E3"/>
    <w:rsid w:val="49FAC734"/>
    <w:rsid w:val="4A06D68B"/>
    <w:rsid w:val="4A116260"/>
    <w:rsid w:val="4A6812EE"/>
    <w:rsid w:val="4AA6A596"/>
    <w:rsid w:val="4AA89719"/>
    <w:rsid w:val="4ACBF3F6"/>
    <w:rsid w:val="4ADB5DCD"/>
    <w:rsid w:val="4AE9B500"/>
    <w:rsid w:val="4AED8E08"/>
    <w:rsid w:val="4AF54B42"/>
    <w:rsid w:val="4B3A8E28"/>
    <w:rsid w:val="4B4BFBD0"/>
    <w:rsid w:val="4B6B0CE7"/>
    <w:rsid w:val="4BA6C022"/>
    <w:rsid w:val="4BAF287A"/>
    <w:rsid w:val="4BB00416"/>
    <w:rsid w:val="4BB51CC7"/>
    <w:rsid w:val="4BD3BDA4"/>
    <w:rsid w:val="4C15C036"/>
    <w:rsid w:val="4C1BA9EB"/>
    <w:rsid w:val="4C258026"/>
    <w:rsid w:val="4C30AE40"/>
    <w:rsid w:val="4C70360C"/>
    <w:rsid w:val="4C866D45"/>
    <w:rsid w:val="4C99082E"/>
    <w:rsid w:val="4C9A218C"/>
    <w:rsid w:val="4CA7E2A0"/>
    <w:rsid w:val="4CAA2A55"/>
    <w:rsid w:val="4CCA05F5"/>
    <w:rsid w:val="4CD727D7"/>
    <w:rsid w:val="4CE43F61"/>
    <w:rsid w:val="4CEF2144"/>
    <w:rsid w:val="4D1D01BF"/>
    <w:rsid w:val="4D28EA59"/>
    <w:rsid w:val="4D55B285"/>
    <w:rsid w:val="4D73A03F"/>
    <w:rsid w:val="4DC6FA4E"/>
    <w:rsid w:val="4DD78DC9"/>
    <w:rsid w:val="4E0FC513"/>
    <w:rsid w:val="4E3B4215"/>
    <w:rsid w:val="4E765CCF"/>
    <w:rsid w:val="4E81B984"/>
    <w:rsid w:val="4E9E94F4"/>
    <w:rsid w:val="4EB39909"/>
    <w:rsid w:val="4EB8AE1D"/>
    <w:rsid w:val="4EBF5DE5"/>
    <w:rsid w:val="4EC8C557"/>
    <w:rsid w:val="4EE3C574"/>
    <w:rsid w:val="4F132F46"/>
    <w:rsid w:val="4F1BEA3D"/>
    <w:rsid w:val="4F44A1C6"/>
    <w:rsid w:val="4F62501D"/>
    <w:rsid w:val="4F67B78A"/>
    <w:rsid w:val="4F7C56B8"/>
    <w:rsid w:val="4F876B6C"/>
    <w:rsid w:val="4F8A05BA"/>
    <w:rsid w:val="4FA4A508"/>
    <w:rsid w:val="4FC13481"/>
    <w:rsid w:val="4FDEECE5"/>
    <w:rsid w:val="502C1B28"/>
    <w:rsid w:val="50361ACA"/>
    <w:rsid w:val="507A8B94"/>
    <w:rsid w:val="508AD59F"/>
    <w:rsid w:val="509FA6E3"/>
    <w:rsid w:val="50D266DC"/>
    <w:rsid w:val="50D9BBEF"/>
    <w:rsid w:val="50F7285C"/>
    <w:rsid w:val="5109E19A"/>
    <w:rsid w:val="5143A72F"/>
    <w:rsid w:val="51C04AB2"/>
    <w:rsid w:val="51DB113E"/>
    <w:rsid w:val="51FE92F0"/>
    <w:rsid w:val="52221D11"/>
    <w:rsid w:val="523270AF"/>
    <w:rsid w:val="52941182"/>
    <w:rsid w:val="52B392D3"/>
    <w:rsid w:val="52C5007B"/>
    <w:rsid w:val="52D2C82D"/>
    <w:rsid w:val="52F6D711"/>
    <w:rsid w:val="5308ABD4"/>
    <w:rsid w:val="5342F3B1"/>
    <w:rsid w:val="5371D346"/>
    <w:rsid w:val="537216E5"/>
    <w:rsid w:val="53F5B3B1"/>
    <w:rsid w:val="53FCBD43"/>
    <w:rsid w:val="54196062"/>
    <w:rsid w:val="5455EEF9"/>
    <w:rsid w:val="547E0CFD"/>
    <w:rsid w:val="54BD0D1A"/>
    <w:rsid w:val="54D72603"/>
    <w:rsid w:val="55174DF1"/>
    <w:rsid w:val="55326CDD"/>
    <w:rsid w:val="554674D3"/>
    <w:rsid w:val="555A6DFB"/>
    <w:rsid w:val="55A5A52E"/>
    <w:rsid w:val="5678FBD6"/>
    <w:rsid w:val="56B0FCE7"/>
    <w:rsid w:val="56B3F144"/>
    <w:rsid w:val="56C0BCD7"/>
    <w:rsid w:val="56CBDF5E"/>
    <w:rsid w:val="572E3DD6"/>
    <w:rsid w:val="57333010"/>
    <w:rsid w:val="573F59F3"/>
    <w:rsid w:val="577F7C12"/>
    <w:rsid w:val="5815B731"/>
    <w:rsid w:val="5850809B"/>
    <w:rsid w:val="58A052B2"/>
    <w:rsid w:val="58ECD185"/>
    <w:rsid w:val="58F6FA72"/>
    <w:rsid w:val="58F78097"/>
    <w:rsid w:val="58F85C33"/>
    <w:rsid w:val="59124723"/>
    <w:rsid w:val="591C15C1"/>
    <w:rsid w:val="5921D838"/>
    <w:rsid w:val="593524F8"/>
    <w:rsid w:val="595415E9"/>
    <w:rsid w:val="596DD843"/>
    <w:rsid w:val="59781E37"/>
    <w:rsid w:val="59AC8F64"/>
    <w:rsid w:val="5A17EDEB"/>
    <w:rsid w:val="5A2C977E"/>
    <w:rsid w:val="5A377961"/>
    <w:rsid w:val="5A81B07F"/>
    <w:rsid w:val="5AFD5449"/>
    <w:rsid w:val="5B2DECCD"/>
    <w:rsid w:val="5C56CC9E"/>
    <w:rsid w:val="5C7BE450"/>
    <w:rsid w:val="5C81FC7E"/>
    <w:rsid w:val="5CE84260"/>
    <w:rsid w:val="5D237031"/>
    <w:rsid w:val="5D6E04DE"/>
    <w:rsid w:val="5D8D3AAE"/>
    <w:rsid w:val="5DC042A8"/>
    <w:rsid w:val="5DC0C3F5"/>
    <w:rsid w:val="5DC95E23"/>
    <w:rsid w:val="5DE7FF00"/>
    <w:rsid w:val="5E22140C"/>
    <w:rsid w:val="5E4A2F8B"/>
    <w:rsid w:val="5E68529B"/>
    <w:rsid w:val="5E8BFF4C"/>
    <w:rsid w:val="5E9789BA"/>
    <w:rsid w:val="5EB174EA"/>
    <w:rsid w:val="5EC42E28"/>
    <w:rsid w:val="5EC7AFA5"/>
    <w:rsid w:val="5ECA3F5B"/>
    <w:rsid w:val="5EE160F4"/>
    <w:rsid w:val="5FF5AAAC"/>
    <w:rsid w:val="5FF794D2"/>
    <w:rsid w:val="5FF96C4D"/>
    <w:rsid w:val="600E7C35"/>
    <w:rsid w:val="601B204A"/>
    <w:rsid w:val="6078C144"/>
    <w:rsid w:val="607F4D09"/>
    <w:rsid w:val="60A024C8"/>
    <w:rsid w:val="60A58C35"/>
    <w:rsid w:val="60BB707E"/>
    <w:rsid w:val="60C7DA65"/>
    <w:rsid w:val="60F32092"/>
    <w:rsid w:val="611F084A"/>
    <w:rsid w:val="61444C12"/>
    <w:rsid w:val="61451560"/>
    <w:rsid w:val="617E8965"/>
    <w:rsid w:val="6180C795"/>
    <w:rsid w:val="618E085E"/>
    <w:rsid w:val="61A38745"/>
    <w:rsid w:val="61B07E0C"/>
    <w:rsid w:val="61B64083"/>
    <w:rsid w:val="61B9C200"/>
    <w:rsid w:val="61BEDAB1"/>
    <w:rsid w:val="61CB4498"/>
    <w:rsid w:val="62056537"/>
    <w:rsid w:val="620FFF27"/>
    <w:rsid w:val="62877027"/>
    <w:rsid w:val="62C672C9"/>
    <w:rsid w:val="62D8E010"/>
    <w:rsid w:val="6332F43A"/>
    <w:rsid w:val="635F706F"/>
    <w:rsid w:val="635FF1BC"/>
    <w:rsid w:val="637CB086"/>
    <w:rsid w:val="63EF529A"/>
    <w:rsid w:val="63F95504"/>
    <w:rsid w:val="6423ACE5"/>
    <w:rsid w:val="6428B308"/>
    <w:rsid w:val="64492283"/>
    <w:rsid w:val="6466DD6C"/>
    <w:rsid w:val="6470169B"/>
    <w:rsid w:val="6480C85C"/>
    <w:rsid w:val="6486377F"/>
    <w:rsid w:val="64C7D42F"/>
    <w:rsid w:val="64D28341"/>
    <w:rsid w:val="650C7F27"/>
    <w:rsid w:val="6518326B"/>
    <w:rsid w:val="6557350D"/>
    <w:rsid w:val="65793428"/>
    <w:rsid w:val="658614A2"/>
    <w:rsid w:val="6593C3A4"/>
    <w:rsid w:val="6598D8B8"/>
    <w:rsid w:val="659E72F6"/>
    <w:rsid w:val="65AE62F2"/>
    <w:rsid w:val="65F0B400"/>
    <w:rsid w:val="661E7AD0"/>
    <w:rsid w:val="6645CD01"/>
    <w:rsid w:val="665673E0"/>
    <w:rsid w:val="6659F19D"/>
    <w:rsid w:val="667D7D15"/>
    <w:rsid w:val="6681A875"/>
    <w:rsid w:val="669C42EB"/>
    <w:rsid w:val="66B63060"/>
    <w:rsid w:val="66C69E69"/>
    <w:rsid w:val="66C720B1"/>
    <w:rsid w:val="66C796EE"/>
    <w:rsid w:val="6729B868"/>
    <w:rsid w:val="67441E83"/>
    <w:rsid w:val="676491E6"/>
    <w:rsid w:val="6776373B"/>
    <w:rsid w:val="677FD17E"/>
    <w:rsid w:val="6795B88C"/>
    <w:rsid w:val="67CA089C"/>
    <w:rsid w:val="67E6E40C"/>
    <w:rsid w:val="67F2A8E8"/>
    <w:rsid w:val="680A44C6"/>
    <w:rsid w:val="6833C881"/>
    <w:rsid w:val="683E0998"/>
    <w:rsid w:val="688AEB13"/>
    <w:rsid w:val="68900744"/>
    <w:rsid w:val="68FBBBE7"/>
    <w:rsid w:val="692F452E"/>
    <w:rsid w:val="6937DF5C"/>
    <w:rsid w:val="694C03F8"/>
    <w:rsid w:val="6959A862"/>
    <w:rsid w:val="69722739"/>
    <w:rsid w:val="69CB86A8"/>
    <w:rsid w:val="69D86866"/>
    <w:rsid w:val="69E6F9DC"/>
    <w:rsid w:val="69F139AF"/>
    <w:rsid w:val="6A26D15F"/>
    <w:rsid w:val="6A309A7D"/>
    <w:rsid w:val="6A3630DE"/>
    <w:rsid w:val="6A71E3D9"/>
    <w:rsid w:val="6A7A4C31"/>
    <w:rsid w:val="6A92D183"/>
    <w:rsid w:val="6A96DBAA"/>
    <w:rsid w:val="6A990DD1"/>
    <w:rsid w:val="6ABC1BF2"/>
    <w:rsid w:val="6AC644DF"/>
    <w:rsid w:val="6AC6CB04"/>
    <w:rsid w:val="6AED7BFB"/>
    <w:rsid w:val="6B06A942"/>
    <w:rsid w:val="6B43E57C"/>
    <w:rsid w:val="6B607175"/>
    <w:rsid w:val="6B682C2A"/>
    <w:rsid w:val="6BDF067B"/>
    <w:rsid w:val="6C20D63C"/>
    <w:rsid w:val="6C61A1CB"/>
    <w:rsid w:val="6C6BC178"/>
    <w:rsid w:val="6CD3ECCB"/>
    <w:rsid w:val="6D0CC84F"/>
    <w:rsid w:val="6D1A9FCA"/>
    <w:rsid w:val="6D2D5BEA"/>
    <w:rsid w:val="6DEDE452"/>
    <w:rsid w:val="6DF6D84F"/>
    <w:rsid w:val="6DF8BB9D"/>
    <w:rsid w:val="6E1F751B"/>
    <w:rsid w:val="6E476149"/>
    <w:rsid w:val="6E528F23"/>
    <w:rsid w:val="6E656F87"/>
    <w:rsid w:val="6E8CA42F"/>
    <w:rsid w:val="6ED6607B"/>
    <w:rsid w:val="6EF8D629"/>
    <w:rsid w:val="6F013E81"/>
    <w:rsid w:val="6F67D63D"/>
    <w:rsid w:val="6FEB1E35"/>
    <w:rsid w:val="6FEF1E7A"/>
    <w:rsid w:val="70058450"/>
    <w:rsid w:val="701A5594"/>
    <w:rsid w:val="701F6E45"/>
    <w:rsid w:val="70215153"/>
    <w:rsid w:val="70658B64"/>
    <w:rsid w:val="70688EEB"/>
    <w:rsid w:val="70A7C88C"/>
    <w:rsid w:val="70E8EAAA"/>
    <w:rsid w:val="70FFAA8F"/>
    <w:rsid w:val="714186BA"/>
    <w:rsid w:val="71902432"/>
    <w:rsid w:val="719F4CAA"/>
    <w:rsid w:val="71C476C7"/>
    <w:rsid w:val="71C4F519"/>
    <w:rsid w:val="7235D4BB"/>
    <w:rsid w:val="7280D90A"/>
    <w:rsid w:val="72C6965F"/>
    <w:rsid w:val="72CDA043"/>
    <w:rsid w:val="72E48419"/>
    <w:rsid w:val="73091943"/>
    <w:rsid w:val="733102EC"/>
    <w:rsid w:val="73588D6E"/>
    <w:rsid w:val="73612A21"/>
    <w:rsid w:val="738830D1"/>
    <w:rsid w:val="7392F7EB"/>
    <w:rsid w:val="73CA0092"/>
    <w:rsid w:val="73D31C0D"/>
    <w:rsid w:val="74247CE3"/>
    <w:rsid w:val="74A06C48"/>
    <w:rsid w:val="74A147E4"/>
    <w:rsid w:val="74A66095"/>
    <w:rsid w:val="74BB32D4"/>
    <w:rsid w:val="74D68640"/>
    <w:rsid w:val="74E23C09"/>
    <w:rsid w:val="74E2BD56"/>
    <w:rsid w:val="750D208A"/>
    <w:rsid w:val="751260B9"/>
    <w:rsid w:val="7552EF27"/>
    <w:rsid w:val="75A741CD"/>
    <w:rsid w:val="75ABADD6"/>
    <w:rsid w:val="75FF6896"/>
    <w:rsid w:val="76057AE2"/>
    <w:rsid w:val="7605A8DA"/>
    <w:rsid w:val="7624DE34"/>
    <w:rsid w:val="76533C7C"/>
    <w:rsid w:val="767B8EC2"/>
    <w:rsid w:val="76945C15"/>
    <w:rsid w:val="76A9E2B2"/>
    <w:rsid w:val="76D21AD7"/>
    <w:rsid w:val="772F51F9"/>
    <w:rsid w:val="7759DD96"/>
    <w:rsid w:val="775F77A4"/>
    <w:rsid w:val="777765BE"/>
    <w:rsid w:val="77A322FD"/>
    <w:rsid w:val="77A56AB2"/>
    <w:rsid w:val="77C8CD3E"/>
    <w:rsid w:val="77DF7FBE"/>
    <w:rsid w:val="780F2321"/>
    <w:rsid w:val="781BF929"/>
    <w:rsid w:val="7847AACB"/>
    <w:rsid w:val="788C3D99"/>
    <w:rsid w:val="78A827F9"/>
    <w:rsid w:val="78AB6F33"/>
    <w:rsid w:val="78BAB1CC"/>
    <w:rsid w:val="7910F9BD"/>
    <w:rsid w:val="791CAF86"/>
    <w:rsid w:val="795ECDFA"/>
    <w:rsid w:val="79692E59"/>
    <w:rsid w:val="79A12A64"/>
    <w:rsid w:val="79AED966"/>
    <w:rsid w:val="79E7E97E"/>
    <w:rsid w:val="79FB2568"/>
    <w:rsid w:val="7A0C8ED5"/>
    <w:rsid w:val="7A2BA427"/>
    <w:rsid w:val="7A62F7E7"/>
    <w:rsid w:val="7A7C8809"/>
    <w:rsid w:val="7AA5297D"/>
    <w:rsid w:val="7AAD641B"/>
    <w:rsid w:val="7ADC412B"/>
    <w:rsid w:val="7B26AB1A"/>
    <w:rsid w:val="7B9DFB22"/>
    <w:rsid w:val="7BB57AFB"/>
    <w:rsid w:val="7BDD98FF"/>
    <w:rsid w:val="7BF268B9"/>
    <w:rsid w:val="7BFA71EA"/>
    <w:rsid w:val="7C11E90F"/>
    <w:rsid w:val="7C2838BA"/>
    <w:rsid w:val="7C34377F"/>
    <w:rsid w:val="7C3EE78C"/>
    <w:rsid w:val="7C8B665F"/>
    <w:rsid w:val="7CA62BF0"/>
    <w:rsid w:val="7CB02E5A"/>
    <w:rsid w:val="7CBFEE4A"/>
    <w:rsid w:val="7CED37C3"/>
    <w:rsid w:val="7CFEA56B"/>
    <w:rsid w:val="7D101353"/>
    <w:rsid w:val="7D4250C4"/>
    <w:rsid w:val="7D572303"/>
    <w:rsid w:val="7D61D215"/>
    <w:rsid w:val="7D7FF525"/>
    <w:rsid w:val="7D84A1D2"/>
    <w:rsid w:val="7DA3A1D6"/>
    <w:rsid w:val="7DA455F4"/>
    <w:rsid w:val="7DFB83D9"/>
    <w:rsid w:val="7E020F9E"/>
    <w:rsid w:val="7E332615"/>
    <w:rsid w:val="7E351798"/>
    <w:rsid w:val="7E3C0FA0"/>
    <w:rsid w:val="7E47068D"/>
    <w:rsid w:val="7E81CBC1"/>
    <w:rsid w:val="7E99C52E"/>
    <w:rsid w:val="7EA33738"/>
    <w:rsid w:val="7F1C27A8"/>
    <w:rsid w:val="7F315175"/>
    <w:rsid w:val="7F319A71"/>
    <w:rsid w:val="7F3BA8F9"/>
    <w:rsid w:val="7F5861A8"/>
    <w:rsid w:val="7F8341EC"/>
    <w:rsid w:val="7F87B0E2"/>
    <w:rsid w:val="7FA85D3B"/>
    <w:rsid w:val="7FA8E2A5"/>
    <w:rsid w:val="7FD55ABD"/>
    <w:rsid w:val="7FE22650"/>
    <w:rsid w:val="7FFA9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3CBF5"/>
  <w15:docId w15:val="{A7B53847-5EAC-472E-BDDD-F223CEF1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34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34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7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992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764"/>
  </w:style>
  <w:style w:type="paragraph" w:styleId="Titolo">
    <w:name w:val="Title"/>
    <w:basedOn w:val="Normale"/>
    <w:next w:val="Normale"/>
    <w:link w:val="TitoloCarattere"/>
    <w:uiPriority w:val="10"/>
    <w:qFormat/>
    <w:rsid w:val="00F27C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2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4803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4803"/>
    <w:rPr>
      <w:rFonts w:asciiTheme="majorHAnsi" w:eastAsiaTheme="majorEastAsia" w:hAnsiTheme="majorHAnsi" w:cstheme="majorBidi"/>
      <w:b/>
      <w:i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7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052D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3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B66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C8E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03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03A2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CC2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59441E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41292C"/>
  </w:style>
  <w:style w:type="character" w:customStyle="1" w:styleId="eop">
    <w:name w:val="eop"/>
    <w:basedOn w:val="Carpredefinitoparagrafo"/>
    <w:rsid w:val="0041292C"/>
  </w:style>
  <w:style w:type="paragraph" w:customStyle="1" w:styleId="paragraph">
    <w:name w:val="paragraph"/>
    <w:basedOn w:val="Normale"/>
    <w:rsid w:val="0000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styleId="NormaleWeb">
    <w:name w:val="Normal (Web)"/>
    <w:basedOn w:val="Normale"/>
    <w:uiPriority w:val="99"/>
    <w:semiHidden/>
    <w:unhideWhenUsed/>
    <w:rsid w:val="00A7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342">
              <w:marLeft w:val="21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46678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5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769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7685">
                          <w:marLeft w:val="180"/>
                          <w:marRight w:val="21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625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1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1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022">
              <w:marLeft w:val="21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1399">
                      <w:marLeft w:val="45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8160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86676">
                          <w:marLeft w:val="180"/>
                          <w:marRight w:val="21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750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chart" Target="charts/chart5.xml"/><Relationship Id="rId10" Type="http://schemas.openxmlformats.org/officeDocument/2006/relationships/image" Target="media/image1.tmp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hre.local\dfs\Shared%20Data\London\Marketing\Research\2022\Real%20Estate%20Outlook%202023\PDF\Input%20from%20team\2023%20Five%20Themes%20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5589663399583126E-2"/>
          <c:y val="0.13437254304189464"/>
          <c:w val="0.92741462964477128"/>
          <c:h val="0.589245288294498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4472C4"/>
              </a:solidFill>
            </c:spPr>
            <c:extLst>
              <c:ext xmlns:c16="http://schemas.microsoft.com/office/drawing/2014/chart" uri="{C3380CC4-5D6E-409C-BE32-E72D297353CC}">
                <c16:uniqueId val="{00000001-C181-4BAB-80B7-ED0BFFD410C0}"/>
              </c:ext>
            </c:extLst>
          </c:dPt>
          <c:dPt>
            <c:idx val="1"/>
            <c:invertIfNegative val="0"/>
            <c:bubble3D val="0"/>
            <c:spPr>
              <a:solidFill>
                <a:srgbClr val="4472C4"/>
              </a:solidFill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3-C181-4BAB-80B7-ED0BFFD410C0}"/>
              </c:ext>
            </c:extLst>
          </c:dPt>
          <c:dPt>
            <c:idx val="2"/>
            <c:invertIfNegative val="0"/>
            <c:bubble3D val="0"/>
            <c:spPr>
              <a:solidFill>
                <a:srgbClr val="4472C4"/>
              </a:solidFill>
            </c:spPr>
            <c:extLst>
              <c:ext xmlns:c16="http://schemas.microsoft.com/office/drawing/2014/chart" uri="{C3380CC4-5D6E-409C-BE32-E72D297353CC}">
                <c16:uniqueId val="{00000005-C181-4BAB-80B7-ED0BFFD410C0}"/>
              </c:ext>
            </c:extLst>
          </c:dPt>
          <c:dPt>
            <c:idx val="3"/>
            <c:invertIfNegative val="0"/>
            <c:bubble3D val="0"/>
            <c:spPr>
              <a:solidFill>
                <a:srgbClr val="ED7D31"/>
              </a:solidFill>
            </c:spPr>
            <c:extLst xmlns:c15="http://schemas.microsoft.com/office/drawing/2012/chart">
              <c:ext xmlns:c16="http://schemas.microsoft.com/office/drawing/2014/chart" uri="{C3380CC4-5D6E-409C-BE32-E72D297353CC}">
                <c16:uniqueId val="{00000007-C181-4BAB-80B7-ED0BFFD410C0}"/>
              </c:ext>
            </c:extLst>
          </c:dPt>
          <c:dPt>
            <c:idx val="4"/>
            <c:invertIfNegative val="0"/>
            <c:bubble3D val="0"/>
            <c:spPr>
              <a:solidFill>
                <a:srgbClr val="70AD47"/>
              </a:solidFill>
            </c:spPr>
            <c:extLst>
              <c:ext xmlns:c16="http://schemas.microsoft.com/office/drawing/2014/chart" uri="{C3380CC4-5D6E-409C-BE32-E72D297353CC}">
                <c16:uniqueId val="{00000009-C181-4BAB-80B7-ED0BFFD410C0}"/>
              </c:ext>
            </c:extLst>
          </c:dPt>
          <c:dPt>
            <c:idx val="5"/>
            <c:invertIfNegative val="0"/>
            <c:bubble3D val="0"/>
            <c:spPr>
              <a:solidFill>
                <a:srgbClr val="70AD47"/>
              </a:solidFill>
            </c:spPr>
            <c:extLst>
              <c:ext xmlns:c16="http://schemas.microsoft.com/office/drawing/2014/chart" uri="{C3380CC4-5D6E-409C-BE32-E72D297353CC}">
                <c16:uniqueId val="{0000000B-C181-4BAB-80B7-ED0BFFD410C0}"/>
              </c:ext>
            </c:extLst>
          </c:dPt>
          <c:dPt>
            <c:idx val="6"/>
            <c:invertIfNegative val="0"/>
            <c:bubble3D val="0"/>
            <c:spPr>
              <a:solidFill>
                <a:srgbClr val="70AD47"/>
              </a:solidFill>
            </c:spPr>
            <c:extLst>
              <c:ext xmlns:c16="http://schemas.microsoft.com/office/drawing/2014/chart" uri="{C3380CC4-5D6E-409C-BE32-E72D297353CC}">
                <c16:uniqueId val="{0000000D-C181-4BAB-80B7-ED0BFFD410C0}"/>
              </c:ext>
            </c:extLst>
          </c:dPt>
          <c:cat>
            <c:strRef>
              <c:f>Sheet1!$A$2:$A$8</c:f>
              <c:strCache>
                <c:ptCount val="7"/>
                <c:pt idx="0">
                  <c:v>South Korea</c:v>
                </c:pt>
                <c:pt idx="1">
                  <c:v>Australia</c:v>
                </c:pt>
                <c:pt idx="2">
                  <c:v>Japan</c:v>
                </c:pt>
                <c:pt idx="3">
                  <c:v>United States</c:v>
                </c:pt>
                <c:pt idx="4">
                  <c:v>France</c:v>
                </c:pt>
                <c:pt idx="5">
                  <c:v>United Kingdom</c:v>
                </c:pt>
                <c:pt idx="6">
                  <c:v>Germany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</c:v>
                </c:pt>
                <c:pt idx="1">
                  <c:v>1.9</c:v>
                </c:pt>
                <c:pt idx="2">
                  <c:v>1.6</c:v>
                </c:pt>
                <c:pt idx="3">
                  <c:v>1</c:v>
                </c:pt>
                <c:pt idx="4">
                  <c:v>0.7</c:v>
                </c:pt>
                <c:pt idx="5">
                  <c:v>-0.1</c:v>
                </c:pt>
                <c:pt idx="6">
                  <c:v>-0.3</c:v>
                </c:pt>
              </c:numCache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E-C181-4BAB-80B7-ED0BFFD410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452416"/>
        <c:axId val="143507456"/>
        <c:extLst/>
      </c:barChart>
      <c:catAx>
        <c:axId val="14345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22225" cap="flat" cmpd="sng" algn="ctr">
            <a:solidFill>
              <a:schemeClr val="tx1"/>
            </a:solidFill>
            <a:round/>
          </a:ln>
          <a:effectLst/>
        </c:spPr>
        <c:txPr>
          <a:bodyPr rot="0" vert="eaVert"/>
          <a:lstStyle/>
          <a:p>
            <a:pPr>
              <a:defRPr/>
            </a:pPr>
            <a:endParaRPr lang="it-IT"/>
          </a:p>
        </c:txPr>
        <c:crossAx val="143507456"/>
        <c:crosses val="autoZero"/>
        <c:auto val="1"/>
        <c:lblAlgn val="ctr"/>
        <c:lblOffset val="100"/>
        <c:noMultiLvlLbl val="0"/>
      </c:catAx>
      <c:valAx>
        <c:axId val="143507456"/>
        <c:scaling>
          <c:orientation val="minMax"/>
          <c:max val="2"/>
          <c:min val="-2"/>
        </c:scaling>
        <c:delete val="0"/>
        <c:axPos val="l"/>
        <c:majorGridlines>
          <c:spPr>
            <a:ln w="9525" cap="flat" cmpd="sng" algn="ctr">
              <a:solidFill>
                <a:srgbClr val="BABCBC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143452416"/>
        <c:crosses val="autoZero"/>
        <c:crossBetween val="between"/>
        <c:majorUnit val="1"/>
        <c:dispUnits>
          <c:builtInUnit val="hundreds"/>
          <c:dispUnitsLbl>
            <c:tx>
              <c:rich>
                <a:bodyPr/>
                <a:lstStyle/>
                <a:p>
                  <a:pPr>
                    <a:defRPr/>
                  </a:pPr>
                  <a:endParaRPr lang="en-GB"/>
                </a:p>
                <a:p>
                  <a:pPr>
                    <a:defRPr/>
                  </a:pPr>
                  <a:endParaRPr lang="en-GB"/>
                </a:p>
                <a:p>
                  <a:pPr>
                    <a:defRPr/>
                  </a:pPr>
                  <a:endParaRPr lang="en-GB"/>
                </a:p>
                <a:p>
                  <a:pPr>
                    <a:defRPr/>
                  </a:pPr>
                  <a:endParaRPr lang="en-GB"/>
                </a:p>
                <a:p>
                  <a:pPr>
                    <a:defRPr/>
                  </a:pPr>
                  <a:endParaRPr lang="en-GB"/>
                </a:p>
                <a:p>
                  <a:pPr>
                    <a:defRPr/>
                  </a:pPr>
                  <a:endParaRPr lang="en-GB"/>
                </a:p>
                <a:p>
                  <a:pPr>
                    <a:defRPr/>
                  </a:pPr>
                  <a:endParaRPr lang="en-GB"/>
                </a:p>
              </c:rich>
            </c:tx>
          </c:dispUnitsLbl>
        </c:dispUnits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 sz="1200">
          <a:solidFill>
            <a:schemeClr val="tx2"/>
          </a:solidFill>
          <a:latin typeface="Arial" pitchFamily="34" charset="0"/>
          <a:cs typeface="Arial" pitchFamily="34" charset="0"/>
        </a:defRPr>
      </a:pPr>
      <a:endParaRPr lang="it-IT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/>
              <a:t>Cost of capital* expected for 2023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5589663399583126E-2"/>
          <c:y val="0.13437415082058379"/>
          <c:w val="0.92741462964477128"/>
          <c:h val="0.77142678669779741"/>
        </c:manualLayout>
      </c:layout>
      <c:barChart>
        <c:barDir val="bar"/>
        <c:grouping val="clustered"/>
        <c:varyColors val="0"/>
        <c:ser>
          <c:idx val="7"/>
          <c:order val="6"/>
          <c:tx>
            <c:strRef>
              <c:f>Sheet1!$A$9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Sheet1!$B$2:$K$2</c:f>
              <c:strCache>
                <c:ptCount val="7"/>
                <c:pt idx="0">
                  <c:v>United Kingdom</c:v>
                </c:pt>
                <c:pt idx="1">
                  <c:v>South Korea</c:v>
                </c:pt>
                <c:pt idx="2">
                  <c:v>Australia</c:v>
                </c:pt>
                <c:pt idx="3">
                  <c:v>United States</c:v>
                </c:pt>
                <c:pt idx="4">
                  <c:v>France</c:v>
                </c:pt>
                <c:pt idx="5">
                  <c:v>Germany</c:v>
                </c:pt>
                <c:pt idx="6">
                  <c:v>Japan</c:v>
                </c:pt>
              </c:strCache>
              <c:extLst/>
            </c:strRef>
          </c:cat>
          <c:val>
            <c:numRef>
              <c:f>Sheet1!$B$9:$K$9</c:f>
              <c:numCache>
                <c:formatCode>General</c:formatCode>
                <c:ptCount val="7"/>
                <c:pt idx="0">
                  <c:v>4.38</c:v>
                </c:pt>
                <c:pt idx="1">
                  <c:v>4.01</c:v>
                </c:pt>
                <c:pt idx="2">
                  <c:v>3.64</c:v>
                </c:pt>
                <c:pt idx="3">
                  <c:v>3.28</c:v>
                </c:pt>
                <c:pt idx="4">
                  <c:v>2.4900000000000002</c:v>
                </c:pt>
                <c:pt idx="5">
                  <c:v>2.06</c:v>
                </c:pt>
                <c:pt idx="6">
                  <c:v>0.16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6D8D-41B2-8354-7DF6D61CBE4E}"/>
            </c:ext>
          </c:extLst>
        </c:ser>
        <c:ser>
          <c:idx val="9"/>
          <c:order val="8"/>
          <c:tx>
            <c:strRef>
              <c:f>Sheet1!$A$11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ysClr val="windowText" lastClr="000000"/>
            </a:solidFill>
            <a:ln>
              <a:noFill/>
            </a:ln>
          </c:spPr>
          <c:invertIfNegative val="0"/>
          <c:cat>
            <c:strRef>
              <c:f>Sheet1!$B$2:$K$2</c:f>
              <c:strCache>
                <c:ptCount val="7"/>
                <c:pt idx="0">
                  <c:v>United Kingdom</c:v>
                </c:pt>
                <c:pt idx="1">
                  <c:v>South Korea</c:v>
                </c:pt>
                <c:pt idx="2">
                  <c:v>Australia</c:v>
                </c:pt>
                <c:pt idx="3">
                  <c:v>United States</c:v>
                </c:pt>
                <c:pt idx="4">
                  <c:v>France</c:v>
                </c:pt>
                <c:pt idx="5">
                  <c:v>Germany</c:v>
                </c:pt>
                <c:pt idx="6">
                  <c:v>Japan</c:v>
                </c:pt>
              </c:strCache>
              <c:extLst/>
            </c:strRef>
          </c:cat>
          <c:val>
            <c:numRef>
              <c:f>Sheet1!$B$11:$K$11</c:f>
              <c:numCache>
                <c:formatCode>General</c:formatCode>
                <c:ptCount val="7"/>
                <c:pt idx="0">
                  <c:v>0.74</c:v>
                </c:pt>
                <c:pt idx="1">
                  <c:v>2.06</c:v>
                </c:pt>
                <c:pt idx="2">
                  <c:v>1.5</c:v>
                </c:pt>
                <c:pt idx="3">
                  <c:v>1.44</c:v>
                </c:pt>
                <c:pt idx="4">
                  <c:v>-0.1</c:v>
                </c:pt>
                <c:pt idx="5">
                  <c:v>-0.31</c:v>
                </c:pt>
                <c:pt idx="6">
                  <c:v>7.0000000000000007E-2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6D8D-41B2-8354-7DF6D61CBE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059840"/>
        <c:axId val="41061376"/>
        <c:extLst>
          <c:ext xmlns:c15="http://schemas.microsoft.com/office/drawing/2012/chart" uri="{02D57815-91ED-43cb-92C2-25804820EDAC}">
            <c15:filteredBar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Sheet1!$A$3</c15:sqref>
                        </c15:formulaRef>
                      </c:ext>
                    </c:extLst>
                    <c:strCache>
                      <c:ptCount val="1"/>
                      <c:pt idx="0">
                        <c:v>2029</c:v>
                      </c:pt>
                    </c:strCache>
                  </c:strRef>
                </c:tx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Sheet1!$B$2:$K$2</c15:sqref>
                        </c15:formulaRef>
                      </c:ext>
                    </c:extLst>
                    <c:strCache>
                      <c:ptCount val="7"/>
                      <c:pt idx="0">
                        <c:v>United Kingdom</c:v>
                      </c:pt>
                      <c:pt idx="1">
                        <c:v>South Korea</c:v>
                      </c:pt>
                      <c:pt idx="2">
                        <c:v>Australia</c:v>
                      </c:pt>
                      <c:pt idx="3">
                        <c:v>United States</c:v>
                      </c:pt>
                      <c:pt idx="4">
                        <c:v>France</c:v>
                      </c:pt>
                      <c:pt idx="5">
                        <c:v>Germany</c:v>
                      </c:pt>
                      <c:pt idx="6">
                        <c:v>Japan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Sheet1!$B$3:$K$3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2.25</c:v>
                      </c:pt>
                      <c:pt idx="1">
                        <c:v>2.92</c:v>
                      </c:pt>
                      <c:pt idx="2">
                        <c:v>2.95</c:v>
                      </c:pt>
                      <c:pt idx="3">
                        <c:v>2.75</c:v>
                      </c:pt>
                      <c:pt idx="4">
                        <c:v>2.08</c:v>
                      </c:pt>
                      <c:pt idx="5">
                        <c:v>1.71</c:v>
                      </c:pt>
                      <c:pt idx="6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D8D-41B2-8354-7DF6D61CBE4E}"/>
                  </c:ext>
                </c:extLst>
              </c15:ser>
            </c15:filteredBarSeries>
            <c15:filteredBarSeries>
              <c15:ser>
                <c:idx val="2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  <c:pt idx="0">
                        <c:v>2028</c:v>
                      </c:pt>
                    </c:strCache>
                  </c:strRef>
                </c:tx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Sheet1!$B$2:$K$2</c15:sqref>
                        </c15:formulaRef>
                      </c:ext>
                    </c:extLst>
                    <c:strCache>
                      <c:ptCount val="7"/>
                      <c:pt idx="0">
                        <c:v>United Kingdom</c:v>
                      </c:pt>
                      <c:pt idx="1">
                        <c:v>South Korea</c:v>
                      </c:pt>
                      <c:pt idx="2">
                        <c:v>Australia</c:v>
                      </c:pt>
                      <c:pt idx="3">
                        <c:v>United States</c:v>
                      </c:pt>
                      <c:pt idx="4">
                        <c:v>France</c:v>
                      </c:pt>
                      <c:pt idx="5">
                        <c:v>Germany</c:v>
                      </c:pt>
                      <c:pt idx="6">
                        <c:v>Japan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Sheet1!$B$4:$K$4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2.25</c:v>
                      </c:pt>
                      <c:pt idx="1">
                        <c:v>2.92</c:v>
                      </c:pt>
                      <c:pt idx="2">
                        <c:v>2.95</c:v>
                      </c:pt>
                      <c:pt idx="3">
                        <c:v>2.75</c:v>
                      </c:pt>
                      <c:pt idx="4">
                        <c:v>2.06</c:v>
                      </c:pt>
                      <c:pt idx="5">
                        <c:v>1.69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6D8D-41B2-8354-7DF6D61CBE4E}"/>
                  </c:ext>
                </c:extLst>
              </c15:ser>
            </c15:filteredBarSeries>
            <c15:filteredBar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Sheet1!$A$5</c15:sqref>
                        </c15:formulaRef>
                      </c:ext>
                    </c:extLst>
                    <c:strCache>
                      <c:ptCount val="1"/>
                      <c:pt idx="0">
                        <c:v>2027</c:v>
                      </c:pt>
                    </c:strCache>
                  </c:strRef>
                </c:tx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Sheet1!$B$2:$K$2</c15:sqref>
                        </c15:formulaRef>
                      </c:ext>
                    </c:extLst>
                    <c:strCache>
                      <c:ptCount val="7"/>
                      <c:pt idx="0">
                        <c:v>United Kingdom</c:v>
                      </c:pt>
                      <c:pt idx="1">
                        <c:v>South Korea</c:v>
                      </c:pt>
                      <c:pt idx="2">
                        <c:v>Australia</c:v>
                      </c:pt>
                      <c:pt idx="3">
                        <c:v>United States</c:v>
                      </c:pt>
                      <c:pt idx="4">
                        <c:v>France</c:v>
                      </c:pt>
                      <c:pt idx="5">
                        <c:v>Germany</c:v>
                      </c:pt>
                      <c:pt idx="6">
                        <c:v>Japan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Sheet1!$B$5:$K$5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2.25</c:v>
                      </c:pt>
                      <c:pt idx="1">
                        <c:v>2.92</c:v>
                      </c:pt>
                      <c:pt idx="2">
                        <c:v>2.95</c:v>
                      </c:pt>
                      <c:pt idx="3">
                        <c:v>2.75</c:v>
                      </c:pt>
                      <c:pt idx="4">
                        <c:v>2.04</c:v>
                      </c:pt>
                      <c:pt idx="5">
                        <c:v>1.66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6D8D-41B2-8354-7DF6D61CBE4E}"/>
                  </c:ext>
                </c:extLst>
              </c15:ser>
            </c15:filteredBarSeries>
            <c15:filteredBarSeries>
              <c15:ser>
                <c:idx val="4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Sheet1!$A$6</c15:sqref>
                        </c15:formulaRef>
                      </c:ext>
                    </c:extLst>
                    <c:strCache>
                      <c:ptCount val="1"/>
                      <c:pt idx="0">
                        <c:v>2026</c:v>
                      </c:pt>
                    </c:strCache>
                  </c:strRef>
                </c:tx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Sheet1!$B$2:$K$2</c15:sqref>
                        </c15:formulaRef>
                      </c:ext>
                    </c:extLst>
                    <c:strCache>
                      <c:ptCount val="7"/>
                      <c:pt idx="0">
                        <c:v>United Kingdom</c:v>
                      </c:pt>
                      <c:pt idx="1">
                        <c:v>South Korea</c:v>
                      </c:pt>
                      <c:pt idx="2">
                        <c:v>Australia</c:v>
                      </c:pt>
                      <c:pt idx="3">
                        <c:v>United States</c:v>
                      </c:pt>
                      <c:pt idx="4">
                        <c:v>France</c:v>
                      </c:pt>
                      <c:pt idx="5">
                        <c:v>Germany</c:v>
                      </c:pt>
                      <c:pt idx="6">
                        <c:v>Japan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Sheet1!$B$6:$K$6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2.42</c:v>
                      </c:pt>
                      <c:pt idx="1">
                        <c:v>2.92</c:v>
                      </c:pt>
                      <c:pt idx="2">
                        <c:v>2.95</c:v>
                      </c:pt>
                      <c:pt idx="3">
                        <c:v>2.75</c:v>
                      </c:pt>
                      <c:pt idx="4">
                        <c:v>2.04</c:v>
                      </c:pt>
                      <c:pt idx="5">
                        <c:v>1.67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6D8D-41B2-8354-7DF6D61CBE4E}"/>
                  </c:ext>
                </c:extLst>
              </c15:ser>
            </c15:filteredBarSeries>
            <c15:filteredBar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Sheet1!$A$7</c15:sqref>
                        </c15:formulaRef>
                      </c:ext>
                    </c:extLst>
                    <c:strCache>
                      <c:ptCount val="1"/>
                      <c:pt idx="0">
                        <c:v>2025</c:v>
                      </c:pt>
                    </c:strCache>
                  </c:strRef>
                </c:tx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Sheet1!$B$2:$K$2</c15:sqref>
                        </c15:formulaRef>
                      </c:ext>
                    </c:extLst>
                    <c:strCache>
                      <c:ptCount val="7"/>
                      <c:pt idx="0">
                        <c:v>United Kingdom</c:v>
                      </c:pt>
                      <c:pt idx="1">
                        <c:v>South Korea</c:v>
                      </c:pt>
                      <c:pt idx="2">
                        <c:v>Australia</c:v>
                      </c:pt>
                      <c:pt idx="3">
                        <c:v>United States</c:v>
                      </c:pt>
                      <c:pt idx="4">
                        <c:v>France</c:v>
                      </c:pt>
                      <c:pt idx="5">
                        <c:v>Germany</c:v>
                      </c:pt>
                      <c:pt idx="6">
                        <c:v>Japan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Sheet1!$B$7:$K$7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3.15</c:v>
                      </c:pt>
                      <c:pt idx="1">
                        <c:v>2.92</c:v>
                      </c:pt>
                      <c:pt idx="2">
                        <c:v>2.96</c:v>
                      </c:pt>
                      <c:pt idx="3">
                        <c:v>2.75</c:v>
                      </c:pt>
                      <c:pt idx="4">
                        <c:v>2.08</c:v>
                      </c:pt>
                      <c:pt idx="5">
                        <c:v>1.7</c:v>
                      </c:pt>
                      <c:pt idx="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6D8D-41B2-8354-7DF6D61CBE4E}"/>
                  </c:ext>
                </c:extLst>
              </c15:ser>
            </c15:filteredBarSeries>
            <c15:filteredBarSeries>
              <c15:ser>
                <c:idx val="6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Sheet1!$A$8</c15:sqref>
                        </c15:formulaRef>
                      </c:ext>
                    </c:extLst>
                    <c:strCache>
                      <c:ptCount val="1"/>
                      <c:pt idx="0">
                        <c:v>2024</c:v>
                      </c:pt>
                    </c:strCache>
                  </c:strRef>
                </c:tx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Sheet1!$B$2:$K$2</c15:sqref>
                        </c15:formulaRef>
                      </c:ext>
                    </c:extLst>
                    <c:strCache>
                      <c:ptCount val="7"/>
                      <c:pt idx="0">
                        <c:v>United Kingdom</c:v>
                      </c:pt>
                      <c:pt idx="1">
                        <c:v>South Korea</c:v>
                      </c:pt>
                      <c:pt idx="2">
                        <c:v>Australia</c:v>
                      </c:pt>
                      <c:pt idx="3">
                        <c:v>United States</c:v>
                      </c:pt>
                      <c:pt idx="4">
                        <c:v>France</c:v>
                      </c:pt>
                      <c:pt idx="5">
                        <c:v>Germany</c:v>
                      </c:pt>
                      <c:pt idx="6">
                        <c:v>Japan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Sheet1!$B$8:$K$8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3.9</c:v>
                      </c:pt>
                      <c:pt idx="1">
                        <c:v>3.26</c:v>
                      </c:pt>
                      <c:pt idx="2">
                        <c:v>3.15</c:v>
                      </c:pt>
                      <c:pt idx="3">
                        <c:v>2.81</c:v>
                      </c:pt>
                      <c:pt idx="4">
                        <c:v>2.14</c:v>
                      </c:pt>
                      <c:pt idx="5">
                        <c:v>1.75</c:v>
                      </c:pt>
                      <c:pt idx="6">
                        <c:v>0.03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6D8D-41B2-8354-7DF6D61CBE4E}"/>
                  </c:ext>
                </c:extLst>
              </c15:ser>
            </c15:filteredBarSeries>
            <c15:filteredBarSeries>
              <c15:ser>
                <c:idx val="8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Sheet1!$A$10</c15:sqref>
                        </c15:formulaRef>
                      </c:ext>
                    </c:extLst>
                    <c:strCache>
                      <c:ptCount val="1"/>
                      <c:pt idx="0">
                        <c:v>2022</c:v>
                      </c:pt>
                    </c:strCache>
                  </c:strRef>
                </c:tx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Sheet1!$B$2:$K$2</c15:sqref>
                        </c15:formulaRef>
                      </c:ext>
                    </c:extLst>
                    <c:strCache>
                      <c:ptCount val="7"/>
                      <c:pt idx="0">
                        <c:v>United Kingdom</c:v>
                      </c:pt>
                      <c:pt idx="1">
                        <c:v>South Korea</c:v>
                      </c:pt>
                      <c:pt idx="2">
                        <c:v>Australia</c:v>
                      </c:pt>
                      <c:pt idx="3">
                        <c:v>United States</c:v>
                      </c:pt>
                      <c:pt idx="4">
                        <c:v>France</c:v>
                      </c:pt>
                      <c:pt idx="5">
                        <c:v>Germany</c:v>
                      </c:pt>
                      <c:pt idx="6">
                        <c:v>Japan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Sheet1!$B$10:$K$10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2.54</c:v>
                      </c:pt>
                      <c:pt idx="1">
                        <c:v>3.44</c:v>
                      </c:pt>
                      <c:pt idx="2">
                        <c:v>3.25</c:v>
                      </c:pt>
                      <c:pt idx="3">
                        <c:v>2.92</c:v>
                      </c:pt>
                      <c:pt idx="4">
                        <c:v>1.66</c:v>
                      </c:pt>
                      <c:pt idx="5">
                        <c:v>1.19</c:v>
                      </c:pt>
                      <c:pt idx="6">
                        <c:v>0.23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6D8D-41B2-8354-7DF6D61CBE4E}"/>
                  </c:ext>
                </c:extLst>
              </c15:ser>
            </c15:filteredBarSeries>
            <c15:filteredBarSeries>
              <c15:ser>
                <c:idx val="10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Sheet1!$A$12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Sheet1!$B$2:$K$2</c15:sqref>
                        </c15:formulaRef>
                      </c:ext>
                    </c:extLst>
                    <c:strCache>
                      <c:ptCount val="7"/>
                      <c:pt idx="0">
                        <c:v>United Kingdom</c:v>
                      </c:pt>
                      <c:pt idx="1">
                        <c:v>South Korea</c:v>
                      </c:pt>
                      <c:pt idx="2">
                        <c:v>Australia</c:v>
                      </c:pt>
                      <c:pt idx="3">
                        <c:v>United States</c:v>
                      </c:pt>
                      <c:pt idx="4">
                        <c:v>France</c:v>
                      </c:pt>
                      <c:pt idx="5">
                        <c:v>Germany</c:v>
                      </c:pt>
                      <c:pt idx="6">
                        <c:v>Japan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Sheet1!$B$12:$K$12</c15:sqref>
                        </c15:formulaRef>
                      </c:ext>
                    </c:extLst>
                    <c:numCache>
                      <c:formatCode>General</c:formatCode>
                      <c:ptCount val="7"/>
                      <c:pt idx="0">
                        <c:v>0.32</c:v>
                      </c:pt>
                      <c:pt idx="1">
                        <c:v>1.5</c:v>
                      </c:pt>
                      <c:pt idx="2">
                        <c:v>0.93</c:v>
                      </c:pt>
                      <c:pt idx="3">
                        <c:v>0.89</c:v>
                      </c:pt>
                      <c:pt idx="4">
                        <c:v>-0.16</c:v>
                      </c:pt>
                      <c:pt idx="5">
                        <c:v>-0.48</c:v>
                      </c:pt>
                      <c:pt idx="6">
                        <c:v>0.01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6D8D-41B2-8354-7DF6D61CBE4E}"/>
                  </c:ext>
                </c:extLst>
              </c15:ser>
            </c15:filteredBarSeries>
          </c:ext>
        </c:extLst>
      </c:barChart>
      <c:catAx>
        <c:axId val="41059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22225" cap="flat" cmpd="sng" algn="ctr">
            <a:solidFill>
              <a:schemeClr val="tx1"/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it-IT"/>
          </a:p>
        </c:txPr>
        <c:crossAx val="41061376"/>
        <c:crosses val="autoZero"/>
        <c:auto val="1"/>
        <c:lblAlgn val="ctr"/>
        <c:lblOffset val="100"/>
        <c:noMultiLvlLbl val="0"/>
      </c:catAx>
      <c:valAx>
        <c:axId val="41061376"/>
        <c:scaling>
          <c:orientation val="minMax"/>
          <c:max val="5"/>
          <c:min val="-1"/>
        </c:scaling>
        <c:delete val="0"/>
        <c:axPos val="b"/>
        <c:majorGridlines>
          <c:spPr>
            <a:ln w="9525" cap="flat" cmpd="sng" algn="ctr">
              <a:solidFill>
                <a:srgbClr val="BABCBC"/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it-IT"/>
          </a:p>
        </c:txPr>
        <c:crossAx val="41059840"/>
        <c:crosses val="autoZero"/>
        <c:crossBetween val="between"/>
        <c:majorUnit val="1"/>
        <c:dispUnits>
          <c:builtInUnit val="hundreds"/>
          <c:dispUnitsLbl/>
        </c:dispUnits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755564743674204"/>
          <c:y val="0.24802212223472067"/>
          <c:w val="0.12916679918760876"/>
          <c:h val="0.15298337707786527"/>
        </c:manualLayout>
      </c:layout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>
      <a:noFill/>
    </a:ln>
    <a:effectLst/>
  </c:spPr>
  <c:txPr>
    <a:bodyPr/>
    <a:lstStyle/>
    <a:p>
      <a:pPr>
        <a:defRPr sz="1200">
          <a:solidFill>
            <a:schemeClr val="tx2"/>
          </a:solidFill>
          <a:latin typeface="Arial" pitchFamily="34" charset="0"/>
          <a:cs typeface="Arial" pitchFamily="34" charset="0"/>
        </a:defRPr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2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r>
              <a:rPr lang="en-GB" sz="1200" b="1" dirty="0">
                <a:latin typeface="+mn-lt"/>
              </a:rPr>
              <a:t>USD exchange rate (USD/currency)</a:t>
            </a:r>
          </a:p>
        </c:rich>
      </c:tx>
      <c:layout>
        <c:manualLayout>
          <c:xMode val="edge"/>
          <c:yMode val="edge"/>
          <c:x val="5.4558268970080783E-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0922673127397534E-2"/>
          <c:y val="8.8905170766076902E-2"/>
          <c:w val="0.9334911836605575"/>
          <c:h val="0.719887613332195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USD/euro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Sheet1!$A$2:$A$137</c:f>
              <c:strCache>
                <c:ptCount val="136"/>
                <c:pt idx="0">
                  <c:v>1989</c:v>
                </c:pt>
                <c:pt idx="1">
                  <c:v>1989</c:v>
                </c:pt>
                <c:pt idx="2">
                  <c:v>1989</c:v>
                </c:pt>
                <c:pt idx="3">
                  <c:v>1989</c:v>
                </c:pt>
                <c:pt idx="4">
                  <c:v>1990</c:v>
                </c:pt>
                <c:pt idx="5">
                  <c:v>1990</c:v>
                </c:pt>
                <c:pt idx="6">
                  <c:v>1990</c:v>
                </c:pt>
                <c:pt idx="7">
                  <c:v>1990</c:v>
                </c:pt>
                <c:pt idx="8">
                  <c:v>1991</c:v>
                </c:pt>
                <c:pt idx="9">
                  <c:v>1991</c:v>
                </c:pt>
                <c:pt idx="10">
                  <c:v>1991</c:v>
                </c:pt>
                <c:pt idx="11">
                  <c:v>1991</c:v>
                </c:pt>
                <c:pt idx="12">
                  <c:v>1992</c:v>
                </c:pt>
                <c:pt idx="13">
                  <c:v>1992</c:v>
                </c:pt>
                <c:pt idx="14">
                  <c:v>1992</c:v>
                </c:pt>
                <c:pt idx="15">
                  <c:v>1992</c:v>
                </c:pt>
                <c:pt idx="16">
                  <c:v>1993</c:v>
                </c:pt>
                <c:pt idx="17">
                  <c:v>1993</c:v>
                </c:pt>
                <c:pt idx="18">
                  <c:v>1993</c:v>
                </c:pt>
                <c:pt idx="19">
                  <c:v>1993</c:v>
                </c:pt>
                <c:pt idx="20">
                  <c:v>1994</c:v>
                </c:pt>
                <c:pt idx="21">
                  <c:v>1994</c:v>
                </c:pt>
                <c:pt idx="22">
                  <c:v>1994</c:v>
                </c:pt>
                <c:pt idx="23">
                  <c:v>1994</c:v>
                </c:pt>
                <c:pt idx="24">
                  <c:v>1995</c:v>
                </c:pt>
                <c:pt idx="25">
                  <c:v>1995</c:v>
                </c:pt>
                <c:pt idx="26">
                  <c:v>1995</c:v>
                </c:pt>
                <c:pt idx="27">
                  <c:v>1995</c:v>
                </c:pt>
                <c:pt idx="28">
                  <c:v>1996</c:v>
                </c:pt>
                <c:pt idx="29">
                  <c:v>1996</c:v>
                </c:pt>
                <c:pt idx="30">
                  <c:v>1996</c:v>
                </c:pt>
                <c:pt idx="31">
                  <c:v>1996</c:v>
                </c:pt>
                <c:pt idx="32">
                  <c:v>1997</c:v>
                </c:pt>
                <c:pt idx="33">
                  <c:v>1997</c:v>
                </c:pt>
                <c:pt idx="34">
                  <c:v>1997</c:v>
                </c:pt>
                <c:pt idx="35">
                  <c:v>1997</c:v>
                </c:pt>
                <c:pt idx="36">
                  <c:v>1998</c:v>
                </c:pt>
                <c:pt idx="37">
                  <c:v>1998</c:v>
                </c:pt>
                <c:pt idx="38">
                  <c:v>1998</c:v>
                </c:pt>
                <c:pt idx="39">
                  <c:v>1998</c:v>
                </c:pt>
                <c:pt idx="40">
                  <c:v>1999</c:v>
                </c:pt>
                <c:pt idx="41">
                  <c:v>1999</c:v>
                </c:pt>
                <c:pt idx="42">
                  <c:v>1999</c:v>
                </c:pt>
                <c:pt idx="43">
                  <c:v>1999</c:v>
                </c:pt>
                <c:pt idx="44">
                  <c:v>2000</c:v>
                </c:pt>
                <c:pt idx="45">
                  <c:v>2000</c:v>
                </c:pt>
                <c:pt idx="46">
                  <c:v>2000</c:v>
                </c:pt>
                <c:pt idx="47">
                  <c:v>2000</c:v>
                </c:pt>
                <c:pt idx="48">
                  <c:v>2001</c:v>
                </c:pt>
                <c:pt idx="49">
                  <c:v>2001</c:v>
                </c:pt>
                <c:pt idx="50">
                  <c:v>2001</c:v>
                </c:pt>
                <c:pt idx="51">
                  <c:v>2001</c:v>
                </c:pt>
                <c:pt idx="52">
                  <c:v>2002</c:v>
                </c:pt>
                <c:pt idx="53">
                  <c:v>2002</c:v>
                </c:pt>
                <c:pt idx="54">
                  <c:v>2002</c:v>
                </c:pt>
                <c:pt idx="55">
                  <c:v>2002</c:v>
                </c:pt>
                <c:pt idx="56">
                  <c:v>2003</c:v>
                </c:pt>
                <c:pt idx="57">
                  <c:v>2003</c:v>
                </c:pt>
                <c:pt idx="58">
                  <c:v>2003</c:v>
                </c:pt>
                <c:pt idx="59">
                  <c:v>2003</c:v>
                </c:pt>
                <c:pt idx="60">
                  <c:v>2004</c:v>
                </c:pt>
                <c:pt idx="61">
                  <c:v>2004</c:v>
                </c:pt>
                <c:pt idx="62">
                  <c:v>2004</c:v>
                </c:pt>
                <c:pt idx="63">
                  <c:v>2004</c:v>
                </c:pt>
                <c:pt idx="64">
                  <c:v>2005</c:v>
                </c:pt>
                <c:pt idx="65">
                  <c:v>2005</c:v>
                </c:pt>
                <c:pt idx="66">
                  <c:v>2005</c:v>
                </c:pt>
                <c:pt idx="67">
                  <c:v>2005</c:v>
                </c:pt>
                <c:pt idx="68">
                  <c:v>2006</c:v>
                </c:pt>
                <c:pt idx="69">
                  <c:v>2006</c:v>
                </c:pt>
                <c:pt idx="70">
                  <c:v>2006</c:v>
                </c:pt>
                <c:pt idx="71">
                  <c:v>2006</c:v>
                </c:pt>
                <c:pt idx="72">
                  <c:v>2007</c:v>
                </c:pt>
                <c:pt idx="73">
                  <c:v>2007</c:v>
                </c:pt>
                <c:pt idx="74">
                  <c:v>2007</c:v>
                </c:pt>
                <c:pt idx="75">
                  <c:v>2007</c:v>
                </c:pt>
                <c:pt idx="76">
                  <c:v>2008</c:v>
                </c:pt>
                <c:pt idx="77">
                  <c:v>2008</c:v>
                </c:pt>
                <c:pt idx="78">
                  <c:v>2008</c:v>
                </c:pt>
                <c:pt idx="79">
                  <c:v>2008</c:v>
                </c:pt>
                <c:pt idx="80">
                  <c:v>2009</c:v>
                </c:pt>
                <c:pt idx="81">
                  <c:v>2009</c:v>
                </c:pt>
                <c:pt idx="82">
                  <c:v>2009</c:v>
                </c:pt>
                <c:pt idx="83">
                  <c:v>2009</c:v>
                </c:pt>
                <c:pt idx="84">
                  <c:v>2010</c:v>
                </c:pt>
                <c:pt idx="85">
                  <c:v>2010</c:v>
                </c:pt>
                <c:pt idx="86">
                  <c:v>2010</c:v>
                </c:pt>
                <c:pt idx="87">
                  <c:v>2010</c:v>
                </c:pt>
                <c:pt idx="88">
                  <c:v>2011</c:v>
                </c:pt>
                <c:pt idx="89">
                  <c:v>2011</c:v>
                </c:pt>
                <c:pt idx="90">
                  <c:v>2011</c:v>
                </c:pt>
                <c:pt idx="91">
                  <c:v>2011</c:v>
                </c:pt>
                <c:pt idx="92">
                  <c:v>2012</c:v>
                </c:pt>
                <c:pt idx="93">
                  <c:v>2012</c:v>
                </c:pt>
                <c:pt idx="94">
                  <c:v>2012</c:v>
                </c:pt>
                <c:pt idx="95">
                  <c:v>2012</c:v>
                </c:pt>
                <c:pt idx="96">
                  <c:v>2013</c:v>
                </c:pt>
                <c:pt idx="97">
                  <c:v>2013</c:v>
                </c:pt>
                <c:pt idx="98">
                  <c:v>2013</c:v>
                </c:pt>
                <c:pt idx="99">
                  <c:v>2013</c:v>
                </c:pt>
                <c:pt idx="100">
                  <c:v>2014</c:v>
                </c:pt>
                <c:pt idx="101">
                  <c:v>2014</c:v>
                </c:pt>
                <c:pt idx="102">
                  <c:v>2014</c:v>
                </c:pt>
                <c:pt idx="103">
                  <c:v>2014</c:v>
                </c:pt>
                <c:pt idx="104">
                  <c:v>2015</c:v>
                </c:pt>
                <c:pt idx="105">
                  <c:v>2015</c:v>
                </c:pt>
                <c:pt idx="106">
                  <c:v>2015</c:v>
                </c:pt>
                <c:pt idx="107">
                  <c:v>2015</c:v>
                </c:pt>
                <c:pt idx="108">
                  <c:v>2016</c:v>
                </c:pt>
                <c:pt idx="109">
                  <c:v>2016</c:v>
                </c:pt>
                <c:pt idx="110">
                  <c:v>2016</c:v>
                </c:pt>
                <c:pt idx="111">
                  <c:v>2016</c:v>
                </c:pt>
                <c:pt idx="112">
                  <c:v>2017</c:v>
                </c:pt>
                <c:pt idx="113">
                  <c:v>2017</c:v>
                </c:pt>
                <c:pt idx="114">
                  <c:v>2017</c:v>
                </c:pt>
                <c:pt idx="115">
                  <c:v>2017</c:v>
                </c:pt>
                <c:pt idx="116">
                  <c:v>2018</c:v>
                </c:pt>
                <c:pt idx="117">
                  <c:v>2018</c:v>
                </c:pt>
                <c:pt idx="118">
                  <c:v>2018</c:v>
                </c:pt>
                <c:pt idx="119">
                  <c:v>2018</c:v>
                </c:pt>
                <c:pt idx="120">
                  <c:v>2019</c:v>
                </c:pt>
                <c:pt idx="121">
                  <c:v>2019</c:v>
                </c:pt>
                <c:pt idx="122">
                  <c:v>2019</c:v>
                </c:pt>
                <c:pt idx="123">
                  <c:v>2019</c:v>
                </c:pt>
                <c:pt idx="124">
                  <c:v>2020</c:v>
                </c:pt>
                <c:pt idx="125">
                  <c:v>2020</c:v>
                </c:pt>
                <c:pt idx="126">
                  <c:v>2020</c:v>
                </c:pt>
                <c:pt idx="127">
                  <c:v>2020</c:v>
                </c:pt>
                <c:pt idx="128">
                  <c:v>2021</c:v>
                </c:pt>
                <c:pt idx="129">
                  <c:v>2021</c:v>
                </c:pt>
                <c:pt idx="130">
                  <c:v>2021</c:v>
                </c:pt>
                <c:pt idx="131">
                  <c:v>2021</c:v>
                </c:pt>
                <c:pt idx="132">
                  <c:v>2022</c:v>
                </c:pt>
                <c:pt idx="133">
                  <c:v>2022</c:v>
                </c:pt>
                <c:pt idx="134">
                  <c:v>2022</c:v>
                </c:pt>
                <c:pt idx="135">
                  <c:v>2022</c:v>
                </c:pt>
              </c:strCache>
            </c:strRef>
          </c:cat>
          <c:val>
            <c:numRef>
              <c:f>Sheet1!$B$2:$B$137</c:f>
              <c:numCache>
                <c:formatCode>General</c:formatCode>
                <c:ptCount val="136"/>
                <c:pt idx="0">
                  <c:v>0.88495575221238942</c:v>
                </c:pt>
                <c:pt idx="1">
                  <c:v>0.92592592592592582</c:v>
                </c:pt>
                <c:pt idx="2">
                  <c:v>0.92592592592592582</c:v>
                </c:pt>
                <c:pt idx="3">
                  <c:v>0.88495575221238942</c:v>
                </c:pt>
                <c:pt idx="4">
                  <c:v>0.82644628099173556</c:v>
                </c:pt>
                <c:pt idx="5">
                  <c:v>0.81967213114754101</c:v>
                </c:pt>
                <c:pt idx="6">
                  <c:v>0.76923076923076916</c:v>
                </c:pt>
                <c:pt idx="7">
                  <c:v>0.72992700729927007</c:v>
                </c:pt>
                <c:pt idx="8">
                  <c:v>0.74626865671641784</c:v>
                </c:pt>
                <c:pt idx="9">
                  <c:v>0.84033613445378152</c:v>
                </c:pt>
                <c:pt idx="10">
                  <c:v>0.84745762711864414</c:v>
                </c:pt>
                <c:pt idx="11">
                  <c:v>0.79365079365079361</c:v>
                </c:pt>
                <c:pt idx="12">
                  <c:v>0.79365079365079361</c:v>
                </c:pt>
                <c:pt idx="13">
                  <c:v>0.78740157480314954</c:v>
                </c:pt>
                <c:pt idx="14">
                  <c:v>0.71942446043165476</c:v>
                </c:pt>
                <c:pt idx="15">
                  <c:v>0.78740157480314954</c:v>
                </c:pt>
                <c:pt idx="16">
                  <c:v>0.84033613445378152</c:v>
                </c:pt>
                <c:pt idx="17">
                  <c:v>0.82644628099173556</c:v>
                </c:pt>
                <c:pt idx="18">
                  <c:v>0.86956521739130443</c:v>
                </c:pt>
                <c:pt idx="19">
                  <c:v>0.87719298245614041</c:v>
                </c:pt>
                <c:pt idx="20">
                  <c:v>0.89285714285714279</c:v>
                </c:pt>
                <c:pt idx="21">
                  <c:v>0.86206896551724144</c:v>
                </c:pt>
                <c:pt idx="22">
                  <c:v>0.81300813008130079</c:v>
                </c:pt>
                <c:pt idx="23">
                  <c:v>0.80645161290322587</c:v>
                </c:pt>
                <c:pt idx="24">
                  <c:v>0.78740157480314954</c:v>
                </c:pt>
                <c:pt idx="25">
                  <c:v>0.75187969924812026</c:v>
                </c:pt>
                <c:pt idx="26">
                  <c:v>0.76335877862595414</c:v>
                </c:pt>
                <c:pt idx="27">
                  <c:v>0.75757575757575757</c:v>
                </c:pt>
                <c:pt idx="28">
                  <c:v>0.77519379844961234</c:v>
                </c:pt>
                <c:pt idx="29">
                  <c:v>0.8</c:v>
                </c:pt>
                <c:pt idx="30">
                  <c:v>0.78740157480314954</c:v>
                </c:pt>
                <c:pt idx="31">
                  <c:v>0.79365079365079361</c:v>
                </c:pt>
                <c:pt idx="32">
                  <c:v>0.84745762711864414</c:v>
                </c:pt>
                <c:pt idx="33">
                  <c:v>0.87719298245614041</c:v>
                </c:pt>
                <c:pt idx="34">
                  <c:v>0.9174311926605504</c:v>
                </c:pt>
                <c:pt idx="35">
                  <c:v>0.89285714285714279</c:v>
                </c:pt>
                <c:pt idx="36">
                  <c:v>0.9174311926605504</c:v>
                </c:pt>
                <c:pt idx="37">
                  <c:v>0.90909090909090906</c:v>
                </c:pt>
                <c:pt idx="38">
                  <c:v>0.89285714285714279</c:v>
                </c:pt>
                <c:pt idx="39">
                  <c:v>0.84745762711864414</c:v>
                </c:pt>
                <c:pt idx="40">
                  <c:v>0.89285714285714279</c:v>
                </c:pt>
                <c:pt idx="41">
                  <c:v>0.94339622641509424</c:v>
                </c:pt>
                <c:pt idx="42">
                  <c:v>0.95238095238095233</c:v>
                </c:pt>
                <c:pt idx="43">
                  <c:v>0.96153846153846145</c:v>
                </c:pt>
                <c:pt idx="44">
                  <c:v>1.0101010101010102</c:v>
                </c:pt>
                <c:pt idx="45">
                  <c:v>1.075268817204301</c:v>
                </c:pt>
                <c:pt idx="46">
                  <c:v>1.0989010989010988</c:v>
                </c:pt>
                <c:pt idx="47">
                  <c:v>1.1494252873563218</c:v>
                </c:pt>
                <c:pt idx="48">
                  <c:v>1.0869565217391304</c:v>
                </c:pt>
                <c:pt idx="49">
                  <c:v>1.1494252873563218</c:v>
                </c:pt>
                <c:pt idx="50">
                  <c:v>1.1235955056179776</c:v>
                </c:pt>
                <c:pt idx="51">
                  <c:v>1.1111111111111112</c:v>
                </c:pt>
                <c:pt idx="52">
                  <c:v>1.1363636363636365</c:v>
                </c:pt>
                <c:pt idx="53">
                  <c:v>1.0869565217391304</c:v>
                </c:pt>
                <c:pt idx="54">
                  <c:v>1.0204081632653061</c:v>
                </c:pt>
                <c:pt idx="55">
                  <c:v>1</c:v>
                </c:pt>
                <c:pt idx="56">
                  <c:v>0.93457943925233644</c:v>
                </c:pt>
                <c:pt idx="57">
                  <c:v>0.87719298245614041</c:v>
                </c:pt>
                <c:pt idx="58">
                  <c:v>0.89285714285714279</c:v>
                </c:pt>
                <c:pt idx="59">
                  <c:v>0.84033613445378152</c:v>
                </c:pt>
                <c:pt idx="60">
                  <c:v>0.8</c:v>
                </c:pt>
                <c:pt idx="61">
                  <c:v>0.83333333333333337</c:v>
                </c:pt>
                <c:pt idx="62">
                  <c:v>0.81967213114754101</c:v>
                </c:pt>
                <c:pt idx="63">
                  <c:v>0.76923076923076916</c:v>
                </c:pt>
                <c:pt idx="64">
                  <c:v>0.76335877862595414</c:v>
                </c:pt>
                <c:pt idx="65">
                  <c:v>0.79365079365079361</c:v>
                </c:pt>
                <c:pt idx="66">
                  <c:v>0.81967213114754101</c:v>
                </c:pt>
                <c:pt idx="67">
                  <c:v>0.84033613445378152</c:v>
                </c:pt>
                <c:pt idx="68">
                  <c:v>0.83333333333333337</c:v>
                </c:pt>
                <c:pt idx="69">
                  <c:v>0.79365079365079361</c:v>
                </c:pt>
                <c:pt idx="70">
                  <c:v>0.78740157480314954</c:v>
                </c:pt>
                <c:pt idx="71">
                  <c:v>0.77519379844961234</c:v>
                </c:pt>
                <c:pt idx="72">
                  <c:v>0.76335877862595414</c:v>
                </c:pt>
                <c:pt idx="73">
                  <c:v>0.7407407407407407</c:v>
                </c:pt>
                <c:pt idx="74">
                  <c:v>0.72992700729927007</c:v>
                </c:pt>
                <c:pt idx="75">
                  <c:v>0.68965517241379315</c:v>
                </c:pt>
                <c:pt idx="76">
                  <c:v>0.66666666666666663</c:v>
                </c:pt>
                <c:pt idx="77">
                  <c:v>0.64102564102564097</c:v>
                </c:pt>
                <c:pt idx="78">
                  <c:v>0.66225165562913912</c:v>
                </c:pt>
                <c:pt idx="79">
                  <c:v>0.75757575757575757</c:v>
                </c:pt>
                <c:pt idx="80">
                  <c:v>0.76923076923076916</c:v>
                </c:pt>
                <c:pt idx="81">
                  <c:v>0.73529411764705876</c:v>
                </c:pt>
                <c:pt idx="82">
                  <c:v>0.69930069930069938</c:v>
                </c:pt>
                <c:pt idx="83">
                  <c:v>0.67567567567567566</c:v>
                </c:pt>
                <c:pt idx="84">
                  <c:v>0.7246376811594204</c:v>
                </c:pt>
                <c:pt idx="85">
                  <c:v>0.78740157480314954</c:v>
                </c:pt>
                <c:pt idx="86">
                  <c:v>0.77519379844961234</c:v>
                </c:pt>
                <c:pt idx="87">
                  <c:v>0.73529411764705876</c:v>
                </c:pt>
                <c:pt idx="88">
                  <c:v>0.72992700729927007</c:v>
                </c:pt>
                <c:pt idx="89">
                  <c:v>0.69444444444444442</c:v>
                </c:pt>
                <c:pt idx="90">
                  <c:v>0.70921985815602839</c:v>
                </c:pt>
                <c:pt idx="91">
                  <c:v>0.7407407407407407</c:v>
                </c:pt>
                <c:pt idx="92">
                  <c:v>0.76335877862595414</c:v>
                </c:pt>
                <c:pt idx="93">
                  <c:v>0.78125</c:v>
                </c:pt>
                <c:pt idx="94">
                  <c:v>0.8</c:v>
                </c:pt>
                <c:pt idx="95">
                  <c:v>0.76923076923076916</c:v>
                </c:pt>
                <c:pt idx="96">
                  <c:v>0.75757575757575757</c:v>
                </c:pt>
                <c:pt idx="97">
                  <c:v>0.76335877862595414</c:v>
                </c:pt>
                <c:pt idx="98">
                  <c:v>0.75757575757575757</c:v>
                </c:pt>
                <c:pt idx="99">
                  <c:v>0.73529411764705876</c:v>
                </c:pt>
                <c:pt idx="100">
                  <c:v>0.72992700729927007</c:v>
                </c:pt>
                <c:pt idx="101">
                  <c:v>0.72992700729927007</c:v>
                </c:pt>
                <c:pt idx="102">
                  <c:v>0.75187969924812026</c:v>
                </c:pt>
                <c:pt idx="103">
                  <c:v>0.8</c:v>
                </c:pt>
                <c:pt idx="104">
                  <c:v>0.88495575221238942</c:v>
                </c:pt>
                <c:pt idx="105">
                  <c:v>0.9009009009009008</c:v>
                </c:pt>
                <c:pt idx="106">
                  <c:v>0.9009009009009008</c:v>
                </c:pt>
                <c:pt idx="107">
                  <c:v>0.90909090909090906</c:v>
                </c:pt>
                <c:pt idx="108">
                  <c:v>0.90909090909090906</c:v>
                </c:pt>
                <c:pt idx="109">
                  <c:v>0.88495575221238942</c:v>
                </c:pt>
                <c:pt idx="110">
                  <c:v>0.89285714285714279</c:v>
                </c:pt>
                <c:pt idx="111">
                  <c:v>0.92592592592592582</c:v>
                </c:pt>
                <c:pt idx="112">
                  <c:v>0.94339622641509424</c:v>
                </c:pt>
                <c:pt idx="113">
                  <c:v>0.90909090909090906</c:v>
                </c:pt>
                <c:pt idx="114">
                  <c:v>0.85470085470085477</c:v>
                </c:pt>
                <c:pt idx="115">
                  <c:v>0.84745762711864414</c:v>
                </c:pt>
                <c:pt idx="116">
                  <c:v>0.81300813008130079</c:v>
                </c:pt>
                <c:pt idx="117">
                  <c:v>0.84033613445378152</c:v>
                </c:pt>
                <c:pt idx="118">
                  <c:v>0.86206896551724144</c:v>
                </c:pt>
                <c:pt idx="119">
                  <c:v>0.87719298245614041</c:v>
                </c:pt>
                <c:pt idx="120">
                  <c:v>0.87719298245614041</c:v>
                </c:pt>
                <c:pt idx="121">
                  <c:v>0.89285714285714279</c:v>
                </c:pt>
                <c:pt idx="122">
                  <c:v>0.9009009009009008</c:v>
                </c:pt>
                <c:pt idx="123">
                  <c:v>0.9009009009009008</c:v>
                </c:pt>
                <c:pt idx="124">
                  <c:v>0.90909090909090906</c:v>
                </c:pt>
                <c:pt idx="125">
                  <c:v>0.90909090909090906</c:v>
                </c:pt>
                <c:pt idx="126">
                  <c:v>0.85470085470085477</c:v>
                </c:pt>
                <c:pt idx="127">
                  <c:v>0.84033613445378152</c:v>
                </c:pt>
                <c:pt idx="128">
                  <c:v>0.83333333333333337</c:v>
                </c:pt>
                <c:pt idx="129">
                  <c:v>0.82644628099173556</c:v>
                </c:pt>
                <c:pt idx="130">
                  <c:v>0.84745762711864414</c:v>
                </c:pt>
                <c:pt idx="131">
                  <c:v>0.87719298245614041</c:v>
                </c:pt>
                <c:pt idx="132">
                  <c:v>0.89285714285714279</c:v>
                </c:pt>
                <c:pt idx="133">
                  <c:v>0.94339622641509424</c:v>
                </c:pt>
                <c:pt idx="134">
                  <c:v>0.99009900990099009</c:v>
                </c:pt>
                <c:pt idx="135">
                  <c:v>1.0164855605985774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2B-4BAC-97AB-538364CB2C3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USD/GBP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Sheet1!$A$2:$A$137</c:f>
              <c:strCache>
                <c:ptCount val="136"/>
                <c:pt idx="0">
                  <c:v>1989</c:v>
                </c:pt>
                <c:pt idx="1">
                  <c:v>1989</c:v>
                </c:pt>
                <c:pt idx="2">
                  <c:v>1989</c:v>
                </c:pt>
                <c:pt idx="3">
                  <c:v>1989</c:v>
                </c:pt>
                <c:pt idx="4">
                  <c:v>1990</c:v>
                </c:pt>
                <c:pt idx="5">
                  <c:v>1990</c:v>
                </c:pt>
                <c:pt idx="6">
                  <c:v>1990</c:v>
                </c:pt>
                <c:pt idx="7">
                  <c:v>1990</c:v>
                </c:pt>
                <c:pt idx="8">
                  <c:v>1991</c:v>
                </c:pt>
                <c:pt idx="9">
                  <c:v>1991</c:v>
                </c:pt>
                <c:pt idx="10">
                  <c:v>1991</c:v>
                </c:pt>
                <c:pt idx="11">
                  <c:v>1991</c:v>
                </c:pt>
                <c:pt idx="12">
                  <c:v>1992</c:v>
                </c:pt>
                <c:pt idx="13">
                  <c:v>1992</c:v>
                </c:pt>
                <c:pt idx="14">
                  <c:v>1992</c:v>
                </c:pt>
                <c:pt idx="15">
                  <c:v>1992</c:v>
                </c:pt>
                <c:pt idx="16">
                  <c:v>1993</c:v>
                </c:pt>
                <c:pt idx="17">
                  <c:v>1993</c:v>
                </c:pt>
                <c:pt idx="18">
                  <c:v>1993</c:v>
                </c:pt>
                <c:pt idx="19">
                  <c:v>1993</c:v>
                </c:pt>
                <c:pt idx="20">
                  <c:v>1994</c:v>
                </c:pt>
                <c:pt idx="21">
                  <c:v>1994</c:v>
                </c:pt>
                <c:pt idx="22">
                  <c:v>1994</c:v>
                </c:pt>
                <c:pt idx="23">
                  <c:v>1994</c:v>
                </c:pt>
                <c:pt idx="24">
                  <c:v>1995</c:v>
                </c:pt>
                <c:pt idx="25">
                  <c:v>1995</c:v>
                </c:pt>
                <c:pt idx="26">
                  <c:v>1995</c:v>
                </c:pt>
                <c:pt idx="27">
                  <c:v>1995</c:v>
                </c:pt>
                <c:pt idx="28">
                  <c:v>1996</c:v>
                </c:pt>
                <c:pt idx="29">
                  <c:v>1996</c:v>
                </c:pt>
                <c:pt idx="30">
                  <c:v>1996</c:v>
                </c:pt>
                <c:pt idx="31">
                  <c:v>1996</c:v>
                </c:pt>
                <c:pt idx="32">
                  <c:v>1997</c:v>
                </c:pt>
                <c:pt idx="33">
                  <c:v>1997</c:v>
                </c:pt>
                <c:pt idx="34">
                  <c:v>1997</c:v>
                </c:pt>
                <c:pt idx="35">
                  <c:v>1997</c:v>
                </c:pt>
                <c:pt idx="36">
                  <c:v>1998</c:v>
                </c:pt>
                <c:pt idx="37">
                  <c:v>1998</c:v>
                </c:pt>
                <c:pt idx="38">
                  <c:v>1998</c:v>
                </c:pt>
                <c:pt idx="39">
                  <c:v>1998</c:v>
                </c:pt>
                <c:pt idx="40">
                  <c:v>1999</c:v>
                </c:pt>
                <c:pt idx="41">
                  <c:v>1999</c:v>
                </c:pt>
                <c:pt idx="42">
                  <c:v>1999</c:v>
                </c:pt>
                <c:pt idx="43">
                  <c:v>1999</c:v>
                </c:pt>
                <c:pt idx="44">
                  <c:v>2000</c:v>
                </c:pt>
                <c:pt idx="45">
                  <c:v>2000</c:v>
                </c:pt>
                <c:pt idx="46">
                  <c:v>2000</c:v>
                </c:pt>
                <c:pt idx="47">
                  <c:v>2000</c:v>
                </c:pt>
                <c:pt idx="48">
                  <c:v>2001</c:v>
                </c:pt>
                <c:pt idx="49">
                  <c:v>2001</c:v>
                </c:pt>
                <c:pt idx="50">
                  <c:v>2001</c:v>
                </c:pt>
                <c:pt idx="51">
                  <c:v>2001</c:v>
                </c:pt>
                <c:pt idx="52">
                  <c:v>2002</c:v>
                </c:pt>
                <c:pt idx="53">
                  <c:v>2002</c:v>
                </c:pt>
                <c:pt idx="54">
                  <c:v>2002</c:v>
                </c:pt>
                <c:pt idx="55">
                  <c:v>2002</c:v>
                </c:pt>
                <c:pt idx="56">
                  <c:v>2003</c:v>
                </c:pt>
                <c:pt idx="57">
                  <c:v>2003</c:v>
                </c:pt>
                <c:pt idx="58">
                  <c:v>2003</c:v>
                </c:pt>
                <c:pt idx="59">
                  <c:v>2003</c:v>
                </c:pt>
                <c:pt idx="60">
                  <c:v>2004</c:v>
                </c:pt>
                <c:pt idx="61">
                  <c:v>2004</c:v>
                </c:pt>
                <c:pt idx="62">
                  <c:v>2004</c:v>
                </c:pt>
                <c:pt idx="63">
                  <c:v>2004</c:v>
                </c:pt>
                <c:pt idx="64">
                  <c:v>2005</c:v>
                </c:pt>
                <c:pt idx="65">
                  <c:v>2005</c:v>
                </c:pt>
                <c:pt idx="66">
                  <c:v>2005</c:v>
                </c:pt>
                <c:pt idx="67">
                  <c:v>2005</c:v>
                </c:pt>
                <c:pt idx="68">
                  <c:v>2006</c:v>
                </c:pt>
                <c:pt idx="69">
                  <c:v>2006</c:v>
                </c:pt>
                <c:pt idx="70">
                  <c:v>2006</c:v>
                </c:pt>
                <c:pt idx="71">
                  <c:v>2006</c:v>
                </c:pt>
                <c:pt idx="72">
                  <c:v>2007</c:v>
                </c:pt>
                <c:pt idx="73">
                  <c:v>2007</c:v>
                </c:pt>
                <c:pt idx="74">
                  <c:v>2007</c:v>
                </c:pt>
                <c:pt idx="75">
                  <c:v>2007</c:v>
                </c:pt>
                <c:pt idx="76">
                  <c:v>2008</c:v>
                </c:pt>
                <c:pt idx="77">
                  <c:v>2008</c:v>
                </c:pt>
                <c:pt idx="78">
                  <c:v>2008</c:v>
                </c:pt>
                <c:pt idx="79">
                  <c:v>2008</c:v>
                </c:pt>
                <c:pt idx="80">
                  <c:v>2009</c:v>
                </c:pt>
                <c:pt idx="81">
                  <c:v>2009</c:v>
                </c:pt>
                <c:pt idx="82">
                  <c:v>2009</c:v>
                </c:pt>
                <c:pt idx="83">
                  <c:v>2009</c:v>
                </c:pt>
                <c:pt idx="84">
                  <c:v>2010</c:v>
                </c:pt>
                <c:pt idx="85">
                  <c:v>2010</c:v>
                </c:pt>
                <c:pt idx="86">
                  <c:v>2010</c:v>
                </c:pt>
                <c:pt idx="87">
                  <c:v>2010</c:v>
                </c:pt>
                <c:pt idx="88">
                  <c:v>2011</c:v>
                </c:pt>
                <c:pt idx="89">
                  <c:v>2011</c:v>
                </c:pt>
                <c:pt idx="90">
                  <c:v>2011</c:v>
                </c:pt>
                <c:pt idx="91">
                  <c:v>2011</c:v>
                </c:pt>
                <c:pt idx="92">
                  <c:v>2012</c:v>
                </c:pt>
                <c:pt idx="93">
                  <c:v>2012</c:v>
                </c:pt>
                <c:pt idx="94">
                  <c:v>2012</c:v>
                </c:pt>
                <c:pt idx="95">
                  <c:v>2012</c:v>
                </c:pt>
                <c:pt idx="96">
                  <c:v>2013</c:v>
                </c:pt>
                <c:pt idx="97">
                  <c:v>2013</c:v>
                </c:pt>
                <c:pt idx="98">
                  <c:v>2013</c:v>
                </c:pt>
                <c:pt idx="99">
                  <c:v>2013</c:v>
                </c:pt>
                <c:pt idx="100">
                  <c:v>2014</c:v>
                </c:pt>
                <c:pt idx="101">
                  <c:v>2014</c:v>
                </c:pt>
                <c:pt idx="102">
                  <c:v>2014</c:v>
                </c:pt>
                <c:pt idx="103">
                  <c:v>2014</c:v>
                </c:pt>
                <c:pt idx="104">
                  <c:v>2015</c:v>
                </c:pt>
                <c:pt idx="105">
                  <c:v>2015</c:v>
                </c:pt>
                <c:pt idx="106">
                  <c:v>2015</c:v>
                </c:pt>
                <c:pt idx="107">
                  <c:v>2015</c:v>
                </c:pt>
                <c:pt idx="108">
                  <c:v>2016</c:v>
                </c:pt>
                <c:pt idx="109">
                  <c:v>2016</c:v>
                </c:pt>
                <c:pt idx="110">
                  <c:v>2016</c:v>
                </c:pt>
                <c:pt idx="111">
                  <c:v>2016</c:v>
                </c:pt>
                <c:pt idx="112">
                  <c:v>2017</c:v>
                </c:pt>
                <c:pt idx="113">
                  <c:v>2017</c:v>
                </c:pt>
                <c:pt idx="114">
                  <c:v>2017</c:v>
                </c:pt>
                <c:pt idx="115">
                  <c:v>2017</c:v>
                </c:pt>
                <c:pt idx="116">
                  <c:v>2018</c:v>
                </c:pt>
                <c:pt idx="117">
                  <c:v>2018</c:v>
                </c:pt>
                <c:pt idx="118">
                  <c:v>2018</c:v>
                </c:pt>
                <c:pt idx="119">
                  <c:v>2018</c:v>
                </c:pt>
                <c:pt idx="120">
                  <c:v>2019</c:v>
                </c:pt>
                <c:pt idx="121">
                  <c:v>2019</c:v>
                </c:pt>
                <c:pt idx="122">
                  <c:v>2019</c:v>
                </c:pt>
                <c:pt idx="123">
                  <c:v>2019</c:v>
                </c:pt>
                <c:pt idx="124">
                  <c:v>2020</c:v>
                </c:pt>
                <c:pt idx="125">
                  <c:v>2020</c:v>
                </c:pt>
                <c:pt idx="126">
                  <c:v>2020</c:v>
                </c:pt>
                <c:pt idx="127">
                  <c:v>2020</c:v>
                </c:pt>
                <c:pt idx="128">
                  <c:v>2021</c:v>
                </c:pt>
                <c:pt idx="129">
                  <c:v>2021</c:v>
                </c:pt>
                <c:pt idx="130">
                  <c:v>2021</c:v>
                </c:pt>
                <c:pt idx="131">
                  <c:v>2021</c:v>
                </c:pt>
                <c:pt idx="132">
                  <c:v>2022</c:v>
                </c:pt>
                <c:pt idx="133">
                  <c:v>2022</c:v>
                </c:pt>
                <c:pt idx="134">
                  <c:v>2022</c:v>
                </c:pt>
                <c:pt idx="135">
                  <c:v>2022</c:v>
                </c:pt>
              </c:strCache>
            </c:strRef>
          </c:cat>
          <c:val>
            <c:numRef>
              <c:f>Sheet1!$D$2:$D$137</c:f>
              <c:numCache>
                <c:formatCode>General</c:formatCode>
                <c:ptCount val="136"/>
                <c:pt idx="0">
                  <c:v>0.5714285714285714</c:v>
                </c:pt>
                <c:pt idx="1">
                  <c:v>0.61349693251533743</c:v>
                </c:pt>
                <c:pt idx="2">
                  <c:v>0.625</c:v>
                </c:pt>
                <c:pt idx="3">
                  <c:v>0.62893081761006286</c:v>
                </c:pt>
                <c:pt idx="4">
                  <c:v>0.60240963855421692</c:v>
                </c:pt>
                <c:pt idx="5">
                  <c:v>0.5988023952095809</c:v>
                </c:pt>
                <c:pt idx="6">
                  <c:v>0.5376344086021505</c:v>
                </c:pt>
                <c:pt idx="7">
                  <c:v>0.51282051282051289</c:v>
                </c:pt>
                <c:pt idx="8">
                  <c:v>0.52356020942408377</c:v>
                </c:pt>
                <c:pt idx="9">
                  <c:v>0.58479532163742687</c:v>
                </c:pt>
                <c:pt idx="10">
                  <c:v>0.59171597633136097</c:v>
                </c:pt>
                <c:pt idx="11">
                  <c:v>0.5617977528089888</c:v>
                </c:pt>
                <c:pt idx="12">
                  <c:v>0.56497175141242939</c:v>
                </c:pt>
                <c:pt idx="13">
                  <c:v>0.5524861878453039</c:v>
                </c:pt>
                <c:pt idx="14">
                  <c:v>0.52356020942408377</c:v>
                </c:pt>
                <c:pt idx="15">
                  <c:v>0.63291139240506322</c:v>
                </c:pt>
                <c:pt idx="16">
                  <c:v>0.67567567567567566</c:v>
                </c:pt>
                <c:pt idx="17">
                  <c:v>0.64935064935064934</c:v>
                </c:pt>
                <c:pt idx="18">
                  <c:v>0.66666666666666663</c:v>
                </c:pt>
                <c:pt idx="19">
                  <c:v>0.67114093959731547</c:v>
                </c:pt>
                <c:pt idx="20">
                  <c:v>0.67114093959731547</c:v>
                </c:pt>
                <c:pt idx="21">
                  <c:v>0.66666666666666663</c:v>
                </c:pt>
                <c:pt idx="22">
                  <c:v>0.64516129032258063</c:v>
                </c:pt>
                <c:pt idx="23">
                  <c:v>0.63291139240506322</c:v>
                </c:pt>
                <c:pt idx="24">
                  <c:v>0.63291139240506322</c:v>
                </c:pt>
                <c:pt idx="25">
                  <c:v>0.625</c:v>
                </c:pt>
                <c:pt idx="26">
                  <c:v>0.63694267515923564</c:v>
                </c:pt>
                <c:pt idx="27">
                  <c:v>0.64102564102564097</c:v>
                </c:pt>
                <c:pt idx="28">
                  <c:v>0.65359477124183007</c:v>
                </c:pt>
                <c:pt idx="29">
                  <c:v>0.65789473684210531</c:v>
                </c:pt>
                <c:pt idx="30">
                  <c:v>0.64516129032258063</c:v>
                </c:pt>
                <c:pt idx="31">
                  <c:v>0.6097560975609756</c:v>
                </c:pt>
                <c:pt idx="32">
                  <c:v>0.61349693251533743</c:v>
                </c:pt>
                <c:pt idx="33">
                  <c:v>0.6097560975609756</c:v>
                </c:pt>
                <c:pt idx="34">
                  <c:v>0.61349693251533743</c:v>
                </c:pt>
                <c:pt idx="35">
                  <c:v>0.60240963855421692</c:v>
                </c:pt>
                <c:pt idx="36">
                  <c:v>0.60606060606060608</c:v>
                </c:pt>
                <c:pt idx="37">
                  <c:v>0.60606060606060608</c:v>
                </c:pt>
                <c:pt idx="38">
                  <c:v>0.60606060606060608</c:v>
                </c:pt>
                <c:pt idx="39">
                  <c:v>0.59523809523809523</c:v>
                </c:pt>
                <c:pt idx="40">
                  <c:v>0.61349693251533743</c:v>
                </c:pt>
                <c:pt idx="41">
                  <c:v>0.6211180124223602</c:v>
                </c:pt>
                <c:pt idx="42">
                  <c:v>0.625</c:v>
                </c:pt>
                <c:pt idx="43">
                  <c:v>0.61349693251533743</c:v>
                </c:pt>
                <c:pt idx="44">
                  <c:v>0.6211180124223602</c:v>
                </c:pt>
                <c:pt idx="45">
                  <c:v>0.65359477124183007</c:v>
                </c:pt>
                <c:pt idx="46">
                  <c:v>0.67567567567567566</c:v>
                </c:pt>
                <c:pt idx="47">
                  <c:v>0.68965517241379315</c:v>
                </c:pt>
                <c:pt idx="48">
                  <c:v>0.68493150684931503</c:v>
                </c:pt>
                <c:pt idx="49">
                  <c:v>0.70422535211267612</c:v>
                </c:pt>
                <c:pt idx="50">
                  <c:v>0.69444444444444442</c:v>
                </c:pt>
                <c:pt idx="51">
                  <c:v>0.69444444444444442</c:v>
                </c:pt>
                <c:pt idx="52">
                  <c:v>0.69930069930069938</c:v>
                </c:pt>
                <c:pt idx="53">
                  <c:v>0.68493150684931503</c:v>
                </c:pt>
                <c:pt idx="54">
                  <c:v>0.64516129032258063</c:v>
                </c:pt>
                <c:pt idx="55">
                  <c:v>0.63694267515923564</c:v>
                </c:pt>
                <c:pt idx="56">
                  <c:v>0.625</c:v>
                </c:pt>
                <c:pt idx="57">
                  <c:v>0.61728395061728392</c:v>
                </c:pt>
                <c:pt idx="58">
                  <c:v>0.6211180124223602</c:v>
                </c:pt>
                <c:pt idx="59">
                  <c:v>0.58479532163742687</c:v>
                </c:pt>
                <c:pt idx="60">
                  <c:v>0.54347826086956519</c:v>
                </c:pt>
                <c:pt idx="61">
                  <c:v>0.5524861878453039</c:v>
                </c:pt>
                <c:pt idx="62">
                  <c:v>0.54945054945054939</c:v>
                </c:pt>
                <c:pt idx="63">
                  <c:v>0.5376344086021505</c:v>
                </c:pt>
                <c:pt idx="64">
                  <c:v>0.52910052910052918</c:v>
                </c:pt>
                <c:pt idx="65">
                  <c:v>0.5376344086021505</c:v>
                </c:pt>
                <c:pt idx="66">
                  <c:v>0.5617977528089888</c:v>
                </c:pt>
                <c:pt idx="67">
                  <c:v>0.5714285714285714</c:v>
                </c:pt>
                <c:pt idx="68">
                  <c:v>0.5714285714285714</c:v>
                </c:pt>
                <c:pt idx="69">
                  <c:v>0.54644808743169393</c:v>
                </c:pt>
                <c:pt idx="70">
                  <c:v>0.53475935828876997</c:v>
                </c:pt>
                <c:pt idx="71">
                  <c:v>0.52083333333333337</c:v>
                </c:pt>
                <c:pt idx="72">
                  <c:v>0.51282051282051289</c:v>
                </c:pt>
                <c:pt idx="73">
                  <c:v>0.50251256281407031</c:v>
                </c:pt>
                <c:pt idx="74">
                  <c:v>0.49504950495049505</c:v>
                </c:pt>
                <c:pt idx="75">
                  <c:v>0.49019607843137253</c:v>
                </c:pt>
                <c:pt idx="76">
                  <c:v>0.50505050505050508</c:v>
                </c:pt>
                <c:pt idx="77">
                  <c:v>0.50761421319796951</c:v>
                </c:pt>
                <c:pt idx="78">
                  <c:v>0.52910052910052918</c:v>
                </c:pt>
                <c:pt idx="79">
                  <c:v>0.63694267515923564</c:v>
                </c:pt>
                <c:pt idx="80">
                  <c:v>0.69930069930069938</c:v>
                </c:pt>
                <c:pt idx="81">
                  <c:v>0.64516129032258063</c:v>
                </c:pt>
                <c:pt idx="82">
                  <c:v>0.6097560975609756</c:v>
                </c:pt>
                <c:pt idx="83">
                  <c:v>0.61349693251533743</c:v>
                </c:pt>
                <c:pt idx="84">
                  <c:v>0.64102564102564097</c:v>
                </c:pt>
                <c:pt idx="85">
                  <c:v>0.67114093959731547</c:v>
                </c:pt>
                <c:pt idx="86">
                  <c:v>0.64516129032258063</c:v>
                </c:pt>
                <c:pt idx="87">
                  <c:v>0.63291139240506322</c:v>
                </c:pt>
                <c:pt idx="88">
                  <c:v>0.625</c:v>
                </c:pt>
                <c:pt idx="89">
                  <c:v>0.61349693251533743</c:v>
                </c:pt>
                <c:pt idx="90">
                  <c:v>0.6211180124223602</c:v>
                </c:pt>
                <c:pt idx="91">
                  <c:v>0.63694267515923564</c:v>
                </c:pt>
                <c:pt idx="92">
                  <c:v>0.63694267515923564</c:v>
                </c:pt>
                <c:pt idx="93">
                  <c:v>0.63291139240506322</c:v>
                </c:pt>
                <c:pt idx="94">
                  <c:v>0.63291139240506322</c:v>
                </c:pt>
                <c:pt idx="95">
                  <c:v>0.6211180124223602</c:v>
                </c:pt>
                <c:pt idx="96">
                  <c:v>0.64516129032258063</c:v>
                </c:pt>
                <c:pt idx="97">
                  <c:v>0.64935064935064934</c:v>
                </c:pt>
                <c:pt idx="98">
                  <c:v>0.64516129032258063</c:v>
                </c:pt>
                <c:pt idx="99">
                  <c:v>0.61728395061728392</c:v>
                </c:pt>
                <c:pt idx="100">
                  <c:v>0.60240963855421692</c:v>
                </c:pt>
                <c:pt idx="101">
                  <c:v>0.59523809523809523</c:v>
                </c:pt>
                <c:pt idx="102">
                  <c:v>0.5988023952095809</c:v>
                </c:pt>
                <c:pt idx="103">
                  <c:v>0.63291139240506322</c:v>
                </c:pt>
                <c:pt idx="104">
                  <c:v>0.66225165562913912</c:v>
                </c:pt>
                <c:pt idx="105">
                  <c:v>0.65359477124183007</c:v>
                </c:pt>
                <c:pt idx="106">
                  <c:v>0.64516129032258063</c:v>
                </c:pt>
                <c:pt idx="107">
                  <c:v>0.65789473684210531</c:v>
                </c:pt>
                <c:pt idx="108">
                  <c:v>0.69930069930069938</c:v>
                </c:pt>
                <c:pt idx="109">
                  <c:v>0.69930069930069938</c:v>
                </c:pt>
                <c:pt idx="110">
                  <c:v>0.76335877862595414</c:v>
                </c:pt>
                <c:pt idx="111">
                  <c:v>0.80645161290322587</c:v>
                </c:pt>
                <c:pt idx="112">
                  <c:v>0.80645161290322587</c:v>
                </c:pt>
                <c:pt idx="113">
                  <c:v>0.78125</c:v>
                </c:pt>
                <c:pt idx="114">
                  <c:v>0.76335877862595414</c:v>
                </c:pt>
                <c:pt idx="115">
                  <c:v>0.75187969924812026</c:v>
                </c:pt>
                <c:pt idx="116">
                  <c:v>0.71942446043165476</c:v>
                </c:pt>
                <c:pt idx="117">
                  <c:v>0.73529411764705876</c:v>
                </c:pt>
                <c:pt idx="118">
                  <c:v>0.76923076923076916</c:v>
                </c:pt>
                <c:pt idx="119">
                  <c:v>0.77519379844961234</c:v>
                </c:pt>
                <c:pt idx="120">
                  <c:v>0.76923076923076916</c:v>
                </c:pt>
                <c:pt idx="121">
                  <c:v>0.77519379844961234</c:v>
                </c:pt>
                <c:pt idx="122">
                  <c:v>0.81300813008130079</c:v>
                </c:pt>
                <c:pt idx="123">
                  <c:v>0.77519379844961234</c:v>
                </c:pt>
                <c:pt idx="124">
                  <c:v>0.78125</c:v>
                </c:pt>
                <c:pt idx="125">
                  <c:v>0.80645161290322587</c:v>
                </c:pt>
                <c:pt idx="126">
                  <c:v>0.77519379844961234</c:v>
                </c:pt>
                <c:pt idx="127">
                  <c:v>0.75757575757575757</c:v>
                </c:pt>
                <c:pt idx="128">
                  <c:v>0.7246376811594204</c:v>
                </c:pt>
                <c:pt idx="129">
                  <c:v>0.7142857142857143</c:v>
                </c:pt>
                <c:pt idx="130">
                  <c:v>0.7246376811594204</c:v>
                </c:pt>
                <c:pt idx="131">
                  <c:v>0.7407407407407407</c:v>
                </c:pt>
                <c:pt idx="132">
                  <c:v>0.74626865671641784</c:v>
                </c:pt>
                <c:pt idx="133">
                  <c:v>0.79365079365079361</c:v>
                </c:pt>
                <c:pt idx="134">
                  <c:v>0.84745762711864414</c:v>
                </c:pt>
                <c:pt idx="135">
                  <c:v>0.88457619047619052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2B-4BAC-97AB-538364CB2C3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USD/euro LR average</c:v>
                </c:pt>
              </c:strCache>
            </c:strRef>
          </c:tx>
          <c:spPr>
            <a:ln w="28575" cap="rnd">
              <a:solidFill>
                <a:schemeClr val="bg2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Sheet1!$A$2:$A$137</c:f>
              <c:strCache>
                <c:ptCount val="136"/>
                <c:pt idx="0">
                  <c:v>1989</c:v>
                </c:pt>
                <c:pt idx="1">
                  <c:v>1989</c:v>
                </c:pt>
                <c:pt idx="2">
                  <c:v>1989</c:v>
                </c:pt>
                <c:pt idx="3">
                  <c:v>1989</c:v>
                </c:pt>
                <c:pt idx="4">
                  <c:v>1990</c:v>
                </c:pt>
                <c:pt idx="5">
                  <c:v>1990</c:v>
                </c:pt>
                <c:pt idx="6">
                  <c:v>1990</c:v>
                </c:pt>
                <c:pt idx="7">
                  <c:v>1990</c:v>
                </c:pt>
                <c:pt idx="8">
                  <c:v>1991</c:v>
                </c:pt>
                <c:pt idx="9">
                  <c:v>1991</c:v>
                </c:pt>
                <c:pt idx="10">
                  <c:v>1991</c:v>
                </c:pt>
                <c:pt idx="11">
                  <c:v>1991</c:v>
                </c:pt>
                <c:pt idx="12">
                  <c:v>1992</c:v>
                </c:pt>
                <c:pt idx="13">
                  <c:v>1992</c:v>
                </c:pt>
                <c:pt idx="14">
                  <c:v>1992</c:v>
                </c:pt>
                <c:pt idx="15">
                  <c:v>1992</c:v>
                </c:pt>
                <c:pt idx="16">
                  <c:v>1993</c:v>
                </c:pt>
                <c:pt idx="17">
                  <c:v>1993</c:v>
                </c:pt>
                <c:pt idx="18">
                  <c:v>1993</c:v>
                </c:pt>
                <c:pt idx="19">
                  <c:v>1993</c:v>
                </c:pt>
                <c:pt idx="20">
                  <c:v>1994</c:v>
                </c:pt>
                <c:pt idx="21">
                  <c:v>1994</c:v>
                </c:pt>
                <c:pt idx="22">
                  <c:v>1994</c:v>
                </c:pt>
                <c:pt idx="23">
                  <c:v>1994</c:v>
                </c:pt>
                <c:pt idx="24">
                  <c:v>1995</c:v>
                </c:pt>
                <c:pt idx="25">
                  <c:v>1995</c:v>
                </c:pt>
                <c:pt idx="26">
                  <c:v>1995</c:v>
                </c:pt>
                <c:pt idx="27">
                  <c:v>1995</c:v>
                </c:pt>
                <c:pt idx="28">
                  <c:v>1996</c:v>
                </c:pt>
                <c:pt idx="29">
                  <c:v>1996</c:v>
                </c:pt>
                <c:pt idx="30">
                  <c:v>1996</c:v>
                </c:pt>
                <c:pt idx="31">
                  <c:v>1996</c:v>
                </c:pt>
                <c:pt idx="32">
                  <c:v>1997</c:v>
                </c:pt>
                <c:pt idx="33">
                  <c:v>1997</c:v>
                </c:pt>
                <c:pt idx="34">
                  <c:v>1997</c:v>
                </c:pt>
                <c:pt idx="35">
                  <c:v>1997</c:v>
                </c:pt>
                <c:pt idx="36">
                  <c:v>1998</c:v>
                </c:pt>
                <c:pt idx="37">
                  <c:v>1998</c:v>
                </c:pt>
                <c:pt idx="38">
                  <c:v>1998</c:v>
                </c:pt>
                <c:pt idx="39">
                  <c:v>1998</c:v>
                </c:pt>
                <c:pt idx="40">
                  <c:v>1999</c:v>
                </c:pt>
                <c:pt idx="41">
                  <c:v>1999</c:v>
                </c:pt>
                <c:pt idx="42">
                  <c:v>1999</c:v>
                </c:pt>
                <c:pt idx="43">
                  <c:v>1999</c:v>
                </c:pt>
                <c:pt idx="44">
                  <c:v>2000</c:v>
                </c:pt>
                <c:pt idx="45">
                  <c:v>2000</c:v>
                </c:pt>
                <c:pt idx="46">
                  <c:v>2000</c:v>
                </c:pt>
                <c:pt idx="47">
                  <c:v>2000</c:v>
                </c:pt>
                <c:pt idx="48">
                  <c:v>2001</c:v>
                </c:pt>
                <c:pt idx="49">
                  <c:v>2001</c:v>
                </c:pt>
                <c:pt idx="50">
                  <c:v>2001</c:v>
                </c:pt>
                <c:pt idx="51">
                  <c:v>2001</c:v>
                </c:pt>
                <c:pt idx="52">
                  <c:v>2002</c:v>
                </c:pt>
                <c:pt idx="53">
                  <c:v>2002</c:v>
                </c:pt>
                <c:pt idx="54">
                  <c:v>2002</c:v>
                </c:pt>
                <c:pt idx="55">
                  <c:v>2002</c:v>
                </c:pt>
                <c:pt idx="56">
                  <c:v>2003</c:v>
                </c:pt>
                <c:pt idx="57">
                  <c:v>2003</c:v>
                </c:pt>
                <c:pt idx="58">
                  <c:v>2003</c:v>
                </c:pt>
                <c:pt idx="59">
                  <c:v>2003</c:v>
                </c:pt>
                <c:pt idx="60">
                  <c:v>2004</c:v>
                </c:pt>
                <c:pt idx="61">
                  <c:v>2004</c:v>
                </c:pt>
                <c:pt idx="62">
                  <c:v>2004</c:v>
                </c:pt>
                <c:pt idx="63">
                  <c:v>2004</c:v>
                </c:pt>
                <c:pt idx="64">
                  <c:v>2005</c:v>
                </c:pt>
                <c:pt idx="65">
                  <c:v>2005</c:v>
                </c:pt>
                <c:pt idx="66">
                  <c:v>2005</c:v>
                </c:pt>
                <c:pt idx="67">
                  <c:v>2005</c:v>
                </c:pt>
                <c:pt idx="68">
                  <c:v>2006</c:v>
                </c:pt>
                <c:pt idx="69">
                  <c:v>2006</c:v>
                </c:pt>
                <c:pt idx="70">
                  <c:v>2006</c:v>
                </c:pt>
                <c:pt idx="71">
                  <c:v>2006</c:v>
                </c:pt>
                <c:pt idx="72">
                  <c:v>2007</c:v>
                </c:pt>
                <c:pt idx="73">
                  <c:v>2007</c:v>
                </c:pt>
                <c:pt idx="74">
                  <c:v>2007</c:v>
                </c:pt>
                <c:pt idx="75">
                  <c:v>2007</c:v>
                </c:pt>
                <c:pt idx="76">
                  <c:v>2008</c:v>
                </c:pt>
                <c:pt idx="77">
                  <c:v>2008</c:v>
                </c:pt>
                <c:pt idx="78">
                  <c:v>2008</c:v>
                </c:pt>
                <c:pt idx="79">
                  <c:v>2008</c:v>
                </c:pt>
                <c:pt idx="80">
                  <c:v>2009</c:v>
                </c:pt>
                <c:pt idx="81">
                  <c:v>2009</c:v>
                </c:pt>
                <c:pt idx="82">
                  <c:v>2009</c:v>
                </c:pt>
                <c:pt idx="83">
                  <c:v>2009</c:v>
                </c:pt>
                <c:pt idx="84">
                  <c:v>2010</c:v>
                </c:pt>
                <c:pt idx="85">
                  <c:v>2010</c:v>
                </c:pt>
                <c:pt idx="86">
                  <c:v>2010</c:v>
                </c:pt>
                <c:pt idx="87">
                  <c:v>2010</c:v>
                </c:pt>
                <c:pt idx="88">
                  <c:v>2011</c:v>
                </c:pt>
                <c:pt idx="89">
                  <c:v>2011</c:v>
                </c:pt>
                <c:pt idx="90">
                  <c:v>2011</c:v>
                </c:pt>
                <c:pt idx="91">
                  <c:v>2011</c:v>
                </c:pt>
                <c:pt idx="92">
                  <c:v>2012</c:v>
                </c:pt>
                <c:pt idx="93">
                  <c:v>2012</c:v>
                </c:pt>
                <c:pt idx="94">
                  <c:v>2012</c:v>
                </c:pt>
                <c:pt idx="95">
                  <c:v>2012</c:v>
                </c:pt>
                <c:pt idx="96">
                  <c:v>2013</c:v>
                </c:pt>
                <c:pt idx="97">
                  <c:v>2013</c:v>
                </c:pt>
                <c:pt idx="98">
                  <c:v>2013</c:v>
                </c:pt>
                <c:pt idx="99">
                  <c:v>2013</c:v>
                </c:pt>
                <c:pt idx="100">
                  <c:v>2014</c:v>
                </c:pt>
                <c:pt idx="101">
                  <c:v>2014</c:v>
                </c:pt>
                <c:pt idx="102">
                  <c:v>2014</c:v>
                </c:pt>
                <c:pt idx="103">
                  <c:v>2014</c:v>
                </c:pt>
                <c:pt idx="104">
                  <c:v>2015</c:v>
                </c:pt>
                <c:pt idx="105">
                  <c:v>2015</c:v>
                </c:pt>
                <c:pt idx="106">
                  <c:v>2015</c:v>
                </c:pt>
                <c:pt idx="107">
                  <c:v>2015</c:v>
                </c:pt>
                <c:pt idx="108">
                  <c:v>2016</c:v>
                </c:pt>
                <c:pt idx="109">
                  <c:v>2016</c:v>
                </c:pt>
                <c:pt idx="110">
                  <c:v>2016</c:v>
                </c:pt>
                <c:pt idx="111">
                  <c:v>2016</c:v>
                </c:pt>
                <c:pt idx="112">
                  <c:v>2017</c:v>
                </c:pt>
                <c:pt idx="113">
                  <c:v>2017</c:v>
                </c:pt>
                <c:pt idx="114">
                  <c:v>2017</c:v>
                </c:pt>
                <c:pt idx="115">
                  <c:v>2017</c:v>
                </c:pt>
                <c:pt idx="116">
                  <c:v>2018</c:v>
                </c:pt>
                <c:pt idx="117">
                  <c:v>2018</c:v>
                </c:pt>
                <c:pt idx="118">
                  <c:v>2018</c:v>
                </c:pt>
                <c:pt idx="119">
                  <c:v>2018</c:v>
                </c:pt>
                <c:pt idx="120">
                  <c:v>2019</c:v>
                </c:pt>
                <c:pt idx="121">
                  <c:v>2019</c:v>
                </c:pt>
                <c:pt idx="122">
                  <c:v>2019</c:v>
                </c:pt>
                <c:pt idx="123">
                  <c:v>2019</c:v>
                </c:pt>
                <c:pt idx="124">
                  <c:v>2020</c:v>
                </c:pt>
                <c:pt idx="125">
                  <c:v>2020</c:v>
                </c:pt>
                <c:pt idx="126">
                  <c:v>2020</c:v>
                </c:pt>
                <c:pt idx="127">
                  <c:v>2020</c:v>
                </c:pt>
                <c:pt idx="128">
                  <c:v>2021</c:v>
                </c:pt>
                <c:pt idx="129">
                  <c:v>2021</c:v>
                </c:pt>
                <c:pt idx="130">
                  <c:v>2021</c:v>
                </c:pt>
                <c:pt idx="131">
                  <c:v>2021</c:v>
                </c:pt>
                <c:pt idx="132">
                  <c:v>2022</c:v>
                </c:pt>
                <c:pt idx="133">
                  <c:v>2022</c:v>
                </c:pt>
                <c:pt idx="134">
                  <c:v>2022</c:v>
                </c:pt>
                <c:pt idx="135">
                  <c:v>2022</c:v>
                </c:pt>
              </c:strCache>
            </c:strRef>
          </c:cat>
          <c:val>
            <c:numRef>
              <c:f>Sheet1!$E$2:$E$137</c:f>
              <c:numCache>
                <c:formatCode>General</c:formatCode>
                <c:ptCount val="136"/>
                <c:pt idx="0">
                  <c:v>0.84706184954021746</c:v>
                </c:pt>
                <c:pt idx="1">
                  <c:v>0.84706184954021746</c:v>
                </c:pt>
                <c:pt idx="2">
                  <c:v>0.84706184954021746</c:v>
                </c:pt>
                <c:pt idx="3">
                  <c:v>0.84706184954021746</c:v>
                </c:pt>
                <c:pt idx="4">
                  <c:v>0.84706184954021746</c:v>
                </c:pt>
                <c:pt idx="5">
                  <c:v>0.84706184954021746</c:v>
                </c:pt>
                <c:pt idx="6">
                  <c:v>0.84706184954021746</c:v>
                </c:pt>
                <c:pt idx="7">
                  <c:v>0.84706184954021746</c:v>
                </c:pt>
                <c:pt idx="8">
                  <c:v>0.84706184954021746</c:v>
                </c:pt>
                <c:pt idx="9">
                  <c:v>0.84706184954021746</c:v>
                </c:pt>
                <c:pt idx="10">
                  <c:v>0.84706184954021746</c:v>
                </c:pt>
                <c:pt idx="11">
                  <c:v>0.84706184954021746</c:v>
                </c:pt>
                <c:pt idx="12">
                  <c:v>0.84706184954021746</c:v>
                </c:pt>
                <c:pt idx="13">
                  <c:v>0.84706184954021746</c:v>
                </c:pt>
                <c:pt idx="14">
                  <c:v>0.84706184954021746</c:v>
                </c:pt>
                <c:pt idx="15">
                  <c:v>0.84706184954021746</c:v>
                </c:pt>
                <c:pt idx="16">
                  <c:v>0.84706184954021746</c:v>
                </c:pt>
                <c:pt idx="17">
                  <c:v>0.84706184954021746</c:v>
                </c:pt>
                <c:pt idx="18">
                  <c:v>0.84706184954021746</c:v>
                </c:pt>
                <c:pt idx="19">
                  <c:v>0.84706184954021746</c:v>
                </c:pt>
                <c:pt idx="20">
                  <c:v>0.84706184954021746</c:v>
                </c:pt>
                <c:pt idx="21">
                  <c:v>0.84706184954021746</c:v>
                </c:pt>
                <c:pt idx="22">
                  <c:v>0.84706184954021746</c:v>
                </c:pt>
                <c:pt idx="23">
                  <c:v>0.84706184954021746</c:v>
                </c:pt>
                <c:pt idx="24">
                  <c:v>0.84706184954021746</c:v>
                </c:pt>
                <c:pt idx="25">
                  <c:v>0.84706184954021746</c:v>
                </c:pt>
                <c:pt idx="26">
                  <c:v>0.84706184954021746</c:v>
                </c:pt>
                <c:pt idx="27">
                  <c:v>0.84706184954021746</c:v>
                </c:pt>
                <c:pt idx="28">
                  <c:v>0.84706184954021746</c:v>
                </c:pt>
                <c:pt idx="29">
                  <c:v>0.84706184954021746</c:v>
                </c:pt>
                <c:pt idx="30">
                  <c:v>0.84706184954021746</c:v>
                </c:pt>
                <c:pt idx="31">
                  <c:v>0.84706184954021746</c:v>
                </c:pt>
                <c:pt idx="32">
                  <c:v>0.84706184954021746</c:v>
                </c:pt>
                <c:pt idx="33">
                  <c:v>0.84706184954021746</c:v>
                </c:pt>
                <c:pt idx="34">
                  <c:v>0.84706184954021746</c:v>
                </c:pt>
                <c:pt idx="35">
                  <c:v>0.84706184954021746</c:v>
                </c:pt>
                <c:pt idx="36">
                  <c:v>0.84706184954021746</c:v>
                </c:pt>
                <c:pt idx="37">
                  <c:v>0.84706184954021746</c:v>
                </c:pt>
                <c:pt idx="38">
                  <c:v>0.84706184954021746</c:v>
                </c:pt>
                <c:pt idx="39">
                  <c:v>0.84706184954021746</c:v>
                </c:pt>
                <c:pt idx="40">
                  <c:v>0.84706184954021746</c:v>
                </c:pt>
                <c:pt idx="41">
                  <c:v>0.84706184954021746</c:v>
                </c:pt>
                <c:pt idx="42">
                  <c:v>0.84706184954021746</c:v>
                </c:pt>
                <c:pt idx="43">
                  <c:v>0.84706184954021746</c:v>
                </c:pt>
                <c:pt idx="44">
                  <c:v>0.84706184954021746</c:v>
                </c:pt>
                <c:pt idx="45">
                  <c:v>0.84706184954021746</c:v>
                </c:pt>
                <c:pt idx="46">
                  <c:v>0.84706184954021746</c:v>
                </c:pt>
                <c:pt idx="47">
                  <c:v>0.84706184954021746</c:v>
                </c:pt>
                <c:pt idx="48">
                  <c:v>0.84706184954021746</c:v>
                </c:pt>
                <c:pt idx="49">
                  <c:v>0.84706184954021746</c:v>
                </c:pt>
                <c:pt idx="50">
                  <c:v>0.84706184954021746</c:v>
                </c:pt>
                <c:pt idx="51">
                  <c:v>0.84706184954021746</c:v>
                </c:pt>
                <c:pt idx="52">
                  <c:v>0.84706184954021746</c:v>
                </c:pt>
                <c:pt idx="53">
                  <c:v>0.84706184954021746</c:v>
                </c:pt>
                <c:pt idx="54">
                  <c:v>0.84706184954021746</c:v>
                </c:pt>
                <c:pt idx="55">
                  <c:v>0.84706184954021746</c:v>
                </c:pt>
                <c:pt idx="56">
                  <c:v>0.84706184954021746</c:v>
                </c:pt>
                <c:pt idx="57">
                  <c:v>0.84706184954021746</c:v>
                </c:pt>
                <c:pt idx="58">
                  <c:v>0.84706184954021746</c:v>
                </c:pt>
                <c:pt idx="59">
                  <c:v>0.84706184954021746</c:v>
                </c:pt>
                <c:pt idx="60">
                  <c:v>0.84706184954021746</c:v>
                </c:pt>
                <c:pt idx="61">
                  <c:v>0.84706184954021746</c:v>
                </c:pt>
                <c:pt idx="62">
                  <c:v>0.84706184954021746</c:v>
                </c:pt>
                <c:pt idx="63">
                  <c:v>0.84706184954021746</c:v>
                </c:pt>
                <c:pt idx="64">
                  <c:v>0.84706184954021746</c:v>
                </c:pt>
                <c:pt idx="65">
                  <c:v>0.84706184954021746</c:v>
                </c:pt>
                <c:pt idx="66">
                  <c:v>0.84706184954021746</c:v>
                </c:pt>
                <c:pt idx="67">
                  <c:v>0.84706184954021746</c:v>
                </c:pt>
                <c:pt idx="68">
                  <c:v>0.84706184954021746</c:v>
                </c:pt>
                <c:pt idx="69">
                  <c:v>0.84706184954021746</c:v>
                </c:pt>
                <c:pt idx="70">
                  <c:v>0.84706184954021746</c:v>
                </c:pt>
                <c:pt idx="71">
                  <c:v>0.84706184954021746</c:v>
                </c:pt>
                <c:pt idx="72">
                  <c:v>0.84706184954021746</c:v>
                </c:pt>
                <c:pt idx="73">
                  <c:v>0.84706184954021746</c:v>
                </c:pt>
                <c:pt idx="74">
                  <c:v>0.84706184954021746</c:v>
                </c:pt>
                <c:pt idx="75">
                  <c:v>0.84706184954021746</c:v>
                </c:pt>
                <c:pt idx="76">
                  <c:v>0.84706184954021746</c:v>
                </c:pt>
                <c:pt idx="77">
                  <c:v>0.84706184954021746</c:v>
                </c:pt>
                <c:pt idx="78">
                  <c:v>0.84706184954021746</c:v>
                </c:pt>
                <c:pt idx="79">
                  <c:v>0.84706184954021746</c:v>
                </c:pt>
                <c:pt idx="80">
                  <c:v>0.84706184954021746</c:v>
                </c:pt>
                <c:pt idx="81">
                  <c:v>0.84706184954021746</c:v>
                </c:pt>
                <c:pt idx="82">
                  <c:v>0.84706184954021746</c:v>
                </c:pt>
                <c:pt idx="83">
                  <c:v>0.84706184954021746</c:v>
                </c:pt>
                <c:pt idx="84">
                  <c:v>0.84706184954021746</c:v>
                </c:pt>
                <c:pt idx="85">
                  <c:v>0.84706184954021746</c:v>
                </c:pt>
                <c:pt idx="86">
                  <c:v>0.84706184954021746</c:v>
                </c:pt>
                <c:pt idx="87">
                  <c:v>0.84706184954021746</c:v>
                </c:pt>
                <c:pt idx="88">
                  <c:v>0.84706184954021746</c:v>
                </c:pt>
                <c:pt idx="89">
                  <c:v>0.84706184954021746</c:v>
                </c:pt>
                <c:pt idx="90">
                  <c:v>0.84706184954021746</c:v>
                </c:pt>
                <c:pt idx="91">
                  <c:v>0.84706184954021746</c:v>
                </c:pt>
                <c:pt idx="92">
                  <c:v>0.84706184954021746</c:v>
                </c:pt>
                <c:pt idx="93">
                  <c:v>0.84706184954021746</c:v>
                </c:pt>
                <c:pt idx="94">
                  <c:v>0.84706184954021746</c:v>
                </c:pt>
                <c:pt idx="95">
                  <c:v>0.84706184954021746</c:v>
                </c:pt>
                <c:pt idx="96">
                  <c:v>0.84706184954021746</c:v>
                </c:pt>
                <c:pt idx="97">
                  <c:v>0.84706184954021746</c:v>
                </c:pt>
                <c:pt idx="98">
                  <c:v>0.84706184954021746</c:v>
                </c:pt>
                <c:pt idx="99">
                  <c:v>0.84706184954021746</c:v>
                </c:pt>
                <c:pt idx="100">
                  <c:v>0.84706184954021746</c:v>
                </c:pt>
                <c:pt idx="101">
                  <c:v>0.84706184954021746</c:v>
                </c:pt>
                <c:pt idx="102">
                  <c:v>0.84706184954021746</c:v>
                </c:pt>
                <c:pt idx="103">
                  <c:v>0.84706184954021746</c:v>
                </c:pt>
                <c:pt idx="104">
                  <c:v>0.84706184954021746</c:v>
                </c:pt>
                <c:pt idx="105">
                  <c:v>0.84706184954021746</c:v>
                </c:pt>
                <c:pt idx="106">
                  <c:v>0.84706184954021746</c:v>
                </c:pt>
                <c:pt idx="107">
                  <c:v>0.84706184954021746</c:v>
                </c:pt>
                <c:pt idx="108">
                  <c:v>0.84706184954021746</c:v>
                </c:pt>
                <c:pt idx="109">
                  <c:v>0.84706184954021746</c:v>
                </c:pt>
                <c:pt idx="110">
                  <c:v>0.84706184954021746</c:v>
                </c:pt>
                <c:pt idx="111">
                  <c:v>0.84706184954021746</c:v>
                </c:pt>
                <c:pt idx="112">
                  <c:v>0.84706184954021746</c:v>
                </c:pt>
                <c:pt idx="113">
                  <c:v>0.84706184954021746</c:v>
                </c:pt>
                <c:pt idx="114">
                  <c:v>0.84706184954021746</c:v>
                </c:pt>
                <c:pt idx="115">
                  <c:v>0.84706184954021746</c:v>
                </c:pt>
                <c:pt idx="116">
                  <c:v>0.84706184954021746</c:v>
                </c:pt>
                <c:pt idx="117">
                  <c:v>0.84706184954021746</c:v>
                </c:pt>
                <c:pt idx="118">
                  <c:v>0.84706184954021746</c:v>
                </c:pt>
                <c:pt idx="119">
                  <c:v>0.84706184954021746</c:v>
                </c:pt>
                <c:pt idx="120">
                  <c:v>0.84706184954021746</c:v>
                </c:pt>
                <c:pt idx="121">
                  <c:v>0.84706184954021746</c:v>
                </c:pt>
                <c:pt idx="122">
                  <c:v>0.84706184954021746</c:v>
                </c:pt>
                <c:pt idx="123">
                  <c:v>0.84706184954021746</c:v>
                </c:pt>
                <c:pt idx="124">
                  <c:v>0.84706184954021746</c:v>
                </c:pt>
                <c:pt idx="125">
                  <c:v>0.84706184954021746</c:v>
                </c:pt>
                <c:pt idx="126">
                  <c:v>0.84706184954021746</c:v>
                </c:pt>
                <c:pt idx="127">
                  <c:v>0.84706184954021746</c:v>
                </c:pt>
                <c:pt idx="128">
                  <c:v>0.84706184954021746</c:v>
                </c:pt>
                <c:pt idx="129">
                  <c:v>0.84706184954021746</c:v>
                </c:pt>
                <c:pt idx="130">
                  <c:v>0.84706184954021746</c:v>
                </c:pt>
                <c:pt idx="131">
                  <c:v>0.84706184954021746</c:v>
                </c:pt>
                <c:pt idx="132">
                  <c:v>0.84706184954021746</c:v>
                </c:pt>
                <c:pt idx="133">
                  <c:v>0.84706184954021746</c:v>
                </c:pt>
                <c:pt idx="134">
                  <c:v>0.84706184954021746</c:v>
                </c:pt>
                <c:pt idx="135">
                  <c:v>0.84706184954021746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02B-4BAC-97AB-538364CB2C38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USD/GBP LR average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Sheet1!$A$2:$A$137</c:f>
              <c:strCache>
                <c:ptCount val="136"/>
                <c:pt idx="0">
                  <c:v>1989</c:v>
                </c:pt>
                <c:pt idx="1">
                  <c:v>1989</c:v>
                </c:pt>
                <c:pt idx="2">
                  <c:v>1989</c:v>
                </c:pt>
                <c:pt idx="3">
                  <c:v>1989</c:v>
                </c:pt>
                <c:pt idx="4">
                  <c:v>1990</c:v>
                </c:pt>
                <c:pt idx="5">
                  <c:v>1990</c:v>
                </c:pt>
                <c:pt idx="6">
                  <c:v>1990</c:v>
                </c:pt>
                <c:pt idx="7">
                  <c:v>1990</c:v>
                </c:pt>
                <c:pt idx="8">
                  <c:v>1991</c:v>
                </c:pt>
                <c:pt idx="9">
                  <c:v>1991</c:v>
                </c:pt>
                <c:pt idx="10">
                  <c:v>1991</c:v>
                </c:pt>
                <c:pt idx="11">
                  <c:v>1991</c:v>
                </c:pt>
                <c:pt idx="12">
                  <c:v>1992</c:v>
                </c:pt>
                <c:pt idx="13">
                  <c:v>1992</c:v>
                </c:pt>
                <c:pt idx="14">
                  <c:v>1992</c:v>
                </c:pt>
                <c:pt idx="15">
                  <c:v>1992</c:v>
                </c:pt>
                <c:pt idx="16">
                  <c:v>1993</c:v>
                </c:pt>
                <c:pt idx="17">
                  <c:v>1993</c:v>
                </c:pt>
                <c:pt idx="18">
                  <c:v>1993</c:v>
                </c:pt>
                <c:pt idx="19">
                  <c:v>1993</c:v>
                </c:pt>
                <c:pt idx="20">
                  <c:v>1994</c:v>
                </c:pt>
                <c:pt idx="21">
                  <c:v>1994</c:v>
                </c:pt>
                <c:pt idx="22">
                  <c:v>1994</c:v>
                </c:pt>
                <c:pt idx="23">
                  <c:v>1994</c:v>
                </c:pt>
                <c:pt idx="24">
                  <c:v>1995</c:v>
                </c:pt>
                <c:pt idx="25">
                  <c:v>1995</c:v>
                </c:pt>
                <c:pt idx="26">
                  <c:v>1995</c:v>
                </c:pt>
                <c:pt idx="27">
                  <c:v>1995</c:v>
                </c:pt>
                <c:pt idx="28">
                  <c:v>1996</c:v>
                </c:pt>
                <c:pt idx="29">
                  <c:v>1996</c:v>
                </c:pt>
                <c:pt idx="30">
                  <c:v>1996</c:v>
                </c:pt>
                <c:pt idx="31">
                  <c:v>1996</c:v>
                </c:pt>
                <c:pt idx="32">
                  <c:v>1997</c:v>
                </c:pt>
                <c:pt idx="33">
                  <c:v>1997</c:v>
                </c:pt>
                <c:pt idx="34">
                  <c:v>1997</c:v>
                </c:pt>
                <c:pt idx="35">
                  <c:v>1997</c:v>
                </c:pt>
                <c:pt idx="36">
                  <c:v>1998</c:v>
                </c:pt>
                <c:pt idx="37">
                  <c:v>1998</c:v>
                </c:pt>
                <c:pt idx="38">
                  <c:v>1998</c:v>
                </c:pt>
                <c:pt idx="39">
                  <c:v>1998</c:v>
                </c:pt>
                <c:pt idx="40">
                  <c:v>1999</c:v>
                </c:pt>
                <c:pt idx="41">
                  <c:v>1999</c:v>
                </c:pt>
                <c:pt idx="42">
                  <c:v>1999</c:v>
                </c:pt>
                <c:pt idx="43">
                  <c:v>1999</c:v>
                </c:pt>
                <c:pt idx="44">
                  <c:v>2000</c:v>
                </c:pt>
                <c:pt idx="45">
                  <c:v>2000</c:v>
                </c:pt>
                <c:pt idx="46">
                  <c:v>2000</c:v>
                </c:pt>
                <c:pt idx="47">
                  <c:v>2000</c:v>
                </c:pt>
                <c:pt idx="48">
                  <c:v>2001</c:v>
                </c:pt>
                <c:pt idx="49">
                  <c:v>2001</c:v>
                </c:pt>
                <c:pt idx="50">
                  <c:v>2001</c:v>
                </c:pt>
                <c:pt idx="51">
                  <c:v>2001</c:v>
                </c:pt>
                <c:pt idx="52">
                  <c:v>2002</c:v>
                </c:pt>
                <c:pt idx="53">
                  <c:v>2002</c:v>
                </c:pt>
                <c:pt idx="54">
                  <c:v>2002</c:v>
                </c:pt>
                <c:pt idx="55">
                  <c:v>2002</c:v>
                </c:pt>
                <c:pt idx="56">
                  <c:v>2003</c:v>
                </c:pt>
                <c:pt idx="57">
                  <c:v>2003</c:v>
                </c:pt>
                <c:pt idx="58">
                  <c:v>2003</c:v>
                </c:pt>
                <c:pt idx="59">
                  <c:v>2003</c:v>
                </c:pt>
                <c:pt idx="60">
                  <c:v>2004</c:v>
                </c:pt>
                <c:pt idx="61">
                  <c:v>2004</c:v>
                </c:pt>
                <c:pt idx="62">
                  <c:v>2004</c:v>
                </c:pt>
                <c:pt idx="63">
                  <c:v>2004</c:v>
                </c:pt>
                <c:pt idx="64">
                  <c:v>2005</c:v>
                </c:pt>
                <c:pt idx="65">
                  <c:v>2005</c:v>
                </c:pt>
                <c:pt idx="66">
                  <c:v>2005</c:v>
                </c:pt>
                <c:pt idx="67">
                  <c:v>2005</c:v>
                </c:pt>
                <c:pt idx="68">
                  <c:v>2006</c:v>
                </c:pt>
                <c:pt idx="69">
                  <c:v>2006</c:v>
                </c:pt>
                <c:pt idx="70">
                  <c:v>2006</c:v>
                </c:pt>
                <c:pt idx="71">
                  <c:v>2006</c:v>
                </c:pt>
                <c:pt idx="72">
                  <c:v>2007</c:v>
                </c:pt>
                <c:pt idx="73">
                  <c:v>2007</c:v>
                </c:pt>
                <c:pt idx="74">
                  <c:v>2007</c:v>
                </c:pt>
                <c:pt idx="75">
                  <c:v>2007</c:v>
                </c:pt>
                <c:pt idx="76">
                  <c:v>2008</c:v>
                </c:pt>
                <c:pt idx="77">
                  <c:v>2008</c:v>
                </c:pt>
                <c:pt idx="78">
                  <c:v>2008</c:v>
                </c:pt>
                <c:pt idx="79">
                  <c:v>2008</c:v>
                </c:pt>
                <c:pt idx="80">
                  <c:v>2009</c:v>
                </c:pt>
                <c:pt idx="81">
                  <c:v>2009</c:v>
                </c:pt>
                <c:pt idx="82">
                  <c:v>2009</c:v>
                </c:pt>
                <c:pt idx="83">
                  <c:v>2009</c:v>
                </c:pt>
                <c:pt idx="84">
                  <c:v>2010</c:v>
                </c:pt>
                <c:pt idx="85">
                  <c:v>2010</c:v>
                </c:pt>
                <c:pt idx="86">
                  <c:v>2010</c:v>
                </c:pt>
                <c:pt idx="87">
                  <c:v>2010</c:v>
                </c:pt>
                <c:pt idx="88">
                  <c:v>2011</c:v>
                </c:pt>
                <c:pt idx="89">
                  <c:v>2011</c:v>
                </c:pt>
                <c:pt idx="90">
                  <c:v>2011</c:v>
                </c:pt>
                <c:pt idx="91">
                  <c:v>2011</c:v>
                </c:pt>
                <c:pt idx="92">
                  <c:v>2012</c:v>
                </c:pt>
                <c:pt idx="93">
                  <c:v>2012</c:v>
                </c:pt>
                <c:pt idx="94">
                  <c:v>2012</c:v>
                </c:pt>
                <c:pt idx="95">
                  <c:v>2012</c:v>
                </c:pt>
                <c:pt idx="96">
                  <c:v>2013</c:v>
                </c:pt>
                <c:pt idx="97">
                  <c:v>2013</c:v>
                </c:pt>
                <c:pt idx="98">
                  <c:v>2013</c:v>
                </c:pt>
                <c:pt idx="99">
                  <c:v>2013</c:v>
                </c:pt>
                <c:pt idx="100">
                  <c:v>2014</c:v>
                </c:pt>
                <c:pt idx="101">
                  <c:v>2014</c:v>
                </c:pt>
                <c:pt idx="102">
                  <c:v>2014</c:v>
                </c:pt>
                <c:pt idx="103">
                  <c:v>2014</c:v>
                </c:pt>
                <c:pt idx="104">
                  <c:v>2015</c:v>
                </c:pt>
                <c:pt idx="105">
                  <c:v>2015</c:v>
                </c:pt>
                <c:pt idx="106">
                  <c:v>2015</c:v>
                </c:pt>
                <c:pt idx="107">
                  <c:v>2015</c:v>
                </c:pt>
                <c:pt idx="108">
                  <c:v>2016</c:v>
                </c:pt>
                <c:pt idx="109">
                  <c:v>2016</c:v>
                </c:pt>
                <c:pt idx="110">
                  <c:v>2016</c:v>
                </c:pt>
                <c:pt idx="111">
                  <c:v>2016</c:v>
                </c:pt>
                <c:pt idx="112">
                  <c:v>2017</c:v>
                </c:pt>
                <c:pt idx="113">
                  <c:v>2017</c:v>
                </c:pt>
                <c:pt idx="114">
                  <c:v>2017</c:v>
                </c:pt>
                <c:pt idx="115">
                  <c:v>2017</c:v>
                </c:pt>
                <c:pt idx="116">
                  <c:v>2018</c:v>
                </c:pt>
                <c:pt idx="117">
                  <c:v>2018</c:v>
                </c:pt>
                <c:pt idx="118">
                  <c:v>2018</c:v>
                </c:pt>
                <c:pt idx="119">
                  <c:v>2018</c:v>
                </c:pt>
                <c:pt idx="120">
                  <c:v>2019</c:v>
                </c:pt>
                <c:pt idx="121">
                  <c:v>2019</c:v>
                </c:pt>
                <c:pt idx="122">
                  <c:v>2019</c:v>
                </c:pt>
                <c:pt idx="123">
                  <c:v>2019</c:v>
                </c:pt>
                <c:pt idx="124">
                  <c:v>2020</c:v>
                </c:pt>
                <c:pt idx="125">
                  <c:v>2020</c:v>
                </c:pt>
                <c:pt idx="126">
                  <c:v>2020</c:v>
                </c:pt>
                <c:pt idx="127">
                  <c:v>2020</c:v>
                </c:pt>
                <c:pt idx="128">
                  <c:v>2021</c:v>
                </c:pt>
                <c:pt idx="129">
                  <c:v>2021</c:v>
                </c:pt>
                <c:pt idx="130">
                  <c:v>2021</c:v>
                </c:pt>
                <c:pt idx="131">
                  <c:v>2021</c:v>
                </c:pt>
                <c:pt idx="132">
                  <c:v>2022</c:v>
                </c:pt>
                <c:pt idx="133">
                  <c:v>2022</c:v>
                </c:pt>
                <c:pt idx="134">
                  <c:v>2022</c:v>
                </c:pt>
                <c:pt idx="135">
                  <c:v>2022</c:v>
                </c:pt>
              </c:strCache>
            </c:strRef>
          </c:cat>
          <c:val>
            <c:numRef>
              <c:f>Sheet1!$G$2:$G$137</c:f>
              <c:numCache>
                <c:formatCode>General</c:formatCode>
                <c:ptCount val="136"/>
                <c:pt idx="0">
                  <c:v>0.64339112316653768</c:v>
                </c:pt>
                <c:pt idx="1">
                  <c:v>0.64339112316653768</c:v>
                </c:pt>
                <c:pt idx="2">
                  <c:v>0.64339112316653768</c:v>
                </c:pt>
                <c:pt idx="3">
                  <c:v>0.64339112316653768</c:v>
                </c:pt>
                <c:pt idx="4">
                  <c:v>0.64339112316653768</c:v>
                </c:pt>
                <c:pt idx="5">
                  <c:v>0.64339112316653768</c:v>
                </c:pt>
                <c:pt idx="6">
                  <c:v>0.64339112316653768</c:v>
                </c:pt>
                <c:pt idx="7">
                  <c:v>0.64339112316653768</c:v>
                </c:pt>
                <c:pt idx="8">
                  <c:v>0.64339112316653768</c:v>
                </c:pt>
                <c:pt idx="9">
                  <c:v>0.64339112316653768</c:v>
                </c:pt>
                <c:pt idx="10">
                  <c:v>0.64339112316653768</c:v>
                </c:pt>
                <c:pt idx="11">
                  <c:v>0.64339112316653768</c:v>
                </c:pt>
                <c:pt idx="12">
                  <c:v>0.64339112316653768</c:v>
                </c:pt>
                <c:pt idx="13">
                  <c:v>0.64339112316653768</c:v>
                </c:pt>
                <c:pt idx="14">
                  <c:v>0.64339112316653768</c:v>
                </c:pt>
                <c:pt idx="15">
                  <c:v>0.64339112316653768</c:v>
                </c:pt>
                <c:pt idx="16">
                  <c:v>0.64339112316653768</c:v>
                </c:pt>
                <c:pt idx="17">
                  <c:v>0.64339112316653768</c:v>
                </c:pt>
                <c:pt idx="18">
                  <c:v>0.64339112316653768</c:v>
                </c:pt>
                <c:pt idx="19">
                  <c:v>0.64339112316653768</c:v>
                </c:pt>
                <c:pt idx="20">
                  <c:v>0.64339112316653768</c:v>
                </c:pt>
                <c:pt idx="21">
                  <c:v>0.64339112316653768</c:v>
                </c:pt>
                <c:pt idx="22">
                  <c:v>0.64339112316653768</c:v>
                </c:pt>
                <c:pt idx="23">
                  <c:v>0.64339112316653768</c:v>
                </c:pt>
                <c:pt idx="24">
                  <c:v>0.64339112316653768</c:v>
                </c:pt>
                <c:pt idx="25">
                  <c:v>0.64339112316653768</c:v>
                </c:pt>
                <c:pt idx="26">
                  <c:v>0.64339112316653768</c:v>
                </c:pt>
                <c:pt idx="27">
                  <c:v>0.64339112316653768</c:v>
                </c:pt>
                <c:pt idx="28">
                  <c:v>0.64339112316653768</c:v>
                </c:pt>
                <c:pt idx="29">
                  <c:v>0.64339112316653768</c:v>
                </c:pt>
                <c:pt idx="30">
                  <c:v>0.64339112316653768</c:v>
                </c:pt>
                <c:pt idx="31">
                  <c:v>0.64339112316653768</c:v>
                </c:pt>
                <c:pt idx="32">
                  <c:v>0.64339112316653768</c:v>
                </c:pt>
                <c:pt idx="33">
                  <c:v>0.64339112316653768</c:v>
                </c:pt>
                <c:pt idx="34">
                  <c:v>0.64339112316653768</c:v>
                </c:pt>
                <c:pt idx="35">
                  <c:v>0.64339112316653768</c:v>
                </c:pt>
                <c:pt idx="36">
                  <c:v>0.64339112316653768</c:v>
                </c:pt>
                <c:pt idx="37">
                  <c:v>0.64339112316653768</c:v>
                </c:pt>
                <c:pt idx="38">
                  <c:v>0.64339112316653768</c:v>
                </c:pt>
                <c:pt idx="39">
                  <c:v>0.64339112316653768</c:v>
                </c:pt>
                <c:pt idx="40">
                  <c:v>0.64339112316653768</c:v>
                </c:pt>
                <c:pt idx="41">
                  <c:v>0.64339112316653768</c:v>
                </c:pt>
                <c:pt idx="42">
                  <c:v>0.64339112316653768</c:v>
                </c:pt>
                <c:pt idx="43">
                  <c:v>0.64339112316653768</c:v>
                </c:pt>
                <c:pt idx="44">
                  <c:v>0.64339112316653768</c:v>
                </c:pt>
                <c:pt idx="45">
                  <c:v>0.64339112316653768</c:v>
                </c:pt>
                <c:pt idx="46">
                  <c:v>0.64339112316653768</c:v>
                </c:pt>
                <c:pt idx="47">
                  <c:v>0.64339112316653768</c:v>
                </c:pt>
                <c:pt idx="48">
                  <c:v>0.64339112316653768</c:v>
                </c:pt>
                <c:pt idx="49">
                  <c:v>0.64339112316653768</c:v>
                </c:pt>
                <c:pt idx="50">
                  <c:v>0.64339112316653768</c:v>
                </c:pt>
                <c:pt idx="51">
                  <c:v>0.64339112316653768</c:v>
                </c:pt>
                <c:pt idx="52">
                  <c:v>0.64339112316653768</c:v>
                </c:pt>
                <c:pt idx="53">
                  <c:v>0.64339112316653768</c:v>
                </c:pt>
                <c:pt idx="54">
                  <c:v>0.64339112316653768</c:v>
                </c:pt>
                <c:pt idx="55">
                  <c:v>0.64339112316653768</c:v>
                </c:pt>
                <c:pt idx="56">
                  <c:v>0.64339112316653768</c:v>
                </c:pt>
                <c:pt idx="57">
                  <c:v>0.64339112316653768</c:v>
                </c:pt>
                <c:pt idx="58">
                  <c:v>0.64339112316653768</c:v>
                </c:pt>
                <c:pt idx="59">
                  <c:v>0.64339112316653768</c:v>
                </c:pt>
                <c:pt idx="60">
                  <c:v>0.64339112316653768</c:v>
                </c:pt>
                <c:pt idx="61">
                  <c:v>0.64339112316653768</c:v>
                </c:pt>
                <c:pt idx="62">
                  <c:v>0.64339112316653768</c:v>
                </c:pt>
                <c:pt idx="63">
                  <c:v>0.64339112316653768</c:v>
                </c:pt>
                <c:pt idx="64">
                  <c:v>0.64339112316653768</c:v>
                </c:pt>
                <c:pt idx="65">
                  <c:v>0.64339112316653768</c:v>
                </c:pt>
                <c:pt idx="66">
                  <c:v>0.64339112316653768</c:v>
                </c:pt>
                <c:pt idx="67">
                  <c:v>0.64339112316653768</c:v>
                </c:pt>
                <c:pt idx="68">
                  <c:v>0.64339112316653768</c:v>
                </c:pt>
                <c:pt idx="69">
                  <c:v>0.64339112316653768</c:v>
                </c:pt>
                <c:pt idx="70">
                  <c:v>0.64339112316653768</c:v>
                </c:pt>
                <c:pt idx="71">
                  <c:v>0.64339112316653768</c:v>
                </c:pt>
                <c:pt idx="72">
                  <c:v>0.64339112316653768</c:v>
                </c:pt>
                <c:pt idx="73">
                  <c:v>0.64339112316653768</c:v>
                </c:pt>
                <c:pt idx="74">
                  <c:v>0.64339112316653768</c:v>
                </c:pt>
                <c:pt idx="75">
                  <c:v>0.64339112316653768</c:v>
                </c:pt>
                <c:pt idx="76">
                  <c:v>0.64339112316653768</c:v>
                </c:pt>
                <c:pt idx="77">
                  <c:v>0.64339112316653768</c:v>
                </c:pt>
                <c:pt idx="78">
                  <c:v>0.64339112316653768</c:v>
                </c:pt>
                <c:pt idx="79">
                  <c:v>0.64339112316653768</c:v>
                </c:pt>
                <c:pt idx="80">
                  <c:v>0.64339112316653768</c:v>
                </c:pt>
                <c:pt idx="81">
                  <c:v>0.64339112316653768</c:v>
                </c:pt>
                <c:pt idx="82">
                  <c:v>0.64339112316653768</c:v>
                </c:pt>
                <c:pt idx="83">
                  <c:v>0.64339112316653768</c:v>
                </c:pt>
                <c:pt idx="84">
                  <c:v>0.64339112316653768</c:v>
                </c:pt>
                <c:pt idx="85">
                  <c:v>0.64339112316653768</c:v>
                </c:pt>
                <c:pt idx="86">
                  <c:v>0.64339112316653768</c:v>
                </c:pt>
                <c:pt idx="87">
                  <c:v>0.64339112316653768</c:v>
                </c:pt>
                <c:pt idx="88">
                  <c:v>0.64339112316653768</c:v>
                </c:pt>
                <c:pt idx="89">
                  <c:v>0.64339112316653768</c:v>
                </c:pt>
                <c:pt idx="90">
                  <c:v>0.64339112316653768</c:v>
                </c:pt>
                <c:pt idx="91">
                  <c:v>0.64339112316653768</c:v>
                </c:pt>
                <c:pt idx="92">
                  <c:v>0.64339112316653768</c:v>
                </c:pt>
                <c:pt idx="93">
                  <c:v>0.64339112316653768</c:v>
                </c:pt>
                <c:pt idx="94">
                  <c:v>0.64339112316653768</c:v>
                </c:pt>
                <c:pt idx="95">
                  <c:v>0.64339112316653768</c:v>
                </c:pt>
                <c:pt idx="96">
                  <c:v>0.64339112316653768</c:v>
                </c:pt>
                <c:pt idx="97">
                  <c:v>0.64339112316653768</c:v>
                </c:pt>
                <c:pt idx="98">
                  <c:v>0.64339112316653768</c:v>
                </c:pt>
                <c:pt idx="99">
                  <c:v>0.64339112316653768</c:v>
                </c:pt>
                <c:pt idx="100">
                  <c:v>0.64339112316653768</c:v>
                </c:pt>
                <c:pt idx="101">
                  <c:v>0.64339112316653768</c:v>
                </c:pt>
                <c:pt idx="102">
                  <c:v>0.64339112316653768</c:v>
                </c:pt>
                <c:pt idx="103">
                  <c:v>0.64339112316653768</c:v>
                </c:pt>
                <c:pt idx="104">
                  <c:v>0.64339112316653768</c:v>
                </c:pt>
                <c:pt idx="105">
                  <c:v>0.64339112316653768</c:v>
                </c:pt>
                <c:pt idx="106">
                  <c:v>0.64339112316653768</c:v>
                </c:pt>
                <c:pt idx="107">
                  <c:v>0.64339112316653768</c:v>
                </c:pt>
                <c:pt idx="108">
                  <c:v>0.64339112316653768</c:v>
                </c:pt>
                <c:pt idx="109">
                  <c:v>0.64339112316653768</c:v>
                </c:pt>
                <c:pt idx="110">
                  <c:v>0.64339112316653768</c:v>
                </c:pt>
                <c:pt idx="111">
                  <c:v>0.64339112316653768</c:v>
                </c:pt>
                <c:pt idx="112">
                  <c:v>0.64339112316653768</c:v>
                </c:pt>
                <c:pt idx="113">
                  <c:v>0.64339112316653768</c:v>
                </c:pt>
                <c:pt idx="114">
                  <c:v>0.64339112316653768</c:v>
                </c:pt>
                <c:pt idx="115">
                  <c:v>0.64339112316653768</c:v>
                </c:pt>
                <c:pt idx="116">
                  <c:v>0.64339112316653768</c:v>
                </c:pt>
                <c:pt idx="117">
                  <c:v>0.64339112316653768</c:v>
                </c:pt>
                <c:pt idx="118">
                  <c:v>0.64339112316653768</c:v>
                </c:pt>
                <c:pt idx="119">
                  <c:v>0.64339112316653768</c:v>
                </c:pt>
                <c:pt idx="120">
                  <c:v>0.64339112316653768</c:v>
                </c:pt>
                <c:pt idx="121">
                  <c:v>0.64339112316653768</c:v>
                </c:pt>
                <c:pt idx="122">
                  <c:v>0.64339112316653768</c:v>
                </c:pt>
                <c:pt idx="123">
                  <c:v>0.64339112316653768</c:v>
                </c:pt>
                <c:pt idx="124">
                  <c:v>0.64339112316653768</c:v>
                </c:pt>
                <c:pt idx="125">
                  <c:v>0.64339112316653768</c:v>
                </c:pt>
                <c:pt idx="126">
                  <c:v>0.64339112316653768</c:v>
                </c:pt>
                <c:pt idx="127">
                  <c:v>0.64339112316653768</c:v>
                </c:pt>
                <c:pt idx="128">
                  <c:v>0.64339112316653768</c:v>
                </c:pt>
                <c:pt idx="129">
                  <c:v>0.64339112316653768</c:v>
                </c:pt>
                <c:pt idx="130">
                  <c:v>0.64339112316653768</c:v>
                </c:pt>
                <c:pt idx="131">
                  <c:v>0.64339112316653768</c:v>
                </c:pt>
                <c:pt idx="132">
                  <c:v>0.64339112316653768</c:v>
                </c:pt>
                <c:pt idx="133">
                  <c:v>0.64339112316653768</c:v>
                </c:pt>
                <c:pt idx="134">
                  <c:v>0.64339112316653768</c:v>
                </c:pt>
                <c:pt idx="135">
                  <c:v>0.64339112316653768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02B-4BAC-97AB-538364CB2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066112"/>
        <c:axId val="205300864"/>
      </c:lineChart>
      <c:lineChart>
        <c:grouping val="standard"/>
        <c:varyColors val="0"/>
        <c:ser>
          <c:idx val="1"/>
          <c:order val="1"/>
          <c:tx>
            <c:strRef>
              <c:f>Sheet1!$C$1</c:f>
              <c:strCache>
                <c:ptCount val="1"/>
                <c:pt idx="0">
                  <c:v>USD/yen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Sheet1!$A$2:$A$137</c:f>
              <c:strCache>
                <c:ptCount val="136"/>
                <c:pt idx="0">
                  <c:v>1989</c:v>
                </c:pt>
                <c:pt idx="1">
                  <c:v>1989</c:v>
                </c:pt>
                <c:pt idx="2">
                  <c:v>1989</c:v>
                </c:pt>
                <c:pt idx="3">
                  <c:v>1989</c:v>
                </c:pt>
                <c:pt idx="4">
                  <c:v>1990</c:v>
                </c:pt>
                <c:pt idx="5">
                  <c:v>1990</c:v>
                </c:pt>
                <c:pt idx="6">
                  <c:v>1990</c:v>
                </c:pt>
                <c:pt idx="7">
                  <c:v>1990</c:v>
                </c:pt>
                <c:pt idx="8">
                  <c:v>1991</c:v>
                </c:pt>
                <c:pt idx="9">
                  <c:v>1991</c:v>
                </c:pt>
                <c:pt idx="10">
                  <c:v>1991</c:v>
                </c:pt>
                <c:pt idx="11">
                  <c:v>1991</c:v>
                </c:pt>
                <c:pt idx="12">
                  <c:v>1992</c:v>
                </c:pt>
                <c:pt idx="13">
                  <c:v>1992</c:v>
                </c:pt>
                <c:pt idx="14">
                  <c:v>1992</c:v>
                </c:pt>
                <c:pt idx="15">
                  <c:v>1992</c:v>
                </c:pt>
                <c:pt idx="16">
                  <c:v>1993</c:v>
                </c:pt>
                <c:pt idx="17">
                  <c:v>1993</c:v>
                </c:pt>
                <c:pt idx="18">
                  <c:v>1993</c:v>
                </c:pt>
                <c:pt idx="19">
                  <c:v>1993</c:v>
                </c:pt>
                <c:pt idx="20">
                  <c:v>1994</c:v>
                </c:pt>
                <c:pt idx="21">
                  <c:v>1994</c:v>
                </c:pt>
                <c:pt idx="22">
                  <c:v>1994</c:v>
                </c:pt>
                <c:pt idx="23">
                  <c:v>1994</c:v>
                </c:pt>
                <c:pt idx="24">
                  <c:v>1995</c:v>
                </c:pt>
                <c:pt idx="25">
                  <c:v>1995</c:v>
                </c:pt>
                <c:pt idx="26">
                  <c:v>1995</c:v>
                </c:pt>
                <c:pt idx="27">
                  <c:v>1995</c:v>
                </c:pt>
                <c:pt idx="28">
                  <c:v>1996</c:v>
                </c:pt>
                <c:pt idx="29">
                  <c:v>1996</c:v>
                </c:pt>
                <c:pt idx="30">
                  <c:v>1996</c:v>
                </c:pt>
                <c:pt idx="31">
                  <c:v>1996</c:v>
                </c:pt>
                <c:pt idx="32">
                  <c:v>1997</c:v>
                </c:pt>
                <c:pt idx="33">
                  <c:v>1997</c:v>
                </c:pt>
                <c:pt idx="34">
                  <c:v>1997</c:v>
                </c:pt>
                <c:pt idx="35">
                  <c:v>1997</c:v>
                </c:pt>
                <c:pt idx="36">
                  <c:v>1998</c:v>
                </c:pt>
                <c:pt idx="37">
                  <c:v>1998</c:v>
                </c:pt>
                <c:pt idx="38">
                  <c:v>1998</c:v>
                </c:pt>
                <c:pt idx="39">
                  <c:v>1998</c:v>
                </c:pt>
                <c:pt idx="40">
                  <c:v>1999</c:v>
                </c:pt>
                <c:pt idx="41">
                  <c:v>1999</c:v>
                </c:pt>
                <c:pt idx="42">
                  <c:v>1999</c:v>
                </c:pt>
                <c:pt idx="43">
                  <c:v>1999</c:v>
                </c:pt>
                <c:pt idx="44">
                  <c:v>2000</c:v>
                </c:pt>
                <c:pt idx="45">
                  <c:v>2000</c:v>
                </c:pt>
                <c:pt idx="46">
                  <c:v>2000</c:v>
                </c:pt>
                <c:pt idx="47">
                  <c:v>2000</c:v>
                </c:pt>
                <c:pt idx="48">
                  <c:v>2001</c:v>
                </c:pt>
                <c:pt idx="49">
                  <c:v>2001</c:v>
                </c:pt>
                <c:pt idx="50">
                  <c:v>2001</c:v>
                </c:pt>
                <c:pt idx="51">
                  <c:v>2001</c:v>
                </c:pt>
                <c:pt idx="52">
                  <c:v>2002</c:v>
                </c:pt>
                <c:pt idx="53">
                  <c:v>2002</c:v>
                </c:pt>
                <c:pt idx="54">
                  <c:v>2002</c:v>
                </c:pt>
                <c:pt idx="55">
                  <c:v>2002</c:v>
                </c:pt>
                <c:pt idx="56">
                  <c:v>2003</c:v>
                </c:pt>
                <c:pt idx="57">
                  <c:v>2003</c:v>
                </c:pt>
                <c:pt idx="58">
                  <c:v>2003</c:v>
                </c:pt>
                <c:pt idx="59">
                  <c:v>2003</c:v>
                </c:pt>
                <c:pt idx="60">
                  <c:v>2004</c:v>
                </c:pt>
                <c:pt idx="61">
                  <c:v>2004</c:v>
                </c:pt>
                <c:pt idx="62">
                  <c:v>2004</c:v>
                </c:pt>
                <c:pt idx="63">
                  <c:v>2004</c:v>
                </c:pt>
                <c:pt idx="64">
                  <c:v>2005</c:v>
                </c:pt>
                <c:pt idx="65">
                  <c:v>2005</c:v>
                </c:pt>
                <c:pt idx="66">
                  <c:v>2005</c:v>
                </c:pt>
                <c:pt idx="67">
                  <c:v>2005</c:v>
                </c:pt>
                <c:pt idx="68">
                  <c:v>2006</c:v>
                </c:pt>
                <c:pt idx="69">
                  <c:v>2006</c:v>
                </c:pt>
                <c:pt idx="70">
                  <c:v>2006</c:v>
                </c:pt>
                <c:pt idx="71">
                  <c:v>2006</c:v>
                </c:pt>
                <c:pt idx="72">
                  <c:v>2007</c:v>
                </c:pt>
                <c:pt idx="73">
                  <c:v>2007</c:v>
                </c:pt>
                <c:pt idx="74">
                  <c:v>2007</c:v>
                </c:pt>
                <c:pt idx="75">
                  <c:v>2007</c:v>
                </c:pt>
                <c:pt idx="76">
                  <c:v>2008</c:v>
                </c:pt>
                <c:pt idx="77">
                  <c:v>2008</c:v>
                </c:pt>
                <c:pt idx="78">
                  <c:v>2008</c:v>
                </c:pt>
                <c:pt idx="79">
                  <c:v>2008</c:v>
                </c:pt>
                <c:pt idx="80">
                  <c:v>2009</c:v>
                </c:pt>
                <c:pt idx="81">
                  <c:v>2009</c:v>
                </c:pt>
                <c:pt idx="82">
                  <c:v>2009</c:v>
                </c:pt>
                <c:pt idx="83">
                  <c:v>2009</c:v>
                </c:pt>
                <c:pt idx="84">
                  <c:v>2010</c:v>
                </c:pt>
                <c:pt idx="85">
                  <c:v>2010</c:v>
                </c:pt>
                <c:pt idx="86">
                  <c:v>2010</c:v>
                </c:pt>
                <c:pt idx="87">
                  <c:v>2010</c:v>
                </c:pt>
                <c:pt idx="88">
                  <c:v>2011</c:v>
                </c:pt>
                <c:pt idx="89">
                  <c:v>2011</c:v>
                </c:pt>
                <c:pt idx="90">
                  <c:v>2011</c:v>
                </c:pt>
                <c:pt idx="91">
                  <c:v>2011</c:v>
                </c:pt>
                <c:pt idx="92">
                  <c:v>2012</c:v>
                </c:pt>
                <c:pt idx="93">
                  <c:v>2012</c:v>
                </c:pt>
                <c:pt idx="94">
                  <c:v>2012</c:v>
                </c:pt>
                <c:pt idx="95">
                  <c:v>2012</c:v>
                </c:pt>
                <c:pt idx="96">
                  <c:v>2013</c:v>
                </c:pt>
                <c:pt idx="97">
                  <c:v>2013</c:v>
                </c:pt>
                <c:pt idx="98">
                  <c:v>2013</c:v>
                </c:pt>
                <c:pt idx="99">
                  <c:v>2013</c:v>
                </c:pt>
                <c:pt idx="100">
                  <c:v>2014</c:v>
                </c:pt>
                <c:pt idx="101">
                  <c:v>2014</c:v>
                </c:pt>
                <c:pt idx="102">
                  <c:v>2014</c:v>
                </c:pt>
                <c:pt idx="103">
                  <c:v>2014</c:v>
                </c:pt>
                <c:pt idx="104">
                  <c:v>2015</c:v>
                </c:pt>
                <c:pt idx="105">
                  <c:v>2015</c:v>
                </c:pt>
                <c:pt idx="106">
                  <c:v>2015</c:v>
                </c:pt>
                <c:pt idx="107">
                  <c:v>2015</c:v>
                </c:pt>
                <c:pt idx="108">
                  <c:v>2016</c:v>
                </c:pt>
                <c:pt idx="109">
                  <c:v>2016</c:v>
                </c:pt>
                <c:pt idx="110">
                  <c:v>2016</c:v>
                </c:pt>
                <c:pt idx="111">
                  <c:v>2016</c:v>
                </c:pt>
                <c:pt idx="112">
                  <c:v>2017</c:v>
                </c:pt>
                <c:pt idx="113">
                  <c:v>2017</c:v>
                </c:pt>
                <c:pt idx="114">
                  <c:v>2017</c:v>
                </c:pt>
                <c:pt idx="115">
                  <c:v>2017</c:v>
                </c:pt>
                <c:pt idx="116">
                  <c:v>2018</c:v>
                </c:pt>
                <c:pt idx="117">
                  <c:v>2018</c:v>
                </c:pt>
                <c:pt idx="118">
                  <c:v>2018</c:v>
                </c:pt>
                <c:pt idx="119">
                  <c:v>2018</c:v>
                </c:pt>
                <c:pt idx="120">
                  <c:v>2019</c:v>
                </c:pt>
                <c:pt idx="121">
                  <c:v>2019</c:v>
                </c:pt>
                <c:pt idx="122">
                  <c:v>2019</c:v>
                </c:pt>
                <c:pt idx="123">
                  <c:v>2019</c:v>
                </c:pt>
                <c:pt idx="124">
                  <c:v>2020</c:v>
                </c:pt>
                <c:pt idx="125">
                  <c:v>2020</c:v>
                </c:pt>
                <c:pt idx="126">
                  <c:v>2020</c:v>
                </c:pt>
                <c:pt idx="127">
                  <c:v>2020</c:v>
                </c:pt>
                <c:pt idx="128">
                  <c:v>2021</c:v>
                </c:pt>
                <c:pt idx="129">
                  <c:v>2021</c:v>
                </c:pt>
                <c:pt idx="130">
                  <c:v>2021</c:v>
                </c:pt>
                <c:pt idx="131">
                  <c:v>2021</c:v>
                </c:pt>
                <c:pt idx="132">
                  <c:v>2022</c:v>
                </c:pt>
                <c:pt idx="133">
                  <c:v>2022</c:v>
                </c:pt>
                <c:pt idx="134">
                  <c:v>2022</c:v>
                </c:pt>
                <c:pt idx="135">
                  <c:v>2022</c:v>
                </c:pt>
              </c:strCache>
            </c:strRef>
          </c:cat>
          <c:val>
            <c:numRef>
              <c:f>Sheet1!$C$2:$C$137</c:f>
              <c:numCache>
                <c:formatCode>General</c:formatCode>
                <c:ptCount val="136"/>
                <c:pt idx="0">
                  <c:v>128.49</c:v>
                </c:pt>
                <c:pt idx="1">
                  <c:v>137.9</c:v>
                </c:pt>
                <c:pt idx="2">
                  <c:v>142.26</c:v>
                </c:pt>
                <c:pt idx="3">
                  <c:v>143.08000000000001</c:v>
                </c:pt>
                <c:pt idx="4">
                  <c:v>147.93</c:v>
                </c:pt>
                <c:pt idx="5">
                  <c:v>155.33000000000001</c:v>
                </c:pt>
                <c:pt idx="6">
                  <c:v>144.91999999999999</c:v>
                </c:pt>
                <c:pt idx="7">
                  <c:v>130.84</c:v>
                </c:pt>
                <c:pt idx="8">
                  <c:v>133.82</c:v>
                </c:pt>
                <c:pt idx="9">
                  <c:v>138.30000000000001</c:v>
                </c:pt>
                <c:pt idx="10">
                  <c:v>136.26</c:v>
                </c:pt>
                <c:pt idx="11">
                  <c:v>129.41999999999999</c:v>
                </c:pt>
                <c:pt idx="12">
                  <c:v>128.62</c:v>
                </c:pt>
                <c:pt idx="13">
                  <c:v>130.33000000000001</c:v>
                </c:pt>
                <c:pt idx="14">
                  <c:v>124.85</c:v>
                </c:pt>
                <c:pt idx="15">
                  <c:v>122.98</c:v>
                </c:pt>
                <c:pt idx="16">
                  <c:v>120.87</c:v>
                </c:pt>
                <c:pt idx="17">
                  <c:v>110</c:v>
                </c:pt>
                <c:pt idx="18">
                  <c:v>105.63</c:v>
                </c:pt>
                <c:pt idx="19">
                  <c:v>108.22</c:v>
                </c:pt>
                <c:pt idx="20">
                  <c:v>107.57</c:v>
                </c:pt>
                <c:pt idx="21">
                  <c:v>103.21</c:v>
                </c:pt>
                <c:pt idx="22">
                  <c:v>99.01</c:v>
                </c:pt>
                <c:pt idx="23">
                  <c:v>98.81</c:v>
                </c:pt>
                <c:pt idx="24">
                  <c:v>96.13</c:v>
                </c:pt>
                <c:pt idx="25">
                  <c:v>84.45</c:v>
                </c:pt>
                <c:pt idx="26">
                  <c:v>93.92</c:v>
                </c:pt>
                <c:pt idx="27">
                  <c:v>101.45</c:v>
                </c:pt>
                <c:pt idx="28">
                  <c:v>105.75</c:v>
                </c:pt>
                <c:pt idx="29">
                  <c:v>107.58</c:v>
                </c:pt>
                <c:pt idx="30">
                  <c:v>108.92</c:v>
                </c:pt>
                <c:pt idx="31">
                  <c:v>112.75</c:v>
                </c:pt>
                <c:pt idx="32">
                  <c:v>121.17</c:v>
                </c:pt>
                <c:pt idx="33">
                  <c:v>119.57</c:v>
                </c:pt>
                <c:pt idx="34">
                  <c:v>117.84</c:v>
                </c:pt>
                <c:pt idx="35">
                  <c:v>125.2</c:v>
                </c:pt>
                <c:pt idx="36">
                  <c:v>128.08000000000001</c:v>
                </c:pt>
                <c:pt idx="37">
                  <c:v>135.78</c:v>
                </c:pt>
                <c:pt idx="38">
                  <c:v>137.66999999999999</c:v>
                </c:pt>
                <c:pt idx="39">
                  <c:v>119.87</c:v>
                </c:pt>
                <c:pt idx="40">
                  <c:v>116.64</c:v>
                </c:pt>
                <c:pt idx="41">
                  <c:v>120.86</c:v>
                </c:pt>
                <c:pt idx="42">
                  <c:v>113.7</c:v>
                </c:pt>
                <c:pt idx="43">
                  <c:v>104.51</c:v>
                </c:pt>
                <c:pt idx="44">
                  <c:v>107.11</c:v>
                </c:pt>
                <c:pt idx="45">
                  <c:v>106.59</c:v>
                </c:pt>
                <c:pt idx="46">
                  <c:v>107.62</c:v>
                </c:pt>
                <c:pt idx="47">
                  <c:v>109.68</c:v>
                </c:pt>
                <c:pt idx="48">
                  <c:v>118.19</c:v>
                </c:pt>
                <c:pt idx="49">
                  <c:v>122.67</c:v>
                </c:pt>
                <c:pt idx="50">
                  <c:v>121.92</c:v>
                </c:pt>
                <c:pt idx="51">
                  <c:v>123.51</c:v>
                </c:pt>
                <c:pt idx="52">
                  <c:v>132.43</c:v>
                </c:pt>
                <c:pt idx="53">
                  <c:v>127.15</c:v>
                </c:pt>
                <c:pt idx="54">
                  <c:v>119.12</c:v>
                </c:pt>
                <c:pt idx="55">
                  <c:v>122.58</c:v>
                </c:pt>
                <c:pt idx="56">
                  <c:v>118.83</c:v>
                </c:pt>
                <c:pt idx="57">
                  <c:v>118.44</c:v>
                </c:pt>
                <c:pt idx="58">
                  <c:v>117.59</c:v>
                </c:pt>
                <c:pt idx="59">
                  <c:v>108.92</c:v>
                </c:pt>
                <c:pt idx="60">
                  <c:v>107.36</c:v>
                </c:pt>
                <c:pt idx="61">
                  <c:v>109.56</c:v>
                </c:pt>
                <c:pt idx="62">
                  <c:v>109.91</c:v>
                </c:pt>
                <c:pt idx="63">
                  <c:v>105.85</c:v>
                </c:pt>
                <c:pt idx="64">
                  <c:v>104.46</c:v>
                </c:pt>
                <c:pt idx="65">
                  <c:v>107.68</c:v>
                </c:pt>
                <c:pt idx="66">
                  <c:v>111.21</c:v>
                </c:pt>
                <c:pt idx="67">
                  <c:v>117.31</c:v>
                </c:pt>
                <c:pt idx="68">
                  <c:v>116.91</c:v>
                </c:pt>
                <c:pt idx="69">
                  <c:v>114.42</c:v>
                </c:pt>
                <c:pt idx="70">
                  <c:v>116.15</c:v>
                </c:pt>
                <c:pt idx="71">
                  <c:v>117.74</c:v>
                </c:pt>
                <c:pt idx="72">
                  <c:v>119.36</c:v>
                </c:pt>
                <c:pt idx="73">
                  <c:v>120.73</c:v>
                </c:pt>
                <c:pt idx="74">
                  <c:v>117.9</c:v>
                </c:pt>
                <c:pt idx="75">
                  <c:v>113.12</c:v>
                </c:pt>
                <c:pt idx="76">
                  <c:v>105.16</c:v>
                </c:pt>
                <c:pt idx="77">
                  <c:v>104.52</c:v>
                </c:pt>
                <c:pt idx="78">
                  <c:v>107.61</c:v>
                </c:pt>
                <c:pt idx="79">
                  <c:v>96.21</c:v>
                </c:pt>
                <c:pt idx="80">
                  <c:v>93.74</c:v>
                </c:pt>
                <c:pt idx="81">
                  <c:v>97.31</c:v>
                </c:pt>
                <c:pt idx="82">
                  <c:v>93.69</c:v>
                </c:pt>
                <c:pt idx="83">
                  <c:v>89.66</c:v>
                </c:pt>
                <c:pt idx="84">
                  <c:v>90.6</c:v>
                </c:pt>
                <c:pt idx="85">
                  <c:v>92.02</c:v>
                </c:pt>
                <c:pt idx="86">
                  <c:v>88.05</c:v>
                </c:pt>
                <c:pt idx="87">
                  <c:v>85.49</c:v>
                </c:pt>
                <c:pt idx="88">
                  <c:v>82.25</c:v>
                </c:pt>
                <c:pt idx="89">
                  <c:v>81.680000000000007</c:v>
                </c:pt>
                <c:pt idx="90">
                  <c:v>77.8</c:v>
                </c:pt>
                <c:pt idx="91">
                  <c:v>77.39</c:v>
                </c:pt>
                <c:pt idx="92">
                  <c:v>79.400000000000006</c:v>
                </c:pt>
                <c:pt idx="93">
                  <c:v>80.16</c:v>
                </c:pt>
                <c:pt idx="94">
                  <c:v>78.63</c:v>
                </c:pt>
                <c:pt idx="95">
                  <c:v>80.959999999999994</c:v>
                </c:pt>
                <c:pt idx="96">
                  <c:v>92.44</c:v>
                </c:pt>
                <c:pt idx="97">
                  <c:v>98.72</c:v>
                </c:pt>
                <c:pt idx="98">
                  <c:v>98.89</c:v>
                </c:pt>
                <c:pt idx="99">
                  <c:v>100.23</c:v>
                </c:pt>
                <c:pt idx="100">
                  <c:v>102.77</c:v>
                </c:pt>
                <c:pt idx="101">
                  <c:v>102.14</c:v>
                </c:pt>
                <c:pt idx="102">
                  <c:v>103.86</c:v>
                </c:pt>
                <c:pt idx="103">
                  <c:v>114.04</c:v>
                </c:pt>
                <c:pt idx="104">
                  <c:v>119.18</c:v>
                </c:pt>
                <c:pt idx="105">
                  <c:v>121.41</c:v>
                </c:pt>
                <c:pt idx="106">
                  <c:v>122.35</c:v>
                </c:pt>
                <c:pt idx="107">
                  <c:v>121.44</c:v>
                </c:pt>
                <c:pt idx="108">
                  <c:v>115.32</c:v>
                </c:pt>
                <c:pt idx="109">
                  <c:v>108.09</c:v>
                </c:pt>
                <c:pt idx="110">
                  <c:v>102.34</c:v>
                </c:pt>
                <c:pt idx="111">
                  <c:v>109.19</c:v>
                </c:pt>
                <c:pt idx="112">
                  <c:v>113.54</c:v>
                </c:pt>
                <c:pt idx="113">
                  <c:v>111.05</c:v>
                </c:pt>
                <c:pt idx="114">
                  <c:v>110.96</c:v>
                </c:pt>
                <c:pt idx="115">
                  <c:v>112.98</c:v>
                </c:pt>
                <c:pt idx="116">
                  <c:v>108.11</c:v>
                </c:pt>
                <c:pt idx="117">
                  <c:v>109.07</c:v>
                </c:pt>
                <c:pt idx="118">
                  <c:v>111.43</c:v>
                </c:pt>
                <c:pt idx="119">
                  <c:v>112.92</c:v>
                </c:pt>
                <c:pt idx="120">
                  <c:v>110.2</c:v>
                </c:pt>
                <c:pt idx="121">
                  <c:v>109.89</c:v>
                </c:pt>
                <c:pt idx="122">
                  <c:v>107.32</c:v>
                </c:pt>
                <c:pt idx="123">
                  <c:v>108.67</c:v>
                </c:pt>
                <c:pt idx="124">
                  <c:v>108.76</c:v>
                </c:pt>
                <c:pt idx="125">
                  <c:v>107.61</c:v>
                </c:pt>
                <c:pt idx="126">
                  <c:v>106.15</c:v>
                </c:pt>
                <c:pt idx="127">
                  <c:v>104.53</c:v>
                </c:pt>
                <c:pt idx="128">
                  <c:v>106.11</c:v>
                </c:pt>
                <c:pt idx="129">
                  <c:v>109.49</c:v>
                </c:pt>
                <c:pt idx="130">
                  <c:v>110.06</c:v>
                </c:pt>
                <c:pt idx="131">
                  <c:v>113.6</c:v>
                </c:pt>
                <c:pt idx="132">
                  <c:v>116.37</c:v>
                </c:pt>
                <c:pt idx="133">
                  <c:v>129.66999999999999</c:v>
                </c:pt>
                <c:pt idx="134">
                  <c:v>138.26</c:v>
                </c:pt>
                <c:pt idx="135">
                  <c:v>142.39199562507235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02B-4BAC-97AB-538364CB2C3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USD/yen LR average</c:v>
                </c:pt>
              </c:strCache>
            </c:strRef>
          </c:tx>
          <c:spPr>
            <a:ln w="28575" cap="rnd">
              <a:solidFill>
                <a:schemeClr val="accent5"/>
              </a:solidFill>
              <a:prstDash val="dash"/>
              <a:round/>
            </a:ln>
            <a:effectLst/>
          </c:spPr>
          <c:marker>
            <c:symbol val="none"/>
          </c:marker>
          <c:cat>
            <c:strRef>
              <c:f>Sheet1!$A$2:$A$137</c:f>
              <c:strCache>
                <c:ptCount val="136"/>
                <c:pt idx="0">
                  <c:v>1989</c:v>
                </c:pt>
                <c:pt idx="1">
                  <c:v>1989</c:v>
                </c:pt>
                <c:pt idx="2">
                  <c:v>1989</c:v>
                </c:pt>
                <c:pt idx="3">
                  <c:v>1989</c:v>
                </c:pt>
                <c:pt idx="4">
                  <c:v>1990</c:v>
                </c:pt>
                <c:pt idx="5">
                  <c:v>1990</c:v>
                </c:pt>
                <c:pt idx="6">
                  <c:v>1990</c:v>
                </c:pt>
                <c:pt idx="7">
                  <c:v>1990</c:v>
                </c:pt>
                <c:pt idx="8">
                  <c:v>1991</c:v>
                </c:pt>
                <c:pt idx="9">
                  <c:v>1991</c:v>
                </c:pt>
                <c:pt idx="10">
                  <c:v>1991</c:v>
                </c:pt>
                <c:pt idx="11">
                  <c:v>1991</c:v>
                </c:pt>
                <c:pt idx="12">
                  <c:v>1992</c:v>
                </c:pt>
                <c:pt idx="13">
                  <c:v>1992</c:v>
                </c:pt>
                <c:pt idx="14">
                  <c:v>1992</c:v>
                </c:pt>
                <c:pt idx="15">
                  <c:v>1992</c:v>
                </c:pt>
                <c:pt idx="16">
                  <c:v>1993</c:v>
                </c:pt>
                <c:pt idx="17">
                  <c:v>1993</c:v>
                </c:pt>
                <c:pt idx="18">
                  <c:v>1993</c:v>
                </c:pt>
                <c:pt idx="19">
                  <c:v>1993</c:v>
                </c:pt>
                <c:pt idx="20">
                  <c:v>1994</c:v>
                </c:pt>
                <c:pt idx="21">
                  <c:v>1994</c:v>
                </c:pt>
                <c:pt idx="22">
                  <c:v>1994</c:v>
                </c:pt>
                <c:pt idx="23">
                  <c:v>1994</c:v>
                </c:pt>
                <c:pt idx="24">
                  <c:v>1995</c:v>
                </c:pt>
                <c:pt idx="25">
                  <c:v>1995</c:v>
                </c:pt>
                <c:pt idx="26">
                  <c:v>1995</c:v>
                </c:pt>
                <c:pt idx="27">
                  <c:v>1995</c:v>
                </c:pt>
                <c:pt idx="28">
                  <c:v>1996</c:v>
                </c:pt>
                <c:pt idx="29">
                  <c:v>1996</c:v>
                </c:pt>
                <c:pt idx="30">
                  <c:v>1996</c:v>
                </c:pt>
                <c:pt idx="31">
                  <c:v>1996</c:v>
                </c:pt>
                <c:pt idx="32">
                  <c:v>1997</c:v>
                </c:pt>
                <c:pt idx="33">
                  <c:v>1997</c:v>
                </c:pt>
                <c:pt idx="34">
                  <c:v>1997</c:v>
                </c:pt>
                <c:pt idx="35">
                  <c:v>1997</c:v>
                </c:pt>
                <c:pt idx="36">
                  <c:v>1998</c:v>
                </c:pt>
                <c:pt idx="37">
                  <c:v>1998</c:v>
                </c:pt>
                <c:pt idx="38">
                  <c:v>1998</c:v>
                </c:pt>
                <c:pt idx="39">
                  <c:v>1998</c:v>
                </c:pt>
                <c:pt idx="40">
                  <c:v>1999</c:v>
                </c:pt>
                <c:pt idx="41">
                  <c:v>1999</c:v>
                </c:pt>
                <c:pt idx="42">
                  <c:v>1999</c:v>
                </c:pt>
                <c:pt idx="43">
                  <c:v>1999</c:v>
                </c:pt>
                <c:pt idx="44">
                  <c:v>2000</c:v>
                </c:pt>
                <c:pt idx="45">
                  <c:v>2000</c:v>
                </c:pt>
                <c:pt idx="46">
                  <c:v>2000</c:v>
                </c:pt>
                <c:pt idx="47">
                  <c:v>2000</c:v>
                </c:pt>
                <c:pt idx="48">
                  <c:v>2001</c:v>
                </c:pt>
                <c:pt idx="49">
                  <c:v>2001</c:v>
                </c:pt>
                <c:pt idx="50">
                  <c:v>2001</c:v>
                </c:pt>
                <c:pt idx="51">
                  <c:v>2001</c:v>
                </c:pt>
                <c:pt idx="52">
                  <c:v>2002</c:v>
                </c:pt>
                <c:pt idx="53">
                  <c:v>2002</c:v>
                </c:pt>
                <c:pt idx="54">
                  <c:v>2002</c:v>
                </c:pt>
                <c:pt idx="55">
                  <c:v>2002</c:v>
                </c:pt>
                <c:pt idx="56">
                  <c:v>2003</c:v>
                </c:pt>
                <c:pt idx="57">
                  <c:v>2003</c:v>
                </c:pt>
                <c:pt idx="58">
                  <c:v>2003</c:v>
                </c:pt>
                <c:pt idx="59">
                  <c:v>2003</c:v>
                </c:pt>
                <c:pt idx="60">
                  <c:v>2004</c:v>
                </c:pt>
                <c:pt idx="61">
                  <c:v>2004</c:v>
                </c:pt>
                <c:pt idx="62">
                  <c:v>2004</c:v>
                </c:pt>
                <c:pt idx="63">
                  <c:v>2004</c:v>
                </c:pt>
                <c:pt idx="64">
                  <c:v>2005</c:v>
                </c:pt>
                <c:pt idx="65">
                  <c:v>2005</c:v>
                </c:pt>
                <c:pt idx="66">
                  <c:v>2005</c:v>
                </c:pt>
                <c:pt idx="67">
                  <c:v>2005</c:v>
                </c:pt>
                <c:pt idx="68">
                  <c:v>2006</c:v>
                </c:pt>
                <c:pt idx="69">
                  <c:v>2006</c:v>
                </c:pt>
                <c:pt idx="70">
                  <c:v>2006</c:v>
                </c:pt>
                <c:pt idx="71">
                  <c:v>2006</c:v>
                </c:pt>
                <c:pt idx="72">
                  <c:v>2007</c:v>
                </c:pt>
                <c:pt idx="73">
                  <c:v>2007</c:v>
                </c:pt>
                <c:pt idx="74">
                  <c:v>2007</c:v>
                </c:pt>
                <c:pt idx="75">
                  <c:v>2007</c:v>
                </c:pt>
                <c:pt idx="76">
                  <c:v>2008</c:v>
                </c:pt>
                <c:pt idx="77">
                  <c:v>2008</c:v>
                </c:pt>
                <c:pt idx="78">
                  <c:v>2008</c:v>
                </c:pt>
                <c:pt idx="79">
                  <c:v>2008</c:v>
                </c:pt>
                <c:pt idx="80">
                  <c:v>2009</c:v>
                </c:pt>
                <c:pt idx="81">
                  <c:v>2009</c:v>
                </c:pt>
                <c:pt idx="82">
                  <c:v>2009</c:v>
                </c:pt>
                <c:pt idx="83">
                  <c:v>2009</c:v>
                </c:pt>
                <c:pt idx="84">
                  <c:v>2010</c:v>
                </c:pt>
                <c:pt idx="85">
                  <c:v>2010</c:v>
                </c:pt>
                <c:pt idx="86">
                  <c:v>2010</c:v>
                </c:pt>
                <c:pt idx="87">
                  <c:v>2010</c:v>
                </c:pt>
                <c:pt idx="88">
                  <c:v>2011</c:v>
                </c:pt>
                <c:pt idx="89">
                  <c:v>2011</c:v>
                </c:pt>
                <c:pt idx="90">
                  <c:v>2011</c:v>
                </c:pt>
                <c:pt idx="91">
                  <c:v>2011</c:v>
                </c:pt>
                <c:pt idx="92">
                  <c:v>2012</c:v>
                </c:pt>
                <c:pt idx="93">
                  <c:v>2012</c:v>
                </c:pt>
                <c:pt idx="94">
                  <c:v>2012</c:v>
                </c:pt>
                <c:pt idx="95">
                  <c:v>2012</c:v>
                </c:pt>
                <c:pt idx="96">
                  <c:v>2013</c:v>
                </c:pt>
                <c:pt idx="97">
                  <c:v>2013</c:v>
                </c:pt>
                <c:pt idx="98">
                  <c:v>2013</c:v>
                </c:pt>
                <c:pt idx="99">
                  <c:v>2013</c:v>
                </c:pt>
                <c:pt idx="100">
                  <c:v>2014</c:v>
                </c:pt>
                <c:pt idx="101">
                  <c:v>2014</c:v>
                </c:pt>
                <c:pt idx="102">
                  <c:v>2014</c:v>
                </c:pt>
                <c:pt idx="103">
                  <c:v>2014</c:v>
                </c:pt>
                <c:pt idx="104">
                  <c:v>2015</c:v>
                </c:pt>
                <c:pt idx="105">
                  <c:v>2015</c:v>
                </c:pt>
                <c:pt idx="106">
                  <c:v>2015</c:v>
                </c:pt>
                <c:pt idx="107">
                  <c:v>2015</c:v>
                </c:pt>
                <c:pt idx="108">
                  <c:v>2016</c:v>
                </c:pt>
                <c:pt idx="109">
                  <c:v>2016</c:v>
                </c:pt>
                <c:pt idx="110">
                  <c:v>2016</c:v>
                </c:pt>
                <c:pt idx="111">
                  <c:v>2016</c:v>
                </c:pt>
                <c:pt idx="112">
                  <c:v>2017</c:v>
                </c:pt>
                <c:pt idx="113">
                  <c:v>2017</c:v>
                </c:pt>
                <c:pt idx="114">
                  <c:v>2017</c:v>
                </c:pt>
                <c:pt idx="115">
                  <c:v>2017</c:v>
                </c:pt>
                <c:pt idx="116">
                  <c:v>2018</c:v>
                </c:pt>
                <c:pt idx="117">
                  <c:v>2018</c:v>
                </c:pt>
                <c:pt idx="118">
                  <c:v>2018</c:v>
                </c:pt>
                <c:pt idx="119">
                  <c:v>2018</c:v>
                </c:pt>
                <c:pt idx="120">
                  <c:v>2019</c:v>
                </c:pt>
                <c:pt idx="121">
                  <c:v>2019</c:v>
                </c:pt>
                <c:pt idx="122">
                  <c:v>2019</c:v>
                </c:pt>
                <c:pt idx="123">
                  <c:v>2019</c:v>
                </c:pt>
                <c:pt idx="124">
                  <c:v>2020</c:v>
                </c:pt>
                <c:pt idx="125">
                  <c:v>2020</c:v>
                </c:pt>
                <c:pt idx="126">
                  <c:v>2020</c:v>
                </c:pt>
                <c:pt idx="127">
                  <c:v>2020</c:v>
                </c:pt>
                <c:pt idx="128">
                  <c:v>2021</c:v>
                </c:pt>
                <c:pt idx="129">
                  <c:v>2021</c:v>
                </c:pt>
                <c:pt idx="130">
                  <c:v>2021</c:v>
                </c:pt>
                <c:pt idx="131">
                  <c:v>2021</c:v>
                </c:pt>
                <c:pt idx="132">
                  <c:v>2022</c:v>
                </c:pt>
                <c:pt idx="133">
                  <c:v>2022</c:v>
                </c:pt>
                <c:pt idx="134">
                  <c:v>2022</c:v>
                </c:pt>
                <c:pt idx="135">
                  <c:v>2022</c:v>
                </c:pt>
              </c:strCache>
            </c:strRef>
          </c:cat>
          <c:val>
            <c:numRef>
              <c:f>Sheet1!$F$2:$F$137</c:f>
              <c:numCache>
                <c:formatCode>General</c:formatCode>
                <c:ptCount val="136"/>
                <c:pt idx="0">
                  <c:v>112.02889705882353</c:v>
                </c:pt>
                <c:pt idx="1">
                  <c:v>112.02889705882353</c:v>
                </c:pt>
                <c:pt idx="2">
                  <c:v>112.02889705882353</c:v>
                </c:pt>
                <c:pt idx="3">
                  <c:v>112.02889705882353</c:v>
                </c:pt>
                <c:pt idx="4">
                  <c:v>112.02889705882353</c:v>
                </c:pt>
                <c:pt idx="5">
                  <c:v>112.02889705882353</c:v>
                </c:pt>
                <c:pt idx="6">
                  <c:v>112.02889705882353</c:v>
                </c:pt>
                <c:pt idx="7">
                  <c:v>112.02889705882353</c:v>
                </c:pt>
                <c:pt idx="8">
                  <c:v>112.02889705882353</c:v>
                </c:pt>
                <c:pt idx="9">
                  <c:v>112.02889705882353</c:v>
                </c:pt>
                <c:pt idx="10">
                  <c:v>112.02889705882353</c:v>
                </c:pt>
                <c:pt idx="11">
                  <c:v>112.02889705882353</c:v>
                </c:pt>
                <c:pt idx="12">
                  <c:v>112.02889705882353</c:v>
                </c:pt>
                <c:pt idx="13">
                  <c:v>112.02889705882353</c:v>
                </c:pt>
                <c:pt idx="14">
                  <c:v>112.02889705882353</c:v>
                </c:pt>
                <c:pt idx="15">
                  <c:v>112.02889705882353</c:v>
                </c:pt>
                <c:pt idx="16">
                  <c:v>112.02889705882353</c:v>
                </c:pt>
                <c:pt idx="17">
                  <c:v>112.02889705882353</c:v>
                </c:pt>
                <c:pt idx="18">
                  <c:v>112.02889705882353</c:v>
                </c:pt>
                <c:pt idx="19">
                  <c:v>112.02889705882353</c:v>
                </c:pt>
                <c:pt idx="20">
                  <c:v>112.02889705882353</c:v>
                </c:pt>
                <c:pt idx="21">
                  <c:v>112.02889705882353</c:v>
                </c:pt>
                <c:pt idx="22">
                  <c:v>112.02889705882353</c:v>
                </c:pt>
                <c:pt idx="23">
                  <c:v>112.02889705882353</c:v>
                </c:pt>
                <c:pt idx="24">
                  <c:v>112.02889705882353</c:v>
                </c:pt>
                <c:pt idx="25">
                  <c:v>112.02889705882353</c:v>
                </c:pt>
                <c:pt idx="26">
                  <c:v>112.02889705882353</c:v>
                </c:pt>
                <c:pt idx="27">
                  <c:v>112.02889705882353</c:v>
                </c:pt>
                <c:pt idx="28">
                  <c:v>112.02889705882353</c:v>
                </c:pt>
                <c:pt idx="29">
                  <c:v>112.02889705882353</c:v>
                </c:pt>
                <c:pt idx="30">
                  <c:v>112.02889705882353</c:v>
                </c:pt>
                <c:pt idx="31">
                  <c:v>112.02889705882353</c:v>
                </c:pt>
                <c:pt idx="32">
                  <c:v>112.02889705882353</c:v>
                </c:pt>
                <c:pt idx="33">
                  <c:v>112.02889705882353</c:v>
                </c:pt>
                <c:pt idx="34">
                  <c:v>112.02889705882353</c:v>
                </c:pt>
                <c:pt idx="35">
                  <c:v>112.02889705882353</c:v>
                </c:pt>
                <c:pt idx="36">
                  <c:v>112.02889705882353</c:v>
                </c:pt>
                <c:pt idx="37">
                  <c:v>112.02889705882353</c:v>
                </c:pt>
                <c:pt idx="38">
                  <c:v>112.02889705882353</c:v>
                </c:pt>
                <c:pt idx="39">
                  <c:v>112.02889705882353</c:v>
                </c:pt>
                <c:pt idx="40">
                  <c:v>112.02889705882353</c:v>
                </c:pt>
                <c:pt idx="41">
                  <c:v>112.02889705882353</c:v>
                </c:pt>
                <c:pt idx="42">
                  <c:v>112.02889705882353</c:v>
                </c:pt>
                <c:pt idx="43">
                  <c:v>112.02889705882353</c:v>
                </c:pt>
                <c:pt idx="44">
                  <c:v>112.02889705882353</c:v>
                </c:pt>
                <c:pt idx="45">
                  <c:v>112.02889705882353</c:v>
                </c:pt>
                <c:pt idx="46">
                  <c:v>112.02889705882353</c:v>
                </c:pt>
                <c:pt idx="47">
                  <c:v>112.02889705882353</c:v>
                </c:pt>
                <c:pt idx="48">
                  <c:v>112.02889705882353</c:v>
                </c:pt>
                <c:pt idx="49">
                  <c:v>112.02889705882353</c:v>
                </c:pt>
                <c:pt idx="50">
                  <c:v>112.02889705882353</c:v>
                </c:pt>
                <c:pt idx="51">
                  <c:v>112.02889705882353</c:v>
                </c:pt>
                <c:pt idx="52">
                  <c:v>112.02889705882353</c:v>
                </c:pt>
                <c:pt idx="53">
                  <c:v>112.02889705882353</c:v>
                </c:pt>
                <c:pt idx="54">
                  <c:v>112.02889705882353</c:v>
                </c:pt>
                <c:pt idx="55">
                  <c:v>112.02889705882353</c:v>
                </c:pt>
                <c:pt idx="56">
                  <c:v>112.02889705882353</c:v>
                </c:pt>
                <c:pt idx="57">
                  <c:v>112.02889705882353</c:v>
                </c:pt>
                <c:pt idx="58">
                  <c:v>112.02889705882353</c:v>
                </c:pt>
                <c:pt idx="59">
                  <c:v>112.02889705882353</c:v>
                </c:pt>
                <c:pt idx="60">
                  <c:v>112.02889705882353</c:v>
                </c:pt>
                <c:pt idx="61">
                  <c:v>112.02889705882353</c:v>
                </c:pt>
                <c:pt idx="62">
                  <c:v>112.02889705882353</c:v>
                </c:pt>
                <c:pt idx="63">
                  <c:v>112.02889705882353</c:v>
                </c:pt>
                <c:pt idx="64">
                  <c:v>112.02889705882353</c:v>
                </c:pt>
                <c:pt idx="65">
                  <c:v>112.02889705882353</c:v>
                </c:pt>
                <c:pt idx="66">
                  <c:v>112.02889705882353</c:v>
                </c:pt>
                <c:pt idx="67">
                  <c:v>112.02889705882353</c:v>
                </c:pt>
                <c:pt idx="68">
                  <c:v>112.02889705882353</c:v>
                </c:pt>
                <c:pt idx="69">
                  <c:v>112.02889705882353</c:v>
                </c:pt>
                <c:pt idx="70">
                  <c:v>112.02889705882353</c:v>
                </c:pt>
                <c:pt idx="71">
                  <c:v>112.02889705882353</c:v>
                </c:pt>
                <c:pt idx="72">
                  <c:v>112.02889705882353</c:v>
                </c:pt>
                <c:pt idx="73">
                  <c:v>112.02889705882353</c:v>
                </c:pt>
                <c:pt idx="74">
                  <c:v>112.02889705882353</c:v>
                </c:pt>
                <c:pt idx="75">
                  <c:v>112.02889705882353</c:v>
                </c:pt>
                <c:pt idx="76">
                  <c:v>112.02889705882353</c:v>
                </c:pt>
                <c:pt idx="77">
                  <c:v>112.02889705882353</c:v>
                </c:pt>
                <c:pt idx="78">
                  <c:v>112.02889705882353</c:v>
                </c:pt>
                <c:pt idx="79">
                  <c:v>112.02889705882353</c:v>
                </c:pt>
                <c:pt idx="80">
                  <c:v>112.02889705882353</c:v>
                </c:pt>
                <c:pt idx="81">
                  <c:v>112.02889705882353</c:v>
                </c:pt>
                <c:pt idx="82">
                  <c:v>112.02889705882353</c:v>
                </c:pt>
                <c:pt idx="83">
                  <c:v>112.02889705882353</c:v>
                </c:pt>
                <c:pt idx="84">
                  <c:v>112.02889705882353</c:v>
                </c:pt>
                <c:pt idx="85">
                  <c:v>112.02889705882353</c:v>
                </c:pt>
                <c:pt idx="86">
                  <c:v>112.02889705882353</c:v>
                </c:pt>
                <c:pt idx="87">
                  <c:v>112.02889705882353</c:v>
                </c:pt>
                <c:pt idx="88">
                  <c:v>112.02889705882353</c:v>
                </c:pt>
                <c:pt idx="89">
                  <c:v>112.02889705882353</c:v>
                </c:pt>
                <c:pt idx="90">
                  <c:v>112.02889705882353</c:v>
                </c:pt>
                <c:pt idx="91">
                  <c:v>112.02889705882353</c:v>
                </c:pt>
                <c:pt idx="92">
                  <c:v>112.02889705882353</c:v>
                </c:pt>
                <c:pt idx="93">
                  <c:v>112.02889705882353</c:v>
                </c:pt>
                <c:pt idx="94">
                  <c:v>112.02889705882353</c:v>
                </c:pt>
                <c:pt idx="95">
                  <c:v>112.02889705882353</c:v>
                </c:pt>
                <c:pt idx="96">
                  <c:v>112.02889705882353</c:v>
                </c:pt>
                <c:pt idx="97">
                  <c:v>112.02889705882353</c:v>
                </c:pt>
                <c:pt idx="98">
                  <c:v>112.02889705882353</c:v>
                </c:pt>
                <c:pt idx="99">
                  <c:v>112.02889705882353</c:v>
                </c:pt>
                <c:pt idx="100">
                  <c:v>112.02889705882353</c:v>
                </c:pt>
                <c:pt idx="101">
                  <c:v>112.02889705882353</c:v>
                </c:pt>
                <c:pt idx="102">
                  <c:v>112.02889705882353</c:v>
                </c:pt>
                <c:pt idx="103">
                  <c:v>112.02889705882353</c:v>
                </c:pt>
                <c:pt idx="104">
                  <c:v>112.02889705882353</c:v>
                </c:pt>
                <c:pt idx="105">
                  <c:v>112.02889705882353</c:v>
                </c:pt>
                <c:pt idx="106">
                  <c:v>112.02889705882353</c:v>
                </c:pt>
                <c:pt idx="107">
                  <c:v>112.02889705882353</c:v>
                </c:pt>
                <c:pt idx="108">
                  <c:v>112.02889705882353</c:v>
                </c:pt>
                <c:pt idx="109">
                  <c:v>112.02889705882353</c:v>
                </c:pt>
                <c:pt idx="110">
                  <c:v>112.02889705882353</c:v>
                </c:pt>
                <c:pt idx="111">
                  <c:v>112.02889705882353</c:v>
                </c:pt>
                <c:pt idx="112">
                  <c:v>112.02889705882353</c:v>
                </c:pt>
                <c:pt idx="113">
                  <c:v>112.02889705882353</c:v>
                </c:pt>
                <c:pt idx="114">
                  <c:v>112.02889705882353</c:v>
                </c:pt>
                <c:pt idx="115">
                  <c:v>112.02889705882353</c:v>
                </c:pt>
                <c:pt idx="116">
                  <c:v>112.02889705882353</c:v>
                </c:pt>
                <c:pt idx="117">
                  <c:v>112.02889705882353</c:v>
                </c:pt>
                <c:pt idx="118">
                  <c:v>112.02889705882353</c:v>
                </c:pt>
                <c:pt idx="119">
                  <c:v>112.02889705882353</c:v>
                </c:pt>
                <c:pt idx="120">
                  <c:v>112.02889705882353</c:v>
                </c:pt>
                <c:pt idx="121">
                  <c:v>112.02889705882353</c:v>
                </c:pt>
                <c:pt idx="122">
                  <c:v>112.02889705882353</c:v>
                </c:pt>
                <c:pt idx="123">
                  <c:v>112.02889705882353</c:v>
                </c:pt>
                <c:pt idx="124">
                  <c:v>112.02889705882353</c:v>
                </c:pt>
                <c:pt idx="125">
                  <c:v>112.02889705882353</c:v>
                </c:pt>
                <c:pt idx="126">
                  <c:v>112.02889705882353</c:v>
                </c:pt>
                <c:pt idx="127">
                  <c:v>112.02889705882353</c:v>
                </c:pt>
                <c:pt idx="128">
                  <c:v>112.02889705882353</c:v>
                </c:pt>
                <c:pt idx="129">
                  <c:v>112.02889705882353</c:v>
                </c:pt>
                <c:pt idx="130">
                  <c:v>112.02889705882353</c:v>
                </c:pt>
                <c:pt idx="131">
                  <c:v>112.02889705882353</c:v>
                </c:pt>
                <c:pt idx="132">
                  <c:v>112.02889705882353</c:v>
                </c:pt>
                <c:pt idx="133">
                  <c:v>112.02889705882353</c:v>
                </c:pt>
                <c:pt idx="134">
                  <c:v>112.02889705882353</c:v>
                </c:pt>
                <c:pt idx="135">
                  <c:v>112.02889705882353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02B-4BAC-97AB-538364CB2C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5312384"/>
        <c:axId val="205302400"/>
      </c:lineChart>
      <c:catAx>
        <c:axId val="19706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205300864"/>
        <c:crosses val="autoZero"/>
        <c:auto val="1"/>
        <c:lblAlgn val="ctr"/>
        <c:lblOffset val="100"/>
        <c:tickLblSkip val="8"/>
        <c:tickMarkSkip val="4"/>
        <c:noMultiLvlLbl val="0"/>
      </c:catAx>
      <c:valAx>
        <c:axId val="205300864"/>
        <c:scaling>
          <c:orientation val="minMax"/>
          <c:min val="0.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197066112"/>
        <c:crosses val="autoZero"/>
        <c:crossBetween val="between"/>
        <c:majorUnit val="0.2"/>
        <c:minorUnit val="0.1"/>
      </c:valAx>
      <c:valAx>
        <c:axId val="20530240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205312384"/>
        <c:crosses val="max"/>
        <c:crossBetween val="between"/>
        <c:majorUnit val="40"/>
      </c:valAx>
      <c:catAx>
        <c:axId val="205312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05302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2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it-IT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2"/>
                </a:solidFill>
                <a:latin typeface="+mn-lt"/>
                <a:ea typeface="+mn-ea"/>
                <a:cs typeface="Arial" panose="020B0604020202020204" pitchFamily="34" charset="0"/>
              </a:defRPr>
            </a:pPr>
            <a:r>
              <a:rPr lang="en-GB" sz="1200" b="1" dirty="0">
                <a:latin typeface="+mn-lt"/>
              </a:rPr>
              <a:t>Price per square metre in USD (index, 2012Q1=1)</a:t>
            </a:r>
          </a:p>
        </c:rich>
      </c:tx>
      <c:layout>
        <c:manualLayout>
          <c:xMode val="edge"/>
          <c:yMode val="edge"/>
          <c:x val="0.14798152634766806"/>
          <c:y val="2.379819133745835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1212148835124245E-2"/>
          <c:y val="0.10794378929678672"/>
          <c:w val="0.9334911836605575"/>
          <c:h val="0.719887613332195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GBP values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Sheet1!$A$2:$A$44</c:f>
              <c:strCache>
                <c:ptCount val="43"/>
                <c:pt idx="0">
                  <c:v>2012Q1</c:v>
                </c:pt>
                <c:pt idx="1">
                  <c:v>2012Q2</c:v>
                </c:pt>
                <c:pt idx="2">
                  <c:v>2012Q3</c:v>
                </c:pt>
                <c:pt idx="3">
                  <c:v>2012Q4</c:v>
                </c:pt>
                <c:pt idx="4">
                  <c:v>2013Q1</c:v>
                </c:pt>
                <c:pt idx="5">
                  <c:v>2013Q2</c:v>
                </c:pt>
                <c:pt idx="6">
                  <c:v>2013Q3</c:v>
                </c:pt>
                <c:pt idx="7">
                  <c:v>2013Q4</c:v>
                </c:pt>
                <c:pt idx="8">
                  <c:v>2014Q1</c:v>
                </c:pt>
                <c:pt idx="9">
                  <c:v>2014Q2</c:v>
                </c:pt>
                <c:pt idx="10">
                  <c:v>2014Q3</c:v>
                </c:pt>
                <c:pt idx="11">
                  <c:v>2014Q4</c:v>
                </c:pt>
                <c:pt idx="12">
                  <c:v>2015Q1</c:v>
                </c:pt>
                <c:pt idx="13">
                  <c:v>2015Q2</c:v>
                </c:pt>
                <c:pt idx="14">
                  <c:v>2015Q3</c:v>
                </c:pt>
                <c:pt idx="15">
                  <c:v>2015Q4</c:v>
                </c:pt>
                <c:pt idx="16">
                  <c:v>2016Q1</c:v>
                </c:pt>
                <c:pt idx="17">
                  <c:v>2016Q2</c:v>
                </c:pt>
                <c:pt idx="18">
                  <c:v>2016Q3</c:v>
                </c:pt>
                <c:pt idx="19">
                  <c:v>2016Q4</c:v>
                </c:pt>
                <c:pt idx="20">
                  <c:v>2017Q1</c:v>
                </c:pt>
                <c:pt idx="21">
                  <c:v>2017Q2</c:v>
                </c:pt>
                <c:pt idx="22">
                  <c:v>2017Q3</c:v>
                </c:pt>
                <c:pt idx="23">
                  <c:v>2017Q4</c:v>
                </c:pt>
                <c:pt idx="24">
                  <c:v>2018Q1</c:v>
                </c:pt>
                <c:pt idx="25">
                  <c:v>2018Q2</c:v>
                </c:pt>
                <c:pt idx="26">
                  <c:v>2018Q3</c:v>
                </c:pt>
                <c:pt idx="27">
                  <c:v>2018Q4</c:v>
                </c:pt>
                <c:pt idx="28">
                  <c:v>2019Q1</c:v>
                </c:pt>
                <c:pt idx="29">
                  <c:v>2019Q2</c:v>
                </c:pt>
                <c:pt idx="30">
                  <c:v>2019Q3</c:v>
                </c:pt>
                <c:pt idx="31">
                  <c:v>2019Q4</c:v>
                </c:pt>
                <c:pt idx="32">
                  <c:v>2020Q1</c:v>
                </c:pt>
                <c:pt idx="33">
                  <c:v>2020Q2</c:v>
                </c:pt>
                <c:pt idx="34">
                  <c:v>2020Q3</c:v>
                </c:pt>
                <c:pt idx="35">
                  <c:v>2020Q4</c:v>
                </c:pt>
                <c:pt idx="36">
                  <c:v>2021Q1</c:v>
                </c:pt>
                <c:pt idx="37">
                  <c:v>2021Q2</c:v>
                </c:pt>
                <c:pt idx="38">
                  <c:v>2021Q3</c:v>
                </c:pt>
                <c:pt idx="39">
                  <c:v>2021Q4</c:v>
                </c:pt>
                <c:pt idx="40">
                  <c:v>2022Q1</c:v>
                </c:pt>
                <c:pt idx="41">
                  <c:v>2022Q2</c:v>
                </c:pt>
                <c:pt idx="42">
                  <c:v>2022Q3</c:v>
                </c:pt>
              </c:strCache>
            </c:strRef>
          </c:cat>
          <c:val>
            <c:numRef>
              <c:f>Sheet1!$B$2:$B$44</c:f>
              <c:numCache>
                <c:formatCode>General</c:formatCode>
                <c:ptCount val="43"/>
                <c:pt idx="0">
                  <c:v>1</c:v>
                </c:pt>
                <c:pt idx="1">
                  <c:v>0.95010288065843596</c:v>
                </c:pt>
                <c:pt idx="2">
                  <c:v>0.94444444444444398</c:v>
                </c:pt>
                <c:pt idx="3">
                  <c:v>0.94187242798353898</c:v>
                </c:pt>
                <c:pt idx="4">
                  <c:v>0.95164609053497895</c:v>
                </c:pt>
                <c:pt idx="5">
                  <c:v>0.95576131687242705</c:v>
                </c:pt>
                <c:pt idx="6">
                  <c:v>0.96244855967078102</c:v>
                </c:pt>
                <c:pt idx="7">
                  <c:v>0.99331275720164602</c:v>
                </c:pt>
                <c:pt idx="8">
                  <c:v>1.0221193415637799</c:v>
                </c:pt>
                <c:pt idx="9">
                  <c:v>1.06687242798353</c:v>
                </c:pt>
                <c:pt idx="10">
                  <c:v>1.1059670781893001</c:v>
                </c:pt>
                <c:pt idx="11">
                  <c:v>1.13888888888888</c:v>
                </c:pt>
                <c:pt idx="12">
                  <c:v>1.1646090534979401</c:v>
                </c:pt>
                <c:pt idx="13">
                  <c:v>1.19855967078189</c:v>
                </c:pt>
                <c:pt idx="14">
                  <c:v>1.2062757201645999</c:v>
                </c:pt>
                <c:pt idx="15">
                  <c:v>1.24228395061728</c:v>
                </c:pt>
                <c:pt idx="16">
                  <c:v>1.25360082304526</c:v>
                </c:pt>
                <c:pt idx="17">
                  <c:v>1.26388888888888</c:v>
                </c:pt>
                <c:pt idx="18">
                  <c:v>1.23765432098765</c:v>
                </c:pt>
                <c:pt idx="19">
                  <c:v>1.26388888888888</c:v>
                </c:pt>
                <c:pt idx="20">
                  <c:v>1.2644032921810699</c:v>
                </c:pt>
                <c:pt idx="21">
                  <c:v>1.26388888888888</c:v>
                </c:pt>
                <c:pt idx="22">
                  <c:v>1.2983539094650201</c:v>
                </c:pt>
                <c:pt idx="23">
                  <c:v>1.30452674897119</c:v>
                </c:pt>
                <c:pt idx="24">
                  <c:v>1.32355967078189</c:v>
                </c:pt>
                <c:pt idx="25">
                  <c:v>1.3338477366255099</c:v>
                </c:pt>
                <c:pt idx="26">
                  <c:v>1.3379629629629599</c:v>
                </c:pt>
                <c:pt idx="27">
                  <c:v>1.3461934156378601</c:v>
                </c:pt>
                <c:pt idx="28">
                  <c:v>1.3405349794238599</c:v>
                </c:pt>
                <c:pt idx="29">
                  <c:v>1.3425925925925899</c:v>
                </c:pt>
                <c:pt idx="30">
                  <c:v>1.32253086419753</c:v>
                </c:pt>
                <c:pt idx="31">
                  <c:v>1.30915637860082</c:v>
                </c:pt>
                <c:pt idx="32">
                  <c:v>1.2911522633744801</c:v>
                </c:pt>
                <c:pt idx="33">
                  <c:v>1.24588477366255</c:v>
                </c:pt>
                <c:pt idx="34">
                  <c:v>1.24845679012345</c:v>
                </c:pt>
                <c:pt idx="35">
                  <c:v>1.23919753086419</c:v>
                </c:pt>
                <c:pt idx="36">
                  <c:v>1.26131687242798</c:v>
                </c:pt>
                <c:pt idx="37">
                  <c:v>1.2885802469135801</c:v>
                </c:pt>
                <c:pt idx="38">
                  <c:v>1.3415637860082299</c:v>
                </c:pt>
                <c:pt idx="39">
                  <c:v>1.4125514403292101</c:v>
                </c:pt>
                <c:pt idx="40">
                  <c:v>1.4681069958847699</c:v>
                </c:pt>
                <c:pt idx="41">
                  <c:v>1.51388888888888</c:v>
                </c:pt>
                <c:pt idx="42">
                  <c:v>1.322170781893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69F-49E3-9C01-4D63459B6FE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USD values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Sheet1!$A$2:$A$44</c:f>
              <c:strCache>
                <c:ptCount val="43"/>
                <c:pt idx="0">
                  <c:v>2012Q1</c:v>
                </c:pt>
                <c:pt idx="1">
                  <c:v>2012Q2</c:v>
                </c:pt>
                <c:pt idx="2">
                  <c:v>2012Q3</c:v>
                </c:pt>
                <c:pt idx="3">
                  <c:v>2012Q4</c:v>
                </c:pt>
                <c:pt idx="4">
                  <c:v>2013Q1</c:v>
                </c:pt>
                <c:pt idx="5">
                  <c:v>2013Q2</c:v>
                </c:pt>
                <c:pt idx="6">
                  <c:v>2013Q3</c:v>
                </c:pt>
                <c:pt idx="7">
                  <c:v>2013Q4</c:v>
                </c:pt>
                <c:pt idx="8">
                  <c:v>2014Q1</c:v>
                </c:pt>
                <c:pt idx="9">
                  <c:v>2014Q2</c:v>
                </c:pt>
                <c:pt idx="10">
                  <c:v>2014Q3</c:v>
                </c:pt>
                <c:pt idx="11">
                  <c:v>2014Q4</c:v>
                </c:pt>
                <c:pt idx="12">
                  <c:v>2015Q1</c:v>
                </c:pt>
                <c:pt idx="13">
                  <c:v>2015Q2</c:v>
                </c:pt>
                <c:pt idx="14">
                  <c:v>2015Q3</c:v>
                </c:pt>
                <c:pt idx="15">
                  <c:v>2015Q4</c:v>
                </c:pt>
                <c:pt idx="16">
                  <c:v>2016Q1</c:v>
                </c:pt>
                <c:pt idx="17">
                  <c:v>2016Q2</c:v>
                </c:pt>
                <c:pt idx="18">
                  <c:v>2016Q3</c:v>
                </c:pt>
                <c:pt idx="19">
                  <c:v>2016Q4</c:v>
                </c:pt>
                <c:pt idx="20">
                  <c:v>2017Q1</c:v>
                </c:pt>
                <c:pt idx="21">
                  <c:v>2017Q2</c:v>
                </c:pt>
                <c:pt idx="22">
                  <c:v>2017Q3</c:v>
                </c:pt>
                <c:pt idx="23">
                  <c:v>2017Q4</c:v>
                </c:pt>
                <c:pt idx="24">
                  <c:v>2018Q1</c:v>
                </c:pt>
                <c:pt idx="25">
                  <c:v>2018Q2</c:v>
                </c:pt>
                <c:pt idx="26">
                  <c:v>2018Q3</c:v>
                </c:pt>
                <c:pt idx="27">
                  <c:v>2018Q4</c:v>
                </c:pt>
                <c:pt idx="28">
                  <c:v>2019Q1</c:v>
                </c:pt>
                <c:pt idx="29">
                  <c:v>2019Q2</c:v>
                </c:pt>
                <c:pt idx="30">
                  <c:v>2019Q3</c:v>
                </c:pt>
                <c:pt idx="31">
                  <c:v>2019Q4</c:v>
                </c:pt>
                <c:pt idx="32">
                  <c:v>2020Q1</c:v>
                </c:pt>
                <c:pt idx="33">
                  <c:v>2020Q2</c:v>
                </c:pt>
                <c:pt idx="34">
                  <c:v>2020Q3</c:v>
                </c:pt>
                <c:pt idx="35">
                  <c:v>2020Q4</c:v>
                </c:pt>
                <c:pt idx="36">
                  <c:v>2021Q1</c:v>
                </c:pt>
                <c:pt idx="37">
                  <c:v>2021Q2</c:v>
                </c:pt>
                <c:pt idx="38">
                  <c:v>2021Q3</c:v>
                </c:pt>
                <c:pt idx="39">
                  <c:v>2021Q4</c:v>
                </c:pt>
                <c:pt idx="40">
                  <c:v>2022Q1</c:v>
                </c:pt>
                <c:pt idx="41">
                  <c:v>2022Q2</c:v>
                </c:pt>
                <c:pt idx="42">
                  <c:v>2022Q3</c:v>
                </c:pt>
              </c:strCache>
            </c:strRef>
          </c:cat>
          <c:val>
            <c:numRef>
              <c:f>Sheet1!$C$2:$C$44</c:f>
              <c:numCache>
                <c:formatCode>General</c:formatCode>
                <c:ptCount val="43"/>
                <c:pt idx="0">
                  <c:v>1</c:v>
                </c:pt>
                <c:pt idx="1">
                  <c:v>0.95615449136326702</c:v>
                </c:pt>
                <c:pt idx="2">
                  <c:v>0.95046001415428105</c:v>
                </c:pt>
                <c:pt idx="3">
                  <c:v>0.96586917774108105</c:v>
                </c:pt>
                <c:pt idx="4">
                  <c:v>0.93952321040077502</c:v>
                </c:pt>
                <c:pt idx="5">
                  <c:v>0.93749836177295398</c:v>
                </c:pt>
                <c:pt idx="6">
                  <c:v>0.95018806846478399</c:v>
                </c:pt>
                <c:pt idx="7">
                  <c:v>1.0249469214437299</c:v>
                </c:pt>
                <c:pt idx="8">
                  <c:v>1.08071217006107</c:v>
                </c:pt>
                <c:pt idx="9">
                  <c:v>1.1416214516002201</c:v>
                </c:pt>
                <c:pt idx="10">
                  <c:v>1.1764108411312899</c:v>
                </c:pt>
                <c:pt idx="11">
                  <c:v>1.1461429582448599</c:v>
                </c:pt>
                <c:pt idx="12">
                  <c:v>1.1201017011349601</c:v>
                </c:pt>
                <c:pt idx="13">
                  <c:v>1.16802311866006</c:v>
                </c:pt>
                <c:pt idx="14">
                  <c:v>1.1909091504809799</c:v>
                </c:pt>
                <c:pt idx="15">
                  <c:v>1.2027207674766001</c:v>
                </c:pt>
                <c:pt idx="16">
                  <c:v>1.14181476239154</c:v>
                </c:pt>
                <c:pt idx="17">
                  <c:v>1.15118542108987</c:v>
                </c:pt>
                <c:pt idx="18">
                  <c:v>1.03269245891326</c:v>
                </c:pt>
                <c:pt idx="19">
                  <c:v>0.99823071479122405</c:v>
                </c:pt>
                <c:pt idx="20">
                  <c:v>0.99863699509842396</c:v>
                </c:pt>
                <c:pt idx="21">
                  <c:v>1.03043170559094</c:v>
                </c:pt>
                <c:pt idx="22">
                  <c:v>1.08333988624151</c:v>
                </c:pt>
                <c:pt idx="23">
                  <c:v>1.1051086472176299</c:v>
                </c:pt>
                <c:pt idx="24">
                  <c:v>1.1718139760425601</c:v>
                </c:pt>
                <c:pt idx="25">
                  <c:v>1.15543498204503</c:v>
                </c:pt>
                <c:pt idx="26">
                  <c:v>1.1078674215616799</c:v>
                </c:pt>
                <c:pt idx="27">
                  <c:v>1.10610796571518</c:v>
                </c:pt>
                <c:pt idx="28">
                  <c:v>1.1099971167203999</c:v>
                </c:pt>
                <c:pt idx="29">
                  <c:v>1.10314932767162</c:v>
                </c:pt>
                <c:pt idx="30">
                  <c:v>1.0361229063458299</c:v>
                </c:pt>
                <c:pt idx="31">
                  <c:v>1.07567626012424</c:v>
                </c:pt>
                <c:pt idx="32">
                  <c:v>1.0526591701396999</c:v>
                </c:pt>
                <c:pt idx="33">
                  <c:v>0.98401090403921199</c:v>
                </c:pt>
                <c:pt idx="34">
                  <c:v>1.02580207596131</c:v>
                </c:pt>
                <c:pt idx="35">
                  <c:v>1.0418730832743499</c:v>
                </c:pt>
                <c:pt idx="36">
                  <c:v>1.1086734292678999</c:v>
                </c:pt>
                <c:pt idx="37">
                  <c:v>1.14905244947707</c:v>
                </c:pt>
                <c:pt idx="38">
                  <c:v>1.17920893292443</c:v>
                </c:pt>
                <c:pt idx="39">
                  <c:v>1.2146142958244801</c:v>
                </c:pt>
                <c:pt idx="40">
                  <c:v>1.25303399648764</c:v>
                </c:pt>
                <c:pt idx="41">
                  <c:v>1.2149681528662399</c:v>
                </c:pt>
                <c:pt idx="42">
                  <c:v>0.99373345390684398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69F-49E3-9C01-4D63459B6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6009856"/>
        <c:axId val="226011392"/>
      </c:lineChart>
      <c:catAx>
        <c:axId val="22600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226011392"/>
        <c:crosses val="autoZero"/>
        <c:auto val="1"/>
        <c:lblAlgn val="ctr"/>
        <c:lblOffset val="100"/>
        <c:tickLblSkip val="8"/>
        <c:tickMarkSkip val="4"/>
        <c:noMultiLvlLbl val="0"/>
      </c:catAx>
      <c:valAx>
        <c:axId val="226011392"/>
        <c:scaling>
          <c:orientation val="minMax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22600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chemeClr val="tx2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it-IT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1785733597880295E-2"/>
          <c:y val="0.23578876555667672"/>
          <c:w val="0.87915985541426978"/>
          <c:h val="0.616449621395710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'Figure 6'!$O$46</c:f>
              <c:strCache>
                <c:ptCount val="1"/>
                <c:pt idx="0">
                  <c:v>Certified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'Figure 6'!$N$47:$N$50</c:f>
              <c:strCache>
                <c:ptCount val="4"/>
                <c:pt idx="0">
                  <c:v>1 Yr</c:v>
                </c:pt>
                <c:pt idx="1">
                  <c:v>3 yr</c:v>
                </c:pt>
                <c:pt idx="2">
                  <c:v>5 Yr</c:v>
                </c:pt>
                <c:pt idx="3">
                  <c:v>10 Yr</c:v>
                </c:pt>
              </c:strCache>
            </c:strRef>
          </c:cat>
          <c:val>
            <c:numRef>
              <c:f>'Figure 6'!$O$47:$O$50</c:f>
              <c:numCache>
                <c:formatCode>0.0%</c:formatCode>
                <c:ptCount val="4"/>
                <c:pt idx="0">
                  <c:v>-5.9708250865790902E-3</c:v>
                </c:pt>
                <c:pt idx="1">
                  <c:v>-1.1111298963496496E-3</c:v>
                </c:pt>
                <c:pt idx="2">
                  <c:v>2.3326364833780699E-2</c:v>
                </c:pt>
                <c:pt idx="3">
                  <c:v>6.1189517024585971E-2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D6-4EC6-BB04-7107341F9A64}"/>
            </c:ext>
          </c:extLst>
        </c:ser>
        <c:ser>
          <c:idx val="1"/>
          <c:order val="1"/>
          <c:tx>
            <c:strRef>
              <c:f>'Figure 6'!$P$46</c:f>
              <c:strCache>
                <c:ptCount val="1"/>
                <c:pt idx="0">
                  <c:v>Silver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'Figure 6'!$N$47:$N$50</c:f>
              <c:strCache>
                <c:ptCount val="4"/>
                <c:pt idx="0">
                  <c:v>1 Yr</c:v>
                </c:pt>
                <c:pt idx="1">
                  <c:v>3 yr</c:v>
                </c:pt>
                <c:pt idx="2">
                  <c:v>5 Yr</c:v>
                </c:pt>
                <c:pt idx="3">
                  <c:v>10 Yr</c:v>
                </c:pt>
              </c:strCache>
            </c:strRef>
          </c:cat>
          <c:val>
            <c:numRef>
              <c:f>'Figure 6'!$P$47:$P$50</c:f>
              <c:numCache>
                <c:formatCode>0.0%</c:formatCode>
                <c:ptCount val="4"/>
                <c:pt idx="0">
                  <c:v>1.1601193382830388E-2</c:v>
                </c:pt>
                <c:pt idx="1">
                  <c:v>2.1777782695651116E-2</c:v>
                </c:pt>
                <c:pt idx="2">
                  <c:v>3.3742756260195961E-2</c:v>
                </c:pt>
                <c:pt idx="3">
                  <c:v>5.9074224680591314E-2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D6-4EC6-BB04-7107341F9A64}"/>
            </c:ext>
          </c:extLst>
        </c:ser>
        <c:ser>
          <c:idx val="2"/>
          <c:order val="2"/>
          <c:tx>
            <c:strRef>
              <c:f>'Figure 6'!$Q$46</c:f>
              <c:strCache>
                <c:ptCount val="1"/>
                <c:pt idx="0">
                  <c:v>Gold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'Figure 6'!$N$47:$N$50</c:f>
              <c:strCache>
                <c:ptCount val="4"/>
                <c:pt idx="0">
                  <c:v>1 Yr</c:v>
                </c:pt>
                <c:pt idx="1">
                  <c:v>3 yr</c:v>
                </c:pt>
                <c:pt idx="2">
                  <c:v>5 Yr</c:v>
                </c:pt>
                <c:pt idx="3">
                  <c:v>10 Yr</c:v>
                </c:pt>
              </c:strCache>
            </c:strRef>
          </c:cat>
          <c:val>
            <c:numRef>
              <c:f>'Figure 6'!$Q$47:$Q$50</c:f>
              <c:numCache>
                <c:formatCode>0.0%</c:formatCode>
                <c:ptCount val="4"/>
                <c:pt idx="0">
                  <c:v>2.1561808809112959E-2</c:v>
                </c:pt>
                <c:pt idx="1">
                  <c:v>1.7065990714208112E-2</c:v>
                </c:pt>
                <c:pt idx="2">
                  <c:v>2.8498978060799374E-2</c:v>
                </c:pt>
                <c:pt idx="3">
                  <c:v>5.8021974114158326E-2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D6-4EC6-BB04-7107341F9A64}"/>
            </c:ext>
          </c:extLst>
        </c:ser>
        <c:ser>
          <c:idx val="3"/>
          <c:order val="3"/>
          <c:tx>
            <c:strRef>
              <c:f>'Figure 6'!$R$46</c:f>
              <c:strCache>
                <c:ptCount val="1"/>
                <c:pt idx="0">
                  <c:v>Platinum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'Figure 6'!$N$47:$N$50</c:f>
              <c:strCache>
                <c:ptCount val="4"/>
                <c:pt idx="0">
                  <c:v>1 Yr</c:v>
                </c:pt>
                <c:pt idx="1">
                  <c:v>3 yr</c:v>
                </c:pt>
                <c:pt idx="2">
                  <c:v>5 Yr</c:v>
                </c:pt>
                <c:pt idx="3">
                  <c:v>10 Yr</c:v>
                </c:pt>
              </c:strCache>
            </c:strRef>
          </c:cat>
          <c:val>
            <c:numRef>
              <c:f>'Figure 6'!$R$47:$R$50</c:f>
              <c:numCache>
                <c:formatCode>0.0%</c:formatCode>
                <c:ptCount val="4"/>
                <c:pt idx="0">
                  <c:v>2.8301656942406384E-2</c:v>
                </c:pt>
                <c:pt idx="1">
                  <c:v>2.4596034624577934E-2</c:v>
                </c:pt>
                <c:pt idx="2">
                  <c:v>5.2290964071549206E-2</c:v>
                </c:pt>
                <c:pt idx="3">
                  <c:v>7.2524110239472028E-2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BD6-4EC6-BB04-7107341F9A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6056832"/>
        <c:axId val="226193792"/>
      </c:barChart>
      <c:catAx>
        <c:axId val="226056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226193792"/>
        <c:crosses val="autoZero"/>
        <c:auto val="1"/>
        <c:lblAlgn val="ctr"/>
        <c:lblOffset val="100"/>
        <c:noMultiLvlLbl val="0"/>
      </c:catAx>
      <c:valAx>
        <c:axId val="226193792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it-IT"/>
          </a:p>
        </c:txPr>
        <c:crossAx val="22605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360259021676345"/>
          <c:y val="0.15254104391170309"/>
          <c:w val="0.81921229440914478"/>
          <c:h val="5.21423789048677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1587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it-IT"/>
    </a:p>
  </c:txPr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0.04935</cdr:x>
      <cdr:y>0.68657</cdr:y>
    </cdr:from>
    <cdr:to>
      <cdr:x>0.13134</cdr:x>
      <cdr:y>0.78804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1FE88E0C-116D-4FC0-A307-308330105B74}"/>
            </a:ext>
          </a:extLst>
        </cdr:cNvPr>
        <cdr:cNvSpPr txBox="1"/>
      </cdr:nvSpPr>
      <cdr:spPr>
        <a:xfrm xmlns:a="http://schemas.openxmlformats.org/drawingml/2006/main">
          <a:off x="293303" y="1831960"/>
          <a:ext cx="487316" cy="27074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r>
            <a:rPr lang="en-GB" sz="1400" dirty="0">
              <a:solidFill>
                <a:schemeClr val="tx1"/>
              </a:solidFill>
            </a:rPr>
            <a:t>GBP</a:t>
          </a:r>
        </a:p>
      </cdr:txBody>
    </cdr:sp>
  </cdr:relSizeAnchor>
  <cdr:relSizeAnchor xmlns:cdr="http://schemas.openxmlformats.org/drawingml/2006/chartDrawing">
    <cdr:from>
      <cdr:x>0.45242</cdr:x>
      <cdr:y>0.39402</cdr:y>
    </cdr:from>
    <cdr:to>
      <cdr:x>0.54758</cdr:x>
      <cdr:y>0.60598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FEF5886B-6888-4298-952F-CF9B4B803E3D}"/>
            </a:ext>
          </a:extLst>
        </cdr:cNvPr>
        <cdr:cNvSpPr txBox="1"/>
      </cdr:nvSpPr>
      <cdr:spPr>
        <a:xfrm xmlns:a="http://schemas.openxmlformats.org/drawingml/2006/main">
          <a:off x="4347754" y="1699862"/>
          <a:ext cx="914400" cy="91440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endParaRPr lang="en-GB" sz="2000" dirty="0" err="1">
            <a:solidFill>
              <a:schemeClr val="bg2"/>
            </a:solidFill>
          </a:endParaRPr>
        </a:p>
      </cdr:txBody>
    </cdr:sp>
  </cdr:relSizeAnchor>
  <cdr:relSizeAnchor xmlns:cdr="http://schemas.openxmlformats.org/drawingml/2006/chartDrawing">
    <cdr:from>
      <cdr:x>0.11303</cdr:x>
      <cdr:y>0.13038</cdr:y>
    </cdr:from>
    <cdr:to>
      <cdr:x>0.2484</cdr:x>
      <cdr:y>0.2356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BCB137CB-B773-47A0-9D48-0EBF2908DFD4}"/>
            </a:ext>
          </a:extLst>
        </cdr:cNvPr>
        <cdr:cNvSpPr txBox="1"/>
      </cdr:nvSpPr>
      <cdr:spPr>
        <a:xfrm xmlns:a="http://schemas.openxmlformats.org/drawingml/2006/main">
          <a:off x="671813" y="347901"/>
          <a:ext cx="804562" cy="280749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r>
            <a:rPr lang="en-GB" sz="1400" dirty="0">
              <a:solidFill>
                <a:schemeClr val="tx1"/>
              </a:solidFill>
            </a:rPr>
            <a:t>Yen (RHS)</a:t>
          </a:r>
        </a:p>
      </cdr:txBody>
    </cdr:sp>
  </cdr:relSizeAnchor>
  <cdr:relSizeAnchor xmlns:cdr="http://schemas.openxmlformats.org/drawingml/2006/chartDrawing">
    <cdr:from>
      <cdr:x>0.45242</cdr:x>
      <cdr:y>0.39402</cdr:y>
    </cdr:from>
    <cdr:to>
      <cdr:x>0.54758</cdr:x>
      <cdr:y>0.60598</cdr:y>
    </cdr:to>
    <cdr:sp macro="" textlink="">
      <cdr:nvSpPr>
        <cdr:cNvPr id="5" name="TextBox 4">
          <a:extLst xmlns:a="http://schemas.openxmlformats.org/drawingml/2006/main">
            <a:ext uri="{FF2B5EF4-FFF2-40B4-BE49-F238E27FC236}">
              <a16:creationId xmlns:a16="http://schemas.microsoft.com/office/drawing/2014/main" id="{50256F8D-4F69-4B22-8364-534E1340AEE3}"/>
            </a:ext>
          </a:extLst>
        </cdr:cNvPr>
        <cdr:cNvSpPr txBox="1"/>
      </cdr:nvSpPr>
      <cdr:spPr>
        <a:xfrm xmlns:a="http://schemas.openxmlformats.org/drawingml/2006/main">
          <a:off x="4347754" y="1699862"/>
          <a:ext cx="914400" cy="91440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endParaRPr lang="en-GB" sz="2000" dirty="0" err="1">
            <a:solidFill>
              <a:schemeClr val="bg2"/>
            </a:solidFill>
          </a:endParaRPr>
        </a:p>
      </cdr:txBody>
    </cdr:sp>
  </cdr:relSizeAnchor>
  <cdr:relSizeAnchor xmlns:cdr="http://schemas.openxmlformats.org/drawingml/2006/chartDrawing">
    <cdr:from>
      <cdr:x>0.2561</cdr:x>
      <cdr:y>0.46505</cdr:y>
    </cdr:from>
    <cdr:to>
      <cdr:x>0.33101</cdr:x>
      <cdr:y>0.53495</cdr:y>
    </cdr:to>
    <cdr:sp macro="" textlink="">
      <cdr:nvSpPr>
        <cdr:cNvPr id="6" name="TextBox 5">
          <a:extLst xmlns:a="http://schemas.openxmlformats.org/drawingml/2006/main">
            <a:ext uri="{FF2B5EF4-FFF2-40B4-BE49-F238E27FC236}">
              <a16:creationId xmlns:a16="http://schemas.microsoft.com/office/drawing/2014/main" id="{466D45FA-BA8F-4E86-ACBA-D43785F4C93B}"/>
            </a:ext>
          </a:extLst>
        </cdr:cNvPr>
        <cdr:cNvSpPr txBox="1"/>
      </cdr:nvSpPr>
      <cdr:spPr>
        <a:xfrm xmlns:a="http://schemas.openxmlformats.org/drawingml/2006/main">
          <a:off x="2461095" y="2006283"/>
          <a:ext cx="719847" cy="301558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r>
            <a:rPr lang="en-GB" sz="1400" dirty="0">
              <a:solidFill>
                <a:schemeClr val="tx1"/>
              </a:solidFill>
            </a:rPr>
            <a:t>Euro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0.45485</cdr:x>
      <cdr:y>0.21874</cdr:y>
    </cdr:from>
    <cdr:to>
      <cdr:x>0.59656</cdr:x>
      <cdr:y>0.29766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42C656D2-ED34-45B6-B0A8-3212F79AC037}"/>
            </a:ext>
          </a:extLst>
        </cdr:cNvPr>
        <cdr:cNvSpPr txBox="1"/>
      </cdr:nvSpPr>
      <cdr:spPr>
        <a:xfrm xmlns:a="http://schemas.openxmlformats.org/drawingml/2006/main">
          <a:off x="2703430" y="583666"/>
          <a:ext cx="842267" cy="210580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lIns="0" tIns="0" rIns="0" bIns="0" rtlCol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600"/>
            </a:spcAft>
          </a:pPr>
          <a:r>
            <a:rPr lang="en-GB" sz="1400" dirty="0">
              <a:solidFill>
                <a:schemeClr val="tx1"/>
              </a:solidFill>
            </a:rPr>
            <a:t>GBP</a:t>
          </a:r>
          <a:r>
            <a:rPr lang="en-GB" sz="1400" baseline="0" dirty="0">
              <a:solidFill>
                <a:schemeClr val="tx1"/>
              </a:solidFill>
            </a:rPr>
            <a:t> </a:t>
          </a:r>
          <a:r>
            <a:rPr lang="en-GB" sz="1400" dirty="0">
              <a:solidFill>
                <a:schemeClr val="tx1"/>
              </a:solidFill>
            </a:rPr>
            <a:t>values</a:t>
          </a:r>
        </a:p>
      </cdr:txBody>
    </cdr:sp>
  </cdr:relSizeAnchor>
  <cdr:relSizeAnchor xmlns:cdr="http://schemas.openxmlformats.org/drawingml/2006/chartDrawing">
    <cdr:from>
      <cdr:x>0.51763</cdr:x>
      <cdr:y>0.61042</cdr:y>
    </cdr:from>
    <cdr:to>
      <cdr:x>0.68892</cdr:x>
      <cdr:y>0.75437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3076601" y="1628762"/>
          <a:ext cx="1018079" cy="38409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aentys16 for charts">
    <a:dk1>
      <a:sysClr val="windowText" lastClr="000000"/>
    </a:dk1>
    <a:lt1>
      <a:sysClr val="window" lastClr="FFFFFF"/>
    </a:lt1>
    <a:dk2>
      <a:srgbClr val="25303B"/>
    </a:dk2>
    <a:lt2>
      <a:srgbClr val="F2F2F2"/>
    </a:lt2>
    <a:accent1>
      <a:srgbClr val="008FBE"/>
    </a:accent1>
    <a:accent2>
      <a:srgbClr val="075156"/>
    </a:accent2>
    <a:accent3>
      <a:srgbClr val="00AD97"/>
    </a:accent3>
    <a:accent4>
      <a:srgbClr val="6EAFBD"/>
    </a:accent4>
    <a:accent5>
      <a:srgbClr val="25B34B"/>
    </a:accent5>
    <a:accent6>
      <a:srgbClr val="C3D62E"/>
    </a:accent6>
    <a:hlink>
      <a:srgbClr val="008FBE"/>
    </a:hlink>
    <a:folHlink>
      <a:srgbClr val="002646"/>
    </a:folHlink>
  </a:clrScheme>
  <a:fontScheme name="Georgia">
    <a:majorFont>
      <a:latin typeface="Georgia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Georgia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saentys16 for charts">
    <a:dk1>
      <a:sysClr val="windowText" lastClr="000000"/>
    </a:dk1>
    <a:lt1>
      <a:sysClr val="window" lastClr="FFFFFF"/>
    </a:lt1>
    <a:dk2>
      <a:srgbClr val="25303B"/>
    </a:dk2>
    <a:lt2>
      <a:srgbClr val="F2F2F2"/>
    </a:lt2>
    <a:accent1>
      <a:srgbClr val="008FBE"/>
    </a:accent1>
    <a:accent2>
      <a:srgbClr val="075156"/>
    </a:accent2>
    <a:accent3>
      <a:srgbClr val="00AD97"/>
    </a:accent3>
    <a:accent4>
      <a:srgbClr val="6EAFBD"/>
    </a:accent4>
    <a:accent5>
      <a:srgbClr val="25B34B"/>
    </a:accent5>
    <a:accent6>
      <a:srgbClr val="C3D62E"/>
    </a:accent6>
    <a:hlink>
      <a:srgbClr val="008FBE"/>
    </a:hlink>
    <a:folHlink>
      <a:srgbClr val="002646"/>
    </a:folHlink>
  </a:clrScheme>
  <a:fontScheme name="Georgia">
    <a:majorFont>
      <a:latin typeface="Georgia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Georgia"/>
      <a:ea typeface=""/>
      <a:cs typeface=""/>
      <a:font script="Jpan" typeface="ＭＳ Ｐゴシック"/>
      <a:font script="Hang" typeface="돋움"/>
      <a:font script="Hans" typeface="方正舒体"/>
      <a:font script="Hant" typeface="微軟正黑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F0DC14F26434D9E806C4F84988EA5" ma:contentTypeVersion="21" ma:contentTypeDescription="Create a new document." ma:contentTypeScope="" ma:versionID="f55a50df63e2cdd975824b05c9517467">
  <xsd:schema xmlns:xsd="http://www.w3.org/2001/XMLSchema" xmlns:xs="http://www.w3.org/2001/XMLSchema" xmlns:p="http://schemas.microsoft.com/office/2006/metadata/properties" xmlns:ns2="2fc585ef-4afb-4446-85ea-1b3a2bfb769c" xmlns:ns3="bd46ad72-ee0f-4fbb-b3a0-02d4d543faba" targetNamespace="http://schemas.microsoft.com/office/2006/metadata/properties" ma:root="true" ma:fieldsID="f354ae20cfa4af4ba9f5993ce8e1fc34" ns2:_="" ns3:_="">
    <xsd:import namespace="2fc585ef-4afb-4446-85ea-1b3a2bfb769c"/>
    <xsd:import namespace="bd46ad72-ee0f-4fbb-b3a0-02d4d543fa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PrimaryFocus" minOccurs="0"/>
                <xsd:element ref="ns3:S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585ef-4afb-4446-85ea-1b3a2bfb76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1c12b2-3d6b-4485-b627-781014e11f66}" ma:internalName="TaxCatchAll" ma:showField="CatchAllData" ma:web="2fc585ef-4afb-4446-85ea-1b3a2bfb76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6ad72-ee0f-4fbb-b3a0-02d4d543f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051e93-a185-415f-b6e1-484cc9e84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imaryFocus" ma:index="23" nillable="true" ma:displayName="Primary Focus" ma:format="Dropdown" ma:internalName="PrimaryFocus">
      <xsd:simpleType>
        <xsd:restriction base="dms:Choice">
          <xsd:enumeration value="US Research"/>
          <xsd:enumeration value="Europe Research"/>
          <xsd:enumeration value="APAC Research"/>
          <xsd:enumeration value="US Sustainability"/>
          <xsd:enumeration value="Global Research"/>
          <xsd:enumeration value="Europe Sustainability"/>
          <xsd:enumeration value="Choice 7"/>
        </xsd:restriction>
      </xsd:simpleType>
    </xsd:element>
    <xsd:element name="Sector" ma:index="24" nillable="true" ma:displayName="Sector" ma:format="Dropdown" ma:internalName="Sector">
      <xsd:simpleType>
        <xsd:restriction base="dms:Choice">
          <xsd:enumeration value="Office"/>
          <xsd:enumeration value="Industrial"/>
          <xsd:enumeration value="Retail"/>
          <xsd:enumeration value="Housing"/>
          <xsd:enumeration value="Non-traditional"/>
          <xsd:enumeration value="Diver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585ef-4afb-4446-85ea-1b3a2bfb769c" xsi:nil="true"/>
    <PrimaryFocus xmlns="bd46ad72-ee0f-4fbb-b3a0-02d4d543faba" xsi:nil="true"/>
    <lcf76f155ced4ddcb4097134ff3c332f xmlns="bd46ad72-ee0f-4fbb-b3a0-02d4d543faba">
      <Terms xmlns="http://schemas.microsoft.com/office/infopath/2007/PartnerControls"/>
    </lcf76f155ced4ddcb4097134ff3c332f>
    <Sector xmlns="bd46ad72-ee0f-4fbb-b3a0-02d4d543faba" xsi:nil="true"/>
    <SharedWithUsers xmlns="2fc585ef-4afb-4446-85ea-1b3a2bfb769c">
      <UserInfo>
        <DisplayName>Dean, Abigail</DisplayName>
        <AccountId>1104</AccountId>
        <AccountType/>
      </UserInfo>
      <UserInfo>
        <DisplayName>Wundrak, Stefan</DisplayName>
        <AccountId>1127</AccountId>
        <AccountType/>
      </UserInfo>
      <UserInfo>
        <DisplayName>Tan, Harry</DisplayName>
        <AccountId>1160</AccountId>
        <AccountType/>
      </UserInfo>
      <UserInfo>
        <DisplayName>Rawcliffe, Darren</DisplayName>
        <AccountId>1254</AccountId>
        <AccountType/>
      </UserInfo>
      <UserInfo>
        <DisplayName>Ganesan, Jayanth</DisplayName>
        <AccountId>374</AccountId>
        <AccountType/>
      </UserInfo>
      <UserInfo>
        <DisplayName>Bayaan, Ibrahiim</DisplayName>
        <AccountId>1368</AccountId>
        <AccountType/>
      </UserInfo>
      <UserInfo>
        <DisplayName>Leonard, Paul A</DisplayName>
        <AccountId>1132</AccountId>
        <AccountType/>
      </UserInfo>
      <UserInfo>
        <DisplayName>Schofield, Andy</DisplayName>
        <AccountId>1157</AccountId>
        <AccountType/>
      </UserInfo>
      <UserInfo>
        <DisplayName>Goodings, Angela</DisplayName>
        <AccountId>1163</AccountId>
        <AccountType/>
      </UserInfo>
      <UserInfo>
        <DisplayName>Leon, Ana M</DisplayName>
        <AccountId>1389</AccountId>
        <AccountType/>
      </UserInfo>
      <UserInfo>
        <DisplayName>Wu, Haoran</DisplayName>
        <AccountId>1152</AccountId>
        <AccountType/>
      </UserInfo>
      <UserInfo>
        <DisplayName>Manware, Daniel</DisplayName>
        <AccountId>165</AccountId>
        <AccountType/>
      </UserInfo>
      <UserInfo>
        <DisplayName>Fell, Stephanie</DisplayName>
        <AccountId>1263</AccountId>
        <AccountType/>
      </UserInfo>
      <UserInfo>
        <DisplayName>Mclaughlin, Frances</DisplayName>
        <AccountId>1143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AC66B9-4BE8-4827-BEC3-3AD73D06D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585ef-4afb-4446-85ea-1b3a2bfb769c"/>
    <ds:schemaRef ds:uri="bd46ad72-ee0f-4fbb-b3a0-02d4d543f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271A8-1544-423D-AF83-9CDC8192A25A}">
  <ds:schemaRefs>
    <ds:schemaRef ds:uri="http://schemas.microsoft.com/office/2006/metadata/properties"/>
    <ds:schemaRef ds:uri="http://schemas.microsoft.com/office/infopath/2007/PartnerControls"/>
    <ds:schemaRef ds:uri="2fc585ef-4afb-4446-85ea-1b3a2bfb769c"/>
    <ds:schemaRef ds:uri="bd46ad72-ee0f-4fbb-b3a0-02d4d543faba"/>
  </ds:schemaRefs>
</ds:datastoreItem>
</file>

<file path=customXml/itemProps3.xml><?xml version="1.0" encoding="utf-8"?>
<ds:datastoreItem xmlns:ds="http://schemas.openxmlformats.org/officeDocument/2006/customXml" ds:itemID="{2F7F231F-42D1-49AF-9970-145D2439ED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3096</Words>
  <Characters>17648</Characters>
  <Application>Microsoft Office Word</Application>
  <DocSecurity>0</DocSecurity>
  <Lines>147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Hall, Donald E</dc:creator>
  <cp:lastModifiedBy>Monica Negri</cp:lastModifiedBy>
  <cp:revision>3</cp:revision>
  <dcterms:created xsi:type="dcterms:W3CDTF">2022-12-12T17:38:00Z</dcterms:created>
  <dcterms:modified xsi:type="dcterms:W3CDTF">2022-12-12T17:44:00Z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0x0101002CAF0DC14F26434D9E806C4F84988EA5</vt:lpwstr>
  </property>
  <property fmtid="{D5CDD505-2E9C-101B-9397-08002B2CF9AE}" pid="3" name="MediaServiceImageTags">
    <vt:lpwstr/>
  </property>
  <property fmtid="{D5CDD505-2E9C-101B-9397-08002B2CF9AE}" pid="4" name="MSIP_Label_6c2268aa-3916-486c-aa2c-ecdcbdaee62c_Enabled">
    <vt:lpwstr>true</vt:lpwstr>
  </property>
  <property fmtid="{D5CDD505-2E9C-101B-9397-08002B2CF9AE}" pid="5" name="MSIP_Label_6c2268aa-3916-486c-aa2c-ecdcbdaee62c_SetDate">
    <vt:lpwstr>2022-11-29T10:17:07Z</vt:lpwstr>
  </property>
  <property fmtid="{D5CDD505-2E9C-101B-9397-08002B2CF9AE}" pid="6" name="MSIP_Label_6c2268aa-3916-486c-aa2c-ecdcbdaee62c_Method">
    <vt:lpwstr>Standard</vt:lpwstr>
  </property>
  <property fmtid="{D5CDD505-2E9C-101B-9397-08002B2CF9AE}" pid="7" name="MSIP_Label_6c2268aa-3916-486c-aa2c-ecdcbdaee62c_Name">
    <vt:lpwstr>TIAA-Sensitivity-Confidential-Standard</vt:lpwstr>
  </property>
  <property fmtid="{D5CDD505-2E9C-101B-9397-08002B2CF9AE}" pid="8" name="MSIP_Label_6c2268aa-3916-486c-aa2c-ecdcbdaee62c_SiteId">
    <vt:lpwstr>67080e55-9c90-409b-9421-7fab7df8331b</vt:lpwstr>
  </property>
  <property fmtid="{D5CDD505-2E9C-101B-9397-08002B2CF9AE}" pid="9" name="MSIP_Label_6c2268aa-3916-486c-aa2c-ecdcbdaee62c_ActionId">
    <vt:lpwstr>eef8ac95-64d5-4576-af2c-833a67118ae7</vt:lpwstr>
  </property>
  <property fmtid="{D5CDD505-2E9C-101B-9397-08002B2CF9AE}" pid="10" name="MSIP_Label_6c2268aa-3916-486c-aa2c-ecdcbdaee62c_ContentBits">
    <vt:lpwstr>2</vt:lpwstr>
  </property>
</Properties>
</file>