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2A9F8" w14:textId="77777777" w:rsidR="008D4B5A" w:rsidRDefault="008D4B5A" w:rsidP="008D4B5A">
      <w:pPr>
        <w:autoSpaceDE w:val="0"/>
        <w:autoSpaceDN w:val="0"/>
        <w:adjustRightInd w:val="0"/>
        <w:spacing w:before="0" w:after="0" w:line="240" w:lineRule="auto"/>
        <w:jc w:val="center"/>
        <w:rPr>
          <w:rFonts w:ascii="Segoe UI" w:hAnsi="Segoe UI" w:cs="Segoe UI"/>
          <w:b/>
          <w:bCs/>
          <w:sz w:val="28"/>
          <w:szCs w:val="28"/>
        </w:rPr>
      </w:pPr>
    </w:p>
    <w:p w14:paraId="70CF414B" w14:textId="77777777" w:rsidR="008D4B5A" w:rsidRDefault="008D4B5A" w:rsidP="008D4B5A">
      <w:pPr>
        <w:autoSpaceDE w:val="0"/>
        <w:autoSpaceDN w:val="0"/>
        <w:adjustRightInd w:val="0"/>
        <w:spacing w:before="0" w:after="0" w:line="240" w:lineRule="auto"/>
        <w:jc w:val="center"/>
        <w:rPr>
          <w:rFonts w:ascii="Segoe UI" w:hAnsi="Segoe UI" w:cs="Segoe UI"/>
          <w:b/>
          <w:bCs/>
          <w:sz w:val="28"/>
          <w:szCs w:val="28"/>
        </w:rPr>
      </w:pPr>
      <w:r>
        <w:rPr>
          <w:rFonts w:ascii="Segoe UI" w:hAnsi="Segoe UI" w:cs="Segoe UI"/>
          <w:b/>
          <w:bCs/>
          <w:sz w:val="28"/>
          <w:szCs w:val="28"/>
        </w:rPr>
        <w:t>Report a cura dell’Ufficio Studi Gabetti e Abaco Team</w:t>
      </w:r>
    </w:p>
    <w:p w14:paraId="5A08CEE8" w14:textId="77777777" w:rsidR="008D4B5A" w:rsidRDefault="008D4B5A" w:rsidP="008D4B5A">
      <w:pPr>
        <w:autoSpaceDE w:val="0"/>
        <w:autoSpaceDN w:val="0"/>
        <w:adjustRightInd w:val="0"/>
        <w:spacing w:before="0" w:after="0" w:line="240" w:lineRule="auto"/>
        <w:jc w:val="center"/>
        <w:rPr>
          <w:rFonts w:ascii="Segoe UI" w:hAnsi="Segoe UI" w:cs="Segoe UI"/>
          <w:b/>
          <w:bCs/>
          <w:sz w:val="28"/>
          <w:szCs w:val="28"/>
        </w:rPr>
      </w:pPr>
    </w:p>
    <w:p w14:paraId="1EF69371" w14:textId="77777777" w:rsidR="008D4B5A" w:rsidRDefault="008D4B5A" w:rsidP="008D4B5A">
      <w:pPr>
        <w:autoSpaceDE w:val="0"/>
        <w:autoSpaceDN w:val="0"/>
        <w:adjustRightInd w:val="0"/>
        <w:spacing w:before="0" w:after="0" w:line="240" w:lineRule="auto"/>
        <w:jc w:val="center"/>
        <w:rPr>
          <w:rFonts w:ascii="Segoe UI" w:hAnsi="Segoe UI" w:cs="Segoe UI"/>
          <w:b/>
          <w:bCs/>
          <w:sz w:val="28"/>
          <w:szCs w:val="28"/>
        </w:rPr>
      </w:pPr>
      <w:r>
        <w:rPr>
          <w:rFonts w:ascii="Segoe UI" w:hAnsi="Segoe UI" w:cs="Segoe UI"/>
          <w:b/>
          <w:bCs/>
          <w:sz w:val="28"/>
          <w:szCs w:val="28"/>
        </w:rPr>
        <w:t>LA TOSCANA VERSO LA TRANSIZIONE ENERGETICA:</w:t>
      </w:r>
    </w:p>
    <w:p w14:paraId="748324DF" w14:textId="77777777" w:rsidR="008D4B5A" w:rsidRDefault="008D4B5A" w:rsidP="008D4B5A">
      <w:pPr>
        <w:autoSpaceDE w:val="0"/>
        <w:autoSpaceDN w:val="0"/>
        <w:adjustRightInd w:val="0"/>
        <w:spacing w:before="0" w:after="0" w:line="240" w:lineRule="auto"/>
        <w:jc w:val="center"/>
        <w:rPr>
          <w:rFonts w:ascii="Segoe UI" w:hAnsi="Segoe UI" w:cs="Segoe UI"/>
          <w:b/>
          <w:bCs/>
          <w:sz w:val="28"/>
          <w:szCs w:val="28"/>
        </w:rPr>
      </w:pPr>
      <w:r>
        <w:rPr>
          <w:rFonts w:ascii="Segoe UI" w:hAnsi="Segoe UI" w:cs="Segoe UI"/>
          <w:b/>
          <w:bCs/>
          <w:sz w:val="28"/>
          <w:szCs w:val="28"/>
        </w:rPr>
        <w:t>IL 65% DEL PATRIMONIO EDILIZIO ANCORA IN CLASSE G</w:t>
      </w:r>
    </w:p>
    <w:p w14:paraId="662A8282" w14:textId="77777777" w:rsidR="008D4B5A" w:rsidRDefault="008D4B5A" w:rsidP="008D4B5A">
      <w:pPr>
        <w:autoSpaceDE w:val="0"/>
        <w:autoSpaceDN w:val="0"/>
        <w:adjustRightInd w:val="0"/>
        <w:spacing w:before="0" w:after="0" w:line="240" w:lineRule="auto"/>
        <w:jc w:val="center"/>
        <w:rPr>
          <w:rFonts w:ascii="Segoe UI" w:hAnsi="Segoe UI" w:cs="Segoe UI"/>
          <w:bCs/>
          <w:i/>
          <w:sz w:val="24"/>
          <w:szCs w:val="24"/>
        </w:rPr>
      </w:pPr>
    </w:p>
    <w:p w14:paraId="07DDAD0A" w14:textId="77777777" w:rsidR="008D4B5A" w:rsidRDefault="008D4B5A" w:rsidP="008D4B5A">
      <w:pPr>
        <w:autoSpaceDE w:val="0"/>
        <w:autoSpaceDN w:val="0"/>
        <w:adjustRightInd w:val="0"/>
        <w:spacing w:before="0" w:after="0" w:line="240" w:lineRule="auto"/>
        <w:jc w:val="center"/>
        <w:rPr>
          <w:rFonts w:ascii="Segoe UI" w:hAnsi="Segoe UI" w:cs="Segoe UI"/>
          <w:i/>
          <w:sz w:val="24"/>
          <w:szCs w:val="24"/>
        </w:rPr>
      </w:pPr>
      <w:r>
        <w:rPr>
          <w:rFonts w:ascii="Segoe UI" w:hAnsi="Segoe UI" w:cs="Segoe UI"/>
          <w:i/>
          <w:sz w:val="24"/>
          <w:szCs w:val="24"/>
        </w:rPr>
        <w:t>La nuova direttiva UE per l</w:t>
      </w:r>
      <w:r>
        <w:rPr>
          <w:rFonts w:ascii="Arial" w:hAnsi="Arial" w:cs="Arial"/>
          <w:i/>
          <w:sz w:val="24"/>
          <w:szCs w:val="24"/>
        </w:rPr>
        <w:t>’</w:t>
      </w:r>
      <w:r>
        <w:rPr>
          <w:rFonts w:ascii="Segoe UI" w:hAnsi="Segoe UI" w:cs="Segoe UI"/>
          <w:i/>
          <w:sz w:val="24"/>
          <w:szCs w:val="24"/>
        </w:rPr>
        <w:t>efficientamento energetico, non ancora approvata definitivamente dal Consiglio Europeo, prevede che tutti gli immobili residenziali debbano raggiungere la classe energetica E entro il 2030, e la classe D entro il 2033. La Toscana sarebbe pronta per affrontare questo cambiamento?</w:t>
      </w:r>
    </w:p>
    <w:p w14:paraId="5E441D1E" w14:textId="77777777" w:rsidR="008D4B5A" w:rsidRDefault="008D4B5A" w:rsidP="008D4B5A">
      <w:pPr>
        <w:autoSpaceDE w:val="0"/>
        <w:autoSpaceDN w:val="0"/>
        <w:adjustRightInd w:val="0"/>
        <w:spacing w:before="0" w:after="0" w:line="240" w:lineRule="auto"/>
        <w:jc w:val="center"/>
        <w:rPr>
          <w:rFonts w:ascii="Segoe UI" w:hAnsi="Segoe UI" w:cs="Segoe UI"/>
          <w:bCs/>
          <w:i/>
          <w:sz w:val="24"/>
          <w:szCs w:val="24"/>
          <w:highlight w:val="yellow"/>
        </w:rPr>
      </w:pPr>
    </w:p>
    <w:p w14:paraId="7386A009" w14:textId="77777777" w:rsidR="008D4B5A" w:rsidRDefault="008D4B5A" w:rsidP="008D4B5A">
      <w:pPr>
        <w:jc w:val="both"/>
        <w:rPr>
          <w:rFonts w:ascii="Segoe UI" w:hAnsi="Segoe UI" w:cs="Segoe UI"/>
          <w:sz w:val="24"/>
          <w:szCs w:val="24"/>
        </w:rPr>
      </w:pPr>
      <w:r>
        <w:rPr>
          <w:rFonts w:ascii="Segoe UI" w:hAnsi="Segoe UI" w:cs="Segoe UI"/>
          <w:sz w:val="24"/>
          <w:szCs w:val="24"/>
        </w:rPr>
        <w:t xml:space="preserve">Da un’analisi condotta dall’Ufficio Studi Gabetti sui dati immobiliari di circa </w:t>
      </w:r>
      <w:r>
        <w:rPr>
          <w:rFonts w:ascii="Segoe UI" w:hAnsi="Segoe UI" w:cs="Segoe UI"/>
          <w:b/>
          <w:sz w:val="24"/>
          <w:szCs w:val="24"/>
        </w:rPr>
        <w:t>3.000 unità residenziali</w:t>
      </w:r>
      <w:r>
        <w:rPr>
          <w:rFonts w:ascii="Segoe UI" w:hAnsi="Segoe UI" w:cs="Segoe UI"/>
          <w:sz w:val="24"/>
          <w:szCs w:val="24"/>
        </w:rPr>
        <w:t xml:space="preserve"> raccolti nel 2022 da </w:t>
      </w:r>
      <w:r>
        <w:rPr>
          <w:rFonts w:ascii="Segoe UI" w:hAnsi="Segoe UI" w:cs="Segoe UI"/>
          <w:b/>
          <w:sz w:val="24"/>
          <w:szCs w:val="24"/>
        </w:rPr>
        <w:t>Abaco Team</w:t>
      </w:r>
      <w:r>
        <w:rPr>
          <w:rFonts w:ascii="Segoe UI" w:hAnsi="Segoe UI" w:cs="Segoe UI"/>
          <w:sz w:val="24"/>
          <w:szCs w:val="24"/>
        </w:rPr>
        <w:t xml:space="preserve"> - società del Gruppo Gabetti che si occupa di servizi tecnici per l’immobiliare - emerge come gran parte del patrimonio edilizio abitativo in Toscana sia ancora lontano dal raggiungere i parametri minimi di sostenibilità contenuti nella proposta di revisione della nuova direttiva UE per l’efficientamento energetico. </w:t>
      </w:r>
      <w:r>
        <w:rPr>
          <w:rFonts w:ascii="Segoe UI" w:hAnsi="Segoe UI" w:cs="Segoe UI"/>
          <w:b/>
          <w:sz w:val="24"/>
          <w:szCs w:val="24"/>
        </w:rPr>
        <w:t>Il 65% del campione di unità esaminato, infatti, risulta in classe energetica G</w:t>
      </w:r>
      <w:r>
        <w:rPr>
          <w:rFonts w:ascii="Segoe UI" w:hAnsi="Segoe UI" w:cs="Segoe UI"/>
          <w:sz w:val="24"/>
          <w:szCs w:val="24"/>
        </w:rPr>
        <w:t xml:space="preserve"> </w:t>
      </w:r>
      <w:r>
        <w:rPr>
          <w:rFonts w:ascii="Segoe UI" w:hAnsi="Segoe UI" w:cs="Segoe UI"/>
          <w:b/>
          <w:sz w:val="24"/>
          <w:szCs w:val="24"/>
        </w:rPr>
        <w:t>e il 13% in classe F</w:t>
      </w:r>
      <w:r>
        <w:rPr>
          <w:rFonts w:ascii="Segoe UI" w:hAnsi="Segoe UI" w:cs="Segoe UI"/>
          <w:sz w:val="24"/>
          <w:szCs w:val="24"/>
        </w:rPr>
        <w:t xml:space="preserve">. </w:t>
      </w:r>
    </w:p>
    <w:p w14:paraId="0EB6762E" w14:textId="77777777" w:rsidR="008D4B5A" w:rsidRDefault="008D4B5A" w:rsidP="008D4B5A">
      <w:pPr>
        <w:jc w:val="both"/>
        <w:rPr>
          <w:rFonts w:ascii="Segoe UI" w:hAnsi="Segoe UI" w:cs="Segoe UI"/>
          <w:sz w:val="24"/>
          <w:szCs w:val="24"/>
          <w:highlight w:val="yellow"/>
        </w:rPr>
      </w:pPr>
    </w:p>
    <w:p w14:paraId="08E06E66" w14:textId="77777777" w:rsidR="008D4B5A" w:rsidRDefault="008D4B5A" w:rsidP="008D4B5A">
      <w:pPr>
        <w:jc w:val="both"/>
        <w:rPr>
          <w:rFonts w:ascii="Segoe UI" w:hAnsi="Segoe UI" w:cs="Segoe UI"/>
          <w:sz w:val="24"/>
          <w:szCs w:val="24"/>
          <w:highlight w:val="yellow"/>
        </w:rPr>
      </w:pPr>
      <w:r>
        <w:rPr>
          <w:rFonts w:ascii="Segoe UI" w:hAnsi="Segoe UI" w:cs="Segoe UI"/>
          <w:sz w:val="24"/>
          <w:szCs w:val="24"/>
        </w:rPr>
        <w:t xml:space="preserve">Secondo i dati pubblicati dall’Enea relativi all’utilizzo del Superbonus 110%, dal primo </w:t>
      </w:r>
      <w:r>
        <w:rPr>
          <w:rFonts w:ascii="Arial" w:hAnsi="Arial" w:cs="Arial"/>
          <w:sz w:val="24"/>
          <w:szCs w:val="24"/>
        </w:rPr>
        <w:t>settembre 2021 al 30 aprile 2023</w:t>
      </w:r>
      <w:r>
        <w:rPr>
          <w:rFonts w:ascii="Segoe UI" w:hAnsi="Segoe UI" w:cs="Segoe UI"/>
          <w:sz w:val="24"/>
          <w:szCs w:val="24"/>
        </w:rPr>
        <w:t xml:space="preserve">, i lavori ammessi a detrazioni sono stati di oltre </w:t>
      </w:r>
      <w:r>
        <w:rPr>
          <w:rFonts w:ascii="Segoe UI" w:hAnsi="Segoe UI" w:cs="Segoe UI"/>
          <w:b/>
          <w:sz w:val="24"/>
          <w:szCs w:val="24"/>
        </w:rPr>
        <w:t>3,8 miliardi di euro</w:t>
      </w:r>
      <w:r>
        <w:rPr>
          <w:rFonts w:ascii="Segoe UI" w:hAnsi="Segoe UI" w:cs="Segoe UI"/>
          <w:sz w:val="24"/>
          <w:szCs w:val="24"/>
        </w:rPr>
        <w:t xml:space="preserve">, per un totale di </w:t>
      </w:r>
      <w:r>
        <w:rPr>
          <w:rFonts w:ascii="Segoe UI" w:hAnsi="Segoe UI" w:cs="Segoe UI"/>
          <w:b/>
          <w:sz w:val="24"/>
          <w:szCs w:val="24"/>
        </w:rPr>
        <w:t xml:space="preserve">32.528 </w:t>
      </w:r>
      <w:r>
        <w:rPr>
          <w:rFonts w:ascii="Segoe UI" w:hAnsi="Segoe UI" w:cs="Segoe UI"/>
          <w:sz w:val="24"/>
          <w:szCs w:val="24"/>
        </w:rPr>
        <w:t>cantieri. Al 30 aprile di quest’anno, la percentuale di lavori realizzati è dell</w:t>
      </w:r>
      <w:r>
        <w:rPr>
          <w:rFonts w:ascii="Arial" w:hAnsi="Arial" w:cs="Arial"/>
          <w:sz w:val="24"/>
          <w:szCs w:val="24"/>
        </w:rPr>
        <w:t>’</w:t>
      </w:r>
      <w:r>
        <w:rPr>
          <w:rFonts w:ascii="Segoe UI" w:hAnsi="Segoe UI" w:cs="Segoe UI"/>
          <w:b/>
          <w:sz w:val="24"/>
          <w:szCs w:val="24"/>
        </w:rPr>
        <w:t>83,3%</w:t>
      </w:r>
      <w:r>
        <w:rPr>
          <w:rFonts w:ascii="Segoe UI" w:hAnsi="Segoe UI" w:cs="Segoe UI"/>
          <w:sz w:val="24"/>
          <w:szCs w:val="24"/>
        </w:rPr>
        <w:t xml:space="preserve">. </w:t>
      </w:r>
    </w:p>
    <w:p w14:paraId="24F7EE90" w14:textId="77777777" w:rsidR="008D4B5A" w:rsidRDefault="008D4B5A" w:rsidP="008D4B5A">
      <w:pPr>
        <w:jc w:val="both"/>
        <w:rPr>
          <w:rFonts w:ascii="Segoe UI" w:hAnsi="Segoe UI" w:cs="Segoe UI"/>
          <w:sz w:val="24"/>
          <w:szCs w:val="24"/>
          <w:highlight w:val="yellow"/>
        </w:rPr>
      </w:pPr>
    </w:p>
    <w:p w14:paraId="5687C3EE" w14:textId="77777777" w:rsidR="008D4B5A" w:rsidRDefault="008D4B5A" w:rsidP="008D4B5A">
      <w:pPr>
        <w:autoSpaceDE w:val="0"/>
        <w:autoSpaceDN w:val="0"/>
        <w:adjustRightInd w:val="0"/>
        <w:spacing w:before="0" w:after="0"/>
        <w:jc w:val="both"/>
        <w:rPr>
          <w:rFonts w:ascii="Segoe UI" w:hAnsi="Segoe UI" w:cs="Segoe UI"/>
          <w:sz w:val="24"/>
          <w:szCs w:val="24"/>
        </w:rPr>
      </w:pPr>
      <w:r>
        <w:rPr>
          <w:rFonts w:ascii="Segoe UI" w:hAnsi="Segoe UI" w:cs="Segoe UI"/>
          <w:sz w:val="24"/>
          <w:szCs w:val="24"/>
        </w:rPr>
        <w:t xml:space="preserve">In base alla distribuzione degli investimenti comunicati da Enea, tra le diverse tipologie di edifici ammessi alle detrazioni, gli edifici unifamiliari sono quelli che, più di altri, ne hanno beneficiato. Infatti, per i 16.069 cantieri che vedono coinvolti edifici unifamiliari, l’investimento generato ammonta a poco meno di </w:t>
      </w:r>
      <w:r>
        <w:rPr>
          <w:rFonts w:ascii="Segoe UI" w:hAnsi="Segoe UI" w:cs="Segoe UI"/>
          <w:b/>
          <w:sz w:val="24"/>
          <w:szCs w:val="24"/>
        </w:rPr>
        <w:t>1,8 miliardi di euro</w:t>
      </w:r>
      <w:r>
        <w:rPr>
          <w:rFonts w:ascii="Segoe UI" w:hAnsi="Segoe UI" w:cs="Segoe UI"/>
          <w:sz w:val="24"/>
          <w:szCs w:val="24"/>
        </w:rPr>
        <w:t xml:space="preserve"> (37,4% del totale dei dati comunicati da Enea sulla regione). Le unità immobiliari funzionalmente indipendenti hanno generato, rispetto ai 12.743 cantieri avviati, circa </w:t>
      </w:r>
      <w:r>
        <w:rPr>
          <w:rFonts w:ascii="Segoe UI" w:hAnsi="Segoe UI" w:cs="Segoe UI"/>
          <w:b/>
          <w:sz w:val="24"/>
          <w:szCs w:val="24"/>
        </w:rPr>
        <w:t>1,2 miliardi</w:t>
      </w:r>
      <w:r>
        <w:rPr>
          <w:rFonts w:ascii="Segoe UI" w:hAnsi="Segoe UI" w:cs="Segoe UI"/>
          <w:sz w:val="24"/>
          <w:szCs w:val="24"/>
        </w:rPr>
        <w:t xml:space="preserve"> di investimento (25% sul totale). Sebbene in un numero di asseverazioni totale inferiore (3.716), nei condomini si è concentrata la quota più consistente degli investimenti, pari a oltre </w:t>
      </w:r>
      <w:r>
        <w:rPr>
          <w:rFonts w:ascii="Segoe UI" w:hAnsi="Segoe UI" w:cs="Segoe UI"/>
          <w:b/>
          <w:sz w:val="24"/>
          <w:szCs w:val="24"/>
        </w:rPr>
        <w:t>1,7 miliardi di euro</w:t>
      </w:r>
      <w:r>
        <w:rPr>
          <w:rFonts w:ascii="Segoe UI" w:hAnsi="Segoe UI" w:cs="Segoe UI"/>
          <w:sz w:val="24"/>
          <w:szCs w:val="24"/>
        </w:rPr>
        <w:t xml:space="preserve">, il 37,6% del totale.  </w:t>
      </w:r>
    </w:p>
    <w:p w14:paraId="31747573" w14:textId="77777777" w:rsidR="008D4B5A" w:rsidRDefault="008D4B5A" w:rsidP="008D4B5A">
      <w:pPr>
        <w:jc w:val="both"/>
        <w:rPr>
          <w:rFonts w:ascii="Segoe UI" w:hAnsi="Segoe UI" w:cs="Segoe UI"/>
          <w:sz w:val="24"/>
          <w:szCs w:val="24"/>
        </w:rPr>
      </w:pPr>
    </w:p>
    <w:p w14:paraId="5BCA9D82" w14:textId="77777777" w:rsidR="008D4B5A" w:rsidRDefault="008D4B5A" w:rsidP="008D4B5A">
      <w:pPr>
        <w:jc w:val="both"/>
        <w:rPr>
          <w:rFonts w:ascii="Segoe UI" w:hAnsi="Segoe UI" w:cs="Segoe UI"/>
          <w:sz w:val="24"/>
          <w:szCs w:val="24"/>
        </w:rPr>
      </w:pPr>
    </w:p>
    <w:p w14:paraId="0709712D" w14:textId="3718B21B" w:rsidR="008D4B5A" w:rsidRDefault="008D4B5A" w:rsidP="008D4B5A">
      <w:pPr>
        <w:jc w:val="center"/>
        <w:rPr>
          <w:rFonts w:ascii="Segoe UI" w:hAnsi="Segoe UI" w:cs="Segoe UI"/>
          <w:sz w:val="24"/>
          <w:szCs w:val="24"/>
        </w:rPr>
      </w:pPr>
      <w:r>
        <w:rPr>
          <w:noProof/>
        </w:rPr>
        <w:drawing>
          <wp:inline distT="0" distB="0" distL="0" distR="0" wp14:anchorId="49B9E924" wp14:editId="44B0361C">
            <wp:extent cx="4984750" cy="2247900"/>
            <wp:effectExtent l="0" t="0" r="635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4750" cy="2247900"/>
                    </a:xfrm>
                    <a:prstGeom prst="rect">
                      <a:avLst/>
                    </a:prstGeom>
                    <a:noFill/>
                    <a:ln>
                      <a:noFill/>
                    </a:ln>
                  </pic:spPr>
                </pic:pic>
              </a:graphicData>
            </a:graphic>
          </wp:inline>
        </w:drawing>
      </w:r>
    </w:p>
    <w:p w14:paraId="22746F58" w14:textId="77777777" w:rsidR="008D4B5A" w:rsidRDefault="008D4B5A" w:rsidP="008D4B5A">
      <w:pPr>
        <w:rPr>
          <w:rFonts w:ascii="Segoe UI" w:hAnsi="Segoe UI" w:cs="Segoe UI"/>
          <w:b/>
          <w:bCs/>
          <w:sz w:val="28"/>
          <w:szCs w:val="28"/>
        </w:rPr>
      </w:pPr>
    </w:p>
    <w:p w14:paraId="67E03DA3" w14:textId="77777777" w:rsidR="008D4B5A" w:rsidRDefault="008D4B5A" w:rsidP="008D4B5A">
      <w:pPr>
        <w:jc w:val="center"/>
        <w:rPr>
          <w:rFonts w:ascii="Segoe UI" w:hAnsi="Segoe UI" w:cs="Segoe UI"/>
          <w:b/>
          <w:sz w:val="24"/>
          <w:szCs w:val="24"/>
        </w:rPr>
      </w:pPr>
      <w:r>
        <w:rPr>
          <w:rFonts w:ascii="Segoe UI" w:hAnsi="Segoe UI" w:cs="Segoe UI"/>
          <w:b/>
          <w:bCs/>
          <w:sz w:val="28"/>
          <w:szCs w:val="28"/>
        </w:rPr>
        <w:t>COSA DICONO I DATI IMMOBILIARI RACCOLTI DA ABACO TEAM?</w:t>
      </w:r>
    </w:p>
    <w:p w14:paraId="20A978AC" w14:textId="77777777" w:rsidR="008D4B5A" w:rsidRDefault="008D4B5A" w:rsidP="008D4B5A">
      <w:pPr>
        <w:rPr>
          <w:rFonts w:ascii="Segoe UI" w:hAnsi="Segoe UI" w:cs="Segoe UI"/>
          <w:b/>
          <w:sz w:val="24"/>
          <w:szCs w:val="24"/>
        </w:rPr>
      </w:pPr>
    </w:p>
    <w:p w14:paraId="20872BE3" w14:textId="77777777" w:rsidR="008D4B5A" w:rsidRDefault="008D4B5A" w:rsidP="008D4B5A">
      <w:pPr>
        <w:jc w:val="center"/>
        <w:rPr>
          <w:rFonts w:ascii="Segoe UI" w:hAnsi="Segoe UI" w:cs="Segoe UI"/>
          <w:sz w:val="24"/>
          <w:szCs w:val="24"/>
        </w:rPr>
      </w:pPr>
      <w:r>
        <w:rPr>
          <w:rFonts w:ascii="Segoe UI" w:hAnsi="Segoe UI" w:cs="Segoe UI"/>
          <w:b/>
          <w:sz w:val="24"/>
          <w:szCs w:val="24"/>
        </w:rPr>
        <w:t>EPOCA DI COSTRUZIONE</w:t>
      </w:r>
      <w:r>
        <w:rPr>
          <w:rFonts w:ascii="Segoe UI" w:hAnsi="Segoe UI" w:cs="Segoe UI"/>
          <w:sz w:val="24"/>
          <w:szCs w:val="24"/>
        </w:rPr>
        <w:t xml:space="preserve">: </w:t>
      </w:r>
    </w:p>
    <w:p w14:paraId="7CAB6F4A" w14:textId="77777777" w:rsidR="008D4B5A" w:rsidRDefault="008D4B5A" w:rsidP="008D4B5A">
      <w:pPr>
        <w:jc w:val="center"/>
        <w:rPr>
          <w:rFonts w:ascii="Segoe UI" w:hAnsi="Segoe UI" w:cs="Segoe UI"/>
          <w:b/>
          <w:sz w:val="24"/>
          <w:szCs w:val="24"/>
        </w:rPr>
      </w:pPr>
      <w:r>
        <w:rPr>
          <w:rFonts w:ascii="Segoe UI" w:hAnsi="Segoe UI" w:cs="Segoe UI"/>
          <w:b/>
          <w:sz w:val="24"/>
          <w:szCs w:val="24"/>
        </w:rPr>
        <w:t>66% costruito prima del 1970, di cui il 44% tra il 1960 e il 1970</w:t>
      </w:r>
    </w:p>
    <w:p w14:paraId="57D96331" w14:textId="77777777" w:rsidR="008D4B5A" w:rsidRDefault="008D4B5A" w:rsidP="008D4B5A">
      <w:pPr>
        <w:jc w:val="center"/>
        <w:rPr>
          <w:rFonts w:ascii="Segoe UI" w:hAnsi="Segoe UI" w:cs="Segoe UI"/>
          <w:sz w:val="24"/>
          <w:szCs w:val="24"/>
        </w:rPr>
      </w:pPr>
      <w:r>
        <w:rPr>
          <w:rFonts w:ascii="Segoe UI" w:hAnsi="Segoe UI" w:cs="Segoe UI"/>
          <w:b/>
          <w:sz w:val="24"/>
          <w:szCs w:val="24"/>
        </w:rPr>
        <w:t>CLASSE ENERGETICA</w:t>
      </w:r>
      <w:r>
        <w:rPr>
          <w:rFonts w:ascii="Segoe UI" w:hAnsi="Segoe UI" w:cs="Segoe UI"/>
          <w:sz w:val="24"/>
          <w:szCs w:val="24"/>
        </w:rPr>
        <w:t xml:space="preserve">: </w:t>
      </w:r>
    </w:p>
    <w:p w14:paraId="49BF2BA3" w14:textId="77777777" w:rsidR="008D4B5A" w:rsidRDefault="008D4B5A" w:rsidP="008D4B5A">
      <w:pPr>
        <w:jc w:val="center"/>
        <w:rPr>
          <w:rFonts w:ascii="Segoe UI" w:hAnsi="Segoe UI" w:cs="Segoe UI"/>
          <w:b/>
          <w:sz w:val="24"/>
          <w:szCs w:val="24"/>
        </w:rPr>
      </w:pPr>
      <w:r>
        <w:rPr>
          <w:rFonts w:ascii="Segoe UI" w:hAnsi="Segoe UI" w:cs="Segoe UI"/>
          <w:b/>
          <w:sz w:val="24"/>
          <w:szCs w:val="24"/>
        </w:rPr>
        <w:t xml:space="preserve">65% degli immobili è in classe G, segue il 23% nelle classi F, E </w:t>
      </w:r>
      <w:proofErr w:type="spellStart"/>
      <w:r>
        <w:rPr>
          <w:rFonts w:ascii="Segoe UI" w:hAnsi="Segoe UI" w:cs="Segoe UI"/>
          <w:b/>
          <w:sz w:val="24"/>
          <w:szCs w:val="24"/>
        </w:rPr>
        <w:t>e</w:t>
      </w:r>
      <w:proofErr w:type="spellEnd"/>
      <w:r>
        <w:rPr>
          <w:rFonts w:ascii="Segoe UI" w:hAnsi="Segoe UI" w:cs="Segoe UI"/>
          <w:b/>
          <w:sz w:val="24"/>
          <w:szCs w:val="24"/>
        </w:rPr>
        <w:t xml:space="preserve"> D</w:t>
      </w:r>
    </w:p>
    <w:p w14:paraId="45F9E814" w14:textId="77777777" w:rsidR="008D4B5A" w:rsidRDefault="008D4B5A" w:rsidP="008D4B5A">
      <w:pPr>
        <w:jc w:val="both"/>
        <w:rPr>
          <w:rFonts w:ascii="Segoe UI" w:hAnsi="Segoe UI" w:cs="Segoe UI"/>
          <w:sz w:val="24"/>
          <w:szCs w:val="24"/>
        </w:rPr>
      </w:pPr>
    </w:p>
    <w:p w14:paraId="1F491545" w14:textId="77777777" w:rsidR="008D4B5A" w:rsidRDefault="008D4B5A" w:rsidP="008D4B5A">
      <w:pPr>
        <w:jc w:val="both"/>
        <w:rPr>
          <w:rFonts w:ascii="Segoe UI" w:hAnsi="Segoe UI" w:cs="Segoe UI"/>
          <w:sz w:val="24"/>
          <w:szCs w:val="24"/>
        </w:rPr>
      </w:pPr>
      <w:r>
        <w:rPr>
          <w:rFonts w:ascii="Segoe UI" w:hAnsi="Segoe UI" w:cs="Segoe UI"/>
          <w:sz w:val="24"/>
          <w:szCs w:val="24"/>
        </w:rPr>
        <w:t>Dall’analisi del campione di unità abitative prese in esame, emerge che circa il 44% del campione immobiliare indagato è stato realizzato tra il 1960 e il 1970 oppure tra il 1971 e il 1985 (13%). Dai 3.000 immobili presi in esame si evince come oltre i tre/quarti del campione (il 79%) risalga a un’epoca di costruzione precedente al 1985, segno che il patrimonio edilizio non è più in linea con gli standard energetici e le esigenze del mercato odierno.</w:t>
      </w:r>
    </w:p>
    <w:p w14:paraId="51C1AEEA" w14:textId="77777777" w:rsidR="008D4B5A" w:rsidRDefault="008D4B5A" w:rsidP="008D4B5A">
      <w:pPr>
        <w:jc w:val="both"/>
        <w:rPr>
          <w:rFonts w:ascii="Segoe UI" w:hAnsi="Segoe UI" w:cs="Segoe UI"/>
          <w:sz w:val="24"/>
          <w:szCs w:val="24"/>
        </w:rPr>
      </w:pPr>
      <w:r>
        <w:rPr>
          <w:rFonts w:ascii="Segoe UI" w:hAnsi="Segoe UI" w:cs="Segoe UI"/>
          <w:sz w:val="24"/>
          <w:szCs w:val="24"/>
        </w:rPr>
        <w:t xml:space="preserve">A </w:t>
      </w:r>
      <w:r>
        <w:rPr>
          <w:rFonts w:ascii="Segoe UI" w:hAnsi="Segoe UI" w:cs="Segoe UI"/>
          <w:b/>
          <w:sz w:val="24"/>
          <w:szCs w:val="24"/>
        </w:rPr>
        <w:t>livello provinciale</w:t>
      </w:r>
      <w:r>
        <w:rPr>
          <w:rFonts w:ascii="Segoe UI" w:hAnsi="Segoe UI" w:cs="Segoe UI"/>
          <w:sz w:val="24"/>
          <w:szCs w:val="24"/>
        </w:rPr>
        <w:t xml:space="preserve">, in base al campione Abaco, </w:t>
      </w:r>
      <w:r>
        <w:rPr>
          <w:rFonts w:ascii="Segoe UI" w:hAnsi="Segoe UI" w:cs="Segoe UI"/>
          <w:b/>
          <w:sz w:val="24"/>
          <w:szCs w:val="24"/>
        </w:rPr>
        <w:t>Pisa</w:t>
      </w:r>
      <w:r>
        <w:rPr>
          <w:rFonts w:ascii="Segoe UI" w:hAnsi="Segoe UI" w:cs="Segoe UI"/>
          <w:sz w:val="24"/>
          <w:szCs w:val="24"/>
        </w:rPr>
        <w:t xml:space="preserve"> è l’area dove si concentrano il maggior numero di edifici costruiti dopo il 2000 (28%), seguita da </w:t>
      </w:r>
      <w:r>
        <w:rPr>
          <w:rFonts w:ascii="Segoe UI" w:hAnsi="Segoe UI" w:cs="Segoe UI"/>
          <w:b/>
          <w:sz w:val="24"/>
          <w:szCs w:val="24"/>
        </w:rPr>
        <w:t>Arezzo</w:t>
      </w:r>
      <w:r>
        <w:rPr>
          <w:rFonts w:ascii="Segoe UI" w:hAnsi="Segoe UI" w:cs="Segoe UI"/>
          <w:sz w:val="24"/>
          <w:szCs w:val="24"/>
        </w:rPr>
        <w:t xml:space="preserve"> (25%) e </w:t>
      </w:r>
      <w:r>
        <w:rPr>
          <w:rFonts w:ascii="Segoe UI" w:hAnsi="Segoe UI" w:cs="Segoe UI"/>
          <w:b/>
          <w:sz w:val="24"/>
          <w:szCs w:val="24"/>
        </w:rPr>
        <w:t>Grosseto</w:t>
      </w:r>
      <w:r>
        <w:rPr>
          <w:rFonts w:ascii="Segoe UI" w:hAnsi="Segoe UI" w:cs="Segoe UI"/>
          <w:sz w:val="24"/>
          <w:szCs w:val="24"/>
        </w:rPr>
        <w:t xml:space="preserve"> (22%). La provincia di </w:t>
      </w:r>
      <w:r>
        <w:rPr>
          <w:rFonts w:ascii="Segoe UI" w:hAnsi="Segoe UI" w:cs="Segoe UI"/>
          <w:b/>
          <w:sz w:val="24"/>
          <w:szCs w:val="24"/>
        </w:rPr>
        <w:t>Firenze</w:t>
      </w:r>
      <w:r>
        <w:rPr>
          <w:rFonts w:ascii="Segoe UI" w:hAnsi="Segoe UI" w:cs="Segoe UI"/>
          <w:sz w:val="24"/>
          <w:szCs w:val="24"/>
        </w:rPr>
        <w:t xml:space="preserve"> risulta invece essere quella con la percentuale di edifici più vecchi (il 68% risale a un’epoca precedente al 1970), seguita da </w:t>
      </w:r>
      <w:r>
        <w:rPr>
          <w:rFonts w:ascii="Segoe UI" w:hAnsi="Segoe UI" w:cs="Segoe UI"/>
          <w:b/>
          <w:sz w:val="24"/>
          <w:szCs w:val="24"/>
        </w:rPr>
        <w:t>Massa Carrara</w:t>
      </w:r>
      <w:r>
        <w:rPr>
          <w:rFonts w:ascii="Segoe UI" w:hAnsi="Segoe UI" w:cs="Segoe UI"/>
          <w:sz w:val="24"/>
          <w:szCs w:val="24"/>
        </w:rPr>
        <w:t xml:space="preserve"> (64%) e </w:t>
      </w:r>
      <w:r>
        <w:rPr>
          <w:rFonts w:ascii="Segoe UI" w:hAnsi="Segoe UI" w:cs="Segoe UI"/>
          <w:b/>
          <w:sz w:val="24"/>
          <w:szCs w:val="24"/>
        </w:rPr>
        <w:t>Livorno</w:t>
      </w:r>
      <w:r>
        <w:rPr>
          <w:rFonts w:ascii="Segoe UI" w:hAnsi="Segoe UI" w:cs="Segoe UI"/>
          <w:sz w:val="24"/>
          <w:szCs w:val="24"/>
        </w:rPr>
        <w:t xml:space="preserve"> (62%).</w:t>
      </w:r>
    </w:p>
    <w:p w14:paraId="0E601F5A" w14:textId="77777777" w:rsidR="008D4B5A" w:rsidRDefault="008D4B5A" w:rsidP="008D4B5A">
      <w:pPr>
        <w:jc w:val="both"/>
        <w:rPr>
          <w:rFonts w:ascii="Segoe UI" w:hAnsi="Segoe UI" w:cs="Segoe UI"/>
          <w:sz w:val="24"/>
          <w:szCs w:val="24"/>
        </w:rPr>
      </w:pPr>
    </w:p>
    <w:p w14:paraId="189F7918" w14:textId="581EEA0F" w:rsidR="008D4B5A" w:rsidRDefault="008D4B5A" w:rsidP="008D4B5A">
      <w:pPr>
        <w:jc w:val="center"/>
        <w:rPr>
          <w:rFonts w:ascii="Segoe UI" w:hAnsi="Segoe UI" w:cs="Segoe UI"/>
          <w:sz w:val="24"/>
          <w:szCs w:val="24"/>
        </w:rPr>
      </w:pPr>
      <w:r>
        <w:rPr>
          <w:rFonts w:ascii="Segoe UI" w:hAnsi="Segoe UI" w:cs="Segoe UI"/>
          <w:noProof/>
          <w:sz w:val="24"/>
          <w:szCs w:val="24"/>
        </w:rPr>
        <w:lastRenderedPageBreak/>
        <w:drawing>
          <wp:inline distT="0" distB="0" distL="0" distR="0" wp14:anchorId="7C31D65A" wp14:editId="7FE3902C">
            <wp:extent cx="4679950" cy="2965450"/>
            <wp:effectExtent l="0" t="0" r="6350" b="63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9950" cy="2965450"/>
                    </a:xfrm>
                    <a:prstGeom prst="rect">
                      <a:avLst/>
                    </a:prstGeom>
                    <a:noFill/>
                    <a:ln>
                      <a:noFill/>
                    </a:ln>
                  </pic:spPr>
                </pic:pic>
              </a:graphicData>
            </a:graphic>
          </wp:inline>
        </w:drawing>
      </w:r>
      <w:r>
        <w:rPr>
          <w:rFonts w:ascii="Segoe UI" w:hAnsi="Segoe UI" w:cs="Segoe UI"/>
          <w:noProof/>
          <w:sz w:val="24"/>
          <w:szCs w:val="24"/>
        </w:rPr>
        <w:t xml:space="preserve"> </w:t>
      </w:r>
      <w:r>
        <w:rPr>
          <w:rFonts w:ascii="Segoe UI" w:hAnsi="Segoe UI" w:cs="Segoe UI"/>
          <w:noProof/>
          <w:sz w:val="24"/>
          <w:szCs w:val="24"/>
        </w:rPr>
        <w:drawing>
          <wp:inline distT="0" distB="0" distL="0" distR="0" wp14:anchorId="1EF93774" wp14:editId="3BAC59BD">
            <wp:extent cx="4921250" cy="27686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1250" cy="2768600"/>
                    </a:xfrm>
                    <a:prstGeom prst="rect">
                      <a:avLst/>
                    </a:prstGeom>
                    <a:noFill/>
                    <a:ln>
                      <a:noFill/>
                    </a:ln>
                  </pic:spPr>
                </pic:pic>
              </a:graphicData>
            </a:graphic>
          </wp:inline>
        </w:drawing>
      </w:r>
    </w:p>
    <w:p w14:paraId="38F54671" w14:textId="77777777" w:rsidR="008D4B5A" w:rsidRDefault="008D4B5A" w:rsidP="008D4B5A">
      <w:pPr>
        <w:pStyle w:val="Corpodeltesto3"/>
        <w:widowControl w:val="0"/>
        <w:spacing w:line="276" w:lineRule="auto"/>
        <w:jc w:val="center"/>
        <w:rPr>
          <w:rFonts w:ascii="Segoe UI" w:hAnsi="Segoe UI" w:cs="Segoe UI"/>
          <w:noProof/>
          <w:color w:val="auto"/>
        </w:rPr>
      </w:pPr>
      <w:r>
        <w:rPr>
          <w:rFonts w:ascii="Segoe UI" w:hAnsi="Segoe UI" w:cs="Segoe UI"/>
          <w:i/>
          <w:iCs/>
          <w:color w:val="auto"/>
          <w:sz w:val="18"/>
        </w:rPr>
        <w:t>Elaborazione Ufficio Studi Gabetti su dati Abaco Team</w:t>
      </w:r>
    </w:p>
    <w:p w14:paraId="349C23C9" w14:textId="77777777" w:rsidR="008D4B5A" w:rsidRDefault="008D4B5A" w:rsidP="008D4B5A">
      <w:pPr>
        <w:jc w:val="both"/>
        <w:rPr>
          <w:rFonts w:ascii="Segoe UI" w:hAnsi="Segoe UI" w:cs="Segoe UI"/>
          <w:sz w:val="24"/>
          <w:szCs w:val="24"/>
        </w:rPr>
      </w:pPr>
    </w:p>
    <w:p w14:paraId="65159B7A" w14:textId="497578CB" w:rsidR="008D4B5A" w:rsidRDefault="008D4B5A" w:rsidP="008D4B5A">
      <w:pPr>
        <w:jc w:val="both"/>
        <w:rPr>
          <w:rFonts w:ascii="Segoe UI" w:hAnsi="Segoe UI" w:cs="Segoe UI"/>
          <w:b/>
          <w:bCs/>
          <w:sz w:val="24"/>
          <w:szCs w:val="24"/>
        </w:rPr>
      </w:pPr>
      <w:r>
        <w:rPr>
          <w:rFonts w:ascii="Segoe UI" w:hAnsi="Segoe UI" w:cs="Segoe UI"/>
          <w:sz w:val="24"/>
          <w:szCs w:val="24"/>
        </w:rPr>
        <w:t xml:space="preserve">La vetustà del patrimonio edilizio è riscontrabile anche dall’analisi della classe energetica. Il 65% delle unità abitative indagate, infatti, si trova in </w:t>
      </w:r>
      <w:r>
        <w:rPr>
          <w:rFonts w:ascii="Segoe UI" w:hAnsi="Segoe UI" w:cs="Segoe UI"/>
          <w:b/>
          <w:sz w:val="24"/>
          <w:szCs w:val="24"/>
        </w:rPr>
        <w:t>classe energetica G</w:t>
      </w:r>
      <w:r>
        <w:rPr>
          <w:rFonts w:ascii="Segoe UI" w:hAnsi="Segoe UI" w:cs="Segoe UI"/>
          <w:sz w:val="24"/>
          <w:szCs w:val="24"/>
        </w:rPr>
        <w:t xml:space="preserve">, il che indica caratteristiche strutturali tali da non garantire l’efficienza termica e costi energetici sostenibili. Seguono le </w:t>
      </w:r>
      <w:r>
        <w:rPr>
          <w:rFonts w:ascii="Segoe UI" w:hAnsi="Segoe UI" w:cs="Segoe UI"/>
          <w:b/>
          <w:sz w:val="24"/>
          <w:szCs w:val="24"/>
        </w:rPr>
        <w:t>classi F</w:t>
      </w:r>
      <w:r>
        <w:rPr>
          <w:rFonts w:ascii="Segoe UI" w:hAnsi="Segoe UI" w:cs="Segoe UI"/>
          <w:sz w:val="24"/>
          <w:szCs w:val="24"/>
        </w:rPr>
        <w:t xml:space="preserve"> (13%) ed </w:t>
      </w:r>
      <w:r>
        <w:rPr>
          <w:rFonts w:ascii="Segoe UI" w:hAnsi="Segoe UI" w:cs="Segoe UI"/>
          <w:b/>
          <w:sz w:val="24"/>
          <w:szCs w:val="24"/>
        </w:rPr>
        <w:t>E</w:t>
      </w:r>
      <w:r>
        <w:rPr>
          <w:rFonts w:ascii="Segoe UI" w:hAnsi="Segoe UI" w:cs="Segoe UI"/>
          <w:sz w:val="24"/>
          <w:szCs w:val="24"/>
        </w:rPr>
        <w:t xml:space="preserve"> (6%), anch’esse con un’efficienza energetica ben lontana dalle classi più performanti (dalla </w:t>
      </w:r>
      <w:r>
        <w:rPr>
          <w:rFonts w:ascii="Segoe UI" w:hAnsi="Segoe UI" w:cs="Segoe UI"/>
          <w:b/>
          <w:sz w:val="24"/>
          <w:szCs w:val="24"/>
        </w:rPr>
        <w:t>C</w:t>
      </w:r>
      <w:r>
        <w:rPr>
          <w:rFonts w:ascii="Segoe UI" w:hAnsi="Segoe UI" w:cs="Segoe UI"/>
          <w:sz w:val="24"/>
          <w:szCs w:val="24"/>
        </w:rPr>
        <w:t xml:space="preserve"> alla </w:t>
      </w:r>
      <w:r>
        <w:rPr>
          <w:rFonts w:ascii="Segoe UI" w:hAnsi="Segoe UI" w:cs="Segoe UI"/>
          <w:b/>
          <w:sz w:val="24"/>
          <w:szCs w:val="24"/>
        </w:rPr>
        <w:t>A</w:t>
      </w:r>
      <w:r>
        <w:rPr>
          <w:rFonts w:ascii="Segoe UI" w:hAnsi="Segoe UI" w:cs="Segoe UI"/>
          <w:sz w:val="24"/>
          <w:szCs w:val="24"/>
        </w:rPr>
        <w:t xml:space="preserve">). Queste ultime contano all’incirca il 13% del totale del campione preso in esame. Oltre a consentire la riduzione dei costi energetici e il miglioramento del comfort abitativo, </w:t>
      </w:r>
      <w:r>
        <w:rPr>
          <w:rFonts w:ascii="Segoe UI" w:hAnsi="Segoe UI" w:cs="Segoe UI"/>
          <w:b/>
          <w:sz w:val="24"/>
          <w:szCs w:val="24"/>
        </w:rPr>
        <w:t xml:space="preserve">un’indagine condotta dal Gruppo Gabetti insieme ai due Politecnici di Torino e Milano mostra che vi è un apprezzamento, in termini di disponibilità a pagare, da parte dei potenziali acquirenti di abitazioni per immobili </w:t>
      </w:r>
      <w:r>
        <w:rPr>
          <w:rFonts w:ascii="Segoe UI" w:hAnsi="Segoe UI" w:cs="Segoe UI"/>
          <w:b/>
          <w:sz w:val="24"/>
          <w:szCs w:val="24"/>
        </w:rPr>
        <w:lastRenderedPageBreak/>
        <w:t>con una classe energetica più elevata. Un apprezzamento che, di conseguenza, genera una rivalutazione dell’immobile in termini di aumento del valore di mercato</w:t>
      </w:r>
      <w:r>
        <w:rPr>
          <w:rFonts w:ascii="Segoe UI" w:hAnsi="Segoe UI" w:cs="Segoe UI"/>
          <w:sz w:val="24"/>
          <w:szCs w:val="24"/>
        </w:rPr>
        <w:t xml:space="preserve">. A livello provinciale, il campione evidenzia come sia </w:t>
      </w:r>
      <w:r>
        <w:rPr>
          <w:rFonts w:ascii="Segoe UI" w:hAnsi="Segoe UI" w:cs="Segoe UI"/>
          <w:b/>
          <w:sz w:val="24"/>
          <w:szCs w:val="24"/>
        </w:rPr>
        <w:t>Prato l’area a vantare il numero maggiore di immobili in classe A</w:t>
      </w:r>
      <w:r>
        <w:rPr>
          <w:rFonts w:ascii="Segoe UI" w:hAnsi="Segoe UI" w:cs="Segoe UI"/>
          <w:sz w:val="24"/>
          <w:szCs w:val="24"/>
        </w:rPr>
        <w:t xml:space="preserve"> (A, A+, A1, A2, A3 e A4) </w:t>
      </w:r>
      <w:r>
        <w:rPr>
          <w:rFonts w:ascii="Segoe UI" w:hAnsi="Segoe UI" w:cs="Segoe UI"/>
          <w:b/>
          <w:sz w:val="24"/>
          <w:szCs w:val="24"/>
        </w:rPr>
        <w:t>con l’11%, seguita da Pisa</w:t>
      </w:r>
      <w:r>
        <w:rPr>
          <w:rFonts w:ascii="Segoe UI" w:hAnsi="Segoe UI" w:cs="Segoe UI"/>
          <w:sz w:val="24"/>
          <w:szCs w:val="24"/>
        </w:rPr>
        <w:t xml:space="preserve"> </w:t>
      </w:r>
      <w:r>
        <w:rPr>
          <w:rFonts w:ascii="Segoe UI" w:hAnsi="Segoe UI" w:cs="Segoe UI"/>
          <w:b/>
          <w:bCs/>
          <w:sz w:val="24"/>
          <w:szCs w:val="24"/>
        </w:rPr>
        <w:t>(9%).</w:t>
      </w:r>
    </w:p>
    <w:p w14:paraId="3AA7EC6C" w14:textId="77777777" w:rsidR="008D4B5A" w:rsidRDefault="008D4B5A" w:rsidP="008D4B5A">
      <w:pPr>
        <w:jc w:val="both"/>
        <w:rPr>
          <w:rFonts w:ascii="Segoe UI" w:hAnsi="Segoe UI" w:cs="Segoe UI"/>
          <w:sz w:val="24"/>
          <w:szCs w:val="24"/>
        </w:rPr>
      </w:pPr>
    </w:p>
    <w:p w14:paraId="08FA7FC6" w14:textId="77DD2D42" w:rsidR="008D4B5A" w:rsidRDefault="008D4B5A" w:rsidP="008D4B5A">
      <w:pPr>
        <w:jc w:val="center"/>
        <w:rPr>
          <w:rFonts w:ascii="Segoe UI" w:hAnsi="Segoe UI" w:cs="Segoe UI"/>
          <w:sz w:val="24"/>
          <w:szCs w:val="24"/>
          <w:highlight w:val="yellow"/>
        </w:rPr>
      </w:pPr>
      <w:r>
        <w:rPr>
          <w:rFonts w:ascii="Segoe UI" w:hAnsi="Segoe UI" w:cs="Segoe UI"/>
          <w:noProof/>
          <w:sz w:val="24"/>
          <w:szCs w:val="24"/>
        </w:rPr>
        <w:drawing>
          <wp:inline distT="0" distB="0" distL="0" distR="0" wp14:anchorId="59D12140" wp14:editId="5B2A110E">
            <wp:extent cx="5353050" cy="65024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6502400"/>
                    </a:xfrm>
                    <a:prstGeom prst="rect">
                      <a:avLst/>
                    </a:prstGeom>
                    <a:noFill/>
                    <a:ln>
                      <a:noFill/>
                    </a:ln>
                  </pic:spPr>
                </pic:pic>
              </a:graphicData>
            </a:graphic>
          </wp:inline>
        </w:drawing>
      </w:r>
    </w:p>
    <w:p w14:paraId="0D048A5A" w14:textId="77777777" w:rsidR="008D4B5A" w:rsidRDefault="008D4B5A" w:rsidP="008D4B5A">
      <w:pPr>
        <w:pStyle w:val="Corpodeltesto3"/>
        <w:widowControl w:val="0"/>
        <w:spacing w:line="276" w:lineRule="auto"/>
        <w:jc w:val="center"/>
        <w:rPr>
          <w:rFonts w:ascii="Segoe UI" w:hAnsi="Segoe UI" w:cs="Segoe UI"/>
          <w:noProof/>
          <w:color w:val="auto"/>
        </w:rPr>
      </w:pPr>
      <w:r>
        <w:rPr>
          <w:rFonts w:ascii="Segoe UI" w:hAnsi="Segoe UI" w:cs="Segoe UI"/>
          <w:i/>
          <w:iCs/>
          <w:color w:val="auto"/>
          <w:sz w:val="18"/>
        </w:rPr>
        <w:t>Elaborazione Ufficio Studi Gabetti su dati Abaco Team</w:t>
      </w:r>
    </w:p>
    <w:p w14:paraId="023C53C0" w14:textId="3BAE2338" w:rsidR="008D4B5A" w:rsidRDefault="008D4B5A" w:rsidP="008D4B5A">
      <w:pPr>
        <w:jc w:val="both"/>
        <w:rPr>
          <w:rFonts w:ascii="Segoe UI" w:hAnsi="Segoe UI" w:cs="Segoe UI"/>
          <w:sz w:val="24"/>
          <w:szCs w:val="24"/>
        </w:rPr>
      </w:pPr>
      <w:r>
        <w:rPr>
          <w:rFonts w:ascii="Segoe UI" w:hAnsi="Segoe UI" w:cs="Segoe UI"/>
          <w:sz w:val="24"/>
          <w:szCs w:val="24"/>
        </w:rPr>
        <w:lastRenderedPageBreak/>
        <w:t>A livello strutturale, la tipologia prevalente degli immobili è in cemento armato (53,2%), seguiti da quelli in muratura (31,7%), soprattutto negli edifici storici. L’utilizzo del legno come materiale di costruzione è ancora molto poco diffuso.</w:t>
      </w:r>
    </w:p>
    <w:p w14:paraId="228A0059" w14:textId="77777777" w:rsidR="008D4B5A" w:rsidRDefault="008D4B5A" w:rsidP="008D4B5A">
      <w:pPr>
        <w:jc w:val="both"/>
        <w:rPr>
          <w:rFonts w:ascii="Segoe UI" w:hAnsi="Segoe UI" w:cs="Segoe UI"/>
          <w:sz w:val="24"/>
          <w:szCs w:val="24"/>
        </w:rPr>
      </w:pPr>
    </w:p>
    <w:p w14:paraId="5F6590F0" w14:textId="00F79688" w:rsidR="008D4B5A" w:rsidRDefault="008D4B5A" w:rsidP="008D4B5A">
      <w:pPr>
        <w:jc w:val="both"/>
        <w:rPr>
          <w:rFonts w:ascii="Segoe UI" w:hAnsi="Segoe UI" w:cs="Segoe UI"/>
          <w:sz w:val="24"/>
          <w:szCs w:val="24"/>
        </w:rPr>
      </w:pPr>
      <w:r>
        <w:rPr>
          <w:rFonts w:ascii="Segoe UI" w:hAnsi="Segoe UI" w:cs="Segoe UI"/>
          <w:noProof/>
          <w:sz w:val="24"/>
          <w:szCs w:val="24"/>
        </w:rPr>
        <w:drawing>
          <wp:inline distT="0" distB="0" distL="0" distR="0" wp14:anchorId="46F5725C" wp14:editId="1EFD92DB">
            <wp:extent cx="6197600" cy="3575050"/>
            <wp:effectExtent l="0" t="0" r="0"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7600" cy="3575050"/>
                    </a:xfrm>
                    <a:prstGeom prst="rect">
                      <a:avLst/>
                    </a:prstGeom>
                    <a:noFill/>
                    <a:ln>
                      <a:noFill/>
                    </a:ln>
                  </pic:spPr>
                </pic:pic>
              </a:graphicData>
            </a:graphic>
          </wp:inline>
        </w:drawing>
      </w:r>
    </w:p>
    <w:p w14:paraId="56763D20" w14:textId="77777777" w:rsidR="008D4B5A" w:rsidRDefault="008D4B5A" w:rsidP="008D4B5A">
      <w:pPr>
        <w:pStyle w:val="Corpodeltesto3"/>
        <w:widowControl w:val="0"/>
        <w:spacing w:line="276" w:lineRule="auto"/>
        <w:jc w:val="center"/>
        <w:rPr>
          <w:rFonts w:ascii="Segoe UI" w:hAnsi="Segoe UI" w:cs="Segoe UI"/>
          <w:noProof/>
          <w:color w:val="auto"/>
        </w:rPr>
      </w:pPr>
      <w:r>
        <w:rPr>
          <w:rFonts w:ascii="Segoe UI" w:hAnsi="Segoe UI" w:cs="Segoe UI"/>
          <w:i/>
          <w:iCs/>
          <w:color w:val="auto"/>
          <w:sz w:val="18"/>
        </w:rPr>
        <w:t>Elaborazione Ufficio Studi Gabetti su dati Abaco Team</w:t>
      </w:r>
    </w:p>
    <w:p w14:paraId="1113E1B9" w14:textId="77777777" w:rsidR="008D4B5A" w:rsidRDefault="008D4B5A" w:rsidP="008D4B5A">
      <w:pPr>
        <w:jc w:val="both"/>
        <w:rPr>
          <w:rFonts w:ascii="Segoe UI" w:hAnsi="Segoe UI" w:cs="Segoe UI"/>
          <w:sz w:val="24"/>
          <w:szCs w:val="24"/>
          <w:highlight w:val="yellow"/>
        </w:rPr>
      </w:pPr>
    </w:p>
    <w:p w14:paraId="42C73BAA" w14:textId="77777777" w:rsidR="008D4B5A" w:rsidRDefault="008D4B5A" w:rsidP="008D4B5A">
      <w:pPr>
        <w:jc w:val="both"/>
        <w:rPr>
          <w:rFonts w:ascii="Segoe UI" w:hAnsi="Segoe UI" w:cs="Segoe UI"/>
          <w:sz w:val="24"/>
          <w:szCs w:val="24"/>
        </w:rPr>
      </w:pPr>
      <w:r>
        <w:rPr>
          <w:rFonts w:ascii="Segoe UI" w:hAnsi="Segoe UI" w:cs="Segoe UI"/>
          <w:sz w:val="24"/>
          <w:szCs w:val="24"/>
        </w:rPr>
        <w:t xml:space="preserve">A livello regionale, guardando alla tipologia di </w:t>
      </w:r>
      <w:r>
        <w:rPr>
          <w:rFonts w:ascii="Segoe UI" w:hAnsi="Segoe UI" w:cs="Segoe UI"/>
          <w:b/>
          <w:sz w:val="24"/>
          <w:szCs w:val="24"/>
        </w:rPr>
        <w:t>impianto di riscaldamento</w:t>
      </w:r>
      <w:r>
        <w:rPr>
          <w:rFonts w:ascii="Segoe UI" w:hAnsi="Segoe UI" w:cs="Segoe UI"/>
          <w:sz w:val="24"/>
          <w:szCs w:val="24"/>
        </w:rPr>
        <w:t>, il combustibile di gran lunga prevalente impiegato negli impianti termici centralizzati è il gas metano (circa l’</w:t>
      </w:r>
      <w:r>
        <w:rPr>
          <w:rFonts w:ascii="Segoe UI" w:hAnsi="Segoe UI" w:cs="Segoe UI"/>
          <w:b/>
          <w:sz w:val="24"/>
          <w:szCs w:val="24"/>
        </w:rPr>
        <w:t>88%</w:t>
      </w:r>
      <w:r>
        <w:rPr>
          <w:rFonts w:ascii="Segoe UI" w:hAnsi="Segoe UI" w:cs="Segoe UI"/>
          <w:sz w:val="24"/>
          <w:szCs w:val="24"/>
        </w:rPr>
        <w:t xml:space="preserve"> delle unità), mentre è ancora lento l’impiego di impianti elettrici, del GPL e del teleriscaldamento. Nelle province di Grosseto e Livorno, gli impianti di riscaldamento elettrici registrati nel campione sono il 14%; Siena è la provincia dove il riscaldamento GPL è più diffuso (8%); Grosseto è anche la provincia dove il teleriscaldamento è diffuso nel 2% del campione, mentre Siena ottiene il 2% negli impianti a cogenerazione. Quest’ultima provincia, però, registra anche la percentuale maggiore di impianti a olio combustibile (4%).</w:t>
      </w:r>
    </w:p>
    <w:p w14:paraId="7048D135" w14:textId="0B7BBB29" w:rsidR="008D4B5A" w:rsidRDefault="008D4B5A" w:rsidP="008D4B5A">
      <w:pPr>
        <w:jc w:val="center"/>
        <w:rPr>
          <w:rFonts w:ascii="Segoe UI" w:hAnsi="Segoe UI" w:cs="Segoe UI"/>
          <w:sz w:val="24"/>
          <w:szCs w:val="24"/>
          <w:highlight w:val="yellow"/>
        </w:rPr>
      </w:pPr>
      <w:r>
        <w:rPr>
          <w:rFonts w:ascii="Segoe UI" w:hAnsi="Segoe UI" w:cs="Segoe UI"/>
          <w:noProof/>
          <w:sz w:val="24"/>
          <w:szCs w:val="24"/>
        </w:rPr>
        <w:lastRenderedPageBreak/>
        <w:drawing>
          <wp:inline distT="0" distB="0" distL="0" distR="0" wp14:anchorId="513112A8" wp14:editId="25DC3220">
            <wp:extent cx="4737100" cy="6692900"/>
            <wp:effectExtent l="0" t="0" r="635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7100" cy="6692900"/>
                    </a:xfrm>
                    <a:prstGeom prst="rect">
                      <a:avLst/>
                    </a:prstGeom>
                    <a:noFill/>
                    <a:ln>
                      <a:noFill/>
                    </a:ln>
                  </pic:spPr>
                </pic:pic>
              </a:graphicData>
            </a:graphic>
          </wp:inline>
        </w:drawing>
      </w:r>
    </w:p>
    <w:p w14:paraId="348EC009" w14:textId="77777777" w:rsidR="008D4B5A" w:rsidRDefault="008D4B5A" w:rsidP="008D4B5A">
      <w:pPr>
        <w:pStyle w:val="Corpodeltesto3"/>
        <w:widowControl w:val="0"/>
        <w:spacing w:line="276" w:lineRule="auto"/>
        <w:jc w:val="center"/>
        <w:rPr>
          <w:rFonts w:ascii="Segoe UI" w:hAnsi="Segoe UI" w:cs="Segoe UI"/>
          <w:noProof/>
          <w:color w:val="auto"/>
        </w:rPr>
      </w:pPr>
      <w:r>
        <w:rPr>
          <w:rFonts w:ascii="Segoe UI" w:hAnsi="Segoe UI" w:cs="Segoe UI"/>
          <w:i/>
          <w:iCs/>
          <w:color w:val="auto"/>
          <w:sz w:val="18"/>
        </w:rPr>
        <w:t>Elaborazione Ufficio Studi Gabetti su dati Abaco Team</w:t>
      </w:r>
    </w:p>
    <w:p w14:paraId="6369F4C1" w14:textId="77777777" w:rsidR="008D4B5A" w:rsidRDefault="008D4B5A" w:rsidP="008D4B5A">
      <w:pPr>
        <w:jc w:val="both"/>
        <w:rPr>
          <w:rFonts w:ascii="Segoe UI" w:hAnsi="Segoe UI" w:cs="Segoe UI"/>
          <w:sz w:val="24"/>
          <w:szCs w:val="24"/>
          <w:highlight w:val="yellow"/>
        </w:rPr>
      </w:pPr>
    </w:p>
    <w:p w14:paraId="72DF87FF" w14:textId="77777777" w:rsidR="008D4B5A" w:rsidRDefault="008D4B5A" w:rsidP="008D4B5A">
      <w:pPr>
        <w:jc w:val="both"/>
        <w:rPr>
          <w:rFonts w:ascii="Segoe UI" w:hAnsi="Segoe UI" w:cs="Segoe UI"/>
          <w:sz w:val="24"/>
          <w:szCs w:val="24"/>
        </w:rPr>
      </w:pPr>
      <w:r>
        <w:rPr>
          <w:rFonts w:ascii="Segoe UI" w:hAnsi="Segoe UI" w:cs="Segoe UI"/>
          <w:sz w:val="24"/>
          <w:szCs w:val="24"/>
        </w:rPr>
        <w:t xml:space="preserve">Questo dato, se correlato all’età anagrafica del patrimonio, indica comunque che vi è stato un processo di sostituzione di impianti a gasolio con caldaie a gas metano. Ciononostante, questa miglioria non risulta sufficiente a traghettare gli immobili di classe G nelle classi più performanti, a dimostrazione che la riqualificazione degli edifici abitativi energivori risalenti agli anni ‘60 e ‘70 va affrontata con un’azione globale di </w:t>
      </w:r>
      <w:proofErr w:type="spellStart"/>
      <w:r>
        <w:rPr>
          <w:rFonts w:ascii="Segoe UI" w:hAnsi="Segoe UI" w:cs="Segoe UI"/>
          <w:i/>
          <w:sz w:val="24"/>
          <w:szCs w:val="24"/>
        </w:rPr>
        <w:t>retrofitting</w:t>
      </w:r>
      <w:proofErr w:type="spellEnd"/>
      <w:r>
        <w:rPr>
          <w:rFonts w:ascii="Segoe UI" w:hAnsi="Segoe UI" w:cs="Segoe UI"/>
          <w:sz w:val="24"/>
          <w:szCs w:val="24"/>
        </w:rPr>
        <w:t xml:space="preserve"> energetico. Infatti, per </w:t>
      </w:r>
      <w:r>
        <w:rPr>
          <w:rFonts w:ascii="Segoe UI" w:hAnsi="Segoe UI" w:cs="Segoe UI"/>
          <w:sz w:val="24"/>
          <w:szCs w:val="24"/>
        </w:rPr>
        <w:lastRenderedPageBreak/>
        <w:t xml:space="preserve">essere efficace, il </w:t>
      </w:r>
      <w:proofErr w:type="spellStart"/>
      <w:r>
        <w:rPr>
          <w:rFonts w:ascii="Segoe UI" w:hAnsi="Segoe UI" w:cs="Segoe UI"/>
          <w:i/>
          <w:sz w:val="24"/>
          <w:szCs w:val="24"/>
        </w:rPr>
        <w:t>retrofitting</w:t>
      </w:r>
      <w:proofErr w:type="spellEnd"/>
      <w:r>
        <w:rPr>
          <w:rFonts w:ascii="Segoe UI" w:hAnsi="Segoe UI" w:cs="Segoe UI"/>
          <w:sz w:val="24"/>
          <w:szCs w:val="24"/>
        </w:rPr>
        <w:t xml:space="preserve"> deve agire contemporaneamente non solo sulla sostituzione degli infissi e dell’impianto di riscaldamento (che, più che sul gas metano, deve contare sull’impiego di sistemi alimentati con energia rinnovabile), ma anche sull’isolamento delle pareti, della copertura e dei solai. </w:t>
      </w:r>
    </w:p>
    <w:p w14:paraId="04713375" w14:textId="77777777" w:rsidR="008D4B5A" w:rsidRDefault="008D4B5A" w:rsidP="008D4B5A">
      <w:pPr>
        <w:jc w:val="both"/>
        <w:rPr>
          <w:rFonts w:ascii="Segoe UI" w:hAnsi="Segoe UI" w:cs="Segoe UI"/>
          <w:sz w:val="24"/>
          <w:szCs w:val="24"/>
        </w:rPr>
      </w:pPr>
      <w:r>
        <w:rPr>
          <w:rFonts w:ascii="Segoe UI" w:hAnsi="Segoe UI" w:cs="Segoe UI"/>
          <w:sz w:val="24"/>
          <w:szCs w:val="24"/>
        </w:rPr>
        <w:t>I pannelli solari e gli impianti fotovoltaici sono ancora poco diffusi. A livello regionale, solo il 3% degli edifici del campione di analisi ha i pannelli solari mentre scende al 2% la quota degli edifici che presentano impianti fotovoltaici. A livello provinciale, la percentuale di edifici con pannelli solari e impianti fotovoltaici sale a Prato (con rispettivamente il 6% e il 5%) e Pistoia (entrambi al 5%).</w:t>
      </w:r>
    </w:p>
    <w:p w14:paraId="05CFBFB0" w14:textId="77777777" w:rsidR="008D4B5A" w:rsidRDefault="008D4B5A" w:rsidP="008D4B5A">
      <w:pPr>
        <w:jc w:val="both"/>
        <w:rPr>
          <w:rFonts w:ascii="Segoe UI" w:hAnsi="Segoe UI" w:cs="Segoe UI"/>
          <w:sz w:val="24"/>
          <w:szCs w:val="24"/>
        </w:rPr>
      </w:pPr>
      <w:r>
        <w:rPr>
          <w:rFonts w:ascii="Segoe UI" w:hAnsi="Segoe UI" w:cs="Segoe UI"/>
          <w:sz w:val="24"/>
          <w:szCs w:val="24"/>
        </w:rPr>
        <w:t>La tipologia di riscaldamento più diffusa (</w:t>
      </w:r>
      <w:r>
        <w:rPr>
          <w:rFonts w:ascii="Segoe UI" w:hAnsi="Segoe UI" w:cs="Segoe UI"/>
          <w:b/>
          <w:sz w:val="24"/>
          <w:szCs w:val="24"/>
        </w:rPr>
        <w:t>90%</w:t>
      </w:r>
      <w:r>
        <w:rPr>
          <w:rFonts w:ascii="Segoe UI" w:hAnsi="Segoe UI" w:cs="Segoe UI"/>
          <w:sz w:val="24"/>
          <w:szCs w:val="24"/>
        </w:rPr>
        <w:t xml:space="preserve">) è quella autonoma, mentre il </w:t>
      </w:r>
      <w:r>
        <w:rPr>
          <w:rFonts w:ascii="Segoe UI" w:hAnsi="Segoe UI" w:cs="Segoe UI"/>
          <w:b/>
          <w:sz w:val="24"/>
          <w:szCs w:val="24"/>
        </w:rPr>
        <w:t>7%</w:t>
      </w:r>
      <w:r>
        <w:rPr>
          <w:rFonts w:ascii="Segoe UI" w:hAnsi="Segoe UI" w:cs="Segoe UI"/>
          <w:sz w:val="24"/>
          <w:szCs w:val="24"/>
        </w:rPr>
        <w:t xml:space="preserve"> è di tipo centralizzato. Questo significa che il modo in cui gli abitanti della Toscana riscaldano le loro abitazioni è in prevalenza “individuale”. Sebbene sia ancora poco diffusa l’adozione di fonti energetiche rinnovabili, alla luce delle tematiche sollevate dalle comunità energetiche circa i vantaggi derivanti dalla produzione collettiva e autoconsumo di energia, la Regione mostra ampi margini di efficientamento verso una maggiore impiego di impianti di riscaldamento condivisi. In base al campione registrato, il riscaldamento centralizzato è più diffuso nella provincia di Firenze (11%), mentre la provincia di Grosseto presenta una percentuale maggiore di case senza impianto di riscaldamento (13%).</w:t>
      </w:r>
    </w:p>
    <w:p w14:paraId="0DF96E8D" w14:textId="6BBF945B" w:rsidR="008D4B5A" w:rsidRDefault="008D4B5A" w:rsidP="008D4B5A">
      <w:pPr>
        <w:jc w:val="center"/>
        <w:rPr>
          <w:rFonts w:ascii="Segoe UI" w:hAnsi="Segoe UI" w:cs="Segoe UI"/>
          <w:sz w:val="24"/>
          <w:szCs w:val="24"/>
          <w:highlight w:val="yellow"/>
        </w:rPr>
      </w:pPr>
      <w:r>
        <w:rPr>
          <w:rFonts w:ascii="Segoe UI" w:hAnsi="Segoe UI" w:cs="Segoe UI"/>
          <w:noProof/>
          <w:sz w:val="24"/>
          <w:szCs w:val="24"/>
        </w:rPr>
        <w:lastRenderedPageBreak/>
        <w:drawing>
          <wp:inline distT="0" distB="0" distL="0" distR="0" wp14:anchorId="62A58BB3" wp14:editId="643BF8AB">
            <wp:extent cx="4591050" cy="6299200"/>
            <wp:effectExtent l="0" t="0" r="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050" cy="6299200"/>
                    </a:xfrm>
                    <a:prstGeom prst="rect">
                      <a:avLst/>
                    </a:prstGeom>
                    <a:noFill/>
                    <a:ln>
                      <a:noFill/>
                    </a:ln>
                  </pic:spPr>
                </pic:pic>
              </a:graphicData>
            </a:graphic>
          </wp:inline>
        </w:drawing>
      </w:r>
    </w:p>
    <w:p w14:paraId="3512BFC3" w14:textId="77777777" w:rsidR="008D4B5A" w:rsidRDefault="008D4B5A" w:rsidP="008D4B5A">
      <w:pPr>
        <w:pStyle w:val="Corpodeltesto3"/>
        <w:widowControl w:val="0"/>
        <w:spacing w:line="276" w:lineRule="auto"/>
        <w:jc w:val="center"/>
        <w:rPr>
          <w:rFonts w:ascii="Segoe UI" w:hAnsi="Segoe UI" w:cs="Segoe UI"/>
          <w:noProof/>
          <w:color w:val="auto"/>
        </w:rPr>
      </w:pPr>
      <w:r>
        <w:rPr>
          <w:rFonts w:ascii="Segoe UI" w:hAnsi="Segoe UI" w:cs="Segoe UI"/>
          <w:i/>
          <w:iCs/>
          <w:color w:val="auto"/>
          <w:sz w:val="18"/>
        </w:rPr>
        <w:t>Elaborazione Ufficio Studi Gabetti su dati Abaco Team</w:t>
      </w:r>
    </w:p>
    <w:p w14:paraId="2B535995" w14:textId="77777777" w:rsidR="008D4B5A" w:rsidRDefault="008D4B5A" w:rsidP="008D4B5A">
      <w:pPr>
        <w:jc w:val="both"/>
        <w:rPr>
          <w:rFonts w:ascii="Segoe UI" w:hAnsi="Segoe UI" w:cs="Segoe UI"/>
          <w:sz w:val="24"/>
          <w:szCs w:val="24"/>
          <w:highlight w:val="yellow"/>
        </w:rPr>
      </w:pPr>
    </w:p>
    <w:p w14:paraId="37A07661" w14:textId="77777777" w:rsidR="008D4B5A" w:rsidRDefault="008D4B5A" w:rsidP="008D4B5A">
      <w:pPr>
        <w:jc w:val="both"/>
        <w:rPr>
          <w:rFonts w:ascii="Segoe UI" w:hAnsi="Segoe UI" w:cs="Segoe UI"/>
          <w:sz w:val="24"/>
          <w:szCs w:val="24"/>
        </w:rPr>
      </w:pPr>
      <w:r>
        <w:rPr>
          <w:rFonts w:ascii="Segoe UI" w:hAnsi="Segoe UI" w:cs="Segoe UI"/>
          <w:sz w:val="24"/>
          <w:szCs w:val="24"/>
        </w:rPr>
        <w:t xml:space="preserve">Inoltre va segnalato che circa il 78% delle unità abitative prese in esame non dispone di un impianto di condizionamento, incidendo potenzialmente in maniera negativa sul comfort abitativo delle famiglie. </w:t>
      </w:r>
    </w:p>
    <w:p w14:paraId="21EA4B7F" w14:textId="233C2A7B" w:rsidR="008D4B5A" w:rsidRDefault="008D4B5A" w:rsidP="008D4B5A">
      <w:pPr>
        <w:jc w:val="both"/>
        <w:rPr>
          <w:rFonts w:ascii="Segoe UI" w:hAnsi="Segoe UI" w:cs="Segoe UI"/>
          <w:sz w:val="24"/>
          <w:szCs w:val="24"/>
        </w:rPr>
      </w:pPr>
    </w:p>
    <w:p w14:paraId="5636637C" w14:textId="77777777" w:rsidR="008D4B5A" w:rsidRDefault="008D4B5A" w:rsidP="008D4B5A">
      <w:pPr>
        <w:jc w:val="both"/>
        <w:rPr>
          <w:rFonts w:ascii="Segoe UI" w:hAnsi="Segoe UI" w:cs="Segoe UI"/>
          <w:sz w:val="24"/>
          <w:szCs w:val="24"/>
        </w:rPr>
      </w:pPr>
      <w:bookmarkStart w:id="0" w:name="_GoBack"/>
      <w:bookmarkEnd w:id="0"/>
    </w:p>
    <w:p w14:paraId="345EFBF6" w14:textId="77777777" w:rsidR="008D4B5A" w:rsidRDefault="008D4B5A" w:rsidP="008D4B5A">
      <w:pPr>
        <w:jc w:val="both"/>
        <w:rPr>
          <w:rFonts w:ascii="Segoe UI" w:hAnsi="Segoe UI" w:cs="Segoe UI"/>
          <w:sz w:val="24"/>
          <w:szCs w:val="24"/>
        </w:rPr>
      </w:pPr>
      <w:bookmarkStart w:id="1" w:name="_Hlk109678103"/>
      <w:r>
        <w:rPr>
          <w:rFonts w:ascii="Segoe UI" w:hAnsi="Segoe UI" w:cs="Segoe UI"/>
          <w:sz w:val="24"/>
          <w:szCs w:val="24"/>
        </w:rPr>
        <w:lastRenderedPageBreak/>
        <w:t xml:space="preserve">Come commenta </w:t>
      </w:r>
      <w:r>
        <w:rPr>
          <w:rFonts w:ascii="Segoe UI" w:hAnsi="Segoe UI" w:cs="Segoe UI"/>
          <w:b/>
          <w:sz w:val="24"/>
          <w:szCs w:val="24"/>
        </w:rPr>
        <w:t>Nicola Arcaini</w:t>
      </w:r>
      <w:r>
        <w:rPr>
          <w:rFonts w:ascii="Segoe UI" w:hAnsi="Segoe UI" w:cs="Segoe UI"/>
          <w:sz w:val="24"/>
          <w:szCs w:val="24"/>
        </w:rPr>
        <w:t xml:space="preserve">, </w:t>
      </w:r>
      <w:bookmarkStart w:id="2" w:name="_Hlk125544415"/>
      <w:proofErr w:type="spellStart"/>
      <w:r>
        <w:rPr>
          <w:rFonts w:ascii="Segoe UI" w:hAnsi="Segoe UI" w:cs="Segoe UI"/>
          <w:sz w:val="24"/>
          <w:szCs w:val="24"/>
        </w:rPr>
        <w:t>Director</w:t>
      </w:r>
      <w:proofErr w:type="spellEnd"/>
      <w:r>
        <w:rPr>
          <w:rFonts w:ascii="Segoe UI" w:hAnsi="Segoe UI" w:cs="Segoe UI"/>
          <w:sz w:val="24"/>
          <w:szCs w:val="24"/>
        </w:rPr>
        <w:t xml:space="preserve"> Loan Services </w:t>
      </w:r>
      <w:bookmarkEnd w:id="2"/>
      <w:r>
        <w:rPr>
          <w:rFonts w:ascii="Segoe UI" w:hAnsi="Segoe UI" w:cs="Segoe UI"/>
          <w:sz w:val="24"/>
          <w:szCs w:val="24"/>
        </w:rPr>
        <w:t xml:space="preserve">di </w:t>
      </w:r>
      <w:r>
        <w:rPr>
          <w:rFonts w:ascii="Segoe UI" w:hAnsi="Segoe UI" w:cs="Segoe UI"/>
          <w:b/>
          <w:sz w:val="24"/>
          <w:szCs w:val="24"/>
        </w:rPr>
        <w:t>Abaco Team</w:t>
      </w:r>
      <w:r>
        <w:rPr>
          <w:rFonts w:ascii="Segoe UI" w:hAnsi="Segoe UI" w:cs="Segoe UI"/>
          <w:sz w:val="24"/>
          <w:szCs w:val="24"/>
        </w:rPr>
        <w:t>:</w:t>
      </w:r>
    </w:p>
    <w:p w14:paraId="3AF4E861" w14:textId="77777777" w:rsidR="008D4B5A" w:rsidRDefault="008D4B5A" w:rsidP="008D4B5A">
      <w:pPr>
        <w:jc w:val="both"/>
        <w:rPr>
          <w:rFonts w:ascii="Segoe UI" w:hAnsi="Segoe UI" w:cs="Segoe UI"/>
          <w:i/>
          <w:sz w:val="24"/>
          <w:szCs w:val="24"/>
        </w:rPr>
      </w:pPr>
      <w:r>
        <w:rPr>
          <w:rFonts w:ascii="Segoe UI" w:hAnsi="Segoe UI" w:cs="Segoe UI"/>
          <w:i/>
          <w:sz w:val="24"/>
          <w:szCs w:val="24"/>
        </w:rPr>
        <w:t>“Il patrimonio residenziale toscano, come quello di tutto il nostro Paese, ha bisogno di efficientamento e riqualificazione. Quali che siano gli strumenti normativi che si definiranno per raggiungere questi traguardi, insieme con gli obiettivi comunitari richiesti dalla EPBD, il percorso è tracciato. La Toscana ha di fronte a sé un compito complesso, dovendo contemperare esigenze anche molto differenti: le città d’arte dovranno affrontare un percorso assai differente da città a vocazione più produttiva, come ad esempio Livorno. Ci aspettiamo infatti che ogni comunità locale sappia valorizzare il proprio territorio con le sue diverse specificità ed esigenze. La Toscana ha, da tempo, dimostrato la propria capacità di capitalizzare le proprie risorse, sia quelle legate alla natura e all’arte, sia quelle di una realtà produttiva attiva e di qualità</w:t>
      </w:r>
      <w:bookmarkEnd w:id="1"/>
      <w:r>
        <w:rPr>
          <w:rFonts w:ascii="Arial" w:hAnsi="Arial" w:cs="Arial"/>
          <w:i/>
          <w:sz w:val="24"/>
          <w:szCs w:val="24"/>
        </w:rPr>
        <w:t>”</w:t>
      </w:r>
      <w:r>
        <w:rPr>
          <w:rFonts w:ascii="Segoe UI" w:hAnsi="Segoe UI" w:cs="Segoe UI"/>
          <w:i/>
          <w:sz w:val="24"/>
          <w:szCs w:val="24"/>
        </w:rPr>
        <w:t>.</w:t>
      </w:r>
    </w:p>
    <w:p w14:paraId="71435458" w14:textId="3DB525FA" w:rsidR="00C71198" w:rsidRPr="00D827D1" w:rsidRDefault="00C71198" w:rsidP="00337E54">
      <w:pPr>
        <w:jc w:val="both"/>
        <w:rPr>
          <w:rFonts w:ascii="Segoe UI" w:hAnsi="Segoe UI" w:cs="Segoe UI"/>
          <w:sz w:val="24"/>
          <w:szCs w:val="24"/>
        </w:rPr>
        <w:sectPr w:rsidR="00C71198" w:rsidRPr="00D827D1" w:rsidSect="00B82C17">
          <w:headerReference w:type="default" r:id="rId15"/>
          <w:footerReference w:type="default" r:id="rId16"/>
          <w:headerReference w:type="first" r:id="rId17"/>
          <w:pgSz w:w="11900" w:h="16840" w:code="9"/>
          <w:pgMar w:top="1440" w:right="1077" w:bottom="1440" w:left="1077" w:header="709" w:footer="211" w:gutter="0"/>
          <w:cols w:space="708"/>
          <w:docGrid w:linePitch="360"/>
        </w:sectPr>
      </w:pPr>
    </w:p>
    <w:p w14:paraId="409136F8" w14:textId="2334ECD8" w:rsidR="00956309" w:rsidRPr="000630AF" w:rsidRDefault="00956309" w:rsidP="00956309">
      <w:pPr>
        <w:spacing w:line="240" w:lineRule="auto"/>
        <w:rPr>
          <w:rFonts w:cs="Arial"/>
          <w:i/>
          <w:color w:val="FF0000"/>
        </w:rPr>
      </w:pPr>
      <w:r w:rsidRPr="000630AF">
        <w:rPr>
          <w:rFonts w:cs="Arial"/>
          <w:i/>
          <w:noProof/>
          <w:color w:val="FF0000"/>
          <w:lang w:eastAsia="it-IT"/>
        </w:rPr>
        <w:lastRenderedPageBreak/>
        <mc:AlternateContent>
          <mc:Choice Requires="wps">
            <w:drawing>
              <wp:anchor distT="0" distB="0" distL="114300" distR="114300" simplePos="0" relativeHeight="251649024" behindDoc="0" locked="0" layoutInCell="1" allowOverlap="1" wp14:anchorId="355D9A12" wp14:editId="62EC7F47">
                <wp:simplePos x="0" y="0"/>
                <wp:positionH relativeFrom="column">
                  <wp:posOffset>33655</wp:posOffset>
                </wp:positionH>
                <wp:positionV relativeFrom="paragraph">
                  <wp:posOffset>1905</wp:posOffset>
                </wp:positionV>
                <wp:extent cx="6121400" cy="0"/>
                <wp:effectExtent l="0" t="19050" r="12700" b="19050"/>
                <wp:wrapNone/>
                <wp:docPr id="21" name="Connettore 1 21"/>
                <wp:cNvGraphicFramePr/>
                <a:graphic xmlns:a="http://schemas.openxmlformats.org/drawingml/2006/main">
                  <a:graphicData uri="http://schemas.microsoft.com/office/word/2010/wordprocessingShape">
                    <wps:wsp>
                      <wps:cNvCnPr/>
                      <wps:spPr>
                        <a:xfrm>
                          <a:off x="0" y="0"/>
                          <a:ext cx="6121400" cy="0"/>
                        </a:xfrm>
                        <a:prstGeom prst="line">
                          <a:avLst/>
                        </a:prstGeom>
                        <a:ln w="31750" cmpd="sng">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8D2A4" id="Connettore 1 2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5pt" to="484.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" strokecolor="#a32236 [3204]" strokeweight="2.5pt">
                <v:stroke joinstyle="miter"/>
              </v:line>
            </w:pict>
          </mc:Fallback>
        </mc:AlternateContent>
      </w:r>
    </w:p>
    <w:p w14:paraId="1DF69CC4" w14:textId="77777777" w:rsidR="00956309" w:rsidRPr="00D827D1" w:rsidRDefault="00956309" w:rsidP="00956309">
      <w:pPr>
        <w:spacing w:line="240" w:lineRule="auto"/>
        <w:jc w:val="both"/>
        <w:rPr>
          <w:rFonts w:ascii="Segoe UI" w:hAnsi="Segoe UI" w:cs="Segoe UI"/>
          <w:b/>
          <w:sz w:val="22"/>
          <w:szCs w:val="22"/>
        </w:rPr>
      </w:pPr>
      <w:r w:rsidRPr="00D827D1">
        <w:rPr>
          <w:rFonts w:ascii="Segoe UI" w:hAnsi="Segoe UI" w:cs="Segoe UI"/>
          <w:b/>
          <w:sz w:val="22"/>
          <w:szCs w:val="22"/>
        </w:rPr>
        <w:t>IL GRUPPO GABETTI</w:t>
      </w:r>
    </w:p>
    <w:p w14:paraId="3C391D85" w14:textId="77777777" w:rsidR="008B2DC0" w:rsidRPr="00D827D1" w:rsidRDefault="00956309" w:rsidP="00BB4AFD">
      <w:pPr>
        <w:spacing w:line="240" w:lineRule="auto"/>
        <w:jc w:val="both"/>
        <w:rPr>
          <w:rFonts w:ascii="Segoe UI" w:hAnsi="Segoe UI" w:cs="Segoe UI"/>
          <w:sz w:val="22"/>
          <w:szCs w:val="22"/>
        </w:rPr>
      </w:pPr>
      <w:r w:rsidRPr="00D827D1">
        <w:rPr>
          <w:rFonts w:ascii="Segoe UI" w:hAnsi="Segoe UI" w:cs="Segoe UI"/>
          <w:sz w:val="22"/>
          <w:szCs w:val="22"/>
        </w:rPr>
        <w:t>Gabetti Property Solutions, attraverso le diverse linee di business delle società controllate, eroga servizi per l</w:t>
      </w:r>
      <w:r w:rsidRPr="00D827D1">
        <w:rPr>
          <w:rFonts w:ascii="Calibri" w:eastAsia="Calibri" w:hAnsi="Calibri" w:cs="Calibri"/>
          <w:sz w:val="22"/>
          <w:szCs w:val="22"/>
        </w:rPr>
        <w:t>’</w:t>
      </w:r>
      <w:r w:rsidRPr="00D827D1">
        <w:rPr>
          <w:rFonts w:ascii="Segoe UI" w:hAnsi="Segoe UI" w:cs="Segoe UI"/>
          <w:sz w:val="22"/>
          <w:szCs w:val="22"/>
        </w:rPr>
        <w:t>intero sistema immobiliare, offrendo consulenza integrata per soddisfare esigenze e aspettative di privati, aziende e operatori istituzionali. Proprio dall</w:t>
      </w:r>
      <w:r w:rsidRPr="00D827D1">
        <w:rPr>
          <w:rFonts w:ascii="Calibri" w:eastAsia="Calibri" w:hAnsi="Calibri" w:cs="Calibri"/>
          <w:sz w:val="22"/>
          <w:szCs w:val="22"/>
        </w:rPr>
        <w:t>’</w:t>
      </w:r>
      <w:r w:rsidRPr="00D827D1">
        <w:rPr>
          <w:rFonts w:ascii="Segoe UI" w:hAnsi="Segoe UI" w:cs="Segoe UI"/>
          <w:sz w:val="22"/>
          <w:szCs w:val="22"/>
        </w:rPr>
        <w:t>integrazione e dalla sinergia di tutti i servizi, emerge il valore aggiunto del gruppo: un modello unico rispetto ai competitor. Il sistema organizzativo di Gabetti Property Solutions consente l</w:t>
      </w:r>
      <w:r w:rsidRPr="00D827D1">
        <w:rPr>
          <w:rFonts w:ascii="Calibri" w:eastAsia="Calibri" w:hAnsi="Calibri" w:cs="Calibri"/>
          <w:sz w:val="22"/>
          <w:szCs w:val="22"/>
        </w:rPr>
        <w:t>’</w:t>
      </w:r>
      <w:r w:rsidRPr="00D827D1">
        <w:rPr>
          <w:rFonts w:ascii="Segoe UI" w:hAnsi="Segoe UI" w:cs="Segoe UI"/>
          <w:sz w:val="22"/>
          <w:szCs w:val="22"/>
        </w:rPr>
        <w:t>integrazione e il coordinamento delle competenze specifiche di ciascuna società del Gruppo nell</w:t>
      </w:r>
      <w:r w:rsidRPr="00D827D1">
        <w:rPr>
          <w:rFonts w:ascii="Calibri" w:eastAsia="Calibri" w:hAnsi="Calibri" w:cs="Calibri"/>
          <w:sz w:val="22"/>
          <w:szCs w:val="22"/>
        </w:rPr>
        <w:t>’</w:t>
      </w:r>
      <w:r w:rsidRPr="00D827D1">
        <w:rPr>
          <w:rFonts w:ascii="Segoe UI" w:hAnsi="Segoe UI" w:cs="Segoe UI"/>
          <w:sz w:val="22"/>
          <w:szCs w:val="22"/>
        </w:rPr>
        <w:t>ambito delle seguenti aree: Consulenza, Valorizzazione, Gestione, Intermediazione, Mediazione Creditizia e Assicurativa e Riqualificazione.</w:t>
      </w:r>
    </w:p>
    <w:p w14:paraId="1F8268EE" w14:textId="0968423C" w:rsidR="00EC27C6" w:rsidRPr="00D827D1" w:rsidRDefault="00EC27C6" w:rsidP="00956309">
      <w:pPr>
        <w:rPr>
          <w:rFonts w:ascii="Segoe UI" w:hAnsi="Segoe UI" w:cs="Segoe UI"/>
          <w:b/>
          <w:sz w:val="22"/>
          <w:szCs w:val="22"/>
        </w:rPr>
      </w:pPr>
      <w:r w:rsidRPr="00D827D1">
        <w:rPr>
          <w:rFonts w:cs="Arial"/>
          <w:i/>
          <w:noProof/>
          <w:lang w:eastAsia="it-IT"/>
        </w:rPr>
        <mc:AlternateContent>
          <mc:Choice Requires="wps">
            <w:drawing>
              <wp:anchor distT="0" distB="0" distL="114300" distR="114300" simplePos="0" relativeHeight="251659264" behindDoc="0" locked="0" layoutInCell="1" allowOverlap="1" wp14:anchorId="49B8ABF3" wp14:editId="4CA95D7F">
                <wp:simplePos x="0" y="0"/>
                <wp:positionH relativeFrom="column">
                  <wp:posOffset>0</wp:posOffset>
                </wp:positionH>
                <wp:positionV relativeFrom="paragraph">
                  <wp:posOffset>18415</wp:posOffset>
                </wp:positionV>
                <wp:extent cx="6121400" cy="0"/>
                <wp:effectExtent l="0" t="19050" r="12700" b="19050"/>
                <wp:wrapNone/>
                <wp:docPr id="3" name="Connettore 1 3"/>
                <wp:cNvGraphicFramePr/>
                <a:graphic xmlns:a="http://schemas.openxmlformats.org/drawingml/2006/main">
                  <a:graphicData uri="http://schemas.microsoft.com/office/word/2010/wordprocessingShape">
                    <wps:wsp>
                      <wps:cNvCnPr/>
                      <wps:spPr>
                        <a:xfrm>
                          <a:off x="0" y="0"/>
                          <a:ext cx="6121400" cy="0"/>
                        </a:xfrm>
                        <a:prstGeom prst="line">
                          <a:avLst/>
                        </a:prstGeom>
                        <a:ln w="31750" cmpd="sng">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3A8E8" id="Connettore 1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8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" strokecolor="#a32236 [3204]" strokeweight="2.5pt">
                <v:stroke joinstyle="miter"/>
              </v:line>
            </w:pict>
          </mc:Fallback>
        </mc:AlternateContent>
      </w:r>
    </w:p>
    <w:p w14:paraId="7FDC0B0F" w14:textId="4307A225" w:rsidR="00956309" w:rsidRPr="00D827D1" w:rsidRDefault="00956309" w:rsidP="009D7291">
      <w:r w:rsidRPr="00D827D1">
        <w:rPr>
          <w:rFonts w:ascii="Segoe UI" w:hAnsi="Segoe UI" w:cs="Segoe UI"/>
          <w:b/>
          <w:sz w:val="22"/>
          <w:szCs w:val="22"/>
        </w:rPr>
        <w:t xml:space="preserve">CONTATTI UFFICIO STAMPA </w:t>
      </w:r>
      <w:r w:rsidRPr="00D827D1">
        <w:rPr>
          <w:rFonts w:ascii="Segoe UI" w:hAnsi="Segoe UI" w:cs="Segoe UI"/>
          <w:b/>
          <w:sz w:val="22"/>
          <w:szCs w:val="22"/>
        </w:rPr>
        <w:br/>
      </w:r>
      <w:r w:rsidRPr="00D827D1">
        <w:rPr>
          <w:rFonts w:ascii="Segoe UI" w:hAnsi="Segoe UI" w:cs="Segoe UI"/>
          <w:sz w:val="22"/>
          <w:szCs w:val="22"/>
        </w:rPr>
        <w:t xml:space="preserve">SEC </w:t>
      </w:r>
      <w:proofErr w:type="spellStart"/>
      <w:r w:rsidRPr="00D827D1">
        <w:rPr>
          <w:rFonts w:ascii="Segoe UI" w:hAnsi="Segoe UI" w:cs="Segoe UI"/>
          <w:sz w:val="22"/>
          <w:szCs w:val="22"/>
        </w:rPr>
        <w:t>Newgate</w:t>
      </w:r>
      <w:proofErr w:type="spellEnd"/>
      <w:r w:rsidRPr="00D827D1">
        <w:rPr>
          <w:rFonts w:ascii="Segoe UI" w:hAnsi="Segoe UI" w:cs="Segoe UI"/>
          <w:sz w:val="22"/>
          <w:szCs w:val="22"/>
        </w:rPr>
        <w:t xml:space="preserve"> - Tel. 02624999.1 </w:t>
      </w:r>
      <w:r w:rsidRPr="00D827D1">
        <w:rPr>
          <w:rFonts w:ascii="Segoe UI" w:hAnsi="Segoe UI" w:cs="Segoe UI"/>
          <w:b/>
          <w:sz w:val="22"/>
          <w:szCs w:val="22"/>
        </w:rPr>
        <w:br/>
        <w:t>Francesca Brambilla</w:t>
      </w:r>
      <w:r w:rsidRPr="00D827D1">
        <w:rPr>
          <w:rFonts w:ascii="Segoe UI" w:hAnsi="Segoe UI" w:cs="Segoe UI"/>
          <w:sz w:val="22"/>
          <w:szCs w:val="22"/>
        </w:rPr>
        <w:t xml:space="preserve"> – </w:t>
      </w:r>
      <w:hyperlink r:id="rId18" w:history="1">
        <w:r w:rsidRPr="00D827D1">
          <w:rPr>
            <w:rFonts w:ascii="Segoe UI" w:hAnsi="Segoe UI" w:cs="Segoe UI"/>
            <w:sz w:val="22"/>
            <w:szCs w:val="22"/>
          </w:rPr>
          <w:t>brambilla@secrp.com</w:t>
        </w:r>
      </w:hyperlink>
      <w:r w:rsidRPr="00D827D1">
        <w:rPr>
          <w:rFonts w:ascii="Segoe UI" w:hAnsi="Segoe UI" w:cs="Segoe UI"/>
          <w:sz w:val="22"/>
          <w:szCs w:val="22"/>
        </w:rPr>
        <w:t xml:space="preserve"> – 3386272146</w:t>
      </w:r>
      <w:r w:rsidRPr="00D827D1">
        <w:rPr>
          <w:rFonts w:ascii="Helvetica" w:hAnsi="Helvetica"/>
          <w:sz w:val="18"/>
          <w:szCs w:val="18"/>
          <w:lang w:eastAsia="it-IT"/>
        </w:rPr>
        <w:br/>
      </w:r>
      <w:r w:rsidR="00136773" w:rsidRPr="00DE181F">
        <w:rPr>
          <w:rFonts w:ascii="Segoe UI" w:hAnsi="Segoe UI" w:cs="Segoe UI"/>
          <w:b/>
          <w:sz w:val="22"/>
          <w:szCs w:val="22"/>
        </w:rPr>
        <w:t xml:space="preserve">Michele Bon – </w:t>
      </w:r>
      <w:hyperlink r:id="rId19" w:history="1">
        <w:r w:rsidR="00136773" w:rsidRPr="00DE181F">
          <w:rPr>
            <w:sz w:val="24"/>
            <w:szCs w:val="24"/>
          </w:rPr>
          <w:t>bon@secnewgate.it</w:t>
        </w:r>
      </w:hyperlink>
      <w:r w:rsidR="00136773" w:rsidRPr="00DE181F">
        <w:rPr>
          <w:rFonts w:ascii="Segoe UI" w:hAnsi="Segoe UI" w:cs="Segoe UI"/>
          <w:sz w:val="22"/>
          <w:szCs w:val="22"/>
        </w:rPr>
        <w:t xml:space="preserve"> - 3386933868</w:t>
      </w:r>
    </w:p>
    <w:p w14:paraId="58C2E66A" w14:textId="77777777" w:rsidR="008D4B5A" w:rsidRPr="00D827D1" w:rsidRDefault="008D4B5A"/>
    <w:sectPr w:rsidR="008D4B5A" w:rsidRPr="00D827D1" w:rsidSect="00B82C17">
      <w:pgSz w:w="11900" w:h="16840" w:code="9"/>
      <w:pgMar w:top="1440" w:right="1077" w:bottom="1440" w:left="1077" w:header="709" w:footer="2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3C761" w14:textId="77777777" w:rsidR="00066B4A" w:rsidRDefault="00066B4A" w:rsidP="002133DD">
      <w:pPr>
        <w:spacing w:before="0" w:after="0" w:line="240" w:lineRule="auto"/>
      </w:pPr>
      <w:r>
        <w:separator/>
      </w:r>
    </w:p>
  </w:endnote>
  <w:endnote w:type="continuationSeparator" w:id="0">
    <w:p w14:paraId="76D199F6" w14:textId="77777777" w:rsidR="00066B4A" w:rsidRDefault="00066B4A" w:rsidP="002133D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007" w:usb1="00000001" w:usb2="00000000" w:usb3="00000000" w:csb0="00000193" w:csb1="00000000"/>
  </w:font>
  <w:font w:name="Montserrat">
    <w:charset w:val="00"/>
    <w:family w:val="auto"/>
    <w:pitch w:val="variable"/>
    <w:sig w:usb0="20000007" w:usb1="00000001" w:usb2="00000000" w:usb3="00000000" w:csb0="000001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o Sans Std">
    <w:charset w:val="00"/>
    <w:family w:val="auto"/>
    <w:pitch w:val="variable"/>
    <w:sig w:usb0="800000AF" w:usb1="5000205B" w:usb2="00000000" w:usb3="00000000" w:csb0="00000001" w:csb1="00000000"/>
  </w:font>
  <w:font w:name="Verdana">
    <w:panose1 w:val="020B0604030504040204"/>
    <w:charset w:val="00"/>
    <w:family w:val="swiss"/>
    <w:pitch w:val="variable"/>
    <w:sig w:usb0="A00006FF" w:usb1="4000205B" w:usb2="00000010" w:usb3="00000000" w:csb0="0000019F" w:csb1="00000000"/>
  </w:font>
  <w:font w:name="MinionPro-Regular">
    <w:altName w:val="Calibri"/>
    <w:charset w:val="4D"/>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4B1E7" w14:textId="77777777" w:rsidR="00B82C17" w:rsidRPr="00B82C17" w:rsidRDefault="00B82C17" w:rsidP="00B82C17">
    <w:pPr>
      <w:pStyle w:val="Pidipagina"/>
      <w:jc w:val="center"/>
      <w:rPr>
        <w:rFonts w:ascii="Segoe UI" w:hAnsi="Segoe UI" w:cs="Segoe UI"/>
        <w:b/>
      </w:rPr>
    </w:pPr>
    <w:r w:rsidRPr="00B82C17">
      <w:rPr>
        <w:rFonts w:ascii="Segoe UI" w:hAnsi="Segoe UI" w:cs="Segoe UI"/>
        <w:b/>
      </w:rPr>
      <w:t>Gabetti Property Solutions</w:t>
    </w:r>
    <w:r>
      <w:rPr>
        <w:rFonts w:ascii="Segoe UI" w:hAnsi="Segoe UI" w:cs="Segoe UI"/>
        <w:b/>
      </w:rPr>
      <w:br/>
    </w:r>
    <w:r w:rsidRPr="00B82C17">
      <w:rPr>
        <w:rFonts w:ascii="Segoe UI" w:hAnsi="Segoe UI" w:cs="Segoe UI"/>
      </w:rPr>
      <w:t>Milano, Roma, Genova, Torino, Padova, Firenze, Bologna, Napoli, Bari, Reggio Calabria</w:t>
    </w:r>
    <w:r>
      <w:rPr>
        <w:rFonts w:ascii="Segoe UI" w:hAnsi="Segoe UI" w:cs="Segoe UI"/>
        <w:b/>
      </w:rPr>
      <w:br/>
    </w:r>
    <w:r w:rsidRPr="00B82C17">
      <w:rPr>
        <w:rFonts w:ascii="Segoe UI" w:hAnsi="Segoe UI" w:cs="Segoe UI"/>
        <w:b/>
      </w:rPr>
      <w:t>www.gabettigroup.com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7B156" w14:textId="77777777" w:rsidR="00066B4A" w:rsidRDefault="00066B4A" w:rsidP="002133DD">
      <w:pPr>
        <w:spacing w:before="0" w:after="0" w:line="240" w:lineRule="auto"/>
      </w:pPr>
      <w:r>
        <w:separator/>
      </w:r>
    </w:p>
  </w:footnote>
  <w:footnote w:type="continuationSeparator" w:id="0">
    <w:p w14:paraId="1569770C" w14:textId="77777777" w:rsidR="00066B4A" w:rsidRDefault="00066B4A" w:rsidP="002133D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5B2A2" w14:textId="77777777" w:rsidR="002133DD" w:rsidRDefault="001A480F" w:rsidP="002133DD">
    <w:pPr>
      <w:pStyle w:val="Intestazione"/>
      <w:jc w:val="right"/>
    </w:pPr>
    <w:r w:rsidRPr="00665837">
      <w:rPr>
        <w:noProof/>
        <w:lang w:eastAsia="it-IT"/>
      </w:rPr>
      <w:drawing>
        <wp:anchor distT="0" distB="0" distL="114300" distR="114300" simplePos="0" relativeHeight="251678720" behindDoc="0" locked="0" layoutInCell="1" allowOverlap="1" wp14:anchorId="3FF60345" wp14:editId="5BE85099">
          <wp:simplePos x="0" y="0"/>
          <wp:positionH relativeFrom="column">
            <wp:posOffset>4712970</wp:posOffset>
          </wp:positionH>
          <wp:positionV relativeFrom="paragraph">
            <wp:posOffset>-125095</wp:posOffset>
          </wp:positionV>
          <wp:extent cx="1409700" cy="52070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09700" cy="520700"/>
                  </a:xfrm>
                  <a:prstGeom prst="rect">
                    <a:avLst/>
                  </a:prstGeom>
                </pic:spPr>
              </pic:pic>
            </a:graphicData>
          </a:graphic>
          <wp14:sizeRelH relativeFrom="page">
            <wp14:pctWidth>0</wp14:pctWidth>
          </wp14:sizeRelH>
          <wp14:sizeRelV relativeFrom="page">
            <wp14:pctHeight>0</wp14:pctHeight>
          </wp14:sizeRelV>
        </wp:anchor>
      </w:drawing>
    </w:r>
    <w:r w:rsidRPr="008F7095">
      <w:rPr>
        <w:noProof/>
        <w:lang w:eastAsia="it-IT"/>
      </w:rPr>
      <mc:AlternateContent>
        <mc:Choice Requires="wps">
          <w:drawing>
            <wp:anchor distT="0" distB="0" distL="114300" distR="114300" simplePos="0" relativeHeight="251666432" behindDoc="0" locked="0" layoutInCell="1" allowOverlap="1" wp14:anchorId="7A68D1F3" wp14:editId="224B4559">
              <wp:simplePos x="0" y="0"/>
              <wp:positionH relativeFrom="column">
                <wp:posOffset>-3185160</wp:posOffset>
              </wp:positionH>
              <wp:positionV relativeFrom="paragraph">
                <wp:posOffset>-10160</wp:posOffset>
              </wp:positionV>
              <wp:extent cx="7559040" cy="231140"/>
              <wp:effectExtent l="0" t="0" r="3810" b="0"/>
              <wp:wrapNone/>
              <wp:docPr id="1" name="Rettangolo 14"/>
              <wp:cNvGraphicFramePr/>
              <a:graphic xmlns:a="http://schemas.openxmlformats.org/drawingml/2006/main">
                <a:graphicData uri="http://schemas.microsoft.com/office/word/2010/wordprocessingShape">
                  <wps:wsp>
                    <wps:cNvSpPr/>
                    <wps:spPr>
                      <a:xfrm>
                        <a:off x="0" y="0"/>
                        <a:ext cx="7559040" cy="2311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3EA4BCA" id="Rettangolo 14" o:spid="_x0000_s1026" style="position:absolute;margin-left:-250.8pt;margin-top:-.8pt;width:595.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" fillcolor="#a32236 [3204]"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ABBE7" w14:textId="77777777" w:rsidR="00D60AA1" w:rsidRDefault="00D60AA1">
    <w:pPr>
      <w:pStyle w:val="Intestazione"/>
    </w:pPr>
    <w:r w:rsidRPr="00D60AA1">
      <w:rPr>
        <w:noProof/>
        <w:lang w:eastAsia="it-IT"/>
      </w:rPr>
      <w:drawing>
        <wp:anchor distT="0" distB="0" distL="114300" distR="114300" simplePos="0" relativeHeight="251668480" behindDoc="1" locked="0" layoutInCell="1" allowOverlap="1" wp14:anchorId="3CB03ABA" wp14:editId="4FC9D1C7">
          <wp:simplePos x="0" y="0"/>
          <wp:positionH relativeFrom="column">
            <wp:posOffset>0</wp:posOffset>
          </wp:positionH>
          <wp:positionV relativeFrom="paragraph">
            <wp:posOffset>3449955</wp:posOffset>
          </wp:positionV>
          <wp:extent cx="6184900" cy="2627630"/>
          <wp:effectExtent l="0" t="0" r="6350" b="127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6184900" cy="2627630"/>
                  </a:xfrm>
                  <a:prstGeom prst="rect">
                    <a:avLst/>
                  </a:prstGeom>
                </pic:spPr>
              </pic:pic>
            </a:graphicData>
          </a:graphic>
          <wp14:sizeRelH relativeFrom="page">
            <wp14:pctWidth>0</wp14:pctWidth>
          </wp14:sizeRelH>
          <wp14:sizeRelV relativeFrom="page">
            <wp14:pctHeight>0</wp14:pctHeight>
          </wp14:sizeRelV>
        </wp:anchor>
      </w:drawing>
    </w:r>
    <w:r w:rsidRPr="00D60AA1">
      <w:rPr>
        <w:noProof/>
        <w:lang w:eastAsia="it-IT"/>
      </w:rPr>
      <w:drawing>
        <wp:anchor distT="0" distB="0" distL="114300" distR="114300" simplePos="0" relativeHeight="251669504" behindDoc="1" locked="0" layoutInCell="1" allowOverlap="1" wp14:anchorId="0C81A1D4" wp14:editId="6429F005">
          <wp:simplePos x="0" y="0"/>
          <wp:positionH relativeFrom="column">
            <wp:posOffset>270510</wp:posOffset>
          </wp:positionH>
          <wp:positionV relativeFrom="paragraph">
            <wp:posOffset>3732530</wp:posOffset>
          </wp:positionV>
          <wp:extent cx="5643880" cy="2063115"/>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643880" cy="20631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5F97"/>
    <w:multiLevelType w:val="hybridMultilevel"/>
    <w:tmpl w:val="BD948FBA"/>
    <w:lvl w:ilvl="0" w:tplc="805CAF60">
      <w:start w:val="1"/>
      <w:numFmt w:val="decimal"/>
      <w:lvlText w:val="%1."/>
      <w:lvlJc w:val="left"/>
      <w:pPr>
        <w:tabs>
          <w:tab w:val="num" w:pos="720"/>
        </w:tabs>
        <w:ind w:left="720" w:hanging="360"/>
      </w:pPr>
    </w:lvl>
    <w:lvl w:ilvl="1" w:tplc="A1F83284" w:tentative="1">
      <w:start w:val="1"/>
      <w:numFmt w:val="decimal"/>
      <w:lvlText w:val="%2."/>
      <w:lvlJc w:val="left"/>
      <w:pPr>
        <w:tabs>
          <w:tab w:val="num" w:pos="1440"/>
        </w:tabs>
        <w:ind w:left="1440" w:hanging="360"/>
      </w:pPr>
    </w:lvl>
    <w:lvl w:ilvl="2" w:tplc="73B68B68" w:tentative="1">
      <w:start w:val="1"/>
      <w:numFmt w:val="decimal"/>
      <w:lvlText w:val="%3."/>
      <w:lvlJc w:val="left"/>
      <w:pPr>
        <w:tabs>
          <w:tab w:val="num" w:pos="2160"/>
        </w:tabs>
        <w:ind w:left="2160" w:hanging="360"/>
      </w:pPr>
    </w:lvl>
    <w:lvl w:ilvl="3" w:tplc="A6F698AE" w:tentative="1">
      <w:start w:val="1"/>
      <w:numFmt w:val="decimal"/>
      <w:lvlText w:val="%4."/>
      <w:lvlJc w:val="left"/>
      <w:pPr>
        <w:tabs>
          <w:tab w:val="num" w:pos="2880"/>
        </w:tabs>
        <w:ind w:left="2880" w:hanging="360"/>
      </w:pPr>
    </w:lvl>
    <w:lvl w:ilvl="4" w:tplc="E446CCC8" w:tentative="1">
      <w:start w:val="1"/>
      <w:numFmt w:val="decimal"/>
      <w:lvlText w:val="%5."/>
      <w:lvlJc w:val="left"/>
      <w:pPr>
        <w:tabs>
          <w:tab w:val="num" w:pos="3600"/>
        </w:tabs>
        <w:ind w:left="3600" w:hanging="360"/>
      </w:pPr>
    </w:lvl>
    <w:lvl w:ilvl="5" w:tplc="A0DA6738" w:tentative="1">
      <w:start w:val="1"/>
      <w:numFmt w:val="decimal"/>
      <w:lvlText w:val="%6."/>
      <w:lvlJc w:val="left"/>
      <w:pPr>
        <w:tabs>
          <w:tab w:val="num" w:pos="4320"/>
        </w:tabs>
        <w:ind w:left="4320" w:hanging="360"/>
      </w:pPr>
    </w:lvl>
    <w:lvl w:ilvl="6" w:tplc="46C8BDFC" w:tentative="1">
      <w:start w:val="1"/>
      <w:numFmt w:val="decimal"/>
      <w:lvlText w:val="%7."/>
      <w:lvlJc w:val="left"/>
      <w:pPr>
        <w:tabs>
          <w:tab w:val="num" w:pos="5040"/>
        </w:tabs>
        <w:ind w:left="5040" w:hanging="360"/>
      </w:pPr>
    </w:lvl>
    <w:lvl w:ilvl="7" w:tplc="F84C1D58" w:tentative="1">
      <w:start w:val="1"/>
      <w:numFmt w:val="decimal"/>
      <w:lvlText w:val="%8."/>
      <w:lvlJc w:val="left"/>
      <w:pPr>
        <w:tabs>
          <w:tab w:val="num" w:pos="5760"/>
        </w:tabs>
        <w:ind w:left="5760" w:hanging="360"/>
      </w:pPr>
    </w:lvl>
    <w:lvl w:ilvl="8" w:tplc="1D7A39C8" w:tentative="1">
      <w:start w:val="1"/>
      <w:numFmt w:val="decimal"/>
      <w:lvlText w:val="%9."/>
      <w:lvlJc w:val="left"/>
      <w:pPr>
        <w:tabs>
          <w:tab w:val="num" w:pos="6480"/>
        </w:tabs>
        <w:ind w:left="6480" w:hanging="360"/>
      </w:pPr>
    </w:lvl>
  </w:abstractNum>
  <w:abstractNum w:abstractNumId="1" w15:restartNumberingAfterBreak="0">
    <w:nsid w:val="0E242517"/>
    <w:multiLevelType w:val="hybridMultilevel"/>
    <w:tmpl w:val="4D1202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1D7F4F"/>
    <w:multiLevelType w:val="hybridMultilevel"/>
    <w:tmpl w:val="2B36359E"/>
    <w:lvl w:ilvl="0" w:tplc="1062C286">
      <w:numFmt w:val="bullet"/>
      <w:lvlText w:val="•"/>
      <w:lvlJc w:val="left"/>
      <w:pPr>
        <w:ind w:left="720" w:hanging="360"/>
      </w:pPr>
      <w:rPr>
        <w:rFonts w:ascii="Segoe UI" w:eastAsiaTheme="minorEastAsia" w:hAnsi="Segoe UI"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0D2215A"/>
    <w:multiLevelType w:val="hybridMultilevel"/>
    <w:tmpl w:val="4AA89AE4"/>
    <w:lvl w:ilvl="0" w:tplc="AFA49842">
      <w:start w:val="1"/>
      <w:numFmt w:val="decimal"/>
      <w:lvlText w:val="%1."/>
      <w:lvlJc w:val="left"/>
      <w:pPr>
        <w:tabs>
          <w:tab w:val="num" w:pos="720"/>
        </w:tabs>
        <w:ind w:left="720" w:hanging="360"/>
      </w:pPr>
    </w:lvl>
    <w:lvl w:ilvl="1" w:tplc="9FA60D62">
      <w:start w:val="1"/>
      <w:numFmt w:val="decimal"/>
      <w:lvlText w:val="%2."/>
      <w:lvlJc w:val="left"/>
      <w:pPr>
        <w:tabs>
          <w:tab w:val="num" w:pos="1440"/>
        </w:tabs>
        <w:ind w:left="1440" w:hanging="360"/>
      </w:pPr>
    </w:lvl>
    <w:lvl w:ilvl="2" w:tplc="E4981D8E">
      <w:start w:val="1"/>
      <w:numFmt w:val="decimal"/>
      <w:lvlText w:val="%3."/>
      <w:lvlJc w:val="left"/>
      <w:pPr>
        <w:tabs>
          <w:tab w:val="num" w:pos="2160"/>
        </w:tabs>
        <w:ind w:left="2160" w:hanging="360"/>
      </w:pPr>
    </w:lvl>
    <w:lvl w:ilvl="3" w:tplc="41AA883E" w:tentative="1">
      <w:start w:val="1"/>
      <w:numFmt w:val="decimal"/>
      <w:lvlText w:val="%4."/>
      <w:lvlJc w:val="left"/>
      <w:pPr>
        <w:tabs>
          <w:tab w:val="num" w:pos="2880"/>
        </w:tabs>
        <w:ind w:left="2880" w:hanging="360"/>
      </w:pPr>
    </w:lvl>
    <w:lvl w:ilvl="4" w:tplc="3472553E" w:tentative="1">
      <w:start w:val="1"/>
      <w:numFmt w:val="decimal"/>
      <w:lvlText w:val="%5."/>
      <w:lvlJc w:val="left"/>
      <w:pPr>
        <w:tabs>
          <w:tab w:val="num" w:pos="3600"/>
        </w:tabs>
        <w:ind w:left="3600" w:hanging="360"/>
      </w:pPr>
    </w:lvl>
    <w:lvl w:ilvl="5" w:tplc="ACC694F4" w:tentative="1">
      <w:start w:val="1"/>
      <w:numFmt w:val="decimal"/>
      <w:lvlText w:val="%6."/>
      <w:lvlJc w:val="left"/>
      <w:pPr>
        <w:tabs>
          <w:tab w:val="num" w:pos="4320"/>
        </w:tabs>
        <w:ind w:left="4320" w:hanging="360"/>
      </w:pPr>
    </w:lvl>
    <w:lvl w:ilvl="6" w:tplc="C674CB16" w:tentative="1">
      <w:start w:val="1"/>
      <w:numFmt w:val="decimal"/>
      <w:lvlText w:val="%7."/>
      <w:lvlJc w:val="left"/>
      <w:pPr>
        <w:tabs>
          <w:tab w:val="num" w:pos="5040"/>
        </w:tabs>
        <w:ind w:left="5040" w:hanging="360"/>
      </w:pPr>
    </w:lvl>
    <w:lvl w:ilvl="7" w:tplc="C9CADBEE" w:tentative="1">
      <w:start w:val="1"/>
      <w:numFmt w:val="decimal"/>
      <w:lvlText w:val="%8."/>
      <w:lvlJc w:val="left"/>
      <w:pPr>
        <w:tabs>
          <w:tab w:val="num" w:pos="5760"/>
        </w:tabs>
        <w:ind w:left="5760" w:hanging="360"/>
      </w:pPr>
    </w:lvl>
    <w:lvl w:ilvl="8" w:tplc="C150932E" w:tentative="1">
      <w:start w:val="1"/>
      <w:numFmt w:val="decimal"/>
      <w:lvlText w:val="%9."/>
      <w:lvlJc w:val="left"/>
      <w:pPr>
        <w:tabs>
          <w:tab w:val="num" w:pos="6480"/>
        </w:tabs>
        <w:ind w:left="6480" w:hanging="360"/>
      </w:pPr>
    </w:lvl>
  </w:abstractNum>
  <w:abstractNum w:abstractNumId="4" w15:restartNumberingAfterBreak="0">
    <w:nsid w:val="65704AAA"/>
    <w:multiLevelType w:val="hybridMultilevel"/>
    <w:tmpl w:val="3AA2E66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0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33DD"/>
    <w:rsid w:val="000059ED"/>
    <w:rsid w:val="00006BB7"/>
    <w:rsid w:val="00010303"/>
    <w:rsid w:val="00011095"/>
    <w:rsid w:val="0002390F"/>
    <w:rsid w:val="00023CA8"/>
    <w:rsid w:val="00035C29"/>
    <w:rsid w:val="00044A8E"/>
    <w:rsid w:val="0005141E"/>
    <w:rsid w:val="00055210"/>
    <w:rsid w:val="000630AF"/>
    <w:rsid w:val="00066B4A"/>
    <w:rsid w:val="000829B3"/>
    <w:rsid w:val="00084A2D"/>
    <w:rsid w:val="00085D34"/>
    <w:rsid w:val="00095C8D"/>
    <w:rsid w:val="00096623"/>
    <w:rsid w:val="00097A77"/>
    <w:rsid w:val="000A0107"/>
    <w:rsid w:val="000A3259"/>
    <w:rsid w:val="000A5ED2"/>
    <w:rsid w:val="000A6AB7"/>
    <w:rsid w:val="000A759E"/>
    <w:rsid w:val="000B1FFD"/>
    <w:rsid w:val="000B49C8"/>
    <w:rsid w:val="000B4B33"/>
    <w:rsid w:val="000C2082"/>
    <w:rsid w:val="000C4CD4"/>
    <w:rsid w:val="000D447A"/>
    <w:rsid w:val="000D610D"/>
    <w:rsid w:val="000E29F6"/>
    <w:rsid w:val="000E73F3"/>
    <w:rsid w:val="000F1037"/>
    <w:rsid w:val="000F581E"/>
    <w:rsid w:val="000F7E0C"/>
    <w:rsid w:val="00104589"/>
    <w:rsid w:val="00113068"/>
    <w:rsid w:val="001167E5"/>
    <w:rsid w:val="001269E5"/>
    <w:rsid w:val="0013308B"/>
    <w:rsid w:val="00136773"/>
    <w:rsid w:val="001602B0"/>
    <w:rsid w:val="00180278"/>
    <w:rsid w:val="001A10BF"/>
    <w:rsid w:val="001A1C08"/>
    <w:rsid w:val="001A3788"/>
    <w:rsid w:val="001A480F"/>
    <w:rsid w:val="001A5CAA"/>
    <w:rsid w:val="001A7CC2"/>
    <w:rsid w:val="001B2977"/>
    <w:rsid w:val="001C3236"/>
    <w:rsid w:val="001C56FD"/>
    <w:rsid w:val="001D1FAE"/>
    <w:rsid w:val="001D309A"/>
    <w:rsid w:val="001E0FFE"/>
    <w:rsid w:val="001E2159"/>
    <w:rsid w:val="001E5A25"/>
    <w:rsid w:val="001F4872"/>
    <w:rsid w:val="00203CF9"/>
    <w:rsid w:val="00204333"/>
    <w:rsid w:val="002133DD"/>
    <w:rsid w:val="002144B8"/>
    <w:rsid w:val="002171A5"/>
    <w:rsid w:val="0021776F"/>
    <w:rsid w:val="00227AF2"/>
    <w:rsid w:val="00232E97"/>
    <w:rsid w:val="00240932"/>
    <w:rsid w:val="002449B3"/>
    <w:rsid w:val="00245829"/>
    <w:rsid w:val="00247FBE"/>
    <w:rsid w:val="00252D5B"/>
    <w:rsid w:val="00257A55"/>
    <w:rsid w:val="00270236"/>
    <w:rsid w:val="00273494"/>
    <w:rsid w:val="0027749F"/>
    <w:rsid w:val="00295110"/>
    <w:rsid w:val="002A1ED9"/>
    <w:rsid w:val="002A20B4"/>
    <w:rsid w:val="002A3842"/>
    <w:rsid w:val="002C0284"/>
    <w:rsid w:val="002C2EE5"/>
    <w:rsid w:val="002C6C7D"/>
    <w:rsid w:val="002D10A8"/>
    <w:rsid w:val="002D15A8"/>
    <w:rsid w:val="002D63D7"/>
    <w:rsid w:val="002E1BC4"/>
    <w:rsid w:val="002E3B16"/>
    <w:rsid w:val="002F3654"/>
    <w:rsid w:val="00304F03"/>
    <w:rsid w:val="003078FF"/>
    <w:rsid w:val="003111CA"/>
    <w:rsid w:val="00312D90"/>
    <w:rsid w:val="00317C19"/>
    <w:rsid w:val="0032232A"/>
    <w:rsid w:val="00322E32"/>
    <w:rsid w:val="00325D04"/>
    <w:rsid w:val="00332712"/>
    <w:rsid w:val="00337E54"/>
    <w:rsid w:val="003529B5"/>
    <w:rsid w:val="00355EB4"/>
    <w:rsid w:val="00365A39"/>
    <w:rsid w:val="003679BE"/>
    <w:rsid w:val="00382366"/>
    <w:rsid w:val="00393C2B"/>
    <w:rsid w:val="003941D2"/>
    <w:rsid w:val="00394518"/>
    <w:rsid w:val="00397819"/>
    <w:rsid w:val="003B1029"/>
    <w:rsid w:val="003B3E56"/>
    <w:rsid w:val="003C66D6"/>
    <w:rsid w:val="003D29F5"/>
    <w:rsid w:val="003D44DC"/>
    <w:rsid w:val="003E1866"/>
    <w:rsid w:val="003E1888"/>
    <w:rsid w:val="003E200C"/>
    <w:rsid w:val="003E2B2C"/>
    <w:rsid w:val="003E7A0B"/>
    <w:rsid w:val="003E7EFB"/>
    <w:rsid w:val="004048CD"/>
    <w:rsid w:val="00417B03"/>
    <w:rsid w:val="00417BED"/>
    <w:rsid w:val="00420895"/>
    <w:rsid w:val="004248EA"/>
    <w:rsid w:val="00425C5F"/>
    <w:rsid w:val="0042729E"/>
    <w:rsid w:val="00427B1C"/>
    <w:rsid w:val="00437EF2"/>
    <w:rsid w:val="00444BCE"/>
    <w:rsid w:val="004512A9"/>
    <w:rsid w:val="00451827"/>
    <w:rsid w:val="004542E9"/>
    <w:rsid w:val="00457719"/>
    <w:rsid w:val="00460AE0"/>
    <w:rsid w:val="00466932"/>
    <w:rsid w:val="004733B6"/>
    <w:rsid w:val="004B1219"/>
    <w:rsid w:val="004B1ADE"/>
    <w:rsid w:val="004C236D"/>
    <w:rsid w:val="004C6464"/>
    <w:rsid w:val="004D1D88"/>
    <w:rsid w:val="004D256F"/>
    <w:rsid w:val="004D7DC3"/>
    <w:rsid w:val="004E51A8"/>
    <w:rsid w:val="004F762B"/>
    <w:rsid w:val="0050057C"/>
    <w:rsid w:val="00500A16"/>
    <w:rsid w:val="00503A20"/>
    <w:rsid w:val="00505BA8"/>
    <w:rsid w:val="00510575"/>
    <w:rsid w:val="005128D7"/>
    <w:rsid w:val="00514190"/>
    <w:rsid w:val="00517555"/>
    <w:rsid w:val="005258EB"/>
    <w:rsid w:val="0053173C"/>
    <w:rsid w:val="005342AD"/>
    <w:rsid w:val="005351D5"/>
    <w:rsid w:val="005404B0"/>
    <w:rsid w:val="00543C10"/>
    <w:rsid w:val="0055103B"/>
    <w:rsid w:val="00554AB4"/>
    <w:rsid w:val="00556B7F"/>
    <w:rsid w:val="00560045"/>
    <w:rsid w:val="005736EE"/>
    <w:rsid w:val="00575169"/>
    <w:rsid w:val="00586F2F"/>
    <w:rsid w:val="00587ACF"/>
    <w:rsid w:val="0059587B"/>
    <w:rsid w:val="005A6A4C"/>
    <w:rsid w:val="005B1A49"/>
    <w:rsid w:val="005B6292"/>
    <w:rsid w:val="005B6FF3"/>
    <w:rsid w:val="005C18AC"/>
    <w:rsid w:val="005C294A"/>
    <w:rsid w:val="005E2767"/>
    <w:rsid w:val="005E7442"/>
    <w:rsid w:val="005F128B"/>
    <w:rsid w:val="00604834"/>
    <w:rsid w:val="00613817"/>
    <w:rsid w:val="00620F8A"/>
    <w:rsid w:val="00624F96"/>
    <w:rsid w:val="00625445"/>
    <w:rsid w:val="00643ABC"/>
    <w:rsid w:val="006536EB"/>
    <w:rsid w:val="0065531F"/>
    <w:rsid w:val="00655908"/>
    <w:rsid w:val="006561A7"/>
    <w:rsid w:val="0066325F"/>
    <w:rsid w:val="00665837"/>
    <w:rsid w:val="00665E20"/>
    <w:rsid w:val="00670A74"/>
    <w:rsid w:val="00676ACA"/>
    <w:rsid w:val="0068111F"/>
    <w:rsid w:val="00686BAD"/>
    <w:rsid w:val="00690B8D"/>
    <w:rsid w:val="006A6100"/>
    <w:rsid w:val="006B7166"/>
    <w:rsid w:val="006C08C9"/>
    <w:rsid w:val="006E454B"/>
    <w:rsid w:val="006E709D"/>
    <w:rsid w:val="006F315B"/>
    <w:rsid w:val="006F4500"/>
    <w:rsid w:val="006F7238"/>
    <w:rsid w:val="00702782"/>
    <w:rsid w:val="007072F0"/>
    <w:rsid w:val="007111F8"/>
    <w:rsid w:val="00712D43"/>
    <w:rsid w:val="0073149A"/>
    <w:rsid w:val="00733E7F"/>
    <w:rsid w:val="007365C1"/>
    <w:rsid w:val="007408D3"/>
    <w:rsid w:val="00742270"/>
    <w:rsid w:val="00742B63"/>
    <w:rsid w:val="00746795"/>
    <w:rsid w:val="0075224A"/>
    <w:rsid w:val="007719AB"/>
    <w:rsid w:val="00771EA9"/>
    <w:rsid w:val="00782925"/>
    <w:rsid w:val="00782F0F"/>
    <w:rsid w:val="007922C1"/>
    <w:rsid w:val="00793843"/>
    <w:rsid w:val="00797611"/>
    <w:rsid w:val="007C2E40"/>
    <w:rsid w:val="007C4506"/>
    <w:rsid w:val="007C4CCB"/>
    <w:rsid w:val="007D4F85"/>
    <w:rsid w:val="007D67BE"/>
    <w:rsid w:val="007E0FE3"/>
    <w:rsid w:val="007E2288"/>
    <w:rsid w:val="007E2B94"/>
    <w:rsid w:val="007E6D76"/>
    <w:rsid w:val="007F4FF0"/>
    <w:rsid w:val="007F50A2"/>
    <w:rsid w:val="007F5227"/>
    <w:rsid w:val="007F69B5"/>
    <w:rsid w:val="008007AE"/>
    <w:rsid w:val="00800B22"/>
    <w:rsid w:val="00804736"/>
    <w:rsid w:val="0081203C"/>
    <w:rsid w:val="00817157"/>
    <w:rsid w:val="008309E8"/>
    <w:rsid w:val="00831E14"/>
    <w:rsid w:val="00845EA9"/>
    <w:rsid w:val="0085150C"/>
    <w:rsid w:val="008550B8"/>
    <w:rsid w:val="00873DB3"/>
    <w:rsid w:val="00874796"/>
    <w:rsid w:val="008802CE"/>
    <w:rsid w:val="00883DA1"/>
    <w:rsid w:val="00891F7A"/>
    <w:rsid w:val="008923EE"/>
    <w:rsid w:val="00895482"/>
    <w:rsid w:val="008B0977"/>
    <w:rsid w:val="008B2DC0"/>
    <w:rsid w:val="008C1E1D"/>
    <w:rsid w:val="008D19B7"/>
    <w:rsid w:val="008D3844"/>
    <w:rsid w:val="008D4B5A"/>
    <w:rsid w:val="008D59F7"/>
    <w:rsid w:val="008E0EBF"/>
    <w:rsid w:val="008E7235"/>
    <w:rsid w:val="008F037F"/>
    <w:rsid w:val="008F0BBD"/>
    <w:rsid w:val="008F540D"/>
    <w:rsid w:val="008F5CD7"/>
    <w:rsid w:val="008F7095"/>
    <w:rsid w:val="009038AC"/>
    <w:rsid w:val="009107C4"/>
    <w:rsid w:val="00912DE6"/>
    <w:rsid w:val="0091400E"/>
    <w:rsid w:val="00916F0A"/>
    <w:rsid w:val="00917B50"/>
    <w:rsid w:val="00924927"/>
    <w:rsid w:val="0092679D"/>
    <w:rsid w:val="0092773B"/>
    <w:rsid w:val="0093166C"/>
    <w:rsid w:val="009431A7"/>
    <w:rsid w:val="00944273"/>
    <w:rsid w:val="009443F6"/>
    <w:rsid w:val="00944BD1"/>
    <w:rsid w:val="00944D2A"/>
    <w:rsid w:val="00950439"/>
    <w:rsid w:val="00956309"/>
    <w:rsid w:val="00960502"/>
    <w:rsid w:val="00983002"/>
    <w:rsid w:val="0099142A"/>
    <w:rsid w:val="00992CC1"/>
    <w:rsid w:val="009A7CDA"/>
    <w:rsid w:val="009C0B57"/>
    <w:rsid w:val="009C2272"/>
    <w:rsid w:val="009C38CF"/>
    <w:rsid w:val="009D6292"/>
    <w:rsid w:val="009D7291"/>
    <w:rsid w:val="009E113B"/>
    <w:rsid w:val="009F1386"/>
    <w:rsid w:val="009F2B9A"/>
    <w:rsid w:val="009F378D"/>
    <w:rsid w:val="00A006FF"/>
    <w:rsid w:val="00A04EEF"/>
    <w:rsid w:val="00A050A0"/>
    <w:rsid w:val="00A06C9C"/>
    <w:rsid w:val="00A137A9"/>
    <w:rsid w:val="00A168BB"/>
    <w:rsid w:val="00A20A5D"/>
    <w:rsid w:val="00A50A9C"/>
    <w:rsid w:val="00A52684"/>
    <w:rsid w:val="00A6086B"/>
    <w:rsid w:val="00A62938"/>
    <w:rsid w:val="00A66A71"/>
    <w:rsid w:val="00A80CE1"/>
    <w:rsid w:val="00A81AF8"/>
    <w:rsid w:val="00A942B6"/>
    <w:rsid w:val="00AA034E"/>
    <w:rsid w:val="00AA47B7"/>
    <w:rsid w:val="00AA7123"/>
    <w:rsid w:val="00AD20ED"/>
    <w:rsid w:val="00AD2B7A"/>
    <w:rsid w:val="00AD55AB"/>
    <w:rsid w:val="00AF7AA4"/>
    <w:rsid w:val="00B01A4E"/>
    <w:rsid w:val="00B01E8A"/>
    <w:rsid w:val="00B14985"/>
    <w:rsid w:val="00B15909"/>
    <w:rsid w:val="00B2075C"/>
    <w:rsid w:val="00B36447"/>
    <w:rsid w:val="00B36E08"/>
    <w:rsid w:val="00B37A84"/>
    <w:rsid w:val="00B42F1C"/>
    <w:rsid w:val="00B5319B"/>
    <w:rsid w:val="00B66A07"/>
    <w:rsid w:val="00B82C17"/>
    <w:rsid w:val="00B85DB7"/>
    <w:rsid w:val="00B931C8"/>
    <w:rsid w:val="00BA635C"/>
    <w:rsid w:val="00BA7A80"/>
    <w:rsid w:val="00BA7FED"/>
    <w:rsid w:val="00BB4AFD"/>
    <w:rsid w:val="00BB55BD"/>
    <w:rsid w:val="00BB56E9"/>
    <w:rsid w:val="00BC0C1C"/>
    <w:rsid w:val="00BC22F7"/>
    <w:rsid w:val="00BC5560"/>
    <w:rsid w:val="00BD7554"/>
    <w:rsid w:val="00BE10E4"/>
    <w:rsid w:val="00BE1A85"/>
    <w:rsid w:val="00BE2789"/>
    <w:rsid w:val="00BE305E"/>
    <w:rsid w:val="00BE30CF"/>
    <w:rsid w:val="00BE5FDE"/>
    <w:rsid w:val="00BE7166"/>
    <w:rsid w:val="00BE786A"/>
    <w:rsid w:val="00BF6391"/>
    <w:rsid w:val="00BF7F30"/>
    <w:rsid w:val="00C02039"/>
    <w:rsid w:val="00C022B0"/>
    <w:rsid w:val="00C06336"/>
    <w:rsid w:val="00C137ED"/>
    <w:rsid w:val="00C151E2"/>
    <w:rsid w:val="00C52C5C"/>
    <w:rsid w:val="00C67301"/>
    <w:rsid w:val="00C71198"/>
    <w:rsid w:val="00C765FE"/>
    <w:rsid w:val="00C76DC1"/>
    <w:rsid w:val="00C80409"/>
    <w:rsid w:val="00C8404D"/>
    <w:rsid w:val="00C94690"/>
    <w:rsid w:val="00C96E91"/>
    <w:rsid w:val="00CA185C"/>
    <w:rsid w:val="00CC55A9"/>
    <w:rsid w:val="00CD60C0"/>
    <w:rsid w:val="00CF0302"/>
    <w:rsid w:val="00CF0D48"/>
    <w:rsid w:val="00CF1547"/>
    <w:rsid w:val="00D026E9"/>
    <w:rsid w:val="00D072D1"/>
    <w:rsid w:val="00D11947"/>
    <w:rsid w:val="00D14EF5"/>
    <w:rsid w:val="00D22530"/>
    <w:rsid w:val="00D239C5"/>
    <w:rsid w:val="00D32327"/>
    <w:rsid w:val="00D355E0"/>
    <w:rsid w:val="00D35ABB"/>
    <w:rsid w:val="00D47CC4"/>
    <w:rsid w:val="00D53EB6"/>
    <w:rsid w:val="00D60AA1"/>
    <w:rsid w:val="00D614C7"/>
    <w:rsid w:val="00D66A7E"/>
    <w:rsid w:val="00D67AEA"/>
    <w:rsid w:val="00D74150"/>
    <w:rsid w:val="00D81F80"/>
    <w:rsid w:val="00D827D1"/>
    <w:rsid w:val="00D91258"/>
    <w:rsid w:val="00D947A5"/>
    <w:rsid w:val="00DA4D0D"/>
    <w:rsid w:val="00DC466D"/>
    <w:rsid w:val="00DD4A2B"/>
    <w:rsid w:val="00DD4E28"/>
    <w:rsid w:val="00DE01CC"/>
    <w:rsid w:val="00DE1F2E"/>
    <w:rsid w:val="00DE24DF"/>
    <w:rsid w:val="00DE333B"/>
    <w:rsid w:val="00DE7100"/>
    <w:rsid w:val="00DF0708"/>
    <w:rsid w:val="00DF3F68"/>
    <w:rsid w:val="00DF611F"/>
    <w:rsid w:val="00DF79EA"/>
    <w:rsid w:val="00E137B6"/>
    <w:rsid w:val="00E3621A"/>
    <w:rsid w:val="00E37CBD"/>
    <w:rsid w:val="00E45339"/>
    <w:rsid w:val="00E4672C"/>
    <w:rsid w:val="00E717D3"/>
    <w:rsid w:val="00E71D9A"/>
    <w:rsid w:val="00E71E69"/>
    <w:rsid w:val="00E80D77"/>
    <w:rsid w:val="00E9701C"/>
    <w:rsid w:val="00EA0E91"/>
    <w:rsid w:val="00EA330C"/>
    <w:rsid w:val="00EB3B14"/>
    <w:rsid w:val="00EB72CB"/>
    <w:rsid w:val="00EC224F"/>
    <w:rsid w:val="00EC27C6"/>
    <w:rsid w:val="00EC4FC5"/>
    <w:rsid w:val="00EC5BE5"/>
    <w:rsid w:val="00ED1859"/>
    <w:rsid w:val="00ED1D1E"/>
    <w:rsid w:val="00ED1FD9"/>
    <w:rsid w:val="00ED65B7"/>
    <w:rsid w:val="00EE3A84"/>
    <w:rsid w:val="00F11B9B"/>
    <w:rsid w:val="00F12ACB"/>
    <w:rsid w:val="00F15DCB"/>
    <w:rsid w:val="00F16160"/>
    <w:rsid w:val="00F21861"/>
    <w:rsid w:val="00F22305"/>
    <w:rsid w:val="00F23733"/>
    <w:rsid w:val="00F36950"/>
    <w:rsid w:val="00F46F42"/>
    <w:rsid w:val="00F511B4"/>
    <w:rsid w:val="00F5257E"/>
    <w:rsid w:val="00F66E72"/>
    <w:rsid w:val="00F76136"/>
    <w:rsid w:val="00F80304"/>
    <w:rsid w:val="00F80BE0"/>
    <w:rsid w:val="00F80EC5"/>
    <w:rsid w:val="00F87C11"/>
    <w:rsid w:val="00F95250"/>
    <w:rsid w:val="00FA2D58"/>
    <w:rsid w:val="00FB4FFC"/>
    <w:rsid w:val="00FC0EC9"/>
    <w:rsid w:val="00FC671C"/>
    <w:rsid w:val="00FC7314"/>
    <w:rsid w:val="00FC7777"/>
    <w:rsid w:val="00FD3954"/>
    <w:rsid w:val="00FE5EAC"/>
    <w:rsid w:val="00FE6A73"/>
    <w:rsid w:val="00FF61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1F220CA"/>
  <w14:defaultImageDpi w14:val="32767"/>
  <w15:docId w15:val="{3DAA78D2-6F57-304A-AD30-4FEB36F3E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3529B5"/>
    <w:rPr>
      <w:sz w:val="20"/>
      <w:szCs w:val="20"/>
    </w:rPr>
  </w:style>
  <w:style w:type="paragraph" w:styleId="Titolo1">
    <w:name w:val="heading 1"/>
    <w:basedOn w:val="Normale"/>
    <w:next w:val="Normale"/>
    <w:link w:val="Titolo1Carattere"/>
    <w:uiPriority w:val="9"/>
    <w:qFormat/>
    <w:rsid w:val="003529B5"/>
    <w:pPr>
      <w:pBdr>
        <w:top w:val="single" w:sz="24" w:space="0" w:color="A32236" w:themeColor="accent1"/>
        <w:left w:val="single" w:sz="24" w:space="0" w:color="A32236" w:themeColor="accent1"/>
        <w:bottom w:val="single" w:sz="24" w:space="0" w:color="A32236" w:themeColor="accent1"/>
        <w:right w:val="single" w:sz="24" w:space="0" w:color="A32236" w:themeColor="accent1"/>
      </w:pBdr>
      <w:shd w:val="clear" w:color="auto" w:fill="A32236" w:themeFill="accent1"/>
      <w:spacing w:after="0"/>
      <w:outlineLvl w:val="0"/>
    </w:pPr>
    <w:rPr>
      <w:b/>
      <w:bCs/>
      <w:caps/>
      <w:color w:val="FFFFFF" w:themeColor="background1"/>
      <w:spacing w:val="15"/>
      <w:sz w:val="22"/>
      <w:szCs w:val="22"/>
    </w:rPr>
  </w:style>
  <w:style w:type="paragraph" w:styleId="Titolo2">
    <w:name w:val="heading 2"/>
    <w:basedOn w:val="Normale"/>
    <w:next w:val="Normale"/>
    <w:link w:val="Titolo2Carattere"/>
    <w:uiPriority w:val="9"/>
    <w:semiHidden/>
    <w:unhideWhenUsed/>
    <w:qFormat/>
    <w:rsid w:val="003529B5"/>
    <w:pPr>
      <w:pBdr>
        <w:top w:val="single" w:sz="24" w:space="0" w:color="F4CBD1" w:themeColor="accent1" w:themeTint="33"/>
        <w:left w:val="single" w:sz="24" w:space="0" w:color="F4CBD1" w:themeColor="accent1" w:themeTint="33"/>
        <w:bottom w:val="single" w:sz="24" w:space="0" w:color="F4CBD1" w:themeColor="accent1" w:themeTint="33"/>
        <w:right w:val="single" w:sz="24" w:space="0" w:color="F4CBD1" w:themeColor="accent1" w:themeTint="33"/>
      </w:pBdr>
      <w:shd w:val="clear" w:color="auto" w:fill="F4CBD1" w:themeFill="accent1" w:themeFillTint="33"/>
      <w:spacing w:after="0"/>
      <w:outlineLvl w:val="1"/>
    </w:pPr>
    <w:rPr>
      <w:caps/>
      <w:spacing w:val="15"/>
      <w:sz w:val="22"/>
      <w:szCs w:val="22"/>
    </w:rPr>
  </w:style>
  <w:style w:type="paragraph" w:styleId="Titolo3">
    <w:name w:val="heading 3"/>
    <w:basedOn w:val="Normale"/>
    <w:next w:val="Normale"/>
    <w:link w:val="Titolo3Carattere"/>
    <w:uiPriority w:val="9"/>
    <w:semiHidden/>
    <w:unhideWhenUsed/>
    <w:qFormat/>
    <w:rsid w:val="003529B5"/>
    <w:pPr>
      <w:pBdr>
        <w:top w:val="single" w:sz="6" w:space="2" w:color="A32236" w:themeColor="accent1"/>
        <w:left w:val="single" w:sz="6" w:space="2" w:color="A32236" w:themeColor="accent1"/>
      </w:pBdr>
      <w:spacing w:before="300" w:after="0"/>
      <w:outlineLvl w:val="2"/>
    </w:pPr>
    <w:rPr>
      <w:caps/>
      <w:color w:val="51111A" w:themeColor="accent1" w:themeShade="7F"/>
      <w:spacing w:val="15"/>
      <w:sz w:val="22"/>
      <w:szCs w:val="22"/>
    </w:rPr>
  </w:style>
  <w:style w:type="paragraph" w:styleId="Titolo4">
    <w:name w:val="heading 4"/>
    <w:basedOn w:val="Normale"/>
    <w:next w:val="Normale"/>
    <w:link w:val="Titolo4Carattere"/>
    <w:uiPriority w:val="9"/>
    <w:semiHidden/>
    <w:unhideWhenUsed/>
    <w:qFormat/>
    <w:rsid w:val="003529B5"/>
    <w:pPr>
      <w:pBdr>
        <w:top w:val="dotted" w:sz="6" w:space="2" w:color="A32236" w:themeColor="accent1"/>
        <w:left w:val="dotted" w:sz="6" w:space="2" w:color="A32236" w:themeColor="accent1"/>
      </w:pBdr>
      <w:spacing w:before="300" w:after="0"/>
      <w:outlineLvl w:val="3"/>
    </w:pPr>
    <w:rPr>
      <w:caps/>
      <w:color w:val="791928" w:themeColor="accent1" w:themeShade="BF"/>
      <w:spacing w:val="10"/>
      <w:sz w:val="22"/>
      <w:szCs w:val="22"/>
    </w:rPr>
  </w:style>
  <w:style w:type="paragraph" w:styleId="Titolo5">
    <w:name w:val="heading 5"/>
    <w:basedOn w:val="Normale"/>
    <w:next w:val="Normale"/>
    <w:link w:val="Titolo5Carattere"/>
    <w:uiPriority w:val="9"/>
    <w:semiHidden/>
    <w:unhideWhenUsed/>
    <w:qFormat/>
    <w:rsid w:val="003529B5"/>
    <w:pPr>
      <w:pBdr>
        <w:bottom w:val="single" w:sz="6" w:space="1" w:color="A32236" w:themeColor="accent1"/>
      </w:pBdr>
      <w:spacing w:before="300" w:after="0"/>
      <w:outlineLvl w:val="4"/>
    </w:pPr>
    <w:rPr>
      <w:caps/>
      <w:color w:val="791928" w:themeColor="accent1" w:themeShade="BF"/>
      <w:spacing w:val="10"/>
      <w:sz w:val="22"/>
      <w:szCs w:val="22"/>
    </w:rPr>
  </w:style>
  <w:style w:type="paragraph" w:styleId="Titolo6">
    <w:name w:val="heading 6"/>
    <w:basedOn w:val="Normale"/>
    <w:next w:val="Normale"/>
    <w:link w:val="Titolo6Carattere"/>
    <w:uiPriority w:val="9"/>
    <w:semiHidden/>
    <w:unhideWhenUsed/>
    <w:qFormat/>
    <w:rsid w:val="003529B5"/>
    <w:pPr>
      <w:pBdr>
        <w:bottom w:val="dotted" w:sz="6" w:space="1" w:color="A32236" w:themeColor="accent1"/>
      </w:pBdr>
      <w:spacing w:before="300" w:after="0"/>
      <w:outlineLvl w:val="5"/>
    </w:pPr>
    <w:rPr>
      <w:caps/>
      <w:color w:val="791928" w:themeColor="accent1" w:themeShade="BF"/>
      <w:spacing w:val="10"/>
      <w:sz w:val="22"/>
      <w:szCs w:val="22"/>
    </w:rPr>
  </w:style>
  <w:style w:type="paragraph" w:styleId="Titolo7">
    <w:name w:val="heading 7"/>
    <w:basedOn w:val="Normale"/>
    <w:next w:val="Normale"/>
    <w:link w:val="Titolo7Carattere"/>
    <w:uiPriority w:val="9"/>
    <w:semiHidden/>
    <w:unhideWhenUsed/>
    <w:qFormat/>
    <w:rsid w:val="003529B5"/>
    <w:pPr>
      <w:spacing w:before="300" w:after="0"/>
      <w:outlineLvl w:val="6"/>
    </w:pPr>
    <w:rPr>
      <w:caps/>
      <w:color w:val="791928" w:themeColor="accent1" w:themeShade="BF"/>
      <w:spacing w:val="10"/>
      <w:sz w:val="22"/>
      <w:szCs w:val="22"/>
    </w:rPr>
  </w:style>
  <w:style w:type="paragraph" w:styleId="Titolo8">
    <w:name w:val="heading 8"/>
    <w:basedOn w:val="Normale"/>
    <w:next w:val="Normale"/>
    <w:link w:val="Titolo8Carattere"/>
    <w:uiPriority w:val="9"/>
    <w:semiHidden/>
    <w:unhideWhenUsed/>
    <w:qFormat/>
    <w:rsid w:val="003529B5"/>
    <w:pPr>
      <w:spacing w:before="3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3529B5"/>
    <w:pPr>
      <w:spacing w:before="300" w:after="0"/>
      <w:outlineLvl w:val="8"/>
    </w:pPr>
    <w:rPr>
      <w:i/>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133DD"/>
    <w:pPr>
      <w:tabs>
        <w:tab w:val="center" w:pos="4819"/>
        <w:tab w:val="right" w:pos="9638"/>
      </w:tabs>
    </w:pPr>
  </w:style>
  <w:style w:type="character" w:customStyle="1" w:styleId="IntestazioneCarattere">
    <w:name w:val="Intestazione Carattere"/>
    <w:basedOn w:val="Carpredefinitoparagrafo"/>
    <w:link w:val="Intestazione"/>
    <w:uiPriority w:val="99"/>
    <w:rsid w:val="002133DD"/>
  </w:style>
  <w:style w:type="paragraph" w:styleId="Pidipagina">
    <w:name w:val="footer"/>
    <w:basedOn w:val="Normale"/>
    <w:link w:val="PidipaginaCarattere"/>
    <w:uiPriority w:val="99"/>
    <w:unhideWhenUsed/>
    <w:rsid w:val="002133DD"/>
    <w:pPr>
      <w:tabs>
        <w:tab w:val="center" w:pos="4819"/>
        <w:tab w:val="right" w:pos="9638"/>
      </w:tabs>
    </w:pPr>
  </w:style>
  <w:style w:type="character" w:customStyle="1" w:styleId="PidipaginaCarattere">
    <w:name w:val="Piè di pagina Carattere"/>
    <w:basedOn w:val="Carpredefinitoparagrafo"/>
    <w:link w:val="Pidipagina"/>
    <w:uiPriority w:val="99"/>
    <w:rsid w:val="002133DD"/>
  </w:style>
  <w:style w:type="paragraph" w:customStyle="1" w:styleId="p1">
    <w:name w:val="p1"/>
    <w:basedOn w:val="Normale"/>
    <w:rsid w:val="002133DD"/>
    <w:rPr>
      <w:rFonts w:ascii="Montserrat Light" w:hAnsi="Montserrat Light" w:cs="Times New Roman"/>
      <w:color w:val="B50014"/>
      <w:sz w:val="45"/>
      <w:szCs w:val="45"/>
      <w:lang w:eastAsia="it-IT"/>
    </w:rPr>
  </w:style>
  <w:style w:type="character" w:customStyle="1" w:styleId="s1">
    <w:name w:val="s1"/>
    <w:basedOn w:val="Carpredefinitoparagrafo"/>
    <w:rsid w:val="002133DD"/>
    <w:rPr>
      <w:rFonts w:ascii="Montserrat" w:hAnsi="Montserrat" w:hint="default"/>
      <w:sz w:val="45"/>
      <w:szCs w:val="45"/>
    </w:rPr>
  </w:style>
  <w:style w:type="character" w:customStyle="1" w:styleId="apple-converted-space">
    <w:name w:val="apple-converted-space"/>
    <w:basedOn w:val="Carpredefinitoparagrafo"/>
    <w:rsid w:val="002133DD"/>
  </w:style>
  <w:style w:type="character" w:customStyle="1" w:styleId="Titolo1Carattere">
    <w:name w:val="Titolo 1 Carattere"/>
    <w:basedOn w:val="Carpredefinitoparagrafo"/>
    <w:link w:val="Titolo1"/>
    <w:uiPriority w:val="9"/>
    <w:rsid w:val="003529B5"/>
    <w:rPr>
      <w:b/>
      <w:bCs/>
      <w:caps/>
      <w:color w:val="FFFFFF" w:themeColor="background1"/>
      <w:spacing w:val="15"/>
      <w:shd w:val="clear" w:color="auto" w:fill="A32236" w:themeFill="accent1"/>
    </w:rPr>
  </w:style>
  <w:style w:type="character" w:customStyle="1" w:styleId="Titolo2Carattere">
    <w:name w:val="Titolo 2 Carattere"/>
    <w:basedOn w:val="Carpredefinitoparagrafo"/>
    <w:link w:val="Titolo2"/>
    <w:uiPriority w:val="9"/>
    <w:semiHidden/>
    <w:rsid w:val="003529B5"/>
    <w:rPr>
      <w:caps/>
      <w:spacing w:val="15"/>
      <w:shd w:val="clear" w:color="auto" w:fill="F4CBD1" w:themeFill="accent1" w:themeFillTint="33"/>
    </w:rPr>
  </w:style>
  <w:style w:type="character" w:customStyle="1" w:styleId="Titolo3Carattere">
    <w:name w:val="Titolo 3 Carattere"/>
    <w:basedOn w:val="Carpredefinitoparagrafo"/>
    <w:link w:val="Titolo3"/>
    <w:uiPriority w:val="9"/>
    <w:semiHidden/>
    <w:rsid w:val="003529B5"/>
    <w:rPr>
      <w:caps/>
      <w:color w:val="51111A" w:themeColor="accent1" w:themeShade="7F"/>
      <w:spacing w:val="15"/>
    </w:rPr>
  </w:style>
  <w:style w:type="character" w:customStyle="1" w:styleId="Titolo4Carattere">
    <w:name w:val="Titolo 4 Carattere"/>
    <w:basedOn w:val="Carpredefinitoparagrafo"/>
    <w:link w:val="Titolo4"/>
    <w:uiPriority w:val="9"/>
    <w:semiHidden/>
    <w:rsid w:val="003529B5"/>
    <w:rPr>
      <w:caps/>
      <w:color w:val="791928" w:themeColor="accent1" w:themeShade="BF"/>
      <w:spacing w:val="10"/>
    </w:rPr>
  </w:style>
  <w:style w:type="character" w:customStyle="1" w:styleId="Titolo5Carattere">
    <w:name w:val="Titolo 5 Carattere"/>
    <w:basedOn w:val="Carpredefinitoparagrafo"/>
    <w:link w:val="Titolo5"/>
    <w:uiPriority w:val="9"/>
    <w:semiHidden/>
    <w:rsid w:val="003529B5"/>
    <w:rPr>
      <w:caps/>
      <w:color w:val="791928" w:themeColor="accent1" w:themeShade="BF"/>
      <w:spacing w:val="10"/>
    </w:rPr>
  </w:style>
  <w:style w:type="character" w:customStyle="1" w:styleId="Titolo6Carattere">
    <w:name w:val="Titolo 6 Carattere"/>
    <w:basedOn w:val="Carpredefinitoparagrafo"/>
    <w:link w:val="Titolo6"/>
    <w:uiPriority w:val="9"/>
    <w:semiHidden/>
    <w:rsid w:val="003529B5"/>
    <w:rPr>
      <w:caps/>
      <w:color w:val="791928" w:themeColor="accent1" w:themeShade="BF"/>
      <w:spacing w:val="10"/>
    </w:rPr>
  </w:style>
  <w:style w:type="character" w:customStyle="1" w:styleId="Titolo7Carattere">
    <w:name w:val="Titolo 7 Carattere"/>
    <w:basedOn w:val="Carpredefinitoparagrafo"/>
    <w:link w:val="Titolo7"/>
    <w:uiPriority w:val="9"/>
    <w:semiHidden/>
    <w:rsid w:val="003529B5"/>
    <w:rPr>
      <w:caps/>
      <w:color w:val="791928" w:themeColor="accent1" w:themeShade="BF"/>
      <w:spacing w:val="10"/>
    </w:rPr>
  </w:style>
  <w:style w:type="character" w:customStyle="1" w:styleId="Titolo8Carattere">
    <w:name w:val="Titolo 8 Carattere"/>
    <w:basedOn w:val="Carpredefinitoparagrafo"/>
    <w:link w:val="Titolo8"/>
    <w:uiPriority w:val="9"/>
    <w:semiHidden/>
    <w:rsid w:val="003529B5"/>
    <w:rPr>
      <w:caps/>
      <w:spacing w:val="10"/>
      <w:sz w:val="18"/>
      <w:szCs w:val="18"/>
    </w:rPr>
  </w:style>
  <w:style w:type="character" w:customStyle="1" w:styleId="Titolo9Carattere">
    <w:name w:val="Titolo 9 Carattere"/>
    <w:basedOn w:val="Carpredefinitoparagrafo"/>
    <w:link w:val="Titolo9"/>
    <w:uiPriority w:val="9"/>
    <w:semiHidden/>
    <w:rsid w:val="003529B5"/>
    <w:rPr>
      <w:i/>
      <w:caps/>
      <w:spacing w:val="10"/>
      <w:sz w:val="18"/>
      <w:szCs w:val="18"/>
    </w:rPr>
  </w:style>
  <w:style w:type="paragraph" w:styleId="Didascalia">
    <w:name w:val="caption"/>
    <w:basedOn w:val="Normale"/>
    <w:next w:val="Normale"/>
    <w:uiPriority w:val="35"/>
    <w:semiHidden/>
    <w:unhideWhenUsed/>
    <w:qFormat/>
    <w:rsid w:val="003529B5"/>
    <w:rPr>
      <w:b/>
      <w:bCs/>
      <w:color w:val="791928" w:themeColor="accent1" w:themeShade="BF"/>
      <w:sz w:val="16"/>
      <w:szCs w:val="16"/>
    </w:rPr>
  </w:style>
  <w:style w:type="paragraph" w:styleId="Titolo">
    <w:name w:val="Title"/>
    <w:basedOn w:val="Normale"/>
    <w:next w:val="Normale"/>
    <w:link w:val="TitoloCarattere"/>
    <w:uiPriority w:val="10"/>
    <w:qFormat/>
    <w:rsid w:val="003529B5"/>
    <w:pPr>
      <w:spacing w:before="720"/>
    </w:pPr>
    <w:rPr>
      <w:caps/>
      <w:color w:val="A32236" w:themeColor="accent1"/>
      <w:spacing w:val="10"/>
      <w:kern w:val="28"/>
      <w:sz w:val="52"/>
      <w:szCs w:val="52"/>
    </w:rPr>
  </w:style>
  <w:style w:type="character" w:customStyle="1" w:styleId="TitoloCarattere">
    <w:name w:val="Titolo Carattere"/>
    <w:basedOn w:val="Carpredefinitoparagrafo"/>
    <w:link w:val="Titolo"/>
    <w:uiPriority w:val="10"/>
    <w:rsid w:val="003529B5"/>
    <w:rPr>
      <w:caps/>
      <w:color w:val="A32236" w:themeColor="accent1"/>
      <w:spacing w:val="10"/>
      <w:kern w:val="28"/>
      <w:sz w:val="52"/>
      <w:szCs w:val="52"/>
    </w:rPr>
  </w:style>
  <w:style w:type="paragraph" w:styleId="Sottotitolo">
    <w:name w:val="Subtitle"/>
    <w:basedOn w:val="Normale"/>
    <w:next w:val="Normale"/>
    <w:link w:val="SottotitoloCarattere"/>
    <w:uiPriority w:val="11"/>
    <w:qFormat/>
    <w:rsid w:val="003529B5"/>
    <w:pPr>
      <w:spacing w:after="1000" w:line="240" w:lineRule="auto"/>
    </w:pPr>
    <w:rPr>
      <w:caps/>
      <w:color w:val="595959" w:themeColor="text1" w:themeTint="A6"/>
      <w:spacing w:val="10"/>
      <w:sz w:val="24"/>
      <w:szCs w:val="24"/>
    </w:rPr>
  </w:style>
  <w:style w:type="character" w:customStyle="1" w:styleId="SottotitoloCarattere">
    <w:name w:val="Sottotitolo Carattere"/>
    <w:basedOn w:val="Carpredefinitoparagrafo"/>
    <w:link w:val="Sottotitolo"/>
    <w:uiPriority w:val="11"/>
    <w:rsid w:val="003529B5"/>
    <w:rPr>
      <w:caps/>
      <w:color w:val="595959" w:themeColor="text1" w:themeTint="A6"/>
      <w:spacing w:val="10"/>
      <w:sz w:val="24"/>
      <w:szCs w:val="24"/>
    </w:rPr>
  </w:style>
  <w:style w:type="character" w:styleId="Enfasigrassetto">
    <w:name w:val="Strong"/>
    <w:uiPriority w:val="22"/>
    <w:qFormat/>
    <w:rsid w:val="003529B5"/>
    <w:rPr>
      <w:b/>
      <w:bCs/>
    </w:rPr>
  </w:style>
  <w:style w:type="character" w:styleId="Enfasicorsivo">
    <w:name w:val="Emphasis"/>
    <w:uiPriority w:val="20"/>
    <w:qFormat/>
    <w:rsid w:val="003529B5"/>
    <w:rPr>
      <w:caps/>
      <w:color w:val="51111A" w:themeColor="accent1" w:themeShade="7F"/>
      <w:spacing w:val="5"/>
    </w:rPr>
  </w:style>
  <w:style w:type="paragraph" w:styleId="Nessunaspaziatura">
    <w:name w:val="No Spacing"/>
    <w:basedOn w:val="Normale"/>
    <w:link w:val="NessunaspaziaturaCarattere"/>
    <w:uiPriority w:val="1"/>
    <w:qFormat/>
    <w:rsid w:val="003529B5"/>
    <w:pPr>
      <w:spacing w:before="0" w:after="0" w:line="240" w:lineRule="auto"/>
    </w:pPr>
  </w:style>
  <w:style w:type="character" w:customStyle="1" w:styleId="NessunaspaziaturaCarattere">
    <w:name w:val="Nessuna spaziatura Carattere"/>
    <w:basedOn w:val="Carpredefinitoparagrafo"/>
    <w:link w:val="Nessunaspaziatura"/>
    <w:uiPriority w:val="1"/>
    <w:rsid w:val="003529B5"/>
    <w:rPr>
      <w:sz w:val="20"/>
      <w:szCs w:val="20"/>
    </w:rPr>
  </w:style>
  <w:style w:type="paragraph" w:styleId="Paragrafoelenco">
    <w:name w:val="List Paragraph"/>
    <w:basedOn w:val="Normale"/>
    <w:uiPriority w:val="34"/>
    <w:qFormat/>
    <w:rsid w:val="003529B5"/>
    <w:pPr>
      <w:ind w:left="720"/>
      <w:contextualSpacing/>
    </w:pPr>
  </w:style>
  <w:style w:type="paragraph" w:styleId="Citazione">
    <w:name w:val="Quote"/>
    <w:basedOn w:val="Normale"/>
    <w:next w:val="Normale"/>
    <w:link w:val="CitazioneCarattere"/>
    <w:uiPriority w:val="29"/>
    <w:qFormat/>
    <w:rsid w:val="003529B5"/>
    <w:rPr>
      <w:i/>
      <w:iCs/>
    </w:rPr>
  </w:style>
  <w:style w:type="character" w:customStyle="1" w:styleId="CitazioneCarattere">
    <w:name w:val="Citazione Carattere"/>
    <w:basedOn w:val="Carpredefinitoparagrafo"/>
    <w:link w:val="Citazione"/>
    <w:uiPriority w:val="29"/>
    <w:rsid w:val="003529B5"/>
    <w:rPr>
      <w:i/>
      <w:iCs/>
      <w:sz w:val="20"/>
      <w:szCs w:val="20"/>
    </w:rPr>
  </w:style>
  <w:style w:type="paragraph" w:styleId="Citazioneintensa">
    <w:name w:val="Intense Quote"/>
    <w:basedOn w:val="Normale"/>
    <w:next w:val="Normale"/>
    <w:link w:val="CitazioneintensaCarattere"/>
    <w:uiPriority w:val="30"/>
    <w:qFormat/>
    <w:rsid w:val="003529B5"/>
    <w:pPr>
      <w:pBdr>
        <w:top w:val="single" w:sz="4" w:space="10" w:color="A32236" w:themeColor="accent1"/>
        <w:left w:val="single" w:sz="4" w:space="10" w:color="A32236" w:themeColor="accent1"/>
      </w:pBdr>
      <w:spacing w:after="0"/>
      <w:ind w:left="1296" w:right="1152"/>
      <w:jc w:val="both"/>
    </w:pPr>
    <w:rPr>
      <w:i/>
      <w:iCs/>
      <w:color w:val="A32236" w:themeColor="accent1"/>
    </w:rPr>
  </w:style>
  <w:style w:type="character" w:customStyle="1" w:styleId="CitazioneintensaCarattere">
    <w:name w:val="Citazione intensa Carattere"/>
    <w:basedOn w:val="Carpredefinitoparagrafo"/>
    <w:link w:val="Citazioneintensa"/>
    <w:uiPriority w:val="30"/>
    <w:rsid w:val="003529B5"/>
    <w:rPr>
      <w:i/>
      <w:iCs/>
      <w:color w:val="A32236" w:themeColor="accent1"/>
      <w:sz w:val="20"/>
      <w:szCs w:val="20"/>
    </w:rPr>
  </w:style>
  <w:style w:type="character" w:styleId="Enfasidelicata">
    <w:name w:val="Subtle Emphasis"/>
    <w:uiPriority w:val="19"/>
    <w:qFormat/>
    <w:rsid w:val="003529B5"/>
    <w:rPr>
      <w:i/>
      <w:iCs/>
      <w:color w:val="51111A" w:themeColor="accent1" w:themeShade="7F"/>
    </w:rPr>
  </w:style>
  <w:style w:type="character" w:styleId="Enfasiintensa">
    <w:name w:val="Intense Emphasis"/>
    <w:uiPriority w:val="21"/>
    <w:qFormat/>
    <w:rsid w:val="003529B5"/>
    <w:rPr>
      <w:b/>
      <w:bCs/>
      <w:caps/>
      <w:color w:val="51111A" w:themeColor="accent1" w:themeShade="7F"/>
      <w:spacing w:val="10"/>
    </w:rPr>
  </w:style>
  <w:style w:type="character" w:styleId="Riferimentodelicato">
    <w:name w:val="Subtle Reference"/>
    <w:uiPriority w:val="31"/>
    <w:qFormat/>
    <w:rsid w:val="003529B5"/>
    <w:rPr>
      <w:b/>
      <w:bCs/>
      <w:color w:val="A32236" w:themeColor="accent1"/>
    </w:rPr>
  </w:style>
  <w:style w:type="character" w:styleId="Riferimentointenso">
    <w:name w:val="Intense Reference"/>
    <w:uiPriority w:val="32"/>
    <w:qFormat/>
    <w:rsid w:val="003529B5"/>
    <w:rPr>
      <w:b/>
      <w:bCs/>
      <w:i/>
      <w:iCs/>
      <w:caps/>
      <w:color w:val="A32236" w:themeColor="accent1"/>
    </w:rPr>
  </w:style>
  <w:style w:type="character" w:styleId="Titolodellibro">
    <w:name w:val="Book Title"/>
    <w:uiPriority w:val="33"/>
    <w:qFormat/>
    <w:rsid w:val="003529B5"/>
    <w:rPr>
      <w:b/>
      <w:bCs/>
      <w:i/>
      <w:iCs/>
      <w:spacing w:val="9"/>
    </w:rPr>
  </w:style>
  <w:style w:type="paragraph" w:styleId="Titolosommario">
    <w:name w:val="TOC Heading"/>
    <w:basedOn w:val="Titolo1"/>
    <w:next w:val="Normale"/>
    <w:uiPriority w:val="39"/>
    <w:semiHidden/>
    <w:unhideWhenUsed/>
    <w:qFormat/>
    <w:rsid w:val="003529B5"/>
    <w:pPr>
      <w:outlineLvl w:val="9"/>
    </w:pPr>
  </w:style>
  <w:style w:type="paragraph" w:styleId="NormaleWeb">
    <w:name w:val="Normal (Web)"/>
    <w:basedOn w:val="Normale"/>
    <w:unhideWhenUsed/>
    <w:rsid w:val="00FC7777"/>
    <w:pPr>
      <w:spacing w:before="100" w:beforeAutospacing="1" w:after="100" w:afterAutospacing="1" w:line="240" w:lineRule="auto"/>
    </w:pPr>
    <w:rPr>
      <w:rFonts w:ascii="Times New Roman" w:hAnsi="Times New Roman" w:cs="Times New Roman"/>
      <w:sz w:val="24"/>
      <w:szCs w:val="24"/>
      <w:lang w:eastAsia="it-IT"/>
    </w:rPr>
  </w:style>
  <w:style w:type="paragraph" w:customStyle="1" w:styleId="p2">
    <w:name w:val="p2"/>
    <w:basedOn w:val="Normale"/>
    <w:rsid w:val="00CA185C"/>
    <w:pPr>
      <w:spacing w:before="0" w:after="0" w:line="240" w:lineRule="auto"/>
    </w:pPr>
    <w:rPr>
      <w:rFonts w:ascii="Helvetica" w:hAnsi="Helvetica" w:cs="Times New Roman"/>
      <w:color w:val="585757"/>
      <w:sz w:val="14"/>
      <w:szCs w:val="14"/>
      <w:lang w:eastAsia="it-IT"/>
    </w:rPr>
  </w:style>
  <w:style w:type="paragraph" w:styleId="Testofumetto">
    <w:name w:val="Balloon Text"/>
    <w:basedOn w:val="Normale"/>
    <w:link w:val="TestofumettoCarattere"/>
    <w:uiPriority w:val="99"/>
    <w:semiHidden/>
    <w:unhideWhenUsed/>
    <w:rsid w:val="00D60AA1"/>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60AA1"/>
    <w:rPr>
      <w:rFonts w:ascii="Tahoma" w:hAnsi="Tahoma" w:cs="Tahoma"/>
      <w:sz w:val="16"/>
      <w:szCs w:val="16"/>
    </w:rPr>
  </w:style>
  <w:style w:type="character" w:styleId="Collegamentoipertestuale">
    <w:name w:val="Hyperlink"/>
    <w:basedOn w:val="Carpredefinitoparagrafo"/>
    <w:uiPriority w:val="99"/>
    <w:unhideWhenUsed/>
    <w:rsid w:val="00665837"/>
    <w:rPr>
      <w:color w:val="0563C1" w:themeColor="hyperlink"/>
      <w:u w:val="single"/>
    </w:rPr>
  </w:style>
  <w:style w:type="character" w:customStyle="1" w:styleId="s2">
    <w:name w:val="s2"/>
    <w:basedOn w:val="Carpredefinitoparagrafo"/>
    <w:rsid w:val="00665837"/>
    <w:rPr>
      <w:rFonts w:ascii="Neo Sans Std" w:hAnsi="Neo Sans Std" w:hint="default"/>
      <w:color w:val="B10832"/>
      <w:sz w:val="14"/>
      <w:szCs w:val="14"/>
    </w:rPr>
  </w:style>
  <w:style w:type="paragraph" w:customStyle="1" w:styleId="Default">
    <w:name w:val="Default"/>
    <w:rsid w:val="00232E97"/>
    <w:pPr>
      <w:autoSpaceDE w:val="0"/>
      <w:autoSpaceDN w:val="0"/>
      <w:adjustRightInd w:val="0"/>
      <w:spacing w:before="0" w:after="0" w:line="240" w:lineRule="auto"/>
    </w:pPr>
    <w:rPr>
      <w:rFonts w:ascii="Verdana" w:eastAsiaTheme="minorHAnsi" w:hAnsi="Verdana" w:cs="Verdana"/>
      <w:color w:val="000000"/>
      <w:sz w:val="24"/>
      <w:szCs w:val="24"/>
    </w:rPr>
  </w:style>
  <w:style w:type="paragraph" w:customStyle="1" w:styleId="Corpodeltesto31">
    <w:name w:val="Corpo del testo 31"/>
    <w:basedOn w:val="Normale"/>
    <w:rsid w:val="0092773B"/>
    <w:pPr>
      <w:suppressAutoHyphens/>
      <w:spacing w:before="0" w:after="0" w:line="240" w:lineRule="auto"/>
    </w:pPr>
    <w:rPr>
      <w:rFonts w:ascii="Tahoma" w:eastAsia="Times New Roman" w:hAnsi="Tahoma" w:cs="Calibri"/>
      <w:sz w:val="22"/>
      <w:lang w:eastAsia="ar-SA"/>
    </w:rPr>
  </w:style>
  <w:style w:type="character" w:styleId="Rimandocommento">
    <w:name w:val="annotation reference"/>
    <w:basedOn w:val="Carpredefinitoparagrafo"/>
    <w:uiPriority w:val="99"/>
    <w:semiHidden/>
    <w:unhideWhenUsed/>
    <w:rsid w:val="007072F0"/>
    <w:rPr>
      <w:sz w:val="16"/>
      <w:szCs w:val="16"/>
    </w:rPr>
  </w:style>
  <w:style w:type="paragraph" w:styleId="Testocommento">
    <w:name w:val="annotation text"/>
    <w:basedOn w:val="Normale"/>
    <w:link w:val="TestocommentoCarattere"/>
    <w:uiPriority w:val="99"/>
    <w:semiHidden/>
    <w:unhideWhenUsed/>
    <w:rsid w:val="007072F0"/>
    <w:pPr>
      <w:spacing w:line="240" w:lineRule="auto"/>
    </w:pPr>
  </w:style>
  <w:style w:type="character" w:customStyle="1" w:styleId="TestocommentoCarattere">
    <w:name w:val="Testo commento Carattere"/>
    <w:basedOn w:val="Carpredefinitoparagrafo"/>
    <w:link w:val="Testocommento"/>
    <w:uiPriority w:val="99"/>
    <w:semiHidden/>
    <w:rsid w:val="007072F0"/>
    <w:rPr>
      <w:sz w:val="20"/>
      <w:szCs w:val="20"/>
    </w:rPr>
  </w:style>
  <w:style w:type="paragraph" w:styleId="Soggettocommento">
    <w:name w:val="annotation subject"/>
    <w:basedOn w:val="Testocommento"/>
    <w:next w:val="Testocommento"/>
    <w:link w:val="SoggettocommentoCarattere"/>
    <w:uiPriority w:val="99"/>
    <w:semiHidden/>
    <w:unhideWhenUsed/>
    <w:rsid w:val="007072F0"/>
    <w:rPr>
      <w:b/>
      <w:bCs/>
    </w:rPr>
  </w:style>
  <w:style w:type="character" w:customStyle="1" w:styleId="SoggettocommentoCarattere">
    <w:name w:val="Soggetto commento Carattere"/>
    <w:basedOn w:val="TestocommentoCarattere"/>
    <w:link w:val="Soggettocommento"/>
    <w:uiPriority w:val="99"/>
    <w:semiHidden/>
    <w:rsid w:val="007072F0"/>
    <w:rPr>
      <w:b/>
      <w:bCs/>
      <w:sz w:val="20"/>
      <w:szCs w:val="20"/>
    </w:rPr>
  </w:style>
  <w:style w:type="paragraph" w:customStyle="1" w:styleId="Paragrafobase">
    <w:name w:val="[Paragrafo base]"/>
    <w:basedOn w:val="Normale"/>
    <w:uiPriority w:val="99"/>
    <w:rsid w:val="00252D5B"/>
    <w:pPr>
      <w:widowControl w:val="0"/>
      <w:autoSpaceDE w:val="0"/>
      <w:autoSpaceDN w:val="0"/>
      <w:adjustRightInd w:val="0"/>
      <w:spacing w:before="0" w:after="0" w:line="288" w:lineRule="auto"/>
      <w:textAlignment w:val="center"/>
    </w:pPr>
    <w:rPr>
      <w:rFonts w:ascii="MinionPro-Regular" w:eastAsia="MS Mincho" w:hAnsi="MinionPro-Regular" w:cs="MinionPro-Regular"/>
      <w:color w:val="000000"/>
      <w:sz w:val="24"/>
      <w:szCs w:val="24"/>
    </w:rPr>
  </w:style>
  <w:style w:type="paragraph" w:styleId="Corpodeltesto3">
    <w:name w:val="Body Text 3"/>
    <w:link w:val="Corpodeltesto3Carattere"/>
    <w:uiPriority w:val="99"/>
    <w:unhideWhenUsed/>
    <w:rsid w:val="00252D5B"/>
    <w:pPr>
      <w:spacing w:before="0" w:after="180" w:line="300" w:lineRule="auto"/>
    </w:pPr>
    <w:rPr>
      <w:rFonts w:ascii="Gill Sans MT" w:eastAsia="Times New Roman" w:hAnsi="Gill Sans MT" w:cs="Times New Roman"/>
      <w:color w:val="000000"/>
      <w:kern w:val="28"/>
      <w:lang w:eastAsia="it-IT"/>
    </w:rPr>
  </w:style>
  <w:style w:type="character" w:customStyle="1" w:styleId="Corpodeltesto3Carattere">
    <w:name w:val="Corpo del testo 3 Carattere"/>
    <w:basedOn w:val="Carpredefinitoparagrafo"/>
    <w:link w:val="Corpodeltesto3"/>
    <w:uiPriority w:val="99"/>
    <w:rsid w:val="00252D5B"/>
    <w:rPr>
      <w:rFonts w:ascii="Gill Sans MT" w:eastAsia="Times New Roman" w:hAnsi="Gill Sans MT" w:cs="Times New Roman"/>
      <w:color w:val="000000"/>
      <w:kern w:val="28"/>
      <w:lang w:eastAsia="it-IT"/>
    </w:rPr>
  </w:style>
  <w:style w:type="paragraph" w:styleId="Revisione">
    <w:name w:val="Revision"/>
    <w:hidden/>
    <w:uiPriority w:val="99"/>
    <w:semiHidden/>
    <w:rsid w:val="001C3236"/>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77203">
      <w:bodyDiv w:val="1"/>
      <w:marLeft w:val="0"/>
      <w:marRight w:val="0"/>
      <w:marTop w:val="0"/>
      <w:marBottom w:val="0"/>
      <w:divBdr>
        <w:top w:val="none" w:sz="0" w:space="0" w:color="auto"/>
        <w:left w:val="none" w:sz="0" w:space="0" w:color="auto"/>
        <w:bottom w:val="none" w:sz="0" w:space="0" w:color="auto"/>
        <w:right w:val="none" w:sz="0" w:space="0" w:color="auto"/>
      </w:divBdr>
    </w:div>
    <w:div w:id="208424356">
      <w:bodyDiv w:val="1"/>
      <w:marLeft w:val="0"/>
      <w:marRight w:val="0"/>
      <w:marTop w:val="0"/>
      <w:marBottom w:val="0"/>
      <w:divBdr>
        <w:top w:val="none" w:sz="0" w:space="0" w:color="auto"/>
        <w:left w:val="none" w:sz="0" w:space="0" w:color="auto"/>
        <w:bottom w:val="none" w:sz="0" w:space="0" w:color="auto"/>
        <w:right w:val="none" w:sz="0" w:space="0" w:color="auto"/>
      </w:divBdr>
    </w:div>
    <w:div w:id="214775780">
      <w:bodyDiv w:val="1"/>
      <w:marLeft w:val="0"/>
      <w:marRight w:val="0"/>
      <w:marTop w:val="0"/>
      <w:marBottom w:val="0"/>
      <w:divBdr>
        <w:top w:val="none" w:sz="0" w:space="0" w:color="auto"/>
        <w:left w:val="none" w:sz="0" w:space="0" w:color="auto"/>
        <w:bottom w:val="none" w:sz="0" w:space="0" w:color="auto"/>
        <w:right w:val="none" w:sz="0" w:space="0" w:color="auto"/>
      </w:divBdr>
    </w:div>
    <w:div w:id="326640406">
      <w:bodyDiv w:val="1"/>
      <w:marLeft w:val="0"/>
      <w:marRight w:val="0"/>
      <w:marTop w:val="0"/>
      <w:marBottom w:val="0"/>
      <w:divBdr>
        <w:top w:val="none" w:sz="0" w:space="0" w:color="auto"/>
        <w:left w:val="none" w:sz="0" w:space="0" w:color="auto"/>
        <w:bottom w:val="none" w:sz="0" w:space="0" w:color="auto"/>
        <w:right w:val="none" w:sz="0" w:space="0" w:color="auto"/>
      </w:divBdr>
    </w:div>
    <w:div w:id="436606860">
      <w:bodyDiv w:val="1"/>
      <w:marLeft w:val="0"/>
      <w:marRight w:val="0"/>
      <w:marTop w:val="0"/>
      <w:marBottom w:val="0"/>
      <w:divBdr>
        <w:top w:val="none" w:sz="0" w:space="0" w:color="auto"/>
        <w:left w:val="none" w:sz="0" w:space="0" w:color="auto"/>
        <w:bottom w:val="none" w:sz="0" w:space="0" w:color="auto"/>
        <w:right w:val="none" w:sz="0" w:space="0" w:color="auto"/>
      </w:divBdr>
    </w:div>
    <w:div w:id="470246994">
      <w:bodyDiv w:val="1"/>
      <w:marLeft w:val="0"/>
      <w:marRight w:val="0"/>
      <w:marTop w:val="0"/>
      <w:marBottom w:val="0"/>
      <w:divBdr>
        <w:top w:val="none" w:sz="0" w:space="0" w:color="auto"/>
        <w:left w:val="none" w:sz="0" w:space="0" w:color="auto"/>
        <w:bottom w:val="none" w:sz="0" w:space="0" w:color="auto"/>
        <w:right w:val="none" w:sz="0" w:space="0" w:color="auto"/>
      </w:divBdr>
    </w:div>
    <w:div w:id="578440356">
      <w:bodyDiv w:val="1"/>
      <w:marLeft w:val="0"/>
      <w:marRight w:val="0"/>
      <w:marTop w:val="0"/>
      <w:marBottom w:val="0"/>
      <w:divBdr>
        <w:top w:val="none" w:sz="0" w:space="0" w:color="auto"/>
        <w:left w:val="none" w:sz="0" w:space="0" w:color="auto"/>
        <w:bottom w:val="none" w:sz="0" w:space="0" w:color="auto"/>
        <w:right w:val="none" w:sz="0" w:space="0" w:color="auto"/>
      </w:divBdr>
    </w:div>
    <w:div w:id="590822642">
      <w:bodyDiv w:val="1"/>
      <w:marLeft w:val="0"/>
      <w:marRight w:val="0"/>
      <w:marTop w:val="0"/>
      <w:marBottom w:val="0"/>
      <w:divBdr>
        <w:top w:val="none" w:sz="0" w:space="0" w:color="auto"/>
        <w:left w:val="none" w:sz="0" w:space="0" w:color="auto"/>
        <w:bottom w:val="none" w:sz="0" w:space="0" w:color="auto"/>
        <w:right w:val="none" w:sz="0" w:space="0" w:color="auto"/>
      </w:divBdr>
    </w:div>
    <w:div w:id="789281869">
      <w:bodyDiv w:val="1"/>
      <w:marLeft w:val="0"/>
      <w:marRight w:val="0"/>
      <w:marTop w:val="0"/>
      <w:marBottom w:val="0"/>
      <w:divBdr>
        <w:top w:val="none" w:sz="0" w:space="0" w:color="auto"/>
        <w:left w:val="none" w:sz="0" w:space="0" w:color="auto"/>
        <w:bottom w:val="none" w:sz="0" w:space="0" w:color="auto"/>
        <w:right w:val="none" w:sz="0" w:space="0" w:color="auto"/>
      </w:divBdr>
    </w:div>
    <w:div w:id="1173646250">
      <w:bodyDiv w:val="1"/>
      <w:marLeft w:val="0"/>
      <w:marRight w:val="0"/>
      <w:marTop w:val="0"/>
      <w:marBottom w:val="0"/>
      <w:divBdr>
        <w:top w:val="none" w:sz="0" w:space="0" w:color="auto"/>
        <w:left w:val="none" w:sz="0" w:space="0" w:color="auto"/>
        <w:bottom w:val="none" w:sz="0" w:space="0" w:color="auto"/>
        <w:right w:val="none" w:sz="0" w:space="0" w:color="auto"/>
      </w:divBdr>
    </w:div>
    <w:div w:id="1204902174">
      <w:bodyDiv w:val="1"/>
      <w:marLeft w:val="0"/>
      <w:marRight w:val="0"/>
      <w:marTop w:val="0"/>
      <w:marBottom w:val="0"/>
      <w:divBdr>
        <w:top w:val="none" w:sz="0" w:space="0" w:color="auto"/>
        <w:left w:val="none" w:sz="0" w:space="0" w:color="auto"/>
        <w:bottom w:val="none" w:sz="0" w:space="0" w:color="auto"/>
        <w:right w:val="none" w:sz="0" w:space="0" w:color="auto"/>
      </w:divBdr>
    </w:div>
    <w:div w:id="1238706132">
      <w:bodyDiv w:val="1"/>
      <w:marLeft w:val="0"/>
      <w:marRight w:val="0"/>
      <w:marTop w:val="0"/>
      <w:marBottom w:val="0"/>
      <w:divBdr>
        <w:top w:val="none" w:sz="0" w:space="0" w:color="auto"/>
        <w:left w:val="none" w:sz="0" w:space="0" w:color="auto"/>
        <w:bottom w:val="none" w:sz="0" w:space="0" w:color="auto"/>
        <w:right w:val="none" w:sz="0" w:space="0" w:color="auto"/>
      </w:divBdr>
    </w:div>
    <w:div w:id="1367491016">
      <w:bodyDiv w:val="1"/>
      <w:marLeft w:val="0"/>
      <w:marRight w:val="0"/>
      <w:marTop w:val="0"/>
      <w:marBottom w:val="0"/>
      <w:divBdr>
        <w:top w:val="none" w:sz="0" w:space="0" w:color="auto"/>
        <w:left w:val="none" w:sz="0" w:space="0" w:color="auto"/>
        <w:bottom w:val="none" w:sz="0" w:space="0" w:color="auto"/>
        <w:right w:val="none" w:sz="0" w:space="0" w:color="auto"/>
      </w:divBdr>
    </w:div>
    <w:div w:id="1376736249">
      <w:bodyDiv w:val="1"/>
      <w:marLeft w:val="0"/>
      <w:marRight w:val="0"/>
      <w:marTop w:val="0"/>
      <w:marBottom w:val="0"/>
      <w:divBdr>
        <w:top w:val="none" w:sz="0" w:space="0" w:color="auto"/>
        <w:left w:val="none" w:sz="0" w:space="0" w:color="auto"/>
        <w:bottom w:val="none" w:sz="0" w:space="0" w:color="auto"/>
        <w:right w:val="none" w:sz="0" w:space="0" w:color="auto"/>
      </w:divBdr>
    </w:div>
    <w:div w:id="1465538637">
      <w:bodyDiv w:val="1"/>
      <w:marLeft w:val="0"/>
      <w:marRight w:val="0"/>
      <w:marTop w:val="0"/>
      <w:marBottom w:val="0"/>
      <w:divBdr>
        <w:top w:val="none" w:sz="0" w:space="0" w:color="auto"/>
        <w:left w:val="none" w:sz="0" w:space="0" w:color="auto"/>
        <w:bottom w:val="none" w:sz="0" w:space="0" w:color="auto"/>
        <w:right w:val="none" w:sz="0" w:space="0" w:color="auto"/>
      </w:divBdr>
    </w:div>
    <w:div w:id="1533037371">
      <w:bodyDiv w:val="1"/>
      <w:marLeft w:val="0"/>
      <w:marRight w:val="0"/>
      <w:marTop w:val="0"/>
      <w:marBottom w:val="0"/>
      <w:divBdr>
        <w:top w:val="none" w:sz="0" w:space="0" w:color="auto"/>
        <w:left w:val="none" w:sz="0" w:space="0" w:color="auto"/>
        <w:bottom w:val="none" w:sz="0" w:space="0" w:color="auto"/>
        <w:right w:val="none" w:sz="0" w:space="0" w:color="auto"/>
      </w:divBdr>
    </w:div>
    <w:div w:id="1735158002">
      <w:bodyDiv w:val="1"/>
      <w:marLeft w:val="0"/>
      <w:marRight w:val="0"/>
      <w:marTop w:val="0"/>
      <w:marBottom w:val="0"/>
      <w:divBdr>
        <w:top w:val="none" w:sz="0" w:space="0" w:color="auto"/>
        <w:left w:val="none" w:sz="0" w:space="0" w:color="auto"/>
        <w:bottom w:val="none" w:sz="0" w:space="0" w:color="auto"/>
        <w:right w:val="none" w:sz="0" w:space="0" w:color="auto"/>
      </w:divBdr>
    </w:div>
    <w:div w:id="1823615270">
      <w:bodyDiv w:val="1"/>
      <w:marLeft w:val="0"/>
      <w:marRight w:val="0"/>
      <w:marTop w:val="0"/>
      <w:marBottom w:val="0"/>
      <w:divBdr>
        <w:top w:val="none" w:sz="0" w:space="0" w:color="auto"/>
        <w:left w:val="none" w:sz="0" w:space="0" w:color="auto"/>
        <w:bottom w:val="none" w:sz="0" w:space="0" w:color="auto"/>
        <w:right w:val="none" w:sz="0" w:space="0" w:color="auto"/>
      </w:divBdr>
    </w:div>
    <w:div w:id="2030907761">
      <w:bodyDiv w:val="1"/>
      <w:marLeft w:val="0"/>
      <w:marRight w:val="0"/>
      <w:marTop w:val="0"/>
      <w:marBottom w:val="0"/>
      <w:divBdr>
        <w:top w:val="none" w:sz="0" w:space="0" w:color="auto"/>
        <w:left w:val="none" w:sz="0" w:space="0" w:color="auto"/>
        <w:bottom w:val="none" w:sz="0" w:space="0" w:color="auto"/>
        <w:right w:val="none" w:sz="0" w:space="0" w:color="auto"/>
      </w:divBdr>
    </w:div>
    <w:div w:id="2071922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brambilla@secrp.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mailto:bon@secnewgate.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i Office">
  <a:themeElements>
    <a:clrScheme name="Gabetti ok">
      <a:dk1>
        <a:srgbClr val="000000"/>
      </a:dk1>
      <a:lt1>
        <a:srgbClr val="FFFFFF"/>
      </a:lt1>
      <a:dk2>
        <a:srgbClr val="44546A"/>
      </a:dk2>
      <a:lt2>
        <a:srgbClr val="E7E6E6"/>
      </a:lt2>
      <a:accent1>
        <a:srgbClr val="A32236"/>
      </a:accent1>
      <a:accent2>
        <a:srgbClr val="A4A4A4"/>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6A97289-800B-4D14-B286-EE806A136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10</Pages>
  <Words>1444</Words>
  <Characters>8234</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Gabetti</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Donegana</dc:creator>
  <cp:lastModifiedBy>Irene Vegetti - Gabetti Property Solutions</cp:lastModifiedBy>
  <cp:revision>125</cp:revision>
  <cp:lastPrinted>2020-09-10T10:53:00Z</cp:lastPrinted>
  <dcterms:created xsi:type="dcterms:W3CDTF">2020-11-05T15:25:00Z</dcterms:created>
  <dcterms:modified xsi:type="dcterms:W3CDTF">2023-06-06T10:17:00Z</dcterms:modified>
</cp:coreProperties>
</file>