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DE" w:rsidRDefault="00614CDE" w:rsidP="00614CDE">
      <w:pPr>
        <w:spacing w:after="0" w:line="240" w:lineRule="auto"/>
        <w:contextualSpacing/>
        <w:jc w:val="both"/>
      </w:pPr>
      <w:r>
        <w:t>1.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Introduzione</w:t>
      </w:r>
    </w:p>
    <w:p w:rsidR="00953E71" w:rsidRDefault="00614CDE" w:rsidP="00614CDE">
      <w:pPr>
        <w:spacing w:after="0" w:line="240" w:lineRule="auto"/>
        <w:contextualSpacing/>
        <w:jc w:val="both"/>
      </w:pPr>
      <w:r>
        <w:t xml:space="preserve">S. </w:t>
      </w:r>
      <w:proofErr w:type="spellStart"/>
      <w:r>
        <w:t>Cacace</w:t>
      </w:r>
      <w:proofErr w:type="spellEnd"/>
      <w:r>
        <w:t xml:space="preserve">, L. </w:t>
      </w:r>
      <w:proofErr w:type="spellStart"/>
      <w:r>
        <w:t>Lucaroni</w:t>
      </w:r>
      <w:proofErr w:type="spellEnd"/>
      <w:r>
        <w:t xml:space="preserve">, E. </w:t>
      </w:r>
      <w:proofErr w:type="spellStart"/>
      <w:r>
        <w:t>Pauletti</w:t>
      </w:r>
      <w:proofErr w:type="spellEnd"/>
      <w:r>
        <w:t>, P. Serva</w:t>
      </w:r>
    </w:p>
    <w:p w:rsidR="00B03099" w:rsidRDefault="00B03099" w:rsidP="00614CDE">
      <w:pPr>
        <w:spacing w:after="0" w:line="240" w:lineRule="auto"/>
        <w:contextualSpacing/>
        <w:jc w:val="both"/>
      </w:pPr>
    </w:p>
    <w:p w:rsidR="00614CDE" w:rsidRDefault="00614CDE" w:rsidP="00614CDE">
      <w:pPr>
        <w:spacing w:after="0" w:line="240" w:lineRule="auto"/>
        <w:contextualSpacing/>
        <w:jc w:val="both"/>
      </w:pPr>
      <w:r>
        <w:t>1.1. Contenuto del libro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Obiettivo di questa pubblicazione è l'evidenziazione dei profili più rilevanti</w:t>
      </w:r>
      <w:r>
        <w:t xml:space="preserve"> </w:t>
      </w:r>
      <w:r>
        <w:t>dell'investimento immobiliare nel nostro paese, nei suoi aspetti principali</w:t>
      </w:r>
      <w:r>
        <w:t xml:space="preserve"> </w:t>
      </w:r>
      <w:r>
        <w:t>dell'individuazione delle modalità di tra</w:t>
      </w:r>
      <w:r>
        <w:t>sferimento delle proprietà immo</w:t>
      </w:r>
      <w:r>
        <w:t>biliari e della scelta degli strumenti di investimento e di finanziamento di</w:t>
      </w:r>
      <w:r>
        <w:t xml:space="preserve"> </w:t>
      </w:r>
      <w:r>
        <w:t>volta in volta ritenuti appropriati. Queste scelte dipendono da diversi fattori,</w:t>
      </w:r>
      <w:r>
        <w:t xml:space="preserve"> </w:t>
      </w:r>
      <w:r>
        <w:t>principalmente di natura legale e fiscale, in g</w:t>
      </w:r>
      <w:r>
        <w:t>rado di influenzare anche signi</w:t>
      </w:r>
      <w:r>
        <w:t>ficativamente i risultati economici finali dell'investimento. Il focus, pertanto,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è stato concentrato principalmente sui suddetti profili, pur non trascurando</w:t>
      </w:r>
      <w:r>
        <w:t xml:space="preserve"> </w:t>
      </w:r>
      <w:r>
        <w:t>di esaminare alcuni temi di natura prettamente finanziaria (la scelta del</w:t>
      </w:r>
      <w:r>
        <w:t xml:space="preserve"> rap</w:t>
      </w:r>
      <w:r>
        <w:t>porto ottimale tra mezzi propri e mezzi di terzi per il finanziamento delle</w:t>
      </w:r>
      <w:r>
        <w:t xml:space="preserve"> </w:t>
      </w:r>
      <w:r>
        <w:t>operazioni immobiliari, le decisioni di copertura del rischio di oscillazione</w:t>
      </w:r>
      <w:r>
        <w:t xml:space="preserve"> </w:t>
      </w:r>
      <w:r>
        <w:t>del tasso di interesse) che sono cruciali per la definizione del profilo in modo</w:t>
      </w:r>
      <w:r>
        <w:t xml:space="preserve"> </w:t>
      </w:r>
      <w:r>
        <w:t>ampio di rischio-rendimento dell'investimento immobiliare.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In particolare nella Parte I della pubblicazione, oltre ad un aggiornamen</w:t>
      </w:r>
      <w:r>
        <w:t>to sull’</w:t>
      </w:r>
      <w:r>
        <w:t>andamento degli investimenti immobiliari in Europa ed in Italia nel</w:t>
      </w:r>
      <w:r>
        <w:t xml:space="preserve"> </w:t>
      </w:r>
      <w:r>
        <w:t>2021, vengono analizzati i profili fiscali legati alle modalità di trasferimento</w:t>
      </w:r>
      <w:r>
        <w:t xml:space="preserve"> </w:t>
      </w:r>
      <w:r>
        <w:t xml:space="preserve">degli immobili, quelli operativi relativi alla due </w:t>
      </w:r>
      <w:proofErr w:type="spellStart"/>
      <w:r>
        <w:t>diligence</w:t>
      </w:r>
      <w:proofErr w:type="spellEnd"/>
      <w:r>
        <w:t xml:space="preserve"> immobiliar</w:t>
      </w:r>
      <w:r>
        <w:t>e</w:t>
      </w:r>
      <w:r>
        <w:t xml:space="preserve"> e viene affrontato il tema delle valutazioni immobiliari, molto rilevante nella fase</w:t>
      </w:r>
      <w:r>
        <w:t xml:space="preserve"> </w:t>
      </w:r>
      <w:r>
        <w:t>di acquisizione ma anche in quelle successive di gestione, valorizzazione e</w:t>
      </w:r>
      <w:r>
        <w:t xml:space="preserve"> </w:t>
      </w:r>
      <w:r>
        <w:t>dismissione.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 xml:space="preserve">Nella Parte II trova posto l'analisi, sotto il profilo tributario, dei diversi strumenti di investimento utilizzati per lo svolgimento </w:t>
      </w:r>
      <w:r>
        <w:t>“</w:t>
      </w:r>
      <w:r>
        <w:t>professionale</w:t>
      </w:r>
      <w:r>
        <w:t xml:space="preserve">” </w:t>
      </w:r>
      <w:r>
        <w:t>(quello, cioè, che non è svolto al solo scopo di detenzione e valorizzazione di</w:t>
      </w:r>
      <w:r>
        <w:t xml:space="preserve"> </w:t>
      </w:r>
      <w:r>
        <w:t>patrimoni immobiliari personali o familiari delle persone fisiche) dell'attivit</w:t>
      </w:r>
      <w:r>
        <w:t>à</w:t>
      </w:r>
      <w:r>
        <w:t xml:space="preserve"> immobiliare, per mettere in luce punti di forza e profili di debolezza dei</w:t>
      </w:r>
      <w:r>
        <w:t xml:space="preserve"> </w:t>
      </w:r>
      <w:r>
        <w:t xml:space="preserve">diversi strumenti (società commerciali </w:t>
      </w:r>
      <w:r>
        <w:t>“</w:t>
      </w:r>
      <w:r>
        <w:t>ordinarie</w:t>
      </w:r>
      <w:r>
        <w:t>”</w:t>
      </w:r>
      <w:r>
        <w:t>, investitori individuali e</w:t>
      </w:r>
      <w:r>
        <w:t xml:space="preserve"> </w:t>
      </w:r>
      <w:r>
        <w:t xml:space="preserve">società di persone, </w:t>
      </w:r>
      <w:r>
        <w:t>“</w:t>
      </w:r>
      <w:r>
        <w:t>società di investimento immobiliari quotate</w:t>
      </w:r>
      <w:r>
        <w:t>”</w:t>
      </w:r>
      <w:r>
        <w:t xml:space="preserve"> SIIQ </w:t>
      </w:r>
      <w:r>
        <w:t>–</w:t>
      </w:r>
      <w:r>
        <w:t xml:space="preserve"> o</w:t>
      </w:r>
      <w:r>
        <w:t xml:space="preserve"> </w:t>
      </w:r>
      <w:r>
        <w:t>non quotate - SIINQ -, fondi di investimento immobiliari e SICAF) che</w:t>
      </w:r>
      <w:r>
        <w:t xml:space="preserve"> </w:t>
      </w:r>
      <w:r>
        <w:t>l'attuale ordinamento pone a disposizione degli operatori per lo svolgimento</w:t>
      </w:r>
      <w:r>
        <w:t xml:space="preserve"> </w:t>
      </w:r>
      <w:r>
        <w:t xml:space="preserve">di tale attività. Specifiche sezioni </w:t>
      </w:r>
      <w:r>
        <w:t>sono state inoltre dedicate all’</w:t>
      </w:r>
      <w:r>
        <w:t>investimento</w:t>
      </w:r>
      <w:r>
        <w:t xml:space="preserve"> </w:t>
      </w:r>
      <w:r>
        <w:t>in immobili residenziali, a ragione della peculiarità tipiche di questo tipo di</w:t>
      </w:r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class</w:t>
      </w:r>
      <w:proofErr w:type="spellEnd"/>
      <w:r>
        <w:t>, alla fiscalità indiretta di alcune forme particolari di godimento</w:t>
      </w:r>
      <w:r>
        <w:t xml:space="preserve"> </w:t>
      </w:r>
      <w:r>
        <w:t>degli immobili ed al tema degli incentivi statali all'edilizia che hanno assunto negli ultimi anni un importanza sempre maggiore, anche alla luce delle</w:t>
      </w:r>
      <w:r>
        <w:t xml:space="preserve"> </w:t>
      </w:r>
      <w:r>
        <w:t>necessità di ammodernamento in senso sostenibile del patrimonio immobiliare nazionale.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La Parte III è infine dedicata alla descrizione dei principali strumenti di</w:t>
      </w:r>
      <w:r>
        <w:t xml:space="preserve"> </w:t>
      </w:r>
      <w:r>
        <w:t>finanziamento dell'investimento immobiliare, fornendo una panoramica</w:t>
      </w:r>
    </w:p>
    <w:p w:rsidR="00614CDE" w:rsidRDefault="00614CDE" w:rsidP="00614CDE">
      <w:pPr>
        <w:spacing w:after="0" w:line="240" w:lineRule="auto"/>
        <w:contextualSpacing/>
        <w:jc w:val="both"/>
      </w:pPr>
      <w:r>
        <w:t>delle diverse strutture contrattuali a disposizione dell'investitore immob</w:t>
      </w:r>
      <w:r>
        <w:t>iliare</w:t>
      </w:r>
      <w:r>
        <w:t xml:space="preserve"> e delle problematiche tributarie collegato con uno specifico approfondimento del trattamento fiscale delle operazioni di </w:t>
      </w:r>
      <w:proofErr w:type="spellStart"/>
      <w:r>
        <w:t>Leverage</w:t>
      </w:r>
      <w:proofErr w:type="spellEnd"/>
      <w:r>
        <w:t xml:space="preserve"> Buy-out applicate</w:t>
      </w:r>
      <w:r>
        <w:t xml:space="preserve"> </w:t>
      </w:r>
      <w:r>
        <w:t>al settore immobiliare. Un capitolo specifico è stato dedicato ai profili fiscali</w:t>
      </w:r>
      <w:r>
        <w:t xml:space="preserve"> </w:t>
      </w:r>
      <w:r>
        <w:t xml:space="preserve">delle società </w:t>
      </w:r>
      <w:r>
        <w:t>“</w:t>
      </w:r>
      <w:r>
        <w:t>immobiliari</w:t>
      </w:r>
      <w:r>
        <w:t>”</w:t>
      </w:r>
      <w:r>
        <w:t xml:space="preserve"> costituite ai sensi della Legge n. 130/1999 nel</w:t>
      </w:r>
      <w:r>
        <w:t xml:space="preserve"> </w:t>
      </w:r>
      <w:r>
        <w:t>contesto di operazioni di cartolarizzazione, in ragione delle importanti novit</w:t>
      </w:r>
      <w:r>
        <w:t>à</w:t>
      </w:r>
      <w:r>
        <w:t xml:space="preserve"> introdotte recentemente dal legislatore. Uno spazio importante è stato</w:t>
      </w:r>
    </w:p>
    <w:p w:rsidR="00B03099" w:rsidRDefault="00614CDE" w:rsidP="00614CDE">
      <w:pPr>
        <w:spacing w:after="0" w:line="240" w:lineRule="auto"/>
        <w:contextualSpacing/>
        <w:jc w:val="both"/>
      </w:pPr>
      <w:r>
        <w:t>infine dedicato alle operazioni di copertura del rischio di tasso di interesse,</w:t>
      </w:r>
      <w:r>
        <w:t xml:space="preserve"> </w:t>
      </w:r>
      <w:r>
        <w:t>elemento in grado di influenzare</w:t>
      </w:r>
      <w:r>
        <w:t xml:space="preserve"> sensibilmente i risultati dell’</w:t>
      </w:r>
      <w:r>
        <w:t>investimento</w:t>
      </w:r>
      <w:r>
        <w:t xml:space="preserve"> </w:t>
      </w:r>
      <w:r>
        <w:t>immobiliare, e ai suoi riflessi di tipo fiscale che risultano strettamente collegati alle modalità di contabilizzazione adottate.</w:t>
      </w:r>
    </w:p>
    <w:p w:rsidR="00B03099" w:rsidRDefault="00B03099" w:rsidP="00614CDE">
      <w:pPr>
        <w:spacing w:after="0" w:line="240" w:lineRule="auto"/>
        <w:contextualSpacing/>
        <w:jc w:val="both"/>
      </w:pPr>
    </w:p>
    <w:p w:rsidR="00B03099" w:rsidRDefault="00B03099" w:rsidP="00614CDE">
      <w:pPr>
        <w:spacing w:after="0" w:line="240" w:lineRule="auto"/>
        <w:contextualSpacing/>
        <w:jc w:val="both"/>
      </w:pPr>
    </w:p>
    <w:sectPr w:rsidR="00B03099" w:rsidSect="00BC1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4CDE"/>
    <w:rsid w:val="002E6523"/>
    <w:rsid w:val="005E5C23"/>
    <w:rsid w:val="00614CDE"/>
    <w:rsid w:val="006A29B5"/>
    <w:rsid w:val="00A118D3"/>
    <w:rsid w:val="00AE5405"/>
    <w:rsid w:val="00B03099"/>
    <w:rsid w:val="00BC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Vallini</dc:creator>
  <cp:lastModifiedBy>Roberto Vallini</cp:lastModifiedBy>
  <cp:revision>1</cp:revision>
  <dcterms:created xsi:type="dcterms:W3CDTF">2023-07-19T08:03:00Z</dcterms:created>
  <dcterms:modified xsi:type="dcterms:W3CDTF">2023-07-19T08:09:00Z</dcterms:modified>
</cp:coreProperties>
</file>