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276" w:before="0" w:after="0"/>
        <w:jc w:val="center"/>
        <w:rPr>
          <w:rFonts w:ascii="Times New Roman" w:hAnsi="Times New Roman" w:eastAsia="Times New Roman" w:cs="Times New Roman"/>
          <w:color w:val="000000"/>
          <w:kern w:val="0"/>
          <w:sz w:val="36"/>
          <w:szCs w:val="36"/>
          <w:lang w:eastAsia="it-IT"/>
          <w14:ligatures w14:val="none"/>
        </w:rPr>
      </w:pPr>
      <w:r>
        <w:rPr>
          <w:rFonts w:eastAsia="Times New Roman" w:cs="Calibri"/>
          <w:b/>
          <w:bCs/>
          <w:color w:val="000000"/>
          <w:kern w:val="0"/>
          <w:sz w:val="36"/>
          <w:szCs w:val="36"/>
          <w:lang w:eastAsia="it-IT"/>
          <w14:ligatures w14:val="none"/>
        </w:rPr>
        <w:t>Immobili turistici: FIMAA-NOMISMA, mercato in buona salute nel 2023 crescono compravendite e affitti</w:t>
      </w:r>
    </w:p>
    <w:p>
      <w:pPr>
        <w:pStyle w:val="Normal"/>
        <w:spacing w:lineRule="atLeast" w:line="276" w:before="0" w:after="0"/>
        <w:jc w:val="both"/>
        <w:rPr>
          <w:rFonts w:eastAsia="Times New Roman" w:cs="Calibri"/>
          <w:b/>
          <w:b/>
          <w:bCs/>
          <w:i/>
          <w:i/>
          <w:iCs/>
          <w:color w:val="000000"/>
          <w:kern w:val="0"/>
          <w:sz w:val="24"/>
          <w:szCs w:val="24"/>
          <w:lang w:eastAsia="it-IT"/>
          <w14:ligatures w14:val="none"/>
        </w:rPr>
      </w:pPr>
      <w:r>
        <w:rPr>
          <w:rFonts w:eastAsia="Times New Roman" w:cs="Calibri"/>
          <w:b/>
          <w:bCs/>
          <w:i/>
          <w:iCs/>
          <w:color w:val="000000"/>
          <w:kern w:val="0"/>
          <w:sz w:val="24"/>
          <w:szCs w:val="24"/>
          <w:lang w:eastAsia="it-IT"/>
          <w14:ligatures w14:val="none"/>
        </w:rPr>
      </w:r>
    </w:p>
    <w:p>
      <w:pPr>
        <w:pStyle w:val="Normal"/>
        <w:spacing w:lineRule="atLeast" w:line="276" w:before="0" w:after="0"/>
        <w:jc w:val="center"/>
        <w:rPr>
          <w:rFonts w:ascii="Times New Roman" w:hAnsi="Times New Roman" w:eastAsia="Times New Roman" w:cs="Times New Roman"/>
          <w:color w:val="000000"/>
          <w:kern w:val="0"/>
          <w:sz w:val="24"/>
          <w:szCs w:val="24"/>
          <w:lang w:eastAsia="it-IT"/>
          <w14:ligatures w14:val="none"/>
        </w:rPr>
      </w:pPr>
      <w:r>
        <w:rPr>
          <w:rFonts w:eastAsia="Times New Roman" w:cs="Calibri"/>
          <w:b/>
          <w:bCs/>
          <w:i/>
          <w:iCs/>
          <w:color w:val="000000"/>
          <w:kern w:val="0"/>
          <w:sz w:val="24"/>
          <w:szCs w:val="24"/>
          <w:lang w:eastAsia="it-IT"/>
          <w14:ligatures w14:val="none"/>
        </w:rPr>
        <w:t>Taverna: la crescita del comparto continua nonostante l'aumento dei tassi e la ridotta capacità di spesa delle famiglie</w:t>
      </w:r>
    </w:p>
    <w:p>
      <w:pPr>
        <w:pStyle w:val="Normal"/>
        <w:spacing w:lineRule="auto" w:line="240" w:before="0" w:after="0"/>
        <w:jc w:val="both"/>
        <w:rPr>
          <w:rFonts w:ascii="Calibri Light" w:hAnsi="Calibri Light" w:eastAsia="Times New Roman" w:cs="Calibri Light"/>
          <w:color w:val="000000"/>
          <w:kern w:val="0"/>
          <w:sz w:val="21"/>
          <w:szCs w:val="21"/>
          <w:lang w:eastAsia="it-IT"/>
          <w14:ligatures w14:val="none"/>
        </w:rPr>
      </w:pPr>
      <w:r>
        <w:rPr>
          <w:rFonts w:eastAsia="Times New Roman" w:cs="Calibri Light" w:ascii="Calibri Light" w:hAnsi="Calibri Light"/>
          <w:color w:val="000000"/>
          <w:kern w:val="0"/>
          <w:sz w:val="21"/>
          <w:szCs w:val="21"/>
          <w:lang w:eastAsia="it-IT"/>
          <w14:ligatures w14:val="none"/>
        </w:rPr>
      </w:r>
    </w:p>
    <w:p>
      <w:pPr>
        <w:pStyle w:val="Normal"/>
        <w:spacing w:lineRule="auto" w:line="240" w:before="0" w:after="0"/>
        <w:jc w:val="both"/>
        <w:rPr/>
      </w:pPr>
      <w:r>
        <w:rPr>
          <w:rFonts w:eastAsia="Times New Roman" w:cs="Calibri Light" w:ascii="Calibri Light" w:hAnsi="Calibri Light"/>
          <w:color w:val="000000"/>
          <w:kern w:val="0"/>
          <w:sz w:val="20"/>
          <w:szCs w:val="20"/>
          <w:lang w:eastAsia="it-IT"/>
          <w14:ligatures w14:val="none"/>
        </w:rPr>
        <w:t xml:space="preserve">Roma, 11 Gennaio 2024 - Continua a crescere il mercato degli immobili ad uso turistico. Nel 2023 il trend dei prezzi delle compravendite e delle locazioni è ancora marcatamente positivo, con un andamento delle compravendite di seconde case, tuttora in ascesa rispetto al tradizionale mercato delle abitazioni. È quanto emerge dal report dell’Osservatorio Nazionale Immobiliare Turistico 2023 di FIMAA-Confcommercio (Federazione Italiana Mediatori Agenti d’Affari, aderente a Confcommercio-Imprese per l’Italia) condotto in collaborazione con NOMISMA, analizzando le dinamiche del mercato immobiliare di 126 località di mare e 59 di montagna e laghi. </w:t>
      </w:r>
    </w:p>
    <w:p>
      <w:pPr>
        <w:pStyle w:val="Normal"/>
        <w:spacing w:lineRule="auto" w:line="240" w:before="0" w:after="0"/>
        <w:jc w:val="both"/>
        <w:rPr>
          <w:rFonts w:ascii="Calibri Light" w:hAnsi="Calibri Light" w:eastAsia="Times New Roman" w:cs="Calibri Light"/>
          <w:color w:val="000000"/>
          <w:kern w:val="0"/>
          <w:sz w:val="20"/>
          <w:szCs w:val="20"/>
          <w:lang w:eastAsia="it-IT"/>
          <w14:ligatures w14:val="none"/>
        </w:rPr>
      </w:pPr>
      <w:r>
        <w:rPr>
          <w:rFonts w:eastAsia="Times New Roman" w:cs="Calibri Light" w:ascii="Calibri Light" w:hAnsi="Calibri Light"/>
          <w:color w:val="000000"/>
          <w:kern w:val="0"/>
          <w:sz w:val="20"/>
          <w:szCs w:val="20"/>
          <w:lang w:eastAsia="it-IT"/>
          <w14:ligatures w14:val="none"/>
        </w:rPr>
      </w:r>
    </w:p>
    <w:p>
      <w:pPr>
        <w:pStyle w:val="Normal"/>
        <w:spacing w:lineRule="auto" w:line="240" w:before="0" w:after="0"/>
        <w:jc w:val="both"/>
        <w:rPr>
          <w:rFonts w:ascii="Calibri Light" w:hAnsi="Calibri Light"/>
          <w:sz w:val="20"/>
          <w:szCs w:val="20"/>
        </w:rPr>
      </w:pPr>
      <w:r>
        <w:rPr>
          <w:rFonts w:eastAsia="Times New Roman" w:cs="Calibri Light" w:ascii="Calibri Light" w:hAnsi="Calibri Light"/>
          <w:color w:val="000000"/>
          <w:kern w:val="0"/>
          <w:sz w:val="20"/>
          <w:szCs w:val="20"/>
          <w:lang w:eastAsia="it-IT"/>
          <w14:ligatures w14:val="none"/>
        </w:rPr>
        <w:t xml:space="preserve">Il trend delle abitazioni turistiche si sta dimostrando più consistente di quello delle normali abitazioni. </w:t>
      </w:r>
      <w:r>
        <w:rPr>
          <w:rFonts w:eastAsia="Times New Roman" w:cs="Calibri Light" w:ascii="Calibri Light" w:hAnsi="Calibri Light"/>
          <w:color w:val="000000"/>
          <w:spacing w:val="-2"/>
          <w:kern w:val="0"/>
          <w:sz w:val="20"/>
          <w:szCs w:val="20"/>
          <w:lang w:eastAsia="it-IT"/>
          <w14:ligatures w14:val="none"/>
        </w:rPr>
        <w:t>Nel 2023, il prezzo medio per l’acquisto di un’abitazione turistica in Italia si attesta a 2.820 euro al mq commerciale, con un aumento del 4,6% annuo, che si aggiunge alla crescita del 3,2% già registrata nel 2022.</w:t>
      </w:r>
      <w:r>
        <w:rPr>
          <w:rFonts w:eastAsia="Times New Roman" w:cs="Calibri Light" w:ascii="Calibri Light" w:hAnsi="Calibri Light"/>
          <w:color w:val="000000"/>
          <w:kern w:val="0"/>
          <w:sz w:val="20"/>
          <w:szCs w:val="20"/>
          <w:lang w:eastAsia="it-IT"/>
          <w14:ligatures w14:val="none"/>
        </w:rPr>
        <w:t xml:space="preserve"> In cima alla classifica delle principali località turistiche - per quanto riguarda i prezzi massimi di compravendita di appartamenti top o nuovi - spiccano anche quest’anno destinazioni montane. A Madonna di Campiglio (TN) e a Cortina d'Ampezzo (BL) si raggiungono i 15.000 euro a mq. A seguire, Forte dei Marmi (LU) e Capri (NA) con 14.000 euro a mq e Santa Margherita Ligure (GE), con valori massimi pari a 13.000 euro a mq. I canoni di locazione nel 2023 segnano un incremento medio del 5,9%, che anche in questo caso si aggiunge alla crescita già messa a segno nel 2022 (4,8%). L’aumento ha interessato maggiormente le località marittime (+6,3% in media) e le località montane (+4,7%), mentre i canoni medi delle località lacuali registrano un aumento più contenuto (+3,2%).</w:t>
      </w:r>
    </w:p>
    <w:p>
      <w:pPr>
        <w:pStyle w:val="Normal"/>
        <w:spacing w:lineRule="atLeast" w:line="242" w:before="0" w:after="0"/>
        <w:jc w:val="both"/>
        <w:rPr>
          <w:rFonts w:ascii="Calibri Light" w:hAnsi="Calibri Light" w:eastAsia="Times New Roman" w:cs="Calibri Light"/>
          <w:color w:val="000000"/>
          <w:kern w:val="0"/>
          <w:sz w:val="20"/>
          <w:szCs w:val="20"/>
          <w:lang w:eastAsia="it-IT"/>
          <w14:ligatures w14:val="none"/>
        </w:rPr>
      </w:pPr>
      <w:r>
        <w:rPr>
          <w:rFonts w:eastAsia="Times New Roman" w:cs="Calibri Light" w:ascii="Calibri Light" w:hAnsi="Calibri Light"/>
          <w:color w:val="000000"/>
          <w:kern w:val="0"/>
          <w:sz w:val="20"/>
          <w:szCs w:val="20"/>
          <w:lang w:eastAsia="it-IT"/>
          <w14:ligatures w14:val="none"/>
        </w:rPr>
      </w:r>
    </w:p>
    <w:p>
      <w:pPr>
        <w:pStyle w:val="Normal"/>
        <w:spacing w:lineRule="atLeast" w:line="242" w:before="0" w:after="0"/>
        <w:jc w:val="both"/>
        <w:rPr>
          <w:rFonts w:ascii="Calibri Light" w:hAnsi="Calibri Light" w:eastAsia="Times New Roman" w:cs="Calibri Light"/>
          <w:color w:val="000000"/>
          <w:kern w:val="0"/>
          <w:sz w:val="20"/>
          <w:szCs w:val="20"/>
          <w:lang w:eastAsia="it-IT"/>
          <w14:ligatures w14:val="none"/>
        </w:rPr>
      </w:pPr>
      <w:r>
        <w:rPr>
          <w:rFonts w:eastAsia="Times New Roman" w:cs="Calibri Light" w:ascii="Calibri Light" w:hAnsi="Calibri Light"/>
          <w:color w:val="000000"/>
          <w:kern w:val="0"/>
          <w:sz w:val="20"/>
          <w:szCs w:val="20"/>
          <w:lang w:eastAsia="it-IT"/>
          <w14:ligatures w14:val="none"/>
        </w:rPr>
        <w:t>"Dopo l’emergenza sanitaria il mercato delle abitazioni turistiche si è mosso in maniera consistente” – commenta Santino Taverna, Presidente Nazionale Fimaa. – Con la fine della pandemia non è venuta meno l’esigenza del lavorare in smart-working che, sommata all’aumento del costo del denaro per la ripresa dell’inflazione, sono elementi che tuttora contribuiscono ad alimentare l’investimento nel comparto immobiliare. Gli immobili, da sempre sono ritenuti cassaforte di risparmi contrariamente ai prodotti finanziari maggiormente soggetti a subire oscillazioni e rischi elevati. Fattori che stanno portando gli italiani a soggiornare in case di villeggiatura amplificando la domanda di unità al mare o in montagna, favorendo compravendite e locazioni di queste località”.</w:t>
      </w:r>
    </w:p>
    <w:p>
      <w:pPr>
        <w:pStyle w:val="Normal"/>
        <w:spacing w:lineRule="atLeast" w:line="242" w:before="0" w:after="0"/>
        <w:jc w:val="both"/>
        <w:rPr>
          <w:rFonts w:ascii="Calibri Light" w:hAnsi="Calibri Light" w:eastAsia="Times New Roman" w:cs="Calibri Light"/>
          <w:color w:val="000000"/>
          <w:kern w:val="0"/>
          <w:sz w:val="20"/>
          <w:szCs w:val="20"/>
          <w:lang w:eastAsia="it-IT"/>
          <w14:ligatures w14:val="none"/>
        </w:rPr>
      </w:pPr>
      <w:r>
        <w:rPr>
          <w:rFonts w:eastAsia="Times New Roman" w:cs="Calibri Light" w:ascii="Calibri Light" w:hAnsi="Calibri Light"/>
          <w:color w:val="000000"/>
          <w:kern w:val="0"/>
          <w:sz w:val="20"/>
          <w:szCs w:val="20"/>
          <w:lang w:eastAsia="it-IT"/>
          <w14:ligatures w14:val="none"/>
        </w:rPr>
      </w:r>
    </w:p>
    <w:p>
      <w:pPr>
        <w:pStyle w:val="Normal"/>
        <w:spacing w:lineRule="atLeast" w:line="242" w:before="0" w:after="0"/>
        <w:jc w:val="both"/>
        <w:rPr>
          <w:rFonts w:ascii="Calibri Light" w:hAnsi="Calibri Light"/>
          <w:sz w:val="20"/>
          <w:szCs w:val="20"/>
        </w:rPr>
      </w:pPr>
      <w:r>
        <w:rPr>
          <w:rFonts w:eastAsia="Times New Roman" w:cs="Calibri Light" w:ascii="Calibri Light" w:hAnsi="Calibri Light"/>
          <w:color w:val="000000"/>
          <w:kern w:val="0"/>
          <w:sz w:val="20"/>
          <w:szCs w:val="20"/>
          <w:lang w:eastAsia="it-IT"/>
          <w14:ligatures w14:val="none"/>
        </w:rPr>
        <w:t xml:space="preserve">Un ulteriore elemento che sta influenzando positivamente le compravendite turistiche è infatti l’andamento dei tassi di interesse. “Nel primo periodo erano molto favorevoli, ed era inevitabile che favorissero le transazioni – aggiunge Fabrizio Savorani, </w:t>
      </w:r>
      <w:r>
        <w:rPr>
          <w:rFonts w:cs="Calibri Light" w:ascii="Calibri Light" w:hAnsi="Calibri Light"/>
          <w:sz w:val="20"/>
          <w:szCs w:val="20"/>
          <w:shd w:fill="FFFFFF" w:val="clear"/>
        </w:rPr>
        <w:t>referente settore turistico Ufficio studi Fimaa</w:t>
      </w:r>
      <w:r>
        <w:rPr>
          <w:rFonts w:eastAsia="Times New Roman" w:cs="Calibri Light" w:ascii="Calibri Light" w:hAnsi="Calibri Light"/>
          <w:kern w:val="0"/>
          <w:sz w:val="20"/>
          <w:szCs w:val="20"/>
          <w:lang w:eastAsia="it-IT"/>
          <w14:ligatures w14:val="none"/>
        </w:rPr>
        <w:t xml:space="preserve">. </w:t>
      </w:r>
      <w:r>
        <w:rPr>
          <w:rFonts w:eastAsia="Times New Roman" w:cs="Calibri Light" w:ascii="Calibri Light" w:hAnsi="Calibri Light"/>
          <w:color w:val="000000"/>
          <w:kern w:val="0"/>
          <w:sz w:val="20"/>
          <w:szCs w:val="20"/>
          <w:lang w:eastAsia="it-IT"/>
          <w14:ligatures w14:val="none"/>
        </w:rPr>
        <w:t>– Le compravendite tuttavia sono rimaste elevate anche nel corso del 2023, nonostante la forte impennata del costo del denaro. Dai dati preliminari del 2023 emerge che le compravendite di abitazioni turistiche stanno crescendo maggiormente rispetto a quelle di altre località. E questo dimostra che gli immobili turistici siano tuttora una sorta di bene rifugio su cui si investe per proteggere il valore dei propri risparmi. Insomma, si acquistano immobili in località turistiche non solo per uso proprio ma anche come investimento in grado di produrre reddito. Questo si riversa anche sui prezzi, che sono in ulteriore crescita, per il fatto che la domanda è tuttora maggiore rispetto all'offerta” conclude Savorani.</w:t>
      </w:r>
    </w:p>
    <w:p>
      <w:pPr>
        <w:pStyle w:val="Paragrafoelenco1"/>
        <w:tabs>
          <w:tab w:val="clear" w:pos="708"/>
          <w:tab w:val="left" w:pos="1418" w:leader="none"/>
        </w:tabs>
        <w:suppressAutoHyphens w:val="true"/>
        <w:spacing w:before="0" w:after="0"/>
        <w:ind w:left="0" w:hanging="0"/>
        <w:rPr>
          <w:rFonts w:cs="Calibri"/>
          <w:b/>
          <w:b/>
          <w:sz w:val="20"/>
          <w:szCs w:val="20"/>
        </w:rPr>
      </w:pPr>
      <w:r>
        <w:rPr>
          <w:rFonts w:cs="Calibri"/>
          <w:b/>
          <w:sz w:val="20"/>
          <w:szCs w:val="20"/>
        </w:rPr>
      </w:r>
    </w:p>
    <w:p>
      <w:pPr>
        <w:pStyle w:val="Paragrafoelenco1"/>
        <w:tabs>
          <w:tab w:val="clear" w:pos="708"/>
          <w:tab w:val="left" w:pos="1418" w:leader="none"/>
        </w:tabs>
        <w:suppressAutoHyphens w:val="true"/>
        <w:spacing w:before="0" w:after="0"/>
        <w:ind w:left="0" w:hanging="0"/>
        <w:rPr>
          <w:rFonts w:cs="Calibri"/>
          <w:b/>
          <w:b/>
          <w:sz w:val="28"/>
          <w:szCs w:val="28"/>
        </w:rPr>
      </w:pPr>
      <w:r>
        <w:rPr>
          <w:rFonts w:cs="Calibri"/>
          <w:b/>
          <w:sz w:val="28"/>
          <w:szCs w:val="28"/>
        </w:rPr>
        <w:t>Il mercato delle abitazioni per vacanza</w:t>
      </w:r>
    </w:p>
    <w:p>
      <w:pPr>
        <w:pStyle w:val="Paragrafoelenco1"/>
        <w:tabs>
          <w:tab w:val="clear" w:pos="708"/>
          <w:tab w:val="left" w:pos="1418" w:leader="none"/>
        </w:tabs>
        <w:suppressAutoHyphens w:val="true"/>
        <w:spacing w:before="0" w:after="0"/>
        <w:ind w:left="0" w:hanging="0"/>
        <w:rPr/>
      </w:pPr>
      <w:r>
        <w:rPr/>
      </w:r>
    </w:p>
    <w:tbl>
      <w:tblPr>
        <w:tblW w:w="9638" w:type="dxa"/>
        <w:jc w:val="left"/>
        <w:tblInd w:w="0" w:type="dxa"/>
        <w:tblCellMar>
          <w:top w:w="0" w:type="dxa"/>
          <w:left w:w="108" w:type="dxa"/>
          <w:bottom w:w="0" w:type="dxa"/>
          <w:right w:w="108" w:type="dxa"/>
        </w:tblCellMar>
        <w:tblLook w:firstRow="1" w:noVBand="1" w:lastRow="0" w:firstColumn="1" w:lastColumn="0" w:noHBand="0" w:val="04a0"/>
      </w:tblPr>
      <w:tblGrid>
        <w:gridCol w:w="2395"/>
        <w:gridCol w:w="1810"/>
        <w:gridCol w:w="1810"/>
        <w:gridCol w:w="1810"/>
        <w:gridCol w:w="1813"/>
      </w:tblGrid>
      <w:tr>
        <w:trPr>
          <w:trHeight w:val="340" w:hRule="atLeast"/>
        </w:trPr>
        <w:tc>
          <w:tcPr>
            <w:tcW w:w="2395" w:type="dxa"/>
            <w:tcBorders/>
            <w:shd w:color="auto" w:fill="auto" w:val="clear"/>
            <w:vAlign w:val="center"/>
          </w:tcPr>
          <w:p>
            <w:pPr>
              <w:pStyle w:val="Normal"/>
              <w:spacing w:lineRule="auto" w:line="240" w:before="0" w:after="0"/>
              <w:rPr>
                <w:b/>
                <w:b/>
                <w:bCs/>
                <w:caps/>
                <w:szCs w:val="24"/>
              </w:rPr>
            </w:pPr>
            <w:r>
              <w:rPr>
                <w:rFonts w:eastAsia="Calibri" w:cs="Calibri" w:cstheme="minorHAnsi"/>
                <w:b/>
                <w:sz w:val="20"/>
                <w:szCs w:val="24"/>
              </w:rPr>
              <w:t xml:space="preserve">Tavola </w:t>
            </w:r>
            <w:r>
              <w:rPr>
                <w:rFonts w:eastAsia="Calibri" w:cs="Calibri" w:cstheme="minorHAnsi"/>
                <w:b/>
                <w:caps/>
                <w:sz w:val="20"/>
                <w:szCs w:val="24"/>
              </w:rPr>
              <w:t>1</w:t>
            </w:r>
          </w:p>
        </w:tc>
        <w:tc>
          <w:tcPr>
            <w:tcW w:w="7243" w:type="dxa"/>
            <w:gridSpan w:val="4"/>
            <w:tcBorders/>
            <w:shd w:color="auto" w:fill="F2F2F2" w:themeFill="background1" w:themeFillShade="f2" w:val="clear"/>
            <w:vAlign w:val="center"/>
          </w:tcPr>
          <w:p>
            <w:pPr>
              <w:pStyle w:val="Normal"/>
              <w:spacing w:lineRule="auto" w:line="240" w:before="0" w:after="0"/>
              <w:jc w:val="center"/>
              <w:rPr>
                <w:b/>
                <w:b/>
                <w:bCs/>
                <w:caps/>
                <w:szCs w:val="24"/>
              </w:rPr>
            </w:pPr>
            <w:r>
              <w:rPr>
                <w:rFonts w:cs="Arial"/>
                <w:b/>
                <w:bCs/>
                <w:sz w:val="20"/>
                <w:szCs w:val="24"/>
              </w:rPr>
              <w:t>Numero di compravendite di abitazioni – Variazioni % annuali</w:t>
            </w:r>
          </w:p>
        </w:tc>
      </w:tr>
      <w:tr>
        <w:trPr>
          <w:trHeight w:val="340" w:hRule="atLeast"/>
        </w:trPr>
        <w:tc>
          <w:tcPr>
            <w:tcW w:w="2395" w:type="dxa"/>
            <w:tcBorders/>
            <w:shd w:color="auto" w:fill="auto" w:val="clear"/>
            <w:vAlign w:val="center"/>
          </w:tcPr>
          <w:p>
            <w:pPr>
              <w:pStyle w:val="Normal"/>
              <w:spacing w:lineRule="auto" w:line="240" w:before="0" w:after="0"/>
              <w:rPr>
                <w:rFonts w:eastAsia="Calibri" w:cs="Calibri" w:cstheme="minorHAnsi"/>
                <w:bCs/>
                <w:caps/>
                <w:sz w:val="20"/>
                <w:szCs w:val="24"/>
              </w:rPr>
            </w:pPr>
            <w:r>
              <w:rPr>
                <w:rFonts w:eastAsia="Calibri" w:cs="Calibri" w:cstheme="minorHAnsi"/>
                <w:bCs/>
                <w:caps/>
                <w:sz w:val="20"/>
                <w:szCs w:val="24"/>
              </w:rPr>
            </w:r>
          </w:p>
        </w:tc>
        <w:tc>
          <w:tcPr>
            <w:tcW w:w="1810" w:type="dxa"/>
            <w:tcBorders/>
            <w:shd w:color="auto" w:fill="F2F2F2" w:themeFill="background1" w:themeFillShade="f2" w:val="clear"/>
            <w:vAlign w:val="center"/>
          </w:tcPr>
          <w:p>
            <w:pPr>
              <w:pStyle w:val="Normal"/>
              <w:spacing w:lineRule="auto" w:line="240" w:before="0" w:after="0"/>
              <w:jc w:val="center"/>
              <w:rPr>
                <w:b/>
                <w:b/>
                <w:bCs/>
                <w:caps/>
                <w:szCs w:val="24"/>
              </w:rPr>
            </w:pPr>
            <w:r>
              <w:rPr>
                <w:rFonts w:cs="Arial"/>
                <w:b/>
                <w:bCs/>
                <w:sz w:val="20"/>
                <w:szCs w:val="24"/>
              </w:rPr>
              <w:t>2019/2018</w:t>
            </w:r>
          </w:p>
        </w:tc>
        <w:tc>
          <w:tcPr>
            <w:tcW w:w="1810" w:type="dxa"/>
            <w:tcBorders/>
            <w:shd w:color="auto" w:fill="F2F2F2" w:themeFill="background1" w:themeFillShade="f2" w:val="clear"/>
            <w:vAlign w:val="center"/>
          </w:tcPr>
          <w:p>
            <w:pPr>
              <w:pStyle w:val="Normal"/>
              <w:spacing w:lineRule="auto" w:line="240" w:before="0" w:after="0"/>
              <w:jc w:val="center"/>
              <w:rPr>
                <w:b/>
                <w:b/>
                <w:bCs/>
                <w:caps/>
                <w:szCs w:val="24"/>
              </w:rPr>
            </w:pPr>
            <w:r>
              <w:rPr>
                <w:rFonts w:cs="Arial"/>
                <w:b/>
                <w:bCs/>
                <w:sz w:val="20"/>
                <w:szCs w:val="24"/>
              </w:rPr>
              <w:t>2020/2019</w:t>
            </w:r>
          </w:p>
        </w:tc>
        <w:tc>
          <w:tcPr>
            <w:tcW w:w="1810" w:type="dxa"/>
            <w:tcBorders/>
            <w:shd w:color="auto" w:fill="F2F2F2" w:themeFill="background1" w:themeFillShade="f2" w:val="clear"/>
            <w:vAlign w:val="center"/>
          </w:tcPr>
          <w:p>
            <w:pPr>
              <w:pStyle w:val="Normal"/>
              <w:spacing w:lineRule="auto" w:line="240" w:before="0" w:after="0"/>
              <w:jc w:val="center"/>
              <w:rPr>
                <w:b/>
                <w:b/>
                <w:bCs/>
                <w:caps/>
                <w:szCs w:val="24"/>
              </w:rPr>
            </w:pPr>
            <w:r>
              <w:rPr>
                <w:rFonts w:cs="Arial"/>
                <w:b/>
                <w:bCs/>
                <w:sz w:val="20"/>
                <w:szCs w:val="24"/>
              </w:rPr>
              <w:t>2021/2020</w:t>
            </w:r>
          </w:p>
        </w:tc>
        <w:tc>
          <w:tcPr>
            <w:tcW w:w="1813" w:type="dxa"/>
            <w:tcBorders/>
            <w:shd w:color="auto" w:fill="F2F2F2" w:themeFill="background1" w:themeFillShade="f2" w:val="clear"/>
            <w:vAlign w:val="center"/>
          </w:tcPr>
          <w:p>
            <w:pPr>
              <w:pStyle w:val="Normal"/>
              <w:spacing w:lineRule="auto" w:line="240" w:before="0" w:after="0"/>
              <w:jc w:val="center"/>
              <w:rPr>
                <w:b/>
                <w:b/>
                <w:bCs/>
                <w:caps/>
                <w:szCs w:val="24"/>
              </w:rPr>
            </w:pPr>
            <w:r>
              <w:rPr>
                <w:rFonts w:cs="Arial"/>
                <w:b/>
                <w:bCs/>
                <w:sz w:val="20"/>
                <w:szCs w:val="24"/>
              </w:rPr>
              <w:t>2022/2021</w:t>
            </w:r>
          </w:p>
        </w:tc>
      </w:tr>
      <w:tr>
        <w:trPr>
          <w:trHeight w:val="340" w:hRule="atLeast"/>
        </w:trPr>
        <w:tc>
          <w:tcPr>
            <w:tcW w:w="2395" w:type="dxa"/>
            <w:tcBorders/>
            <w:shd w:color="auto" w:fill="DBE5F1" w:themeFill="accent1" w:themeFillTint="33" w:val="clear"/>
            <w:vAlign w:val="center"/>
          </w:tcPr>
          <w:p>
            <w:pPr>
              <w:pStyle w:val="Normal"/>
              <w:spacing w:lineRule="auto" w:line="240" w:before="0" w:after="0"/>
              <w:rPr>
                <w:b/>
                <w:b/>
                <w:bCs/>
                <w:caps/>
                <w:szCs w:val="24"/>
              </w:rPr>
            </w:pPr>
            <w:r>
              <w:rPr>
                <w:rFonts w:eastAsia="Calibri" w:cs="Calibri" w:cstheme="minorHAnsi"/>
                <w:sz w:val="20"/>
                <w:szCs w:val="24"/>
              </w:rPr>
              <w:t>Località lacuali</w:t>
            </w:r>
          </w:p>
        </w:tc>
        <w:tc>
          <w:tcPr>
            <w:tcW w:w="1810" w:type="dxa"/>
            <w:tcBorders/>
            <w:shd w:color="auto" w:fill="DBE5F1" w:themeFill="accent1" w:themeFillTint="33" w:val="clear"/>
            <w:vAlign w:val="center"/>
          </w:tcPr>
          <w:p>
            <w:pPr>
              <w:pStyle w:val="Normal"/>
              <w:spacing w:lineRule="auto" w:line="240" w:before="0" w:after="0"/>
              <w:jc w:val="center"/>
              <w:rPr>
                <w:b/>
                <w:b/>
                <w:bCs/>
                <w:caps/>
                <w:szCs w:val="24"/>
              </w:rPr>
            </w:pPr>
            <w:r>
              <w:rPr>
                <w:rFonts w:cs="Calibri"/>
                <w:caps/>
                <w:color w:val="000000"/>
                <w:sz w:val="20"/>
                <w:szCs w:val="24"/>
              </w:rPr>
              <w:t>2,1%</w:t>
            </w:r>
          </w:p>
        </w:tc>
        <w:tc>
          <w:tcPr>
            <w:tcW w:w="1810" w:type="dxa"/>
            <w:tcBorders/>
            <w:shd w:color="auto" w:fill="DBE5F1" w:themeFill="accent1" w:themeFillTint="33" w:val="clear"/>
            <w:vAlign w:val="center"/>
          </w:tcPr>
          <w:p>
            <w:pPr>
              <w:pStyle w:val="Normal"/>
              <w:spacing w:lineRule="auto" w:line="240" w:before="0" w:after="0"/>
              <w:jc w:val="center"/>
              <w:rPr>
                <w:b/>
                <w:b/>
                <w:bCs/>
                <w:caps/>
                <w:szCs w:val="24"/>
              </w:rPr>
            </w:pPr>
            <w:r>
              <w:rPr>
                <w:rFonts w:cs="Calibri"/>
                <w:caps/>
                <w:color w:val="000000"/>
                <w:sz w:val="20"/>
                <w:szCs w:val="24"/>
              </w:rPr>
              <w:t>-3,4%</w:t>
            </w:r>
          </w:p>
        </w:tc>
        <w:tc>
          <w:tcPr>
            <w:tcW w:w="1810" w:type="dxa"/>
            <w:tcBorders/>
            <w:shd w:color="auto" w:fill="DBE5F1" w:themeFill="accent1" w:themeFillTint="33" w:val="clear"/>
            <w:vAlign w:val="center"/>
          </w:tcPr>
          <w:p>
            <w:pPr>
              <w:pStyle w:val="Normal"/>
              <w:spacing w:lineRule="auto" w:line="240" w:before="0" w:after="0"/>
              <w:jc w:val="center"/>
              <w:rPr>
                <w:b/>
                <w:b/>
                <w:bCs/>
                <w:caps/>
                <w:szCs w:val="24"/>
              </w:rPr>
            </w:pPr>
            <w:r>
              <w:rPr>
                <w:rFonts w:cs="Calibri"/>
                <w:caps/>
                <w:color w:val="000000"/>
                <w:sz w:val="20"/>
                <w:szCs w:val="24"/>
              </w:rPr>
              <w:t>29,6%</w:t>
            </w:r>
          </w:p>
        </w:tc>
        <w:tc>
          <w:tcPr>
            <w:tcW w:w="1813" w:type="dxa"/>
            <w:tcBorders/>
            <w:shd w:color="auto" w:fill="DBE5F1" w:themeFill="accent1" w:themeFillTint="33" w:val="clear"/>
            <w:vAlign w:val="center"/>
          </w:tcPr>
          <w:p>
            <w:pPr>
              <w:pStyle w:val="Normal"/>
              <w:spacing w:lineRule="auto" w:line="240" w:before="0" w:after="0"/>
              <w:jc w:val="center"/>
              <w:rPr>
                <w:b/>
                <w:b/>
                <w:bCs/>
                <w:caps/>
                <w:szCs w:val="24"/>
              </w:rPr>
            </w:pPr>
            <w:r>
              <w:rPr>
                <w:rFonts w:cs="Arial"/>
                <w:caps/>
                <w:sz w:val="20"/>
                <w:szCs w:val="24"/>
              </w:rPr>
              <w:t>4,9%</w:t>
            </w:r>
          </w:p>
        </w:tc>
      </w:tr>
      <w:tr>
        <w:trPr>
          <w:trHeight w:val="340" w:hRule="atLeast"/>
        </w:trPr>
        <w:tc>
          <w:tcPr>
            <w:tcW w:w="2395" w:type="dxa"/>
            <w:tcBorders/>
            <w:shd w:color="auto" w:fill="DBE5F1" w:themeFill="accent1" w:themeFillTint="33" w:val="clear"/>
            <w:vAlign w:val="center"/>
          </w:tcPr>
          <w:p>
            <w:pPr>
              <w:pStyle w:val="Normal"/>
              <w:spacing w:lineRule="auto" w:line="240" w:before="0" w:after="0"/>
              <w:rPr>
                <w:b/>
                <w:b/>
                <w:bCs/>
                <w:caps/>
                <w:szCs w:val="24"/>
              </w:rPr>
            </w:pPr>
            <w:r>
              <w:rPr>
                <w:rFonts w:eastAsia="Calibri" w:cs="Calibri" w:cstheme="minorHAnsi"/>
                <w:sz w:val="20"/>
                <w:szCs w:val="24"/>
              </w:rPr>
              <w:t>Località marine</w:t>
            </w:r>
          </w:p>
        </w:tc>
        <w:tc>
          <w:tcPr>
            <w:tcW w:w="1810" w:type="dxa"/>
            <w:tcBorders/>
            <w:shd w:color="auto" w:fill="DBE5F1" w:themeFill="accent1" w:themeFillTint="33" w:val="clear"/>
            <w:vAlign w:val="center"/>
          </w:tcPr>
          <w:p>
            <w:pPr>
              <w:pStyle w:val="Normal"/>
              <w:spacing w:lineRule="auto" w:line="240" w:before="0" w:after="0"/>
              <w:jc w:val="center"/>
              <w:rPr>
                <w:b/>
                <w:b/>
                <w:bCs/>
                <w:caps/>
                <w:szCs w:val="24"/>
              </w:rPr>
            </w:pPr>
            <w:r>
              <w:rPr>
                <w:rFonts w:cs="Calibri"/>
                <w:caps/>
                <w:color w:val="000000"/>
                <w:sz w:val="20"/>
                <w:szCs w:val="24"/>
              </w:rPr>
              <w:t>3,5%</w:t>
            </w:r>
          </w:p>
        </w:tc>
        <w:tc>
          <w:tcPr>
            <w:tcW w:w="1810" w:type="dxa"/>
            <w:tcBorders/>
            <w:shd w:color="auto" w:fill="DBE5F1" w:themeFill="accent1" w:themeFillTint="33" w:val="clear"/>
            <w:vAlign w:val="center"/>
          </w:tcPr>
          <w:p>
            <w:pPr>
              <w:pStyle w:val="Normal"/>
              <w:spacing w:lineRule="auto" w:line="240" w:before="0" w:after="0"/>
              <w:jc w:val="center"/>
              <w:rPr>
                <w:b/>
                <w:b/>
                <w:bCs/>
                <w:caps/>
                <w:szCs w:val="24"/>
              </w:rPr>
            </w:pPr>
            <w:r>
              <w:rPr>
                <w:rFonts w:cs="Calibri"/>
                <w:caps/>
                <w:color w:val="000000"/>
                <w:sz w:val="20"/>
                <w:szCs w:val="24"/>
              </w:rPr>
              <w:t>-6,7%</w:t>
            </w:r>
          </w:p>
        </w:tc>
        <w:tc>
          <w:tcPr>
            <w:tcW w:w="1810" w:type="dxa"/>
            <w:tcBorders/>
            <w:shd w:color="auto" w:fill="DBE5F1" w:themeFill="accent1" w:themeFillTint="33" w:val="clear"/>
            <w:vAlign w:val="center"/>
          </w:tcPr>
          <w:p>
            <w:pPr>
              <w:pStyle w:val="Normal"/>
              <w:spacing w:lineRule="auto" w:line="240" w:before="0" w:after="0"/>
              <w:jc w:val="center"/>
              <w:rPr>
                <w:b/>
                <w:b/>
                <w:bCs/>
                <w:caps/>
                <w:szCs w:val="24"/>
              </w:rPr>
            </w:pPr>
            <w:r>
              <w:rPr>
                <w:rFonts w:cs="Calibri"/>
                <w:caps/>
                <w:color w:val="000000"/>
                <w:sz w:val="20"/>
                <w:szCs w:val="24"/>
              </w:rPr>
              <w:t>43,4%</w:t>
            </w:r>
          </w:p>
        </w:tc>
        <w:tc>
          <w:tcPr>
            <w:tcW w:w="1813" w:type="dxa"/>
            <w:tcBorders/>
            <w:shd w:color="auto" w:fill="DBE5F1" w:themeFill="accent1" w:themeFillTint="33" w:val="clear"/>
            <w:vAlign w:val="center"/>
          </w:tcPr>
          <w:p>
            <w:pPr>
              <w:pStyle w:val="Normal"/>
              <w:spacing w:lineRule="auto" w:line="240" w:before="0" w:after="0"/>
              <w:jc w:val="center"/>
              <w:rPr>
                <w:b/>
                <w:b/>
                <w:bCs/>
                <w:caps/>
                <w:szCs w:val="24"/>
              </w:rPr>
            </w:pPr>
            <w:r>
              <w:rPr>
                <w:rFonts w:cs="Arial"/>
                <w:caps/>
                <w:sz w:val="20"/>
                <w:szCs w:val="24"/>
              </w:rPr>
              <w:t>1,8%</w:t>
            </w:r>
          </w:p>
        </w:tc>
      </w:tr>
      <w:tr>
        <w:trPr>
          <w:trHeight w:val="340" w:hRule="atLeast"/>
        </w:trPr>
        <w:tc>
          <w:tcPr>
            <w:tcW w:w="2395" w:type="dxa"/>
            <w:tcBorders/>
            <w:shd w:color="auto" w:fill="DBE5F1" w:themeFill="accent1" w:themeFillTint="33" w:val="clear"/>
            <w:vAlign w:val="center"/>
          </w:tcPr>
          <w:p>
            <w:pPr>
              <w:pStyle w:val="Normal"/>
              <w:spacing w:lineRule="auto" w:line="240" w:before="0" w:after="0"/>
              <w:rPr>
                <w:b/>
                <w:b/>
                <w:bCs/>
                <w:caps/>
                <w:szCs w:val="24"/>
              </w:rPr>
            </w:pPr>
            <w:r>
              <w:rPr>
                <w:rFonts w:eastAsia="Calibri" w:cs="Calibri" w:cstheme="minorHAnsi"/>
                <w:sz w:val="20"/>
                <w:szCs w:val="24"/>
              </w:rPr>
              <w:t>Località montane</w:t>
            </w:r>
          </w:p>
        </w:tc>
        <w:tc>
          <w:tcPr>
            <w:tcW w:w="1810" w:type="dxa"/>
            <w:tcBorders/>
            <w:shd w:color="auto" w:fill="DBE5F1" w:themeFill="accent1" w:themeFillTint="33" w:val="clear"/>
            <w:vAlign w:val="center"/>
          </w:tcPr>
          <w:p>
            <w:pPr>
              <w:pStyle w:val="Normal"/>
              <w:spacing w:lineRule="auto" w:line="240" w:before="0" w:after="0"/>
              <w:jc w:val="center"/>
              <w:rPr>
                <w:b/>
                <w:b/>
                <w:bCs/>
                <w:caps/>
                <w:szCs w:val="24"/>
              </w:rPr>
            </w:pPr>
            <w:r>
              <w:rPr>
                <w:rFonts w:cs="Calibri"/>
                <w:caps/>
                <w:color w:val="000000"/>
                <w:sz w:val="20"/>
                <w:szCs w:val="24"/>
              </w:rPr>
              <w:t>13,0%</w:t>
            </w:r>
          </w:p>
        </w:tc>
        <w:tc>
          <w:tcPr>
            <w:tcW w:w="1810" w:type="dxa"/>
            <w:tcBorders/>
            <w:shd w:color="auto" w:fill="DBE5F1" w:themeFill="accent1" w:themeFillTint="33" w:val="clear"/>
            <w:vAlign w:val="center"/>
          </w:tcPr>
          <w:p>
            <w:pPr>
              <w:pStyle w:val="Normal"/>
              <w:spacing w:lineRule="auto" w:line="240" w:before="0" w:after="0"/>
              <w:jc w:val="center"/>
              <w:rPr>
                <w:b/>
                <w:b/>
                <w:bCs/>
                <w:caps/>
                <w:szCs w:val="24"/>
              </w:rPr>
            </w:pPr>
            <w:r>
              <w:rPr>
                <w:rFonts w:cs="Calibri"/>
                <w:caps/>
                <w:color w:val="000000"/>
                <w:sz w:val="20"/>
                <w:szCs w:val="24"/>
              </w:rPr>
              <w:t>-2,8%</w:t>
            </w:r>
          </w:p>
        </w:tc>
        <w:tc>
          <w:tcPr>
            <w:tcW w:w="1810" w:type="dxa"/>
            <w:tcBorders/>
            <w:shd w:color="auto" w:fill="DBE5F1" w:themeFill="accent1" w:themeFillTint="33" w:val="clear"/>
            <w:vAlign w:val="center"/>
          </w:tcPr>
          <w:p>
            <w:pPr>
              <w:pStyle w:val="Normal"/>
              <w:spacing w:lineRule="auto" w:line="240" w:before="0" w:after="0"/>
              <w:jc w:val="center"/>
              <w:rPr>
                <w:b/>
                <w:b/>
                <w:bCs/>
                <w:caps/>
                <w:szCs w:val="24"/>
              </w:rPr>
            </w:pPr>
            <w:r>
              <w:rPr>
                <w:rFonts w:cs="Calibri"/>
                <w:caps/>
                <w:color w:val="000000"/>
                <w:sz w:val="20"/>
                <w:szCs w:val="24"/>
              </w:rPr>
              <w:t>35,0%</w:t>
            </w:r>
          </w:p>
        </w:tc>
        <w:tc>
          <w:tcPr>
            <w:tcW w:w="1813" w:type="dxa"/>
            <w:tcBorders/>
            <w:shd w:color="auto" w:fill="DBE5F1" w:themeFill="accent1" w:themeFillTint="33" w:val="clear"/>
            <w:vAlign w:val="center"/>
          </w:tcPr>
          <w:p>
            <w:pPr>
              <w:pStyle w:val="Normal"/>
              <w:spacing w:lineRule="auto" w:line="240" w:before="0" w:after="0"/>
              <w:jc w:val="center"/>
              <w:rPr>
                <w:b/>
                <w:b/>
                <w:bCs/>
                <w:caps/>
                <w:szCs w:val="24"/>
              </w:rPr>
            </w:pPr>
            <w:r>
              <w:rPr>
                <w:rFonts w:cs="Arial"/>
                <w:caps/>
                <w:sz w:val="20"/>
                <w:szCs w:val="24"/>
              </w:rPr>
              <w:t>7,7%</w:t>
            </w:r>
          </w:p>
        </w:tc>
      </w:tr>
      <w:tr>
        <w:trPr>
          <w:trHeight w:val="340" w:hRule="atLeast"/>
        </w:trPr>
        <w:tc>
          <w:tcPr>
            <w:tcW w:w="2395" w:type="dxa"/>
            <w:tcBorders/>
            <w:shd w:color="auto" w:fill="F2F2F2" w:themeFill="background1" w:themeFillShade="f2" w:val="clear"/>
            <w:vAlign w:val="center"/>
          </w:tcPr>
          <w:p>
            <w:pPr>
              <w:pStyle w:val="Normal"/>
              <w:spacing w:lineRule="auto" w:line="240" w:before="0" w:after="0"/>
              <w:rPr>
                <w:b/>
                <w:b/>
                <w:bCs/>
                <w:caps/>
                <w:szCs w:val="24"/>
              </w:rPr>
            </w:pPr>
            <w:r>
              <w:rPr>
                <w:rFonts w:eastAsia="Calibri" w:cs="Calibri" w:cstheme="minorHAnsi"/>
                <w:b/>
                <w:bCs/>
                <w:sz w:val="20"/>
                <w:szCs w:val="24"/>
              </w:rPr>
              <w:t>Totale località turistiche</w:t>
            </w:r>
          </w:p>
        </w:tc>
        <w:tc>
          <w:tcPr>
            <w:tcW w:w="1810" w:type="dxa"/>
            <w:tcBorders/>
            <w:shd w:color="auto" w:fill="F2F2F2" w:themeFill="background1" w:themeFillShade="f2" w:val="clear"/>
            <w:vAlign w:val="center"/>
          </w:tcPr>
          <w:p>
            <w:pPr>
              <w:pStyle w:val="Normal"/>
              <w:spacing w:lineRule="auto" w:line="240" w:before="0" w:after="0"/>
              <w:jc w:val="center"/>
              <w:rPr>
                <w:b/>
                <w:b/>
                <w:bCs/>
                <w:caps/>
                <w:szCs w:val="24"/>
              </w:rPr>
            </w:pPr>
            <w:r>
              <w:rPr>
                <w:rFonts w:cs="Calibri"/>
                <w:b/>
                <w:bCs/>
                <w:caps/>
                <w:color w:val="000000"/>
                <w:sz w:val="20"/>
                <w:szCs w:val="24"/>
              </w:rPr>
              <w:t>4,7%</w:t>
            </w:r>
          </w:p>
        </w:tc>
        <w:tc>
          <w:tcPr>
            <w:tcW w:w="1810" w:type="dxa"/>
            <w:tcBorders/>
            <w:shd w:color="auto" w:fill="F2F2F2" w:themeFill="background1" w:themeFillShade="f2" w:val="clear"/>
            <w:vAlign w:val="center"/>
          </w:tcPr>
          <w:p>
            <w:pPr>
              <w:pStyle w:val="Normal"/>
              <w:spacing w:lineRule="auto" w:line="240" w:before="0" w:after="0"/>
              <w:jc w:val="center"/>
              <w:rPr>
                <w:b/>
                <w:b/>
                <w:bCs/>
                <w:caps/>
                <w:szCs w:val="24"/>
              </w:rPr>
            </w:pPr>
            <w:r>
              <w:rPr>
                <w:rFonts w:cs="Calibri"/>
                <w:b/>
                <w:bCs/>
                <w:caps/>
                <w:color w:val="000000"/>
                <w:sz w:val="20"/>
                <w:szCs w:val="24"/>
              </w:rPr>
              <w:t>-5,9%</w:t>
            </w:r>
          </w:p>
        </w:tc>
        <w:tc>
          <w:tcPr>
            <w:tcW w:w="1810" w:type="dxa"/>
            <w:tcBorders/>
            <w:shd w:color="auto" w:fill="F2F2F2" w:themeFill="background1" w:themeFillShade="f2" w:val="clear"/>
            <w:vAlign w:val="center"/>
          </w:tcPr>
          <w:p>
            <w:pPr>
              <w:pStyle w:val="Normal"/>
              <w:spacing w:lineRule="auto" w:line="240" w:before="0" w:after="0"/>
              <w:jc w:val="center"/>
              <w:rPr>
                <w:b/>
                <w:b/>
                <w:bCs/>
                <w:caps/>
                <w:szCs w:val="24"/>
              </w:rPr>
            </w:pPr>
            <w:r>
              <w:rPr>
                <w:rFonts w:cs="Calibri"/>
                <w:b/>
                <w:bCs/>
                <w:caps/>
                <w:color w:val="000000"/>
                <w:sz w:val="20"/>
                <w:szCs w:val="24"/>
              </w:rPr>
              <w:t>41,1%</w:t>
            </w:r>
          </w:p>
        </w:tc>
        <w:tc>
          <w:tcPr>
            <w:tcW w:w="1813" w:type="dxa"/>
            <w:tcBorders/>
            <w:shd w:color="auto" w:fill="F2F2F2" w:themeFill="background1" w:themeFillShade="f2" w:val="clear"/>
            <w:vAlign w:val="center"/>
          </w:tcPr>
          <w:p>
            <w:pPr>
              <w:pStyle w:val="Normal"/>
              <w:spacing w:lineRule="auto" w:line="240" w:before="0" w:after="0"/>
              <w:jc w:val="center"/>
              <w:rPr>
                <w:b/>
                <w:b/>
                <w:bCs/>
                <w:caps/>
                <w:szCs w:val="24"/>
              </w:rPr>
            </w:pPr>
            <w:r>
              <w:rPr>
                <w:rFonts w:cs="Arial"/>
                <w:b/>
                <w:bCs/>
                <w:caps/>
                <w:sz w:val="20"/>
                <w:szCs w:val="24"/>
              </w:rPr>
              <w:t>2,9%</w:t>
            </w:r>
          </w:p>
        </w:tc>
      </w:tr>
    </w:tbl>
    <w:p>
      <w:pPr>
        <w:pStyle w:val="Normal"/>
        <w:spacing w:before="0" w:after="0"/>
        <w:rPr/>
      </w:pPr>
      <w:r>
        <w:rPr>
          <w:rFonts w:eastAsia="Calibri" w:cs="Calibri" w:cstheme="minorHAnsi"/>
          <w:sz w:val="18"/>
        </w:rPr>
        <w:t>Fonte: elaborazioni Nomisma su dati Agenzia delle Entrate</w:t>
      </w:r>
    </w:p>
    <w:p>
      <w:pPr>
        <w:pStyle w:val="Normal"/>
        <w:spacing w:before="0" w:after="0"/>
        <w:rPr>
          <w:rFonts w:eastAsia="Calibri" w:cs="Calibri" w:cstheme="minorHAnsi"/>
          <w:strike/>
        </w:rPr>
      </w:pPr>
      <w:r>
        <w:rPr>
          <w:rFonts w:eastAsia="Calibri" w:cs="Calibri" w:cstheme="minorHAnsi"/>
          <w:strike/>
        </w:rPr>
      </w:r>
    </w:p>
    <w:p>
      <w:pPr>
        <w:pStyle w:val="Normal"/>
        <w:spacing w:before="0" w:after="0"/>
        <w:rPr>
          <w:rFonts w:eastAsia="Calibri" w:cs="Calibri" w:cstheme="minorHAnsi"/>
          <w:strike/>
        </w:rPr>
      </w:pPr>
      <w:r>
        <w:rPr>
          <w:rFonts w:eastAsia="Calibri" w:cs="Calibri" w:cstheme="minorHAnsi"/>
          <w:strike/>
        </w:rPr>
      </w:r>
    </w:p>
    <w:tbl>
      <w:tblPr>
        <w:tblW w:w="5000" w:type="pct"/>
        <w:jc w:val="left"/>
        <w:tblInd w:w="0" w:type="dxa"/>
        <w:tblCellMar>
          <w:top w:w="0" w:type="dxa"/>
          <w:left w:w="70" w:type="dxa"/>
          <w:bottom w:w="0" w:type="dxa"/>
          <w:right w:w="70" w:type="dxa"/>
        </w:tblCellMar>
        <w:tblLook w:firstRow="1" w:noVBand="1" w:lastRow="0" w:firstColumn="1" w:lastColumn="0" w:noHBand="0" w:val="04a0"/>
      </w:tblPr>
      <w:tblGrid>
        <w:gridCol w:w="1481"/>
        <w:gridCol w:w="1261"/>
        <w:gridCol w:w="1"/>
        <w:gridCol w:w="1261"/>
        <w:gridCol w:w="1"/>
        <w:gridCol w:w="1"/>
        <w:gridCol w:w="1583"/>
        <w:gridCol w:w="1"/>
        <w:gridCol w:w="1"/>
        <w:gridCol w:w="1253"/>
        <w:gridCol w:w="1"/>
        <w:gridCol w:w="1"/>
        <w:gridCol w:w="1356"/>
        <w:gridCol w:w="1"/>
        <w:gridCol w:w="1"/>
        <w:gridCol w:w="1293"/>
      </w:tblGrid>
      <w:tr>
        <w:trPr>
          <w:trHeight w:val="255" w:hRule="atLeast"/>
        </w:trPr>
        <w:tc>
          <w:tcPr>
            <w:tcW w:w="4006" w:type="dxa"/>
            <w:gridSpan w:val="6"/>
            <w:vMerge w:val="restart"/>
            <w:tcBorders/>
            <w:shd w:color="auto" w:fill="auto" w:val="clear"/>
            <w:vAlign w:val="bottom"/>
          </w:tcPr>
          <w:p>
            <w:pPr>
              <w:pStyle w:val="Normal"/>
              <w:spacing w:before="0" w:after="0"/>
              <w:rPr/>
            </w:pPr>
            <w:r>
              <w:rPr>
                <w:rFonts w:eastAsia="Calibri" w:cs="Calibri" w:cstheme="minorHAnsi"/>
                <w:b/>
                <w:bCs/>
                <w:color w:val="000000" w:themeColor="text1"/>
                <w:sz w:val="20"/>
              </w:rPr>
              <w:t>Tavola 2</w:t>
            </w:r>
          </w:p>
          <w:p>
            <w:pPr>
              <w:pStyle w:val="Normal"/>
              <w:spacing w:before="0" w:after="0"/>
              <w:rPr>
                <w:color w:val="000000" w:themeColor="text1"/>
                <w:sz w:val="20"/>
              </w:rPr>
            </w:pPr>
            <w:r>
              <w:rPr>
                <w:color w:val="000000" w:themeColor="text1"/>
                <w:sz w:val="20"/>
              </w:rPr>
            </w:r>
          </w:p>
        </w:tc>
        <w:tc>
          <w:tcPr>
            <w:tcW w:w="1585" w:type="dxa"/>
            <w:gridSpan w:val="3"/>
            <w:tcBorders/>
            <w:shd w:color="auto" w:fill="auto" w:val="clear"/>
            <w:vAlign w:val="bottom"/>
          </w:tcPr>
          <w:p>
            <w:pPr>
              <w:pStyle w:val="Normal"/>
              <w:spacing w:before="0" w:after="0"/>
              <w:jc w:val="right"/>
              <w:rPr/>
            </w:pPr>
            <w:r>
              <w:rPr>
                <w:rFonts w:cs="Calibri"/>
                <w:color w:val="000000" w:themeColor="text1"/>
                <w:sz w:val="20"/>
              </w:rPr>
              <w:t>Var.% valori medi</w:t>
            </w:r>
          </w:p>
        </w:tc>
        <w:tc>
          <w:tcPr>
            <w:tcW w:w="1255" w:type="dxa"/>
            <w:gridSpan w:val="3"/>
            <w:tcBorders>
              <w:top w:val="single" w:sz="4" w:space="0" w:color="000000"/>
              <w:left w:val="single" w:sz="4" w:space="0" w:color="000000"/>
            </w:tcBorders>
            <w:shd w:color="auto" w:fill="B8CCE4" w:themeFill="accent1" w:themeFillTint="66" w:val="clear"/>
            <w:vAlign w:val="bottom"/>
          </w:tcPr>
          <w:p>
            <w:pPr>
              <w:pStyle w:val="Normal"/>
              <w:spacing w:before="0" w:after="0"/>
              <w:jc w:val="center"/>
              <w:rPr/>
            </w:pPr>
            <w:r>
              <w:rPr>
                <w:rFonts w:cs="Calibri"/>
                <w:b/>
                <w:bCs/>
                <w:sz w:val="20"/>
              </w:rPr>
              <w:t>Top</w:t>
            </w:r>
          </w:p>
        </w:tc>
        <w:tc>
          <w:tcPr>
            <w:tcW w:w="1358" w:type="dxa"/>
            <w:gridSpan w:val="3"/>
            <w:tcBorders>
              <w:top w:val="single" w:sz="4" w:space="0" w:color="000000"/>
            </w:tcBorders>
            <w:shd w:color="auto" w:fill="B8CCE4" w:themeFill="accent1" w:themeFillTint="66" w:val="clear"/>
            <w:vAlign w:val="bottom"/>
          </w:tcPr>
          <w:p>
            <w:pPr>
              <w:pStyle w:val="Normal"/>
              <w:spacing w:before="0" w:after="0"/>
              <w:jc w:val="center"/>
              <w:rPr/>
            </w:pPr>
            <w:r>
              <w:rPr>
                <w:rFonts w:cs="Calibri"/>
                <w:b/>
                <w:bCs/>
                <w:sz w:val="20"/>
              </w:rPr>
              <w:t>Centro</w:t>
            </w:r>
          </w:p>
        </w:tc>
        <w:tc>
          <w:tcPr>
            <w:tcW w:w="1293" w:type="dxa"/>
            <w:tcBorders>
              <w:top w:val="single" w:sz="4" w:space="0" w:color="000000"/>
              <w:right w:val="single" w:sz="4" w:space="0" w:color="000000"/>
            </w:tcBorders>
            <w:shd w:color="auto" w:fill="B8CCE4" w:themeFill="accent1" w:themeFillTint="66" w:val="clear"/>
            <w:vAlign w:val="bottom"/>
          </w:tcPr>
          <w:p>
            <w:pPr>
              <w:pStyle w:val="Normal"/>
              <w:spacing w:before="0" w:after="0"/>
              <w:jc w:val="center"/>
              <w:rPr/>
            </w:pPr>
            <w:r>
              <w:rPr>
                <w:rFonts w:cs="Calibri"/>
                <w:b/>
                <w:bCs/>
                <w:sz w:val="20"/>
              </w:rPr>
              <w:t>Periferia</w:t>
            </w:r>
          </w:p>
        </w:tc>
      </w:tr>
      <w:tr>
        <w:trPr>
          <w:trHeight w:val="255" w:hRule="atLeast"/>
        </w:trPr>
        <w:tc>
          <w:tcPr>
            <w:tcW w:w="4006" w:type="dxa"/>
            <w:gridSpan w:val="6"/>
            <w:vMerge w:val="continue"/>
            <w:tcBorders/>
            <w:shd w:color="auto" w:fill="auto" w:val="clear"/>
            <w:vAlign w:val="bottom"/>
          </w:tcPr>
          <w:p>
            <w:pPr>
              <w:pStyle w:val="Normal"/>
              <w:spacing w:before="0" w:after="0"/>
              <w:rPr>
                <w:sz w:val="20"/>
              </w:rPr>
            </w:pPr>
            <w:r>
              <w:rPr>
                <w:sz w:val="20"/>
              </w:rPr>
            </w:r>
          </w:p>
        </w:tc>
        <w:tc>
          <w:tcPr>
            <w:tcW w:w="1585" w:type="dxa"/>
            <w:gridSpan w:val="3"/>
            <w:tcBorders/>
            <w:shd w:color="auto" w:fill="auto" w:val="clear"/>
            <w:vAlign w:val="bottom"/>
          </w:tcPr>
          <w:p>
            <w:pPr>
              <w:pStyle w:val="Normal"/>
              <w:spacing w:before="0" w:after="0"/>
              <w:rPr>
                <w:sz w:val="20"/>
              </w:rPr>
            </w:pPr>
            <w:r>
              <w:rPr>
                <w:sz w:val="20"/>
              </w:rPr>
            </w:r>
          </w:p>
        </w:tc>
        <w:tc>
          <w:tcPr>
            <w:tcW w:w="1255" w:type="dxa"/>
            <w:gridSpan w:val="3"/>
            <w:tcBorders>
              <w:left w:val="single" w:sz="4" w:space="0" w:color="000000"/>
              <w:bottom w:val="single" w:sz="4" w:space="0" w:color="000000"/>
            </w:tcBorders>
            <w:shd w:color="auto" w:fill="B8CCE4" w:themeFill="accent1" w:themeFillTint="66" w:val="clear"/>
            <w:vAlign w:val="bottom"/>
          </w:tcPr>
          <w:p>
            <w:pPr>
              <w:pStyle w:val="Normal"/>
              <w:spacing w:before="0" w:after="0"/>
              <w:jc w:val="center"/>
              <w:rPr/>
            </w:pPr>
            <w:r>
              <w:rPr>
                <w:rFonts w:cs="Calibri"/>
                <w:b/>
                <w:bCs/>
                <w:sz w:val="20"/>
              </w:rPr>
              <w:t>nuovi</w:t>
            </w:r>
          </w:p>
        </w:tc>
        <w:tc>
          <w:tcPr>
            <w:tcW w:w="1358" w:type="dxa"/>
            <w:gridSpan w:val="3"/>
            <w:tcBorders>
              <w:bottom w:val="single" w:sz="4" w:space="0" w:color="000000"/>
            </w:tcBorders>
            <w:shd w:color="auto" w:fill="B8CCE4" w:themeFill="accent1" w:themeFillTint="66" w:val="clear"/>
            <w:vAlign w:val="bottom"/>
          </w:tcPr>
          <w:p>
            <w:pPr>
              <w:pStyle w:val="Normal"/>
              <w:spacing w:before="0" w:after="0"/>
              <w:jc w:val="center"/>
              <w:rPr/>
            </w:pPr>
            <w:r>
              <w:rPr>
                <w:rFonts w:cs="Calibri"/>
                <w:b/>
                <w:bCs/>
                <w:sz w:val="20"/>
              </w:rPr>
              <w:t>usati</w:t>
            </w:r>
          </w:p>
        </w:tc>
        <w:tc>
          <w:tcPr>
            <w:tcW w:w="1293" w:type="dxa"/>
            <w:tcBorders>
              <w:bottom w:val="single" w:sz="4" w:space="0" w:color="000000"/>
              <w:right w:val="single" w:sz="4" w:space="0" w:color="000000"/>
            </w:tcBorders>
            <w:shd w:color="auto" w:fill="B8CCE4" w:themeFill="accent1" w:themeFillTint="66" w:val="clear"/>
            <w:vAlign w:val="bottom"/>
          </w:tcPr>
          <w:p>
            <w:pPr>
              <w:pStyle w:val="Normal"/>
              <w:spacing w:before="0" w:after="0"/>
              <w:jc w:val="center"/>
              <w:rPr/>
            </w:pPr>
            <w:r>
              <w:rPr>
                <w:rFonts w:cs="Calibri"/>
                <w:b/>
                <w:bCs/>
                <w:sz w:val="20"/>
              </w:rPr>
              <w:t>usati</w:t>
            </w:r>
          </w:p>
        </w:tc>
      </w:tr>
      <w:tr>
        <w:trPr>
          <w:trHeight w:val="255" w:hRule="atLeast"/>
        </w:trPr>
        <w:tc>
          <w:tcPr>
            <w:tcW w:w="1481" w:type="dxa"/>
            <w:tcBorders>
              <w:top w:val="single" w:sz="4" w:space="0" w:color="000000"/>
              <w:left w:val="single" w:sz="4" w:space="0" w:color="000000"/>
            </w:tcBorders>
            <w:shd w:color="auto" w:fill="F2F2F2" w:themeFill="background1" w:themeFillShade="f2" w:val="clear"/>
            <w:vAlign w:val="bottom"/>
          </w:tcPr>
          <w:p>
            <w:pPr>
              <w:pStyle w:val="Normal"/>
              <w:spacing w:before="0" w:after="0"/>
              <w:rPr/>
            </w:pPr>
            <w:r>
              <w:rPr>
                <w:rFonts w:cs="Calibri"/>
                <w:color w:val="000000"/>
                <w:sz w:val="20"/>
              </w:rPr>
              <w:t>Lago</w:t>
            </w:r>
          </w:p>
        </w:tc>
        <w:tc>
          <w:tcPr>
            <w:tcW w:w="1261" w:type="dxa"/>
            <w:tcBorders>
              <w:top w:val="single" w:sz="4" w:space="0" w:color="000000"/>
            </w:tcBorders>
            <w:shd w:color="auto" w:fill="F2F2F2" w:themeFill="background1" w:themeFillShade="f2" w:val="clear"/>
            <w:vAlign w:val="bottom"/>
          </w:tcPr>
          <w:p>
            <w:pPr>
              <w:pStyle w:val="Normal"/>
              <w:spacing w:before="0" w:after="0"/>
              <w:rPr/>
            </w:pPr>
            <w:r>
              <w:rPr>
                <w:rFonts w:cs="Calibri"/>
                <w:color w:val="000000"/>
                <w:sz w:val="20"/>
              </w:rPr>
              <w:t> </w:t>
            </w:r>
          </w:p>
        </w:tc>
        <w:tc>
          <w:tcPr>
            <w:tcW w:w="1262" w:type="dxa"/>
            <w:gridSpan w:val="2"/>
            <w:tcBorders>
              <w:top w:val="single" w:sz="4" w:space="0" w:color="000000"/>
            </w:tcBorders>
            <w:shd w:color="auto" w:fill="F2F2F2" w:themeFill="background1" w:themeFillShade="f2" w:val="clear"/>
            <w:vAlign w:val="bottom"/>
          </w:tcPr>
          <w:p>
            <w:pPr>
              <w:pStyle w:val="Normal"/>
              <w:spacing w:before="0" w:after="0"/>
              <w:rPr/>
            </w:pPr>
            <w:r>
              <w:rPr>
                <w:rFonts w:cs="Calibri"/>
                <w:color w:val="000000"/>
                <w:sz w:val="20"/>
              </w:rPr>
              <w:t> </w:t>
            </w:r>
          </w:p>
        </w:tc>
        <w:tc>
          <w:tcPr>
            <w:tcW w:w="1585" w:type="dxa"/>
            <w:gridSpan w:val="3"/>
            <w:tcBorders>
              <w:top w:val="single" w:sz="4" w:space="0" w:color="000000"/>
              <w:right w:val="single" w:sz="4" w:space="0" w:color="000000"/>
            </w:tcBorders>
            <w:shd w:color="auto" w:fill="F2F2F2" w:themeFill="background1" w:themeFillShade="f2" w:val="clear"/>
            <w:vAlign w:val="bottom"/>
          </w:tcPr>
          <w:p>
            <w:pPr>
              <w:pStyle w:val="Normal"/>
              <w:spacing w:before="0" w:after="0"/>
              <w:rPr/>
            </w:pPr>
            <w:r>
              <w:rPr>
                <w:rFonts w:cs="Calibri"/>
                <w:color w:val="000000"/>
                <w:sz w:val="20"/>
              </w:rPr>
              <w:t> </w:t>
            </w:r>
          </w:p>
        </w:tc>
        <w:tc>
          <w:tcPr>
            <w:tcW w:w="1255" w:type="dxa"/>
            <w:gridSpan w:val="3"/>
            <w:tcBorders/>
            <w:shd w:color="auto" w:fill="F2F2F2" w:themeFill="background1" w:themeFillShade="f2" w:val="clear"/>
            <w:vAlign w:val="bottom"/>
          </w:tcPr>
          <w:p>
            <w:pPr>
              <w:pStyle w:val="Normal"/>
              <w:spacing w:before="0" w:after="0"/>
              <w:jc w:val="center"/>
              <w:rPr/>
            </w:pPr>
            <w:r>
              <w:rPr>
                <w:rFonts w:cs="Calibri"/>
                <w:color w:val="000000"/>
                <w:sz w:val="20"/>
              </w:rPr>
              <w:t>5,0%</w:t>
            </w:r>
          </w:p>
        </w:tc>
        <w:tc>
          <w:tcPr>
            <w:tcW w:w="1358" w:type="dxa"/>
            <w:gridSpan w:val="3"/>
            <w:tcBorders/>
            <w:shd w:color="auto" w:fill="F2F2F2" w:themeFill="background1" w:themeFillShade="f2" w:val="clear"/>
            <w:vAlign w:val="bottom"/>
          </w:tcPr>
          <w:p>
            <w:pPr>
              <w:pStyle w:val="Normal"/>
              <w:spacing w:before="0" w:after="0"/>
              <w:jc w:val="center"/>
              <w:rPr/>
            </w:pPr>
            <w:r>
              <w:rPr>
                <w:rFonts w:cs="Calibri"/>
                <w:color w:val="000000"/>
                <w:sz w:val="20"/>
              </w:rPr>
              <w:t>3,5%</w:t>
            </w:r>
          </w:p>
        </w:tc>
        <w:tc>
          <w:tcPr>
            <w:tcW w:w="1295" w:type="dxa"/>
            <w:gridSpan w:val="3"/>
            <w:tcBorders>
              <w:right w:val="single" w:sz="4" w:space="0" w:color="000000"/>
            </w:tcBorders>
            <w:shd w:color="auto" w:fill="F2F2F2" w:themeFill="background1" w:themeFillShade="f2" w:val="clear"/>
            <w:vAlign w:val="bottom"/>
          </w:tcPr>
          <w:p>
            <w:pPr>
              <w:pStyle w:val="Normal"/>
              <w:spacing w:before="0" w:after="0"/>
              <w:jc w:val="center"/>
              <w:rPr/>
            </w:pPr>
            <w:r>
              <w:rPr>
                <w:rFonts w:cs="Calibri"/>
                <w:color w:val="000000"/>
                <w:sz w:val="20"/>
              </w:rPr>
              <w:t>3,0%</w:t>
            </w:r>
          </w:p>
        </w:tc>
      </w:tr>
      <w:tr>
        <w:trPr>
          <w:trHeight w:val="255" w:hRule="atLeast"/>
        </w:trPr>
        <w:tc>
          <w:tcPr>
            <w:tcW w:w="1481" w:type="dxa"/>
            <w:tcBorders>
              <w:left w:val="single" w:sz="4" w:space="0" w:color="000000"/>
            </w:tcBorders>
            <w:shd w:color="auto" w:fill="F2F2F2" w:themeFill="background1" w:themeFillShade="f2" w:val="clear"/>
            <w:vAlign w:val="bottom"/>
          </w:tcPr>
          <w:p>
            <w:pPr>
              <w:pStyle w:val="Normal"/>
              <w:spacing w:before="0" w:after="0"/>
              <w:rPr/>
            </w:pPr>
            <w:r>
              <w:rPr>
                <w:rFonts w:cs="Calibri"/>
                <w:color w:val="000000"/>
                <w:sz w:val="20"/>
              </w:rPr>
              <w:t>Mare</w:t>
            </w:r>
          </w:p>
        </w:tc>
        <w:tc>
          <w:tcPr>
            <w:tcW w:w="1261" w:type="dxa"/>
            <w:tcBorders/>
            <w:shd w:color="auto" w:fill="F2F2F2" w:themeFill="background1" w:themeFillShade="f2" w:val="clear"/>
            <w:vAlign w:val="bottom"/>
          </w:tcPr>
          <w:p>
            <w:pPr>
              <w:pStyle w:val="Normal"/>
              <w:spacing w:before="0" w:after="0"/>
              <w:rPr/>
            </w:pPr>
            <w:r>
              <w:rPr>
                <w:rFonts w:cs="Calibri"/>
                <w:color w:val="000000"/>
                <w:sz w:val="20"/>
              </w:rPr>
              <w:t> </w:t>
            </w:r>
          </w:p>
        </w:tc>
        <w:tc>
          <w:tcPr>
            <w:tcW w:w="1262" w:type="dxa"/>
            <w:gridSpan w:val="2"/>
            <w:tcBorders/>
            <w:shd w:color="auto" w:fill="F2F2F2" w:themeFill="background1" w:themeFillShade="f2" w:val="clear"/>
            <w:vAlign w:val="bottom"/>
          </w:tcPr>
          <w:p>
            <w:pPr>
              <w:pStyle w:val="Normal"/>
              <w:spacing w:before="0" w:after="0"/>
              <w:rPr/>
            </w:pPr>
            <w:r>
              <w:rPr>
                <w:rFonts w:cs="Calibri"/>
                <w:color w:val="000000"/>
                <w:sz w:val="20"/>
              </w:rPr>
              <w:t> </w:t>
            </w:r>
          </w:p>
        </w:tc>
        <w:tc>
          <w:tcPr>
            <w:tcW w:w="1585" w:type="dxa"/>
            <w:gridSpan w:val="3"/>
            <w:tcBorders>
              <w:right w:val="single" w:sz="4" w:space="0" w:color="000000"/>
            </w:tcBorders>
            <w:shd w:color="auto" w:fill="F2F2F2" w:themeFill="background1" w:themeFillShade="f2" w:val="clear"/>
            <w:vAlign w:val="bottom"/>
          </w:tcPr>
          <w:p>
            <w:pPr>
              <w:pStyle w:val="Normal"/>
              <w:spacing w:before="0" w:after="0"/>
              <w:rPr/>
            </w:pPr>
            <w:r>
              <w:rPr>
                <w:rFonts w:cs="Calibri"/>
                <w:color w:val="000000"/>
                <w:sz w:val="20"/>
              </w:rPr>
              <w:t> </w:t>
            </w:r>
          </w:p>
        </w:tc>
        <w:tc>
          <w:tcPr>
            <w:tcW w:w="1255" w:type="dxa"/>
            <w:gridSpan w:val="3"/>
            <w:tcBorders/>
            <w:shd w:color="auto" w:fill="F2F2F2" w:themeFill="background1" w:themeFillShade="f2" w:val="clear"/>
            <w:vAlign w:val="bottom"/>
          </w:tcPr>
          <w:p>
            <w:pPr>
              <w:pStyle w:val="Normal"/>
              <w:spacing w:before="0" w:after="0"/>
              <w:jc w:val="center"/>
              <w:rPr/>
            </w:pPr>
            <w:r>
              <w:rPr>
                <w:rFonts w:cs="Calibri"/>
                <w:color w:val="000000"/>
                <w:sz w:val="20"/>
              </w:rPr>
              <w:t>5,5%</w:t>
            </w:r>
          </w:p>
        </w:tc>
        <w:tc>
          <w:tcPr>
            <w:tcW w:w="1358" w:type="dxa"/>
            <w:gridSpan w:val="3"/>
            <w:tcBorders/>
            <w:shd w:color="auto" w:fill="F2F2F2" w:themeFill="background1" w:themeFillShade="f2" w:val="clear"/>
            <w:vAlign w:val="bottom"/>
          </w:tcPr>
          <w:p>
            <w:pPr>
              <w:pStyle w:val="Normal"/>
              <w:spacing w:before="0" w:after="0"/>
              <w:jc w:val="center"/>
              <w:rPr/>
            </w:pPr>
            <w:r>
              <w:rPr>
                <w:rFonts w:cs="Calibri"/>
                <w:color w:val="000000"/>
                <w:sz w:val="20"/>
              </w:rPr>
              <w:t>3,9%</w:t>
            </w:r>
          </w:p>
        </w:tc>
        <w:tc>
          <w:tcPr>
            <w:tcW w:w="1295" w:type="dxa"/>
            <w:gridSpan w:val="3"/>
            <w:tcBorders>
              <w:right w:val="single" w:sz="4" w:space="0" w:color="000000"/>
            </w:tcBorders>
            <w:shd w:color="auto" w:fill="F2F2F2" w:themeFill="background1" w:themeFillShade="f2" w:val="clear"/>
            <w:vAlign w:val="bottom"/>
          </w:tcPr>
          <w:p>
            <w:pPr>
              <w:pStyle w:val="Normal"/>
              <w:spacing w:before="0" w:after="0"/>
              <w:jc w:val="center"/>
              <w:rPr/>
            </w:pPr>
            <w:r>
              <w:rPr>
                <w:rFonts w:cs="Calibri"/>
                <w:color w:val="000000"/>
                <w:sz w:val="20"/>
              </w:rPr>
              <w:t>3,6%</w:t>
            </w:r>
          </w:p>
        </w:tc>
      </w:tr>
      <w:tr>
        <w:trPr>
          <w:trHeight w:val="255" w:hRule="atLeast"/>
        </w:trPr>
        <w:tc>
          <w:tcPr>
            <w:tcW w:w="1481" w:type="dxa"/>
            <w:tcBorders>
              <w:left w:val="single" w:sz="4" w:space="0" w:color="000000"/>
              <w:bottom w:val="single" w:sz="4" w:space="0" w:color="000000"/>
            </w:tcBorders>
            <w:shd w:color="auto" w:fill="F2F2F2" w:themeFill="background1" w:themeFillShade="f2" w:val="clear"/>
            <w:vAlign w:val="bottom"/>
          </w:tcPr>
          <w:p>
            <w:pPr>
              <w:pStyle w:val="Normal"/>
              <w:spacing w:before="0" w:after="0"/>
              <w:rPr/>
            </w:pPr>
            <w:r>
              <w:rPr>
                <w:rFonts w:cs="Calibri"/>
                <w:color w:val="000000"/>
                <w:sz w:val="20"/>
              </w:rPr>
              <w:t>Montagna</w:t>
            </w:r>
          </w:p>
        </w:tc>
        <w:tc>
          <w:tcPr>
            <w:tcW w:w="1261" w:type="dxa"/>
            <w:tcBorders>
              <w:bottom w:val="single" w:sz="4" w:space="0" w:color="000000"/>
            </w:tcBorders>
            <w:shd w:color="auto" w:fill="F2F2F2" w:themeFill="background1" w:themeFillShade="f2" w:val="clear"/>
            <w:vAlign w:val="bottom"/>
          </w:tcPr>
          <w:p>
            <w:pPr>
              <w:pStyle w:val="Normal"/>
              <w:spacing w:before="0" w:after="0"/>
              <w:rPr>
                <w:rFonts w:ascii="Calibri" w:hAnsi="Calibri" w:cs="Calibri"/>
                <w:color w:val="000000"/>
                <w:sz w:val="20"/>
              </w:rPr>
            </w:pPr>
            <w:r>
              <w:rPr>
                <w:rFonts w:cs="Calibri"/>
                <w:color w:val="000000"/>
                <w:sz w:val="20"/>
              </w:rPr>
            </w:r>
          </w:p>
        </w:tc>
        <w:tc>
          <w:tcPr>
            <w:tcW w:w="1262" w:type="dxa"/>
            <w:gridSpan w:val="2"/>
            <w:tcBorders>
              <w:bottom w:val="single" w:sz="4" w:space="0" w:color="000000"/>
            </w:tcBorders>
            <w:shd w:color="auto" w:fill="F2F2F2" w:themeFill="background1" w:themeFillShade="f2" w:val="clear"/>
            <w:vAlign w:val="bottom"/>
          </w:tcPr>
          <w:p>
            <w:pPr>
              <w:pStyle w:val="Normal"/>
              <w:spacing w:before="0" w:after="0"/>
              <w:rPr>
                <w:rFonts w:ascii="Calibri" w:hAnsi="Calibri" w:cs="Calibri"/>
                <w:color w:val="000000"/>
                <w:sz w:val="20"/>
              </w:rPr>
            </w:pPr>
            <w:r>
              <w:rPr>
                <w:rFonts w:cs="Calibri"/>
                <w:color w:val="000000"/>
                <w:sz w:val="20"/>
              </w:rPr>
            </w:r>
          </w:p>
        </w:tc>
        <w:tc>
          <w:tcPr>
            <w:tcW w:w="1585" w:type="dxa"/>
            <w:gridSpan w:val="3"/>
            <w:tcBorders>
              <w:bottom w:val="single" w:sz="4" w:space="0" w:color="000000"/>
              <w:right w:val="single" w:sz="4" w:space="0" w:color="000000"/>
            </w:tcBorders>
            <w:shd w:color="auto" w:fill="F2F2F2" w:themeFill="background1" w:themeFillShade="f2" w:val="clear"/>
            <w:vAlign w:val="bottom"/>
          </w:tcPr>
          <w:p>
            <w:pPr>
              <w:pStyle w:val="Normal"/>
              <w:spacing w:before="0" w:after="0"/>
              <w:rPr>
                <w:rFonts w:ascii="Calibri" w:hAnsi="Calibri" w:cs="Calibri"/>
                <w:color w:val="000000"/>
                <w:sz w:val="20"/>
              </w:rPr>
            </w:pPr>
            <w:r>
              <w:rPr>
                <w:rFonts w:cs="Calibri"/>
                <w:color w:val="000000"/>
                <w:sz w:val="20"/>
              </w:rPr>
            </w:r>
          </w:p>
        </w:tc>
        <w:tc>
          <w:tcPr>
            <w:tcW w:w="1255" w:type="dxa"/>
            <w:gridSpan w:val="3"/>
            <w:tcBorders>
              <w:bottom w:val="single" w:sz="4" w:space="0" w:color="000000"/>
            </w:tcBorders>
            <w:shd w:color="auto" w:fill="F2F2F2" w:themeFill="background1" w:themeFillShade="f2" w:val="clear"/>
            <w:vAlign w:val="bottom"/>
          </w:tcPr>
          <w:p>
            <w:pPr>
              <w:pStyle w:val="Normal"/>
              <w:spacing w:before="0" w:after="0"/>
              <w:jc w:val="center"/>
              <w:rPr/>
            </w:pPr>
            <w:r>
              <w:rPr>
                <w:rFonts w:cs="Calibri"/>
                <w:color w:val="000000"/>
                <w:sz w:val="20"/>
              </w:rPr>
              <w:t>5,2%</w:t>
            </w:r>
          </w:p>
        </w:tc>
        <w:tc>
          <w:tcPr>
            <w:tcW w:w="1358" w:type="dxa"/>
            <w:gridSpan w:val="3"/>
            <w:tcBorders>
              <w:bottom w:val="single" w:sz="4" w:space="0" w:color="000000"/>
            </w:tcBorders>
            <w:shd w:color="auto" w:fill="F2F2F2" w:themeFill="background1" w:themeFillShade="f2" w:val="clear"/>
            <w:vAlign w:val="bottom"/>
          </w:tcPr>
          <w:p>
            <w:pPr>
              <w:pStyle w:val="Normal"/>
              <w:spacing w:before="0" w:after="0"/>
              <w:jc w:val="center"/>
              <w:rPr/>
            </w:pPr>
            <w:r>
              <w:rPr>
                <w:rFonts w:cs="Calibri"/>
                <w:color w:val="000000"/>
                <w:sz w:val="20"/>
              </w:rPr>
              <w:t>5,5%</w:t>
            </w:r>
          </w:p>
        </w:tc>
        <w:tc>
          <w:tcPr>
            <w:tcW w:w="1295" w:type="dxa"/>
            <w:gridSpan w:val="3"/>
            <w:tcBorders>
              <w:bottom w:val="single" w:sz="4" w:space="0" w:color="000000"/>
              <w:right w:val="single" w:sz="4" w:space="0" w:color="000000"/>
            </w:tcBorders>
            <w:shd w:color="auto" w:fill="F2F2F2" w:themeFill="background1" w:themeFillShade="f2" w:val="clear"/>
            <w:vAlign w:val="bottom"/>
          </w:tcPr>
          <w:p>
            <w:pPr>
              <w:pStyle w:val="Normal"/>
              <w:spacing w:before="0" w:after="0"/>
              <w:jc w:val="center"/>
              <w:rPr/>
            </w:pPr>
            <w:r>
              <w:rPr>
                <w:rFonts w:cs="Calibri"/>
                <w:color w:val="000000"/>
                <w:sz w:val="20"/>
              </w:rPr>
              <w:t>2,3%</w:t>
            </w:r>
            <w:bookmarkStart w:id="0" w:name="_Hlk154579773"/>
            <w:bookmarkEnd w:id="0"/>
          </w:p>
        </w:tc>
      </w:tr>
      <w:tr>
        <w:trPr>
          <w:trHeight w:val="255" w:hRule="atLeast"/>
        </w:trPr>
        <w:tc>
          <w:tcPr>
            <w:tcW w:w="2743" w:type="dxa"/>
            <w:gridSpan w:val="3"/>
            <w:tcBorders>
              <w:left w:val="single" w:sz="4" w:space="0" w:color="000000"/>
              <w:bottom w:val="single" w:sz="4" w:space="0" w:color="000000"/>
            </w:tcBorders>
            <w:shd w:color="auto" w:fill="F2F2F2" w:themeFill="background1" w:themeFillShade="f2" w:val="clear"/>
            <w:vAlign w:val="bottom"/>
          </w:tcPr>
          <w:p>
            <w:pPr>
              <w:pStyle w:val="Normal"/>
              <w:spacing w:before="0" w:after="0"/>
              <w:rPr/>
            </w:pPr>
            <w:r>
              <w:rPr>
                <w:rFonts w:cs="Calibri"/>
                <w:b/>
                <w:bCs/>
                <w:color w:val="000000"/>
                <w:sz w:val="20"/>
              </w:rPr>
              <w:t>Tot panel località (185)</w:t>
            </w:r>
          </w:p>
        </w:tc>
        <w:tc>
          <w:tcPr>
            <w:tcW w:w="1262" w:type="dxa"/>
            <w:gridSpan w:val="2"/>
            <w:tcBorders>
              <w:bottom w:val="single" w:sz="4" w:space="0" w:color="000000"/>
            </w:tcBorders>
            <w:shd w:color="auto" w:fill="F2F2F2" w:themeFill="background1" w:themeFillShade="f2" w:val="clear"/>
            <w:vAlign w:val="bottom"/>
          </w:tcPr>
          <w:p>
            <w:pPr>
              <w:pStyle w:val="Normal"/>
              <w:spacing w:before="0" w:after="0"/>
              <w:rPr>
                <w:rFonts w:ascii="Calibri" w:hAnsi="Calibri" w:cs="Calibri"/>
                <w:color w:val="000000"/>
                <w:sz w:val="20"/>
              </w:rPr>
            </w:pPr>
            <w:r>
              <w:rPr>
                <w:rFonts w:cs="Calibri"/>
                <w:color w:val="000000"/>
                <w:sz w:val="20"/>
              </w:rPr>
            </w:r>
          </w:p>
        </w:tc>
        <w:tc>
          <w:tcPr>
            <w:tcW w:w="1585" w:type="dxa"/>
            <w:gridSpan w:val="3"/>
            <w:tcBorders>
              <w:bottom w:val="single" w:sz="4" w:space="0" w:color="000000"/>
              <w:right w:val="single" w:sz="4" w:space="0" w:color="000000"/>
            </w:tcBorders>
            <w:shd w:color="auto" w:fill="F2F2F2" w:themeFill="background1" w:themeFillShade="f2" w:val="clear"/>
            <w:vAlign w:val="bottom"/>
          </w:tcPr>
          <w:p>
            <w:pPr>
              <w:pStyle w:val="Normal"/>
              <w:spacing w:before="0" w:after="0"/>
              <w:rPr>
                <w:rFonts w:ascii="Calibri" w:hAnsi="Calibri" w:cs="Calibri"/>
                <w:color w:val="000000"/>
                <w:sz w:val="20"/>
              </w:rPr>
            </w:pPr>
            <w:r>
              <w:rPr>
                <w:rFonts w:cs="Calibri"/>
                <w:color w:val="000000"/>
                <w:sz w:val="20"/>
              </w:rPr>
            </w:r>
          </w:p>
        </w:tc>
        <w:tc>
          <w:tcPr>
            <w:tcW w:w="1255" w:type="dxa"/>
            <w:gridSpan w:val="3"/>
            <w:tcBorders>
              <w:bottom w:val="single" w:sz="4" w:space="0" w:color="000000"/>
            </w:tcBorders>
            <w:shd w:color="auto" w:fill="F2F2F2" w:themeFill="background1" w:themeFillShade="f2" w:val="clear"/>
            <w:vAlign w:val="bottom"/>
          </w:tcPr>
          <w:p>
            <w:pPr>
              <w:pStyle w:val="Normal"/>
              <w:spacing w:before="0" w:after="0"/>
              <w:jc w:val="center"/>
              <w:rPr/>
            </w:pPr>
            <w:r>
              <w:rPr>
                <w:rFonts w:cs="Calibri"/>
                <w:b/>
                <w:bCs/>
                <w:color w:val="000000"/>
                <w:sz w:val="20"/>
              </w:rPr>
              <w:t>5,4%</w:t>
            </w:r>
          </w:p>
        </w:tc>
        <w:tc>
          <w:tcPr>
            <w:tcW w:w="1358" w:type="dxa"/>
            <w:gridSpan w:val="3"/>
            <w:tcBorders>
              <w:bottom w:val="single" w:sz="4" w:space="0" w:color="000000"/>
            </w:tcBorders>
            <w:shd w:color="auto" w:fill="F2F2F2" w:themeFill="background1" w:themeFillShade="f2" w:val="clear"/>
            <w:vAlign w:val="bottom"/>
          </w:tcPr>
          <w:p>
            <w:pPr>
              <w:pStyle w:val="Normal"/>
              <w:spacing w:before="0" w:after="0"/>
              <w:jc w:val="center"/>
              <w:rPr/>
            </w:pPr>
            <w:r>
              <w:rPr>
                <w:rFonts w:cs="Calibri"/>
                <w:b/>
                <w:bCs/>
                <w:color w:val="000000"/>
                <w:sz w:val="20"/>
              </w:rPr>
              <w:t>4,3%</w:t>
            </w:r>
          </w:p>
        </w:tc>
        <w:tc>
          <w:tcPr>
            <w:tcW w:w="1294" w:type="dxa"/>
            <w:gridSpan w:val="2"/>
            <w:tcBorders>
              <w:bottom w:val="single" w:sz="4" w:space="0" w:color="000000"/>
              <w:right w:val="single" w:sz="4" w:space="0" w:color="000000"/>
            </w:tcBorders>
            <w:shd w:color="auto" w:fill="F2F2F2" w:themeFill="background1" w:themeFillShade="f2" w:val="clear"/>
            <w:vAlign w:val="bottom"/>
          </w:tcPr>
          <w:p>
            <w:pPr>
              <w:pStyle w:val="Normal"/>
              <w:spacing w:before="0" w:after="0"/>
              <w:jc w:val="center"/>
              <w:rPr/>
            </w:pPr>
            <w:r>
              <w:rPr>
                <w:rFonts w:cs="Calibri"/>
                <w:b/>
                <w:bCs/>
                <w:color w:val="000000"/>
                <w:sz w:val="20"/>
              </w:rPr>
              <w:t>3,3%</w:t>
            </w:r>
          </w:p>
        </w:tc>
      </w:tr>
    </w:tbl>
    <w:p>
      <w:pPr>
        <w:pStyle w:val="Normal"/>
        <w:spacing w:before="0" w:after="0"/>
        <w:rPr/>
      </w:pPr>
      <w:r>
        <w:rPr>
          <w:rFonts w:eastAsia="Calibri" w:cs="Calibri" w:cstheme="minorHAnsi"/>
          <w:sz w:val="18"/>
          <w:lang w:val="pt-PT"/>
        </w:rPr>
        <w:t>Fonte: Nomisma e Fimaa-Confcommercio</w:t>
      </w:r>
    </w:p>
    <w:p>
      <w:pPr>
        <w:pStyle w:val="Normal"/>
        <w:spacing w:before="0" w:after="0"/>
        <w:rPr>
          <w:rFonts w:eastAsia="Calibri" w:cs="Calibri" w:cstheme="minorHAnsi"/>
          <w:lang w:val="pt-PT"/>
        </w:rPr>
      </w:pPr>
      <w:r>
        <w:rPr>
          <w:rFonts w:eastAsia="Calibri" w:cs="Calibri" w:cstheme="minorHAnsi"/>
          <w:lang w:val="pt-PT"/>
        </w:rPr>
      </w:r>
    </w:p>
    <w:tbl>
      <w:tblPr>
        <w:tblW w:w="9638" w:type="dxa"/>
        <w:jc w:val="center"/>
        <w:tblInd w:w="0" w:type="dxa"/>
        <w:tblCellMar>
          <w:top w:w="0" w:type="dxa"/>
          <w:left w:w="108" w:type="dxa"/>
          <w:bottom w:w="0" w:type="dxa"/>
          <w:right w:w="108" w:type="dxa"/>
        </w:tblCellMar>
        <w:tblLook w:firstRow="1" w:noVBand="1" w:lastRow="0" w:firstColumn="1" w:lastColumn="0" w:noHBand="0" w:val="04a0"/>
      </w:tblPr>
      <w:tblGrid>
        <w:gridCol w:w="2025"/>
        <w:gridCol w:w="2099"/>
        <w:gridCol w:w="2648"/>
        <w:gridCol w:w="2865"/>
      </w:tblGrid>
      <w:tr>
        <w:trPr>
          <w:trHeight w:val="340" w:hRule="atLeast"/>
        </w:trPr>
        <w:tc>
          <w:tcPr>
            <w:tcW w:w="2025" w:type="dxa"/>
            <w:tcBorders/>
            <w:shd w:color="auto" w:fill="auto" w:val="clear"/>
            <w:vAlign w:val="center"/>
          </w:tcPr>
          <w:p>
            <w:pPr>
              <w:pStyle w:val="Normal"/>
              <w:spacing w:lineRule="auto" w:line="240" w:before="0" w:after="0"/>
              <w:rPr>
                <w:b/>
                <w:b/>
                <w:bCs/>
                <w:caps/>
                <w:szCs w:val="24"/>
              </w:rPr>
            </w:pPr>
            <w:r>
              <w:rPr>
                <w:rFonts w:eastAsia="Calibri" w:cs="Calibri" w:cstheme="minorHAnsi"/>
                <w:b/>
                <w:sz w:val="20"/>
                <w:szCs w:val="24"/>
              </w:rPr>
              <w:t>Tavola 3</w:t>
            </w:r>
          </w:p>
        </w:tc>
        <w:tc>
          <w:tcPr>
            <w:tcW w:w="7612" w:type="dxa"/>
            <w:gridSpan w:val="3"/>
            <w:tcBorders/>
            <w:shd w:color="auto" w:fill="D9D9D9" w:themeFill="background1" w:themeFillShade="d9" w:val="clear"/>
            <w:vAlign w:val="center"/>
          </w:tcPr>
          <w:p>
            <w:pPr>
              <w:pStyle w:val="Normal"/>
              <w:spacing w:lineRule="auto" w:line="240" w:before="0" w:after="0"/>
              <w:jc w:val="center"/>
              <w:rPr>
                <w:b/>
                <w:b/>
                <w:bCs/>
                <w:caps/>
                <w:szCs w:val="24"/>
              </w:rPr>
            </w:pPr>
            <w:r>
              <w:rPr>
                <w:rFonts w:eastAsia="Calibri" w:cs="Calibri" w:cstheme="minorHAnsi"/>
                <w:b/>
                <w:bCs/>
                <w:sz w:val="20"/>
                <w:szCs w:val="24"/>
              </w:rPr>
              <w:t>Prezzi medi 2023 (€/mq)</w:t>
            </w:r>
          </w:p>
        </w:tc>
      </w:tr>
      <w:tr>
        <w:trPr>
          <w:trHeight w:val="340" w:hRule="atLeast"/>
        </w:trPr>
        <w:tc>
          <w:tcPr>
            <w:tcW w:w="2025" w:type="dxa"/>
            <w:tcBorders/>
            <w:shd w:color="auto" w:fill="auto" w:val="clear"/>
            <w:vAlign w:val="center"/>
          </w:tcPr>
          <w:p>
            <w:pPr>
              <w:pStyle w:val="Normal"/>
              <w:spacing w:lineRule="auto" w:line="240" w:before="0" w:after="0"/>
              <w:rPr>
                <w:rFonts w:eastAsia="Calibri" w:cs="Calibri" w:cstheme="minorHAnsi"/>
                <w:b/>
                <w:b/>
                <w:bCs/>
                <w:caps/>
                <w:sz w:val="20"/>
                <w:szCs w:val="24"/>
              </w:rPr>
            </w:pPr>
            <w:r>
              <w:rPr>
                <w:rFonts w:eastAsia="Calibri" w:cs="Calibri" w:cstheme="minorHAnsi"/>
                <w:b/>
                <w:bCs/>
                <w:caps/>
                <w:sz w:val="20"/>
                <w:szCs w:val="24"/>
              </w:rPr>
            </w:r>
          </w:p>
        </w:tc>
        <w:tc>
          <w:tcPr>
            <w:tcW w:w="2099" w:type="dxa"/>
            <w:tcBorders/>
            <w:shd w:color="auto" w:fill="F2F2F2" w:themeFill="background1" w:themeFillShade="f2" w:val="clear"/>
            <w:vAlign w:val="center"/>
          </w:tcPr>
          <w:p>
            <w:pPr>
              <w:pStyle w:val="Normal"/>
              <w:spacing w:lineRule="auto" w:line="240" w:before="0" w:after="0"/>
              <w:jc w:val="center"/>
              <w:rPr>
                <w:b/>
                <w:b/>
                <w:bCs/>
                <w:caps/>
                <w:szCs w:val="24"/>
              </w:rPr>
            </w:pPr>
            <w:r>
              <w:rPr>
                <w:rFonts w:eastAsia="Calibri" w:cs="Calibri" w:cstheme="minorHAnsi"/>
                <w:b/>
                <w:bCs/>
                <w:sz w:val="20"/>
                <w:szCs w:val="24"/>
              </w:rPr>
              <w:t>Abitazioni top nuove</w:t>
            </w:r>
          </w:p>
        </w:tc>
        <w:tc>
          <w:tcPr>
            <w:tcW w:w="2648" w:type="dxa"/>
            <w:tcBorders/>
            <w:shd w:color="auto" w:fill="F2F2F2" w:themeFill="background1" w:themeFillShade="f2" w:val="clear"/>
            <w:vAlign w:val="center"/>
          </w:tcPr>
          <w:p>
            <w:pPr>
              <w:pStyle w:val="Normal"/>
              <w:spacing w:lineRule="auto" w:line="240" w:before="0" w:after="0"/>
              <w:jc w:val="center"/>
              <w:rPr>
                <w:b/>
                <w:b/>
                <w:bCs/>
                <w:caps/>
                <w:szCs w:val="24"/>
              </w:rPr>
            </w:pPr>
            <w:r>
              <w:rPr>
                <w:rFonts w:eastAsia="Calibri" w:cs="Calibri" w:cstheme="minorHAnsi"/>
                <w:b/>
                <w:bCs/>
                <w:sz w:val="20"/>
                <w:szCs w:val="24"/>
              </w:rPr>
              <w:t>Abitazioni centrali usate</w:t>
            </w:r>
          </w:p>
        </w:tc>
        <w:tc>
          <w:tcPr>
            <w:tcW w:w="2865" w:type="dxa"/>
            <w:tcBorders/>
            <w:shd w:color="auto" w:fill="F2F2F2" w:themeFill="background1" w:themeFillShade="f2" w:val="clear"/>
            <w:vAlign w:val="center"/>
          </w:tcPr>
          <w:p>
            <w:pPr>
              <w:pStyle w:val="Normal"/>
              <w:spacing w:lineRule="auto" w:line="240" w:before="0" w:after="0"/>
              <w:jc w:val="center"/>
              <w:rPr>
                <w:b/>
                <w:b/>
                <w:bCs/>
                <w:caps/>
                <w:szCs w:val="24"/>
              </w:rPr>
            </w:pPr>
            <w:r>
              <w:rPr>
                <w:rFonts w:eastAsia="Calibri" w:cs="Calibri" w:cstheme="minorHAnsi"/>
                <w:b/>
                <w:bCs/>
                <w:sz w:val="20"/>
                <w:szCs w:val="24"/>
              </w:rPr>
              <w:t>Abitazioni periferiche usate</w:t>
            </w:r>
          </w:p>
        </w:tc>
      </w:tr>
      <w:tr>
        <w:trPr>
          <w:trHeight w:val="340" w:hRule="atLeast"/>
        </w:trPr>
        <w:tc>
          <w:tcPr>
            <w:tcW w:w="2025" w:type="dxa"/>
            <w:tcBorders/>
            <w:shd w:color="auto" w:fill="DBE5F1" w:themeFill="accent1" w:themeFillTint="33" w:val="clear"/>
            <w:vAlign w:val="center"/>
          </w:tcPr>
          <w:p>
            <w:pPr>
              <w:pStyle w:val="Normal"/>
              <w:spacing w:lineRule="auto" w:line="240" w:before="0" w:after="0"/>
              <w:rPr>
                <w:b/>
                <w:b/>
                <w:bCs/>
                <w:caps/>
                <w:szCs w:val="24"/>
              </w:rPr>
            </w:pPr>
            <w:r>
              <w:rPr>
                <w:rFonts w:eastAsia="Calibri" w:cs="Calibri" w:cstheme="minorHAnsi"/>
                <w:b/>
                <w:bCs/>
                <w:sz w:val="20"/>
                <w:szCs w:val="24"/>
              </w:rPr>
              <w:t>Località lacuali</w:t>
            </w:r>
          </w:p>
        </w:tc>
        <w:tc>
          <w:tcPr>
            <w:tcW w:w="2099" w:type="dxa"/>
            <w:tcBorders/>
            <w:shd w:color="auto" w:fill="DBE5F1" w:themeFill="accent1" w:themeFillTint="33" w:val="clear"/>
            <w:vAlign w:val="center"/>
          </w:tcPr>
          <w:p>
            <w:pPr>
              <w:pStyle w:val="Normal"/>
              <w:spacing w:lineRule="auto" w:line="240" w:before="0" w:after="0"/>
              <w:jc w:val="center"/>
              <w:rPr>
                <w:b/>
                <w:b/>
                <w:bCs/>
                <w:caps/>
                <w:szCs w:val="24"/>
              </w:rPr>
            </w:pPr>
            <w:r>
              <w:rPr>
                <w:rFonts w:cs="Calibri"/>
                <w:b/>
                <w:bCs/>
                <w:caps/>
                <w:color w:val="000000"/>
                <w:sz w:val="20"/>
                <w:szCs w:val="24"/>
              </w:rPr>
              <w:t>3.610</w:t>
            </w:r>
          </w:p>
        </w:tc>
        <w:tc>
          <w:tcPr>
            <w:tcW w:w="2648" w:type="dxa"/>
            <w:tcBorders/>
            <w:shd w:color="auto" w:fill="DBE5F1" w:themeFill="accent1" w:themeFillTint="33" w:val="clear"/>
            <w:vAlign w:val="center"/>
          </w:tcPr>
          <w:p>
            <w:pPr>
              <w:pStyle w:val="Normal"/>
              <w:spacing w:lineRule="auto" w:line="240" w:before="0" w:after="0"/>
              <w:jc w:val="center"/>
              <w:rPr>
                <w:b/>
                <w:b/>
                <w:bCs/>
                <w:caps/>
                <w:szCs w:val="24"/>
              </w:rPr>
            </w:pPr>
            <w:r>
              <w:rPr>
                <w:rFonts w:cs="Calibri"/>
                <w:b/>
                <w:bCs/>
                <w:caps/>
                <w:color w:val="000000"/>
                <w:sz w:val="20"/>
                <w:szCs w:val="24"/>
              </w:rPr>
              <w:t>2.370</w:t>
            </w:r>
          </w:p>
        </w:tc>
        <w:tc>
          <w:tcPr>
            <w:tcW w:w="2865" w:type="dxa"/>
            <w:tcBorders/>
            <w:shd w:color="auto" w:fill="DBE5F1" w:themeFill="accent1" w:themeFillTint="33" w:val="clear"/>
            <w:vAlign w:val="center"/>
          </w:tcPr>
          <w:p>
            <w:pPr>
              <w:pStyle w:val="Normal"/>
              <w:spacing w:lineRule="auto" w:line="240" w:before="0" w:after="0"/>
              <w:jc w:val="center"/>
              <w:rPr>
                <w:b/>
                <w:b/>
                <w:bCs/>
                <w:caps/>
                <w:szCs w:val="24"/>
              </w:rPr>
            </w:pPr>
            <w:r>
              <w:rPr>
                <w:rFonts w:cs="Calibri"/>
                <w:b/>
                <w:bCs/>
                <w:caps/>
                <w:color w:val="000000"/>
                <w:sz w:val="20"/>
                <w:szCs w:val="24"/>
              </w:rPr>
              <w:t>1.660</w:t>
            </w:r>
          </w:p>
        </w:tc>
      </w:tr>
      <w:tr>
        <w:trPr>
          <w:trHeight w:val="340" w:hRule="atLeast"/>
        </w:trPr>
        <w:tc>
          <w:tcPr>
            <w:tcW w:w="2025" w:type="dxa"/>
            <w:tcBorders/>
            <w:shd w:color="auto" w:fill="DBE5F1" w:themeFill="accent1" w:themeFillTint="33" w:val="clear"/>
            <w:vAlign w:val="center"/>
          </w:tcPr>
          <w:p>
            <w:pPr>
              <w:pStyle w:val="Normal"/>
              <w:spacing w:lineRule="auto" w:line="240" w:before="0" w:after="0"/>
              <w:rPr>
                <w:b/>
                <w:b/>
                <w:bCs/>
                <w:caps/>
                <w:szCs w:val="24"/>
              </w:rPr>
            </w:pPr>
            <w:r>
              <w:rPr>
                <w:rFonts w:eastAsia="Calibri" w:cs="Calibri" w:cstheme="minorHAnsi"/>
                <w:b/>
                <w:bCs/>
                <w:sz w:val="20"/>
                <w:szCs w:val="24"/>
              </w:rPr>
              <w:t>Località marine</w:t>
            </w:r>
          </w:p>
        </w:tc>
        <w:tc>
          <w:tcPr>
            <w:tcW w:w="2099" w:type="dxa"/>
            <w:tcBorders/>
            <w:shd w:color="auto" w:fill="DBE5F1" w:themeFill="accent1" w:themeFillTint="33" w:val="clear"/>
            <w:vAlign w:val="center"/>
          </w:tcPr>
          <w:p>
            <w:pPr>
              <w:pStyle w:val="Normal"/>
              <w:spacing w:lineRule="auto" w:line="240" w:before="0" w:after="0"/>
              <w:jc w:val="center"/>
              <w:rPr>
                <w:b/>
                <w:b/>
                <w:bCs/>
                <w:caps/>
                <w:szCs w:val="24"/>
              </w:rPr>
            </w:pPr>
            <w:r>
              <w:rPr>
                <w:rFonts w:cs="Calibri"/>
                <w:b/>
                <w:bCs/>
                <w:caps/>
                <w:color w:val="000000"/>
                <w:sz w:val="20"/>
                <w:szCs w:val="24"/>
              </w:rPr>
              <w:t>3.800</w:t>
            </w:r>
          </w:p>
        </w:tc>
        <w:tc>
          <w:tcPr>
            <w:tcW w:w="2648" w:type="dxa"/>
            <w:tcBorders/>
            <w:shd w:color="auto" w:fill="DBE5F1" w:themeFill="accent1" w:themeFillTint="33" w:val="clear"/>
            <w:vAlign w:val="center"/>
          </w:tcPr>
          <w:p>
            <w:pPr>
              <w:pStyle w:val="Normal"/>
              <w:spacing w:lineRule="auto" w:line="240" w:before="0" w:after="0"/>
              <w:jc w:val="center"/>
              <w:rPr>
                <w:b/>
                <w:b/>
                <w:bCs/>
                <w:caps/>
                <w:szCs w:val="24"/>
              </w:rPr>
            </w:pPr>
            <w:r>
              <w:rPr>
                <w:rFonts w:cs="Calibri"/>
                <w:b/>
                <w:bCs/>
                <w:caps/>
                <w:color w:val="000000"/>
                <w:sz w:val="20"/>
                <w:szCs w:val="24"/>
              </w:rPr>
              <w:t>2.625</w:t>
            </w:r>
          </w:p>
        </w:tc>
        <w:tc>
          <w:tcPr>
            <w:tcW w:w="2865" w:type="dxa"/>
            <w:tcBorders/>
            <w:shd w:color="auto" w:fill="DBE5F1" w:themeFill="accent1" w:themeFillTint="33" w:val="clear"/>
            <w:vAlign w:val="center"/>
          </w:tcPr>
          <w:p>
            <w:pPr>
              <w:pStyle w:val="Normal"/>
              <w:spacing w:lineRule="auto" w:line="240" w:before="0" w:after="0"/>
              <w:jc w:val="center"/>
              <w:rPr>
                <w:b/>
                <w:b/>
                <w:bCs/>
                <w:caps/>
                <w:szCs w:val="24"/>
              </w:rPr>
            </w:pPr>
            <w:r>
              <w:rPr>
                <w:rFonts w:cs="Calibri"/>
                <w:b/>
                <w:bCs/>
                <w:caps/>
                <w:color w:val="000000"/>
                <w:sz w:val="20"/>
                <w:szCs w:val="24"/>
              </w:rPr>
              <w:t>1.815</w:t>
            </w:r>
          </w:p>
        </w:tc>
      </w:tr>
      <w:tr>
        <w:trPr>
          <w:trHeight w:val="340" w:hRule="atLeast"/>
        </w:trPr>
        <w:tc>
          <w:tcPr>
            <w:tcW w:w="2025" w:type="dxa"/>
            <w:tcBorders/>
            <w:shd w:color="auto" w:fill="DBE5F1" w:themeFill="accent1" w:themeFillTint="33" w:val="clear"/>
            <w:vAlign w:val="center"/>
          </w:tcPr>
          <w:p>
            <w:pPr>
              <w:pStyle w:val="Normal"/>
              <w:spacing w:lineRule="auto" w:line="240" w:before="0" w:after="0"/>
              <w:rPr>
                <w:b/>
                <w:b/>
                <w:bCs/>
                <w:caps/>
                <w:szCs w:val="24"/>
              </w:rPr>
            </w:pPr>
            <w:r>
              <w:rPr>
                <w:rFonts w:eastAsia="Calibri" w:cs="Calibri" w:cstheme="minorHAnsi"/>
                <w:b/>
                <w:bCs/>
                <w:sz w:val="20"/>
                <w:szCs w:val="24"/>
              </w:rPr>
              <w:t>Località montane</w:t>
            </w:r>
          </w:p>
        </w:tc>
        <w:tc>
          <w:tcPr>
            <w:tcW w:w="2099" w:type="dxa"/>
            <w:tcBorders/>
            <w:shd w:color="auto" w:fill="DBE5F1" w:themeFill="accent1" w:themeFillTint="33" w:val="clear"/>
            <w:vAlign w:val="center"/>
          </w:tcPr>
          <w:p>
            <w:pPr>
              <w:pStyle w:val="Normal"/>
              <w:spacing w:lineRule="auto" w:line="240" w:before="0" w:after="0"/>
              <w:jc w:val="center"/>
              <w:rPr>
                <w:b/>
                <w:b/>
                <w:bCs/>
                <w:caps/>
                <w:szCs w:val="24"/>
              </w:rPr>
            </w:pPr>
            <w:r>
              <w:rPr>
                <w:rFonts w:cs="Calibri"/>
                <w:b/>
                <w:bCs/>
                <w:caps/>
                <w:color w:val="000000"/>
                <w:sz w:val="20"/>
                <w:szCs w:val="24"/>
              </w:rPr>
              <w:t>4.285</w:t>
            </w:r>
          </w:p>
        </w:tc>
        <w:tc>
          <w:tcPr>
            <w:tcW w:w="2648" w:type="dxa"/>
            <w:tcBorders/>
            <w:shd w:color="auto" w:fill="DBE5F1" w:themeFill="accent1" w:themeFillTint="33" w:val="clear"/>
            <w:vAlign w:val="center"/>
          </w:tcPr>
          <w:p>
            <w:pPr>
              <w:pStyle w:val="Normal"/>
              <w:spacing w:lineRule="auto" w:line="240" w:before="0" w:after="0"/>
              <w:jc w:val="center"/>
              <w:rPr>
                <w:b/>
                <w:b/>
                <w:bCs/>
                <w:caps/>
                <w:szCs w:val="24"/>
              </w:rPr>
            </w:pPr>
            <w:r>
              <w:rPr>
                <w:rFonts w:cs="Calibri"/>
                <w:b/>
                <w:bCs/>
                <w:caps/>
                <w:color w:val="000000"/>
                <w:sz w:val="20"/>
                <w:szCs w:val="24"/>
              </w:rPr>
              <w:t>3.085</w:t>
            </w:r>
          </w:p>
        </w:tc>
        <w:tc>
          <w:tcPr>
            <w:tcW w:w="2865" w:type="dxa"/>
            <w:tcBorders/>
            <w:shd w:color="auto" w:fill="DBE5F1" w:themeFill="accent1" w:themeFillTint="33" w:val="clear"/>
            <w:vAlign w:val="center"/>
          </w:tcPr>
          <w:p>
            <w:pPr>
              <w:pStyle w:val="Normal"/>
              <w:spacing w:lineRule="auto" w:line="240" w:before="0" w:after="0"/>
              <w:jc w:val="center"/>
              <w:rPr>
                <w:b/>
                <w:b/>
                <w:bCs/>
                <w:caps/>
                <w:szCs w:val="24"/>
              </w:rPr>
            </w:pPr>
            <w:r>
              <w:rPr>
                <w:rFonts w:cs="Calibri"/>
                <w:b/>
                <w:bCs/>
                <w:caps/>
                <w:color w:val="000000"/>
                <w:sz w:val="20"/>
                <w:szCs w:val="24"/>
              </w:rPr>
              <w:t>2.060</w:t>
            </w:r>
          </w:p>
        </w:tc>
      </w:tr>
    </w:tbl>
    <w:p>
      <w:pPr>
        <w:pStyle w:val="Normal"/>
        <w:spacing w:before="0" w:after="0"/>
        <w:rPr/>
      </w:pPr>
      <w:r>
        <w:rPr>
          <w:rFonts w:eastAsia="Calibri" w:cs="Calibri" w:cstheme="minorHAnsi"/>
          <w:sz w:val="18"/>
          <w:lang w:val="pt-PT"/>
        </w:rPr>
        <w:t>Fonte: Nomisma e Fimaa-Confcommercio</w:t>
      </w:r>
    </w:p>
    <w:p>
      <w:pPr>
        <w:pStyle w:val="Normal"/>
        <w:spacing w:before="0" w:after="0"/>
        <w:rPr>
          <w:rFonts w:eastAsia="Calibri" w:cs="Calibri" w:cstheme="minorHAnsi"/>
          <w:szCs w:val="24"/>
          <w:lang w:val="pt-PT"/>
        </w:rPr>
      </w:pPr>
      <w:r>
        <w:rPr>
          <w:rFonts w:eastAsia="Calibri" w:cs="Calibri" w:cstheme="minorHAnsi"/>
          <w:szCs w:val="24"/>
          <w:lang w:val="pt-PT"/>
        </w:rPr>
      </w:r>
    </w:p>
    <w:tbl>
      <w:tblPr>
        <w:tblW w:w="9638" w:type="dxa"/>
        <w:jc w:val="center"/>
        <w:tblInd w:w="0" w:type="dxa"/>
        <w:tblCellMar>
          <w:top w:w="0" w:type="dxa"/>
          <w:left w:w="108" w:type="dxa"/>
          <w:bottom w:w="0" w:type="dxa"/>
          <w:right w:w="108" w:type="dxa"/>
        </w:tblCellMar>
        <w:tblLook w:firstRow="1" w:noVBand="1" w:lastRow="0" w:firstColumn="1" w:lastColumn="0" w:noHBand="0" w:val="04a0"/>
      </w:tblPr>
      <w:tblGrid>
        <w:gridCol w:w="2412"/>
        <w:gridCol w:w="2407"/>
        <w:gridCol w:w="2409"/>
        <w:gridCol w:w="2409"/>
      </w:tblGrid>
      <w:tr>
        <w:trPr>
          <w:trHeight w:val="340" w:hRule="atLeast"/>
        </w:trPr>
        <w:tc>
          <w:tcPr>
            <w:tcW w:w="2412" w:type="dxa"/>
            <w:tcBorders/>
            <w:shd w:color="auto" w:fill="auto" w:val="clear"/>
            <w:vAlign w:val="center"/>
          </w:tcPr>
          <w:p>
            <w:pPr>
              <w:pStyle w:val="Normal"/>
              <w:spacing w:lineRule="auto" w:line="240" w:before="0" w:after="0"/>
              <w:rPr>
                <w:b/>
                <w:b/>
                <w:bCs/>
                <w:caps/>
                <w:szCs w:val="24"/>
              </w:rPr>
            </w:pPr>
            <w:r>
              <w:rPr>
                <w:rFonts w:eastAsia="Calibri" w:cs="Calibri" w:cstheme="minorHAnsi"/>
                <w:b/>
                <w:sz w:val="20"/>
                <w:szCs w:val="24"/>
              </w:rPr>
              <w:t>Tavola 4</w:t>
            </w:r>
          </w:p>
        </w:tc>
        <w:tc>
          <w:tcPr>
            <w:tcW w:w="7225" w:type="dxa"/>
            <w:gridSpan w:val="3"/>
            <w:tcBorders/>
            <w:shd w:color="auto" w:fill="D9D9D9" w:themeFill="background1" w:themeFillShade="d9" w:val="clear"/>
            <w:vAlign w:val="center"/>
          </w:tcPr>
          <w:p>
            <w:pPr>
              <w:pStyle w:val="Normal"/>
              <w:spacing w:lineRule="auto" w:line="240" w:before="0" w:after="0"/>
              <w:jc w:val="center"/>
              <w:rPr>
                <w:b/>
                <w:b/>
                <w:bCs/>
                <w:caps/>
                <w:szCs w:val="24"/>
              </w:rPr>
            </w:pPr>
            <w:r>
              <w:rPr>
                <w:rFonts w:eastAsia="Calibri" w:cs="Calibri" w:cstheme="minorHAnsi"/>
                <w:b/>
                <w:bCs/>
                <w:sz w:val="20"/>
                <w:szCs w:val="24"/>
              </w:rPr>
              <w:t>Canone medio settimanale 2023</w:t>
            </w:r>
          </w:p>
        </w:tc>
      </w:tr>
      <w:tr>
        <w:trPr>
          <w:trHeight w:val="340" w:hRule="atLeast"/>
        </w:trPr>
        <w:tc>
          <w:tcPr>
            <w:tcW w:w="2412" w:type="dxa"/>
            <w:tcBorders/>
            <w:shd w:color="auto" w:fill="auto" w:val="clear"/>
            <w:vAlign w:val="center"/>
          </w:tcPr>
          <w:p>
            <w:pPr>
              <w:pStyle w:val="Normal"/>
              <w:spacing w:lineRule="auto" w:line="240" w:before="0" w:after="0"/>
              <w:rPr>
                <w:rFonts w:eastAsia="Calibri" w:cs="Calibri" w:cstheme="minorHAnsi"/>
                <w:b/>
                <w:b/>
                <w:bCs/>
                <w:caps/>
                <w:sz w:val="20"/>
                <w:szCs w:val="24"/>
              </w:rPr>
            </w:pPr>
            <w:r>
              <w:rPr>
                <w:rFonts w:eastAsia="Calibri" w:cs="Calibri" w:cstheme="minorHAnsi"/>
                <w:b/>
                <w:bCs/>
                <w:caps/>
                <w:sz w:val="20"/>
                <w:szCs w:val="24"/>
              </w:rPr>
            </w:r>
          </w:p>
        </w:tc>
        <w:tc>
          <w:tcPr>
            <w:tcW w:w="2407" w:type="dxa"/>
            <w:tcBorders/>
            <w:shd w:color="auto" w:fill="F2F2F2" w:themeFill="background1" w:themeFillShade="f2" w:val="clear"/>
            <w:vAlign w:val="center"/>
          </w:tcPr>
          <w:p>
            <w:pPr>
              <w:pStyle w:val="Normal"/>
              <w:spacing w:lineRule="auto" w:line="240" w:before="0" w:after="0"/>
              <w:jc w:val="center"/>
              <w:rPr>
                <w:b/>
                <w:b/>
                <w:bCs/>
                <w:caps/>
                <w:szCs w:val="24"/>
              </w:rPr>
            </w:pPr>
            <w:r>
              <w:rPr>
                <w:rFonts w:eastAsia="Calibri" w:cs="Calibri" w:cstheme="minorHAnsi"/>
                <w:b/>
                <w:bCs/>
                <w:sz w:val="20"/>
                <w:szCs w:val="24"/>
              </w:rPr>
              <w:t>Mese di giugno</w:t>
            </w:r>
          </w:p>
        </w:tc>
        <w:tc>
          <w:tcPr>
            <w:tcW w:w="2409" w:type="dxa"/>
            <w:tcBorders/>
            <w:shd w:color="auto" w:fill="F2F2F2" w:themeFill="background1" w:themeFillShade="f2" w:val="clear"/>
            <w:vAlign w:val="center"/>
          </w:tcPr>
          <w:p>
            <w:pPr>
              <w:pStyle w:val="Normal"/>
              <w:spacing w:lineRule="auto" w:line="240" w:before="0" w:after="0"/>
              <w:jc w:val="center"/>
              <w:rPr>
                <w:b/>
                <w:b/>
                <w:bCs/>
                <w:caps/>
                <w:szCs w:val="24"/>
              </w:rPr>
            </w:pPr>
            <w:r>
              <w:rPr>
                <w:rFonts w:eastAsia="Calibri" w:cs="Calibri" w:cstheme="minorHAnsi"/>
                <w:b/>
                <w:bCs/>
                <w:sz w:val="20"/>
                <w:szCs w:val="24"/>
              </w:rPr>
              <w:t>Mese di luglio</w:t>
            </w:r>
          </w:p>
        </w:tc>
        <w:tc>
          <w:tcPr>
            <w:tcW w:w="2409" w:type="dxa"/>
            <w:tcBorders/>
            <w:shd w:color="auto" w:fill="F2F2F2" w:themeFill="background1" w:themeFillShade="f2" w:val="clear"/>
            <w:vAlign w:val="center"/>
          </w:tcPr>
          <w:p>
            <w:pPr>
              <w:pStyle w:val="Normal"/>
              <w:spacing w:lineRule="auto" w:line="240" w:before="0" w:after="0"/>
              <w:jc w:val="center"/>
              <w:rPr>
                <w:b/>
                <w:b/>
                <w:bCs/>
                <w:caps/>
                <w:szCs w:val="24"/>
              </w:rPr>
            </w:pPr>
            <w:r>
              <w:rPr>
                <w:rFonts w:eastAsia="Calibri" w:cs="Calibri" w:cstheme="minorHAnsi"/>
                <w:b/>
                <w:bCs/>
                <w:sz w:val="20"/>
                <w:szCs w:val="24"/>
              </w:rPr>
              <w:t>Mese di agosto</w:t>
            </w:r>
          </w:p>
        </w:tc>
      </w:tr>
      <w:tr>
        <w:trPr>
          <w:trHeight w:val="340" w:hRule="atLeast"/>
        </w:trPr>
        <w:tc>
          <w:tcPr>
            <w:tcW w:w="2412" w:type="dxa"/>
            <w:tcBorders/>
            <w:shd w:color="auto" w:fill="DBE5F1" w:themeFill="accent1" w:themeFillTint="33" w:val="clear"/>
            <w:vAlign w:val="center"/>
          </w:tcPr>
          <w:p>
            <w:pPr>
              <w:pStyle w:val="Normal"/>
              <w:spacing w:lineRule="auto" w:line="240" w:before="0" w:after="0"/>
              <w:rPr>
                <w:b/>
                <w:b/>
                <w:bCs/>
                <w:caps/>
                <w:szCs w:val="24"/>
              </w:rPr>
            </w:pPr>
            <w:r>
              <w:rPr>
                <w:rFonts w:eastAsia="Calibri" w:cs="Calibri" w:cstheme="minorHAnsi"/>
                <w:b/>
                <w:bCs/>
                <w:sz w:val="20"/>
                <w:szCs w:val="24"/>
              </w:rPr>
              <w:t>Località lacuali</w:t>
            </w:r>
          </w:p>
        </w:tc>
        <w:tc>
          <w:tcPr>
            <w:tcW w:w="2407" w:type="dxa"/>
            <w:tcBorders/>
            <w:shd w:color="auto" w:fill="DBE5F1" w:themeFill="accent1" w:themeFillTint="33" w:val="clear"/>
            <w:vAlign w:val="center"/>
          </w:tcPr>
          <w:p>
            <w:pPr>
              <w:pStyle w:val="Normal"/>
              <w:spacing w:lineRule="auto" w:line="240" w:before="0" w:after="0"/>
              <w:jc w:val="center"/>
              <w:rPr>
                <w:b/>
                <w:b/>
                <w:bCs/>
                <w:caps/>
                <w:szCs w:val="24"/>
              </w:rPr>
            </w:pPr>
            <w:r>
              <w:rPr>
                <w:rFonts w:cs="Calibri"/>
                <w:b/>
                <w:bCs/>
                <w:caps/>
                <w:color w:val="000000"/>
                <w:sz w:val="20"/>
                <w:szCs w:val="24"/>
              </w:rPr>
              <w:t>725 €</w:t>
            </w:r>
          </w:p>
        </w:tc>
        <w:tc>
          <w:tcPr>
            <w:tcW w:w="2409" w:type="dxa"/>
            <w:tcBorders/>
            <w:shd w:color="auto" w:fill="DBE5F1" w:themeFill="accent1" w:themeFillTint="33" w:val="clear"/>
            <w:vAlign w:val="center"/>
          </w:tcPr>
          <w:p>
            <w:pPr>
              <w:pStyle w:val="Normal"/>
              <w:spacing w:lineRule="auto" w:line="240" w:before="0" w:after="0"/>
              <w:jc w:val="center"/>
              <w:rPr>
                <w:b/>
                <w:b/>
                <w:bCs/>
                <w:caps/>
                <w:szCs w:val="24"/>
              </w:rPr>
            </w:pPr>
            <w:r>
              <w:rPr>
                <w:rFonts w:cs="Calibri"/>
                <w:b/>
                <w:bCs/>
                <w:caps/>
                <w:color w:val="000000"/>
                <w:sz w:val="20"/>
                <w:szCs w:val="24"/>
              </w:rPr>
              <w:t>820</w:t>
            </w:r>
          </w:p>
        </w:tc>
        <w:tc>
          <w:tcPr>
            <w:tcW w:w="2409" w:type="dxa"/>
            <w:tcBorders/>
            <w:shd w:color="auto" w:fill="DBE5F1" w:themeFill="accent1" w:themeFillTint="33" w:val="clear"/>
            <w:vAlign w:val="center"/>
          </w:tcPr>
          <w:p>
            <w:pPr>
              <w:pStyle w:val="Normal"/>
              <w:spacing w:lineRule="auto" w:line="240" w:before="0" w:after="0"/>
              <w:jc w:val="center"/>
              <w:rPr>
                <w:b/>
                <w:b/>
                <w:bCs/>
                <w:caps/>
                <w:szCs w:val="24"/>
              </w:rPr>
            </w:pPr>
            <w:r>
              <w:rPr>
                <w:rFonts w:cs="Calibri"/>
                <w:b/>
                <w:bCs/>
                <w:caps/>
                <w:color w:val="000000"/>
                <w:sz w:val="20"/>
                <w:szCs w:val="24"/>
              </w:rPr>
              <w:t>920 €</w:t>
            </w:r>
          </w:p>
        </w:tc>
      </w:tr>
      <w:tr>
        <w:trPr>
          <w:trHeight w:val="340" w:hRule="atLeast"/>
        </w:trPr>
        <w:tc>
          <w:tcPr>
            <w:tcW w:w="2412" w:type="dxa"/>
            <w:tcBorders/>
            <w:shd w:color="auto" w:fill="DBE5F1" w:themeFill="accent1" w:themeFillTint="33" w:val="clear"/>
            <w:vAlign w:val="center"/>
          </w:tcPr>
          <w:p>
            <w:pPr>
              <w:pStyle w:val="Normal"/>
              <w:spacing w:lineRule="auto" w:line="240" w:before="0" w:after="0"/>
              <w:rPr>
                <w:b/>
                <w:b/>
                <w:bCs/>
                <w:caps/>
                <w:szCs w:val="24"/>
              </w:rPr>
            </w:pPr>
            <w:r>
              <w:rPr>
                <w:rFonts w:eastAsia="Calibri" w:cs="Calibri" w:cstheme="minorHAnsi"/>
                <w:b/>
                <w:bCs/>
                <w:sz w:val="20"/>
                <w:szCs w:val="24"/>
              </w:rPr>
              <w:t>Località marine</w:t>
            </w:r>
          </w:p>
        </w:tc>
        <w:tc>
          <w:tcPr>
            <w:tcW w:w="2407" w:type="dxa"/>
            <w:tcBorders/>
            <w:shd w:color="auto" w:fill="DBE5F1" w:themeFill="accent1" w:themeFillTint="33" w:val="clear"/>
            <w:vAlign w:val="center"/>
          </w:tcPr>
          <w:p>
            <w:pPr>
              <w:pStyle w:val="Normal"/>
              <w:spacing w:lineRule="auto" w:line="240" w:before="0" w:after="0"/>
              <w:jc w:val="center"/>
              <w:rPr>
                <w:b/>
                <w:b/>
                <w:bCs/>
                <w:caps/>
                <w:szCs w:val="24"/>
              </w:rPr>
            </w:pPr>
            <w:r>
              <w:rPr>
                <w:rFonts w:cs="Calibri"/>
                <w:b/>
                <w:bCs/>
                <w:caps/>
                <w:color w:val="000000"/>
                <w:sz w:val="20"/>
                <w:szCs w:val="24"/>
              </w:rPr>
              <w:t>525 €</w:t>
            </w:r>
          </w:p>
        </w:tc>
        <w:tc>
          <w:tcPr>
            <w:tcW w:w="2409" w:type="dxa"/>
            <w:tcBorders/>
            <w:shd w:color="auto" w:fill="DBE5F1" w:themeFill="accent1" w:themeFillTint="33" w:val="clear"/>
            <w:vAlign w:val="center"/>
          </w:tcPr>
          <w:p>
            <w:pPr>
              <w:pStyle w:val="Normal"/>
              <w:spacing w:lineRule="auto" w:line="240" w:before="0" w:after="0"/>
              <w:jc w:val="center"/>
              <w:rPr>
                <w:b/>
                <w:b/>
                <w:bCs/>
                <w:caps/>
                <w:szCs w:val="24"/>
              </w:rPr>
            </w:pPr>
            <w:r>
              <w:rPr>
                <w:rFonts w:cs="Calibri"/>
                <w:b/>
                <w:bCs/>
                <w:caps/>
                <w:color w:val="000000"/>
                <w:sz w:val="20"/>
                <w:szCs w:val="24"/>
              </w:rPr>
              <w:t>760 €</w:t>
            </w:r>
          </w:p>
        </w:tc>
        <w:tc>
          <w:tcPr>
            <w:tcW w:w="2409" w:type="dxa"/>
            <w:tcBorders/>
            <w:shd w:color="auto" w:fill="DBE5F1" w:themeFill="accent1" w:themeFillTint="33" w:val="clear"/>
            <w:vAlign w:val="center"/>
          </w:tcPr>
          <w:p>
            <w:pPr>
              <w:pStyle w:val="Normal"/>
              <w:spacing w:lineRule="auto" w:line="240" w:before="0" w:after="0"/>
              <w:jc w:val="center"/>
              <w:rPr>
                <w:b/>
                <w:b/>
                <w:bCs/>
                <w:caps/>
                <w:szCs w:val="24"/>
              </w:rPr>
            </w:pPr>
            <w:r>
              <w:rPr>
                <w:rFonts w:cs="Calibri"/>
                <w:b/>
                <w:bCs/>
                <w:caps/>
                <w:color w:val="000000"/>
                <w:sz w:val="20"/>
                <w:szCs w:val="24"/>
              </w:rPr>
              <w:t>970 €</w:t>
            </w:r>
          </w:p>
        </w:tc>
      </w:tr>
      <w:tr>
        <w:trPr>
          <w:trHeight w:val="340" w:hRule="atLeast"/>
        </w:trPr>
        <w:tc>
          <w:tcPr>
            <w:tcW w:w="2412" w:type="dxa"/>
            <w:tcBorders/>
            <w:shd w:color="auto" w:fill="DBE5F1" w:themeFill="accent1" w:themeFillTint="33" w:val="clear"/>
            <w:vAlign w:val="center"/>
          </w:tcPr>
          <w:p>
            <w:pPr>
              <w:pStyle w:val="Normal"/>
              <w:spacing w:lineRule="auto" w:line="240" w:before="0" w:after="0"/>
              <w:rPr>
                <w:b/>
                <w:b/>
                <w:bCs/>
                <w:caps/>
                <w:szCs w:val="24"/>
              </w:rPr>
            </w:pPr>
            <w:r>
              <w:rPr>
                <w:rFonts w:eastAsia="Calibri" w:cs="Calibri" w:cstheme="minorHAnsi"/>
                <w:b/>
                <w:bCs/>
                <w:sz w:val="20"/>
                <w:szCs w:val="24"/>
              </w:rPr>
              <w:t>Località montane</w:t>
            </w:r>
          </w:p>
        </w:tc>
        <w:tc>
          <w:tcPr>
            <w:tcW w:w="2407" w:type="dxa"/>
            <w:tcBorders/>
            <w:shd w:color="auto" w:fill="DBE5F1" w:themeFill="accent1" w:themeFillTint="33" w:val="clear"/>
            <w:vAlign w:val="center"/>
          </w:tcPr>
          <w:p>
            <w:pPr>
              <w:pStyle w:val="Normal"/>
              <w:spacing w:lineRule="auto" w:line="240" w:before="0" w:after="0"/>
              <w:jc w:val="center"/>
              <w:rPr>
                <w:b/>
                <w:b/>
                <w:bCs/>
                <w:caps/>
                <w:szCs w:val="24"/>
              </w:rPr>
            </w:pPr>
            <w:r>
              <w:rPr>
                <w:rFonts w:cs="Calibri"/>
                <w:b/>
                <w:bCs/>
                <w:caps/>
                <w:color w:val="000000"/>
                <w:sz w:val="20"/>
                <w:szCs w:val="24"/>
              </w:rPr>
              <w:t>325 €</w:t>
            </w:r>
          </w:p>
        </w:tc>
        <w:tc>
          <w:tcPr>
            <w:tcW w:w="2409" w:type="dxa"/>
            <w:tcBorders/>
            <w:shd w:color="auto" w:fill="DBE5F1" w:themeFill="accent1" w:themeFillTint="33" w:val="clear"/>
            <w:vAlign w:val="center"/>
          </w:tcPr>
          <w:p>
            <w:pPr>
              <w:pStyle w:val="Normal"/>
              <w:spacing w:lineRule="auto" w:line="240" w:before="0" w:after="0"/>
              <w:jc w:val="center"/>
              <w:rPr>
                <w:b/>
                <w:b/>
                <w:bCs/>
                <w:caps/>
                <w:szCs w:val="24"/>
              </w:rPr>
            </w:pPr>
            <w:r>
              <w:rPr>
                <w:rFonts w:cs="Calibri"/>
                <w:b/>
                <w:bCs/>
                <w:caps/>
                <w:color w:val="000000"/>
                <w:sz w:val="20"/>
                <w:szCs w:val="24"/>
              </w:rPr>
              <w:t>480 €</w:t>
            </w:r>
          </w:p>
        </w:tc>
        <w:tc>
          <w:tcPr>
            <w:tcW w:w="2409" w:type="dxa"/>
            <w:tcBorders/>
            <w:shd w:color="auto" w:fill="DBE5F1" w:themeFill="accent1" w:themeFillTint="33" w:val="clear"/>
            <w:vAlign w:val="center"/>
          </w:tcPr>
          <w:p>
            <w:pPr>
              <w:pStyle w:val="Normal"/>
              <w:spacing w:lineRule="auto" w:line="240" w:before="0" w:after="0"/>
              <w:jc w:val="center"/>
              <w:rPr>
                <w:b/>
                <w:b/>
                <w:bCs/>
                <w:caps/>
                <w:szCs w:val="24"/>
              </w:rPr>
            </w:pPr>
            <w:r>
              <w:rPr>
                <w:rFonts w:cs="Calibri"/>
                <w:b/>
                <w:bCs/>
                <w:caps/>
                <w:color w:val="000000"/>
                <w:sz w:val="20"/>
                <w:szCs w:val="24"/>
              </w:rPr>
              <w:t>760 €</w:t>
            </w:r>
          </w:p>
        </w:tc>
      </w:tr>
    </w:tbl>
    <w:p>
      <w:pPr>
        <w:pStyle w:val="Normal"/>
        <w:spacing w:before="0" w:after="0"/>
        <w:rPr/>
      </w:pPr>
      <w:r>
        <w:rPr>
          <w:rFonts w:eastAsia="Calibri" w:cs="Calibri" w:cstheme="minorHAnsi"/>
          <w:sz w:val="18"/>
          <w:lang w:val="pt-PT"/>
        </w:rPr>
        <w:t>Fonte: Nomisma e Fimaa-Confcommercio</w:t>
      </w:r>
    </w:p>
    <w:p>
      <w:pPr>
        <w:pStyle w:val="Normal"/>
        <w:shd w:val="clear" w:color="auto" w:fill="FFFFFF"/>
        <w:spacing w:before="0" w:after="0"/>
        <w:ind w:left="-142" w:hanging="142"/>
        <w:jc w:val="both"/>
        <w:rPr/>
      </w:pPr>
      <w:r>
        <w:rPr/>
      </w:r>
    </w:p>
    <w:sectPr>
      <w:headerReference w:type="default" r:id="rId2"/>
      <w:footerReference w:type="default" r:id="rId3"/>
      <w:type w:val="nextPage"/>
      <w:pgSz w:w="11906" w:h="16838"/>
      <w:pgMar w:left="1134" w:right="1274" w:header="0" w:top="1417" w:footer="1" w:bottom="1134" w:gutter="0"/>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Calibri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tabs>
        <w:tab w:val="clear" w:pos="4819"/>
        <w:tab w:val="clear" w:pos="9638"/>
        <w:tab w:val="right" w:pos="8220" w:leader="none"/>
      </w:tabs>
      <w:ind w:right="-1134" w:hanging="0"/>
      <w:rPr>
        <w:rFonts w:cs="Calibri" w:cstheme="minorHAnsi"/>
        <w:color w:val="333333"/>
        <w:sz w:val="16"/>
        <w:szCs w:val="16"/>
      </w:rPr>
    </w:pPr>
    <w:r>
      <w:rPr>
        <w:rFonts w:cs="Calibri" w:cstheme="minorHAnsi"/>
        <w:color w:val="333333"/>
        <w:sz w:val="16"/>
        <w:szCs w:val="16"/>
      </w:rPr>
    </w:r>
  </w:p>
  <w:p>
    <w:pPr>
      <w:pStyle w:val="Pidipagina"/>
      <w:tabs>
        <w:tab w:val="clear" w:pos="4819"/>
        <w:tab w:val="clear" w:pos="9638"/>
        <w:tab w:val="right" w:pos="8220" w:leader="none"/>
      </w:tabs>
      <w:ind w:right="-1135" w:hanging="0"/>
      <w:rPr>
        <w:rFonts w:cs="Calibri" w:cstheme="minorHAnsi"/>
        <w:color w:val="333333"/>
        <w:sz w:val="16"/>
        <w:szCs w:val="16"/>
      </w:rPr>
    </w:pPr>
    <w:r>
      <w:rPr>
        <w:rFonts w:cs="Calibri" w:cstheme="minorHAnsi"/>
        <w:color w:val="333333"/>
        <w:sz w:val="16"/>
        <w:szCs w:val="16"/>
      </w:rPr>
    </w:r>
  </w:p>
  <w:p>
    <w:pPr>
      <w:pStyle w:val="Pidipagina"/>
      <w:tabs>
        <w:tab w:val="clear" w:pos="4819"/>
        <w:tab w:val="clear" w:pos="9638"/>
        <w:tab w:val="right" w:pos="8220" w:leader="none"/>
      </w:tabs>
      <w:ind w:right="-1134" w:hanging="0"/>
      <w:rPr>
        <w:rFonts w:cs="Calibri" w:cstheme="minorHAnsi"/>
        <w:color w:val="333333"/>
        <w:sz w:val="15"/>
        <w:szCs w:val="15"/>
      </w:rPr>
    </w:pPr>
    <w:r>
      <w:rPr>
        <w:rFonts w:cs="Calibri" w:cstheme="minorHAnsi"/>
        <w:color w:val="333333"/>
        <w:sz w:val="15"/>
        <w:szCs w:val="15"/>
      </w:rPr>
      <w:t xml:space="preserve">Fondata il 31 gennaio 1954, </w:t>
    </w:r>
    <w:r>
      <w:rPr>
        <w:rStyle w:val="Strong"/>
        <w:rFonts w:cs="Calibri" w:cstheme="minorHAnsi"/>
        <w:color w:val="333333"/>
        <w:sz w:val="15"/>
        <w:szCs w:val="15"/>
      </w:rPr>
      <w:t>FIMAA</w:t>
    </w:r>
    <w:r>
      <w:rPr>
        <w:rFonts w:cs="Calibri" w:cstheme="minorHAnsi"/>
        <w:color w:val="333333"/>
        <w:sz w:val="15"/>
        <w:szCs w:val="15"/>
      </w:rPr>
      <w:t xml:space="preserve"> – </w:t>
    </w:r>
    <w:r>
      <w:rPr>
        <w:rStyle w:val="Strong"/>
        <w:rFonts w:cs="Calibri" w:cstheme="minorHAnsi"/>
        <w:color w:val="333333"/>
        <w:sz w:val="15"/>
        <w:szCs w:val="15"/>
      </w:rPr>
      <w:t>Federazione Italiana Mediatori Agenti d’Affari</w:t>
    </w:r>
    <w:r>
      <w:rPr>
        <w:rFonts w:cs="Calibri" w:cstheme="minorHAnsi"/>
        <w:color w:val="333333"/>
        <w:sz w:val="15"/>
        <w:szCs w:val="15"/>
      </w:rPr>
      <w:t xml:space="preserve"> – è la più grande Associazione del settore dell’intermediazione in Italia, </w:t>
    </w:r>
  </w:p>
  <w:p>
    <w:pPr>
      <w:pStyle w:val="Pidipagina"/>
      <w:tabs>
        <w:tab w:val="clear" w:pos="4819"/>
        <w:tab w:val="clear" w:pos="9638"/>
        <w:tab w:val="right" w:pos="8220" w:leader="none"/>
      </w:tabs>
      <w:ind w:right="-1134" w:hanging="0"/>
      <w:rPr>
        <w:rFonts w:cs="Calibri" w:cstheme="minorHAnsi"/>
        <w:color w:val="333333"/>
        <w:sz w:val="15"/>
        <w:szCs w:val="15"/>
      </w:rPr>
    </w:pPr>
    <w:r>
      <w:rPr>
        <w:rFonts w:cs="Calibri" w:cstheme="minorHAnsi"/>
        <w:color w:val="333333"/>
        <w:sz w:val="15"/>
        <w:szCs w:val="15"/>
      </w:rPr>
      <w:t xml:space="preserve">con oltre 14mila imprese associate per un totale di oltre 45mila addetti. Aderente al sistema </w:t>
    </w:r>
    <w:r>
      <w:rPr>
        <w:rStyle w:val="Strong"/>
        <w:rFonts w:cs="Calibri" w:cstheme="minorHAnsi"/>
        <w:color w:val="333333"/>
        <w:sz w:val="15"/>
        <w:szCs w:val="15"/>
      </w:rPr>
      <w:t>Confcommercio-Imprese per l’Italia</w:t>
    </w:r>
    <w:r>
      <w:rPr>
        <w:rFonts w:cs="Calibri" w:cstheme="minorHAnsi"/>
        <w:color w:val="333333"/>
        <w:sz w:val="15"/>
        <w:szCs w:val="15"/>
      </w:rPr>
      <w:t xml:space="preserve">, la Federazione rappresenta </w:t>
    </w:r>
  </w:p>
  <w:p>
    <w:pPr>
      <w:pStyle w:val="Pidipagina"/>
      <w:tabs>
        <w:tab w:val="clear" w:pos="4819"/>
        <w:tab w:val="clear" w:pos="9638"/>
        <w:tab w:val="right" w:pos="8220" w:leader="none"/>
      </w:tabs>
      <w:ind w:right="-1134" w:hanging="0"/>
      <w:rPr>
        <w:rFonts w:cs="Calibri" w:cstheme="minorHAnsi"/>
        <w:color w:val="333333"/>
        <w:sz w:val="15"/>
        <w:szCs w:val="15"/>
      </w:rPr>
    </w:pPr>
    <w:r>
      <w:rPr>
        <w:rFonts w:cs="Calibri" w:cstheme="minorHAnsi"/>
        <w:color w:val="333333"/>
        <w:sz w:val="15"/>
        <w:szCs w:val="15"/>
      </w:rPr>
      <w:t xml:space="preserve">tutto il comparto della Mediazione: </w:t>
    </w:r>
    <w:r>
      <w:rPr>
        <w:rStyle w:val="Strong"/>
        <w:rFonts w:cs="Calibri" w:cstheme="minorHAnsi"/>
        <w:color w:val="333333"/>
        <w:sz w:val="15"/>
        <w:szCs w:val="15"/>
      </w:rPr>
      <w:t>Agenti Immobiliari</w:t>
    </w:r>
    <w:r>
      <w:rPr>
        <w:rFonts w:cs="Calibri" w:cstheme="minorHAnsi"/>
        <w:color w:val="333333"/>
        <w:sz w:val="15"/>
        <w:szCs w:val="15"/>
      </w:rPr>
      <w:t>,</w:t>
    </w:r>
    <w:r>
      <w:rPr>
        <w:rStyle w:val="Strong"/>
        <w:rFonts w:cs="Calibri" w:cstheme="minorHAnsi"/>
        <w:color w:val="333333"/>
        <w:sz w:val="15"/>
        <w:szCs w:val="15"/>
      </w:rPr>
      <w:t xml:space="preserve"> Mediatori Merceologici</w:t>
    </w:r>
    <w:r>
      <w:rPr>
        <w:rFonts w:cs="Calibri" w:cstheme="minorHAnsi"/>
        <w:color w:val="333333"/>
        <w:sz w:val="15"/>
        <w:szCs w:val="15"/>
      </w:rPr>
      <w:t>,</w:t>
    </w:r>
    <w:r>
      <w:rPr>
        <w:rStyle w:val="Strong"/>
        <w:rFonts w:cs="Calibri" w:cstheme="minorHAnsi"/>
        <w:color w:val="333333"/>
        <w:sz w:val="15"/>
        <w:szCs w:val="15"/>
      </w:rPr>
      <w:t xml:space="preserve"> Mediatori Creditizi</w:t>
    </w:r>
    <w:r>
      <w:rPr>
        <w:rFonts w:cs="Calibri" w:cstheme="minorHAnsi"/>
        <w:color w:val="333333"/>
        <w:sz w:val="15"/>
        <w:szCs w:val="15"/>
      </w:rPr>
      <w:t>,</w:t>
    </w:r>
    <w:r>
      <w:rPr>
        <w:rStyle w:val="Strong"/>
        <w:rFonts w:cs="Calibri" w:cstheme="minorHAnsi"/>
        <w:color w:val="333333"/>
        <w:sz w:val="15"/>
        <w:szCs w:val="15"/>
      </w:rPr>
      <w:t xml:space="preserve"> Agenti in Attività Finanziaria</w:t>
    </w:r>
    <w:r>
      <w:rPr>
        <w:rFonts w:cs="Calibri" w:cstheme="minorHAnsi"/>
        <w:color w:val="333333"/>
        <w:sz w:val="15"/>
        <w:szCs w:val="15"/>
      </w:rPr>
      <w:t>,</w:t>
    </w:r>
    <w:r>
      <w:rPr>
        <w:rStyle w:val="Strong"/>
        <w:rFonts w:cs="Calibri" w:cstheme="minorHAnsi"/>
        <w:color w:val="333333"/>
        <w:sz w:val="15"/>
        <w:szCs w:val="15"/>
      </w:rPr>
      <w:t xml:space="preserve"> Agenti di Servizi vari</w:t>
    </w:r>
    <w:r>
      <w:rPr>
        <w:rFonts w:cs="Calibri" w:cstheme="minorHAnsi"/>
        <w:color w:val="333333"/>
        <w:sz w:val="15"/>
        <w:szCs w:val="15"/>
      </w:rPr>
      <w:t xml:space="preserve"> e </w:t>
    </w:r>
  </w:p>
  <w:p>
    <w:pPr>
      <w:pStyle w:val="Pidipagina"/>
      <w:tabs>
        <w:tab w:val="clear" w:pos="4819"/>
        <w:tab w:val="clear" w:pos="9638"/>
        <w:tab w:val="right" w:pos="8220" w:leader="none"/>
      </w:tabs>
      <w:ind w:right="-1134" w:hanging="0"/>
      <w:rPr>
        <w:rFonts w:cs="Calibri" w:cstheme="minorHAnsi"/>
        <w:color w:val="333333"/>
        <w:sz w:val="15"/>
        <w:szCs w:val="15"/>
      </w:rPr>
    </w:pPr>
    <w:r>
      <w:rPr>
        <w:rFonts w:cs="Calibri" w:cstheme="minorHAnsi"/>
        <w:color w:val="333333"/>
        <w:sz w:val="15"/>
        <w:szCs w:val="15"/>
      </w:rPr>
      <w:t>lavora in Italia e in Europa per la loro tutela sindacale e crescita professionale.</w:t>
    </w:r>
    <w:r>
      <w:rPr>
        <w:sz w:val="15"/>
        <w:szCs w:val="15"/>
      </w:rPr>
      <w:t xml:space="preserve"> </w:t>
    </w:r>
    <w:r>
      <w:rPr>
        <w:rFonts w:cs="Arial"/>
        <w:color w:val="002060"/>
        <w:sz w:val="15"/>
        <w:szCs w:val="15"/>
      </w:rPr>
      <w:t>Ufficio Stampa: ufficiostampa@fimaa.it – tel. (+39) 06 58 66 476</w:t>
    </w:r>
  </w:p>
  <w:p>
    <w:pPr>
      <w:pStyle w:val="NormalWeb"/>
      <w:shd w:val="clear" w:color="auto" w:fill="FFFFFF"/>
      <w:spacing w:beforeAutospacing="0" w:before="280" w:after="280"/>
      <w:rPr>
        <w:rFonts w:ascii="Calibri" w:hAnsi="Calibri" w:cs="Calibri" w:asciiTheme="minorHAnsi" w:cstheme="minorHAnsi" w:hAnsiTheme="minorHAnsi"/>
        <w:color w:val="333333"/>
        <w:sz w:val="16"/>
        <w:szCs w:val="16"/>
      </w:rPr>
    </w:pPr>
    <w:r>
      <w:rPr/>
      <w:drawing>
        <wp:inline distT="0" distB="0" distL="0" distR="0">
          <wp:extent cx="6185535" cy="1033145"/>
          <wp:effectExtent l="0" t="0" r="0" b="0"/>
          <wp:docPr id="2" name="Immagine 22" descr="Pièdipagina carta intestata Fim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2" descr="Pièdipagina carta intestata Fimaa"/>
                  <pic:cNvPicPr>
                    <a:picLocks noChangeAspect="1" noChangeArrowheads="1"/>
                  </pic:cNvPicPr>
                </pic:nvPicPr>
                <pic:blipFill>
                  <a:blip r:embed="rId1"/>
                  <a:stretch>
                    <a:fillRect/>
                  </a:stretch>
                </pic:blipFill>
                <pic:spPr bwMode="auto">
                  <a:xfrm>
                    <a:off x="0" y="0"/>
                    <a:ext cx="6185535" cy="1033145"/>
                  </a:xfrm>
                  <a:prstGeom prst="rect">
                    <a:avLst/>
                  </a:prstGeom>
                </pic:spPr>
              </pic:pic>
            </a:graphicData>
          </a:graphic>
        </wp:inline>
      </w:drawing>
    </w:r>
  </w:p>
  <w:p>
    <w:pPr>
      <w:pStyle w:val="Pidipagina"/>
      <w:tabs>
        <w:tab w:val="clear" w:pos="4819"/>
        <w:tab w:val="clear" w:pos="9638"/>
        <w:tab w:val="right" w:pos="8220" w:leader="none"/>
      </w:tabs>
      <w:ind w:left="-1418" w:hanging="0"/>
      <w:rPr>
        <w:szCs w:val="16"/>
      </w:rPr>
    </w:pPr>
    <w:r>
      <w:rPr>
        <w:szCs w:val="1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tabs>
        <w:tab w:val="clear" w:pos="4819"/>
        <w:tab w:val="clear" w:pos="9638"/>
        <w:tab w:val="right" w:pos="8220" w:leader="none"/>
      </w:tabs>
      <w:ind w:left="-1418" w:hanging="0"/>
      <w:rPr/>
    </w:pPr>
    <w:r>
      <w:drawing>
        <wp:anchor behindDoc="1" distT="0" distB="0" distL="0" distR="0" simplePos="0" locked="0" layoutInCell="1" allowOverlap="1" relativeHeight="4">
          <wp:simplePos x="0" y="0"/>
          <wp:positionH relativeFrom="column">
            <wp:posOffset>-414655</wp:posOffset>
          </wp:positionH>
          <wp:positionV relativeFrom="paragraph">
            <wp:posOffset>635</wp:posOffset>
          </wp:positionV>
          <wp:extent cx="6804660" cy="1385570"/>
          <wp:effectExtent l="0" t="0" r="0" b="0"/>
          <wp:wrapSquare wrapText="largest"/>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stretch>
                    <a:fillRect/>
                  </a:stretch>
                </pic:blipFill>
                <pic:spPr bwMode="auto">
                  <a:xfrm>
                    <a:off x="0" y="0"/>
                    <a:ext cx="6804660" cy="1385570"/>
                  </a:xfrm>
                  <a:prstGeom prst="rect">
                    <a:avLst/>
                  </a:prstGeom>
                </pic:spPr>
              </pic:pic>
            </a:graphicData>
          </a:graphic>
        </wp:anchor>
      </w:drawing>
    </w:r>
    <w:r>
      <w:rPr/>
      <w:t xml:space="preserve"> </w:t>
    </w:r>
  </w:p>
</w:hdr>
</file>

<file path=word/settings.xml><?xml version="1.0" encoding="utf-8"?>
<w:settings xmlns:w="http://schemas.openxmlformats.org/wordprocessingml/2006/main">
  <w:zoom w:percent="11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Cs w:val="22"/>
        <w:lang w:val="it-IT"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2"/>
      <w:sz w:val="22"/>
      <w:szCs w:val="22"/>
      <w:lang w:val="it-IT" w:eastAsia="en-US" w:bidi="ar-SA"/>
      <w14:ligatures w14:val="standardContextual"/>
    </w:rPr>
  </w:style>
  <w:style w:type="character" w:styleId="DefaultParagraphFont" w:default="1">
    <w:name w:val="Default Paragraph Font"/>
    <w:uiPriority w:val="1"/>
    <w:semiHidden/>
    <w:unhideWhenUsed/>
    <w:qFormat/>
    <w:rPr/>
  </w:style>
  <w:style w:type="character" w:styleId="PidipaginaCarattere" w:customStyle="1">
    <w:name w:val="Piè di pagina Carattere"/>
    <w:link w:val="Pidipagina"/>
    <w:qFormat/>
    <w:rsid w:val="00bd514f"/>
    <w:rPr>
      <w:sz w:val="24"/>
      <w:szCs w:val="24"/>
      <w:lang w:eastAsia="ar-SA"/>
    </w:rPr>
  </w:style>
  <w:style w:type="character" w:styleId="IntestazioneCarattere" w:customStyle="1">
    <w:name w:val="Intestazione Carattere"/>
    <w:basedOn w:val="DefaultParagraphFont"/>
    <w:link w:val="Intestazione"/>
    <w:qFormat/>
    <w:rsid w:val="00bd514f"/>
    <w:rPr>
      <w:rFonts w:ascii="Times New Roman" w:hAnsi="Times New Roman" w:eastAsia="Times New Roman" w:cs="Times New Roman"/>
      <w:kern w:val="0"/>
      <w:sz w:val="24"/>
      <w:szCs w:val="24"/>
      <w:lang w:eastAsia="ar-SA"/>
      <w14:ligatures w14:val="none"/>
    </w:rPr>
  </w:style>
  <w:style w:type="character" w:styleId="PidipaginaCarattere1" w:customStyle="1">
    <w:name w:val="Piè di pagina Carattere1"/>
    <w:basedOn w:val="DefaultParagraphFont"/>
    <w:uiPriority w:val="99"/>
    <w:semiHidden/>
    <w:qFormat/>
    <w:rsid w:val="00bd514f"/>
    <w:rPr/>
  </w:style>
  <w:style w:type="character" w:styleId="Appleconvertedspace" w:customStyle="1">
    <w:name w:val="apple-converted-space"/>
    <w:basedOn w:val="DefaultParagraphFont"/>
    <w:qFormat/>
    <w:rsid w:val="00c73954"/>
    <w:rPr/>
  </w:style>
  <w:style w:type="character" w:styleId="Bumpedfont15" w:customStyle="1">
    <w:name w:val="bumpedfont15"/>
    <w:basedOn w:val="DefaultParagraphFont"/>
    <w:qFormat/>
    <w:rsid w:val="00c73954"/>
    <w:rPr/>
  </w:style>
  <w:style w:type="character" w:styleId="Strong">
    <w:name w:val="Strong"/>
    <w:basedOn w:val="DefaultParagraphFont"/>
    <w:uiPriority w:val="22"/>
    <w:qFormat/>
    <w:rsid w:val="00a820c6"/>
    <w:rPr>
      <w:b/>
      <w:bCs/>
    </w:rPr>
  </w:style>
  <w:style w:type="character" w:styleId="CollegamentoInternet" w:customStyle="1">
    <w:name w:val="Collegamento Internet"/>
    <w:rPr>
      <w:color w:val="000080"/>
      <w:u w:val="single"/>
    </w:rPr>
  </w:style>
  <w:style w:type="character" w:styleId="TestocommentoCarattere" w:customStyle="1">
    <w:name w:val="Testo commento Carattere"/>
    <w:basedOn w:val="DefaultParagraphFont"/>
    <w:link w:val="Testocommento"/>
    <w:uiPriority w:val="99"/>
    <w:semiHidden/>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TestofumettoCarattere" w:customStyle="1">
    <w:name w:val="Testo fumetto Carattere"/>
    <w:basedOn w:val="DefaultParagraphFont"/>
    <w:link w:val="Testofumetto"/>
    <w:uiPriority w:val="99"/>
    <w:semiHidden/>
    <w:qFormat/>
    <w:rsid w:val="00702152"/>
    <w:rPr>
      <w:rFonts w:ascii="Segoe UI" w:hAnsi="Segoe UI" w:cs="Segoe UI"/>
      <w:sz w:val="18"/>
      <w:szCs w:val="18"/>
    </w:rPr>
  </w:style>
  <w:style w:type="character" w:styleId="SoggettocommentoCarattere" w:customStyle="1">
    <w:name w:val="Soggetto commento Carattere"/>
    <w:basedOn w:val="TestocommentoCarattere"/>
    <w:link w:val="Soggettocommento"/>
    <w:uiPriority w:val="99"/>
    <w:semiHidden/>
    <w:qFormat/>
    <w:rsid w:val="00702152"/>
    <w:rPr>
      <w:b/>
      <w:bCs/>
      <w:sz w:val="20"/>
      <w:szCs w:val="20"/>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next w:val="Corpodeltes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Intestazione">
    <w:name w:val="Header"/>
    <w:basedOn w:val="Normal"/>
    <w:link w:val="IntestazioneCarattere"/>
    <w:rsid w:val="00bd514f"/>
    <w:pPr>
      <w:tabs>
        <w:tab w:val="clear" w:pos="708"/>
        <w:tab w:val="center" w:pos="4819" w:leader="none"/>
        <w:tab w:val="right" w:pos="9638" w:leader="none"/>
      </w:tabs>
      <w:suppressAutoHyphens w:val="true"/>
      <w:spacing w:lineRule="auto" w:line="240" w:before="0" w:after="0"/>
    </w:pPr>
    <w:rPr>
      <w:rFonts w:ascii="Times New Roman" w:hAnsi="Times New Roman" w:eastAsia="Times New Roman" w:cs="Times New Roman"/>
      <w:kern w:val="0"/>
      <w:sz w:val="24"/>
      <w:szCs w:val="24"/>
      <w:lang w:eastAsia="ar-SA"/>
      <w14:ligatures w14:val="none"/>
    </w:rPr>
  </w:style>
  <w:style w:type="paragraph" w:styleId="Pidipagina">
    <w:name w:val="Footer"/>
    <w:basedOn w:val="Normal"/>
    <w:link w:val="PidipaginaCarattere"/>
    <w:rsid w:val="00bd514f"/>
    <w:pPr>
      <w:tabs>
        <w:tab w:val="clear" w:pos="708"/>
        <w:tab w:val="center" w:pos="4819" w:leader="none"/>
        <w:tab w:val="right" w:pos="9638" w:leader="none"/>
      </w:tabs>
      <w:suppressAutoHyphens w:val="true"/>
      <w:spacing w:lineRule="auto" w:line="240" w:before="0" w:after="0"/>
    </w:pPr>
    <w:rPr>
      <w:sz w:val="24"/>
      <w:szCs w:val="24"/>
      <w:lang w:eastAsia="ar-SA"/>
    </w:rPr>
  </w:style>
  <w:style w:type="paragraph" w:styleId="ListParagraph">
    <w:name w:val="List Paragraph"/>
    <w:basedOn w:val="Normal"/>
    <w:uiPriority w:val="34"/>
    <w:qFormat/>
    <w:rsid w:val="00a2468e"/>
    <w:pPr>
      <w:spacing w:lineRule="auto" w:line="259" w:before="0" w:after="160"/>
      <w:ind w:left="720" w:hanging="0"/>
      <w:contextualSpacing/>
    </w:pPr>
    <w:rPr>
      <w:kern w:val="0"/>
      <w14:ligatures w14:val="none"/>
    </w:rPr>
  </w:style>
  <w:style w:type="paragraph" w:styleId="NormalWeb">
    <w:name w:val="Normal (Web)"/>
    <w:basedOn w:val="Normal"/>
    <w:uiPriority w:val="99"/>
    <w:unhideWhenUsed/>
    <w:qFormat/>
    <w:rsid w:val="00a820c6"/>
    <w:pPr>
      <w:spacing w:lineRule="auto" w:line="240" w:beforeAutospacing="1" w:afterAutospacing="1"/>
    </w:pPr>
    <w:rPr>
      <w:rFonts w:ascii="Times New Roman" w:hAnsi="Times New Roman" w:eastAsia="Times New Roman" w:cs="Times New Roman"/>
      <w:kern w:val="0"/>
      <w:sz w:val="24"/>
      <w:szCs w:val="24"/>
      <w:lang w:eastAsia="it-IT"/>
      <w14:ligatures w14:val="none"/>
    </w:rPr>
  </w:style>
  <w:style w:type="paragraph" w:styleId="Gmailwestern" w:customStyle="1">
    <w:name w:val="gmail-western"/>
    <w:basedOn w:val="Normal"/>
    <w:qFormat/>
    <w:rsid w:val="00cc360f"/>
    <w:pPr>
      <w:spacing w:lineRule="auto" w:line="240" w:beforeAutospacing="1" w:afterAutospacing="1"/>
    </w:pPr>
    <w:rPr>
      <w:rFonts w:ascii="Times New Roman" w:hAnsi="Times New Roman" w:eastAsia="Times New Roman" w:cs="Times New Roman"/>
      <w:kern w:val="0"/>
      <w:sz w:val="24"/>
      <w:szCs w:val="24"/>
      <w:lang w:eastAsia="it-IT"/>
      <w14:ligatures w14:val="none"/>
    </w:rPr>
  </w:style>
  <w:style w:type="paragraph" w:styleId="Paragrafoelenco1" w:customStyle="1">
    <w:name w:val="Paragrafo elenco1"/>
    <w:basedOn w:val="Normal"/>
    <w:qFormat/>
    <w:pPr>
      <w:ind w:left="720" w:hanging="0"/>
    </w:pPr>
    <w:rPr>
      <w:rFonts w:eastAsia="Calibri"/>
    </w:rPr>
  </w:style>
  <w:style w:type="paragraph" w:styleId="Annotationtext">
    <w:name w:val="annotation text"/>
    <w:basedOn w:val="Normal"/>
    <w:link w:val="TestocommentoCarattere"/>
    <w:uiPriority w:val="99"/>
    <w:semiHidden/>
    <w:unhideWhenUsed/>
    <w:qFormat/>
    <w:pPr>
      <w:spacing w:lineRule="auto" w:line="240"/>
    </w:pPr>
    <w:rPr>
      <w:sz w:val="20"/>
      <w:szCs w:val="20"/>
    </w:rPr>
  </w:style>
  <w:style w:type="paragraph" w:styleId="BalloonText">
    <w:name w:val="Balloon Text"/>
    <w:basedOn w:val="Normal"/>
    <w:link w:val="TestofumettoCarattere"/>
    <w:uiPriority w:val="99"/>
    <w:semiHidden/>
    <w:unhideWhenUsed/>
    <w:qFormat/>
    <w:rsid w:val="00702152"/>
    <w:pPr>
      <w:spacing w:lineRule="auto" w:line="240" w:before="0" w:after="0"/>
    </w:pPr>
    <w:rPr>
      <w:rFonts w:ascii="Segoe UI" w:hAnsi="Segoe UI" w:cs="Segoe UI"/>
      <w:sz w:val="18"/>
      <w:szCs w:val="18"/>
    </w:rPr>
  </w:style>
  <w:style w:type="paragraph" w:styleId="Annotationsubject">
    <w:name w:val="annotation subject"/>
    <w:basedOn w:val="Annotationtext"/>
    <w:next w:val="Annotationtext"/>
    <w:link w:val="SoggettocommentoCarattere"/>
    <w:uiPriority w:val="99"/>
    <w:semiHidden/>
    <w:unhideWhenUsed/>
    <w:qFormat/>
    <w:rsid w:val="00702152"/>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Application>LibreOffice/6.2.3.2$Windows_X86_64 LibreOffice_project/aecc05fe267cc68dde00352a451aa867b3b546ac</Application>
  <Pages>3</Pages>
  <Words>806</Words>
  <Characters>4632</Characters>
  <CharactersWithSpaces>5358</CharactersWithSpaces>
  <Paragraphs>107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2024-01-11T08:30:00Z</dcterms:created>
  <dc:creator>Maurizio Pezzetta</dc:creator>
  <dc:description/>
  <dc:language>it-IT</dc:language>
  <cp:lastModifiedBy/>
  <cp:lastPrinted>2024-01-10T10:24:00Z</cp:lastPrinted>
  <dcterms:modified xsi:type="dcterms:W3CDTF">2024-01-11T10:58:29Z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